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7B5A24" w:rsidRPr="00564B9D" w14:paraId="6AEC9E34" w14:textId="77777777" w:rsidTr="003C1D12">
        <w:trPr>
          <w:trHeight w:hRule="exact" w:val="851"/>
        </w:trPr>
        <w:tc>
          <w:tcPr>
            <w:tcW w:w="1274" w:type="dxa"/>
            <w:tcBorders>
              <w:bottom w:val="single" w:sz="4" w:space="0" w:color="auto"/>
            </w:tcBorders>
            <w:shd w:val="clear" w:color="auto" w:fill="auto"/>
          </w:tcPr>
          <w:p w14:paraId="765785CF" w14:textId="77777777" w:rsidR="00467D1F" w:rsidRPr="007B5A24" w:rsidRDefault="00467D1F" w:rsidP="003C1D12">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16B5500A" w14:textId="77777777" w:rsidR="00467D1F" w:rsidRPr="00564B9D" w:rsidRDefault="00467D1F" w:rsidP="003C1D12">
            <w:pPr>
              <w:spacing w:after="80" w:line="480" w:lineRule="exact"/>
              <w:ind w:left="57"/>
              <w:rPr>
                <w:sz w:val="30"/>
                <w:szCs w:val="30"/>
                <w:rtl/>
              </w:rPr>
            </w:pPr>
            <w:r w:rsidRPr="00564B9D">
              <w:rPr>
                <w:rFonts w:hint="cs"/>
                <w:sz w:val="30"/>
                <w:szCs w:val="30"/>
                <w:rtl/>
              </w:rPr>
              <w:t>الأمم المتحدة</w:t>
            </w:r>
          </w:p>
        </w:tc>
        <w:tc>
          <w:tcPr>
            <w:tcW w:w="3402" w:type="dxa"/>
            <w:tcBorders>
              <w:bottom w:val="single" w:sz="4" w:space="0" w:color="auto"/>
            </w:tcBorders>
            <w:shd w:val="clear" w:color="auto" w:fill="auto"/>
            <w:vAlign w:val="bottom"/>
          </w:tcPr>
          <w:p w14:paraId="44CC4129" w14:textId="77777777" w:rsidR="00467D1F" w:rsidRPr="00564B9D" w:rsidRDefault="00467D1F" w:rsidP="003C1D12">
            <w:pPr>
              <w:bidi w:val="0"/>
              <w:rPr>
                <w:szCs w:val="20"/>
                <w:lang w:eastAsia="zh-TW"/>
              </w:rPr>
            </w:pPr>
            <w:r w:rsidRPr="00564B9D">
              <w:rPr>
                <w:sz w:val="40"/>
                <w:szCs w:val="20"/>
                <w:lang w:eastAsia="zh-TW"/>
              </w:rPr>
              <w:t>HRI</w:t>
            </w:r>
            <w:r w:rsidRPr="00564B9D">
              <w:rPr>
                <w:szCs w:val="20"/>
                <w:lang w:eastAsia="zh-TW"/>
              </w:rPr>
              <w:t>/CORE/GBR/2022</w:t>
            </w:r>
          </w:p>
        </w:tc>
      </w:tr>
      <w:tr w:rsidR="007B5A24" w:rsidRPr="00564B9D" w14:paraId="12D38533" w14:textId="77777777" w:rsidTr="003C1D12">
        <w:trPr>
          <w:trHeight w:hRule="exact" w:val="2835"/>
        </w:trPr>
        <w:tc>
          <w:tcPr>
            <w:tcW w:w="1274" w:type="dxa"/>
            <w:tcBorders>
              <w:top w:val="single" w:sz="4" w:space="0" w:color="auto"/>
              <w:bottom w:val="single" w:sz="12" w:space="0" w:color="auto"/>
            </w:tcBorders>
            <w:shd w:val="clear" w:color="auto" w:fill="auto"/>
          </w:tcPr>
          <w:p w14:paraId="127E28B4" w14:textId="77777777" w:rsidR="00467D1F" w:rsidRPr="00564B9D" w:rsidRDefault="00467D1F" w:rsidP="003C1D12">
            <w:pPr>
              <w:jc w:val="center"/>
              <w:rPr>
                <w:sz w:val="56"/>
                <w:szCs w:val="56"/>
                <w:lang w:val="es-ES_tradnl"/>
              </w:rPr>
            </w:pPr>
            <w:r w:rsidRPr="00564B9D">
              <w:rPr>
                <w:noProof/>
                <w:sz w:val="56"/>
                <w:szCs w:val="56"/>
              </w:rPr>
              <w:drawing>
                <wp:inline distT="0" distB="0" distL="0" distR="0" wp14:anchorId="57A9B54A" wp14:editId="249CC7D4">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CEC45F4" w14:textId="77777777" w:rsidR="00467D1F" w:rsidRPr="00564B9D" w:rsidRDefault="00467D1F" w:rsidP="003C1D12">
            <w:pPr>
              <w:spacing w:before="120" w:after="40" w:line="640" w:lineRule="exact"/>
              <w:ind w:left="57"/>
              <w:rPr>
                <w:b/>
                <w:bCs/>
                <w:sz w:val="46"/>
                <w:szCs w:val="46"/>
              </w:rPr>
            </w:pPr>
            <w:r w:rsidRPr="00564B9D">
              <w:rPr>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F445CD5" w14:textId="77777777" w:rsidR="00467D1F" w:rsidRPr="00564B9D" w:rsidRDefault="00467D1F" w:rsidP="003C1D12">
            <w:pPr>
              <w:bidi w:val="0"/>
              <w:spacing w:before="240"/>
              <w:rPr>
                <w:szCs w:val="20"/>
              </w:rPr>
            </w:pPr>
            <w:r w:rsidRPr="00564B9D">
              <w:rPr>
                <w:szCs w:val="20"/>
              </w:rPr>
              <w:t>Distr.: General</w:t>
            </w:r>
          </w:p>
          <w:p w14:paraId="5CAA4440" w14:textId="77777777" w:rsidR="00467D1F" w:rsidRPr="00564B9D" w:rsidRDefault="00467D1F" w:rsidP="003C1D12">
            <w:pPr>
              <w:bidi w:val="0"/>
              <w:spacing w:line="240" w:lineRule="exact"/>
              <w:jc w:val="left"/>
              <w:rPr>
                <w:szCs w:val="20"/>
              </w:rPr>
            </w:pPr>
            <w:r w:rsidRPr="00564B9D">
              <w:rPr>
                <w:szCs w:val="20"/>
              </w:rPr>
              <w:t>30 September 2022</w:t>
            </w:r>
          </w:p>
          <w:p w14:paraId="0B09222C" w14:textId="77777777" w:rsidR="00467D1F" w:rsidRPr="00564B9D" w:rsidRDefault="00467D1F" w:rsidP="003C1D12">
            <w:pPr>
              <w:bidi w:val="0"/>
              <w:spacing w:line="240" w:lineRule="exact"/>
              <w:jc w:val="left"/>
              <w:rPr>
                <w:szCs w:val="20"/>
              </w:rPr>
            </w:pPr>
            <w:r w:rsidRPr="00564B9D">
              <w:rPr>
                <w:szCs w:val="20"/>
              </w:rPr>
              <w:t>Arabic</w:t>
            </w:r>
          </w:p>
          <w:p w14:paraId="78709A11" w14:textId="77777777" w:rsidR="00467D1F" w:rsidRPr="00564B9D" w:rsidRDefault="00467D1F" w:rsidP="003C1D12">
            <w:pPr>
              <w:bidi w:val="0"/>
              <w:spacing w:line="240" w:lineRule="exact"/>
              <w:jc w:val="left"/>
              <w:rPr>
                <w:szCs w:val="20"/>
              </w:rPr>
            </w:pPr>
            <w:r w:rsidRPr="00564B9D">
              <w:rPr>
                <w:szCs w:val="20"/>
              </w:rPr>
              <w:t>Original: English</w:t>
            </w:r>
          </w:p>
        </w:tc>
      </w:tr>
    </w:tbl>
    <w:p w14:paraId="43CFB62E" w14:textId="77777777" w:rsidR="00494AE4" w:rsidRPr="00564B9D" w:rsidRDefault="00494AE4" w:rsidP="00494AE4">
      <w:pPr>
        <w:pStyle w:val="HMGA"/>
        <w:rPr>
          <w:rtl/>
        </w:rPr>
      </w:pPr>
      <w:r w:rsidRPr="00564B9D">
        <w:rPr>
          <w:rtl/>
        </w:rPr>
        <w:tab/>
      </w:r>
      <w:r w:rsidRPr="00564B9D">
        <w:rPr>
          <w:rtl/>
        </w:rPr>
        <w:tab/>
      </w:r>
      <w:bookmarkStart w:id="0" w:name="_Toc123044103"/>
      <w:bookmarkStart w:id="1" w:name="_Toc123044326"/>
      <w:bookmarkStart w:id="2" w:name="_Toc123044588"/>
      <w:bookmarkStart w:id="3" w:name="_Toc123044849"/>
      <w:r w:rsidRPr="00564B9D">
        <w:rPr>
          <w:rtl/>
        </w:rPr>
        <w:t>وثيقة أساسية مشتركة تشكل جزءاً من تقارير الدول الأطراف</w:t>
      </w:r>
      <w:bookmarkEnd w:id="0"/>
      <w:bookmarkEnd w:id="1"/>
      <w:bookmarkEnd w:id="2"/>
      <w:bookmarkEnd w:id="3"/>
    </w:p>
    <w:p w14:paraId="0D3CB1E0" w14:textId="6543766E" w:rsidR="00467D1F" w:rsidRPr="00564B9D" w:rsidRDefault="00494AE4" w:rsidP="00494AE4">
      <w:pPr>
        <w:pStyle w:val="HMGA"/>
        <w:rPr>
          <w:rtl/>
        </w:rPr>
      </w:pPr>
      <w:r w:rsidRPr="00564B9D">
        <w:rPr>
          <w:rtl/>
        </w:rPr>
        <w:tab/>
      </w:r>
      <w:r w:rsidRPr="00564B9D">
        <w:rPr>
          <w:rtl/>
        </w:rPr>
        <w:tab/>
      </w:r>
      <w:bookmarkStart w:id="4" w:name="_Toc123044104"/>
      <w:bookmarkStart w:id="5" w:name="_Toc123044327"/>
      <w:bookmarkStart w:id="6" w:name="_Toc123044589"/>
      <w:bookmarkStart w:id="7" w:name="_Toc123044850"/>
      <w:r w:rsidRPr="00564B9D">
        <w:rPr>
          <w:rtl/>
        </w:rPr>
        <w:t>المملكة المتحدة لبريطانيا العظمى و</w:t>
      </w:r>
      <w:r w:rsidR="000F4858" w:rsidRPr="00564B9D">
        <w:rPr>
          <w:rFonts w:hint="cs"/>
          <w:rtl/>
        </w:rPr>
        <w:t>أيرلندا الشمالية</w:t>
      </w:r>
      <w:r w:rsidR="00467D1F" w:rsidRPr="00564B9D">
        <w:rPr>
          <w:rStyle w:val="FootnoteReference"/>
          <w:rFonts w:cs="Simplified Arabic"/>
          <w:sz w:val="22"/>
          <w:szCs w:val="22"/>
          <w:vertAlign w:val="baseline"/>
          <w:rtl/>
        </w:rPr>
        <w:footnoteReference w:customMarkFollows="1" w:id="1"/>
        <w:t>*</w:t>
      </w:r>
    </w:p>
    <w:bookmarkEnd w:id="4"/>
    <w:bookmarkEnd w:id="5"/>
    <w:bookmarkEnd w:id="6"/>
    <w:bookmarkEnd w:id="7"/>
    <w:p w14:paraId="42CD49AF" w14:textId="77777777" w:rsidR="00494AE4" w:rsidRPr="00564B9D" w:rsidRDefault="00494AE4" w:rsidP="00494AE4">
      <w:pPr>
        <w:pStyle w:val="SingleTxtGA"/>
        <w:jc w:val="right"/>
      </w:pPr>
      <w:r w:rsidRPr="00564B9D">
        <w:rPr>
          <w:rFonts w:hint="cs"/>
          <w:rtl/>
        </w:rPr>
        <w:t>[تاريخ الاستلام: 20 أيار/مايو 2022]</w:t>
      </w:r>
    </w:p>
    <w:p w14:paraId="5890A6A6" w14:textId="77777777" w:rsidR="00494AE4" w:rsidRPr="00564B9D" w:rsidRDefault="00494AE4" w:rsidP="00494AE4">
      <w:pPr>
        <w:pStyle w:val="SingleTxtGA"/>
        <w:rPr>
          <w:rtl/>
        </w:rPr>
      </w:pPr>
      <w:r w:rsidRPr="00564B9D">
        <w:rPr>
          <w:rtl/>
        </w:rPr>
        <w:br w:type="page"/>
      </w:r>
    </w:p>
    <w:p w14:paraId="748CB9E6" w14:textId="77777777" w:rsidR="000F66B4" w:rsidRPr="00564B9D" w:rsidRDefault="000F66B4" w:rsidP="003C2AAB">
      <w:pPr>
        <w:keepNext/>
        <w:spacing w:line="360" w:lineRule="exact"/>
        <w:rPr>
          <w:sz w:val="26"/>
          <w:szCs w:val="26"/>
          <w:rtl/>
        </w:rPr>
      </w:pPr>
      <w:r w:rsidRPr="00564B9D">
        <w:rPr>
          <w:rFonts w:hint="cs"/>
          <w:sz w:val="26"/>
          <w:szCs w:val="26"/>
          <w:rtl/>
        </w:rPr>
        <w:lastRenderedPageBreak/>
        <w:t>المحتويات</w:t>
      </w:r>
    </w:p>
    <w:p w14:paraId="23F54077" w14:textId="33780670" w:rsidR="000F66B4" w:rsidRPr="00564B9D" w:rsidRDefault="000F66B4" w:rsidP="000F66B4">
      <w:pPr>
        <w:keepNext/>
        <w:tabs>
          <w:tab w:val="left" w:pos="7917"/>
          <w:tab w:val="right" w:pos="9638"/>
        </w:tabs>
        <w:spacing w:before="120" w:after="120" w:line="240" w:lineRule="exact"/>
        <w:ind w:left="284"/>
        <w:rPr>
          <w:noProof/>
          <w:sz w:val="22"/>
          <w:rtl/>
          <w:lang w:eastAsia="zh-CN"/>
        </w:rPr>
      </w:pPr>
      <w:r w:rsidRPr="00564B9D">
        <w:rPr>
          <w:i/>
        </w:rPr>
        <w:tab/>
      </w:r>
      <w:r w:rsidRPr="00564B9D">
        <w:rPr>
          <w:i/>
        </w:rPr>
        <w:tab/>
      </w:r>
      <w:r w:rsidRPr="00564B9D">
        <w:rPr>
          <w:rFonts w:hint="cs"/>
          <w:iCs/>
          <w:rtl/>
        </w:rPr>
        <w:t>الصفحة</w:t>
      </w:r>
      <w:r w:rsidRPr="00564B9D">
        <w:fldChar w:fldCharType="begin"/>
      </w:r>
      <w:r w:rsidRPr="00564B9D">
        <w:instrText xml:space="preserve"> TOC \o "1-3" \h \z \t "_ H _Ch_GA;4;_ H_1_GA;5" </w:instrText>
      </w:r>
      <w:r w:rsidRPr="00564B9D">
        <w:fldChar w:fldCharType="separate"/>
      </w:r>
    </w:p>
    <w:p w14:paraId="12B6D586" w14:textId="79E37E7A" w:rsidR="000F66B4" w:rsidRPr="00564B9D" w:rsidRDefault="000F66B4" w:rsidP="000F66B4">
      <w:pPr>
        <w:pStyle w:val="TOC4"/>
        <w:rPr>
          <w:sz w:val="22"/>
          <w:szCs w:val="22"/>
          <w:rtl/>
          <w:lang w:val="en-US" w:eastAsia="zh-CN"/>
        </w:rPr>
      </w:pPr>
      <w:r w:rsidRPr="00564B9D">
        <w:rPr>
          <w:rStyle w:val="Hyperlink"/>
          <w:color w:val="auto"/>
          <w:rtl/>
        </w:rPr>
        <w:tab/>
      </w:r>
      <w:r w:rsidRPr="00564B9D">
        <w:rPr>
          <w:rStyle w:val="Hyperlink"/>
          <w:color w:val="auto"/>
          <w:rtl/>
        </w:rPr>
        <w:tab/>
      </w:r>
      <w:r w:rsidRPr="00564B9D">
        <w:rPr>
          <w:rStyle w:val="Hyperlink"/>
          <w:color w:val="auto"/>
          <w:rtl/>
        </w:rPr>
        <w:tab/>
      </w:r>
      <w:hyperlink w:anchor="_Toc123044851" w:history="1">
        <w:r w:rsidRPr="00564B9D">
          <w:rPr>
            <w:rStyle w:val="Hyperlink"/>
            <w:color w:val="auto"/>
            <w:rtl/>
          </w:rPr>
          <w:t>مقدمة</w:t>
        </w:r>
        <w:r w:rsidRPr="00564B9D">
          <w:rPr>
            <w:webHidden/>
            <w:rtl/>
          </w:rPr>
          <w:tab/>
        </w:r>
        <w:r w:rsidRPr="00564B9D">
          <w:rPr>
            <w:rStyle w:val="Hyperlink"/>
            <w:color w:val="auto"/>
            <w:rtl/>
          </w:rPr>
          <w:tab/>
        </w:r>
        <w:r w:rsidRPr="00564B9D">
          <w:rPr>
            <w:rStyle w:val="Hyperlink"/>
            <w:color w:val="auto"/>
            <w:rtl/>
          </w:rPr>
          <w:fldChar w:fldCharType="begin"/>
        </w:r>
        <w:r w:rsidRPr="00564B9D">
          <w:rPr>
            <w:webHidden/>
            <w:rtl/>
          </w:rPr>
          <w:instrText xml:space="preserve"> </w:instrText>
        </w:r>
        <w:r w:rsidRPr="00564B9D">
          <w:rPr>
            <w:webHidden/>
          </w:rPr>
          <w:instrText>PAGEREF</w:instrText>
        </w:r>
        <w:r w:rsidRPr="00564B9D">
          <w:rPr>
            <w:webHidden/>
            <w:rtl/>
          </w:rPr>
          <w:instrText xml:space="preserve"> _</w:instrText>
        </w:r>
        <w:r w:rsidRPr="00564B9D">
          <w:rPr>
            <w:webHidden/>
          </w:rPr>
          <w:instrText>Toc123044851 \h</w:instrText>
        </w:r>
        <w:r w:rsidRPr="00564B9D">
          <w:rPr>
            <w:webHidden/>
            <w:rtl/>
          </w:rPr>
          <w:instrText xml:space="preserve"> </w:instrText>
        </w:r>
        <w:r w:rsidRPr="00564B9D">
          <w:rPr>
            <w:rStyle w:val="Hyperlink"/>
            <w:color w:val="auto"/>
            <w:rtl/>
          </w:rPr>
        </w:r>
        <w:r w:rsidRPr="00564B9D">
          <w:rPr>
            <w:rStyle w:val="Hyperlink"/>
            <w:color w:val="auto"/>
            <w:rtl/>
          </w:rPr>
          <w:fldChar w:fldCharType="separate"/>
        </w:r>
        <w:r w:rsidR="00020ED2">
          <w:rPr>
            <w:webHidden/>
            <w:rtl/>
          </w:rPr>
          <w:t>6</w:t>
        </w:r>
        <w:r w:rsidRPr="00564B9D">
          <w:rPr>
            <w:rStyle w:val="Hyperlink"/>
            <w:color w:val="auto"/>
            <w:rtl/>
          </w:rPr>
          <w:fldChar w:fldCharType="end"/>
        </w:r>
      </w:hyperlink>
    </w:p>
    <w:p w14:paraId="0B2A2351" w14:textId="6C20C6A2"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852" w:history="1">
        <w:r w:rsidRPr="00564B9D">
          <w:rPr>
            <w:b/>
            <w:bCs/>
            <w:rtl/>
          </w:rPr>
          <w:t>المملكة المتحدة</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Toc123044852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6</w:t>
        </w:r>
        <w:r w:rsidRPr="00564B9D">
          <w:rPr>
            <w:b/>
            <w:bCs/>
            <w:rtl/>
          </w:rPr>
          <w:fldChar w:fldCharType="end"/>
        </w:r>
      </w:hyperlink>
    </w:p>
    <w:p w14:paraId="6A997F4A" w14:textId="4CEB8702" w:rsidR="000F66B4" w:rsidRPr="00564B9D" w:rsidRDefault="00893651" w:rsidP="000F66B4">
      <w:pPr>
        <w:pStyle w:val="TOC4"/>
        <w:rPr>
          <w:sz w:val="22"/>
          <w:szCs w:val="22"/>
          <w:rtl/>
          <w:lang w:val="en-US" w:eastAsia="zh-CN"/>
        </w:rPr>
      </w:pPr>
      <w:hyperlink w:anchor="_Toc123044853"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 عن الدولة مقدمة التقرير</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Toc123044853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w:t>
        </w:r>
        <w:r w:rsidR="000F66B4" w:rsidRPr="00564B9D">
          <w:rPr>
            <w:rStyle w:val="Hyperlink"/>
            <w:color w:val="auto"/>
            <w:rtl/>
          </w:rPr>
          <w:fldChar w:fldCharType="end"/>
        </w:r>
      </w:hyperlink>
    </w:p>
    <w:p w14:paraId="1DB521D0" w14:textId="65B1DBFD" w:rsidR="000F66B4" w:rsidRPr="00564B9D" w:rsidRDefault="00893651">
      <w:pPr>
        <w:pStyle w:val="TOC5"/>
        <w:rPr>
          <w:sz w:val="22"/>
          <w:szCs w:val="22"/>
          <w:rtl/>
          <w:lang w:val="en-US" w:eastAsia="zh-CN"/>
        </w:rPr>
      </w:pPr>
      <w:hyperlink w:anchor="_Toc123044854"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 للدولة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Toc123044854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w:t>
        </w:r>
        <w:r w:rsidR="000F66B4" w:rsidRPr="00564B9D">
          <w:rPr>
            <w:rStyle w:val="Hyperlink"/>
            <w:color w:val="auto"/>
            <w:rtl/>
          </w:rPr>
          <w:fldChar w:fldCharType="end"/>
        </w:r>
      </w:hyperlink>
    </w:p>
    <w:p w14:paraId="48DED991" w14:textId="1558B077" w:rsidR="000F66B4" w:rsidRPr="00564B9D" w:rsidRDefault="00893651">
      <w:pPr>
        <w:pStyle w:val="TOC5"/>
        <w:rPr>
          <w:sz w:val="22"/>
          <w:szCs w:val="22"/>
          <w:rtl/>
          <w:lang w:val="en-US" w:eastAsia="zh-CN"/>
        </w:rPr>
      </w:pPr>
      <w:hyperlink w:anchor="_Toc123044855"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 للدولة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Toc123044855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24</w:t>
        </w:r>
        <w:r w:rsidR="000F66B4" w:rsidRPr="00564B9D">
          <w:rPr>
            <w:rStyle w:val="Hyperlink"/>
            <w:color w:val="auto"/>
            <w:rtl/>
          </w:rPr>
          <w:fldChar w:fldCharType="end"/>
        </w:r>
      </w:hyperlink>
    </w:p>
    <w:p w14:paraId="284D6193" w14:textId="0D3D642F" w:rsidR="000F66B4" w:rsidRPr="00564B9D" w:rsidRDefault="00893651" w:rsidP="000F66B4">
      <w:pPr>
        <w:pStyle w:val="TOC4"/>
        <w:rPr>
          <w:sz w:val="22"/>
          <w:szCs w:val="22"/>
          <w:rtl/>
          <w:lang w:val="en-US" w:eastAsia="zh-CN"/>
        </w:rPr>
      </w:pPr>
      <w:hyperlink w:anchor="_Toc123044856"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Toc123044856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29</w:t>
        </w:r>
        <w:r w:rsidR="000F66B4" w:rsidRPr="00564B9D">
          <w:rPr>
            <w:rStyle w:val="Hyperlink"/>
            <w:color w:val="auto"/>
            <w:rtl/>
          </w:rPr>
          <w:fldChar w:fldCharType="end"/>
        </w:r>
      </w:hyperlink>
    </w:p>
    <w:p w14:paraId="3BA50C56" w14:textId="33D43988" w:rsidR="000F66B4" w:rsidRPr="00564B9D" w:rsidRDefault="00893651">
      <w:pPr>
        <w:pStyle w:val="TOC5"/>
        <w:rPr>
          <w:sz w:val="22"/>
          <w:szCs w:val="22"/>
          <w:rtl/>
          <w:lang w:val="en-US" w:eastAsia="zh-CN"/>
        </w:rPr>
      </w:pPr>
      <w:hyperlink w:anchor="_Toc123044857"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Toc123044857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29</w:t>
        </w:r>
        <w:r w:rsidR="000F66B4" w:rsidRPr="00564B9D">
          <w:rPr>
            <w:rStyle w:val="Hyperlink"/>
            <w:color w:val="auto"/>
            <w:rtl/>
          </w:rPr>
          <w:fldChar w:fldCharType="end"/>
        </w:r>
      </w:hyperlink>
    </w:p>
    <w:p w14:paraId="45D7011B" w14:textId="4CBFE5A0" w:rsidR="000F66B4" w:rsidRPr="00564B9D" w:rsidRDefault="00893651">
      <w:pPr>
        <w:pStyle w:val="TOC5"/>
        <w:rPr>
          <w:sz w:val="22"/>
          <w:szCs w:val="22"/>
          <w:rtl/>
          <w:lang w:val="en-US" w:eastAsia="zh-CN"/>
        </w:rPr>
      </w:pPr>
      <w:hyperlink w:anchor="_Toc123044858"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vertAlign w:val="superscript"/>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Toc123044858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31</w:t>
        </w:r>
        <w:r w:rsidR="000F66B4" w:rsidRPr="00564B9D">
          <w:rPr>
            <w:rStyle w:val="Hyperlink"/>
            <w:color w:val="auto"/>
            <w:rtl/>
          </w:rPr>
          <w:fldChar w:fldCharType="end"/>
        </w:r>
      </w:hyperlink>
    </w:p>
    <w:p w14:paraId="645235AF" w14:textId="3A1038D9" w:rsidR="000F66B4" w:rsidRPr="00564B9D" w:rsidRDefault="00893651">
      <w:pPr>
        <w:pStyle w:val="TOC5"/>
        <w:rPr>
          <w:sz w:val="22"/>
          <w:szCs w:val="22"/>
          <w:rtl/>
          <w:lang w:val="en-US" w:eastAsia="zh-CN"/>
        </w:rPr>
      </w:pPr>
      <w:hyperlink w:anchor="_Toc123044859"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Toc123044859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33</w:t>
        </w:r>
        <w:r w:rsidR="000F66B4" w:rsidRPr="00564B9D">
          <w:rPr>
            <w:rStyle w:val="Hyperlink"/>
            <w:color w:val="auto"/>
            <w:rtl/>
          </w:rPr>
          <w:fldChar w:fldCharType="end"/>
        </w:r>
      </w:hyperlink>
    </w:p>
    <w:p w14:paraId="40E2625A" w14:textId="100E2620" w:rsidR="000F66B4" w:rsidRPr="00564B9D" w:rsidRDefault="00893651">
      <w:pPr>
        <w:pStyle w:val="TOC5"/>
        <w:rPr>
          <w:sz w:val="22"/>
          <w:szCs w:val="22"/>
          <w:rtl/>
          <w:lang w:val="en-US" w:eastAsia="zh-CN"/>
        </w:rPr>
      </w:pPr>
      <w:hyperlink w:anchor="_Toc123044860" w:history="1">
        <w:r w:rsidR="000F66B4" w:rsidRPr="00564B9D">
          <w:rPr>
            <w:rStyle w:val="Hyperlink"/>
            <w:color w:val="auto"/>
            <w:rtl/>
          </w:rPr>
          <w:t>دال</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عملية رفع التقارير إلى الأمم المتحدة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35</w:t>
        </w:r>
        <w:r w:rsidR="000F66B4" w:rsidRPr="00564B9D">
          <w:rPr>
            <w:rStyle w:val="Hyperlink"/>
            <w:color w:val="auto"/>
            <w:rtl/>
          </w:rPr>
          <w:fldChar w:fldCharType="end"/>
        </w:r>
      </w:hyperlink>
    </w:p>
    <w:p w14:paraId="47E3E020" w14:textId="6E87061A" w:rsidR="000F66B4" w:rsidRPr="00564B9D" w:rsidRDefault="00893651" w:rsidP="000F66B4">
      <w:pPr>
        <w:pStyle w:val="TOC4"/>
        <w:rPr>
          <w:rStyle w:val="Hyperlink"/>
          <w:color w:val="auto"/>
          <w:rtl/>
        </w:rPr>
      </w:pPr>
      <w:hyperlink w:anchor="_Toc123044861"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36</w:t>
        </w:r>
        <w:r w:rsidR="000F66B4" w:rsidRPr="00564B9D">
          <w:rPr>
            <w:rStyle w:val="Hyperlink"/>
            <w:color w:val="auto"/>
            <w:rtl/>
          </w:rPr>
          <w:fldChar w:fldCharType="end"/>
        </w:r>
      </w:hyperlink>
    </w:p>
    <w:p w14:paraId="6C3169DE" w14:textId="77777777" w:rsidR="00020ED2" w:rsidRPr="00020ED2" w:rsidRDefault="004A0DA9" w:rsidP="00020ED2">
      <w:pPr>
        <w:pStyle w:val="TOC4"/>
        <w:spacing w:before="240"/>
        <w:rPr>
          <w:b/>
          <w:bCs/>
          <w:rtl/>
        </w:rPr>
      </w:pPr>
      <w:r w:rsidRPr="00564B9D">
        <w:rPr>
          <w:b/>
          <w:bCs/>
          <w:rtl/>
        </w:rPr>
        <w:tab/>
      </w:r>
      <w:r w:rsidRPr="00564B9D">
        <w:rPr>
          <w:b/>
          <w:bCs/>
          <w:rtl/>
        </w:rPr>
        <w:fldChar w:fldCharType="begin"/>
      </w:r>
      <w:r w:rsidRPr="00564B9D">
        <w:rPr>
          <w:b/>
          <w:bCs/>
          <w:rtl/>
        </w:rPr>
        <w:instrText xml:space="preserve"> </w:instrText>
      </w:r>
      <w:r w:rsidRPr="00564B9D">
        <w:rPr>
          <w:b/>
          <w:bCs/>
        </w:rPr>
        <w:instrText>REF</w:instrText>
      </w:r>
      <w:r w:rsidRPr="00564B9D">
        <w:rPr>
          <w:b/>
          <w:bCs/>
          <w:rtl/>
        </w:rPr>
        <w:instrText xml:space="preserve"> </w:instrText>
      </w:r>
      <w:r w:rsidRPr="00564B9D">
        <w:rPr>
          <w:b/>
          <w:bCs/>
        </w:rPr>
        <w:instrText>British \h</w:instrText>
      </w:r>
      <w:r w:rsidRPr="00564B9D">
        <w:rPr>
          <w:b/>
          <w:bCs/>
          <w:rtl/>
        </w:rPr>
        <w:instrText xml:space="preserve">  \* </w:instrText>
      </w:r>
      <w:r w:rsidRPr="00564B9D">
        <w:rPr>
          <w:b/>
          <w:bCs/>
        </w:rPr>
        <w:instrText>MERGEFORMAT</w:instrText>
      </w:r>
      <w:r w:rsidRPr="00564B9D">
        <w:rPr>
          <w:b/>
          <w:bCs/>
          <w:rtl/>
        </w:rPr>
        <w:instrText xml:space="preserve"> </w:instrText>
      </w:r>
      <w:r w:rsidRPr="00564B9D">
        <w:rPr>
          <w:b/>
          <w:bCs/>
          <w:rtl/>
        </w:rPr>
      </w:r>
      <w:r w:rsidRPr="00564B9D">
        <w:rPr>
          <w:b/>
          <w:bCs/>
          <w:rtl/>
        </w:rPr>
        <w:fldChar w:fldCharType="separate"/>
      </w:r>
      <w:r w:rsidR="00020ED2" w:rsidRPr="00020ED2">
        <w:rPr>
          <w:b/>
          <w:bCs/>
          <w:rtl/>
        </w:rPr>
        <w:tab/>
      </w:r>
      <w:r w:rsidR="00020ED2" w:rsidRPr="00020ED2">
        <w:rPr>
          <w:b/>
          <w:bCs/>
          <w:rtl/>
        </w:rPr>
        <w:tab/>
      </w:r>
      <w:r w:rsidR="00020ED2" w:rsidRPr="00020ED2">
        <w:rPr>
          <w:rFonts w:hint="cs"/>
          <w:b/>
          <w:bCs/>
          <w:rtl/>
        </w:rPr>
        <w:t>الأقاليم البريطانية فيما وراء البحار</w:t>
      </w:r>
    </w:p>
    <w:p w14:paraId="0C1A05C4" w14:textId="0781DB0E" w:rsidR="000F66B4" w:rsidRPr="00564B9D" w:rsidRDefault="004A0DA9" w:rsidP="004A0DA9">
      <w:pPr>
        <w:pStyle w:val="TOC4"/>
        <w:spacing w:before="240"/>
        <w:rPr>
          <w:b/>
          <w:bCs/>
          <w:rtl/>
        </w:rPr>
      </w:pPr>
      <w:r w:rsidRPr="00564B9D">
        <w:rPr>
          <w:b/>
          <w:bCs/>
          <w:rtl/>
        </w:rPr>
        <w:fldChar w:fldCharType="end"/>
      </w:r>
      <w:r w:rsidR="000F66B4" w:rsidRPr="00564B9D">
        <w:rPr>
          <w:b/>
          <w:bCs/>
          <w:rtl/>
        </w:rPr>
        <w:tab/>
      </w:r>
      <w:r w:rsidR="000F66B4" w:rsidRPr="00564B9D">
        <w:rPr>
          <w:b/>
          <w:bCs/>
          <w:rtl/>
        </w:rPr>
        <w:tab/>
      </w:r>
      <w:r w:rsidR="000F66B4" w:rsidRPr="00564B9D">
        <w:rPr>
          <w:b/>
          <w:bCs/>
          <w:rtl/>
        </w:rPr>
        <w:tab/>
      </w:r>
      <w:hyperlink w:anchor="_Toc123044862" w:history="1">
        <w:r w:rsidR="000F66B4" w:rsidRPr="00564B9D">
          <w:rPr>
            <w:b/>
            <w:bCs/>
            <w:rtl/>
          </w:rPr>
          <w:t>أنغيلا</w:t>
        </w:r>
        <w:r w:rsidR="000F66B4" w:rsidRPr="00564B9D">
          <w:rPr>
            <w:b/>
            <w:bCs/>
            <w:webHidden/>
            <w:rtl/>
          </w:rPr>
          <w:tab/>
        </w:r>
        <w:r w:rsidR="000F66B4" w:rsidRPr="00564B9D">
          <w:rPr>
            <w:b/>
            <w:bCs/>
            <w:rtl/>
          </w:rPr>
          <w:tab/>
        </w:r>
        <w:r w:rsidR="000F66B4" w:rsidRPr="00564B9D">
          <w:rPr>
            <w:b/>
            <w:bCs/>
            <w:rtl/>
          </w:rPr>
          <w:fldChar w:fldCharType="begin"/>
        </w:r>
        <w:r w:rsidR="000F66B4" w:rsidRPr="00564B9D">
          <w:rPr>
            <w:b/>
            <w:bCs/>
            <w:webHidden/>
            <w:rtl/>
          </w:rPr>
          <w:instrText xml:space="preserve"> </w:instrText>
        </w:r>
        <w:r w:rsidR="000F66B4" w:rsidRPr="00564B9D">
          <w:rPr>
            <w:b/>
            <w:bCs/>
            <w:webHidden/>
          </w:rPr>
          <w:instrText>PAGEREF</w:instrText>
        </w:r>
        <w:r w:rsidR="000F66B4" w:rsidRPr="00564B9D">
          <w:rPr>
            <w:b/>
            <w:bCs/>
            <w:webHidden/>
            <w:rtl/>
          </w:rPr>
          <w:instrText xml:space="preserve"> _</w:instrText>
        </w:r>
        <w:r w:rsidR="000F66B4" w:rsidRPr="00564B9D">
          <w:rPr>
            <w:b/>
            <w:bCs/>
            <w:webHidden/>
          </w:rPr>
          <w:instrText>Toc123044862 \h</w:instrText>
        </w:r>
        <w:r w:rsidR="000F66B4" w:rsidRPr="00564B9D">
          <w:rPr>
            <w:b/>
            <w:bCs/>
            <w:webHidden/>
            <w:rtl/>
          </w:rPr>
          <w:instrText xml:space="preserve"> </w:instrText>
        </w:r>
        <w:r w:rsidR="000F66B4" w:rsidRPr="00564B9D">
          <w:rPr>
            <w:b/>
            <w:bCs/>
            <w:rtl/>
          </w:rPr>
        </w:r>
        <w:r w:rsidR="000F66B4" w:rsidRPr="00564B9D">
          <w:rPr>
            <w:b/>
            <w:bCs/>
            <w:rtl/>
          </w:rPr>
          <w:fldChar w:fldCharType="separate"/>
        </w:r>
        <w:r w:rsidR="00020ED2">
          <w:rPr>
            <w:b/>
            <w:bCs/>
            <w:webHidden/>
            <w:rtl/>
          </w:rPr>
          <w:t>38</w:t>
        </w:r>
        <w:r w:rsidR="000F66B4" w:rsidRPr="00564B9D">
          <w:rPr>
            <w:b/>
            <w:bCs/>
            <w:rtl/>
          </w:rPr>
          <w:fldChar w:fldCharType="end"/>
        </w:r>
      </w:hyperlink>
    </w:p>
    <w:p w14:paraId="5D5BF762" w14:textId="4B5A2A61" w:rsidR="000F66B4" w:rsidRPr="00564B9D" w:rsidRDefault="00893651" w:rsidP="000F66B4">
      <w:pPr>
        <w:pStyle w:val="TOC4"/>
        <w:rPr>
          <w:sz w:val="22"/>
          <w:szCs w:val="22"/>
          <w:rtl/>
          <w:lang w:val="en-US" w:eastAsia="zh-CN"/>
        </w:rPr>
      </w:pPr>
      <w:hyperlink w:anchor="_Toc123044863"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38</w:t>
        </w:r>
        <w:r w:rsidR="000F66B4" w:rsidRPr="00564B9D">
          <w:rPr>
            <w:rStyle w:val="Hyperlink"/>
            <w:color w:val="auto"/>
            <w:rtl/>
          </w:rPr>
          <w:fldChar w:fldCharType="end"/>
        </w:r>
      </w:hyperlink>
    </w:p>
    <w:p w14:paraId="2C2E59DF" w14:textId="168A360B" w:rsidR="000F66B4" w:rsidRPr="00564B9D" w:rsidRDefault="00893651">
      <w:pPr>
        <w:pStyle w:val="TOC5"/>
        <w:rPr>
          <w:sz w:val="22"/>
          <w:szCs w:val="22"/>
          <w:rtl/>
          <w:lang w:val="en-US" w:eastAsia="zh-CN"/>
        </w:rPr>
      </w:pPr>
      <w:hyperlink w:anchor="_Toc123044864"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vertAlign w:val="superscript"/>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38</w:t>
        </w:r>
        <w:r w:rsidR="000F66B4" w:rsidRPr="00564B9D">
          <w:rPr>
            <w:rStyle w:val="Hyperlink"/>
            <w:color w:val="auto"/>
            <w:rtl/>
          </w:rPr>
          <w:fldChar w:fldCharType="end"/>
        </w:r>
      </w:hyperlink>
    </w:p>
    <w:p w14:paraId="093A8FBD" w14:textId="1788E7A6" w:rsidR="000F66B4" w:rsidRPr="00564B9D" w:rsidRDefault="00893651">
      <w:pPr>
        <w:pStyle w:val="TOC5"/>
        <w:rPr>
          <w:sz w:val="22"/>
          <w:szCs w:val="22"/>
          <w:rtl/>
          <w:lang w:val="en-US" w:eastAsia="zh-CN"/>
        </w:rPr>
      </w:pPr>
      <w:hyperlink w:anchor="_Toc123044865"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41</w:t>
        </w:r>
        <w:r w:rsidR="000F66B4" w:rsidRPr="00564B9D">
          <w:rPr>
            <w:rStyle w:val="Hyperlink"/>
            <w:color w:val="auto"/>
            <w:rtl/>
          </w:rPr>
          <w:fldChar w:fldCharType="end"/>
        </w:r>
      </w:hyperlink>
    </w:p>
    <w:p w14:paraId="26A90354" w14:textId="72BF83E9" w:rsidR="000F66B4" w:rsidRPr="00564B9D" w:rsidRDefault="00893651" w:rsidP="000F66B4">
      <w:pPr>
        <w:pStyle w:val="TOC4"/>
        <w:rPr>
          <w:sz w:val="22"/>
          <w:szCs w:val="22"/>
          <w:rtl/>
          <w:lang w:val="en-US" w:eastAsia="zh-CN"/>
        </w:rPr>
      </w:pPr>
      <w:hyperlink w:anchor="_Toc123044866"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41</w:t>
        </w:r>
        <w:r w:rsidR="000F66B4" w:rsidRPr="00564B9D">
          <w:rPr>
            <w:rStyle w:val="Hyperlink"/>
            <w:color w:val="auto"/>
            <w:rtl/>
          </w:rPr>
          <w:fldChar w:fldCharType="end"/>
        </w:r>
      </w:hyperlink>
    </w:p>
    <w:p w14:paraId="3CF173CD" w14:textId="4F8EC8CA" w:rsidR="000F66B4" w:rsidRPr="00564B9D" w:rsidRDefault="00893651">
      <w:pPr>
        <w:pStyle w:val="TOC5"/>
        <w:rPr>
          <w:sz w:val="22"/>
          <w:szCs w:val="22"/>
          <w:rtl/>
          <w:lang w:val="en-US" w:eastAsia="zh-CN"/>
        </w:rPr>
      </w:pPr>
      <w:hyperlink w:anchor="_Toc123044867"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41</w:t>
        </w:r>
        <w:r w:rsidR="000F66B4" w:rsidRPr="00564B9D">
          <w:rPr>
            <w:rStyle w:val="Hyperlink"/>
            <w:color w:val="auto"/>
            <w:rtl/>
          </w:rPr>
          <w:fldChar w:fldCharType="end"/>
        </w:r>
      </w:hyperlink>
    </w:p>
    <w:p w14:paraId="15F4417D" w14:textId="77E35579" w:rsidR="000F66B4" w:rsidRPr="00564B9D" w:rsidRDefault="00893651">
      <w:pPr>
        <w:pStyle w:val="TOC5"/>
        <w:rPr>
          <w:sz w:val="22"/>
          <w:szCs w:val="22"/>
          <w:rtl/>
          <w:lang w:val="en-US" w:eastAsia="zh-CN"/>
        </w:rPr>
      </w:pPr>
      <w:hyperlink w:anchor="_Toc123044868"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42</w:t>
        </w:r>
        <w:r w:rsidR="000F66B4" w:rsidRPr="00564B9D">
          <w:rPr>
            <w:rStyle w:val="Hyperlink"/>
            <w:color w:val="auto"/>
            <w:rtl/>
          </w:rPr>
          <w:fldChar w:fldCharType="end"/>
        </w:r>
      </w:hyperlink>
    </w:p>
    <w:p w14:paraId="56810CDC" w14:textId="74EF819C" w:rsidR="000F66B4" w:rsidRPr="00564B9D" w:rsidRDefault="00893651">
      <w:pPr>
        <w:pStyle w:val="TOC5"/>
        <w:rPr>
          <w:sz w:val="22"/>
          <w:szCs w:val="22"/>
          <w:rtl/>
          <w:lang w:val="en-US" w:eastAsia="zh-CN"/>
        </w:rPr>
      </w:pPr>
      <w:hyperlink w:anchor="_Toc123044869"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Toc123044869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42</w:t>
        </w:r>
        <w:r w:rsidR="000F66B4" w:rsidRPr="00564B9D">
          <w:rPr>
            <w:rStyle w:val="Hyperlink"/>
            <w:color w:val="auto"/>
            <w:rtl/>
          </w:rPr>
          <w:fldChar w:fldCharType="end"/>
        </w:r>
      </w:hyperlink>
    </w:p>
    <w:p w14:paraId="2FD73375" w14:textId="3CDAC41F" w:rsidR="000F66B4" w:rsidRPr="00564B9D" w:rsidRDefault="00893651" w:rsidP="000F66B4">
      <w:pPr>
        <w:pStyle w:val="TOC4"/>
        <w:rPr>
          <w:sz w:val="22"/>
          <w:szCs w:val="22"/>
          <w:rtl/>
          <w:lang w:val="en-US" w:eastAsia="zh-CN"/>
        </w:rPr>
      </w:pPr>
      <w:hyperlink w:anchor="_Toc123044870"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42</w:t>
        </w:r>
        <w:r w:rsidR="000F66B4" w:rsidRPr="00564B9D">
          <w:rPr>
            <w:rStyle w:val="Hyperlink"/>
            <w:color w:val="auto"/>
            <w:rtl/>
          </w:rPr>
          <w:fldChar w:fldCharType="end"/>
        </w:r>
      </w:hyperlink>
    </w:p>
    <w:p w14:paraId="6DDDD9AE" w14:textId="11084F3F"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871" w:history="1">
        <w:r w:rsidRPr="00564B9D">
          <w:rPr>
            <w:b/>
            <w:bCs/>
            <w:rtl/>
          </w:rPr>
          <w:t>برمودا</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Toc123044871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43</w:t>
        </w:r>
        <w:r w:rsidRPr="00564B9D">
          <w:rPr>
            <w:b/>
            <w:bCs/>
            <w:rtl/>
          </w:rPr>
          <w:fldChar w:fldCharType="end"/>
        </w:r>
      </w:hyperlink>
    </w:p>
    <w:p w14:paraId="72F4E1AB" w14:textId="31FD126D" w:rsidR="000F66B4" w:rsidRPr="00564B9D" w:rsidRDefault="00893651" w:rsidP="000F66B4">
      <w:pPr>
        <w:pStyle w:val="TOC4"/>
        <w:rPr>
          <w:sz w:val="22"/>
          <w:szCs w:val="22"/>
          <w:rtl/>
          <w:lang w:val="en-US" w:eastAsia="zh-CN"/>
        </w:rPr>
      </w:pPr>
      <w:hyperlink w:anchor="_Toc123044872"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43</w:t>
        </w:r>
        <w:r w:rsidR="000F66B4" w:rsidRPr="00564B9D">
          <w:rPr>
            <w:rStyle w:val="Hyperlink"/>
            <w:color w:val="auto"/>
            <w:rtl/>
          </w:rPr>
          <w:fldChar w:fldCharType="end"/>
        </w:r>
      </w:hyperlink>
    </w:p>
    <w:p w14:paraId="378247E5" w14:textId="4E1EEA51" w:rsidR="000F66B4" w:rsidRPr="00564B9D" w:rsidRDefault="00893651">
      <w:pPr>
        <w:pStyle w:val="TOC5"/>
        <w:rPr>
          <w:sz w:val="22"/>
          <w:szCs w:val="22"/>
          <w:rtl/>
          <w:lang w:val="en-US" w:eastAsia="zh-CN"/>
        </w:rPr>
      </w:pPr>
      <w:hyperlink w:anchor="_Toc123044873"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43</w:t>
        </w:r>
        <w:r w:rsidR="000F66B4" w:rsidRPr="00564B9D">
          <w:rPr>
            <w:rStyle w:val="Hyperlink"/>
            <w:color w:val="auto"/>
            <w:rtl/>
          </w:rPr>
          <w:fldChar w:fldCharType="end"/>
        </w:r>
      </w:hyperlink>
    </w:p>
    <w:p w14:paraId="1C0CEFE4" w14:textId="669892B2" w:rsidR="000F66B4" w:rsidRPr="00564B9D" w:rsidRDefault="00893651">
      <w:pPr>
        <w:pStyle w:val="TOC5"/>
        <w:rPr>
          <w:sz w:val="22"/>
          <w:szCs w:val="22"/>
          <w:rtl/>
          <w:lang w:val="en-US" w:eastAsia="zh-CN"/>
        </w:rPr>
      </w:pPr>
      <w:hyperlink w:anchor="_Toc123044874"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47</w:t>
        </w:r>
        <w:r w:rsidR="000F66B4" w:rsidRPr="00564B9D">
          <w:rPr>
            <w:rStyle w:val="Hyperlink"/>
            <w:color w:val="auto"/>
            <w:rtl/>
          </w:rPr>
          <w:fldChar w:fldCharType="end"/>
        </w:r>
      </w:hyperlink>
    </w:p>
    <w:p w14:paraId="375BAD2F" w14:textId="7642130A" w:rsidR="000F66B4" w:rsidRPr="00564B9D" w:rsidRDefault="00893651" w:rsidP="000F66B4">
      <w:pPr>
        <w:pStyle w:val="TOC4"/>
        <w:rPr>
          <w:sz w:val="22"/>
          <w:szCs w:val="22"/>
          <w:rtl/>
          <w:lang w:val="en-US" w:eastAsia="zh-CN"/>
        </w:rPr>
      </w:pPr>
      <w:hyperlink w:anchor="_Toc123044875"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48</w:t>
        </w:r>
        <w:r w:rsidR="000F66B4" w:rsidRPr="00564B9D">
          <w:rPr>
            <w:rStyle w:val="Hyperlink"/>
            <w:color w:val="auto"/>
            <w:rtl/>
          </w:rPr>
          <w:fldChar w:fldCharType="end"/>
        </w:r>
      </w:hyperlink>
    </w:p>
    <w:p w14:paraId="530FB61F" w14:textId="65B44B98" w:rsidR="000F66B4" w:rsidRPr="00564B9D" w:rsidRDefault="00893651">
      <w:pPr>
        <w:pStyle w:val="TOC5"/>
        <w:rPr>
          <w:sz w:val="22"/>
          <w:szCs w:val="22"/>
          <w:rtl/>
          <w:lang w:val="en-US" w:eastAsia="zh-CN"/>
        </w:rPr>
      </w:pPr>
      <w:hyperlink w:anchor="_Toc123044876"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48</w:t>
        </w:r>
        <w:r w:rsidR="000F66B4" w:rsidRPr="00564B9D">
          <w:rPr>
            <w:rStyle w:val="Hyperlink"/>
            <w:color w:val="auto"/>
            <w:rtl/>
          </w:rPr>
          <w:fldChar w:fldCharType="end"/>
        </w:r>
      </w:hyperlink>
    </w:p>
    <w:p w14:paraId="1CCA9922" w14:textId="2CB786E8" w:rsidR="000F66B4" w:rsidRPr="00564B9D" w:rsidRDefault="00893651">
      <w:pPr>
        <w:pStyle w:val="TOC5"/>
        <w:rPr>
          <w:sz w:val="22"/>
          <w:szCs w:val="22"/>
          <w:rtl/>
          <w:lang w:val="en-US" w:eastAsia="zh-CN"/>
        </w:rPr>
      </w:pPr>
      <w:hyperlink w:anchor="_Toc123044877"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49</w:t>
        </w:r>
        <w:r w:rsidR="000F66B4" w:rsidRPr="00564B9D">
          <w:rPr>
            <w:rStyle w:val="Hyperlink"/>
            <w:color w:val="auto"/>
            <w:rtl/>
          </w:rPr>
          <w:fldChar w:fldCharType="end"/>
        </w:r>
      </w:hyperlink>
    </w:p>
    <w:p w14:paraId="236166F9" w14:textId="1DFB13EA" w:rsidR="000F66B4" w:rsidRPr="00564B9D" w:rsidRDefault="00893651">
      <w:pPr>
        <w:pStyle w:val="TOC5"/>
        <w:rPr>
          <w:sz w:val="22"/>
          <w:szCs w:val="22"/>
          <w:rtl/>
          <w:lang w:val="en-US" w:eastAsia="zh-CN"/>
        </w:rPr>
      </w:pPr>
      <w:hyperlink w:anchor="_Toc123044878"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49</w:t>
        </w:r>
        <w:r w:rsidR="000F66B4" w:rsidRPr="00564B9D">
          <w:rPr>
            <w:rStyle w:val="Hyperlink"/>
            <w:color w:val="auto"/>
            <w:rtl/>
          </w:rPr>
          <w:fldChar w:fldCharType="end"/>
        </w:r>
      </w:hyperlink>
    </w:p>
    <w:p w14:paraId="6AB82C15" w14:textId="28EB0C80" w:rsidR="000F66B4" w:rsidRPr="00564B9D" w:rsidRDefault="00893651" w:rsidP="000F66B4">
      <w:pPr>
        <w:pStyle w:val="TOC4"/>
        <w:rPr>
          <w:sz w:val="22"/>
          <w:szCs w:val="22"/>
          <w:rtl/>
          <w:lang w:val="en-US" w:eastAsia="zh-CN"/>
        </w:rPr>
      </w:pPr>
      <w:hyperlink w:anchor="_Toc123044879"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Toc123044879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49</w:t>
        </w:r>
        <w:r w:rsidR="000F66B4" w:rsidRPr="00564B9D">
          <w:rPr>
            <w:rStyle w:val="Hyperlink"/>
            <w:color w:val="auto"/>
            <w:rtl/>
          </w:rPr>
          <w:fldChar w:fldCharType="end"/>
        </w:r>
      </w:hyperlink>
    </w:p>
    <w:p w14:paraId="3680025D" w14:textId="53918C90"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880" w:history="1">
        <w:r w:rsidRPr="00564B9D">
          <w:rPr>
            <w:b/>
            <w:bCs/>
            <w:rtl/>
          </w:rPr>
          <w:t>جزر كايمان</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Toc123044880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50</w:t>
        </w:r>
        <w:r w:rsidRPr="00564B9D">
          <w:rPr>
            <w:b/>
            <w:bCs/>
            <w:rtl/>
          </w:rPr>
          <w:fldChar w:fldCharType="end"/>
        </w:r>
      </w:hyperlink>
    </w:p>
    <w:p w14:paraId="67E7705E" w14:textId="1701BD8F" w:rsidR="000F66B4" w:rsidRPr="00564B9D" w:rsidRDefault="00893651" w:rsidP="000F66B4">
      <w:pPr>
        <w:pStyle w:val="TOC4"/>
        <w:rPr>
          <w:sz w:val="22"/>
          <w:szCs w:val="22"/>
          <w:rtl/>
          <w:lang w:val="en-US" w:eastAsia="zh-CN"/>
        </w:rPr>
      </w:pPr>
      <w:hyperlink w:anchor="_Toc123044881"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50</w:t>
        </w:r>
        <w:r w:rsidR="000F66B4" w:rsidRPr="00564B9D">
          <w:rPr>
            <w:rStyle w:val="Hyperlink"/>
            <w:color w:val="auto"/>
            <w:rtl/>
          </w:rPr>
          <w:fldChar w:fldCharType="end"/>
        </w:r>
      </w:hyperlink>
    </w:p>
    <w:p w14:paraId="34CEA409" w14:textId="675D3A95" w:rsidR="000F66B4" w:rsidRPr="00564B9D" w:rsidRDefault="00893651">
      <w:pPr>
        <w:pStyle w:val="TOC5"/>
        <w:rPr>
          <w:sz w:val="22"/>
          <w:szCs w:val="22"/>
          <w:rtl/>
          <w:lang w:val="en-US" w:eastAsia="zh-CN"/>
        </w:rPr>
      </w:pPr>
      <w:hyperlink w:anchor="_Toc123044882"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50</w:t>
        </w:r>
        <w:r w:rsidR="000F66B4" w:rsidRPr="00564B9D">
          <w:rPr>
            <w:rStyle w:val="Hyperlink"/>
            <w:color w:val="auto"/>
            <w:rtl/>
          </w:rPr>
          <w:fldChar w:fldCharType="end"/>
        </w:r>
      </w:hyperlink>
    </w:p>
    <w:p w14:paraId="7677B798" w14:textId="72DF70ED" w:rsidR="000F66B4" w:rsidRPr="00564B9D" w:rsidRDefault="00893651">
      <w:pPr>
        <w:pStyle w:val="TOC5"/>
        <w:rPr>
          <w:sz w:val="22"/>
          <w:szCs w:val="22"/>
          <w:rtl/>
          <w:lang w:val="en-US" w:eastAsia="zh-CN"/>
        </w:rPr>
      </w:pPr>
      <w:hyperlink w:anchor="_Toc123044883"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54</w:t>
        </w:r>
        <w:r w:rsidR="000F66B4" w:rsidRPr="00564B9D">
          <w:rPr>
            <w:rStyle w:val="Hyperlink"/>
            <w:color w:val="auto"/>
            <w:rtl/>
          </w:rPr>
          <w:fldChar w:fldCharType="end"/>
        </w:r>
      </w:hyperlink>
    </w:p>
    <w:p w14:paraId="69CB499D" w14:textId="6389A115" w:rsidR="000F66B4" w:rsidRPr="00564B9D" w:rsidRDefault="00893651" w:rsidP="000F66B4">
      <w:pPr>
        <w:pStyle w:val="TOC4"/>
        <w:rPr>
          <w:sz w:val="22"/>
          <w:szCs w:val="22"/>
          <w:rtl/>
          <w:lang w:val="en-US" w:eastAsia="zh-CN"/>
        </w:rPr>
      </w:pPr>
      <w:hyperlink w:anchor="_Toc123044884"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55</w:t>
        </w:r>
        <w:r w:rsidR="000F66B4" w:rsidRPr="00564B9D">
          <w:rPr>
            <w:rStyle w:val="Hyperlink"/>
            <w:color w:val="auto"/>
            <w:rtl/>
          </w:rPr>
          <w:fldChar w:fldCharType="end"/>
        </w:r>
      </w:hyperlink>
    </w:p>
    <w:p w14:paraId="36D3EE91" w14:textId="36CB0A25" w:rsidR="000F66B4" w:rsidRPr="00564B9D" w:rsidRDefault="00893651">
      <w:pPr>
        <w:pStyle w:val="TOC5"/>
        <w:rPr>
          <w:sz w:val="22"/>
          <w:szCs w:val="22"/>
          <w:rtl/>
          <w:lang w:val="en-US" w:eastAsia="zh-CN"/>
        </w:rPr>
      </w:pPr>
      <w:hyperlink w:anchor="_Toc123044885"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55</w:t>
        </w:r>
        <w:r w:rsidR="000F66B4" w:rsidRPr="00564B9D">
          <w:rPr>
            <w:rStyle w:val="Hyperlink"/>
            <w:color w:val="auto"/>
            <w:rtl/>
          </w:rPr>
          <w:fldChar w:fldCharType="end"/>
        </w:r>
      </w:hyperlink>
    </w:p>
    <w:p w14:paraId="7B74050B" w14:textId="0E3D9F12" w:rsidR="000F66B4" w:rsidRPr="00564B9D" w:rsidRDefault="00893651">
      <w:pPr>
        <w:pStyle w:val="TOC5"/>
        <w:rPr>
          <w:sz w:val="22"/>
          <w:szCs w:val="22"/>
          <w:rtl/>
          <w:lang w:val="en-US" w:eastAsia="zh-CN"/>
        </w:rPr>
      </w:pPr>
      <w:hyperlink w:anchor="_Toc123044886"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56</w:t>
        </w:r>
        <w:r w:rsidR="000F66B4" w:rsidRPr="00564B9D">
          <w:rPr>
            <w:rStyle w:val="Hyperlink"/>
            <w:color w:val="auto"/>
            <w:rtl/>
          </w:rPr>
          <w:fldChar w:fldCharType="end"/>
        </w:r>
      </w:hyperlink>
    </w:p>
    <w:p w14:paraId="2CF26511" w14:textId="09AD6C2D" w:rsidR="000F66B4" w:rsidRPr="00564B9D" w:rsidRDefault="00893651">
      <w:pPr>
        <w:pStyle w:val="TOC5"/>
        <w:rPr>
          <w:sz w:val="22"/>
          <w:szCs w:val="22"/>
          <w:rtl/>
          <w:lang w:val="en-US" w:eastAsia="zh-CN"/>
        </w:rPr>
      </w:pPr>
      <w:hyperlink w:anchor="_Toc123044887"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56</w:t>
        </w:r>
        <w:r w:rsidR="000F66B4" w:rsidRPr="00564B9D">
          <w:rPr>
            <w:rStyle w:val="Hyperlink"/>
            <w:color w:val="auto"/>
            <w:rtl/>
          </w:rPr>
          <w:fldChar w:fldCharType="end"/>
        </w:r>
      </w:hyperlink>
    </w:p>
    <w:p w14:paraId="6A1C1092" w14:textId="0AA0410D" w:rsidR="000F66B4" w:rsidRPr="00564B9D" w:rsidRDefault="00893651" w:rsidP="000F66B4">
      <w:pPr>
        <w:pStyle w:val="TOC4"/>
        <w:rPr>
          <w:sz w:val="22"/>
          <w:szCs w:val="22"/>
          <w:rtl/>
          <w:lang w:val="en-US" w:eastAsia="zh-CN"/>
        </w:rPr>
      </w:pPr>
      <w:hyperlink w:anchor="_Toc123044888"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Toc123044888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56</w:t>
        </w:r>
        <w:r w:rsidR="000F66B4" w:rsidRPr="00564B9D">
          <w:rPr>
            <w:rStyle w:val="Hyperlink"/>
            <w:color w:val="auto"/>
            <w:rtl/>
          </w:rPr>
          <w:fldChar w:fldCharType="end"/>
        </w:r>
      </w:hyperlink>
    </w:p>
    <w:p w14:paraId="51B4913F" w14:textId="438185B3" w:rsidR="000F66B4" w:rsidRPr="00564B9D" w:rsidRDefault="000F66B4" w:rsidP="00777024">
      <w:pPr>
        <w:pStyle w:val="TOC4"/>
        <w:keepNext/>
        <w:spacing w:before="240"/>
        <w:rPr>
          <w:b/>
          <w:bCs/>
          <w:rtl/>
        </w:rPr>
      </w:pPr>
      <w:r w:rsidRPr="00564B9D">
        <w:rPr>
          <w:b/>
          <w:bCs/>
          <w:rtl/>
        </w:rPr>
        <w:tab/>
      </w:r>
      <w:r w:rsidRPr="00564B9D">
        <w:rPr>
          <w:b/>
          <w:bCs/>
          <w:rtl/>
        </w:rPr>
        <w:tab/>
      </w:r>
      <w:r w:rsidRPr="00564B9D">
        <w:rPr>
          <w:b/>
          <w:bCs/>
          <w:rtl/>
        </w:rPr>
        <w:tab/>
      </w:r>
      <w:hyperlink w:anchor="_Toc123044889" w:history="1">
        <w:r w:rsidRPr="00564B9D">
          <w:rPr>
            <w:b/>
            <w:bCs/>
            <w:rtl/>
          </w:rPr>
          <w:t>جزر فوكلاند</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Toc123044889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57</w:t>
        </w:r>
        <w:r w:rsidRPr="00564B9D">
          <w:rPr>
            <w:b/>
            <w:bCs/>
            <w:rtl/>
          </w:rPr>
          <w:fldChar w:fldCharType="end"/>
        </w:r>
      </w:hyperlink>
    </w:p>
    <w:p w14:paraId="1735006C" w14:textId="359D8F5C" w:rsidR="000F66B4" w:rsidRPr="00564B9D" w:rsidRDefault="00893651" w:rsidP="000F66B4">
      <w:pPr>
        <w:pStyle w:val="TOC4"/>
        <w:rPr>
          <w:sz w:val="22"/>
          <w:szCs w:val="22"/>
          <w:rtl/>
          <w:lang w:val="en-US" w:eastAsia="zh-CN"/>
        </w:rPr>
      </w:pPr>
      <w:hyperlink w:anchor="_Toc123044890"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57</w:t>
        </w:r>
        <w:r w:rsidR="000F66B4" w:rsidRPr="00564B9D">
          <w:rPr>
            <w:rStyle w:val="Hyperlink"/>
            <w:color w:val="auto"/>
            <w:rtl/>
          </w:rPr>
          <w:fldChar w:fldCharType="end"/>
        </w:r>
      </w:hyperlink>
    </w:p>
    <w:p w14:paraId="675DDD3D" w14:textId="0044C7CC" w:rsidR="000F66B4" w:rsidRPr="00564B9D" w:rsidRDefault="00893651">
      <w:pPr>
        <w:pStyle w:val="TOC5"/>
        <w:rPr>
          <w:sz w:val="22"/>
          <w:szCs w:val="22"/>
          <w:rtl/>
          <w:lang w:val="en-US" w:eastAsia="zh-CN"/>
        </w:rPr>
      </w:pPr>
      <w:hyperlink w:anchor="_Toc123044891"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vertAlign w:val="superscript"/>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57</w:t>
        </w:r>
        <w:r w:rsidR="000F66B4" w:rsidRPr="00564B9D">
          <w:rPr>
            <w:rStyle w:val="Hyperlink"/>
            <w:color w:val="auto"/>
            <w:rtl/>
          </w:rPr>
          <w:fldChar w:fldCharType="end"/>
        </w:r>
      </w:hyperlink>
    </w:p>
    <w:p w14:paraId="16FD5B3C" w14:textId="5C1B9B21" w:rsidR="000F66B4" w:rsidRPr="00564B9D" w:rsidRDefault="00893651">
      <w:pPr>
        <w:pStyle w:val="TOC5"/>
        <w:rPr>
          <w:sz w:val="22"/>
          <w:szCs w:val="22"/>
          <w:rtl/>
          <w:lang w:val="en-US" w:eastAsia="zh-CN"/>
        </w:rPr>
      </w:pPr>
      <w:hyperlink w:anchor="_Toc123044892"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63</w:t>
        </w:r>
        <w:r w:rsidR="000F66B4" w:rsidRPr="00564B9D">
          <w:rPr>
            <w:rStyle w:val="Hyperlink"/>
            <w:color w:val="auto"/>
            <w:rtl/>
          </w:rPr>
          <w:fldChar w:fldCharType="end"/>
        </w:r>
      </w:hyperlink>
    </w:p>
    <w:p w14:paraId="10A1B9C2" w14:textId="6FC6A752" w:rsidR="000F66B4" w:rsidRPr="00564B9D" w:rsidRDefault="00893651" w:rsidP="000F66B4">
      <w:pPr>
        <w:pStyle w:val="TOC4"/>
        <w:rPr>
          <w:sz w:val="22"/>
          <w:szCs w:val="22"/>
          <w:rtl/>
          <w:lang w:val="en-US" w:eastAsia="zh-CN"/>
        </w:rPr>
      </w:pPr>
      <w:hyperlink w:anchor="_Toc123044893"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64</w:t>
        </w:r>
        <w:r w:rsidR="000F66B4" w:rsidRPr="00564B9D">
          <w:rPr>
            <w:rStyle w:val="Hyperlink"/>
            <w:color w:val="auto"/>
            <w:rtl/>
          </w:rPr>
          <w:fldChar w:fldCharType="end"/>
        </w:r>
      </w:hyperlink>
    </w:p>
    <w:p w14:paraId="275FFA5B" w14:textId="354F3621" w:rsidR="000F66B4" w:rsidRPr="00564B9D" w:rsidRDefault="00893651">
      <w:pPr>
        <w:pStyle w:val="TOC5"/>
        <w:rPr>
          <w:sz w:val="22"/>
          <w:szCs w:val="22"/>
          <w:rtl/>
          <w:lang w:val="en-US" w:eastAsia="zh-CN"/>
        </w:rPr>
      </w:pPr>
      <w:hyperlink w:anchor="_Toc123044894"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64</w:t>
        </w:r>
        <w:r w:rsidR="000F66B4" w:rsidRPr="00564B9D">
          <w:rPr>
            <w:rStyle w:val="Hyperlink"/>
            <w:color w:val="auto"/>
            <w:rtl/>
          </w:rPr>
          <w:fldChar w:fldCharType="end"/>
        </w:r>
      </w:hyperlink>
    </w:p>
    <w:p w14:paraId="28143559" w14:textId="35955306" w:rsidR="000F66B4" w:rsidRPr="00564B9D" w:rsidRDefault="00893651">
      <w:pPr>
        <w:pStyle w:val="TOC5"/>
        <w:rPr>
          <w:sz w:val="22"/>
          <w:szCs w:val="22"/>
          <w:rtl/>
          <w:lang w:val="en-US" w:eastAsia="zh-CN"/>
        </w:rPr>
      </w:pPr>
      <w:hyperlink w:anchor="_Toc123044895"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65</w:t>
        </w:r>
        <w:r w:rsidR="000F66B4" w:rsidRPr="00564B9D">
          <w:rPr>
            <w:rStyle w:val="Hyperlink"/>
            <w:color w:val="auto"/>
            <w:rtl/>
          </w:rPr>
          <w:fldChar w:fldCharType="end"/>
        </w:r>
      </w:hyperlink>
    </w:p>
    <w:p w14:paraId="2A4F6B54" w14:textId="35DDEA54" w:rsidR="000F66B4" w:rsidRPr="00564B9D" w:rsidRDefault="00893651">
      <w:pPr>
        <w:pStyle w:val="TOC5"/>
        <w:rPr>
          <w:sz w:val="22"/>
          <w:szCs w:val="22"/>
          <w:rtl/>
          <w:lang w:val="en-US" w:eastAsia="zh-CN"/>
        </w:rPr>
      </w:pPr>
      <w:hyperlink w:anchor="_Toc123044896"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66</w:t>
        </w:r>
        <w:r w:rsidR="000F66B4" w:rsidRPr="00564B9D">
          <w:rPr>
            <w:rStyle w:val="Hyperlink"/>
            <w:color w:val="auto"/>
            <w:rtl/>
          </w:rPr>
          <w:fldChar w:fldCharType="end"/>
        </w:r>
      </w:hyperlink>
    </w:p>
    <w:p w14:paraId="43D540BE" w14:textId="6DFD2100" w:rsidR="000F66B4" w:rsidRPr="00564B9D" w:rsidRDefault="00893651" w:rsidP="000F66B4">
      <w:pPr>
        <w:pStyle w:val="TOC4"/>
        <w:rPr>
          <w:sz w:val="22"/>
          <w:szCs w:val="22"/>
          <w:rtl/>
          <w:lang w:val="en-US" w:eastAsia="zh-CN"/>
        </w:rPr>
      </w:pPr>
      <w:hyperlink w:anchor="_Toc123044897"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66</w:t>
        </w:r>
        <w:r w:rsidR="000F66B4" w:rsidRPr="00564B9D">
          <w:rPr>
            <w:rStyle w:val="Hyperlink"/>
            <w:color w:val="auto"/>
            <w:rtl/>
          </w:rPr>
          <w:fldChar w:fldCharType="end"/>
        </w:r>
      </w:hyperlink>
    </w:p>
    <w:p w14:paraId="6721A0F2" w14:textId="35C789A5"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898" w:history="1">
        <w:r w:rsidRPr="00564B9D">
          <w:rPr>
            <w:b/>
            <w:bCs/>
            <w:rtl/>
          </w:rPr>
          <w:t>جبل طارق</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Toc123044898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67</w:t>
        </w:r>
        <w:r w:rsidRPr="00564B9D">
          <w:rPr>
            <w:b/>
            <w:bCs/>
            <w:rtl/>
          </w:rPr>
          <w:fldChar w:fldCharType="end"/>
        </w:r>
      </w:hyperlink>
    </w:p>
    <w:p w14:paraId="102861A6" w14:textId="4C36650B" w:rsidR="000F66B4" w:rsidRPr="00564B9D" w:rsidRDefault="00893651" w:rsidP="000F66B4">
      <w:pPr>
        <w:pStyle w:val="TOC4"/>
        <w:rPr>
          <w:sz w:val="22"/>
          <w:szCs w:val="22"/>
          <w:rtl/>
          <w:lang w:val="en-US" w:eastAsia="zh-CN"/>
        </w:rPr>
      </w:pPr>
      <w:hyperlink w:anchor="_Toc123044899"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Toc123044899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67</w:t>
        </w:r>
        <w:r w:rsidR="000F66B4" w:rsidRPr="00564B9D">
          <w:rPr>
            <w:rStyle w:val="Hyperlink"/>
            <w:color w:val="auto"/>
            <w:rtl/>
          </w:rPr>
          <w:fldChar w:fldCharType="end"/>
        </w:r>
      </w:hyperlink>
    </w:p>
    <w:p w14:paraId="7836C8D6" w14:textId="71F8A33F" w:rsidR="000F66B4" w:rsidRPr="00564B9D" w:rsidRDefault="00893651">
      <w:pPr>
        <w:pStyle w:val="TOC5"/>
        <w:rPr>
          <w:sz w:val="22"/>
          <w:szCs w:val="22"/>
          <w:rtl/>
          <w:lang w:val="en-US" w:eastAsia="zh-CN"/>
        </w:rPr>
      </w:pPr>
      <w:hyperlink w:anchor="_Toc123044900"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67</w:t>
        </w:r>
        <w:r w:rsidR="000F66B4" w:rsidRPr="00564B9D">
          <w:rPr>
            <w:rStyle w:val="Hyperlink"/>
            <w:color w:val="auto"/>
            <w:rtl/>
          </w:rPr>
          <w:fldChar w:fldCharType="end"/>
        </w:r>
      </w:hyperlink>
    </w:p>
    <w:p w14:paraId="68C3A809" w14:textId="6E058946" w:rsidR="000F66B4" w:rsidRPr="00564B9D" w:rsidRDefault="00893651">
      <w:pPr>
        <w:pStyle w:val="TOC5"/>
        <w:rPr>
          <w:sz w:val="22"/>
          <w:szCs w:val="22"/>
          <w:rtl/>
          <w:lang w:val="en-US" w:eastAsia="zh-CN"/>
        </w:rPr>
      </w:pPr>
      <w:hyperlink w:anchor="_Toc123044901"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72</w:t>
        </w:r>
        <w:r w:rsidR="000F66B4" w:rsidRPr="00564B9D">
          <w:rPr>
            <w:rStyle w:val="Hyperlink"/>
            <w:color w:val="auto"/>
            <w:rtl/>
          </w:rPr>
          <w:fldChar w:fldCharType="end"/>
        </w:r>
      </w:hyperlink>
    </w:p>
    <w:p w14:paraId="3512497F" w14:textId="1BF8D25C" w:rsidR="000F66B4" w:rsidRPr="00564B9D" w:rsidRDefault="00893651" w:rsidP="000F66B4">
      <w:pPr>
        <w:pStyle w:val="TOC4"/>
        <w:rPr>
          <w:sz w:val="22"/>
          <w:szCs w:val="22"/>
          <w:rtl/>
          <w:lang w:val="en-US" w:eastAsia="zh-CN"/>
        </w:rPr>
      </w:pPr>
      <w:hyperlink w:anchor="_Toc123044902"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73</w:t>
        </w:r>
        <w:r w:rsidR="000F66B4" w:rsidRPr="00564B9D">
          <w:rPr>
            <w:rStyle w:val="Hyperlink"/>
            <w:color w:val="auto"/>
            <w:rtl/>
          </w:rPr>
          <w:fldChar w:fldCharType="end"/>
        </w:r>
      </w:hyperlink>
    </w:p>
    <w:p w14:paraId="199A5A04" w14:textId="3D772ADE" w:rsidR="000F66B4" w:rsidRPr="00564B9D" w:rsidRDefault="00893651">
      <w:pPr>
        <w:pStyle w:val="TOC5"/>
        <w:rPr>
          <w:sz w:val="22"/>
          <w:szCs w:val="22"/>
          <w:rtl/>
          <w:lang w:val="en-US" w:eastAsia="zh-CN"/>
        </w:rPr>
      </w:pPr>
      <w:hyperlink w:anchor="_Toc123044903"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73</w:t>
        </w:r>
        <w:r w:rsidR="000F66B4" w:rsidRPr="00564B9D">
          <w:rPr>
            <w:rStyle w:val="Hyperlink"/>
            <w:color w:val="auto"/>
            <w:rtl/>
          </w:rPr>
          <w:fldChar w:fldCharType="end"/>
        </w:r>
      </w:hyperlink>
    </w:p>
    <w:p w14:paraId="517C0CDD" w14:textId="66B843A4" w:rsidR="000F66B4" w:rsidRPr="00564B9D" w:rsidRDefault="00893651">
      <w:pPr>
        <w:pStyle w:val="TOC5"/>
        <w:rPr>
          <w:sz w:val="22"/>
          <w:szCs w:val="22"/>
          <w:rtl/>
          <w:lang w:val="en-US" w:eastAsia="zh-CN"/>
        </w:rPr>
      </w:pPr>
      <w:hyperlink w:anchor="_Toc123044904"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74</w:t>
        </w:r>
        <w:r w:rsidR="000F66B4" w:rsidRPr="00564B9D">
          <w:rPr>
            <w:rStyle w:val="Hyperlink"/>
            <w:color w:val="auto"/>
            <w:rtl/>
          </w:rPr>
          <w:fldChar w:fldCharType="end"/>
        </w:r>
      </w:hyperlink>
    </w:p>
    <w:p w14:paraId="1F066A15" w14:textId="33DEA4D8" w:rsidR="000F66B4" w:rsidRPr="00564B9D" w:rsidRDefault="00893651">
      <w:pPr>
        <w:pStyle w:val="TOC5"/>
        <w:rPr>
          <w:sz w:val="22"/>
          <w:szCs w:val="22"/>
          <w:rtl/>
          <w:lang w:val="en-US" w:eastAsia="zh-CN"/>
        </w:rPr>
      </w:pPr>
      <w:hyperlink w:anchor="_Toc123044905"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74</w:t>
        </w:r>
        <w:r w:rsidR="000F66B4" w:rsidRPr="00564B9D">
          <w:rPr>
            <w:rStyle w:val="Hyperlink"/>
            <w:color w:val="auto"/>
            <w:rtl/>
          </w:rPr>
          <w:fldChar w:fldCharType="end"/>
        </w:r>
      </w:hyperlink>
    </w:p>
    <w:p w14:paraId="54205B67" w14:textId="255428E6" w:rsidR="000F66B4" w:rsidRPr="00564B9D" w:rsidRDefault="00893651" w:rsidP="000F66B4">
      <w:pPr>
        <w:pStyle w:val="TOC4"/>
        <w:rPr>
          <w:sz w:val="22"/>
          <w:szCs w:val="22"/>
          <w:rtl/>
          <w:lang w:val="en-US" w:eastAsia="zh-CN"/>
        </w:rPr>
      </w:pPr>
      <w:hyperlink w:anchor="_Toc123044906"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74</w:t>
        </w:r>
        <w:r w:rsidR="000F66B4" w:rsidRPr="00564B9D">
          <w:rPr>
            <w:rStyle w:val="Hyperlink"/>
            <w:color w:val="auto"/>
            <w:rtl/>
          </w:rPr>
          <w:fldChar w:fldCharType="end"/>
        </w:r>
      </w:hyperlink>
    </w:p>
    <w:p w14:paraId="785F6BF6" w14:textId="487DD9EB"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907" w:history="1">
        <w:r w:rsidRPr="00564B9D">
          <w:rPr>
            <w:b/>
            <w:bCs/>
            <w:rtl/>
          </w:rPr>
          <w:t>مونتسيرات</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Toc123044907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75</w:t>
        </w:r>
        <w:r w:rsidRPr="00564B9D">
          <w:rPr>
            <w:b/>
            <w:bCs/>
            <w:rtl/>
          </w:rPr>
          <w:fldChar w:fldCharType="end"/>
        </w:r>
      </w:hyperlink>
    </w:p>
    <w:p w14:paraId="7FBDABA2" w14:textId="5794489E" w:rsidR="000F66B4" w:rsidRPr="00564B9D" w:rsidRDefault="00893651" w:rsidP="000F66B4">
      <w:pPr>
        <w:pStyle w:val="TOC4"/>
        <w:rPr>
          <w:sz w:val="22"/>
          <w:szCs w:val="22"/>
          <w:rtl/>
          <w:lang w:val="en-US" w:eastAsia="zh-CN"/>
        </w:rPr>
      </w:pPr>
      <w:hyperlink w:anchor="_Toc123044908"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75</w:t>
        </w:r>
        <w:r w:rsidR="000F66B4" w:rsidRPr="00564B9D">
          <w:rPr>
            <w:rStyle w:val="Hyperlink"/>
            <w:color w:val="auto"/>
            <w:rtl/>
          </w:rPr>
          <w:fldChar w:fldCharType="end"/>
        </w:r>
      </w:hyperlink>
    </w:p>
    <w:p w14:paraId="2A6E5C04" w14:textId="5A2CEF7C" w:rsidR="000F66B4" w:rsidRPr="00564B9D" w:rsidRDefault="00893651">
      <w:pPr>
        <w:pStyle w:val="TOC5"/>
        <w:rPr>
          <w:sz w:val="22"/>
          <w:szCs w:val="22"/>
          <w:rtl/>
          <w:lang w:val="en-US" w:eastAsia="zh-CN"/>
        </w:rPr>
      </w:pPr>
      <w:hyperlink w:anchor="_Toc123044909"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Toc123044909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75</w:t>
        </w:r>
        <w:r w:rsidR="000F66B4" w:rsidRPr="00564B9D">
          <w:rPr>
            <w:rStyle w:val="Hyperlink"/>
            <w:color w:val="auto"/>
            <w:rtl/>
          </w:rPr>
          <w:fldChar w:fldCharType="end"/>
        </w:r>
      </w:hyperlink>
    </w:p>
    <w:p w14:paraId="66CCCA29" w14:textId="6A4C7746" w:rsidR="000F66B4" w:rsidRPr="00564B9D" w:rsidRDefault="00893651">
      <w:pPr>
        <w:pStyle w:val="TOC5"/>
        <w:rPr>
          <w:sz w:val="22"/>
          <w:szCs w:val="22"/>
          <w:rtl/>
          <w:lang w:val="en-US" w:eastAsia="zh-CN"/>
        </w:rPr>
      </w:pPr>
      <w:hyperlink w:anchor="_Toc123044910"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81</w:t>
        </w:r>
        <w:r w:rsidR="000F66B4" w:rsidRPr="00564B9D">
          <w:rPr>
            <w:rStyle w:val="Hyperlink"/>
            <w:color w:val="auto"/>
            <w:rtl/>
          </w:rPr>
          <w:fldChar w:fldCharType="end"/>
        </w:r>
      </w:hyperlink>
    </w:p>
    <w:p w14:paraId="59747663" w14:textId="1ED2D68C" w:rsidR="000F66B4" w:rsidRPr="00564B9D" w:rsidRDefault="00893651" w:rsidP="000F66B4">
      <w:pPr>
        <w:pStyle w:val="TOC4"/>
        <w:rPr>
          <w:sz w:val="22"/>
          <w:szCs w:val="22"/>
          <w:rtl/>
          <w:lang w:val="en-US" w:eastAsia="zh-CN"/>
        </w:rPr>
      </w:pPr>
      <w:hyperlink w:anchor="_Toc123044911"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81</w:t>
        </w:r>
        <w:r w:rsidR="000F66B4" w:rsidRPr="00564B9D">
          <w:rPr>
            <w:rStyle w:val="Hyperlink"/>
            <w:color w:val="auto"/>
            <w:rtl/>
          </w:rPr>
          <w:fldChar w:fldCharType="end"/>
        </w:r>
      </w:hyperlink>
    </w:p>
    <w:p w14:paraId="63EE9897" w14:textId="7EF94B26" w:rsidR="000F66B4" w:rsidRPr="00564B9D" w:rsidRDefault="00893651">
      <w:pPr>
        <w:pStyle w:val="TOC5"/>
        <w:rPr>
          <w:sz w:val="22"/>
          <w:szCs w:val="22"/>
          <w:rtl/>
          <w:lang w:val="en-US" w:eastAsia="zh-CN"/>
        </w:rPr>
      </w:pPr>
      <w:hyperlink w:anchor="_Toc123044912"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81</w:t>
        </w:r>
        <w:r w:rsidR="000F66B4" w:rsidRPr="00564B9D">
          <w:rPr>
            <w:rStyle w:val="Hyperlink"/>
            <w:color w:val="auto"/>
            <w:rtl/>
          </w:rPr>
          <w:fldChar w:fldCharType="end"/>
        </w:r>
      </w:hyperlink>
    </w:p>
    <w:p w14:paraId="5360D6E2" w14:textId="6831048F" w:rsidR="000F66B4" w:rsidRPr="00564B9D" w:rsidRDefault="00893651">
      <w:pPr>
        <w:pStyle w:val="TOC5"/>
        <w:rPr>
          <w:sz w:val="22"/>
          <w:szCs w:val="22"/>
          <w:rtl/>
          <w:lang w:val="en-US" w:eastAsia="zh-CN"/>
        </w:rPr>
      </w:pPr>
      <w:hyperlink w:anchor="_Toc123044913"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82</w:t>
        </w:r>
        <w:r w:rsidR="000F66B4" w:rsidRPr="00564B9D">
          <w:rPr>
            <w:rStyle w:val="Hyperlink"/>
            <w:color w:val="auto"/>
            <w:rtl/>
          </w:rPr>
          <w:fldChar w:fldCharType="end"/>
        </w:r>
      </w:hyperlink>
    </w:p>
    <w:p w14:paraId="452089DF" w14:textId="0D672332" w:rsidR="000F66B4" w:rsidRPr="00564B9D" w:rsidRDefault="00893651">
      <w:pPr>
        <w:pStyle w:val="TOC5"/>
        <w:rPr>
          <w:sz w:val="22"/>
          <w:szCs w:val="22"/>
          <w:rtl/>
          <w:lang w:val="en-US" w:eastAsia="zh-CN"/>
        </w:rPr>
      </w:pPr>
      <w:hyperlink w:anchor="_Toc123044914"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82</w:t>
        </w:r>
        <w:r w:rsidR="000F66B4" w:rsidRPr="00564B9D">
          <w:rPr>
            <w:rStyle w:val="Hyperlink"/>
            <w:color w:val="auto"/>
            <w:rtl/>
          </w:rPr>
          <w:fldChar w:fldCharType="end"/>
        </w:r>
      </w:hyperlink>
    </w:p>
    <w:p w14:paraId="0C560DD3" w14:textId="3B2AAF60" w:rsidR="000F66B4" w:rsidRPr="00564B9D" w:rsidRDefault="00893651" w:rsidP="000F66B4">
      <w:pPr>
        <w:pStyle w:val="TOC4"/>
        <w:rPr>
          <w:sz w:val="22"/>
          <w:szCs w:val="22"/>
          <w:rtl/>
          <w:lang w:val="en-US" w:eastAsia="zh-CN"/>
        </w:rPr>
      </w:pPr>
      <w:hyperlink w:anchor="_Toc123044915"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82</w:t>
        </w:r>
        <w:r w:rsidR="000F66B4" w:rsidRPr="00564B9D">
          <w:rPr>
            <w:rStyle w:val="Hyperlink"/>
            <w:color w:val="auto"/>
            <w:rtl/>
          </w:rPr>
          <w:fldChar w:fldCharType="end"/>
        </w:r>
      </w:hyperlink>
    </w:p>
    <w:p w14:paraId="5C5D1B03" w14:textId="08AB45A5"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916" w:history="1">
        <w:r w:rsidRPr="00564B9D">
          <w:rPr>
            <w:b/>
            <w:bCs/>
            <w:rtl/>
          </w:rPr>
          <w:t>بيتكيرن وهندرسون ودوسي وأوينو</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Toc123044916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83</w:t>
        </w:r>
        <w:r w:rsidRPr="00564B9D">
          <w:rPr>
            <w:b/>
            <w:bCs/>
            <w:rtl/>
          </w:rPr>
          <w:fldChar w:fldCharType="end"/>
        </w:r>
      </w:hyperlink>
    </w:p>
    <w:p w14:paraId="7AE2273D" w14:textId="43C60417" w:rsidR="000F66B4" w:rsidRPr="00564B9D" w:rsidRDefault="00893651" w:rsidP="000F66B4">
      <w:pPr>
        <w:pStyle w:val="TOC4"/>
        <w:rPr>
          <w:sz w:val="22"/>
          <w:szCs w:val="22"/>
          <w:rtl/>
          <w:lang w:val="en-US" w:eastAsia="zh-CN"/>
        </w:rPr>
      </w:pPr>
      <w:hyperlink w:anchor="_Toc123044917"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83</w:t>
        </w:r>
        <w:r w:rsidR="000F66B4" w:rsidRPr="00564B9D">
          <w:rPr>
            <w:rStyle w:val="Hyperlink"/>
            <w:color w:val="auto"/>
            <w:rtl/>
          </w:rPr>
          <w:fldChar w:fldCharType="end"/>
        </w:r>
      </w:hyperlink>
    </w:p>
    <w:p w14:paraId="5108579B" w14:textId="40C0384D" w:rsidR="000F66B4" w:rsidRPr="00564B9D" w:rsidRDefault="00893651">
      <w:pPr>
        <w:pStyle w:val="TOC5"/>
        <w:rPr>
          <w:sz w:val="22"/>
          <w:szCs w:val="22"/>
          <w:rtl/>
          <w:lang w:val="en-US" w:eastAsia="zh-CN"/>
        </w:rPr>
      </w:pPr>
      <w:hyperlink w:anchor="_Toc123044918"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83</w:t>
        </w:r>
        <w:r w:rsidR="000F66B4" w:rsidRPr="00564B9D">
          <w:rPr>
            <w:rStyle w:val="Hyperlink"/>
            <w:color w:val="auto"/>
            <w:rtl/>
          </w:rPr>
          <w:fldChar w:fldCharType="end"/>
        </w:r>
      </w:hyperlink>
    </w:p>
    <w:p w14:paraId="4815A64E" w14:textId="16C2117C" w:rsidR="000F66B4" w:rsidRPr="00564B9D" w:rsidRDefault="00893651">
      <w:pPr>
        <w:pStyle w:val="TOC5"/>
        <w:rPr>
          <w:sz w:val="22"/>
          <w:szCs w:val="22"/>
          <w:rtl/>
          <w:lang w:val="en-US" w:eastAsia="zh-CN"/>
        </w:rPr>
      </w:pPr>
      <w:hyperlink w:anchor="_Toc123044919"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Toc123044919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85</w:t>
        </w:r>
        <w:r w:rsidR="000F66B4" w:rsidRPr="00564B9D">
          <w:rPr>
            <w:rStyle w:val="Hyperlink"/>
            <w:color w:val="auto"/>
            <w:rtl/>
          </w:rPr>
          <w:fldChar w:fldCharType="end"/>
        </w:r>
      </w:hyperlink>
    </w:p>
    <w:p w14:paraId="0199E5BE" w14:textId="6DAD2C43" w:rsidR="000F66B4" w:rsidRPr="00564B9D" w:rsidRDefault="00893651" w:rsidP="000F66B4">
      <w:pPr>
        <w:pStyle w:val="TOC4"/>
        <w:rPr>
          <w:sz w:val="22"/>
          <w:szCs w:val="22"/>
          <w:rtl/>
          <w:lang w:val="en-US" w:eastAsia="zh-CN"/>
        </w:rPr>
      </w:pPr>
      <w:hyperlink w:anchor="_Toc123044920"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87</w:t>
        </w:r>
        <w:r w:rsidR="000F66B4" w:rsidRPr="00564B9D">
          <w:rPr>
            <w:rStyle w:val="Hyperlink"/>
            <w:color w:val="auto"/>
            <w:rtl/>
          </w:rPr>
          <w:fldChar w:fldCharType="end"/>
        </w:r>
      </w:hyperlink>
    </w:p>
    <w:p w14:paraId="080F509E" w14:textId="28D74F97" w:rsidR="000F66B4" w:rsidRPr="00564B9D" w:rsidRDefault="00893651">
      <w:pPr>
        <w:pStyle w:val="TOC5"/>
        <w:rPr>
          <w:sz w:val="22"/>
          <w:szCs w:val="22"/>
          <w:rtl/>
          <w:lang w:val="en-US" w:eastAsia="zh-CN"/>
        </w:rPr>
      </w:pPr>
      <w:hyperlink w:anchor="_Toc123044921"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87</w:t>
        </w:r>
        <w:r w:rsidR="000F66B4" w:rsidRPr="00564B9D">
          <w:rPr>
            <w:rStyle w:val="Hyperlink"/>
            <w:color w:val="auto"/>
            <w:rtl/>
          </w:rPr>
          <w:fldChar w:fldCharType="end"/>
        </w:r>
      </w:hyperlink>
    </w:p>
    <w:p w14:paraId="4E945F6B" w14:textId="2E84A582" w:rsidR="000F66B4" w:rsidRPr="00564B9D" w:rsidRDefault="00893651">
      <w:pPr>
        <w:pStyle w:val="TOC5"/>
        <w:rPr>
          <w:sz w:val="22"/>
          <w:szCs w:val="22"/>
          <w:rtl/>
          <w:lang w:val="en-US" w:eastAsia="zh-CN"/>
        </w:rPr>
      </w:pPr>
      <w:hyperlink w:anchor="_Toc123044922"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87</w:t>
        </w:r>
        <w:r w:rsidR="000F66B4" w:rsidRPr="00564B9D">
          <w:rPr>
            <w:rStyle w:val="Hyperlink"/>
            <w:color w:val="auto"/>
            <w:rtl/>
          </w:rPr>
          <w:fldChar w:fldCharType="end"/>
        </w:r>
      </w:hyperlink>
    </w:p>
    <w:p w14:paraId="2D1D5CAF" w14:textId="4D9457B0" w:rsidR="000F66B4" w:rsidRPr="00564B9D" w:rsidRDefault="00893651">
      <w:pPr>
        <w:pStyle w:val="TOC5"/>
        <w:rPr>
          <w:sz w:val="22"/>
          <w:szCs w:val="22"/>
          <w:rtl/>
          <w:lang w:val="en-US" w:eastAsia="zh-CN"/>
        </w:rPr>
      </w:pPr>
      <w:hyperlink w:anchor="_Toc123044923"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88</w:t>
        </w:r>
        <w:r w:rsidR="000F66B4" w:rsidRPr="00564B9D">
          <w:rPr>
            <w:rStyle w:val="Hyperlink"/>
            <w:color w:val="auto"/>
            <w:rtl/>
          </w:rPr>
          <w:fldChar w:fldCharType="end"/>
        </w:r>
      </w:hyperlink>
    </w:p>
    <w:p w14:paraId="5A796869" w14:textId="23E6AD32" w:rsidR="000F66B4" w:rsidRPr="00564B9D" w:rsidRDefault="00893651" w:rsidP="000F66B4">
      <w:pPr>
        <w:pStyle w:val="TOC4"/>
        <w:rPr>
          <w:sz w:val="22"/>
          <w:szCs w:val="22"/>
          <w:rtl/>
          <w:lang w:val="en-US" w:eastAsia="zh-CN"/>
        </w:rPr>
      </w:pPr>
      <w:hyperlink w:anchor="_Toc123044924"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88</w:t>
        </w:r>
        <w:r w:rsidR="000F66B4" w:rsidRPr="00564B9D">
          <w:rPr>
            <w:rStyle w:val="Hyperlink"/>
            <w:color w:val="auto"/>
            <w:rtl/>
          </w:rPr>
          <w:fldChar w:fldCharType="end"/>
        </w:r>
      </w:hyperlink>
    </w:p>
    <w:p w14:paraId="7EA75EE1" w14:textId="05EAB577" w:rsidR="000F66B4" w:rsidRPr="00564B9D" w:rsidRDefault="000F66B4" w:rsidP="000F66B4">
      <w:pPr>
        <w:pStyle w:val="TOC4"/>
        <w:spacing w:before="240"/>
        <w:rPr>
          <w:b/>
          <w:bCs/>
          <w:rtl/>
        </w:rPr>
      </w:pPr>
      <w:r w:rsidRPr="00564B9D">
        <w:rPr>
          <w:b/>
          <w:bCs/>
          <w:rtl/>
        </w:rPr>
        <w:lastRenderedPageBreak/>
        <w:tab/>
      </w:r>
      <w:r w:rsidRPr="00564B9D">
        <w:rPr>
          <w:b/>
          <w:bCs/>
          <w:rtl/>
        </w:rPr>
        <w:tab/>
      </w:r>
      <w:r w:rsidRPr="00564B9D">
        <w:rPr>
          <w:b/>
          <w:bCs/>
          <w:rtl/>
        </w:rPr>
        <w:tab/>
      </w:r>
      <w:hyperlink w:anchor="_Toc123044925" w:history="1">
        <w:r w:rsidRPr="00564B9D">
          <w:rPr>
            <w:b/>
            <w:bCs/>
            <w:rtl/>
          </w:rPr>
          <w:t>سانت هيلانة وأسنسيون وتريستان دا كونيا</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Toc123044925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88</w:t>
        </w:r>
        <w:r w:rsidRPr="00564B9D">
          <w:rPr>
            <w:b/>
            <w:bCs/>
            <w:rtl/>
          </w:rPr>
          <w:fldChar w:fldCharType="end"/>
        </w:r>
      </w:hyperlink>
    </w:p>
    <w:p w14:paraId="75EFDCAA" w14:textId="73392EDE" w:rsidR="000F66B4" w:rsidRPr="00564B9D" w:rsidRDefault="00893651" w:rsidP="000F66B4">
      <w:pPr>
        <w:pStyle w:val="TOC4"/>
        <w:rPr>
          <w:sz w:val="22"/>
          <w:szCs w:val="22"/>
          <w:rtl/>
          <w:lang w:val="en-US" w:eastAsia="zh-CN"/>
        </w:rPr>
      </w:pPr>
      <w:hyperlink w:anchor="_Toc123044926"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88</w:t>
        </w:r>
        <w:r w:rsidR="000F66B4" w:rsidRPr="00564B9D">
          <w:rPr>
            <w:rStyle w:val="Hyperlink"/>
            <w:color w:val="auto"/>
            <w:rtl/>
          </w:rPr>
          <w:fldChar w:fldCharType="end"/>
        </w:r>
      </w:hyperlink>
    </w:p>
    <w:p w14:paraId="0DF15A93" w14:textId="55DBDDD0" w:rsidR="000F66B4" w:rsidRPr="00564B9D" w:rsidRDefault="00893651">
      <w:pPr>
        <w:pStyle w:val="TOC5"/>
        <w:rPr>
          <w:sz w:val="22"/>
          <w:szCs w:val="22"/>
          <w:rtl/>
          <w:lang w:val="en-US" w:eastAsia="zh-CN"/>
        </w:rPr>
      </w:pPr>
      <w:hyperlink w:anchor="_Toc123044927"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88</w:t>
        </w:r>
        <w:r w:rsidR="000F66B4" w:rsidRPr="00564B9D">
          <w:rPr>
            <w:rStyle w:val="Hyperlink"/>
            <w:color w:val="auto"/>
            <w:rtl/>
          </w:rPr>
          <w:fldChar w:fldCharType="end"/>
        </w:r>
      </w:hyperlink>
    </w:p>
    <w:p w14:paraId="7F2C73C5" w14:textId="218A9820" w:rsidR="000F66B4" w:rsidRPr="00564B9D" w:rsidRDefault="00893651">
      <w:pPr>
        <w:pStyle w:val="TOC5"/>
        <w:rPr>
          <w:sz w:val="22"/>
          <w:szCs w:val="22"/>
          <w:rtl/>
          <w:lang w:val="en-US" w:eastAsia="zh-CN"/>
        </w:rPr>
      </w:pPr>
      <w:hyperlink w:anchor="_Toc123044928"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93</w:t>
        </w:r>
        <w:r w:rsidR="000F66B4" w:rsidRPr="00564B9D">
          <w:rPr>
            <w:rStyle w:val="Hyperlink"/>
            <w:color w:val="auto"/>
            <w:rtl/>
          </w:rPr>
          <w:fldChar w:fldCharType="end"/>
        </w:r>
      </w:hyperlink>
    </w:p>
    <w:p w14:paraId="67623983" w14:textId="1E3479BC" w:rsidR="000F66B4" w:rsidRPr="00564B9D" w:rsidRDefault="00893651" w:rsidP="000F66B4">
      <w:pPr>
        <w:pStyle w:val="TOC4"/>
        <w:rPr>
          <w:sz w:val="22"/>
          <w:szCs w:val="22"/>
          <w:rtl/>
          <w:lang w:val="en-US" w:eastAsia="zh-CN"/>
        </w:rPr>
      </w:pPr>
      <w:hyperlink w:anchor="_Toc123044929"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Toc123044929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94</w:t>
        </w:r>
        <w:r w:rsidR="000F66B4" w:rsidRPr="00564B9D">
          <w:rPr>
            <w:rStyle w:val="Hyperlink"/>
            <w:color w:val="auto"/>
            <w:rtl/>
          </w:rPr>
          <w:fldChar w:fldCharType="end"/>
        </w:r>
      </w:hyperlink>
    </w:p>
    <w:p w14:paraId="3E4534A0" w14:textId="4685B784" w:rsidR="000F66B4" w:rsidRPr="00564B9D" w:rsidRDefault="00893651">
      <w:pPr>
        <w:pStyle w:val="TOC5"/>
        <w:rPr>
          <w:sz w:val="22"/>
          <w:szCs w:val="22"/>
          <w:rtl/>
          <w:lang w:val="en-US" w:eastAsia="zh-CN"/>
        </w:rPr>
      </w:pPr>
      <w:hyperlink w:anchor="_Toc123044930"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94</w:t>
        </w:r>
        <w:r w:rsidR="000F66B4" w:rsidRPr="00564B9D">
          <w:rPr>
            <w:rStyle w:val="Hyperlink"/>
            <w:color w:val="auto"/>
            <w:rtl/>
          </w:rPr>
          <w:fldChar w:fldCharType="end"/>
        </w:r>
      </w:hyperlink>
    </w:p>
    <w:p w14:paraId="0000B665" w14:textId="6BC48348" w:rsidR="000F66B4" w:rsidRPr="00564B9D" w:rsidRDefault="00893651">
      <w:pPr>
        <w:pStyle w:val="TOC5"/>
        <w:rPr>
          <w:sz w:val="22"/>
          <w:szCs w:val="22"/>
          <w:rtl/>
          <w:lang w:val="en-US" w:eastAsia="zh-CN"/>
        </w:rPr>
      </w:pPr>
      <w:hyperlink w:anchor="_Toc123044931"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95</w:t>
        </w:r>
        <w:r w:rsidR="000F66B4" w:rsidRPr="00564B9D">
          <w:rPr>
            <w:rStyle w:val="Hyperlink"/>
            <w:color w:val="auto"/>
            <w:rtl/>
          </w:rPr>
          <w:fldChar w:fldCharType="end"/>
        </w:r>
      </w:hyperlink>
    </w:p>
    <w:p w14:paraId="3661F31E" w14:textId="66B4BB16" w:rsidR="000F66B4" w:rsidRPr="00564B9D" w:rsidRDefault="00893651">
      <w:pPr>
        <w:pStyle w:val="TOC5"/>
        <w:rPr>
          <w:sz w:val="22"/>
          <w:szCs w:val="22"/>
          <w:rtl/>
          <w:lang w:val="en-US" w:eastAsia="zh-CN"/>
        </w:rPr>
      </w:pPr>
      <w:hyperlink w:anchor="_Toc123044932"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95</w:t>
        </w:r>
        <w:r w:rsidR="000F66B4" w:rsidRPr="00564B9D">
          <w:rPr>
            <w:rStyle w:val="Hyperlink"/>
            <w:color w:val="auto"/>
            <w:rtl/>
          </w:rPr>
          <w:fldChar w:fldCharType="end"/>
        </w:r>
      </w:hyperlink>
    </w:p>
    <w:p w14:paraId="66B8A91A" w14:textId="6D80B569" w:rsidR="000F66B4" w:rsidRPr="00564B9D" w:rsidRDefault="00893651" w:rsidP="000F66B4">
      <w:pPr>
        <w:pStyle w:val="TOC4"/>
        <w:rPr>
          <w:sz w:val="22"/>
          <w:szCs w:val="22"/>
          <w:rtl/>
          <w:lang w:val="en-US" w:eastAsia="zh-CN"/>
        </w:rPr>
      </w:pPr>
      <w:hyperlink w:anchor="_Toc123044933"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95</w:t>
        </w:r>
        <w:r w:rsidR="000F66B4" w:rsidRPr="00564B9D">
          <w:rPr>
            <w:rStyle w:val="Hyperlink"/>
            <w:color w:val="auto"/>
            <w:rtl/>
          </w:rPr>
          <w:fldChar w:fldCharType="end"/>
        </w:r>
      </w:hyperlink>
    </w:p>
    <w:p w14:paraId="553C44F4" w14:textId="3F393E16"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934" w:history="1">
        <w:r w:rsidRPr="00564B9D">
          <w:rPr>
            <w:b/>
            <w:bCs/>
            <w:rtl/>
          </w:rPr>
          <w:t>جزر تركس وكايكوس</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Toc123044934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96</w:t>
        </w:r>
        <w:r w:rsidRPr="00564B9D">
          <w:rPr>
            <w:b/>
            <w:bCs/>
            <w:rtl/>
          </w:rPr>
          <w:fldChar w:fldCharType="end"/>
        </w:r>
      </w:hyperlink>
    </w:p>
    <w:p w14:paraId="042E1DCF" w14:textId="7BB07989" w:rsidR="000F66B4" w:rsidRPr="00564B9D" w:rsidRDefault="00893651" w:rsidP="000F66B4">
      <w:pPr>
        <w:pStyle w:val="TOC4"/>
        <w:rPr>
          <w:sz w:val="22"/>
          <w:szCs w:val="22"/>
          <w:rtl/>
          <w:lang w:val="en-US" w:eastAsia="zh-CN"/>
        </w:rPr>
      </w:pPr>
      <w:hyperlink w:anchor="_Toc123044935"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96</w:t>
        </w:r>
        <w:r w:rsidR="000F66B4" w:rsidRPr="00564B9D">
          <w:rPr>
            <w:rStyle w:val="Hyperlink"/>
            <w:color w:val="auto"/>
            <w:rtl/>
          </w:rPr>
          <w:fldChar w:fldCharType="end"/>
        </w:r>
      </w:hyperlink>
    </w:p>
    <w:p w14:paraId="783A4784" w14:textId="1B51909B" w:rsidR="000F66B4" w:rsidRPr="00564B9D" w:rsidRDefault="00893651">
      <w:pPr>
        <w:pStyle w:val="TOC5"/>
        <w:rPr>
          <w:sz w:val="22"/>
          <w:szCs w:val="22"/>
          <w:rtl/>
          <w:lang w:val="en-US" w:eastAsia="zh-CN"/>
        </w:rPr>
      </w:pPr>
      <w:hyperlink w:anchor="_Toc123044936"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vertAlign w:val="superscript"/>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96</w:t>
        </w:r>
        <w:r w:rsidR="000F66B4" w:rsidRPr="00564B9D">
          <w:rPr>
            <w:rStyle w:val="Hyperlink"/>
            <w:color w:val="auto"/>
            <w:rtl/>
          </w:rPr>
          <w:fldChar w:fldCharType="end"/>
        </w:r>
      </w:hyperlink>
    </w:p>
    <w:p w14:paraId="6ED6916E" w14:textId="6B07486A" w:rsidR="000F66B4" w:rsidRPr="00564B9D" w:rsidRDefault="00893651">
      <w:pPr>
        <w:pStyle w:val="TOC5"/>
        <w:rPr>
          <w:sz w:val="22"/>
          <w:szCs w:val="22"/>
          <w:rtl/>
          <w:lang w:val="en-US" w:eastAsia="zh-CN"/>
        </w:rPr>
      </w:pPr>
      <w:hyperlink w:anchor="_Toc123044937"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100</w:t>
        </w:r>
        <w:r w:rsidR="000F66B4" w:rsidRPr="00564B9D">
          <w:rPr>
            <w:rStyle w:val="Hyperlink"/>
            <w:color w:val="auto"/>
            <w:rtl/>
          </w:rPr>
          <w:fldChar w:fldCharType="end"/>
        </w:r>
      </w:hyperlink>
    </w:p>
    <w:p w14:paraId="38961A2E" w14:textId="5F6AD5EE" w:rsidR="000F66B4" w:rsidRPr="00564B9D" w:rsidRDefault="00893651" w:rsidP="000F66B4">
      <w:pPr>
        <w:pStyle w:val="TOC4"/>
        <w:rPr>
          <w:sz w:val="22"/>
          <w:szCs w:val="22"/>
          <w:rtl/>
          <w:lang w:val="en-US" w:eastAsia="zh-CN"/>
        </w:rPr>
      </w:pPr>
      <w:hyperlink w:anchor="_Toc123044938"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100</w:t>
        </w:r>
        <w:r w:rsidR="000F66B4" w:rsidRPr="00564B9D">
          <w:rPr>
            <w:rStyle w:val="Hyperlink"/>
            <w:color w:val="auto"/>
            <w:rtl/>
          </w:rPr>
          <w:fldChar w:fldCharType="end"/>
        </w:r>
      </w:hyperlink>
    </w:p>
    <w:p w14:paraId="71771BDE" w14:textId="64922B38" w:rsidR="000F66B4" w:rsidRPr="00564B9D" w:rsidRDefault="00893651">
      <w:pPr>
        <w:pStyle w:val="TOC5"/>
        <w:rPr>
          <w:sz w:val="22"/>
          <w:szCs w:val="22"/>
          <w:rtl/>
          <w:lang w:val="en-US" w:eastAsia="zh-CN"/>
        </w:rPr>
      </w:pPr>
      <w:hyperlink w:anchor="_Toc123044939"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Toc123044939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100</w:t>
        </w:r>
        <w:r w:rsidR="000F66B4" w:rsidRPr="00564B9D">
          <w:rPr>
            <w:rStyle w:val="Hyperlink"/>
            <w:color w:val="auto"/>
            <w:rtl/>
          </w:rPr>
          <w:fldChar w:fldCharType="end"/>
        </w:r>
      </w:hyperlink>
    </w:p>
    <w:p w14:paraId="01750698" w14:textId="13255056" w:rsidR="000F66B4" w:rsidRPr="00564B9D" w:rsidRDefault="00893651">
      <w:pPr>
        <w:pStyle w:val="TOC5"/>
        <w:rPr>
          <w:sz w:val="22"/>
          <w:szCs w:val="22"/>
          <w:rtl/>
          <w:lang w:val="en-US" w:eastAsia="zh-CN"/>
        </w:rPr>
      </w:pPr>
      <w:hyperlink w:anchor="_Toc123044940"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101</w:t>
        </w:r>
        <w:r w:rsidR="000F66B4" w:rsidRPr="00564B9D">
          <w:rPr>
            <w:rStyle w:val="Hyperlink"/>
            <w:color w:val="auto"/>
            <w:rtl/>
          </w:rPr>
          <w:fldChar w:fldCharType="end"/>
        </w:r>
      </w:hyperlink>
    </w:p>
    <w:p w14:paraId="018A9AE9" w14:textId="07A8A944" w:rsidR="000F66B4" w:rsidRPr="00564B9D" w:rsidRDefault="00893651">
      <w:pPr>
        <w:pStyle w:val="TOC5"/>
        <w:rPr>
          <w:sz w:val="22"/>
          <w:szCs w:val="22"/>
          <w:rtl/>
          <w:lang w:val="en-US" w:eastAsia="zh-CN"/>
        </w:rPr>
      </w:pPr>
      <w:hyperlink w:anchor="_Toc123044941"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102</w:t>
        </w:r>
        <w:r w:rsidR="000F66B4" w:rsidRPr="00564B9D">
          <w:rPr>
            <w:rStyle w:val="Hyperlink"/>
            <w:color w:val="auto"/>
            <w:rtl/>
          </w:rPr>
          <w:fldChar w:fldCharType="end"/>
        </w:r>
      </w:hyperlink>
    </w:p>
    <w:p w14:paraId="3D659E22" w14:textId="75D32DE0" w:rsidR="000F66B4" w:rsidRPr="00564B9D" w:rsidRDefault="00893651" w:rsidP="000F66B4">
      <w:pPr>
        <w:pStyle w:val="TOC4"/>
        <w:rPr>
          <w:sz w:val="22"/>
          <w:szCs w:val="22"/>
          <w:rtl/>
          <w:lang w:val="en-US" w:eastAsia="zh-CN"/>
        </w:rPr>
      </w:pPr>
      <w:hyperlink w:anchor="_Toc123044942"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102</w:t>
        </w:r>
        <w:r w:rsidR="000F66B4" w:rsidRPr="00564B9D">
          <w:rPr>
            <w:rStyle w:val="Hyperlink"/>
            <w:color w:val="auto"/>
            <w:rtl/>
          </w:rPr>
          <w:fldChar w:fldCharType="end"/>
        </w:r>
      </w:hyperlink>
    </w:p>
    <w:p w14:paraId="7E705A3F" w14:textId="5EE0AC72"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943" w:history="1">
        <w:r w:rsidRPr="00564B9D">
          <w:rPr>
            <w:b/>
            <w:bCs/>
            <w:rtl/>
          </w:rPr>
          <w:t>جزر فرجن (المعروفة بجزر فرجن البريطانية)</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Toc123044943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102</w:t>
        </w:r>
        <w:r w:rsidRPr="00564B9D">
          <w:rPr>
            <w:b/>
            <w:bCs/>
            <w:rtl/>
          </w:rPr>
          <w:fldChar w:fldCharType="end"/>
        </w:r>
      </w:hyperlink>
    </w:p>
    <w:p w14:paraId="374316F4" w14:textId="1C9ED711" w:rsidR="000F66B4" w:rsidRPr="00564B9D" w:rsidRDefault="00893651" w:rsidP="000F66B4">
      <w:pPr>
        <w:pStyle w:val="TOC4"/>
        <w:rPr>
          <w:sz w:val="22"/>
          <w:szCs w:val="22"/>
          <w:rtl/>
          <w:lang w:val="en-US" w:eastAsia="zh-CN"/>
        </w:rPr>
      </w:pPr>
      <w:hyperlink w:anchor="_Toc123044944"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102</w:t>
        </w:r>
        <w:r w:rsidR="000F66B4" w:rsidRPr="00564B9D">
          <w:rPr>
            <w:rStyle w:val="Hyperlink"/>
            <w:color w:val="auto"/>
            <w:rtl/>
          </w:rPr>
          <w:fldChar w:fldCharType="end"/>
        </w:r>
      </w:hyperlink>
    </w:p>
    <w:p w14:paraId="23D4500E" w14:textId="5A2DC252" w:rsidR="000F66B4" w:rsidRPr="00564B9D" w:rsidRDefault="00893651">
      <w:pPr>
        <w:pStyle w:val="TOC5"/>
        <w:rPr>
          <w:sz w:val="22"/>
          <w:szCs w:val="22"/>
          <w:rtl/>
          <w:lang w:val="en-US" w:eastAsia="zh-CN"/>
        </w:rPr>
      </w:pPr>
      <w:hyperlink w:anchor="_Toc123044945"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102</w:t>
        </w:r>
        <w:r w:rsidR="000F66B4" w:rsidRPr="00564B9D">
          <w:rPr>
            <w:rStyle w:val="Hyperlink"/>
            <w:color w:val="auto"/>
            <w:rtl/>
          </w:rPr>
          <w:fldChar w:fldCharType="end"/>
        </w:r>
      </w:hyperlink>
    </w:p>
    <w:p w14:paraId="230FF285" w14:textId="0482E570" w:rsidR="000F66B4" w:rsidRPr="00564B9D" w:rsidRDefault="00893651">
      <w:pPr>
        <w:pStyle w:val="TOC5"/>
        <w:rPr>
          <w:sz w:val="22"/>
          <w:szCs w:val="22"/>
          <w:rtl/>
          <w:lang w:val="en-US" w:eastAsia="zh-CN"/>
        </w:rPr>
      </w:pPr>
      <w:hyperlink w:anchor="_Toc123044946"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108</w:t>
        </w:r>
        <w:r w:rsidR="000F66B4" w:rsidRPr="00564B9D">
          <w:rPr>
            <w:rStyle w:val="Hyperlink"/>
            <w:color w:val="auto"/>
            <w:rtl/>
          </w:rPr>
          <w:fldChar w:fldCharType="end"/>
        </w:r>
      </w:hyperlink>
    </w:p>
    <w:p w14:paraId="35D78C18" w14:textId="5DB1B9CF" w:rsidR="000F66B4" w:rsidRPr="00564B9D" w:rsidRDefault="00893651" w:rsidP="000F66B4">
      <w:pPr>
        <w:pStyle w:val="TOC4"/>
        <w:rPr>
          <w:sz w:val="22"/>
          <w:szCs w:val="22"/>
          <w:rtl/>
          <w:lang w:val="en-US" w:eastAsia="zh-CN"/>
        </w:rPr>
      </w:pPr>
      <w:hyperlink w:anchor="_Toc123044947"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109</w:t>
        </w:r>
        <w:r w:rsidR="000F66B4" w:rsidRPr="00564B9D">
          <w:rPr>
            <w:rStyle w:val="Hyperlink"/>
            <w:color w:val="auto"/>
            <w:rtl/>
          </w:rPr>
          <w:fldChar w:fldCharType="end"/>
        </w:r>
      </w:hyperlink>
    </w:p>
    <w:p w14:paraId="29263BE7" w14:textId="4B6E0756" w:rsidR="000F66B4" w:rsidRPr="00564B9D" w:rsidRDefault="00893651">
      <w:pPr>
        <w:pStyle w:val="TOC5"/>
        <w:rPr>
          <w:sz w:val="22"/>
          <w:szCs w:val="22"/>
          <w:rtl/>
          <w:lang w:val="en-US" w:eastAsia="zh-CN"/>
        </w:rPr>
      </w:pPr>
      <w:hyperlink w:anchor="_Toc123044948"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109</w:t>
        </w:r>
        <w:r w:rsidR="000F66B4" w:rsidRPr="00564B9D">
          <w:rPr>
            <w:rStyle w:val="Hyperlink"/>
            <w:color w:val="auto"/>
            <w:rtl/>
          </w:rPr>
          <w:fldChar w:fldCharType="end"/>
        </w:r>
      </w:hyperlink>
    </w:p>
    <w:p w14:paraId="3AD4D5D3" w14:textId="753F45B1" w:rsidR="000F66B4" w:rsidRPr="00564B9D" w:rsidRDefault="00893651">
      <w:pPr>
        <w:pStyle w:val="TOC5"/>
        <w:rPr>
          <w:sz w:val="22"/>
          <w:szCs w:val="22"/>
          <w:rtl/>
          <w:lang w:val="en-US" w:eastAsia="zh-CN"/>
        </w:rPr>
      </w:pPr>
      <w:hyperlink w:anchor="_Toc123044949"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Toc123044949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109</w:t>
        </w:r>
        <w:r w:rsidR="000F66B4" w:rsidRPr="00564B9D">
          <w:rPr>
            <w:rStyle w:val="Hyperlink"/>
            <w:color w:val="auto"/>
            <w:rtl/>
          </w:rPr>
          <w:fldChar w:fldCharType="end"/>
        </w:r>
      </w:hyperlink>
    </w:p>
    <w:p w14:paraId="121BCF61" w14:textId="1460143C" w:rsidR="000F66B4" w:rsidRPr="00564B9D" w:rsidRDefault="00893651">
      <w:pPr>
        <w:pStyle w:val="TOC5"/>
        <w:rPr>
          <w:sz w:val="22"/>
          <w:szCs w:val="22"/>
          <w:rtl/>
          <w:lang w:val="en-US" w:eastAsia="zh-CN"/>
        </w:rPr>
      </w:pPr>
      <w:hyperlink w:anchor="_Toc123044950"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110</w:t>
        </w:r>
        <w:r w:rsidR="000F66B4" w:rsidRPr="00564B9D">
          <w:rPr>
            <w:rStyle w:val="Hyperlink"/>
            <w:color w:val="auto"/>
            <w:rtl/>
          </w:rPr>
          <w:fldChar w:fldCharType="end"/>
        </w:r>
      </w:hyperlink>
    </w:p>
    <w:p w14:paraId="4FEF79E7" w14:textId="081E45D1" w:rsidR="000F66B4" w:rsidRPr="00564B9D" w:rsidRDefault="00893651" w:rsidP="000F66B4">
      <w:pPr>
        <w:pStyle w:val="TOC4"/>
        <w:rPr>
          <w:rStyle w:val="Hyperlink"/>
          <w:color w:val="auto"/>
          <w:rtl/>
        </w:rPr>
      </w:pPr>
      <w:hyperlink w:anchor="_Toc123044951"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Toc123044951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110</w:t>
        </w:r>
        <w:r w:rsidR="000F66B4" w:rsidRPr="00564B9D">
          <w:rPr>
            <w:rStyle w:val="Hyperlink"/>
            <w:color w:val="auto"/>
            <w:rtl/>
          </w:rPr>
          <w:fldChar w:fldCharType="end"/>
        </w:r>
      </w:hyperlink>
    </w:p>
    <w:p w14:paraId="2EAFA1F1" w14:textId="5BE74E96" w:rsidR="004A0DA9" w:rsidRPr="00564B9D" w:rsidRDefault="004A0DA9" w:rsidP="004A0DA9">
      <w:pPr>
        <w:pStyle w:val="TOC4"/>
        <w:spacing w:before="240"/>
        <w:rPr>
          <w:b/>
          <w:bCs/>
          <w:rtl/>
        </w:rPr>
      </w:pPr>
      <w:r w:rsidRPr="00564B9D">
        <w:rPr>
          <w:b/>
          <w:bCs/>
          <w:rtl/>
        </w:rPr>
        <w:tab/>
      </w:r>
      <w:r w:rsidRPr="00564B9D">
        <w:rPr>
          <w:b/>
          <w:bCs/>
          <w:rtl/>
        </w:rPr>
        <w:tab/>
      </w:r>
      <w:r w:rsidRPr="00564B9D">
        <w:rPr>
          <w:b/>
          <w:bCs/>
          <w:rtl/>
        </w:rPr>
        <w:tab/>
      </w:r>
      <w:r w:rsidRPr="00564B9D">
        <w:rPr>
          <w:b/>
          <w:bCs/>
          <w:rtl/>
        </w:rPr>
        <w:fldChar w:fldCharType="begin"/>
      </w:r>
      <w:r w:rsidRPr="00564B9D">
        <w:rPr>
          <w:b/>
          <w:bCs/>
          <w:rtl/>
        </w:rPr>
        <w:instrText xml:space="preserve"> </w:instrText>
      </w:r>
      <w:r w:rsidRPr="00564B9D">
        <w:rPr>
          <w:b/>
          <w:bCs/>
        </w:rPr>
        <w:instrText>REF</w:instrText>
      </w:r>
      <w:r w:rsidRPr="00564B9D">
        <w:rPr>
          <w:b/>
          <w:bCs/>
          <w:rtl/>
        </w:rPr>
        <w:instrText xml:space="preserve"> </w:instrText>
      </w:r>
      <w:r w:rsidRPr="00564B9D">
        <w:rPr>
          <w:b/>
          <w:bCs/>
        </w:rPr>
        <w:instrText>TER \h</w:instrText>
      </w:r>
      <w:r w:rsidRPr="00564B9D">
        <w:rPr>
          <w:b/>
          <w:bCs/>
          <w:rtl/>
        </w:rPr>
        <w:instrText xml:space="preserve">  \* </w:instrText>
      </w:r>
      <w:r w:rsidRPr="00564B9D">
        <w:rPr>
          <w:b/>
          <w:bCs/>
        </w:rPr>
        <w:instrText>MERGEFORMAT</w:instrText>
      </w:r>
      <w:r w:rsidRPr="00564B9D">
        <w:rPr>
          <w:b/>
          <w:bCs/>
          <w:rtl/>
        </w:rPr>
        <w:instrText xml:space="preserve"> </w:instrText>
      </w:r>
      <w:r w:rsidRPr="00564B9D">
        <w:rPr>
          <w:b/>
          <w:bCs/>
          <w:rtl/>
        </w:rPr>
      </w:r>
      <w:r w:rsidRPr="00564B9D">
        <w:rPr>
          <w:b/>
          <w:bCs/>
          <w:rtl/>
        </w:rPr>
        <w:fldChar w:fldCharType="separate"/>
      </w:r>
      <w:r w:rsidR="00020ED2" w:rsidRPr="00020ED2">
        <w:rPr>
          <w:rFonts w:hint="cs"/>
          <w:b/>
          <w:bCs/>
          <w:rtl/>
        </w:rPr>
        <w:t>الأقاليم التابعة للتاج</w:t>
      </w:r>
      <w:r w:rsidRPr="00564B9D">
        <w:rPr>
          <w:b/>
          <w:bCs/>
          <w:rtl/>
        </w:rPr>
        <w:fldChar w:fldCharType="end"/>
      </w:r>
      <w:r w:rsidRPr="00564B9D">
        <w:rPr>
          <w:b/>
          <w:bCs/>
          <w:rtl/>
        </w:rPr>
        <w:tab/>
      </w:r>
      <w:r w:rsidRPr="00564B9D">
        <w:rPr>
          <w:b/>
          <w:bCs/>
          <w:rtl/>
        </w:rPr>
        <w:tab/>
      </w:r>
      <w:r w:rsidRPr="00564B9D">
        <w:rPr>
          <w:b/>
          <w:bCs/>
          <w:rtl/>
        </w:rPr>
        <w:fldChar w:fldCharType="begin"/>
      </w:r>
      <w:r w:rsidRPr="00564B9D">
        <w:rPr>
          <w:b/>
          <w:bCs/>
          <w:rtl/>
        </w:rPr>
        <w:instrText xml:space="preserve"> </w:instrText>
      </w:r>
      <w:r w:rsidRPr="00564B9D">
        <w:rPr>
          <w:b/>
          <w:bCs/>
        </w:rPr>
        <w:instrText>PAGEREF</w:instrText>
      </w:r>
      <w:r w:rsidRPr="00564B9D">
        <w:rPr>
          <w:b/>
          <w:bCs/>
          <w:rtl/>
        </w:rPr>
        <w:instrText xml:space="preserve"> </w:instrText>
      </w:r>
      <w:r w:rsidRPr="00564B9D">
        <w:rPr>
          <w:b/>
          <w:bCs/>
        </w:rPr>
        <w:instrText>TER \h</w:instrText>
      </w:r>
      <w:r w:rsidRPr="00564B9D">
        <w:rPr>
          <w:b/>
          <w:bCs/>
          <w:rtl/>
        </w:rPr>
        <w:instrText xml:space="preserve"> </w:instrText>
      </w:r>
      <w:r w:rsidRPr="00564B9D">
        <w:rPr>
          <w:b/>
          <w:bCs/>
          <w:rtl/>
        </w:rPr>
      </w:r>
      <w:r w:rsidRPr="00564B9D">
        <w:rPr>
          <w:b/>
          <w:bCs/>
          <w:rtl/>
        </w:rPr>
        <w:fldChar w:fldCharType="separate"/>
      </w:r>
      <w:r w:rsidR="00020ED2">
        <w:rPr>
          <w:b/>
          <w:bCs/>
          <w:rtl/>
        </w:rPr>
        <w:t>110</w:t>
      </w:r>
      <w:r w:rsidRPr="00564B9D">
        <w:rPr>
          <w:b/>
          <w:bCs/>
          <w:rtl/>
        </w:rPr>
        <w:fldChar w:fldCharType="end"/>
      </w:r>
    </w:p>
    <w:p w14:paraId="31247F91" w14:textId="590B9D56"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952" w:history="1">
        <w:r w:rsidRPr="00564B9D">
          <w:rPr>
            <w:b/>
            <w:bCs/>
            <w:rtl/>
          </w:rPr>
          <w:t>إقليم غيرنسي</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Toc123044952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110</w:t>
        </w:r>
        <w:r w:rsidRPr="00564B9D">
          <w:rPr>
            <w:b/>
            <w:bCs/>
            <w:rtl/>
          </w:rPr>
          <w:fldChar w:fldCharType="end"/>
        </w:r>
      </w:hyperlink>
    </w:p>
    <w:p w14:paraId="603E9FB0" w14:textId="6814078E" w:rsidR="000F66B4" w:rsidRPr="00564B9D" w:rsidRDefault="00893651" w:rsidP="000F66B4">
      <w:pPr>
        <w:pStyle w:val="TOC4"/>
        <w:rPr>
          <w:sz w:val="22"/>
          <w:szCs w:val="22"/>
          <w:rtl/>
          <w:lang w:val="en-US" w:eastAsia="zh-CN"/>
        </w:rPr>
      </w:pPr>
      <w:hyperlink w:anchor="_Toc123044953"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110</w:t>
        </w:r>
        <w:r w:rsidR="000F66B4" w:rsidRPr="00564B9D">
          <w:rPr>
            <w:rStyle w:val="Hyperlink"/>
            <w:color w:val="auto"/>
            <w:rtl/>
          </w:rPr>
          <w:fldChar w:fldCharType="end"/>
        </w:r>
      </w:hyperlink>
    </w:p>
    <w:p w14:paraId="5D80FDC0" w14:textId="42EB90A6" w:rsidR="000F66B4" w:rsidRPr="00564B9D" w:rsidRDefault="00893651">
      <w:pPr>
        <w:pStyle w:val="TOC5"/>
        <w:rPr>
          <w:sz w:val="22"/>
          <w:szCs w:val="22"/>
          <w:rtl/>
          <w:lang w:val="en-US" w:eastAsia="zh-CN"/>
        </w:rPr>
      </w:pPr>
      <w:hyperlink w:anchor="_Toc123044954"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110</w:t>
        </w:r>
        <w:r w:rsidR="000F66B4" w:rsidRPr="00564B9D">
          <w:rPr>
            <w:rStyle w:val="Hyperlink"/>
            <w:color w:val="auto"/>
            <w:rtl/>
          </w:rPr>
          <w:fldChar w:fldCharType="end"/>
        </w:r>
      </w:hyperlink>
    </w:p>
    <w:p w14:paraId="38938E49" w14:textId="72E3DEED" w:rsidR="000F66B4" w:rsidRPr="00564B9D" w:rsidRDefault="00893651">
      <w:pPr>
        <w:pStyle w:val="TOC5"/>
        <w:rPr>
          <w:sz w:val="22"/>
          <w:szCs w:val="22"/>
          <w:rtl/>
          <w:lang w:val="en-US" w:eastAsia="zh-CN"/>
        </w:rPr>
      </w:pPr>
      <w:hyperlink w:anchor="_Toc123044955"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117</w:t>
        </w:r>
        <w:r w:rsidR="000F66B4" w:rsidRPr="00564B9D">
          <w:rPr>
            <w:rStyle w:val="Hyperlink"/>
            <w:color w:val="auto"/>
            <w:rtl/>
          </w:rPr>
          <w:fldChar w:fldCharType="end"/>
        </w:r>
      </w:hyperlink>
    </w:p>
    <w:p w14:paraId="0FC650B4" w14:textId="3DC14485" w:rsidR="000F66B4" w:rsidRPr="00564B9D" w:rsidRDefault="00893651" w:rsidP="000F66B4">
      <w:pPr>
        <w:pStyle w:val="TOC4"/>
        <w:rPr>
          <w:sz w:val="22"/>
          <w:szCs w:val="22"/>
          <w:rtl/>
          <w:lang w:val="en-US" w:eastAsia="zh-CN"/>
        </w:rPr>
      </w:pPr>
      <w:hyperlink w:anchor="_Toc123044956"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120</w:t>
        </w:r>
        <w:r w:rsidR="000F66B4" w:rsidRPr="00564B9D">
          <w:rPr>
            <w:rStyle w:val="Hyperlink"/>
            <w:color w:val="auto"/>
            <w:rtl/>
          </w:rPr>
          <w:fldChar w:fldCharType="end"/>
        </w:r>
      </w:hyperlink>
    </w:p>
    <w:p w14:paraId="4612B61F" w14:textId="3825A42A" w:rsidR="000F66B4" w:rsidRPr="00564B9D" w:rsidRDefault="00893651">
      <w:pPr>
        <w:pStyle w:val="TOC5"/>
        <w:rPr>
          <w:sz w:val="22"/>
          <w:szCs w:val="22"/>
          <w:rtl/>
          <w:lang w:val="en-US" w:eastAsia="zh-CN"/>
        </w:rPr>
      </w:pPr>
      <w:hyperlink w:anchor="_Toc123044957"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120</w:t>
        </w:r>
        <w:r w:rsidR="000F66B4" w:rsidRPr="00564B9D">
          <w:rPr>
            <w:rStyle w:val="Hyperlink"/>
            <w:color w:val="auto"/>
            <w:rtl/>
          </w:rPr>
          <w:fldChar w:fldCharType="end"/>
        </w:r>
      </w:hyperlink>
    </w:p>
    <w:p w14:paraId="56E1ADF5" w14:textId="053019BB" w:rsidR="000F66B4" w:rsidRPr="00564B9D" w:rsidRDefault="00893651">
      <w:pPr>
        <w:pStyle w:val="TOC5"/>
        <w:rPr>
          <w:sz w:val="22"/>
          <w:szCs w:val="22"/>
          <w:rtl/>
          <w:lang w:val="en-US" w:eastAsia="zh-CN"/>
        </w:rPr>
      </w:pPr>
      <w:hyperlink w:anchor="_Toc123044958"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121</w:t>
        </w:r>
        <w:r w:rsidR="000F66B4" w:rsidRPr="00564B9D">
          <w:rPr>
            <w:rStyle w:val="Hyperlink"/>
            <w:color w:val="auto"/>
            <w:rtl/>
          </w:rPr>
          <w:fldChar w:fldCharType="end"/>
        </w:r>
      </w:hyperlink>
    </w:p>
    <w:p w14:paraId="2ADB8305" w14:textId="409383F2" w:rsidR="000F66B4" w:rsidRPr="00564B9D" w:rsidRDefault="00893651">
      <w:pPr>
        <w:pStyle w:val="TOC5"/>
        <w:rPr>
          <w:sz w:val="22"/>
          <w:szCs w:val="22"/>
          <w:rtl/>
          <w:lang w:val="en-US" w:eastAsia="zh-CN"/>
        </w:rPr>
      </w:pPr>
      <w:hyperlink w:anchor="_Toc123044959"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Toc123044959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121</w:t>
        </w:r>
        <w:r w:rsidR="000F66B4" w:rsidRPr="00564B9D">
          <w:rPr>
            <w:rStyle w:val="Hyperlink"/>
            <w:color w:val="auto"/>
            <w:rtl/>
          </w:rPr>
          <w:fldChar w:fldCharType="end"/>
        </w:r>
      </w:hyperlink>
    </w:p>
    <w:p w14:paraId="423E29B0" w14:textId="1F64FB73" w:rsidR="000F66B4" w:rsidRPr="00564B9D" w:rsidRDefault="00893651" w:rsidP="000F66B4">
      <w:pPr>
        <w:pStyle w:val="TOC4"/>
        <w:rPr>
          <w:sz w:val="22"/>
          <w:szCs w:val="22"/>
          <w:rtl/>
          <w:lang w:val="en-US" w:eastAsia="zh-CN"/>
        </w:rPr>
      </w:pPr>
      <w:hyperlink w:anchor="_Toc123044960"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122</w:t>
        </w:r>
        <w:r w:rsidR="000F66B4" w:rsidRPr="00564B9D">
          <w:rPr>
            <w:rStyle w:val="Hyperlink"/>
            <w:color w:val="auto"/>
            <w:rtl/>
          </w:rPr>
          <w:fldChar w:fldCharType="end"/>
        </w:r>
      </w:hyperlink>
    </w:p>
    <w:p w14:paraId="65D21ABA" w14:textId="6335C52D" w:rsidR="000F66B4" w:rsidRPr="00564B9D" w:rsidRDefault="000F66B4" w:rsidP="00777024">
      <w:pPr>
        <w:pStyle w:val="TOC4"/>
        <w:keepNext/>
        <w:spacing w:before="240"/>
        <w:rPr>
          <w:b/>
          <w:bCs/>
          <w:rtl/>
        </w:rPr>
      </w:pPr>
      <w:r w:rsidRPr="00564B9D">
        <w:rPr>
          <w:b/>
          <w:bCs/>
          <w:rtl/>
        </w:rPr>
        <w:lastRenderedPageBreak/>
        <w:tab/>
      </w:r>
      <w:r w:rsidRPr="00564B9D">
        <w:rPr>
          <w:b/>
          <w:bCs/>
          <w:rtl/>
        </w:rPr>
        <w:tab/>
      </w:r>
      <w:r w:rsidRPr="00564B9D">
        <w:rPr>
          <w:b/>
          <w:bCs/>
          <w:rtl/>
        </w:rPr>
        <w:tab/>
      </w:r>
      <w:hyperlink w:anchor="_Toc123044961" w:history="1">
        <w:r w:rsidRPr="00564B9D">
          <w:rPr>
            <w:b/>
            <w:bCs/>
            <w:rtl/>
          </w:rPr>
          <w:t>إقليم جيرسي</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Toc123044961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122</w:t>
        </w:r>
        <w:r w:rsidRPr="00564B9D">
          <w:rPr>
            <w:b/>
            <w:bCs/>
            <w:rtl/>
          </w:rPr>
          <w:fldChar w:fldCharType="end"/>
        </w:r>
      </w:hyperlink>
    </w:p>
    <w:p w14:paraId="485850F3" w14:textId="6C9333EF" w:rsidR="000F66B4" w:rsidRPr="00564B9D" w:rsidRDefault="00893651" w:rsidP="000F66B4">
      <w:pPr>
        <w:pStyle w:val="TOC4"/>
        <w:rPr>
          <w:sz w:val="22"/>
          <w:szCs w:val="22"/>
          <w:rtl/>
          <w:lang w:val="en-US" w:eastAsia="zh-CN"/>
        </w:rPr>
      </w:pPr>
      <w:hyperlink w:anchor="_Toc123044962"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122</w:t>
        </w:r>
        <w:r w:rsidR="000F66B4" w:rsidRPr="00564B9D">
          <w:rPr>
            <w:rStyle w:val="Hyperlink"/>
            <w:color w:val="auto"/>
            <w:rtl/>
          </w:rPr>
          <w:fldChar w:fldCharType="end"/>
        </w:r>
      </w:hyperlink>
    </w:p>
    <w:p w14:paraId="7F264C05" w14:textId="3169348E" w:rsidR="000F66B4" w:rsidRPr="00564B9D" w:rsidRDefault="00893651">
      <w:pPr>
        <w:pStyle w:val="TOC5"/>
        <w:rPr>
          <w:sz w:val="22"/>
          <w:szCs w:val="22"/>
          <w:rtl/>
          <w:lang w:val="en-US" w:eastAsia="zh-CN"/>
        </w:rPr>
      </w:pPr>
      <w:hyperlink w:anchor="_Toc123044963"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122</w:t>
        </w:r>
        <w:r w:rsidR="000F66B4" w:rsidRPr="00564B9D">
          <w:rPr>
            <w:rStyle w:val="Hyperlink"/>
            <w:color w:val="auto"/>
            <w:rtl/>
          </w:rPr>
          <w:fldChar w:fldCharType="end"/>
        </w:r>
      </w:hyperlink>
    </w:p>
    <w:p w14:paraId="7B3F6289" w14:textId="466A862E" w:rsidR="000F66B4" w:rsidRPr="00564B9D" w:rsidRDefault="00893651">
      <w:pPr>
        <w:pStyle w:val="TOC5"/>
        <w:rPr>
          <w:sz w:val="22"/>
          <w:szCs w:val="22"/>
          <w:rtl/>
          <w:lang w:val="en-US" w:eastAsia="zh-CN"/>
        </w:rPr>
      </w:pPr>
      <w:hyperlink w:anchor="_Toc123044964"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127</w:t>
        </w:r>
        <w:r w:rsidR="000F66B4" w:rsidRPr="00564B9D">
          <w:rPr>
            <w:rStyle w:val="Hyperlink"/>
            <w:color w:val="auto"/>
            <w:rtl/>
          </w:rPr>
          <w:fldChar w:fldCharType="end"/>
        </w:r>
      </w:hyperlink>
    </w:p>
    <w:p w14:paraId="49B41263" w14:textId="48C846BF" w:rsidR="000F66B4" w:rsidRPr="00564B9D" w:rsidRDefault="00893651" w:rsidP="000F66B4">
      <w:pPr>
        <w:pStyle w:val="TOC4"/>
        <w:rPr>
          <w:sz w:val="22"/>
          <w:szCs w:val="22"/>
          <w:rtl/>
          <w:lang w:val="en-US" w:eastAsia="zh-CN"/>
        </w:rPr>
      </w:pPr>
      <w:hyperlink w:anchor="_Toc123044965"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129</w:t>
        </w:r>
        <w:r w:rsidR="000F66B4" w:rsidRPr="00564B9D">
          <w:rPr>
            <w:rStyle w:val="Hyperlink"/>
            <w:color w:val="auto"/>
            <w:rtl/>
          </w:rPr>
          <w:fldChar w:fldCharType="end"/>
        </w:r>
      </w:hyperlink>
    </w:p>
    <w:p w14:paraId="1C323A1B" w14:textId="5D511EFF" w:rsidR="000F66B4" w:rsidRPr="00564B9D" w:rsidRDefault="00893651">
      <w:pPr>
        <w:pStyle w:val="TOC5"/>
        <w:rPr>
          <w:sz w:val="22"/>
          <w:szCs w:val="22"/>
          <w:rtl/>
          <w:lang w:val="en-US" w:eastAsia="zh-CN"/>
        </w:rPr>
      </w:pPr>
      <w:hyperlink w:anchor="_Toc123044966"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129</w:t>
        </w:r>
        <w:r w:rsidR="000F66B4" w:rsidRPr="00564B9D">
          <w:rPr>
            <w:rStyle w:val="Hyperlink"/>
            <w:color w:val="auto"/>
            <w:rtl/>
          </w:rPr>
          <w:fldChar w:fldCharType="end"/>
        </w:r>
      </w:hyperlink>
    </w:p>
    <w:p w14:paraId="4DEBE4FD" w14:textId="1F26C6DA" w:rsidR="000F66B4" w:rsidRPr="00564B9D" w:rsidRDefault="00893651">
      <w:pPr>
        <w:pStyle w:val="TOC5"/>
        <w:rPr>
          <w:sz w:val="22"/>
          <w:szCs w:val="22"/>
          <w:rtl/>
          <w:lang w:val="en-US" w:eastAsia="zh-CN"/>
        </w:rPr>
      </w:pPr>
      <w:hyperlink w:anchor="_Toc123044967"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130</w:t>
        </w:r>
        <w:r w:rsidR="000F66B4" w:rsidRPr="00564B9D">
          <w:rPr>
            <w:rStyle w:val="Hyperlink"/>
            <w:color w:val="auto"/>
            <w:rtl/>
          </w:rPr>
          <w:fldChar w:fldCharType="end"/>
        </w:r>
      </w:hyperlink>
    </w:p>
    <w:p w14:paraId="6DBCAD2D" w14:textId="072C690A" w:rsidR="000F66B4" w:rsidRPr="00564B9D" w:rsidRDefault="00893651">
      <w:pPr>
        <w:pStyle w:val="TOC5"/>
        <w:rPr>
          <w:sz w:val="22"/>
          <w:szCs w:val="22"/>
          <w:rtl/>
          <w:lang w:val="en-US" w:eastAsia="zh-CN"/>
        </w:rPr>
      </w:pPr>
      <w:hyperlink w:anchor="_Toc123044968"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مؤسسات حقوق الإنسان لتعزيز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130</w:t>
        </w:r>
        <w:r w:rsidR="000F66B4" w:rsidRPr="00564B9D">
          <w:rPr>
            <w:rStyle w:val="Hyperlink"/>
            <w:color w:val="auto"/>
            <w:rtl/>
          </w:rPr>
          <w:fldChar w:fldCharType="end"/>
        </w:r>
      </w:hyperlink>
    </w:p>
    <w:p w14:paraId="7A4C8D6E" w14:textId="4BBF0C66" w:rsidR="000F66B4" w:rsidRPr="00564B9D" w:rsidRDefault="00893651">
      <w:pPr>
        <w:pStyle w:val="TOC5"/>
        <w:rPr>
          <w:sz w:val="22"/>
          <w:szCs w:val="22"/>
          <w:rtl/>
          <w:lang w:val="en-US" w:eastAsia="zh-CN"/>
        </w:rPr>
      </w:pPr>
      <w:hyperlink w:anchor="_Toc123044969" w:history="1">
        <w:r w:rsidR="000F66B4" w:rsidRPr="00564B9D">
          <w:rPr>
            <w:rStyle w:val="Hyperlink"/>
            <w:color w:val="auto"/>
            <w:rtl/>
          </w:rPr>
          <w:t>دال</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Toc123044969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130</w:t>
        </w:r>
        <w:r w:rsidR="000F66B4" w:rsidRPr="00564B9D">
          <w:rPr>
            <w:rStyle w:val="Hyperlink"/>
            <w:color w:val="auto"/>
            <w:rtl/>
          </w:rPr>
          <w:fldChar w:fldCharType="end"/>
        </w:r>
      </w:hyperlink>
    </w:p>
    <w:p w14:paraId="65DABF5A" w14:textId="18CEBA32" w:rsidR="000F66B4" w:rsidRPr="00564B9D" w:rsidRDefault="00893651" w:rsidP="000F66B4">
      <w:pPr>
        <w:pStyle w:val="TOC4"/>
        <w:rPr>
          <w:sz w:val="22"/>
          <w:szCs w:val="22"/>
          <w:rtl/>
          <w:lang w:val="en-US" w:eastAsia="zh-CN"/>
        </w:rPr>
      </w:pPr>
      <w:hyperlink w:anchor="_Toc123044970"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Toc123044970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131</w:t>
        </w:r>
        <w:r w:rsidR="000F66B4" w:rsidRPr="00564B9D">
          <w:rPr>
            <w:rStyle w:val="Hyperlink"/>
            <w:color w:val="auto"/>
            <w:rtl/>
          </w:rPr>
          <w:fldChar w:fldCharType="end"/>
        </w:r>
      </w:hyperlink>
    </w:p>
    <w:p w14:paraId="13EBCC6B" w14:textId="5296A2E7" w:rsidR="000F66B4" w:rsidRPr="00564B9D" w:rsidRDefault="000F66B4" w:rsidP="000F66B4">
      <w:pPr>
        <w:pStyle w:val="TOC4"/>
        <w:spacing w:before="240"/>
        <w:rPr>
          <w:b/>
          <w:bCs/>
          <w:rtl/>
        </w:rPr>
      </w:pPr>
      <w:r w:rsidRPr="00564B9D">
        <w:rPr>
          <w:b/>
          <w:bCs/>
          <w:rtl/>
        </w:rPr>
        <w:tab/>
      </w:r>
      <w:r w:rsidRPr="00564B9D">
        <w:rPr>
          <w:b/>
          <w:bCs/>
          <w:rtl/>
        </w:rPr>
        <w:tab/>
      </w:r>
      <w:r w:rsidRPr="00564B9D">
        <w:rPr>
          <w:b/>
          <w:bCs/>
          <w:rtl/>
        </w:rPr>
        <w:tab/>
      </w:r>
      <w:hyperlink w:anchor="_Toc123044971" w:history="1">
        <w:r w:rsidRPr="00564B9D">
          <w:rPr>
            <w:b/>
            <w:bCs/>
            <w:rtl/>
          </w:rPr>
          <w:t>جزيرة مان</w:t>
        </w:r>
        <w:r w:rsidRPr="00564B9D">
          <w:rPr>
            <w:b/>
            <w:bCs/>
            <w:webHidden/>
            <w:rtl/>
          </w:rPr>
          <w:tab/>
        </w:r>
        <w:r w:rsidRPr="00564B9D">
          <w:rPr>
            <w:b/>
            <w:bCs/>
            <w:rtl/>
          </w:rPr>
          <w:tab/>
        </w:r>
        <w:r w:rsidRPr="00564B9D">
          <w:rPr>
            <w:b/>
            <w:bCs/>
            <w:rtl/>
          </w:rPr>
          <w:fldChar w:fldCharType="begin"/>
        </w:r>
        <w:r w:rsidRPr="00564B9D">
          <w:rPr>
            <w:b/>
            <w:bCs/>
            <w:webHidden/>
            <w:rtl/>
          </w:rPr>
          <w:instrText xml:space="preserve"> </w:instrText>
        </w:r>
        <w:r w:rsidRPr="00564B9D">
          <w:rPr>
            <w:b/>
            <w:bCs/>
            <w:webHidden/>
          </w:rPr>
          <w:instrText>PAGEREF</w:instrText>
        </w:r>
        <w:r w:rsidRPr="00564B9D">
          <w:rPr>
            <w:b/>
            <w:bCs/>
            <w:webHidden/>
            <w:rtl/>
          </w:rPr>
          <w:instrText xml:space="preserve"> _</w:instrText>
        </w:r>
        <w:r w:rsidRPr="00564B9D">
          <w:rPr>
            <w:b/>
            <w:bCs/>
            <w:webHidden/>
          </w:rPr>
          <w:instrText>Toc123044971 \h</w:instrText>
        </w:r>
        <w:r w:rsidRPr="00564B9D">
          <w:rPr>
            <w:b/>
            <w:bCs/>
            <w:webHidden/>
            <w:rtl/>
          </w:rPr>
          <w:instrText xml:space="preserve"> </w:instrText>
        </w:r>
        <w:r w:rsidRPr="00564B9D">
          <w:rPr>
            <w:b/>
            <w:bCs/>
            <w:rtl/>
          </w:rPr>
        </w:r>
        <w:r w:rsidRPr="00564B9D">
          <w:rPr>
            <w:b/>
            <w:bCs/>
            <w:rtl/>
          </w:rPr>
          <w:fldChar w:fldCharType="separate"/>
        </w:r>
        <w:r w:rsidR="00020ED2">
          <w:rPr>
            <w:b/>
            <w:bCs/>
            <w:webHidden/>
            <w:rtl/>
          </w:rPr>
          <w:t>131</w:t>
        </w:r>
        <w:r w:rsidRPr="00564B9D">
          <w:rPr>
            <w:b/>
            <w:bCs/>
            <w:rtl/>
          </w:rPr>
          <w:fldChar w:fldCharType="end"/>
        </w:r>
      </w:hyperlink>
    </w:p>
    <w:p w14:paraId="580DEDDA" w14:textId="728F958B" w:rsidR="000F66B4" w:rsidRPr="00564B9D" w:rsidRDefault="00893651" w:rsidP="000F66B4">
      <w:pPr>
        <w:pStyle w:val="TOC4"/>
        <w:rPr>
          <w:sz w:val="22"/>
          <w:szCs w:val="22"/>
          <w:rtl/>
          <w:lang w:val="en-US" w:eastAsia="zh-CN"/>
        </w:rPr>
      </w:pPr>
      <w:hyperlink w:anchor="_Toc123044972" w:history="1">
        <w:r w:rsidR="000F66B4" w:rsidRPr="00564B9D">
          <w:rPr>
            <w:rStyle w:val="Hyperlink"/>
            <w:color w:val="auto"/>
            <w:rtl/>
          </w:rPr>
          <w:tab/>
          <w:t>أولاً</w:t>
        </w:r>
        <w:r w:rsidR="000F66B4" w:rsidRPr="00564B9D">
          <w:rPr>
            <w:rStyle w:val="Hyperlink"/>
            <w:color w:val="auto"/>
            <w:rtl/>
          </w:rPr>
          <w:tab/>
          <w:t>-</w:t>
        </w:r>
        <w:r w:rsidR="000F66B4" w:rsidRPr="00564B9D">
          <w:rPr>
            <w:rStyle w:val="Hyperlink"/>
            <w:color w:val="auto"/>
            <w:rtl/>
          </w:rPr>
          <w:tab/>
          <w:t>معلومات عامة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Toc123044972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131</w:t>
        </w:r>
        <w:r w:rsidR="000F66B4" w:rsidRPr="00564B9D">
          <w:rPr>
            <w:rStyle w:val="Hyperlink"/>
            <w:color w:val="auto"/>
            <w:rtl/>
          </w:rPr>
          <w:fldChar w:fldCharType="end"/>
        </w:r>
      </w:hyperlink>
    </w:p>
    <w:p w14:paraId="296A9AE4" w14:textId="1895BD93" w:rsidR="000F66B4" w:rsidRPr="00564B9D" w:rsidRDefault="00893651">
      <w:pPr>
        <w:pStyle w:val="TOC5"/>
        <w:rPr>
          <w:sz w:val="22"/>
          <w:szCs w:val="22"/>
          <w:rtl/>
          <w:lang w:val="en-US" w:eastAsia="zh-CN"/>
        </w:rPr>
      </w:pPr>
      <w:hyperlink w:anchor="_Toc123044973"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الخصائص الديمغرافية والاقتصادية والاجتماعية والثقافية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Toc123044973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131</w:t>
        </w:r>
        <w:r w:rsidR="000F66B4" w:rsidRPr="00564B9D">
          <w:rPr>
            <w:rStyle w:val="Hyperlink"/>
            <w:color w:val="auto"/>
            <w:rtl/>
          </w:rPr>
          <w:fldChar w:fldCharType="end"/>
        </w:r>
      </w:hyperlink>
    </w:p>
    <w:p w14:paraId="79C4D65F" w14:textId="7B23A4AD" w:rsidR="000F66B4" w:rsidRPr="00564B9D" w:rsidRDefault="00893651">
      <w:pPr>
        <w:pStyle w:val="TOC5"/>
        <w:rPr>
          <w:sz w:val="22"/>
          <w:szCs w:val="22"/>
          <w:rtl/>
          <w:lang w:val="en-US" w:eastAsia="zh-CN"/>
        </w:rPr>
      </w:pPr>
      <w:hyperlink w:anchor="_Toc123044974"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الهيكل الدستوري والسياسي والقانوني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Toc123044974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138</w:t>
        </w:r>
        <w:r w:rsidR="000F66B4" w:rsidRPr="00564B9D">
          <w:rPr>
            <w:rStyle w:val="Hyperlink"/>
            <w:color w:val="auto"/>
            <w:rtl/>
          </w:rPr>
          <w:fldChar w:fldCharType="end"/>
        </w:r>
      </w:hyperlink>
    </w:p>
    <w:p w14:paraId="0F60E789" w14:textId="17C1A04E" w:rsidR="000F66B4" w:rsidRPr="00564B9D" w:rsidRDefault="00893651" w:rsidP="000F66B4">
      <w:pPr>
        <w:pStyle w:val="TOC4"/>
        <w:rPr>
          <w:sz w:val="22"/>
          <w:szCs w:val="22"/>
          <w:rtl/>
          <w:lang w:val="en-US" w:eastAsia="zh-CN"/>
        </w:rPr>
      </w:pPr>
      <w:hyperlink w:anchor="_Toc123044975" w:history="1">
        <w:r w:rsidR="000F66B4" w:rsidRPr="00564B9D">
          <w:rPr>
            <w:rStyle w:val="Hyperlink"/>
            <w:color w:val="auto"/>
            <w:rtl/>
          </w:rPr>
          <w:tab/>
          <w:t>ثانياً</w:t>
        </w:r>
        <w:r w:rsidR="000F66B4" w:rsidRPr="00564B9D">
          <w:rPr>
            <w:rStyle w:val="Hyperlink"/>
            <w:color w:val="auto"/>
            <w:rtl/>
          </w:rPr>
          <w:tab/>
          <w:t>-</w:t>
        </w:r>
        <w:r w:rsidR="000F66B4" w:rsidRPr="00564B9D">
          <w:rPr>
            <w:rStyle w:val="Hyperlink"/>
            <w:color w:val="auto"/>
            <w:rtl/>
          </w:rPr>
          <w:tab/>
          <w:t>الإطار العام لتعزيز حقوق الإنسان وحمايتها</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Toc123044975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140</w:t>
        </w:r>
        <w:r w:rsidR="000F66B4" w:rsidRPr="00564B9D">
          <w:rPr>
            <w:rStyle w:val="Hyperlink"/>
            <w:color w:val="auto"/>
            <w:rtl/>
          </w:rPr>
          <w:fldChar w:fldCharType="end"/>
        </w:r>
      </w:hyperlink>
    </w:p>
    <w:p w14:paraId="139F3156" w14:textId="0FAF0865" w:rsidR="000F66B4" w:rsidRPr="00564B9D" w:rsidRDefault="00893651">
      <w:pPr>
        <w:pStyle w:val="TOC5"/>
        <w:rPr>
          <w:sz w:val="22"/>
          <w:szCs w:val="22"/>
          <w:rtl/>
          <w:lang w:val="en-US" w:eastAsia="zh-CN"/>
        </w:rPr>
      </w:pPr>
      <w:hyperlink w:anchor="_Toc123044976" w:history="1">
        <w:r w:rsidR="000F66B4" w:rsidRPr="00564B9D">
          <w:rPr>
            <w:rStyle w:val="Hyperlink"/>
            <w:color w:val="auto"/>
            <w:rtl/>
          </w:rPr>
          <w:t>ألف</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قبول معايير حقوق الإنسان الدولية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Toc123044976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140</w:t>
        </w:r>
        <w:r w:rsidR="000F66B4" w:rsidRPr="00564B9D">
          <w:rPr>
            <w:rStyle w:val="Hyperlink"/>
            <w:color w:val="auto"/>
            <w:rtl/>
          </w:rPr>
          <w:fldChar w:fldCharType="end"/>
        </w:r>
      </w:hyperlink>
    </w:p>
    <w:p w14:paraId="5D347D6B" w14:textId="1A966346" w:rsidR="000F66B4" w:rsidRPr="00564B9D" w:rsidRDefault="00893651">
      <w:pPr>
        <w:pStyle w:val="TOC5"/>
        <w:rPr>
          <w:sz w:val="22"/>
          <w:szCs w:val="22"/>
          <w:rtl/>
          <w:lang w:val="en-US" w:eastAsia="zh-CN"/>
        </w:rPr>
      </w:pPr>
      <w:hyperlink w:anchor="_Toc123044977" w:history="1">
        <w:r w:rsidR="000F66B4" w:rsidRPr="00564B9D">
          <w:rPr>
            <w:rStyle w:val="Hyperlink"/>
            <w:color w:val="auto"/>
            <w:rtl/>
          </w:rPr>
          <w:t>باء</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الإطار القانوني لحماية حقوق الإنسان على الصعيد الوطني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Toc123044977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141</w:t>
        </w:r>
        <w:r w:rsidR="000F66B4" w:rsidRPr="00564B9D">
          <w:rPr>
            <w:rStyle w:val="Hyperlink"/>
            <w:color w:val="auto"/>
            <w:rtl/>
          </w:rPr>
          <w:fldChar w:fldCharType="end"/>
        </w:r>
      </w:hyperlink>
    </w:p>
    <w:p w14:paraId="41BC4F28" w14:textId="2A3CA60E" w:rsidR="000F66B4" w:rsidRPr="00564B9D" w:rsidRDefault="00893651">
      <w:pPr>
        <w:pStyle w:val="TOC5"/>
        <w:rPr>
          <w:sz w:val="22"/>
          <w:szCs w:val="22"/>
          <w:rtl/>
          <w:lang w:val="en-US" w:eastAsia="zh-CN"/>
        </w:rPr>
      </w:pPr>
      <w:hyperlink w:anchor="_Toc123044978" w:history="1">
        <w:r w:rsidR="000F66B4" w:rsidRPr="00564B9D">
          <w:rPr>
            <w:rStyle w:val="Hyperlink"/>
            <w:color w:val="auto"/>
            <w:rtl/>
          </w:rPr>
          <w:t>جيم</w:t>
        </w:r>
        <w:r w:rsidR="000F66B4" w:rsidRPr="00564B9D">
          <w:rPr>
            <w:rStyle w:val="Hyperlink"/>
            <w:color w:val="auto"/>
            <w:rtl/>
          </w:rPr>
          <w:tab/>
          <w:t>-</w:t>
        </w:r>
        <w:r w:rsidR="000F66B4" w:rsidRPr="00564B9D">
          <w:rPr>
            <w:sz w:val="22"/>
            <w:szCs w:val="22"/>
            <w:rtl/>
            <w:lang w:val="en-US" w:eastAsia="zh-CN"/>
          </w:rPr>
          <w:tab/>
        </w:r>
        <w:r w:rsidR="000F66B4" w:rsidRPr="00564B9D">
          <w:rPr>
            <w:rStyle w:val="Hyperlink"/>
            <w:color w:val="auto"/>
            <w:rtl/>
          </w:rPr>
          <w:t>إطار تعزيز حقوق الإنسان على الصعيد الدولي</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Toc123044978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142</w:t>
        </w:r>
        <w:r w:rsidR="000F66B4" w:rsidRPr="00564B9D">
          <w:rPr>
            <w:rStyle w:val="Hyperlink"/>
            <w:color w:val="auto"/>
            <w:rtl/>
          </w:rPr>
          <w:fldChar w:fldCharType="end"/>
        </w:r>
      </w:hyperlink>
    </w:p>
    <w:p w14:paraId="06437C6B" w14:textId="6FAB6D4E" w:rsidR="000F66B4" w:rsidRPr="00564B9D" w:rsidRDefault="00893651" w:rsidP="000F66B4">
      <w:pPr>
        <w:pStyle w:val="TOC4"/>
        <w:rPr>
          <w:rtl/>
        </w:rPr>
      </w:pPr>
      <w:hyperlink w:anchor="_Toc123044979" w:history="1">
        <w:r w:rsidR="000F66B4" w:rsidRPr="00564B9D">
          <w:rPr>
            <w:rStyle w:val="Hyperlink"/>
            <w:color w:val="auto"/>
            <w:rtl/>
          </w:rPr>
          <w:tab/>
          <w:t>ثالثاً</w:t>
        </w:r>
        <w:r w:rsidR="000F66B4" w:rsidRPr="00564B9D">
          <w:rPr>
            <w:rStyle w:val="Hyperlink"/>
            <w:color w:val="auto"/>
            <w:rtl/>
          </w:rPr>
          <w:tab/>
          <w:t>-</w:t>
        </w:r>
        <w:r w:rsidR="000F66B4" w:rsidRPr="00564B9D">
          <w:rPr>
            <w:rStyle w:val="Hyperlink"/>
            <w:color w:val="auto"/>
            <w:rtl/>
          </w:rPr>
          <w:tab/>
          <w:t>معلومات عن عدم التمييز والمساواة وسبل الانتصاف الفعالة</w:t>
        </w:r>
        <w:r w:rsidR="000F66B4" w:rsidRPr="00564B9D">
          <w:rPr>
            <w:webHidden/>
            <w:rtl/>
          </w:rPr>
          <w:tab/>
        </w:r>
        <w:r w:rsidR="000F66B4" w:rsidRPr="00564B9D">
          <w:rPr>
            <w:rStyle w:val="Hyperlink"/>
            <w:color w:val="auto"/>
            <w:rtl/>
          </w:rPr>
          <w:tab/>
        </w:r>
        <w:r w:rsidR="000F66B4" w:rsidRPr="00564B9D">
          <w:rPr>
            <w:rStyle w:val="Hyperlink"/>
            <w:color w:val="auto"/>
            <w:rtl/>
          </w:rPr>
          <w:fldChar w:fldCharType="begin"/>
        </w:r>
        <w:r w:rsidR="000F66B4" w:rsidRPr="00564B9D">
          <w:rPr>
            <w:webHidden/>
            <w:rtl/>
          </w:rPr>
          <w:instrText xml:space="preserve"> </w:instrText>
        </w:r>
        <w:r w:rsidR="000F66B4" w:rsidRPr="00564B9D">
          <w:rPr>
            <w:webHidden/>
          </w:rPr>
          <w:instrText>PAGEREF</w:instrText>
        </w:r>
        <w:r w:rsidR="000F66B4" w:rsidRPr="00564B9D">
          <w:rPr>
            <w:webHidden/>
            <w:rtl/>
          </w:rPr>
          <w:instrText xml:space="preserve"> _</w:instrText>
        </w:r>
        <w:r w:rsidR="000F66B4" w:rsidRPr="00564B9D">
          <w:rPr>
            <w:webHidden/>
          </w:rPr>
          <w:instrText>Toc123044979 \h</w:instrText>
        </w:r>
        <w:r w:rsidR="000F66B4" w:rsidRPr="00564B9D">
          <w:rPr>
            <w:webHidden/>
            <w:rtl/>
          </w:rPr>
          <w:instrText xml:space="preserve"> </w:instrText>
        </w:r>
        <w:r w:rsidR="000F66B4" w:rsidRPr="00564B9D">
          <w:rPr>
            <w:rStyle w:val="Hyperlink"/>
            <w:color w:val="auto"/>
            <w:rtl/>
          </w:rPr>
        </w:r>
        <w:r w:rsidR="000F66B4" w:rsidRPr="00564B9D">
          <w:rPr>
            <w:rStyle w:val="Hyperlink"/>
            <w:color w:val="auto"/>
            <w:rtl/>
          </w:rPr>
          <w:fldChar w:fldCharType="separate"/>
        </w:r>
        <w:r w:rsidR="00020ED2">
          <w:rPr>
            <w:webHidden/>
            <w:rtl/>
          </w:rPr>
          <w:t>142</w:t>
        </w:r>
        <w:r w:rsidR="000F66B4" w:rsidRPr="00564B9D">
          <w:rPr>
            <w:rStyle w:val="Hyperlink"/>
            <w:color w:val="auto"/>
            <w:rtl/>
          </w:rPr>
          <w:fldChar w:fldCharType="end"/>
        </w:r>
      </w:hyperlink>
      <w:r w:rsidR="000F66B4" w:rsidRPr="00564B9D">
        <w:fldChar w:fldCharType="end"/>
      </w:r>
    </w:p>
    <w:p w14:paraId="413B1154" w14:textId="24F7AA7C" w:rsidR="00494AE4" w:rsidRPr="00564B9D" w:rsidRDefault="00494AE4" w:rsidP="000F66B4">
      <w:pPr>
        <w:pStyle w:val="HChGA"/>
        <w:rPr>
          <w:rtl/>
        </w:rPr>
      </w:pPr>
      <w:r w:rsidRPr="00564B9D">
        <w:rPr>
          <w:rtl/>
        </w:rPr>
        <w:br w:type="page"/>
      </w:r>
      <w:r w:rsidRPr="00564B9D">
        <w:rPr>
          <w:rtl/>
        </w:rPr>
        <w:lastRenderedPageBreak/>
        <w:tab/>
      </w:r>
      <w:r w:rsidRPr="00564B9D">
        <w:rPr>
          <w:rtl/>
        </w:rPr>
        <w:tab/>
      </w:r>
      <w:bookmarkStart w:id="8" w:name="_Toc123044105"/>
      <w:bookmarkStart w:id="9" w:name="_Toc123044328"/>
      <w:bookmarkStart w:id="10" w:name="_Toc123044851"/>
      <w:r w:rsidRPr="00564B9D">
        <w:rPr>
          <w:rFonts w:hint="cs"/>
          <w:rtl/>
        </w:rPr>
        <w:t>مقدمة</w:t>
      </w:r>
      <w:bookmarkEnd w:id="8"/>
      <w:bookmarkEnd w:id="9"/>
      <w:bookmarkEnd w:id="10"/>
    </w:p>
    <w:p w14:paraId="12148C33" w14:textId="77777777" w:rsidR="00494AE4" w:rsidRPr="00564B9D" w:rsidRDefault="00494AE4" w:rsidP="00494AE4">
      <w:pPr>
        <w:pStyle w:val="SingleTxtGA"/>
        <w:rPr>
          <w:rtl/>
        </w:rPr>
      </w:pPr>
      <w:r w:rsidRPr="00564B9D">
        <w:rPr>
          <w:rFonts w:hint="cs"/>
          <w:rtl/>
        </w:rPr>
        <w:t>1</w:t>
      </w:r>
      <w:r w:rsidRPr="00564B9D">
        <w:rPr>
          <w:rtl/>
        </w:rPr>
        <w:t>-</w:t>
      </w:r>
      <w:r w:rsidRPr="00564B9D">
        <w:rPr>
          <w:rtl/>
        </w:rPr>
        <w:tab/>
      </w:r>
      <w:r w:rsidRPr="00564B9D">
        <w:rPr>
          <w:rFonts w:hint="cs"/>
          <w:rtl/>
        </w:rPr>
        <w:t>تغطي هذه الوثيقة الأساسية المملكة المتحدة والأقاليم البريطانية فيما وراء البحار والأقاليم التابعة للتاج التي لا تشكل جزءاً من المملكة المتحدة لكن المملكة المتحدة تتحمل مسؤولية العلاقات الدولية وشؤون الدفاع الخاصة بها. ويقل عدد الكلمات الكلي في الوثيقة عن الحد الأقصى البالغ</w:t>
      </w:r>
      <w:r w:rsidRPr="00564B9D">
        <w:rPr>
          <w:rFonts w:hint="eastAsia"/>
          <w:rtl/>
        </w:rPr>
        <w:t xml:space="preserve"> </w:t>
      </w:r>
      <w:r w:rsidRPr="00564B9D">
        <w:rPr>
          <w:rFonts w:hint="cs"/>
          <w:rtl/>
        </w:rPr>
        <w:t>400</w:t>
      </w:r>
      <w:r w:rsidRPr="00564B9D">
        <w:rPr>
          <w:rtl/>
        </w:rPr>
        <w:t> </w:t>
      </w:r>
      <w:r w:rsidRPr="00564B9D">
        <w:rPr>
          <w:rFonts w:hint="cs"/>
          <w:rtl/>
        </w:rPr>
        <w:t>42 كلمة الذي وضعته مفوضية الأمم المتحدة لحقوق الإنسان في 8 أيار/مايو 2014</w:t>
      </w:r>
      <w:r w:rsidRPr="00564B9D">
        <w:rPr>
          <w:vertAlign w:val="superscript"/>
          <w:rtl/>
        </w:rPr>
        <w:t>(</w:t>
      </w:r>
      <w:r w:rsidRPr="00564B9D">
        <w:rPr>
          <w:rStyle w:val="FootnoteReference"/>
          <w:rFonts w:cs="Simplified Arabic"/>
          <w:b w:val="0"/>
          <w:sz w:val="22"/>
          <w:szCs w:val="22"/>
          <w:rtl/>
          <w:lang w:val="en-US"/>
        </w:rPr>
        <w:footnoteReference w:id="2"/>
      </w:r>
      <w:r w:rsidRPr="00564B9D">
        <w:rPr>
          <w:vertAlign w:val="superscript"/>
          <w:rtl/>
        </w:rPr>
        <w:t>)</w:t>
      </w:r>
      <w:r w:rsidRPr="00564B9D">
        <w:rPr>
          <w:rFonts w:hint="cs"/>
          <w:rtl/>
        </w:rPr>
        <w:t>.</w:t>
      </w:r>
    </w:p>
    <w:p w14:paraId="39533B59" w14:textId="77777777" w:rsidR="00494AE4" w:rsidRPr="00564B9D" w:rsidRDefault="00494AE4" w:rsidP="00494AE4">
      <w:pPr>
        <w:pStyle w:val="HChGA"/>
        <w:rPr>
          <w:rtl/>
        </w:rPr>
      </w:pPr>
      <w:r w:rsidRPr="00564B9D">
        <w:rPr>
          <w:rtl/>
        </w:rPr>
        <w:tab/>
      </w:r>
      <w:r w:rsidRPr="00564B9D">
        <w:rPr>
          <w:rtl/>
        </w:rPr>
        <w:tab/>
      </w:r>
      <w:bookmarkStart w:id="11" w:name="_Toc123044106"/>
      <w:bookmarkStart w:id="12" w:name="_Toc123044329"/>
      <w:bookmarkStart w:id="13" w:name="_Toc123044590"/>
      <w:bookmarkStart w:id="14" w:name="_Toc123044852"/>
      <w:r w:rsidRPr="00564B9D">
        <w:rPr>
          <w:rFonts w:hint="cs"/>
          <w:rtl/>
        </w:rPr>
        <w:t>المملكة المتحدة</w:t>
      </w:r>
      <w:bookmarkEnd w:id="11"/>
      <w:bookmarkEnd w:id="12"/>
      <w:bookmarkEnd w:id="13"/>
      <w:bookmarkEnd w:id="14"/>
    </w:p>
    <w:p w14:paraId="49188F5C" w14:textId="77777777" w:rsidR="00494AE4" w:rsidRPr="00564B9D" w:rsidRDefault="00494AE4" w:rsidP="00494AE4">
      <w:pPr>
        <w:pStyle w:val="HChGA"/>
        <w:rPr>
          <w:rtl/>
        </w:rPr>
      </w:pPr>
      <w:r w:rsidRPr="00564B9D">
        <w:rPr>
          <w:rtl/>
        </w:rPr>
        <w:tab/>
      </w:r>
      <w:bookmarkStart w:id="15" w:name="_Toc123044107"/>
      <w:bookmarkStart w:id="16" w:name="_Toc123044330"/>
      <w:bookmarkStart w:id="17" w:name="_Toc123044591"/>
      <w:bookmarkStart w:id="18" w:name="_Toc123044853"/>
      <w:r w:rsidRPr="00564B9D">
        <w:rPr>
          <w:rFonts w:hint="cs"/>
          <w:rtl/>
        </w:rPr>
        <w:t>أولاً</w:t>
      </w:r>
      <w:r w:rsidRPr="00564B9D">
        <w:rPr>
          <w:rtl/>
        </w:rPr>
        <w:t>-</w:t>
      </w:r>
      <w:r w:rsidRPr="00564B9D">
        <w:rPr>
          <w:rtl/>
        </w:rPr>
        <w:tab/>
      </w:r>
      <w:r w:rsidRPr="00564B9D">
        <w:rPr>
          <w:rFonts w:hint="cs"/>
          <w:rtl/>
        </w:rPr>
        <w:t>معلومات عامة عن الدولة مقدمة التقرير</w:t>
      </w:r>
      <w:bookmarkStart w:id="19" w:name="_Toc352055008"/>
      <w:bookmarkStart w:id="20" w:name="_Toc352164170"/>
      <w:bookmarkEnd w:id="15"/>
      <w:bookmarkEnd w:id="16"/>
      <w:bookmarkEnd w:id="17"/>
      <w:bookmarkEnd w:id="18"/>
    </w:p>
    <w:p w14:paraId="4E40A7F2" w14:textId="77777777" w:rsidR="00494AE4" w:rsidRPr="00564B9D" w:rsidRDefault="00494AE4" w:rsidP="00494AE4">
      <w:pPr>
        <w:pStyle w:val="H1GA"/>
        <w:rPr>
          <w:rtl/>
        </w:rPr>
      </w:pPr>
      <w:r w:rsidRPr="00564B9D">
        <w:rPr>
          <w:rtl/>
        </w:rPr>
        <w:tab/>
      </w:r>
      <w:bookmarkStart w:id="21" w:name="_Toc123044108"/>
      <w:bookmarkStart w:id="22" w:name="_Toc123044331"/>
      <w:bookmarkStart w:id="23" w:name="_Toc123044592"/>
      <w:bookmarkStart w:id="24" w:name="_Toc123044854"/>
      <w:r w:rsidRPr="00564B9D">
        <w:rPr>
          <w:rtl/>
        </w:rPr>
        <w:t>ألف-</w:t>
      </w:r>
      <w:r w:rsidRPr="00564B9D">
        <w:rPr>
          <w:rtl/>
        </w:rPr>
        <w:tab/>
        <w:t>الخصائص الديمغرافية والاقتصادية والاجتماعية والثقافية للدولة</w:t>
      </w:r>
      <w:bookmarkEnd w:id="19"/>
      <w:bookmarkEnd w:id="20"/>
      <w:bookmarkEnd w:id="21"/>
      <w:bookmarkEnd w:id="22"/>
      <w:bookmarkEnd w:id="23"/>
      <w:bookmarkEnd w:id="24"/>
    </w:p>
    <w:p w14:paraId="2177BB7E" w14:textId="2ECB347E" w:rsidR="00494AE4" w:rsidRPr="00564B9D" w:rsidRDefault="00494AE4" w:rsidP="00494AE4">
      <w:pPr>
        <w:pStyle w:val="SingleTxtGA"/>
        <w:rPr>
          <w:rtl/>
        </w:rPr>
      </w:pPr>
      <w:r w:rsidRPr="00564B9D">
        <w:rPr>
          <w:rFonts w:hint="cs"/>
          <w:rtl/>
        </w:rPr>
        <w:t>2</w:t>
      </w:r>
      <w:r w:rsidRPr="00564B9D">
        <w:rPr>
          <w:rtl/>
        </w:rPr>
        <w:t>-</w:t>
      </w:r>
      <w:r w:rsidRPr="00564B9D">
        <w:rPr>
          <w:rtl/>
        </w:rPr>
        <w:tab/>
        <w:t xml:space="preserve">ترد فيما يلي </w:t>
      </w:r>
      <w:r w:rsidRPr="00564B9D">
        <w:rPr>
          <w:rFonts w:hint="cs"/>
          <w:rtl/>
        </w:rPr>
        <w:t xml:space="preserve">الجداول الأربعة التالية: المؤشرات الديمغرافية؛ والمؤشرات الاجتماعية والاقتصادية والثقافية؛ والمؤشرات المتعلقة بالنظام السياسي؛ والمؤشرات المتعلقة بالجريمة وإقامة العدل. وتستند المؤشرات إلى تلك الموصى بها في التذييل 3 من المبادئ التوجيهية لتقديم التقارير في الأمم المتحدة، </w:t>
      </w:r>
      <w:r w:rsidRPr="00564B9D">
        <w:rPr>
          <w:rtl/>
        </w:rPr>
        <w:t xml:space="preserve">وتغطي الأجزاء الأربعة </w:t>
      </w:r>
      <w:r w:rsidRPr="00564B9D">
        <w:rPr>
          <w:rFonts w:hint="cs"/>
          <w:rtl/>
        </w:rPr>
        <w:t>الرئيسية للمملكة المتحدة، وهي: إنكلترا، وويلز، واسكتلندا، و</w:t>
      </w:r>
      <w:r w:rsidR="000F4858" w:rsidRPr="00564B9D">
        <w:rPr>
          <w:rFonts w:hint="cs"/>
          <w:rtl/>
        </w:rPr>
        <w:t>أيرلندا الشمالية</w:t>
      </w:r>
      <w:r w:rsidRPr="00564B9D">
        <w:rPr>
          <w:rFonts w:hint="cs"/>
          <w:rtl/>
        </w:rPr>
        <w:t>.</w:t>
      </w:r>
    </w:p>
    <w:tbl>
      <w:tblPr>
        <w:bidiVisual/>
        <w:tblW w:w="8392" w:type="dxa"/>
        <w:tblInd w:w="1247" w:type="dxa"/>
        <w:tblLayout w:type="fixed"/>
        <w:tblCellMar>
          <w:right w:w="113" w:type="dxa"/>
        </w:tblCellMar>
        <w:tblLook w:val="01E0" w:firstRow="1" w:lastRow="1" w:firstColumn="1" w:lastColumn="1" w:noHBand="0" w:noVBand="0"/>
      </w:tblPr>
      <w:tblGrid>
        <w:gridCol w:w="3314"/>
        <w:gridCol w:w="5078"/>
      </w:tblGrid>
      <w:tr w:rsidR="007B5A24" w:rsidRPr="00564B9D" w14:paraId="5A6772C3" w14:textId="77777777" w:rsidTr="00804944">
        <w:trPr>
          <w:trHeight w:val="240"/>
          <w:tblHeader/>
        </w:trPr>
        <w:tc>
          <w:tcPr>
            <w:tcW w:w="7791" w:type="dxa"/>
            <w:gridSpan w:val="2"/>
            <w:tcBorders>
              <w:top w:val="single" w:sz="4" w:space="0" w:color="auto"/>
              <w:bottom w:val="single" w:sz="12" w:space="0" w:color="auto"/>
            </w:tcBorders>
            <w:shd w:val="clear" w:color="auto" w:fill="auto"/>
            <w:vAlign w:val="bottom"/>
          </w:tcPr>
          <w:p w14:paraId="09609CAE"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lang w:val="en-US"/>
              </w:rPr>
            </w:pPr>
            <w:r w:rsidRPr="00564B9D">
              <w:rPr>
                <w:rFonts w:hint="cs"/>
                <w:i/>
                <w:iCs/>
                <w:sz w:val="20"/>
                <w:szCs w:val="20"/>
                <w:rtl/>
              </w:rPr>
              <w:t>المؤشرات الديمغرافية</w:t>
            </w:r>
          </w:p>
        </w:tc>
      </w:tr>
      <w:tr w:rsidR="007B5A24" w:rsidRPr="00564B9D" w14:paraId="03E092EC" w14:textId="77777777" w:rsidTr="00804944">
        <w:trPr>
          <w:trHeight w:val="240"/>
        </w:trPr>
        <w:tc>
          <w:tcPr>
            <w:tcW w:w="3077" w:type="dxa"/>
            <w:tcBorders>
              <w:top w:val="single" w:sz="12" w:space="0" w:color="auto"/>
            </w:tcBorders>
            <w:shd w:val="clear" w:color="auto" w:fill="auto"/>
          </w:tcPr>
          <w:p w14:paraId="4DAA7B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حجم السكان</w:t>
            </w:r>
            <w:r w:rsidRPr="00564B9D">
              <w:rPr>
                <w:sz w:val="20"/>
                <w:szCs w:val="20"/>
                <w:vertAlign w:val="superscript"/>
                <w:rtl/>
              </w:rPr>
              <w:t>(</w:t>
            </w:r>
            <w:r w:rsidRPr="00564B9D">
              <w:rPr>
                <w:rStyle w:val="FootnoteReference"/>
                <w:rFonts w:cs="Simplified Arabic"/>
                <w:b w:val="0"/>
                <w:sz w:val="20"/>
                <w:szCs w:val="20"/>
                <w:rtl/>
                <w:lang w:val="en-US"/>
              </w:rPr>
              <w:footnoteReference w:id="3"/>
            </w:r>
            <w:r w:rsidRPr="00564B9D">
              <w:rPr>
                <w:sz w:val="20"/>
                <w:szCs w:val="20"/>
                <w:vertAlign w:val="superscript"/>
                <w:rtl/>
              </w:rPr>
              <w:t>)</w:t>
            </w:r>
            <w:r w:rsidRPr="00564B9D">
              <w:rPr>
                <w:rFonts w:hint="cs"/>
                <w:sz w:val="20"/>
                <w:szCs w:val="20"/>
                <w:rtl/>
              </w:rPr>
              <w:t xml:space="preserve"> </w:t>
            </w:r>
          </w:p>
        </w:tc>
        <w:tc>
          <w:tcPr>
            <w:tcW w:w="4714" w:type="dxa"/>
            <w:tcBorders>
              <w:top w:val="single" w:sz="12" w:space="0" w:color="auto"/>
            </w:tcBorders>
            <w:shd w:val="clear" w:color="auto" w:fill="auto"/>
          </w:tcPr>
          <w:p w14:paraId="204FF2F4" w14:textId="69FA6368" w:rsidR="00494AE4" w:rsidRPr="00564B9D" w:rsidRDefault="004A0DA9"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eastAsia="Arial"/>
              </w:rPr>
              <w:t>234</w:t>
            </w:r>
            <w:r w:rsidRPr="00564B9D">
              <w:rPr>
                <w:rFonts w:eastAsia="Arial"/>
                <w:rtl/>
              </w:rPr>
              <w:t xml:space="preserve"> 081 67</w:t>
            </w:r>
          </w:p>
          <w:p w14:paraId="3628493E" w14:textId="1773A23D"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إنكلترا </w:t>
            </w:r>
            <w:r w:rsidR="00494AE4" w:rsidRPr="00564B9D">
              <w:rPr>
                <w:rFonts w:hint="cs"/>
                <w:sz w:val="20"/>
                <w:szCs w:val="20"/>
              </w:rPr>
              <w:t xml:space="preserve">: </w:t>
            </w:r>
            <w:r w:rsidR="00494AE4" w:rsidRPr="00564B9D">
              <w:rPr>
                <w:sz w:val="20"/>
                <w:szCs w:val="20"/>
              </w:rPr>
              <w:t>138 550</w:t>
            </w:r>
            <w:r w:rsidR="00494AE4" w:rsidRPr="00564B9D">
              <w:rPr>
                <w:rFonts w:hint="cs"/>
                <w:sz w:val="20"/>
                <w:szCs w:val="20"/>
              </w:rPr>
              <w:t xml:space="preserve"> </w:t>
            </w:r>
            <w:r w:rsidR="00494AE4" w:rsidRPr="00564B9D">
              <w:rPr>
                <w:sz w:val="20"/>
                <w:szCs w:val="20"/>
              </w:rPr>
              <w:t>56</w:t>
            </w:r>
          </w:p>
          <w:p w14:paraId="428E97C1"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proofErr w:type="spellStart"/>
            <w:r w:rsidRPr="00564B9D">
              <w:rPr>
                <w:rFonts w:hint="cs"/>
                <w:sz w:val="20"/>
                <w:szCs w:val="20"/>
              </w:rPr>
              <w:t>ويلز</w:t>
            </w:r>
            <w:proofErr w:type="spellEnd"/>
            <w:r w:rsidRPr="00564B9D">
              <w:rPr>
                <w:rFonts w:hint="cs"/>
                <w:sz w:val="20"/>
                <w:szCs w:val="20"/>
              </w:rPr>
              <w:t xml:space="preserve">: </w:t>
            </w:r>
            <w:r w:rsidRPr="00564B9D">
              <w:rPr>
                <w:sz w:val="20"/>
                <w:szCs w:val="20"/>
              </w:rPr>
              <w:t>586 169</w:t>
            </w:r>
            <w:r w:rsidRPr="00564B9D">
              <w:rPr>
                <w:rFonts w:hint="cs"/>
                <w:sz w:val="20"/>
                <w:szCs w:val="20"/>
              </w:rPr>
              <w:t xml:space="preserve"> 3</w:t>
            </w:r>
          </w:p>
          <w:p w14:paraId="7360A4D9"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proofErr w:type="spellStart"/>
            <w:r w:rsidRPr="00564B9D">
              <w:rPr>
                <w:rFonts w:hint="cs"/>
                <w:sz w:val="20"/>
                <w:szCs w:val="20"/>
              </w:rPr>
              <w:t>اسكتلندا</w:t>
            </w:r>
            <w:proofErr w:type="spellEnd"/>
            <w:r w:rsidRPr="00564B9D">
              <w:rPr>
                <w:rFonts w:hint="cs"/>
                <w:sz w:val="20"/>
                <w:szCs w:val="20"/>
              </w:rPr>
              <w:t>: 600</w:t>
            </w:r>
            <w:r w:rsidRPr="00564B9D">
              <w:rPr>
                <w:sz w:val="20"/>
                <w:szCs w:val="20"/>
              </w:rPr>
              <w:t> 466</w:t>
            </w:r>
            <w:r w:rsidRPr="00564B9D">
              <w:rPr>
                <w:rFonts w:hint="cs"/>
                <w:sz w:val="20"/>
                <w:szCs w:val="20"/>
              </w:rPr>
              <w:t xml:space="preserve"> 5</w:t>
            </w:r>
          </w:p>
          <w:p w14:paraId="5DA0FB96" w14:textId="381B55B4" w:rsidR="00494AE4" w:rsidRPr="00564B9D" w:rsidRDefault="000F4858"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أيرلندا الشمالية</w:t>
            </w:r>
            <w:r w:rsidR="00494AE4" w:rsidRPr="00564B9D">
              <w:rPr>
                <w:rFonts w:hint="cs"/>
                <w:sz w:val="20"/>
                <w:szCs w:val="20"/>
                <w:rtl/>
              </w:rPr>
              <w:t>:</w:t>
            </w:r>
            <w:r w:rsidRPr="00564B9D">
              <w:rPr>
                <w:rFonts w:hint="cs"/>
                <w:sz w:val="20"/>
                <w:szCs w:val="20"/>
                <w:rtl/>
              </w:rPr>
              <w:t xml:space="preserve"> </w:t>
            </w:r>
            <w:r w:rsidR="00494AE4" w:rsidRPr="00564B9D">
              <w:rPr>
                <w:sz w:val="20"/>
                <w:szCs w:val="20"/>
              </w:rPr>
              <w:t>510 895</w:t>
            </w:r>
            <w:r w:rsidR="00494AE4" w:rsidRPr="00564B9D">
              <w:rPr>
                <w:rFonts w:hint="cs"/>
                <w:sz w:val="20"/>
                <w:szCs w:val="20"/>
              </w:rPr>
              <w:t xml:space="preserve"> 1</w:t>
            </w:r>
          </w:p>
        </w:tc>
      </w:tr>
      <w:tr w:rsidR="007B5A24" w:rsidRPr="00564B9D" w14:paraId="393A5E70" w14:textId="77777777" w:rsidTr="00804944">
        <w:trPr>
          <w:trHeight w:val="240"/>
        </w:trPr>
        <w:tc>
          <w:tcPr>
            <w:tcW w:w="3077" w:type="dxa"/>
            <w:shd w:val="clear" w:color="auto" w:fill="auto"/>
          </w:tcPr>
          <w:p w14:paraId="59710A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السكاني</w:t>
            </w:r>
            <w:r w:rsidRPr="00564B9D">
              <w:rPr>
                <w:sz w:val="20"/>
                <w:szCs w:val="20"/>
                <w:vertAlign w:val="superscript"/>
                <w:rtl/>
              </w:rPr>
              <w:t>(</w:t>
            </w:r>
            <w:r w:rsidRPr="00564B9D">
              <w:rPr>
                <w:rStyle w:val="FootnoteReference"/>
                <w:rFonts w:cs="Simplified Arabic"/>
                <w:b w:val="0"/>
                <w:sz w:val="20"/>
                <w:szCs w:val="20"/>
                <w:rtl/>
                <w:lang w:val="en-US"/>
              </w:rPr>
              <w:footnoteReference w:id="4"/>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60B274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0,4 في المائة </w:t>
            </w:r>
          </w:p>
        </w:tc>
      </w:tr>
      <w:tr w:rsidR="007B5A24" w:rsidRPr="00564B9D" w14:paraId="7DEEDC23" w14:textId="77777777" w:rsidTr="00804944">
        <w:trPr>
          <w:trHeight w:val="240"/>
        </w:trPr>
        <w:tc>
          <w:tcPr>
            <w:tcW w:w="3077" w:type="dxa"/>
            <w:shd w:val="clear" w:color="auto" w:fill="auto"/>
          </w:tcPr>
          <w:p w14:paraId="0F45B6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الكثافة السكانية</w:t>
            </w:r>
            <w:r w:rsidRPr="00564B9D">
              <w:rPr>
                <w:sz w:val="20"/>
                <w:szCs w:val="20"/>
                <w:vertAlign w:val="superscript"/>
                <w:rtl/>
              </w:rPr>
              <w:t>(</w:t>
            </w:r>
            <w:r w:rsidRPr="00564B9D">
              <w:rPr>
                <w:rStyle w:val="FootnoteReference"/>
                <w:rFonts w:cs="Simplified Arabic"/>
                <w:b w:val="0"/>
                <w:sz w:val="20"/>
                <w:szCs w:val="20"/>
                <w:rtl/>
                <w:lang w:val="en-US"/>
              </w:rPr>
              <w:footnoteReference w:id="5"/>
            </w:r>
            <w:r w:rsidRPr="00564B9D">
              <w:rPr>
                <w:sz w:val="20"/>
                <w:szCs w:val="20"/>
                <w:vertAlign w:val="superscript"/>
                <w:rtl/>
              </w:rPr>
              <w:t>)</w:t>
            </w:r>
            <w:r w:rsidRPr="00564B9D">
              <w:rPr>
                <w:rFonts w:hint="cs"/>
                <w:sz w:val="20"/>
                <w:szCs w:val="20"/>
                <w:rtl/>
              </w:rPr>
              <w:t xml:space="preserve"> (عدد الأشخاص في الكيلومتر المربع)</w:t>
            </w:r>
          </w:p>
        </w:tc>
        <w:tc>
          <w:tcPr>
            <w:tcW w:w="4714" w:type="dxa"/>
            <w:shd w:val="clear" w:color="auto" w:fill="auto"/>
          </w:tcPr>
          <w:p w14:paraId="0084533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276</w:t>
            </w:r>
          </w:p>
          <w:p w14:paraId="6F7A0B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إنكلترا: 434</w:t>
            </w:r>
          </w:p>
          <w:p w14:paraId="381EAE63"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ويلز: 153</w:t>
            </w:r>
          </w:p>
          <w:p w14:paraId="0C14D65F"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اسكتلندا: 70</w:t>
            </w:r>
          </w:p>
          <w:p w14:paraId="1670BC27" w14:textId="05AC08EA" w:rsidR="00494AE4" w:rsidRPr="00564B9D" w:rsidRDefault="000F4858"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أيرلندا الشمالية</w:t>
            </w:r>
            <w:r w:rsidR="00494AE4" w:rsidRPr="00564B9D">
              <w:rPr>
                <w:rFonts w:hint="cs"/>
                <w:sz w:val="20"/>
                <w:szCs w:val="20"/>
                <w:rtl/>
              </w:rPr>
              <w:t>: 137</w:t>
            </w:r>
          </w:p>
        </w:tc>
      </w:tr>
      <w:tr w:rsidR="007B5A24" w:rsidRPr="00564B9D" w14:paraId="5CE928BD" w14:textId="77777777" w:rsidTr="00804944">
        <w:trPr>
          <w:trHeight w:val="240"/>
        </w:trPr>
        <w:tc>
          <w:tcPr>
            <w:tcW w:w="3077" w:type="dxa"/>
            <w:shd w:val="clear" w:color="auto" w:fill="auto"/>
          </w:tcPr>
          <w:p w14:paraId="4F801ED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E513B7">
              <w:rPr>
                <w:rFonts w:hint="cs"/>
                <w:sz w:val="20"/>
                <w:szCs w:val="20"/>
                <w:rtl/>
              </w:rPr>
              <w:t>ت</w:t>
            </w:r>
            <w:r w:rsidRPr="00564B9D">
              <w:rPr>
                <w:rFonts w:hint="cs"/>
                <w:sz w:val="20"/>
                <w:szCs w:val="20"/>
                <w:rtl/>
              </w:rPr>
              <w:t>وزيع السكان بحسب اللغة الأم</w:t>
            </w:r>
            <w:r w:rsidRPr="00564B9D">
              <w:rPr>
                <w:sz w:val="20"/>
                <w:szCs w:val="20"/>
                <w:vertAlign w:val="superscript"/>
                <w:rtl/>
              </w:rPr>
              <w:t>(</w:t>
            </w:r>
            <w:r w:rsidRPr="00564B9D">
              <w:rPr>
                <w:rStyle w:val="FootnoteReference"/>
                <w:rFonts w:cs="Simplified Arabic"/>
                <w:b w:val="0"/>
                <w:sz w:val="20"/>
                <w:szCs w:val="20"/>
                <w:rtl/>
                <w:lang w:val="en-US"/>
              </w:rPr>
              <w:footnoteReference w:id="6"/>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012C800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tl/>
              </w:rPr>
            </w:pPr>
            <w:r w:rsidRPr="00564B9D">
              <w:rPr>
                <w:rFonts w:hint="cs"/>
                <w:b/>
                <w:b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7"/>
            </w:r>
            <w:r w:rsidRPr="00564B9D">
              <w:rPr>
                <w:sz w:val="20"/>
                <w:szCs w:val="20"/>
                <w:vertAlign w:val="superscript"/>
                <w:rtl/>
              </w:rPr>
              <w:t>)</w:t>
            </w:r>
            <w:r w:rsidRPr="00564B9D">
              <w:rPr>
                <w:rFonts w:hint="cs"/>
                <w:b/>
                <w:bCs/>
                <w:sz w:val="20"/>
                <w:szCs w:val="20"/>
                <w:rtl/>
              </w:rPr>
              <w:t>:</w:t>
            </w:r>
          </w:p>
          <w:p w14:paraId="2337E5BB"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الإنكليزية (الإنكليزية أو الويلزية في ويلز): 185</w:t>
            </w:r>
            <w:r w:rsidRPr="00564B9D">
              <w:rPr>
                <w:sz w:val="20"/>
                <w:szCs w:val="20"/>
                <w:rtl/>
              </w:rPr>
              <w:t> </w:t>
            </w:r>
            <w:r w:rsidRPr="00564B9D">
              <w:rPr>
                <w:rFonts w:hint="cs"/>
                <w:sz w:val="20"/>
                <w:szCs w:val="20"/>
                <w:rtl/>
              </w:rPr>
              <w:t>808 49</w:t>
            </w:r>
          </w:p>
          <w:p w14:paraId="32750D5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الفرنسية: 099</w:t>
            </w:r>
            <w:r w:rsidRPr="00564B9D">
              <w:rPr>
                <w:sz w:val="20"/>
                <w:szCs w:val="20"/>
                <w:rtl/>
              </w:rPr>
              <w:t> </w:t>
            </w:r>
            <w:r w:rsidRPr="00564B9D">
              <w:rPr>
                <w:rFonts w:hint="cs"/>
                <w:sz w:val="20"/>
                <w:szCs w:val="20"/>
                <w:rtl/>
              </w:rPr>
              <w:t>147</w:t>
            </w:r>
          </w:p>
          <w:p w14:paraId="4F8D1F0D"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البرتغالية: 453</w:t>
            </w:r>
            <w:r w:rsidRPr="00564B9D">
              <w:rPr>
                <w:sz w:val="20"/>
                <w:szCs w:val="20"/>
                <w:rtl/>
              </w:rPr>
              <w:t> </w:t>
            </w:r>
            <w:r w:rsidRPr="00564B9D">
              <w:rPr>
                <w:rFonts w:hint="cs"/>
                <w:sz w:val="20"/>
                <w:szCs w:val="20"/>
                <w:rtl/>
              </w:rPr>
              <w:t>133</w:t>
            </w:r>
          </w:p>
          <w:p w14:paraId="73ED1B83"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الإسبانية: 222</w:t>
            </w:r>
            <w:r w:rsidRPr="00564B9D">
              <w:rPr>
                <w:sz w:val="20"/>
                <w:szCs w:val="20"/>
                <w:rtl/>
              </w:rPr>
              <w:t> </w:t>
            </w:r>
            <w:r w:rsidRPr="00564B9D">
              <w:rPr>
                <w:rFonts w:hint="cs"/>
                <w:sz w:val="20"/>
                <w:szCs w:val="20"/>
                <w:rtl/>
              </w:rPr>
              <w:t>120</w:t>
            </w:r>
          </w:p>
          <w:p w14:paraId="6A45546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lastRenderedPageBreak/>
              <w:t>لغات أوروبية أخرى (الاتحاد الأوروبي): 776</w:t>
            </w:r>
            <w:r w:rsidRPr="00564B9D">
              <w:rPr>
                <w:sz w:val="20"/>
                <w:szCs w:val="20"/>
                <w:rtl/>
              </w:rPr>
              <w:t> </w:t>
            </w:r>
            <w:r w:rsidRPr="00564B9D">
              <w:rPr>
                <w:rFonts w:hint="cs"/>
                <w:sz w:val="20"/>
                <w:szCs w:val="20"/>
                <w:rtl/>
              </w:rPr>
              <w:t>214 1</w:t>
            </w:r>
          </w:p>
          <w:p w14:paraId="00C37E70"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لغات أوروبية أخرى (خارج الاتحاد الأوروبي): 117</w:t>
            </w:r>
            <w:r w:rsidRPr="00564B9D">
              <w:rPr>
                <w:sz w:val="20"/>
                <w:szCs w:val="20"/>
                <w:rtl/>
              </w:rPr>
              <w:t> </w:t>
            </w:r>
            <w:r w:rsidRPr="00564B9D">
              <w:rPr>
                <w:rFonts w:hint="cs"/>
                <w:sz w:val="20"/>
                <w:szCs w:val="20"/>
                <w:rtl/>
              </w:rPr>
              <w:t>237</w:t>
            </w:r>
          </w:p>
          <w:p w14:paraId="66D636B2"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العربية: 290</w:t>
            </w:r>
            <w:r w:rsidRPr="00564B9D">
              <w:rPr>
                <w:sz w:val="20"/>
                <w:szCs w:val="20"/>
                <w:rtl/>
              </w:rPr>
              <w:t> </w:t>
            </w:r>
            <w:r w:rsidRPr="00564B9D">
              <w:rPr>
                <w:rFonts w:hint="cs"/>
                <w:sz w:val="20"/>
                <w:szCs w:val="20"/>
                <w:rtl/>
              </w:rPr>
              <w:t>159</w:t>
            </w:r>
          </w:p>
          <w:p w14:paraId="42FD4AB8"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لغة غرب/وسط آسيوية: 665</w:t>
            </w:r>
            <w:r w:rsidRPr="00564B9D">
              <w:rPr>
                <w:sz w:val="20"/>
                <w:szCs w:val="20"/>
                <w:rtl/>
              </w:rPr>
              <w:t> </w:t>
            </w:r>
            <w:r w:rsidRPr="00564B9D">
              <w:rPr>
                <w:rFonts w:hint="cs"/>
                <w:sz w:val="20"/>
                <w:szCs w:val="20"/>
                <w:rtl/>
              </w:rPr>
              <w:t>184</w:t>
            </w:r>
          </w:p>
          <w:p w14:paraId="0A28440C"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لغة جنوب آسيوية: 833</w:t>
            </w:r>
            <w:r w:rsidRPr="00564B9D">
              <w:rPr>
                <w:sz w:val="20"/>
                <w:szCs w:val="20"/>
                <w:rtl/>
              </w:rPr>
              <w:t> </w:t>
            </w:r>
            <w:r w:rsidRPr="00564B9D">
              <w:rPr>
                <w:rFonts w:hint="cs"/>
                <w:sz w:val="20"/>
                <w:szCs w:val="20"/>
                <w:rtl/>
              </w:rPr>
              <w:t>296 1</w:t>
            </w:r>
          </w:p>
          <w:p w14:paraId="45C7339C"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لغة شرق آسيوية: 829</w:t>
            </w:r>
            <w:r w:rsidRPr="00564B9D">
              <w:rPr>
                <w:sz w:val="20"/>
                <w:szCs w:val="20"/>
                <w:rtl/>
              </w:rPr>
              <w:t> </w:t>
            </w:r>
            <w:r w:rsidRPr="00564B9D">
              <w:rPr>
                <w:rFonts w:hint="cs"/>
                <w:sz w:val="20"/>
                <w:szCs w:val="20"/>
                <w:rtl/>
              </w:rPr>
              <w:t>387</w:t>
            </w:r>
          </w:p>
          <w:p w14:paraId="0613CACE"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لغة أفريقية: 057</w:t>
            </w:r>
            <w:r w:rsidRPr="00564B9D">
              <w:rPr>
                <w:sz w:val="20"/>
                <w:szCs w:val="20"/>
                <w:rtl/>
              </w:rPr>
              <w:t> </w:t>
            </w:r>
            <w:r w:rsidRPr="00564B9D">
              <w:rPr>
                <w:rFonts w:hint="cs"/>
                <w:sz w:val="20"/>
                <w:szCs w:val="20"/>
                <w:rtl/>
              </w:rPr>
              <w:t>244</w:t>
            </w:r>
          </w:p>
          <w:p w14:paraId="4058003A"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لغات أخرى: 925</w:t>
            </w:r>
            <w:r w:rsidRPr="00564B9D">
              <w:rPr>
                <w:sz w:val="20"/>
                <w:szCs w:val="20"/>
                <w:rtl/>
              </w:rPr>
              <w:t> </w:t>
            </w:r>
            <w:r w:rsidRPr="00564B9D">
              <w:rPr>
                <w:rFonts w:hint="cs"/>
                <w:sz w:val="20"/>
                <w:szCs w:val="20"/>
                <w:rtl/>
              </w:rPr>
              <w:t>27</w:t>
            </w:r>
          </w:p>
          <w:p w14:paraId="0B0D7E2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b/>
                <w:bCs/>
                <w:sz w:val="20"/>
                <w:szCs w:val="20"/>
                <w:rtl/>
              </w:rPr>
              <w:t>اسكتلندا:</w:t>
            </w:r>
            <w:r w:rsidRPr="00564B9D">
              <w:rPr>
                <w:rFonts w:hint="cs"/>
                <w:sz w:val="20"/>
                <w:szCs w:val="20"/>
                <w:rtl/>
              </w:rPr>
              <w:t xml:space="preserve"> (اللغات المتداولة في المنزل)</w:t>
            </w:r>
            <w:r w:rsidRPr="00564B9D">
              <w:rPr>
                <w:sz w:val="20"/>
                <w:szCs w:val="20"/>
                <w:vertAlign w:val="superscript"/>
                <w:rtl/>
              </w:rPr>
              <w:t>(</w:t>
            </w:r>
            <w:r w:rsidRPr="00564B9D">
              <w:rPr>
                <w:rStyle w:val="FootnoteReference"/>
                <w:rFonts w:cs="Simplified Arabic"/>
                <w:b w:val="0"/>
                <w:sz w:val="20"/>
                <w:szCs w:val="20"/>
                <w:rtl/>
                <w:lang w:val="en-US"/>
              </w:rPr>
              <w:footnoteReference w:id="8"/>
            </w:r>
            <w:r w:rsidRPr="00564B9D">
              <w:rPr>
                <w:sz w:val="20"/>
                <w:szCs w:val="20"/>
                <w:vertAlign w:val="superscript"/>
                <w:rtl/>
              </w:rPr>
              <w:t>)</w:t>
            </w:r>
            <w:r w:rsidRPr="00564B9D">
              <w:rPr>
                <w:sz w:val="20"/>
                <w:szCs w:val="20"/>
                <w:rtl/>
              </w:rPr>
              <w:t xml:space="preserve"> </w:t>
            </w:r>
          </w:p>
          <w:p w14:paraId="1FAE344E"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الإنكليزية: 000</w:t>
            </w:r>
            <w:r w:rsidRPr="00564B9D">
              <w:rPr>
                <w:sz w:val="20"/>
                <w:szCs w:val="20"/>
                <w:rtl/>
              </w:rPr>
              <w:t> </w:t>
            </w:r>
            <w:r w:rsidRPr="00564B9D">
              <w:rPr>
                <w:rFonts w:hint="cs"/>
                <w:sz w:val="20"/>
                <w:szCs w:val="20"/>
                <w:rtl/>
              </w:rPr>
              <w:t>741 4</w:t>
            </w:r>
          </w:p>
          <w:p w14:paraId="79195166"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الاسكتلندية: 000</w:t>
            </w:r>
            <w:r w:rsidRPr="00564B9D">
              <w:rPr>
                <w:sz w:val="20"/>
                <w:szCs w:val="20"/>
                <w:rtl/>
              </w:rPr>
              <w:t> </w:t>
            </w:r>
            <w:r w:rsidRPr="00564B9D">
              <w:rPr>
                <w:rFonts w:hint="cs"/>
                <w:sz w:val="20"/>
                <w:szCs w:val="20"/>
                <w:rtl/>
              </w:rPr>
              <w:t>56</w:t>
            </w:r>
          </w:p>
          <w:p w14:paraId="5B54B7AE"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البولندية: 000</w:t>
            </w:r>
            <w:r w:rsidRPr="00564B9D">
              <w:rPr>
                <w:sz w:val="20"/>
                <w:szCs w:val="20"/>
                <w:rtl/>
              </w:rPr>
              <w:t> </w:t>
            </w:r>
            <w:r w:rsidRPr="00564B9D">
              <w:rPr>
                <w:rFonts w:hint="cs"/>
                <w:sz w:val="20"/>
                <w:szCs w:val="20"/>
                <w:rtl/>
              </w:rPr>
              <w:t>54</w:t>
            </w:r>
          </w:p>
          <w:p w14:paraId="5C17715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tl/>
              </w:rPr>
            </w:pPr>
            <w:proofErr w:type="spellStart"/>
            <w:r w:rsidRPr="00564B9D">
              <w:rPr>
                <w:rFonts w:hint="cs"/>
                <w:sz w:val="20"/>
                <w:szCs w:val="20"/>
                <w:rtl/>
              </w:rPr>
              <w:t>الغايلية</w:t>
            </w:r>
            <w:proofErr w:type="spellEnd"/>
            <w:r w:rsidRPr="00564B9D">
              <w:rPr>
                <w:rFonts w:hint="cs"/>
                <w:sz w:val="20"/>
                <w:szCs w:val="20"/>
                <w:rtl/>
              </w:rPr>
              <w:t>: 000</w:t>
            </w:r>
            <w:r w:rsidRPr="00564B9D">
              <w:rPr>
                <w:sz w:val="20"/>
                <w:szCs w:val="20"/>
                <w:rtl/>
              </w:rPr>
              <w:t> </w:t>
            </w:r>
            <w:r w:rsidRPr="00564B9D">
              <w:rPr>
                <w:rFonts w:hint="cs"/>
                <w:sz w:val="20"/>
                <w:szCs w:val="20"/>
                <w:rtl/>
              </w:rPr>
              <w:t>25</w:t>
            </w:r>
          </w:p>
          <w:p w14:paraId="0A63FC5D"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tl/>
              </w:rPr>
            </w:pPr>
            <w:r w:rsidRPr="00564B9D">
              <w:rPr>
                <w:rFonts w:hint="cs"/>
                <w:sz w:val="20"/>
                <w:szCs w:val="20"/>
                <w:rtl/>
              </w:rPr>
              <w:t>لغة الإشارة البريطانية: 000</w:t>
            </w:r>
            <w:r w:rsidRPr="00564B9D">
              <w:rPr>
                <w:sz w:val="20"/>
                <w:szCs w:val="20"/>
                <w:rtl/>
              </w:rPr>
              <w:t> </w:t>
            </w:r>
            <w:r w:rsidRPr="00564B9D">
              <w:rPr>
                <w:rFonts w:hint="cs"/>
                <w:sz w:val="20"/>
                <w:szCs w:val="20"/>
                <w:rtl/>
              </w:rPr>
              <w:t>13</w:t>
            </w:r>
          </w:p>
          <w:p w14:paraId="38D52286" w14:textId="01077D29"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tl/>
              </w:rPr>
            </w:pPr>
            <w:r w:rsidRPr="00564B9D">
              <w:rPr>
                <w:rFonts w:hint="cs"/>
                <w:b/>
                <w:b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9"/>
            </w:r>
            <w:r w:rsidR="00494AE4" w:rsidRPr="00564B9D">
              <w:rPr>
                <w:sz w:val="20"/>
                <w:szCs w:val="20"/>
                <w:vertAlign w:val="superscript"/>
                <w:rtl/>
              </w:rPr>
              <w:t>)</w:t>
            </w:r>
            <w:r w:rsidR="00494AE4" w:rsidRPr="00564B9D">
              <w:rPr>
                <w:rFonts w:hint="cs"/>
                <w:b/>
                <w:bCs/>
                <w:sz w:val="20"/>
                <w:szCs w:val="20"/>
                <w:rtl/>
              </w:rPr>
              <w:t>:</w:t>
            </w:r>
          </w:p>
          <w:p w14:paraId="639A44FF"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الإنكليزية: 171</w:t>
            </w:r>
            <w:r w:rsidRPr="00564B9D">
              <w:rPr>
                <w:sz w:val="20"/>
                <w:szCs w:val="20"/>
                <w:rtl/>
              </w:rPr>
              <w:t> </w:t>
            </w:r>
            <w:r w:rsidRPr="00564B9D">
              <w:rPr>
                <w:rFonts w:hint="cs"/>
                <w:sz w:val="20"/>
                <w:szCs w:val="20"/>
                <w:rtl/>
              </w:rPr>
              <w:t>681 1</w:t>
            </w:r>
          </w:p>
          <w:p w14:paraId="3055CE11"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البولندية: 731</w:t>
            </w:r>
            <w:r w:rsidRPr="00564B9D">
              <w:rPr>
                <w:sz w:val="20"/>
                <w:szCs w:val="20"/>
                <w:rtl/>
              </w:rPr>
              <w:t> </w:t>
            </w:r>
            <w:r w:rsidRPr="00564B9D">
              <w:rPr>
                <w:rFonts w:hint="cs"/>
                <w:sz w:val="20"/>
                <w:szCs w:val="20"/>
                <w:rtl/>
              </w:rPr>
              <w:t>17</w:t>
            </w:r>
          </w:p>
          <w:p w14:paraId="66CF3D70"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الليتوانية: 250</w:t>
            </w:r>
            <w:r w:rsidRPr="00564B9D">
              <w:rPr>
                <w:sz w:val="20"/>
                <w:szCs w:val="20"/>
                <w:rtl/>
              </w:rPr>
              <w:t> </w:t>
            </w:r>
            <w:r w:rsidRPr="00564B9D">
              <w:rPr>
                <w:rFonts w:hint="cs"/>
                <w:sz w:val="20"/>
                <w:szCs w:val="20"/>
                <w:rtl/>
              </w:rPr>
              <w:t>6</w:t>
            </w:r>
          </w:p>
          <w:p w14:paraId="3774D4AB"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الآيرلندية (</w:t>
            </w:r>
            <w:proofErr w:type="spellStart"/>
            <w:r w:rsidRPr="00564B9D">
              <w:rPr>
                <w:rFonts w:hint="cs"/>
                <w:sz w:val="20"/>
                <w:szCs w:val="20"/>
                <w:rtl/>
              </w:rPr>
              <w:t>الغايلية</w:t>
            </w:r>
            <w:proofErr w:type="spellEnd"/>
            <w:r w:rsidRPr="00564B9D">
              <w:rPr>
                <w:rFonts w:hint="cs"/>
                <w:sz w:val="20"/>
                <w:szCs w:val="20"/>
                <w:rtl/>
              </w:rPr>
              <w:t>): 164</w:t>
            </w:r>
            <w:r w:rsidRPr="00564B9D">
              <w:rPr>
                <w:sz w:val="20"/>
                <w:szCs w:val="20"/>
                <w:rtl/>
              </w:rPr>
              <w:t> </w:t>
            </w:r>
            <w:r w:rsidRPr="00564B9D">
              <w:rPr>
                <w:rFonts w:hint="cs"/>
                <w:sz w:val="20"/>
                <w:szCs w:val="20"/>
                <w:rtl/>
              </w:rPr>
              <w:t>4</w:t>
            </w:r>
          </w:p>
          <w:p w14:paraId="180F7BF1"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البرتغالية: 293</w:t>
            </w:r>
            <w:r w:rsidRPr="00564B9D">
              <w:rPr>
                <w:sz w:val="20"/>
                <w:szCs w:val="20"/>
                <w:rtl/>
              </w:rPr>
              <w:t> </w:t>
            </w:r>
            <w:r w:rsidRPr="00564B9D">
              <w:rPr>
                <w:rFonts w:hint="cs"/>
                <w:sz w:val="20"/>
                <w:szCs w:val="20"/>
                <w:rtl/>
              </w:rPr>
              <w:t>2</w:t>
            </w:r>
          </w:p>
          <w:p w14:paraId="25127B88"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السلوفاكية: 257</w:t>
            </w:r>
            <w:r w:rsidRPr="00564B9D">
              <w:rPr>
                <w:sz w:val="20"/>
                <w:szCs w:val="20"/>
                <w:rtl/>
              </w:rPr>
              <w:t> </w:t>
            </w:r>
            <w:r w:rsidRPr="00564B9D">
              <w:rPr>
                <w:rFonts w:hint="cs"/>
                <w:sz w:val="20"/>
                <w:szCs w:val="20"/>
                <w:rtl/>
              </w:rPr>
              <w:t>2</w:t>
            </w:r>
          </w:p>
          <w:p w14:paraId="5119E5F9"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الصينية: 214</w:t>
            </w:r>
            <w:r w:rsidRPr="00564B9D">
              <w:rPr>
                <w:sz w:val="20"/>
                <w:szCs w:val="20"/>
                <w:rtl/>
              </w:rPr>
              <w:t> </w:t>
            </w:r>
            <w:r w:rsidRPr="00564B9D">
              <w:rPr>
                <w:rFonts w:hint="cs"/>
                <w:sz w:val="20"/>
                <w:szCs w:val="20"/>
                <w:rtl/>
              </w:rPr>
              <w:t>2</w:t>
            </w:r>
          </w:p>
          <w:p w14:paraId="69986BEE"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proofErr w:type="spellStart"/>
            <w:r w:rsidRPr="00564B9D">
              <w:rPr>
                <w:rFonts w:hint="cs"/>
                <w:sz w:val="20"/>
                <w:szCs w:val="20"/>
                <w:rtl/>
              </w:rPr>
              <w:t>تاغالوغ</w:t>
            </w:r>
            <w:proofErr w:type="spellEnd"/>
            <w:r w:rsidRPr="00564B9D">
              <w:rPr>
                <w:rFonts w:hint="cs"/>
                <w:sz w:val="20"/>
                <w:szCs w:val="20"/>
                <w:rtl/>
              </w:rPr>
              <w:t>/فلبينية: 895</w:t>
            </w:r>
            <w:r w:rsidRPr="00564B9D">
              <w:rPr>
                <w:sz w:val="20"/>
                <w:szCs w:val="20"/>
                <w:rtl/>
              </w:rPr>
              <w:t> </w:t>
            </w:r>
            <w:r w:rsidRPr="00564B9D">
              <w:rPr>
                <w:rFonts w:hint="cs"/>
                <w:sz w:val="20"/>
                <w:szCs w:val="20"/>
                <w:rtl/>
              </w:rPr>
              <w:t>1</w:t>
            </w:r>
          </w:p>
          <w:p w14:paraId="17716793"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اللاتفية: 273</w:t>
            </w:r>
            <w:r w:rsidRPr="00564B9D">
              <w:rPr>
                <w:sz w:val="20"/>
                <w:szCs w:val="20"/>
                <w:rtl/>
              </w:rPr>
              <w:t> </w:t>
            </w:r>
            <w:r w:rsidRPr="00564B9D">
              <w:rPr>
                <w:rFonts w:hint="cs"/>
                <w:sz w:val="20"/>
                <w:szCs w:val="20"/>
                <w:rtl/>
              </w:rPr>
              <w:t>1</w:t>
            </w:r>
          </w:p>
          <w:p w14:paraId="749F2B45"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الروسية: 191</w:t>
            </w:r>
            <w:r w:rsidRPr="00564B9D">
              <w:rPr>
                <w:sz w:val="20"/>
                <w:szCs w:val="20"/>
                <w:rtl/>
              </w:rPr>
              <w:t> </w:t>
            </w:r>
            <w:r w:rsidRPr="00564B9D">
              <w:rPr>
                <w:rFonts w:hint="cs"/>
                <w:sz w:val="20"/>
                <w:szCs w:val="20"/>
                <w:rtl/>
              </w:rPr>
              <w:t>1</w:t>
            </w:r>
          </w:p>
          <w:p w14:paraId="194BF11A"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الماليزية: 174</w:t>
            </w:r>
            <w:r w:rsidRPr="00564B9D">
              <w:rPr>
                <w:sz w:val="20"/>
                <w:szCs w:val="20"/>
                <w:rtl/>
              </w:rPr>
              <w:t> </w:t>
            </w:r>
            <w:r w:rsidRPr="00564B9D">
              <w:rPr>
                <w:rFonts w:hint="cs"/>
                <w:sz w:val="20"/>
                <w:szCs w:val="20"/>
                <w:rtl/>
              </w:rPr>
              <w:t>1</w:t>
            </w:r>
          </w:p>
          <w:p w14:paraId="116D2FD1"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الهنغارية: 008</w:t>
            </w:r>
            <w:r w:rsidRPr="00564B9D">
              <w:rPr>
                <w:sz w:val="20"/>
                <w:szCs w:val="20"/>
                <w:rtl/>
              </w:rPr>
              <w:t> </w:t>
            </w:r>
            <w:r w:rsidRPr="00564B9D">
              <w:rPr>
                <w:rFonts w:hint="cs"/>
                <w:sz w:val="20"/>
                <w:szCs w:val="20"/>
                <w:rtl/>
              </w:rPr>
              <w:t>1</w:t>
            </w:r>
          </w:p>
          <w:p w14:paraId="24D00F56"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لغات أخرى: 090</w:t>
            </w:r>
            <w:r w:rsidRPr="00564B9D">
              <w:rPr>
                <w:sz w:val="20"/>
                <w:szCs w:val="20"/>
                <w:rtl/>
              </w:rPr>
              <w:t> </w:t>
            </w:r>
            <w:r w:rsidRPr="00564B9D">
              <w:rPr>
                <w:rFonts w:hint="cs"/>
                <w:sz w:val="20"/>
                <w:szCs w:val="20"/>
                <w:rtl/>
              </w:rPr>
              <w:t>13</w:t>
            </w:r>
          </w:p>
        </w:tc>
      </w:tr>
      <w:tr w:rsidR="007B5A24" w:rsidRPr="00564B9D" w14:paraId="7696C70B" w14:textId="77777777" w:rsidTr="00804944">
        <w:trPr>
          <w:trHeight w:val="240"/>
        </w:trPr>
        <w:tc>
          <w:tcPr>
            <w:tcW w:w="3077" w:type="dxa"/>
            <w:shd w:val="clear" w:color="auto" w:fill="auto"/>
          </w:tcPr>
          <w:p w14:paraId="77CCB3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توزيع السكان بحسب الديانة</w:t>
            </w:r>
            <w:r w:rsidRPr="00564B9D">
              <w:rPr>
                <w:sz w:val="20"/>
                <w:szCs w:val="20"/>
                <w:vertAlign w:val="superscript"/>
                <w:rtl/>
              </w:rPr>
              <w:t>(</w:t>
            </w:r>
            <w:r w:rsidRPr="00564B9D">
              <w:rPr>
                <w:rStyle w:val="FootnoteReference"/>
                <w:rFonts w:cs="Simplified Arabic"/>
                <w:b w:val="0"/>
                <w:sz w:val="20"/>
                <w:szCs w:val="20"/>
                <w:rtl/>
                <w:lang w:val="en-US"/>
              </w:rPr>
              <w:footnoteReference w:id="10"/>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032145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tl/>
              </w:rPr>
            </w:pPr>
            <w:r w:rsidRPr="00564B9D">
              <w:rPr>
                <w:rFonts w:hint="cs"/>
                <w:b/>
                <w:b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11"/>
            </w:r>
            <w:r w:rsidRPr="00564B9D">
              <w:rPr>
                <w:sz w:val="20"/>
                <w:szCs w:val="20"/>
                <w:vertAlign w:val="superscript"/>
                <w:rtl/>
              </w:rPr>
              <w:t>)</w:t>
            </w:r>
            <w:r w:rsidRPr="00564B9D">
              <w:rPr>
                <w:rFonts w:hint="cs"/>
                <w:b/>
                <w:bCs/>
                <w:sz w:val="20"/>
                <w:szCs w:val="20"/>
                <w:rtl/>
              </w:rPr>
              <w:t>:</w:t>
            </w:r>
          </w:p>
          <w:p w14:paraId="2E63E03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مسيحيون: 175</w:t>
            </w:r>
            <w:r w:rsidRPr="00564B9D">
              <w:rPr>
                <w:sz w:val="20"/>
                <w:szCs w:val="20"/>
                <w:rtl/>
              </w:rPr>
              <w:t> </w:t>
            </w:r>
            <w:r w:rsidRPr="00564B9D">
              <w:rPr>
                <w:rFonts w:hint="cs"/>
                <w:sz w:val="20"/>
                <w:szCs w:val="20"/>
                <w:rtl/>
              </w:rPr>
              <w:t>243 33</w:t>
            </w:r>
          </w:p>
          <w:p w14:paraId="489D708E"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بوذيون: 743</w:t>
            </w:r>
            <w:r w:rsidRPr="00564B9D">
              <w:rPr>
                <w:sz w:val="20"/>
                <w:szCs w:val="20"/>
                <w:rtl/>
              </w:rPr>
              <w:t> </w:t>
            </w:r>
            <w:r w:rsidRPr="00564B9D">
              <w:rPr>
                <w:rFonts w:hint="cs"/>
                <w:sz w:val="20"/>
                <w:szCs w:val="20"/>
                <w:rtl/>
              </w:rPr>
              <w:t>247</w:t>
            </w:r>
          </w:p>
          <w:p w14:paraId="5AF3C882"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هندوس: 633</w:t>
            </w:r>
            <w:r w:rsidRPr="00564B9D">
              <w:rPr>
                <w:sz w:val="20"/>
                <w:szCs w:val="20"/>
                <w:rtl/>
              </w:rPr>
              <w:t> </w:t>
            </w:r>
            <w:r w:rsidRPr="00564B9D">
              <w:rPr>
                <w:rFonts w:hint="cs"/>
                <w:sz w:val="20"/>
                <w:szCs w:val="20"/>
                <w:rtl/>
              </w:rPr>
              <w:t>816</w:t>
            </w:r>
          </w:p>
          <w:p w14:paraId="556003A9"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يهود: 346</w:t>
            </w:r>
            <w:r w:rsidRPr="00564B9D">
              <w:rPr>
                <w:sz w:val="20"/>
                <w:szCs w:val="20"/>
                <w:rtl/>
              </w:rPr>
              <w:t> </w:t>
            </w:r>
            <w:r w:rsidRPr="00564B9D">
              <w:rPr>
                <w:rFonts w:hint="cs"/>
                <w:sz w:val="20"/>
                <w:szCs w:val="20"/>
                <w:rtl/>
              </w:rPr>
              <w:t>263</w:t>
            </w:r>
          </w:p>
          <w:p w14:paraId="5F793B7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مسلمون: 066</w:t>
            </w:r>
            <w:r w:rsidRPr="00564B9D">
              <w:rPr>
                <w:sz w:val="20"/>
                <w:szCs w:val="20"/>
                <w:rtl/>
              </w:rPr>
              <w:t> </w:t>
            </w:r>
            <w:r w:rsidRPr="00564B9D">
              <w:rPr>
                <w:rFonts w:hint="cs"/>
                <w:sz w:val="20"/>
                <w:szCs w:val="20"/>
                <w:rtl/>
              </w:rPr>
              <w:t>706 2</w:t>
            </w:r>
          </w:p>
          <w:p w14:paraId="48EB329A"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سيخ: 158</w:t>
            </w:r>
            <w:r w:rsidRPr="00564B9D">
              <w:rPr>
                <w:sz w:val="20"/>
                <w:szCs w:val="20"/>
                <w:rtl/>
              </w:rPr>
              <w:t> </w:t>
            </w:r>
            <w:r w:rsidRPr="00564B9D">
              <w:rPr>
                <w:rFonts w:hint="cs"/>
                <w:sz w:val="20"/>
                <w:szCs w:val="20"/>
                <w:rtl/>
              </w:rPr>
              <w:t>423</w:t>
            </w:r>
          </w:p>
          <w:p w14:paraId="020106C8"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معتنقو ديانات أخرى: 530</w:t>
            </w:r>
            <w:r w:rsidRPr="00564B9D">
              <w:rPr>
                <w:sz w:val="20"/>
                <w:szCs w:val="20"/>
                <w:rtl/>
              </w:rPr>
              <w:t> </w:t>
            </w:r>
            <w:r w:rsidRPr="00564B9D">
              <w:rPr>
                <w:rFonts w:hint="cs"/>
                <w:sz w:val="20"/>
                <w:szCs w:val="20"/>
                <w:rtl/>
              </w:rPr>
              <w:t>240</w:t>
            </w:r>
          </w:p>
          <w:p w14:paraId="7C6DC90C"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بدون ديانة: 229</w:t>
            </w:r>
            <w:r w:rsidRPr="00564B9D">
              <w:rPr>
                <w:sz w:val="20"/>
                <w:szCs w:val="20"/>
                <w:rtl/>
              </w:rPr>
              <w:t> </w:t>
            </w:r>
            <w:r w:rsidRPr="00564B9D">
              <w:rPr>
                <w:rFonts w:hint="cs"/>
                <w:sz w:val="20"/>
                <w:szCs w:val="20"/>
                <w:rtl/>
              </w:rPr>
              <w:t>097 14</w:t>
            </w:r>
          </w:p>
          <w:p w14:paraId="1AC6B984"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lastRenderedPageBreak/>
              <w:t>بدون ديانة معلنة: 032</w:t>
            </w:r>
            <w:r w:rsidRPr="00564B9D">
              <w:rPr>
                <w:sz w:val="20"/>
                <w:szCs w:val="20"/>
                <w:rtl/>
              </w:rPr>
              <w:t> </w:t>
            </w:r>
            <w:r w:rsidRPr="00564B9D">
              <w:rPr>
                <w:rFonts w:hint="cs"/>
                <w:sz w:val="20"/>
                <w:szCs w:val="20"/>
                <w:rtl/>
              </w:rPr>
              <w:t>038 4</w:t>
            </w:r>
          </w:p>
          <w:p w14:paraId="54C7B3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tl/>
              </w:rPr>
            </w:pPr>
            <w:r w:rsidRPr="00564B9D">
              <w:rPr>
                <w:rFonts w:hint="cs"/>
                <w:b/>
                <w:b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12"/>
            </w:r>
            <w:r w:rsidRPr="00564B9D">
              <w:rPr>
                <w:sz w:val="20"/>
                <w:szCs w:val="20"/>
                <w:vertAlign w:val="superscript"/>
                <w:rtl/>
              </w:rPr>
              <w:t>)</w:t>
            </w:r>
            <w:r w:rsidRPr="00564B9D">
              <w:rPr>
                <w:rFonts w:hint="cs"/>
                <w:b/>
                <w:bCs/>
                <w:sz w:val="20"/>
                <w:szCs w:val="20"/>
                <w:rtl/>
              </w:rPr>
              <w:t>:</w:t>
            </w:r>
          </w:p>
          <w:p w14:paraId="0C40F83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الكنيسة الاسكتلندية: 000</w:t>
            </w:r>
            <w:r w:rsidRPr="00564B9D">
              <w:rPr>
                <w:sz w:val="20"/>
                <w:szCs w:val="20"/>
                <w:rtl/>
              </w:rPr>
              <w:t> </w:t>
            </w:r>
            <w:r w:rsidRPr="00564B9D">
              <w:rPr>
                <w:rFonts w:hint="cs"/>
                <w:sz w:val="20"/>
                <w:szCs w:val="20"/>
                <w:rtl/>
              </w:rPr>
              <w:t>718 1</w:t>
            </w:r>
          </w:p>
          <w:p w14:paraId="337EA8A6"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روم كاثوليك: 000</w:t>
            </w:r>
            <w:r w:rsidRPr="00564B9D">
              <w:rPr>
                <w:sz w:val="20"/>
                <w:szCs w:val="20"/>
                <w:rtl/>
              </w:rPr>
              <w:t> </w:t>
            </w:r>
            <w:r w:rsidRPr="00564B9D">
              <w:rPr>
                <w:rFonts w:hint="cs"/>
                <w:sz w:val="20"/>
                <w:szCs w:val="20"/>
                <w:rtl/>
              </w:rPr>
              <w:t>841</w:t>
            </w:r>
          </w:p>
          <w:p w14:paraId="1D18C64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مسيحيون آخرون: 000</w:t>
            </w:r>
            <w:r w:rsidRPr="00564B9D">
              <w:rPr>
                <w:sz w:val="20"/>
                <w:szCs w:val="20"/>
                <w:rtl/>
              </w:rPr>
              <w:t> </w:t>
            </w:r>
            <w:r w:rsidRPr="00564B9D">
              <w:rPr>
                <w:rFonts w:hint="cs"/>
                <w:sz w:val="20"/>
                <w:szCs w:val="20"/>
                <w:rtl/>
              </w:rPr>
              <w:t>291</w:t>
            </w:r>
          </w:p>
          <w:p w14:paraId="5A7AF000"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مسلمون: 000</w:t>
            </w:r>
            <w:r w:rsidRPr="00564B9D">
              <w:rPr>
                <w:sz w:val="20"/>
                <w:szCs w:val="20"/>
                <w:rtl/>
              </w:rPr>
              <w:t> </w:t>
            </w:r>
            <w:r w:rsidRPr="00564B9D">
              <w:rPr>
                <w:rFonts w:hint="cs"/>
                <w:sz w:val="20"/>
                <w:szCs w:val="20"/>
                <w:rtl/>
              </w:rPr>
              <w:t>77</w:t>
            </w:r>
          </w:p>
          <w:p w14:paraId="39560CE9"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هندوس: 000</w:t>
            </w:r>
            <w:r w:rsidRPr="00564B9D">
              <w:rPr>
                <w:sz w:val="20"/>
                <w:szCs w:val="20"/>
                <w:rtl/>
              </w:rPr>
              <w:t> </w:t>
            </w:r>
            <w:r w:rsidRPr="00564B9D">
              <w:rPr>
                <w:rFonts w:hint="cs"/>
                <w:sz w:val="20"/>
                <w:szCs w:val="20"/>
                <w:rtl/>
              </w:rPr>
              <w:t>16</w:t>
            </w:r>
          </w:p>
          <w:p w14:paraId="353A297A"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بوذيون: 000</w:t>
            </w:r>
            <w:r w:rsidRPr="00564B9D">
              <w:rPr>
                <w:sz w:val="20"/>
                <w:szCs w:val="20"/>
                <w:rtl/>
              </w:rPr>
              <w:t> </w:t>
            </w:r>
            <w:r w:rsidRPr="00564B9D">
              <w:rPr>
                <w:rFonts w:hint="cs"/>
                <w:sz w:val="20"/>
                <w:szCs w:val="20"/>
                <w:rtl/>
              </w:rPr>
              <w:t>13</w:t>
            </w:r>
          </w:p>
          <w:p w14:paraId="1355F73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سيخ: 000</w:t>
            </w:r>
            <w:r w:rsidRPr="00564B9D">
              <w:rPr>
                <w:sz w:val="20"/>
                <w:szCs w:val="20"/>
                <w:rtl/>
              </w:rPr>
              <w:t> </w:t>
            </w:r>
            <w:r w:rsidRPr="00564B9D">
              <w:rPr>
                <w:rFonts w:hint="cs"/>
                <w:sz w:val="20"/>
                <w:szCs w:val="20"/>
                <w:rtl/>
              </w:rPr>
              <w:t>9</w:t>
            </w:r>
          </w:p>
          <w:p w14:paraId="63F93D1C"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يهود: 000</w:t>
            </w:r>
            <w:r w:rsidRPr="00564B9D">
              <w:rPr>
                <w:sz w:val="20"/>
                <w:szCs w:val="20"/>
                <w:rtl/>
              </w:rPr>
              <w:t> </w:t>
            </w:r>
            <w:r w:rsidRPr="00564B9D">
              <w:rPr>
                <w:rFonts w:hint="cs"/>
                <w:sz w:val="20"/>
                <w:szCs w:val="20"/>
                <w:rtl/>
              </w:rPr>
              <w:t>6</w:t>
            </w:r>
          </w:p>
          <w:p w14:paraId="6BAA565A"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معتنقو ديانات أخرى: 000</w:t>
            </w:r>
            <w:r w:rsidRPr="00564B9D">
              <w:rPr>
                <w:sz w:val="20"/>
                <w:szCs w:val="20"/>
                <w:rtl/>
              </w:rPr>
              <w:t> </w:t>
            </w:r>
            <w:r w:rsidRPr="00564B9D">
              <w:rPr>
                <w:rFonts w:hint="cs"/>
                <w:sz w:val="20"/>
                <w:szCs w:val="20"/>
                <w:rtl/>
              </w:rPr>
              <w:t>15</w:t>
            </w:r>
          </w:p>
          <w:p w14:paraId="00BFAC37"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بدون ديانة: 000</w:t>
            </w:r>
            <w:r w:rsidRPr="00564B9D">
              <w:rPr>
                <w:sz w:val="20"/>
                <w:szCs w:val="20"/>
                <w:rtl/>
              </w:rPr>
              <w:t> </w:t>
            </w:r>
            <w:r w:rsidRPr="00564B9D">
              <w:rPr>
                <w:rFonts w:hint="cs"/>
                <w:sz w:val="20"/>
                <w:szCs w:val="20"/>
                <w:rtl/>
              </w:rPr>
              <w:t>941 1</w:t>
            </w:r>
          </w:p>
          <w:p w14:paraId="543E74A6"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بدون ديانة معلنة: 000</w:t>
            </w:r>
            <w:r w:rsidRPr="00564B9D">
              <w:rPr>
                <w:sz w:val="20"/>
                <w:szCs w:val="20"/>
                <w:rtl/>
              </w:rPr>
              <w:t> </w:t>
            </w:r>
            <w:r w:rsidRPr="00564B9D">
              <w:rPr>
                <w:rFonts w:hint="cs"/>
                <w:sz w:val="20"/>
                <w:szCs w:val="20"/>
                <w:rtl/>
              </w:rPr>
              <w:t>368</w:t>
            </w:r>
          </w:p>
          <w:p w14:paraId="7B0DE6C2" w14:textId="584CF2BE"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tl/>
              </w:rPr>
            </w:pPr>
            <w:r w:rsidRPr="00564B9D">
              <w:rPr>
                <w:rFonts w:hint="cs"/>
                <w:b/>
                <w:b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3"/>
            </w:r>
            <w:r w:rsidR="00494AE4" w:rsidRPr="00564B9D">
              <w:rPr>
                <w:sz w:val="20"/>
                <w:szCs w:val="20"/>
                <w:vertAlign w:val="superscript"/>
                <w:rtl/>
              </w:rPr>
              <w:t>)</w:t>
            </w:r>
            <w:r w:rsidR="00494AE4" w:rsidRPr="00564B9D">
              <w:rPr>
                <w:rFonts w:hint="cs"/>
                <w:b/>
                <w:bCs/>
                <w:sz w:val="20"/>
                <w:szCs w:val="20"/>
                <w:rtl/>
              </w:rPr>
              <w:t>:</w:t>
            </w:r>
          </w:p>
          <w:p w14:paraId="5F5A9FB4"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كاثوليك: 033</w:t>
            </w:r>
            <w:r w:rsidRPr="00564B9D">
              <w:rPr>
                <w:sz w:val="20"/>
                <w:szCs w:val="20"/>
                <w:rtl/>
              </w:rPr>
              <w:t> </w:t>
            </w:r>
            <w:r w:rsidRPr="00564B9D">
              <w:rPr>
                <w:rFonts w:hint="cs"/>
                <w:sz w:val="20"/>
                <w:szCs w:val="20"/>
                <w:rtl/>
              </w:rPr>
              <w:t>738</w:t>
            </w:r>
          </w:p>
          <w:p w14:paraId="32ADA6B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بروتستانت أو طوائف مسيحية أخرى: 555</w:t>
            </w:r>
            <w:r w:rsidRPr="00564B9D">
              <w:rPr>
                <w:sz w:val="20"/>
                <w:szCs w:val="20"/>
                <w:rtl/>
              </w:rPr>
              <w:t> </w:t>
            </w:r>
            <w:r w:rsidRPr="00564B9D">
              <w:rPr>
                <w:rFonts w:hint="cs"/>
                <w:sz w:val="20"/>
                <w:szCs w:val="20"/>
                <w:rtl/>
              </w:rPr>
              <w:t>752</w:t>
            </w:r>
          </w:p>
          <w:p w14:paraId="4AE18AA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معتنقو ديانات أخرى: 859</w:t>
            </w:r>
            <w:r w:rsidRPr="00564B9D">
              <w:rPr>
                <w:sz w:val="20"/>
                <w:szCs w:val="20"/>
                <w:rtl/>
              </w:rPr>
              <w:t> </w:t>
            </w:r>
            <w:r w:rsidRPr="00564B9D">
              <w:rPr>
                <w:rFonts w:hint="cs"/>
                <w:sz w:val="20"/>
                <w:szCs w:val="20"/>
                <w:rtl/>
              </w:rPr>
              <w:t>14</w:t>
            </w:r>
          </w:p>
          <w:p w14:paraId="49911025"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بدون ديانة: 164</w:t>
            </w:r>
            <w:r w:rsidRPr="00564B9D">
              <w:rPr>
                <w:sz w:val="20"/>
                <w:szCs w:val="20"/>
                <w:rtl/>
              </w:rPr>
              <w:t> </w:t>
            </w:r>
            <w:r w:rsidRPr="00564B9D">
              <w:rPr>
                <w:rFonts w:hint="cs"/>
                <w:sz w:val="20"/>
                <w:szCs w:val="20"/>
                <w:rtl/>
              </w:rPr>
              <w:t>183</w:t>
            </w:r>
          </w:p>
          <w:p w14:paraId="5D252F5C"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بدون ديانة معلنة: 252</w:t>
            </w:r>
            <w:r w:rsidRPr="00564B9D">
              <w:rPr>
                <w:sz w:val="20"/>
                <w:szCs w:val="20"/>
                <w:rtl/>
              </w:rPr>
              <w:t> </w:t>
            </w:r>
            <w:r w:rsidRPr="00564B9D">
              <w:rPr>
                <w:rFonts w:hint="cs"/>
                <w:sz w:val="20"/>
                <w:szCs w:val="20"/>
                <w:rtl/>
              </w:rPr>
              <w:t>122</w:t>
            </w:r>
          </w:p>
        </w:tc>
      </w:tr>
      <w:tr w:rsidR="007B5A24" w:rsidRPr="00564B9D" w14:paraId="3CDE43F9" w14:textId="77777777" w:rsidTr="00804944">
        <w:trPr>
          <w:trHeight w:val="240"/>
        </w:trPr>
        <w:tc>
          <w:tcPr>
            <w:tcW w:w="3077" w:type="dxa"/>
            <w:shd w:val="clear" w:color="auto" w:fill="auto"/>
          </w:tcPr>
          <w:p w14:paraId="115EDD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توزيع السكان بحسب الفئات الإثنية</w:t>
            </w:r>
            <w:r w:rsidRPr="00564B9D">
              <w:rPr>
                <w:sz w:val="20"/>
                <w:szCs w:val="20"/>
                <w:vertAlign w:val="superscript"/>
                <w:rtl/>
              </w:rPr>
              <w:t>(</w:t>
            </w:r>
            <w:r w:rsidRPr="00564B9D">
              <w:rPr>
                <w:rStyle w:val="FootnoteReference"/>
                <w:rFonts w:cs="Simplified Arabic"/>
                <w:b w:val="0"/>
                <w:sz w:val="20"/>
                <w:szCs w:val="20"/>
                <w:rtl/>
                <w:lang w:val="en-US"/>
              </w:rPr>
              <w:footnoteReference w:id="14"/>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7F52C6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Pr>
            </w:pPr>
            <w:r w:rsidRPr="00564B9D">
              <w:rPr>
                <w:rFonts w:hint="cs"/>
                <w:b/>
                <w:b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15"/>
            </w:r>
            <w:r w:rsidRPr="00564B9D">
              <w:rPr>
                <w:sz w:val="20"/>
                <w:szCs w:val="20"/>
                <w:vertAlign w:val="superscript"/>
                <w:rtl/>
              </w:rPr>
              <w:t>)</w:t>
            </w:r>
            <w:r w:rsidRPr="00564B9D">
              <w:rPr>
                <w:rFonts w:hint="cs"/>
                <w:b/>
                <w:bCs/>
                <w:sz w:val="20"/>
                <w:szCs w:val="20"/>
                <w:rtl/>
              </w:rPr>
              <w:t>:</w:t>
            </w:r>
          </w:p>
          <w:p w14:paraId="6FDD56FB" w14:textId="44471CE6"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إنكليز/</w:t>
            </w:r>
            <w:proofErr w:type="spellStart"/>
            <w:r w:rsidRPr="00564B9D">
              <w:rPr>
                <w:rFonts w:hint="cs"/>
                <w:sz w:val="20"/>
                <w:szCs w:val="20"/>
                <w:rtl/>
              </w:rPr>
              <w:t>ويلزيون</w:t>
            </w:r>
            <w:proofErr w:type="spellEnd"/>
            <w:r w:rsidRPr="00564B9D">
              <w:rPr>
                <w:rFonts w:hint="cs"/>
                <w:sz w:val="20"/>
                <w:szCs w:val="20"/>
                <w:rtl/>
              </w:rPr>
              <w:t>/اسكتلنديون/شمال آيرلنديون/بريطانيون:</w:t>
            </w:r>
            <w:r w:rsidR="00896877" w:rsidRPr="00564B9D">
              <w:rPr>
                <w:rFonts w:hint="cs"/>
                <w:sz w:val="20"/>
                <w:szCs w:val="20"/>
                <w:rtl/>
              </w:rPr>
              <w:t xml:space="preserve"> </w:t>
            </w:r>
            <w:r w:rsidR="00896877" w:rsidRPr="00564B9D">
              <w:rPr>
                <w:sz w:val="20"/>
                <w:szCs w:val="20"/>
                <w:rtl/>
              </w:rPr>
              <w:br/>
            </w:r>
            <w:r w:rsidRPr="00564B9D">
              <w:rPr>
                <w:rFonts w:hint="cs"/>
                <w:sz w:val="20"/>
                <w:szCs w:val="20"/>
                <w:rtl/>
              </w:rPr>
              <w:t>686</w:t>
            </w:r>
            <w:r w:rsidRPr="00564B9D">
              <w:rPr>
                <w:sz w:val="20"/>
                <w:szCs w:val="20"/>
                <w:rtl/>
              </w:rPr>
              <w:t> </w:t>
            </w:r>
            <w:r w:rsidRPr="00564B9D">
              <w:rPr>
                <w:rFonts w:hint="cs"/>
                <w:sz w:val="20"/>
                <w:szCs w:val="20"/>
                <w:rtl/>
              </w:rPr>
              <w:t>134 45</w:t>
            </w:r>
          </w:p>
          <w:p w14:paraId="195ED039"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آيرلنديون: 087</w:t>
            </w:r>
            <w:r w:rsidRPr="00564B9D">
              <w:rPr>
                <w:sz w:val="20"/>
                <w:szCs w:val="20"/>
                <w:rtl/>
              </w:rPr>
              <w:t> </w:t>
            </w:r>
            <w:r w:rsidRPr="00564B9D">
              <w:rPr>
                <w:rFonts w:hint="cs"/>
                <w:sz w:val="20"/>
                <w:szCs w:val="20"/>
                <w:rtl/>
              </w:rPr>
              <w:t>531</w:t>
            </w:r>
          </w:p>
          <w:p w14:paraId="6566EA0E"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غجر أو رُحّل آيرلنديون: 680</w:t>
            </w:r>
            <w:r w:rsidRPr="00564B9D">
              <w:rPr>
                <w:sz w:val="20"/>
                <w:szCs w:val="20"/>
                <w:rtl/>
              </w:rPr>
              <w:t> </w:t>
            </w:r>
            <w:r w:rsidRPr="00564B9D">
              <w:rPr>
                <w:rFonts w:hint="cs"/>
                <w:sz w:val="20"/>
                <w:szCs w:val="20"/>
                <w:rtl/>
              </w:rPr>
              <w:t>57</w:t>
            </w:r>
          </w:p>
          <w:p w14:paraId="382E02A3"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بيض آخرون: 942</w:t>
            </w:r>
            <w:r w:rsidRPr="00564B9D">
              <w:rPr>
                <w:sz w:val="20"/>
                <w:szCs w:val="20"/>
                <w:rtl/>
              </w:rPr>
              <w:t> </w:t>
            </w:r>
            <w:r w:rsidRPr="00564B9D">
              <w:rPr>
                <w:rFonts w:hint="cs"/>
                <w:sz w:val="20"/>
                <w:szCs w:val="20"/>
                <w:rtl/>
              </w:rPr>
              <w:t>485 2</w:t>
            </w:r>
          </w:p>
          <w:p w14:paraId="5828021A"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tl/>
              </w:rPr>
            </w:pPr>
            <w:r w:rsidRPr="00564B9D">
              <w:rPr>
                <w:rFonts w:hint="cs"/>
                <w:sz w:val="20"/>
                <w:szCs w:val="20"/>
                <w:rtl/>
              </w:rPr>
              <w:t xml:space="preserve">بيض وسود </w:t>
            </w:r>
            <w:proofErr w:type="spellStart"/>
            <w:r w:rsidRPr="00564B9D">
              <w:rPr>
                <w:rFonts w:hint="cs"/>
                <w:sz w:val="20"/>
                <w:szCs w:val="20"/>
                <w:rtl/>
              </w:rPr>
              <w:t>كاريبيون</w:t>
            </w:r>
            <w:proofErr w:type="spellEnd"/>
            <w:r w:rsidRPr="00564B9D">
              <w:rPr>
                <w:rFonts w:hint="cs"/>
                <w:sz w:val="20"/>
                <w:szCs w:val="20"/>
                <w:rtl/>
              </w:rPr>
              <w:t>: 715</w:t>
            </w:r>
            <w:r w:rsidRPr="00564B9D">
              <w:rPr>
                <w:sz w:val="20"/>
                <w:szCs w:val="20"/>
                <w:rtl/>
              </w:rPr>
              <w:t> </w:t>
            </w:r>
            <w:r w:rsidRPr="00564B9D">
              <w:rPr>
                <w:rFonts w:hint="cs"/>
                <w:sz w:val="20"/>
                <w:szCs w:val="20"/>
                <w:rtl/>
              </w:rPr>
              <w:t>426</w:t>
            </w:r>
          </w:p>
          <w:p w14:paraId="11E585F3"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أفارقة بيض وسود: 974</w:t>
            </w:r>
            <w:r w:rsidRPr="00564B9D">
              <w:rPr>
                <w:sz w:val="20"/>
                <w:szCs w:val="20"/>
                <w:rtl/>
              </w:rPr>
              <w:t> </w:t>
            </w:r>
            <w:r w:rsidRPr="00564B9D">
              <w:rPr>
                <w:rFonts w:hint="cs"/>
                <w:sz w:val="20"/>
                <w:szCs w:val="20"/>
                <w:rtl/>
              </w:rPr>
              <w:t>165</w:t>
            </w:r>
          </w:p>
          <w:p w14:paraId="2D508156"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بيض وآسيويون: 727</w:t>
            </w:r>
            <w:r w:rsidRPr="00564B9D">
              <w:rPr>
                <w:sz w:val="20"/>
                <w:szCs w:val="20"/>
                <w:rtl/>
              </w:rPr>
              <w:t> </w:t>
            </w:r>
            <w:r w:rsidRPr="00564B9D">
              <w:rPr>
                <w:rFonts w:hint="cs"/>
                <w:sz w:val="20"/>
                <w:szCs w:val="20"/>
                <w:rtl/>
              </w:rPr>
              <w:t>341</w:t>
            </w:r>
          </w:p>
          <w:p w14:paraId="047E93B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فئات مختلطة: 984</w:t>
            </w:r>
            <w:r w:rsidRPr="00564B9D">
              <w:rPr>
                <w:sz w:val="20"/>
                <w:szCs w:val="20"/>
                <w:rtl/>
              </w:rPr>
              <w:t> </w:t>
            </w:r>
            <w:r w:rsidRPr="00564B9D">
              <w:rPr>
                <w:rFonts w:hint="cs"/>
                <w:sz w:val="20"/>
                <w:szCs w:val="20"/>
                <w:rtl/>
              </w:rPr>
              <w:t>289</w:t>
            </w:r>
          </w:p>
          <w:p w14:paraId="06F5944C"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هنود: 958</w:t>
            </w:r>
            <w:r w:rsidRPr="00564B9D">
              <w:rPr>
                <w:sz w:val="20"/>
                <w:szCs w:val="20"/>
                <w:rtl/>
              </w:rPr>
              <w:t> </w:t>
            </w:r>
            <w:r w:rsidRPr="00564B9D">
              <w:rPr>
                <w:rFonts w:hint="cs"/>
                <w:sz w:val="20"/>
                <w:szCs w:val="20"/>
                <w:rtl/>
              </w:rPr>
              <w:t>412 1</w:t>
            </w:r>
          </w:p>
          <w:p w14:paraId="1646DFA9"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باكستانيون: 511</w:t>
            </w:r>
            <w:r w:rsidRPr="00564B9D">
              <w:rPr>
                <w:sz w:val="20"/>
                <w:szCs w:val="20"/>
                <w:rtl/>
              </w:rPr>
              <w:t> </w:t>
            </w:r>
            <w:r w:rsidRPr="00564B9D">
              <w:rPr>
                <w:rFonts w:hint="cs"/>
                <w:sz w:val="20"/>
                <w:szCs w:val="20"/>
                <w:rtl/>
              </w:rPr>
              <w:t>124 1</w:t>
            </w:r>
          </w:p>
          <w:p w14:paraId="37FF04C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proofErr w:type="spellStart"/>
            <w:r w:rsidRPr="00564B9D">
              <w:rPr>
                <w:rFonts w:hint="cs"/>
                <w:sz w:val="20"/>
                <w:szCs w:val="20"/>
                <w:rtl/>
              </w:rPr>
              <w:t>بنغلاديشيون</w:t>
            </w:r>
            <w:proofErr w:type="spellEnd"/>
            <w:r w:rsidRPr="00564B9D">
              <w:rPr>
                <w:rFonts w:hint="cs"/>
                <w:sz w:val="20"/>
                <w:szCs w:val="20"/>
                <w:rtl/>
              </w:rPr>
              <w:t>: 201</w:t>
            </w:r>
            <w:r w:rsidRPr="00564B9D">
              <w:rPr>
                <w:sz w:val="20"/>
                <w:szCs w:val="20"/>
                <w:rtl/>
              </w:rPr>
              <w:t> </w:t>
            </w:r>
            <w:r w:rsidRPr="00564B9D">
              <w:rPr>
                <w:rFonts w:hint="cs"/>
                <w:sz w:val="20"/>
                <w:szCs w:val="20"/>
                <w:rtl/>
              </w:rPr>
              <w:t>447</w:t>
            </w:r>
          </w:p>
          <w:p w14:paraId="4D670A7A"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صينيون: 141</w:t>
            </w:r>
            <w:r w:rsidRPr="00564B9D">
              <w:rPr>
                <w:sz w:val="20"/>
                <w:szCs w:val="20"/>
                <w:rtl/>
              </w:rPr>
              <w:t> </w:t>
            </w:r>
            <w:r w:rsidRPr="00564B9D">
              <w:rPr>
                <w:rFonts w:hint="cs"/>
                <w:sz w:val="20"/>
                <w:szCs w:val="20"/>
                <w:rtl/>
              </w:rPr>
              <w:t>393</w:t>
            </w:r>
          </w:p>
          <w:p w14:paraId="0509CF67"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آسيويون آخرون: 720</w:t>
            </w:r>
            <w:r w:rsidRPr="00564B9D">
              <w:rPr>
                <w:sz w:val="20"/>
                <w:szCs w:val="20"/>
                <w:rtl/>
              </w:rPr>
              <w:t> </w:t>
            </w:r>
            <w:r w:rsidRPr="00564B9D">
              <w:rPr>
                <w:rFonts w:hint="cs"/>
                <w:sz w:val="20"/>
                <w:szCs w:val="20"/>
                <w:rtl/>
              </w:rPr>
              <w:t>835</w:t>
            </w:r>
          </w:p>
          <w:p w14:paraId="6466572A"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أفارقة: 628</w:t>
            </w:r>
            <w:r w:rsidRPr="00564B9D">
              <w:rPr>
                <w:sz w:val="20"/>
                <w:szCs w:val="20"/>
                <w:rtl/>
              </w:rPr>
              <w:t> </w:t>
            </w:r>
            <w:r w:rsidRPr="00564B9D">
              <w:rPr>
                <w:rFonts w:hint="cs"/>
                <w:sz w:val="20"/>
                <w:szCs w:val="20"/>
                <w:rtl/>
              </w:rPr>
              <w:t>989</w:t>
            </w:r>
          </w:p>
          <w:p w14:paraId="452AE1AA"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proofErr w:type="spellStart"/>
            <w:r w:rsidRPr="00564B9D">
              <w:rPr>
                <w:rFonts w:hint="cs"/>
                <w:sz w:val="20"/>
                <w:szCs w:val="20"/>
                <w:rtl/>
              </w:rPr>
              <w:t>كاريبيون</w:t>
            </w:r>
            <w:proofErr w:type="spellEnd"/>
            <w:r w:rsidRPr="00564B9D">
              <w:rPr>
                <w:rFonts w:hint="cs"/>
                <w:sz w:val="20"/>
                <w:szCs w:val="20"/>
                <w:rtl/>
              </w:rPr>
              <w:t>: 825</w:t>
            </w:r>
            <w:r w:rsidRPr="00564B9D">
              <w:rPr>
                <w:sz w:val="20"/>
                <w:szCs w:val="20"/>
                <w:rtl/>
              </w:rPr>
              <w:t> </w:t>
            </w:r>
            <w:r w:rsidRPr="00564B9D">
              <w:rPr>
                <w:rFonts w:hint="cs"/>
                <w:sz w:val="20"/>
                <w:szCs w:val="20"/>
                <w:rtl/>
              </w:rPr>
              <w:t>594</w:t>
            </w:r>
          </w:p>
          <w:p w14:paraId="192016D2"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سود آخرون: 437</w:t>
            </w:r>
            <w:r w:rsidRPr="00564B9D">
              <w:rPr>
                <w:sz w:val="20"/>
                <w:szCs w:val="20"/>
                <w:rtl/>
              </w:rPr>
              <w:t> </w:t>
            </w:r>
            <w:r w:rsidRPr="00564B9D">
              <w:rPr>
                <w:rFonts w:hint="cs"/>
                <w:sz w:val="20"/>
                <w:szCs w:val="20"/>
                <w:rtl/>
              </w:rPr>
              <w:t>280</w:t>
            </w:r>
          </w:p>
          <w:p w14:paraId="7F182484"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lastRenderedPageBreak/>
              <w:t>عرب: 600</w:t>
            </w:r>
            <w:r w:rsidRPr="00564B9D">
              <w:rPr>
                <w:sz w:val="20"/>
                <w:szCs w:val="20"/>
                <w:rtl/>
              </w:rPr>
              <w:t> </w:t>
            </w:r>
            <w:r w:rsidRPr="00564B9D">
              <w:rPr>
                <w:rFonts w:hint="cs"/>
                <w:sz w:val="20"/>
                <w:szCs w:val="20"/>
                <w:rtl/>
              </w:rPr>
              <w:t>230</w:t>
            </w:r>
          </w:p>
          <w:p w14:paraId="5C3DDEED" w14:textId="77777777" w:rsidR="00494AE4" w:rsidRPr="00564B9D" w:rsidRDefault="00494AE4" w:rsidP="00893651">
            <w:pPr>
              <w:pStyle w:val="SingleTxtGA"/>
              <w:numPr>
                <w:ilvl w:val="0"/>
                <w:numId w:val="8"/>
              </w:numPr>
              <w:tabs>
                <w:tab w:val="clear" w:pos="1928"/>
                <w:tab w:val="clear" w:pos="2608"/>
                <w:tab w:val="clear" w:pos="3289"/>
                <w:tab w:val="clear" w:pos="3969"/>
                <w:tab w:val="clear" w:pos="4649"/>
                <w:tab w:val="clear" w:pos="5330"/>
              </w:tabs>
              <w:spacing w:before="40" w:after="40" w:line="270" w:lineRule="exact"/>
              <w:ind w:left="714" w:right="0" w:hanging="357"/>
              <w:rPr>
                <w:sz w:val="20"/>
                <w:szCs w:val="20"/>
              </w:rPr>
            </w:pPr>
            <w:r w:rsidRPr="00564B9D">
              <w:rPr>
                <w:rFonts w:hint="cs"/>
                <w:sz w:val="20"/>
                <w:szCs w:val="20"/>
                <w:rtl/>
              </w:rPr>
              <w:t>فئات أخرى: 096</w:t>
            </w:r>
            <w:r w:rsidRPr="00564B9D">
              <w:rPr>
                <w:sz w:val="20"/>
                <w:szCs w:val="20"/>
                <w:rtl/>
              </w:rPr>
              <w:t> </w:t>
            </w:r>
            <w:r w:rsidRPr="00564B9D">
              <w:rPr>
                <w:rFonts w:hint="cs"/>
                <w:sz w:val="20"/>
                <w:szCs w:val="20"/>
                <w:rtl/>
              </w:rPr>
              <w:t>333</w:t>
            </w:r>
          </w:p>
          <w:p w14:paraId="4C9E17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tl/>
              </w:rPr>
            </w:pPr>
            <w:r w:rsidRPr="00564B9D">
              <w:rPr>
                <w:rFonts w:hint="cs"/>
                <w:b/>
                <w:b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16"/>
            </w:r>
            <w:r w:rsidRPr="00564B9D">
              <w:rPr>
                <w:sz w:val="20"/>
                <w:szCs w:val="20"/>
                <w:vertAlign w:val="superscript"/>
                <w:rtl/>
              </w:rPr>
              <w:t>)</w:t>
            </w:r>
            <w:r w:rsidRPr="00564B9D">
              <w:rPr>
                <w:rFonts w:hint="cs"/>
                <w:b/>
                <w:bCs/>
                <w:sz w:val="20"/>
                <w:szCs w:val="20"/>
                <w:rtl/>
              </w:rPr>
              <w:t>:</w:t>
            </w:r>
          </w:p>
          <w:p w14:paraId="67F53E3C"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اسكتلنديون بيض: 000</w:t>
            </w:r>
            <w:r w:rsidRPr="00564B9D">
              <w:rPr>
                <w:sz w:val="20"/>
                <w:szCs w:val="20"/>
                <w:rtl/>
              </w:rPr>
              <w:t> </w:t>
            </w:r>
            <w:r w:rsidRPr="00564B9D">
              <w:rPr>
                <w:rFonts w:hint="cs"/>
                <w:sz w:val="20"/>
                <w:szCs w:val="20"/>
                <w:rtl/>
              </w:rPr>
              <w:t>446 4</w:t>
            </w:r>
          </w:p>
          <w:p w14:paraId="46615FE2"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بريطانيون بيض آخرون: 000</w:t>
            </w:r>
            <w:r w:rsidRPr="00564B9D">
              <w:rPr>
                <w:sz w:val="20"/>
                <w:szCs w:val="20"/>
                <w:rtl/>
              </w:rPr>
              <w:t> </w:t>
            </w:r>
            <w:r w:rsidRPr="00564B9D">
              <w:rPr>
                <w:rFonts w:hint="cs"/>
                <w:sz w:val="20"/>
                <w:szCs w:val="20"/>
                <w:rtl/>
              </w:rPr>
              <w:t>417</w:t>
            </w:r>
          </w:p>
          <w:p w14:paraId="20A84402"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آيرلنديون بيض: 000</w:t>
            </w:r>
            <w:r w:rsidRPr="00564B9D">
              <w:rPr>
                <w:sz w:val="20"/>
                <w:szCs w:val="20"/>
                <w:rtl/>
              </w:rPr>
              <w:t> </w:t>
            </w:r>
            <w:r w:rsidRPr="00564B9D">
              <w:rPr>
                <w:rFonts w:hint="cs"/>
                <w:sz w:val="20"/>
                <w:szCs w:val="20"/>
                <w:rtl/>
              </w:rPr>
              <w:t>54</w:t>
            </w:r>
          </w:p>
          <w:p w14:paraId="7245D192"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بولنديون بيض: 000</w:t>
            </w:r>
            <w:r w:rsidRPr="00564B9D">
              <w:rPr>
                <w:sz w:val="20"/>
                <w:szCs w:val="20"/>
                <w:rtl/>
              </w:rPr>
              <w:t> </w:t>
            </w:r>
            <w:r w:rsidRPr="00564B9D">
              <w:rPr>
                <w:rFonts w:hint="cs"/>
                <w:sz w:val="20"/>
                <w:szCs w:val="20"/>
                <w:rtl/>
              </w:rPr>
              <w:t>61</w:t>
            </w:r>
          </w:p>
          <w:p w14:paraId="7B85CDDD"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غجر أو رحّل بيض: 000</w:t>
            </w:r>
            <w:r w:rsidRPr="00564B9D">
              <w:rPr>
                <w:sz w:val="20"/>
                <w:szCs w:val="20"/>
                <w:rtl/>
              </w:rPr>
              <w:t> </w:t>
            </w:r>
            <w:r w:rsidRPr="00564B9D">
              <w:rPr>
                <w:rFonts w:hint="cs"/>
                <w:sz w:val="20"/>
                <w:szCs w:val="20"/>
                <w:rtl/>
              </w:rPr>
              <w:t>4</w:t>
            </w:r>
          </w:p>
          <w:p w14:paraId="573792FE"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بيض آخرون: 000</w:t>
            </w:r>
            <w:r w:rsidRPr="00564B9D">
              <w:rPr>
                <w:sz w:val="20"/>
                <w:szCs w:val="20"/>
                <w:rtl/>
              </w:rPr>
              <w:t> </w:t>
            </w:r>
            <w:r w:rsidRPr="00564B9D">
              <w:rPr>
                <w:rFonts w:hint="cs"/>
                <w:sz w:val="20"/>
                <w:szCs w:val="20"/>
                <w:rtl/>
              </w:rPr>
              <w:t>102</w:t>
            </w:r>
          </w:p>
          <w:p w14:paraId="0A0EEFEC"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فئات إثنية مختلطة أو متعددة: 000</w:t>
            </w:r>
            <w:r w:rsidRPr="00564B9D">
              <w:rPr>
                <w:sz w:val="20"/>
                <w:szCs w:val="20"/>
                <w:rtl/>
              </w:rPr>
              <w:t> </w:t>
            </w:r>
            <w:r w:rsidRPr="00564B9D">
              <w:rPr>
                <w:rFonts w:hint="cs"/>
                <w:sz w:val="20"/>
                <w:szCs w:val="20"/>
                <w:rtl/>
              </w:rPr>
              <w:t>20</w:t>
            </w:r>
          </w:p>
          <w:p w14:paraId="7A16D572"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باكستانيون: 000</w:t>
            </w:r>
            <w:r w:rsidRPr="00564B9D">
              <w:rPr>
                <w:sz w:val="20"/>
                <w:szCs w:val="20"/>
                <w:rtl/>
              </w:rPr>
              <w:t> </w:t>
            </w:r>
            <w:r w:rsidRPr="00564B9D">
              <w:rPr>
                <w:rFonts w:hint="cs"/>
                <w:sz w:val="20"/>
                <w:szCs w:val="20"/>
                <w:rtl/>
              </w:rPr>
              <w:t>49</w:t>
            </w:r>
          </w:p>
          <w:p w14:paraId="590776C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هنود: 000</w:t>
            </w:r>
            <w:r w:rsidRPr="00564B9D">
              <w:rPr>
                <w:sz w:val="20"/>
                <w:szCs w:val="20"/>
                <w:rtl/>
              </w:rPr>
              <w:t> </w:t>
            </w:r>
            <w:r w:rsidRPr="00564B9D">
              <w:rPr>
                <w:rFonts w:hint="cs"/>
                <w:sz w:val="20"/>
                <w:szCs w:val="20"/>
                <w:rtl/>
              </w:rPr>
              <w:t>33</w:t>
            </w:r>
          </w:p>
          <w:p w14:paraId="0E641CE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proofErr w:type="spellStart"/>
            <w:r w:rsidRPr="00564B9D">
              <w:rPr>
                <w:rFonts w:hint="cs"/>
                <w:sz w:val="20"/>
                <w:szCs w:val="20"/>
                <w:rtl/>
              </w:rPr>
              <w:t>بنغلاديشيون</w:t>
            </w:r>
            <w:proofErr w:type="spellEnd"/>
            <w:r w:rsidRPr="00564B9D">
              <w:rPr>
                <w:rFonts w:hint="cs"/>
                <w:sz w:val="20"/>
                <w:szCs w:val="20"/>
                <w:rtl/>
              </w:rPr>
              <w:t>: 000</w:t>
            </w:r>
            <w:r w:rsidRPr="00564B9D">
              <w:rPr>
                <w:sz w:val="20"/>
                <w:szCs w:val="20"/>
                <w:rtl/>
              </w:rPr>
              <w:t> </w:t>
            </w:r>
            <w:r w:rsidRPr="00564B9D">
              <w:rPr>
                <w:rFonts w:hint="cs"/>
                <w:sz w:val="20"/>
                <w:szCs w:val="20"/>
                <w:rtl/>
              </w:rPr>
              <w:t>4</w:t>
            </w:r>
          </w:p>
          <w:p w14:paraId="31B50895"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صينيون: 000</w:t>
            </w:r>
            <w:r w:rsidRPr="00564B9D">
              <w:rPr>
                <w:sz w:val="20"/>
                <w:szCs w:val="20"/>
                <w:rtl/>
              </w:rPr>
              <w:t> </w:t>
            </w:r>
            <w:r w:rsidRPr="00564B9D">
              <w:rPr>
                <w:rFonts w:hint="cs"/>
                <w:sz w:val="20"/>
                <w:szCs w:val="20"/>
                <w:rtl/>
              </w:rPr>
              <w:t>34</w:t>
            </w:r>
          </w:p>
          <w:p w14:paraId="091706FC"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آسيويون آخرون: 000</w:t>
            </w:r>
            <w:r w:rsidRPr="00564B9D">
              <w:rPr>
                <w:sz w:val="20"/>
                <w:szCs w:val="20"/>
                <w:rtl/>
              </w:rPr>
              <w:t> </w:t>
            </w:r>
            <w:r w:rsidRPr="00564B9D">
              <w:rPr>
                <w:rFonts w:hint="cs"/>
                <w:sz w:val="20"/>
                <w:szCs w:val="20"/>
                <w:rtl/>
              </w:rPr>
              <w:t>21</w:t>
            </w:r>
          </w:p>
          <w:p w14:paraId="5373B6A1"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أفارقة: 000</w:t>
            </w:r>
            <w:r w:rsidRPr="00564B9D">
              <w:rPr>
                <w:sz w:val="20"/>
                <w:szCs w:val="20"/>
                <w:rtl/>
              </w:rPr>
              <w:t> </w:t>
            </w:r>
            <w:r w:rsidRPr="00564B9D">
              <w:rPr>
                <w:rFonts w:hint="cs"/>
                <w:sz w:val="20"/>
                <w:szCs w:val="20"/>
                <w:rtl/>
              </w:rPr>
              <w:t>29</w:t>
            </w:r>
          </w:p>
          <w:p w14:paraId="19322A76"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proofErr w:type="spellStart"/>
            <w:r w:rsidRPr="00564B9D">
              <w:rPr>
                <w:rFonts w:hint="cs"/>
                <w:sz w:val="20"/>
                <w:szCs w:val="20"/>
                <w:rtl/>
              </w:rPr>
              <w:t>كاريبيون</w:t>
            </w:r>
            <w:proofErr w:type="spellEnd"/>
            <w:r w:rsidRPr="00564B9D">
              <w:rPr>
                <w:rFonts w:hint="cs"/>
                <w:sz w:val="20"/>
                <w:szCs w:val="20"/>
                <w:rtl/>
              </w:rPr>
              <w:t>: 000</w:t>
            </w:r>
            <w:r w:rsidRPr="00564B9D">
              <w:rPr>
                <w:sz w:val="20"/>
                <w:szCs w:val="20"/>
                <w:rtl/>
              </w:rPr>
              <w:t> </w:t>
            </w:r>
            <w:r w:rsidRPr="00564B9D">
              <w:rPr>
                <w:rFonts w:hint="cs"/>
                <w:sz w:val="20"/>
                <w:szCs w:val="20"/>
                <w:rtl/>
              </w:rPr>
              <w:t>3</w:t>
            </w:r>
          </w:p>
          <w:p w14:paraId="3493C0E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سود: 000</w:t>
            </w:r>
            <w:r w:rsidRPr="00564B9D">
              <w:rPr>
                <w:sz w:val="20"/>
                <w:szCs w:val="20"/>
                <w:rtl/>
              </w:rPr>
              <w:t> </w:t>
            </w:r>
            <w:r w:rsidRPr="00564B9D">
              <w:rPr>
                <w:rFonts w:hint="cs"/>
                <w:sz w:val="20"/>
                <w:szCs w:val="20"/>
                <w:rtl/>
              </w:rPr>
              <w:t>2</w:t>
            </w:r>
          </w:p>
          <w:p w14:paraId="235BC45F"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proofErr w:type="spellStart"/>
            <w:r w:rsidRPr="00564B9D">
              <w:rPr>
                <w:rFonts w:hint="cs"/>
                <w:sz w:val="20"/>
                <w:szCs w:val="20"/>
                <w:rtl/>
              </w:rPr>
              <w:t>كاريبيون</w:t>
            </w:r>
            <w:proofErr w:type="spellEnd"/>
            <w:r w:rsidRPr="00564B9D">
              <w:rPr>
                <w:rFonts w:hint="cs"/>
                <w:sz w:val="20"/>
                <w:szCs w:val="20"/>
                <w:rtl/>
              </w:rPr>
              <w:t xml:space="preserve"> أو سود آخرون: 000</w:t>
            </w:r>
            <w:r w:rsidRPr="00564B9D">
              <w:rPr>
                <w:sz w:val="20"/>
                <w:szCs w:val="20"/>
                <w:rtl/>
              </w:rPr>
              <w:t> </w:t>
            </w:r>
            <w:r w:rsidRPr="00564B9D">
              <w:rPr>
                <w:rFonts w:hint="cs"/>
                <w:sz w:val="20"/>
                <w:szCs w:val="20"/>
                <w:rtl/>
              </w:rPr>
              <w:t>1</w:t>
            </w:r>
          </w:p>
          <w:p w14:paraId="12892650"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عرب: 000</w:t>
            </w:r>
            <w:r w:rsidRPr="00564B9D">
              <w:rPr>
                <w:sz w:val="20"/>
                <w:szCs w:val="20"/>
                <w:rtl/>
              </w:rPr>
              <w:t> </w:t>
            </w:r>
            <w:r w:rsidRPr="00564B9D">
              <w:rPr>
                <w:rFonts w:hint="cs"/>
                <w:sz w:val="20"/>
                <w:szCs w:val="20"/>
                <w:rtl/>
              </w:rPr>
              <w:t>9</w:t>
            </w:r>
          </w:p>
          <w:p w14:paraId="328F8E93"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عرب آخرون: 000</w:t>
            </w:r>
            <w:r w:rsidRPr="00564B9D">
              <w:rPr>
                <w:sz w:val="20"/>
                <w:szCs w:val="20"/>
                <w:rtl/>
              </w:rPr>
              <w:t> </w:t>
            </w:r>
            <w:r w:rsidRPr="00564B9D">
              <w:rPr>
                <w:rFonts w:hint="cs"/>
                <w:sz w:val="20"/>
                <w:szCs w:val="20"/>
                <w:rtl/>
              </w:rPr>
              <w:t>5</w:t>
            </w:r>
          </w:p>
          <w:p w14:paraId="485D6A21" w14:textId="4C5B2CE4"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tl/>
              </w:rPr>
            </w:pPr>
            <w:r w:rsidRPr="00564B9D">
              <w:rPr>
                <w:rFonts w:hint="cs"/>
                <w:b/>
                <w:b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7"/>
            </w:r>
            <w:r w:rsidR="00494AE4" w:rsidRPr="00564B9D">
              <w:rPr>
                <w:sz w:val="20"/>
                <w:szCs w:val="20"/>
                <w:vertAlign w:val="superscript"/>
                <w:rtl/>
              </w:rPr>
              <w:t>)</w:t>
            </w:r>
            <w:r w:rsidR="00494AE4" w:rsidRPr="00564B9D">
              <w:rPr>
                <w:rFonts w:hint="cs"/>
                <w:b/>
                <w:bCs/>
                <w:sz w:val="20"/>
                <w:szCs w:val="20"/>
                <w:rtl/>
              </w:rPr>
              <w:t>:</w:t>
            </w:r>
          </w:p>
          <w:p w14:paraId="42BD4DD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بيض: 449</w:t>
            </w:r>
            <w:r w:rsidRPr="00564B9D">
              <w:rPr>
                <w:sz w:val="20"/>
                <w:szCs w:val="20"/>
                <w:rtl/>
              </w:rPr>
              <w:t> </w:t>
            </w:r>
            <w:r w:rsidRPr="00564B9D">
              <w:rPr>
                <w:rFonts w:hint="cs"/>
                <w:sz w:val="20"/>
                <w:szCs w:val="20"/>
                <w:rtl/>
              </w:rPr>
              <w:t>778 1</w:t>
            </w:r>
          </w:p>
          <w:p w14:paraId="735F8FAF"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رحّل آيرلنديون: 301</w:t>
            </w:r>
            <w:r w:rsidRPr="00564B9D">
              <w:rPr>
                <w:sz w:val="20"/>
                <w:szCs w:val="20"/>
                <w:rtl/>
              </w:rPr>
              <w:t> </w:t>
            </w:r>
            <w:r w:rsidRPr="00564B9D">
              <w:rPr>
                <w:rFonts w:hint="cs"/>
                <w:sz w:val="20"/>
                <w:szCs w:val="20"/>
                <w:rtl/>
              </w:rPr>
              <w:t>1</w:t>
            </w:r>
          </w:p>
          <w:p w14:paraId="34182C5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صينيون: 303</w:t>
            </w:r>
            <w:r w:rsidRPr="00564B9D">
              <w:rPr>
                <w:sz w:val="20"/>
                <w:szCs w:val="20"/>
                <w:rtl/>
              </w:rPr>
              <w:t> </w:t>
            </w:r>
            <w:r w:rsidRPr="00564B9D">
              <w:rPr>
                <w:rFonts w:hint="cs"/>
                <w:sz w:val="20"/>
                <w:szCs w:val="20"/>
                <w:rtl/>
              </w:rPr>
              <w:t>6</w:t>
            </w:r>
          </w:p>
          <w:p w14:paraId="1E6960D1"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هنود: 198</w:t>
            </w:r>
            <w:r w:rsidRPr="00564B9D">
              <w:rPr>
                <w:sz w:val="20"/>
                <w:szCs w:val="20"/>
                <w:rtl/>
              </w:rPr>
              <w:t> </w:t>
            </w:r>
            <w:r w:rsidRPr="00564B9D">
              <w:rPr>
                <w:rFonts w:hint="cs"/>
                <w:sz w:val="20"/>
                <w:szCs w:val="20"/>
                <w:rtl/>
              </w:rPr>
              <w:t>6</w:t>
            </w:r>
          </w:p>
          <w:p w14:paraId="4BB404A5"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باكستانيون: 091</w:t>
            </w:r>
            <w:r w:rsidRPr="00564B9D">
              <w:rPr>
                <w:sz w:val="20"/>
                <w:szCs w:val="20"/>
                <w:rtl/>
              </w:rPr>
              <w:t> </w:t>
            </w:r>
            <w:r w:rsidRPr="00564B9D">
              <w:rPr>
                <w:rFonts w:hint="cs"/>
                <w:sz w:val="20"/>
                <w:szCs w:val="20"/>
                <w:rtl/>
              </w:rPr>
              <w:t>1</w:t>
            </w:r>
          </w:p>
          <w:p w14:paraId="54231C29"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proofErr w:type="spellStart"/>
            <w:r w:rsidRPr="00564B9D">
              <w:rPr>
                <w:rFonts w:hint="cs"/>
                <w:sz w:val="20"/>
                <w:szCs w:val="20"/>
                <w:rtl/>
              </w:rPr>
              <w:t>بنغلاديشيون</w:t>
            </w:r>
            <w:proofErr w:type="spellEnd"/>
            <w:r w:rsidRPr="00564B9D">
              <w:rPr>
                <w:rFonts w:hint="cs"/>
                <w:sz w:val="20"/>
                <w:szCs w:val="20"/>
                <w:rtl/>
              </w:rPr>
              <w:t>: 540</w:t>
            </w:r>
          </w:p>
          <w:p w14:paraId="61FC3226"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آسيويون آخرون: 998</w:t>
            </w:r>
            <w:r w:rsidRPr="00564B9D">
              <w:rPr>
                <w:sz w:val="20"/>
                <w:szCs w:val="20"/>
                <w:rtl/>
              </w:rPr>
              <w:t> </w:t>
            </w:r>
            <w:r w:rsidRPr="00564B9D">
              <w:rPr>
                <w:rFonts w:hint="cs"/>
                <w:sz w:val="20"/>
                <w:szCs w:val="20"/>
                <w:rtl/>
              </w:rPr>
              <w:t>4</w:t>
            </w:r>
          </w:p>
          <w:p w14:paraId="231CD32B"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proofErr w:type="spellStart"/>
            <w:r w:rsidRPr="00564B9D">
              <w:rPr>
                <w:rFonts w:hint="cs"/>
                <w:sz w:val="20"/>
                <w:szCs w:val="20"/>
                <w:rtl/>
              </w:rPr>
              <w:t>كاريبيون</w:t>
            </w:r>
            <w:proofErr w:type="spellEnd"/>
            <w:r w:rsidRPr="00564B9D">
              <w:rPr>
                <w:rFonts w:hint="cs"/>
                <w:sz w:val="20"/>
                <w:szCs w:val="20"/>
                <w:rtl/>
              </w:rPr>
              <w:t>: 372</w:t>
            </w:r>
          </w:p>
          <w:p w14:paraId="23DDD9A9"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أفارقة: 345</w:t>
            </w:r>
            <w:r w:rsidRPr="00564B9D">
              <w:rPr>
                <w:sz w:val="20"/>
                <w:szCs w:val="20"/>
                <w:rtl/>
              </w:rPr>
              <w:t> </w:t>
            </w:r>
            <w:r w:rsidRPr="00564B9D">
              <w:rPr>
                <w:rFonts w:hint="cs"/>
                <w:sz w:val="20"/>
                <w:szCs w:val="20"/>
                <w:rtl/>
              </w:rPr>
              <w:t>2</w:t>
            </w:r>
          </w:p>
          <w:p w14:paraId="10F3F559"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سود آخرون: 899</w:t>
            </w:r>
          </w:p>
          <w:p w14:paraId="7A181FB6"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مختلطون: 014</w:t>
            </w:r>
            <w:r w:rsidRPr="00564B9D">
              <w:rPr>
                <w:sz w:val="20"/>
                <w:szCs w:val="20"/>
                <w:rtl/>
              </w:rPr>
              <w:t> </w:t>
            </w:r>
            <w:r w:rsidRPr="00564B9D">
              <w:rPr>
                <w:rFonts w:hint="cs"/>
                <w:sz w:val="20"/>
                <w:szCs w:val="20"/>
                <w:rtl/>
              </w:rPr>
              <w:t>6</w:t>
            </w:r>
          </w:p>
          <w:p w14:paraId="0A8574CB"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فئات إثنية أخرى: 353</w:t>
            </w:r>
            <w:r w:rsidRPr="00564B9D">
              <w:rPr>
                <w:sz w:val="20"/>
                <w:szCs w:val="20"/>
                <w:rtl/>
              </w:rPr>
              <w:t> </w:t>
            </w:r>
            <w:r w:rsidRPr="00564B9D">
              <w:rPr>
                <w:rFonts w:hint="cs"/>
                <w:sz w:val="20"/>
                <w:szCs w:val="20"/>
                <w:rtl/>
              </w:rPr>
              <w:t>2</w:t>
            </w:r>
          </w:p>
        </w:tc>
      </w:tr>
      <w:tr w:rsidR="007B5A24" w:rsidRPr="00564B9D" w14:paraId="5B926A5B" w14:textId="77777777" w:rsidTr="00804944">
        <w:trPr>
          <w:trHeight w:val="240"/>
        </w:trPr>
        <w:tc>
          <w:tcPr>
            <w:tcW w:w="3077" w:type="dxa"/>
            <w:shd w:val="clear" w:color="auto" w:fill="auto"/>
          </w:tcPr>
          <w:p w14:paraId="35E2721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التركيب العمري للسكان</w:t>
            </w:r>
            <w:r w:rsidRPr="00564B9D">
              <w:rPr>
                <w:sz w:val="20"/>
                <w:szCs w:val="20"/>
                <w:vertAlign w:val="superscript"/>
                <w:rtl/>
              </w:rPr>
              <w:t>(</w:t>
            </w:r>
            <w:r w:rsidRPr="00564B9D">
              <w:rPr>
                <w:rStyle w:val="FootnoteReference"/>
                <w:rFonts w:cs="Simplified Arabic"/>
                <w:b w:val="0"/>
                <w:sz w:val="20"/>
                <w:szCs w:val="20"/>
                <w:rtl/>
                <w:lang w:val="en-US"/>
              </w:rPr>
              <w:footnoteReference w:id="18"/>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4B3F8C89" w14:textId="26D3579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دون سن 16 سنة: </w:t>
            </w:r>
            <w:r w:rsidR="00896877" w:rsidRPr="00564B9D">
              <w:rPr>
                <w:sz w:val="20"/>
                <w:szCs w:val="20"/>
              </w:rPr>
              <w:t>967</w:t>
            </w:r>
            <w:r w:rsidR="00896877" w:rsidRPr="00564B9D">
              <w:rPr>
                <w:rFonts w:hint="cs"/>
                <w:sz w:val="20"/>
                <w:szCs w:val="20"/>
                <w:rtl/>
              </w:rPr>
              <w:t xml:space="preserve"> </w:t>
            </w:r>
            <w:r w:rsidR="00896877" w:rsidRPr="00564B9D">
              <w:rPr>
                <w:sz w:val="20"/>
                <w:szCs w:val="20"/>
              </w:rPr>
              <w:t>526</w:t>
            </w:r>
            <w:r w:rsidR="00896877" w:rsidRPr="00564B9D">
              <w:rPr>
                <w:rFonts w:hint="cs"/>
                <w:sz w:val="20"/>
                <w:szCs w:val="20"/>
                <w:rtl/>
              </w:rPr>
              <w:t xml:space="preserve"> 6</w:t>
            </w:r>
            <w:r w:rsidRPr="00564B9D">
              <w:rPr>
                <w:rFonts w:hint="cs"/>
                <w:sz w:val="20"/>
                <w:szCs w:val="20"/>
                <w:rtl/>
              </w:rPr>
              <w:t xml:space="preserve"> (ذكور)؛ </w:t>
            </w:r>
            <w:r w:rsidR="005D3D20" w:rsidRPr="00564B9D">
              <w:rPr>
                <w:sz w:val="20"/>
                <w:szCs w:val="20"/>
              </w:rPr>
              <w:t>602</w:t>
            </w:r>
            <w:r w:rsidR="005D3D20" w:rsidRPr="00564B9D">
              <w:rPr>
                <w:rFonts w:hint="cs"/>
                <w:sz w:val="20"/>
                <w:szCs w:val="20"/>
                <w:rtl/>
              </w:rPr>
              <w:t xml:space="preserve"> </w:t>
            </w:r>
            <w:r w:rsidR="005D3D20" w:rsidRPr="00564B9D">
              <w:rPr>
                <w:sz w:val="20"/>
                <w:szCs w:val="20"/>
              </w:rPr>
              <w:t>200 </w:t>
            </w:r>
            <w:r w:rsidR="005D3D20" w:rsidRPr="00564B9D">
              <w:rPr>
                <w:rFonts w:hint="cs"/>
                <w:sz w:val="20"/>
                <w:szCs w:val="20"/>
                <w:rtl/>
              </w:rPr>
              <w:t xml:space="preserve"> 6</w:t>
            </w:r>
            <w:r w:rsidRPr="00564B9D">
              <w:rPr>
                <w:rFonts w:hint="cs"/>
                <w:sz w:val="20"/>
                <w:szCs w:val="20"/>
                <w:rtl/>
              </w:rPr>
              <w:t xml:space="preserve"> (إناث)</w:t>
            </w:r>
          </w:p>
          <w:p w14:paraId="416E96D1" w14:textId="77777777" w:rsidR="005D3D20" w:rsidRPr="00564B9D" w:rsidRDefault="005D3D20" w:rsidP="005D3D20">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16</w:t>
            </w:r>
            <w:r w:rsidRPr="00564B9D">
              <w:rPr>
                <w:sz w:val="20"/>
                <w:szCs w:val="20"/>
                <w:rtl/>
              </w:rPr>
              <w:t>-</w:t>
            </w:r>
            <w:r w:rsidRPr="00564B9D">
              <w:rPr>
                <w:rFonts w:hint="cs"/>
                <w:sz w:val="20"/>
                <w:szCs w:val="20"/>
                <w:rtl/>
              </w:rPr>
              <w:t>44 سنة: 122 395 12 (ذكور)؛ 252 163 12 (إناث)</w:t>
            </w:r>
          </w:p>
          <w:p w14:paraId="35417B33" w14:textId="77777777" w:rsidR="005D3D20" w:rsidRPr="00564B9D" w:rsidRDefault="005D3D20" w:rsidP="005D3D20">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45</w:t>
            </w:r>
            <w:r w:rsidRPr="00564B9D">
              <w:rPr>
                <w:sz w:val="20"/>
                <w:szCs w:val="20"/>
                <w:rtl/>
              </w:rPr>
              <w:t>-</w:t>
            </w:r>
            <w:r w:rsidRPr="00564B9D">
              <w:rPr>
                <w:rFonts w:hint="cs"/>
                <w:sz w:val="20"/>
                <w:szCs w:val="20"/>
                <w:rtl/>
              </w:rPr>
              <w:t>64 سنة: 437 501 8 (ذكور)؛ 216 785 8 (إناث)</w:t>
            </w:r>
          </w:p>
          <w:p w14:paraId="6E3AA9D6" w14:textId="1F7DB97C" w:rsidR="00494AE4" w:rsidRPr="00564B9D" w:rsidRDefault="00494AE4" w:rsidP="005D3D20">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65 سنة فما فوق: 183</w:t>
            </w:r>
            <w:r w:rsidRPr="00564B9D">
              <w:rPr>
                <w:sz w:val="20"/>
                <w:szCs w:val="20"/>
                <w:rtl/>
              </w:rPr>
              <w:t> </w:t>
            </w:r>
            <w:r w:rsidRPr="00564B9D">
              <w:rPr>
                <w:rFonts w:hint="cs"/>
                <w:sz w:val="20"/>
                <w:szCs w:val="20"/>
                <w:rtl/>
              </w:rPr>
              <w:t>722 5 (ذكور)؛ 455</w:t>
            </w:r>
            <w:r w:rsidRPr="00564B9D">
              <w:rPr>
                <w:sz w:val="20"/>
                <w:szCs w:val="20"/>
                <w:rtl/>
              </w:rPr>
              <w:t> </w:t>
            </w:r>
            <w:r w:rsidRPr="00564B9D">
              <w:rPr>
                <w:rFonts w:hint="cs"/>
                <w:sz w:val="20"/>
                <w:szCs w:val="20"/>
                <w:rtl/>
              </w:rPr>
              <w:t>786 6 (إناث)</w:t>
            </w:r>
          </w:p>
        </w:tc>
      </w:tr>
      <w:tr w:rsidR="007B5A24" w:rsidRPr="00564B9D" w14:paraId="329E6627" w14:textId="77777777" w:rsidTr="00804944">
        <w:trPr>
          <w:trHeight w:val="240"/>
        </w:trPr>
        <w:tc>
          <w:tcPr>
            <w:tcW w:w="3077" w:type="dxa"/>
            <w:shd w:val="clear" w:color="auto" w:fill="auto"/>
          </w:tcPr>
          <w:p w14:paraId="1B0709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نسبة الإعالة - النسبة المئوية للسكان الذين تقل أعمارهم عن 15 سنة</w:t>
            </w:r>
            <w:r w:rsidRPr="00564B9D">
              <w:rPr>
                <w:sz w:val="20"/>
                <w:szCs w:val="20"/>
                <w:vertAlign w:val="superscript"/>
                <w:rtl/>
              </w:rPr>
              <w:t>(</w:t>
            </w:r>
            <w:r w:rsidRPr="00564B9D">
              <w:rPr>
                <w:rStyle w:val="FootnoteReference"/>
                <w:rFonts w:cs="Simplified Arabic"/>
                <w:b w:val="0"/>
                <w:sz w:val="20"/>
                <w:szCs w:val="20"/>
                <w:rtl/>
                <w:lang w:val="en-US"/>
              </w:rPr>
              <w:footnoteReference w:id="19"/>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77FFFD1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27 في المائة </w:t>
            </w:r>
          </w:p>
        </w:tc>
      </w:tr>
      <w:tr w:rsidR="007B5A24" w:rsidRPr="00564B9D" w14:paraId="328DD8BB" w14:textId="77777777" w:rsidTr="00804944">
        <w:trPr>
          <w:trHeight w:val="240"/>
        </w:trPr>
        <w:tc>
          <w:tcPr>
            <w:tcW w:w="3077" w:type="dxa"/>
            <w:shd w:val="clear" w:color="auto" w:fill="auto"/>
          </w:tcPr>
          <w:p w14:paraId="01C1C2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للسكان الذين تزيد أعمارهم على 65 سنة</w:t>
            </w:r>
            <w:r w:rsidRPr="00564B9D">
              <w:rPr>
                <w:sz w:val="20"/>
                <w:szCs w:val="20"/>
                <w:vertAlign w:val="superscript"/>
                <w:rtl/>
              </w:rPr>
              <w:t>(</w:t>
            </w:r>
            <w:r w:rsidRPr="00564B9D">
              <w:rPr>
                <w:rStyle w:val="FootnoteReference"/>
                <w:rFonts w:cs="Simplified Arabic"/>
                <w:b w:val="0"/>
                <w:sz w:val="20"/>
                <w:szCs w:val="20"/>
                <w:rtl/>
                <w:lang w:val="en-US"/>
              </w:rPr>
              <w:footnoteReference w:id="20"/>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01519A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25 في المائة </w:t>
            </w:r>
          </w:p>
        </w:tc>
      </w:tr>
      <w:tr w:rsidR="007B5A24" w:rsidRPr="00564B9D" w14:paraId="63C2559D" w14:textId="77777777" w:rsidTr="00804944">
        <w:trPr>
          <w:trHeight w:val="240"/>
        </w:trPr>
        <w:tc>
          <w:tcPr>
            <w:tcW w:w="3077" w:type="dxa"/>
            <w:shd w:val="clear" w:color="auto" w:fill="auto"/>
          </w:tcPr>
          <w:p w14:paraId="06C049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 xml:space="preserve">1 نسمة) </w:t>
            </w:r>
          </w:p>
        </w:tc>
        <w:tc>
          <w:tcPr>
            <w:tcW w:w="4714" w:type="dxa"/>
            <w:shd w:val="clear" w:color="auto" w:fill="auto"/>
          </w:tcPr>
          <w:p w14:paraId="19D1B7A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21"/>
            </w:r>
            <w:r w:rsidRPr="00564B9D">
              <w:rPr>
                <w:sz w:val="20"/>
                <w:szCs w:val="20"/>
                <w:vertAlign w:val="superscript"/>
                <w:rtl/>
              </w:rPr>
              <w:t>)</w:t>
            </w:r>
            <w:r w:rsidRPr="00564B9D">
              <w:rPr>
                <w:rFonts w:hint="cs"/>
                <w:sz w:val="20"/>
                <w:szCs w:val="20"/>
                <w:rtl/>
              </w:rPr>
              <w:t>: 11,1</w:t>
            </w:r>
          </w:p>
          <w:p w14:paraId="1D7FE1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22"/>
            </w:r>
            <w:r w:rsidRPr="00564B9D">
              <w:rPr>
                <w:sz w:val="20"/>
                <w:szCs w:val="20"/>
                <w:vertAlign w:val="superscript"/>
                <w:rtl/>
              </w:rPr>
              <w:t>)</w:t>
            </w:r>
            <w:r w:rsidRPr="00564B9D">
              <w:rPr>
                <w:rFonts w:hint="cs"/>
                <w:sz w:val="20"/>
                <w:szCs w:val="20"/>
                <w:rtl/>
              </w:rPr>
              <w:t>: 9,4</w:t>
            </w:r>
          </w:p>
          <w:p w14:paraId="4DF5A4DB" w14:textId="0B2F8574"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23"/>
            </w:r>
            <w:r w:rsidR="00494AE4" w:rsidRPr="00564B9D">
              <w:rPr>
                <w:sz w:val="20"/>
                <w:szCs w:val="20"/>
                <w:vertAlign w:val="superscript"/>
                <w:rtl/>
              </w:rPr>
              <w:t>)</w:t>
            </w:r>
            <w:r w:rsidR="00494AE4" w:rsidRPr="00564B9D">
              <w:rPr>
                <w:rFonts w:hint="cs"/>
                <w:sz w:val="20"/>
                <w:szCs w:val="20"/>
                <w:rtl/>
              </w:rPr>
              <w:t xml:space="preserve">: 11,1 </w:t>
            </w:r>
          </w:p>
        </w:tc>
      </w:tr>
      <w:tr w:rsidR="007B5A24" w:rsidRPr="00564B9D" w14:paraId="3333A096" w14:textId="77777777" w:rsidTr="00804944">
        <w:trPr>
          <w:trHeight w:val="240"/>
        </w:trPr>
        <w:tc>
          <w:tcPr>
            <w:tcW w:w="3077" w:type="dxa"/>
            <w:shd w:val="clear" w:color="auto" w:fill="auto"/>
          </w:tcPr>
          <w:p w14:paraId="315B47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4714" w:type="dxa"/>
            <w:shd w:val="clear" w:color="auto" w:fill="auto"/>
          </w:tcPr>
          <w:p w14:paraId="15CCD6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24"/>
            </w:r>
            <w:r w:rsidRPr="00564B9D">
              <w:rPr>
                <w:sz w:val="20"/>
                <w:szCs w:val="20"/>
                <w:vertAlign w:val="superscript"/>
                <w:rtl/>
              </w:rPr>
              <w:t>)</w:t>
            </w:r>
            <w:r w:rsidRPr="00564B9D">
              <w:rPr>
                <w:rFonts w:hint="cs"/>
                <w:sz w:val="20"/>
                <w:szCs w:val="20"/>
                <w:rtl/>
              </w:rPr>
              <w:t>: 3,7</w:t>
            </w:r>
          </w:p>
          <w:p w14:paraId="6E51D7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25"/>
            </w:r>
            <w:r w:rsidRPr="00564B9D">
              <w:rPr>
                <w:sz w:val="20"/>
                <w:szCs w:val="20"/>
                <w:vertAlign w:val="superscript"/>
                <w:rtl/>
              </w:rPr>
              <w:t>)</w:t>
            </w:r>
            <w:r w:rsidRPr="00564B9D">
              <w:rPr>
                <w:rFonts w:hint="cs"/>
                <w:sz w:val="20"/>
                <w:szCs w:val="20"/>
                <w:rtl/>
              </w:rPr>
              <w:t>: 3,2</w:t>
            </w:r>
          </w:p>
          <w:p w14:paraId="54CF63C7" w14:textId="06823820"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26"/>
            </w:r>
            <w:r w:rsidR="00494AE4" w:rsidRPr="00564B9D">
              <w:rPr>
                <w:sz w:val="20"/>
                <w:szCs w:val="20"/>
                <w:vertAlign w:val="superscript"/>
                <w:rtl/>
              </w:rPr>
              <w:t>)</w:t>
            </w:r>
            <w:r w:rsidR="00494AE4" w:rsidRPr="00564B9D">
              <w:rPr>
                <w:rFonts w:hint="cs"/>
                <w:sz w:val="20"/>
                <w:szCs w:val="20"/>
                <w:rtl/>
              </w:rPr>
              <w:t>: 5,9</w:t>
            </w:r>
          </w:p>
        </w:tc>
      </w:tr>
      <w:tr w:rsidR="007B5A24" w:rsidRPr="00564B9D" w14:paraId="4A85545F" w14:textId="77777777" w:rsidTr="00804944">
        <w:trPr>
          <w:trHeight w:val="240"/>
        </w:trPr>
        <w:tc>
          <w:tcPr>
            <w:tcW w:w="3077" w:type="dxa"/>
            <w:shd w:val="clear" w:color="auto" w:fill="auto"/>
          </w:tcPr>
          <w:p w14:paraId="5EA465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r w:rsidRPr="00564B9D">
              <w:rPr>
                <w:sz w:val="20"/>
                <w:szCs w:val="20"/>
                <w:vertAlign w:val="superscript"/>
                <w:rtl/>
              </w:rPr>
              <w:t>(</w:t>
            </w:r>
            <w:r w:rsidRPr="00564B9D">
              <w:rPr>
                <w:rStyle w:val="FootnoteReference"/>
                <w:rFonts w:cs="Simplified Arabic"/>
                <w:b w:val="0"/>
                <w:sz w:val="20"/>
                <w:szCs w:val="20"/>
                <w:rtl/>
                <w:lang w:val="en-US"/>
              </w:rPr>
              <w:footnoteReference w:id="27"/>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63D3AC4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p>
        </w:tc>
      </w:tr>
      <w:tr w:rsidR="007B5A24" w:rsidRPr="00564B9D" w14:paraId="20521151" w14:textId="77777777" w:rsidTr="00804944">
        <w:trPr>
          <w:trHeight w:val="240"/>
        </w:trPr>
        <w:tc>
          <w:tcPr>
            <w:tcW w:w="3077" w:type="dxa"/>
            <w:shd w:val="clear" w:color="auto" w:fill="auto"/>
          </w:tcPr>
          <w:p w14:paraId="780290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ذكور </w:t>
            </w:r>
          </w:p>
        </w:tc>
        <w:tc>
          <w:tcPr>
            <w:tcW w:w="4714" w:type="dxa"/>
            <w:shd w:val="clear" w:color="auto" w:fill="auto"/>
          </w:tcPr>
          <w:p w14:paraId="157E10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9,1</w:t>
            </w:r>
          </w:p>
        </w:tc>
      </w:tr>
      <w:tr w:rsidR="007B5A24" w:rsidRPr="00564B9D" w14:paraId="01F6041E" w14:textId="77777777" w:rsidTr="00804944">
        <w:trPr>
          <w:trHeight w:val="240"/>
        </w:trPr>
        <w:tc>
          <w:tcPr>
            <w:tcW w:w="3077" w:type="dxa"/>
            <w:shd w:val="clear" w:color="auto" w:fill="auto"/>
          </w:tcPr>
          <w:p w14:paraId="076F15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4714" w:type="dxa"/>
            <w:shd w:val="clear" w:color="auto" w:fill="auto"/>
          </w:tcPr>
          <w:p w14:paraId="4BA487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9,0</w:t>
            </w:r>
          </w:p>
        </w:tc>
      </w:tr>
      <w:tr w:rsidR="007B5A24" w:rsidRPr="00564B9D" w14:paraId="2B7AC381" w14:textId="77777777" w:rsidTr="00804944">
        <w:trPr>
          <w:trHeight w:val="240"/>
        </w:trPr>
        <w:tc>
          <w:tcPr>
            <w:tcW w:w="3077" w:type="dxa"/>
            <w:shd w:val="clear" w:color="auto" w:fill="auto"/>
          </w:tcPr>
          <w:p w14:paraId="5608A7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العمر المتوقع عند الولادة</w:t>
            </w:r>
            <w:r w:rsidRPr="00564B9D">
              <w:rPr>
                <w:sz w:val="20"/>
                <w:szCs w:val="20"/>
                <w:vertAlign w:val="superscript"/>
                <w:rtl/>
              </w:rPr>
              <w:t>(</w:t>
            </w:r>
            <w:r w:rsidRPr="00564B9D">
              <w:rPr>
                <w:rStyle w:val="FootnoteReference"/>
                <w:rFonts w:cs="Simplified Arabic"/>
                <w:b w:val="0"/>
                <w:sz w:val="20"/>
                <w:szCs w:val="20"/>
                <w:rtl/>
                <w:lang w:val="en-US"/>
              </w:rPr>
              <w:footnoteReference w:id="28"/>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251180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p>
        </w:tc>
      </w:tr>
      <w:tr w:rsidR="007B5A24" w:rsidRPr="00564B9D" w14:paraId="5B339CDF" w14:textId="77777777" w:rsidTr="00804944">
        <w:trPr>
          <w:trHeight w:val="240"/>
        </w:trPr>
        <w:tc>
          <w:tcPr>
            <w:tcW w:w="3077" w:type="dxa"/>
            <w:shd w:val="clear" w:color="auto" w:fill="auto"/>
          </w:tcPr>
          <w:p w14:paraId="1FAAF70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رجال</w:t>
            </w:r>
          </w:p>
        </w:tc>
        <w:tc>
          <w:tcPr>
            <w:tcW w:w="4714" w:type="dxa"/>
            <w:shd w:val="clear" w:color="auto" w:fill="auto"/>
          </w:tcPr>
          <w:p w14:paraId="7CD335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79</w:t>
            </w:r>
          </w:p>
          <w:p w14:paraId="4DB4D8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ويلز: 78,5</w:t>
            </w:r>
          </w:p>
          <w:p w14:paraId="2DE7907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 77,2</w:t>
            </w:r>
          </w:p>
          <w:p w14:paraId="279D5E33" w14:textId="0E7A6D8A"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rFonts w:hint="cs"/>
                <w:sz w:val="20"/>
                <w:szCs w:val="20"/>
                <w:rtl/>
              </w:rPr>
              <w:t>: 78,8</w:t>
            </w:r>
          </w:p>
        </w:tc>
      </w:tr>
      <w:tr w:rsidR="007B5A24" w:rsidRPr="00564B9D" w14:paraId="422565FB" w14:textId="77777777" w:rsidTr="00804944">
        <w:trPr>
          <w:trHeight w:val="240"/>
        </w:trPr>
        <w:tc>
          <w:tcPr>
            <w:tcW w:w="3077" w:type="dxa"/>
            <w:shd w:val="clear" w:color="auto" w:fill="auto"/>
          </w:tcPr>
          <w:p w14:paraId="661608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نساء</w:t>
            </w:r>
          </w:p>
        </w:tc>
        <w:tc>
          <w:tcPr>
            <w:tcW w:w="4714" w:type="dxa"/>
            <w:shd w:val="clear" w:color="auto" w:fill="auto"/>
          </w:tcPr>
          <w:p w14:paraId="765AA3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إنكلترا: 82,4</w:t>
            </w:r>
          </w:p>
          <w:p w14:paraId="0E438D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ويلز: 82,3</w:t>
            </w:r>
          </w:p>
          <w:p w14:paraId="508B308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 81,1</w:t>
            </w:r>
          </w:p>
          <w:p w14:paraId="06D20563" w14:textId="7CE4541E"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rFonts w:hint="cs"/>
                <w:sz w:val="20"/>
                <w:szCs w:val="20"/>
                <w:rtl/>
              </w:rPr>
              <w:t>: 82,3</w:t>
            </w:r>
          </w:p>
        </w:tc>
      </w:tr>
      <w:tr w:rsidR="007B5A24" w:rsidRPr="00564B9D" w14:paraId="3FADEB36" w14:textId="77777777" w:rsidTr="00804944">
        <w:trPr>
          <w:trHeight w:val="240"/>
        </w:trPr>
        <w:tc>
          <w:tcPr>
            <w:tcW w:w="3077" w:type="dxa"/>
            <w:shd w:val="clear" w:color="auto" w:fill="auto"/>
          </w:tcPr>
          <w:p w14:paraId="2FC61E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4714" w:type="dxa"/>
            <w:shd w:val="clear" w:color="auto" w:fill="auto"/>
          </w:tcPr>
          <w:p w14:paraId="5E98AFC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29"/>
            </w:r>
            <w:r w:rsidRPr="00564B9D">
              <w:rPr>
                <w:sz w:val="20"/>
                <w:szCs w:val="20"/>
                <w:vertAlign w:val="superscript"/>
                <w:rtl/>
              </w:rPr>
              <w:t>)</w:t>
            </w:r>
            <w:r w:rsidRPr="00564B9D">
              <w:rPr>
                <w:rFonts w:hint="cs"/>
                <w:sz w:val="20"/>
                <w:szCs w:val="20"/>
                <w:rtl/>
              </w:rPr>
              <w:t>: 1,65</w:t>
            </w:r>
          </w:p>
          <w:p w14:paraId="229B87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30"/>
            </w:r>
            <w:r w:rsidRPr="00564B9D">
              <w:rPr>
                <w:sz w:val="20"/>
                <w:szCs w:val="20"/>
                <w:vertAlign w:val="superscript"/>
                <w:rtl/>
              </w:rPr>
              <w:t>)</w:t>
            </w:r>
            <w:r w:rsidRPr="00564B9D">
              <w:rPr>
                <w:rFonts w:hint="cs"/>
                <w:sz w:val="20"/>
                <w:szCs w:val="20"/>
                <w:rtl/>
              </w:rPr>
              <w:t>: 1,37</w:t>
            </w:r>
          </w:p>
          <w:p w14:paraId="43982AC7" w14:textId="5719C7FC"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rFonts w:hint="cs"/>
                <w:sz w:val="20"/>
                <w:szCs w:val="20"/>
                <w:rtl/>
              </w:rPr>
              <w:t>: 1,85</w:t>
            </w:r>
          </w:p>
        </w:tc>
      </w:tr>
      <w:tr w:rsidR="007B5A24" w:rsidRPr="00564B9D" w14:paraId="54033A5B" w14:textId="77777777" w:rsidTr="00804944">
        <w:trPr>
          <w:trHeight w:val="240"/>
        </w:trPr>
        <w:tc>
          <w:tcPr>
            <w:tcW w:w="3077" w:type="dxa"/>
            <w:shd w:val="clear" w:color="auto" w:fill="auto"/>
          </w:tcPr>
          <w:p w14:paraId="0E2545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متوسط حجم الأسرة المعيشية</w:t>
            </w:r>
            <w:r w:rsidRPr="00564B9D">
              <w:rPr>
                <w:sz w:val="20"/>
                <w:szCs w:val="20"/>
                <w:vertAlign w:val="superscript"/>
                <w:rtl/>
              </w:rPr>
              <w:t>(</w:t>
            </w:r>
            <w:r w:rsidRPr="00564B9D">
              <w:rPr>
                <w:rStyle w:val="FootnoteReference"/>
                <w:rFonts w:cs="Simplified Arabic"/>
                <w:b w:val="0"/>
                <w:sz w:val="20"/>
                <w:szCs w:val="20"/>
                <w:rtl/>
                <w:lang w:val="en-US"/>
              </w:rPr>
              <w:footnoteReference w:id="31"/>
            </w:r>
            <w:r w:rsidRPr="00564B9D">
              <w:rPr>
                <w:sz w:val="20"/>
                <w:szCs w:val="20"/>
                <w:vertAlign w:val="superscript"/>
                <w:rtl/>
              </w:rPr>
              <w:t>)</w:t>
            </w:r>
            <w:r w:rsidRPr="00564B9D">
              <w:rPr>
                <w:rFonts w:hint="cs"/>
                <w:sz w:val="20"/>
                <w:szCs w:val="20"/>
                <w:rtl/>
              </w:rPr>
              <w:t xml:space="preserve"> </w:t>
            </w:r>
          </w:p>
        </w:tc>
        <w:tc>
          <w:tcPr>
            <w:tcW w:w="4714" w:type="dxa"/>
            <w:shd w:val="clear" w:color="auto" w:fill="auto"/>
          </w:tcPr>
          <w:p w14:paraId="46D77D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2,39</w:t>
            </w:r>
          </w:p>
        </w:tc>
      </w:tr>
      <w:tr w:rsidR="007B5A24" w:rsidRPr="00564B9D" w14:paraId="6D054CB1" w14:textId="77777777" w:rsidTr="00804944">
        <w:trPr>
          <w:trHeight w:val="240"/>
        </w:trPr>
        <w:tc>
          <w:tcPr>
            <w:tcW w:w="3077" w:type="dxa"/>
            <w:tcBorders>
              <w:bottom w:val="single" w:sz="12" w:space="0" w:color="auto"/>
            </w:tcBorders>
            <w:shd w:val="clear" w:color="auto" w:fill="auto"/>
          </w:tcPr>
          <w:p w14:paraId="1AE297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r w:rsidRPr="00564B9D">
              <w:rPr>
                <w:sz w:val="20"/>
                <w:szCs w:val="20"/>
                <w:vertAlign w:val="superscript"/>
                <w:rtl/>
              </w:rPr>
              <w:t>(</w:t>
            </w:r>
            <w:r w:rsidRPr="00564B9D">
              <w:rPr>
                <w:rStyle w:val="FootnoteReference"/>
                <w:rFonts w:cs="Simplified Arabic"/>
                <w:b w:val="0"/>
                <w:sz w:val="20"/>
                <w:szCs w:val="20"/>
                <w:rtl/>
                <w:lang w:val="en-US"/>
              </w:rPr>
              <w:footnoteReference w:id="32"/>
            </w:r>
            <w:r w:rsidRPr="00564B9D">
              <w:rPr>
                <w:sz w:val="20"/>
                <w:szCs w:val="20"/>
                <w:vertAlign w:val="superscript"/>
                <w:rtl/>
              </w:rPr>
              <w:t>)</w:t>
            </w:r>
            <w:r w:rsidRPr="00564B9D">
              <w:rPr>
                <w:rFonts w:hint="cs"/>
                <w:sz w:val="20"/>
                <w:szCs w:val="20"/>
                <w:rtl/>
              </w:rPr>
              <w:t xml:space="preserve"> </w:t>
            </w:r>
          </w:p>
        </w:tc>
        <w:tc>
          <w:tcPr>
            <w:tcW w:w="4714" w:type="dxa"/>
            <w:tcBorders>
              <w:bottom w:val="single" w:sz="12" w:space="0" w:color="auto"/>
            </w:tcBorders>
            <w:shd w:val="clear" w:color="auto" w:fill="auto"/>
          </w:tcPr>
          <w:p w14:paraId="01CA31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14,9 في المائة</w:t>
            </w:r>
          </w:p>
          <w:p w14:paraId="44CBA3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87 في المائة من الأسر الوحيدة العائل تترأسها نساء.</w:t>
            </w:r>
          </w:p>
          <w:p w14:paraId="534DDC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13 في المائة من الأسر الوحيدة العائل يترأسها رجال.</w:t>
            </w:r>
          </w:p>
        </w:tc>
      </w:tr>
    </w:tbl>
    <w:p w14:paraId="7F5C1D08"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3311"/>
        <w:gridCol w:w="5081"/>
      </w:tblGrid>
      <w:tr w:rsidR="007B5A24" w:rsidRPr="00564B9D" w14:paraId="2BD56EF5" w14:textId="77777777" w:rsidTr="00804944">
        <w:trPr>
          <w:trHeight w:val="240"/>
          <w:tblHeader/>
        </w:trPr>
        <w:tc>
          <w:tcPr>
            <w:tcW w:w="7778" w:type="dxa"/>
            <w:gridSpan w:val="2"/>
            <w:tcBorders>
              <w:top w:val="single" w:sz="4" w:space="0" w:color="auto"/>
              <w:bottom w:val="single" w:sz="12" w:space="0" w:color="auto"/>
            </w:tcBorders>
            <w:shd w:val="clear" w:color="auto" w:fill="auto"/>
            <w:vAlign w:val="bottom"/>
          </w:tcPr>
          <w:p w14:paraId="0BD2AA2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 xml:space="preserve">المؤشرات الاجتماعية والاقتصادية والثقافية </w:t>
            </w:r>
          </w:p>
        </w:tc>
      </w:tr>
      <w:tr w:rsidR="007B5A24" w:rsidRPr="00564B9D" w14:paraId="44D0DCF9" w14:textId="77777777" w:rsidTr="00804944">
        <w:trPr>
          <w:trHeight w:val="240"/>
        </w:trPr>
        <w:tc>
          <w:tcPr>
            <w:tcW w:w="3069" w:type="dxa"/>
            <w:tcBorders>
              <w:top w:val="single" w:sz="12" w:space="0" w:color="auto"/>
            </w:tcBorders>
            <w:shd w:val="clear" w:color="auto" w:fill="auto"/>
          </w:tcPr>
          <w:p w14:paraId="360E84F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حصة نفقات الاستهلاك (للأسرة المعيشية) على الطعام والإسكان والصحة والتعليم</w:t>
            </w:r>
            <w:r w:rsidRPr="00564B9D">
              <w:rPr>
                <w:sz w:val="20"/>
                <w:szCs w:val="20"/>
                <w:vertAlign w:val="superscript"/>
                <w:rtl/>
              </w:rPr>
              <w:t>(</w:t>
            </w:r>
            <w:r w:rsidRPr="00564B9D">
              <w:rPr>
                <w:rStyle w:val="FootnoteReference"/>
                <w:rFonts w:cs="Simplified Arabic"/>
                <w:b w:val="0"/>
                <w:sz w:val="20"/>
                <w:szCs w:val="20"/>
                <w:rtl/>
                <w:lang w:val="en-US"/>
              </w:rPr>
              <w:footnoteReference w:id="33"/>
            </w:r>
            <w:r w:rsidRPr="00564B9D">
              <w:rPr>
                <w:sz w:val="20"/>
                <w:szCs w:val="20"/>
                <w:vertAlign w:val="superscript"/>
                <w:rtl/>
              </w:rPr>
              <w:t>)</w:t>
            </w:r>
            <w:r w:rsidRPr="00564B9D">
              <w:rPr>
                <w:rFonts w:hint="cs"/>
                <w:sz w:val="20"/>
                <w:szCs w:val="20"/>
                <w:rtl/>
              </w:rPr>
              <w:t xml:space="preserve"> </w:t>
            </w:r>
          </w:p>
        </w:tc>
        <w:tc>
          <w:tcPr>
            <w:tcW w:w="4709" w:type="dxa"/>
            <w:tcBorders>
              <w:top w:val="single" w:sz="12" w:space="0" w:color="auto"/>
            </w:tcBorders>
            <w:shd w:val="clear" w:color="auto" w:fill="auto"/>
          </w:tcPr>
          <w:p w14:paraId="661001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النقل: 13,9 في المائة</w:t>
            </w:r>
          </w:p>
          <w:p w14:paraId="0F118D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الترفيه والثقافة: 12,7 في المائة</w:t>
            </w:r>
          </w:p>
          <w:p w14:paraId="2F62C8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الإسكان والوقود والطاقة: 14,1 في المائة</w:t>
            </w:r>
          </w:p>
          <w:p w14:paraId="7BBC44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الغذاء والمشروبات غير الكحولية: 10,8 في المائة</w:t>
            </w:r>
          </w:p>
          <w:p w14:paraId="00A8E2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المطاعم والفنادق: 9,0 في المائة</w:t>
            </w:r>
          </w:p>
          <w:p w14:paraId="69FEEF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الخدمات: 7,8 في المائة</w:t>
            </w:r>
          </w:p>
          <w:p w14:paraId="7438E1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بضائع وخدمات الأسر المعيشية: 6,2 في المائة</w:t>
            </w:r>
          </w:p>
          <w:p w14:paraId="453FD6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الملابس والأحذية: 4,0 في المائة</w:t>
            </w:r>
          </w:p>
          <w:p w14:paraId="3D1B90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الاتصالات: 3,6 في المائة</w:t>
            </w:r>
          </w:p>
          <w:p w14:paraId="658A10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المشروبات الكحولية والتبغ والمخدرات: 2,2 في المائة</w:t>
            </w:r>
          </w:p>
          <w:p w14:paraId="7CB7D9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التعليم: 0,8 في المائة</w:t>
            </w:r>
          </w:p>
          <w:p w14:paraId="342273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الصحة: 1,4 في المائة</w:t>
            </w:r>
          </w:p>
          <w:p w14:paraId="28B50D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نفقات أخرى: 13,5 في المائة</w:t>
            </w:r>
          </w:p>
        </w:tc>
      </w:tr>
      <w:tr w:rsidR="007B5A24" w:rsidRPr="00564B9D" w14:paraId="3F8D56C4" w14:textId="77777777" w:rsidTr="00804944">
        <w:trPr>
          <w:trHeight w:val="240"/>
        </w:trPr>
        <w:tc>
          <w:tcPr>
            <w:tcW w:w="3069" w:type="dxa"/>
            <w:shd w:val="clear" w:color="auto" w:fill="auto"/>
          </w:tcPr>
          <w:p w14:paraId="1BBA16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w:t>
            </w:r>
            <w:r w:rsidRPr="00564B9D">
              <w:rPr>
                <w:rFonts w:hint="eastAsia"/>
                <w:sz w:val="20"/>
                <w:szCs w:val="20"/>
                <w:rtl/>
              </w:rPr>
              <w:t xml:space="preserve"> </w:t>
            </w:r>
            <w:r w:rsidRPr="00564B9D">
              <w:rPr>
                <w:rFonts w:hint="cs"/>
                <w:sz w:val="20"/>
                <w:szCs w:val="20"/>
                <w:rtl/>
              </w:rPr>
              <w:t>الوطني</w:t>
            </w:r>
            <w:r w:rsidRPr="00564B9D">
              <w:rPr>
                <w:sz w:val="20"/>
                <w:szCs w:val="20"/>
                <w:vertAlign w:val="superscript"/>
                <w:rtl/>
              </w:rPr>
              <w:t>(</w:t>
            </w:r>
            <w:r w:rsidRPr="00564B9D">
              <w:rPr>
                <w:rStyle w:val="FootnoteReference"/>
                <w:rFonts w:cs="Simplified Arabic"/>
                <w:b w:val="0"/>
                <w:sz w:val="20"/>
                <w:szCs w:val="20"/>
                <w:rtl/>
                <w:lang w:val="en-US"/>
              </w:rPr>
              <w:footnoteReference w:id="34"/>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4CF0738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17 في المائة </w:t>
            </w:r>
          </w:p>
        </w:tc>
      </w:tr>
      <w:tr w:rsidR="007B5A24" w:rsidRPr="00564B9D" w14:paraId="13DDE38E" w14:textId="77777777" w:rsidTr="00804944">
        <w:trPr>
          <w:trHeight w:val="240"/>
        </w:trPr>
        <w:tc>
          <w:tcPr>
            <w:tcW w:w="3069" w:type="dxa"/>
            <w:shd w:val="clear" w:color="auto" w:fill="auto"/>
          </w:tcPr>
          <w:p w14:paraId="2C466A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r w:rsidRPr="00564B9D">
              <w:rPr>
                <w:sz w:val="20"/>
                <w:szCs w:val="20"/>
                <w:vertAlign w:val="superscript"/>
                <w:rtl/>
              </w:rPr>
              <w:t>(</w:t>
            </w:r>
            <w:r w:rsidRPr="00564B9D">
              <w:rPr>
                <w:rStyle w:val="FootnoteReference"/>
                <w:rFonts w:cs="Simplified Arabic"/>
                <w:b w:val="0"/>
                <w:sz w:val="20"/>
                <w:szCs w:val="20"/>
                <w:rtl/>
                <w:lang w:val="en-US"/>
              </w:rPr>
              <w:footnoteReference w:id="35"/>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247768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انتشار نقص التغذية: 2,5 في المائة من السكان في عام 2018</w:t>
            </w:r>
          </w:p>
        </w:tc>
      </w:tr>
      <w:tr w:rsidR="007B5A24" w:rsidRPr="00564B9D" w14:paraId="24951EA1" w14:textId="77777777" w:rsidTr="00804944">
        <w:trPr>
          <w:trHeight w:val="240"/>
        </w:trPr>
        <w:tc>
          <w:tcPr>
            <w:tcW w:w="3069" w:type="dxa"/>
            <w:shd w:val="clear" w:color="auto" w:fill="auto"/>
          </w:tcPr>
          <w:p w14:paraId="426F755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معامل جيني (المتصل بتوزيع الدخل)</w:t>
            </w:r>
            <w:r w:rsidRPr="00564B9D">
              <w:rPr>
                <w:sz w:val="20"/>
                <w:szCs w:val="20"/>
                <w:vertAlign w:val="superscript"/>
                <w:rtl/>
              </w:rPr>
              <w:t>(</w:t>
            </w:r>
            <w:r w:rsidRPr="00564B9D">
              <w:rPr>
                <w:rStyle w:val="FootnoteReference"/>
                <w:rFonts w:cs="Simplified Arabic"/>
                <w:b w:val="0"/>
                <w:sz w:val="20"/>
                <w:szCs w:val="20"/>
                <w:rtl/>
                <w:lang w:val="en-US"/>
              </w:rPr>
              <w:footnoteReference w:id="36"/>
            </w:r>
            <w:r w:rsidRPr="00564B9D">
              <w:rPr>
                <w:sz w:val="20"/>
                <w:szCs w:val="20"/>
                <w:vertAlign w:val="superscript"/>
                <w:rtl/>
              </w:rPr>
              <w:t>)</w:t>
            </w:r>
            <w:r w:rsidRPr="00564B9D">
              <w:rPr>
                <w:sz w:val="20"/>
                <w:szCs w:val="20"/>
                <w:rtl/>
              </w:rPr>
              <w:t xml:space="preserve"> </w:t>
            </w:r>
          </w:p>
        </w:tc>
        <w:tc>
          <w:tcPr>
            <w:tcW w:w="4709" w:type="dxa"/>
            <w:shd w:val="clear" w:color="auto" w:fill="auto"/>
          </w:tcPr>
          <w:p w14:paraId="48F61B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2018/2019: 50,2 في المائة (38,6 في المائة بعد الضريبة)</w:t>
            </w:r>
          </w:p>
        </w:tc>
      </w:tr>
      <w:tr w:rsidR="007B5A24" w:rsidRPr="00564B9D" w14:paraId="05E67F98" w14:textId="77777777" w:rsidTr="00804944">
        <w:trPr>
          <w:trHeight w:val="240"/>
        </w:trPr>
        <w:tc>
          <w:tcPr>
            <w:tcW w:w="3069" w:type="dxa"/>
            <w:shd w:val="clear" w:color="auto" w:fill="auto"/>
          </w:tcPr>
          <w:p w14:paraId="07C4BE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4709" w:type="dxa"/>
            <w:shd w:val="clear" w:color="auto" w:fill="auto"/>
          </w:tcPr>
          <w:p w14:paraId="21D9E20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w:t>
            </w:r>
            <w:r w:rsidRPr="00564B9D">
              <w:rPr>
                <w:sz w:val="20"/>
                <w:szCs w:val="20"/>
                <w:vertAlign w:val="superscript"/>
                <w:rtl/>
              </w:rPr>
              <w:t>(</w:t>
            </w:r>
            <w:r w:rsidRPr="00564B9D">
              <w:rPr>
                <w:rStyle w:val="FootnoteReference"/>
                <w:rFonts w:cs="Simplified Arabic"/>
                <w:b w:val="0"/>
                <w:sz w:val="20"/>
                <w:szCs w:val="20"/>
                <w:rtl/>
                <w:lang w:val="en-US"/>
              </w:rPr>
              <w:footnoteReference w:id="37"/>
            </w:r>
            <w:r w:rsidRPr="00564B9D">
              <w:rPr>
                <w:sz w:val="20"/>
                <w:szCs w:val="20"/>
                <w:vertAlign w:val="superscript"/>
                <w:rtl/>
              </w:rPr>
              <w:t>)</w:t>
            </w:r>
            <w:r w:rsidRPr="00564B9D">
              <w:rPr>
                <w:rFonts w:hint="cs"/>
                <w:sz w:val="20"/>
                <w:szCs w:val="20"/>
                <w:rtl/>
              </w:rPr>
              <w:t>: 0,90 في المائة</w:t>
            </w:r>
          </w:p>
          <w:p w14:paraId="3EBFCD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ويلز</w:t>
            </w:r>
            <w:r w:rsidRPr="00564B9D">
              <w:rPr>
                <w:sz w:val="20"/>
                <w:szCs w:val="20"/>
                <w:vertAlign w:val="superscript"/>
                <w:rtl/>
              </w:rPr>
              <w:t>(</w:t>
            </w:r>
            <w:r w:rsidRPr="00564B9D">
              <w:rPr>
                <w:rStyle w:val="FootnoteReference"/>
                <w:rFonts w:cs="Simplified Arabic"/>
                <w:b w:val="0"/>
                <w:sz w:val="20"/>
                <w:szCs w:val="20"/>
                <w:rtl/>
                <w:lang w:val="en-US"/>
              </w:rPr>
              <w:footnoteReference w:id="38"/>
            </w:r>
            <w:r w:rsidRPr="00564B9D">
              <w:rPr>
                <w:sz w:val="20"/>
                <w:szCs w:val="20"/>
                <w:vertAlign w:val="superscript"/>
                <w:rtl/>
              </w:rPr>
              <w:t>)</w:t>
            </w:r>
            <w:r w:rsidRPr="00564B9D">
              <w:rPr>
                <w:rFonts w:hint="cs"/>
                <w:sz w:val="20"/>
                <w:szCs w:val="20"/>
                <w:rtl/>
              </w:rPr>
              <w:t>: 0,7 في المائة</w:t>
            </w:r>
          </w:p>
          <w:p w14:paraId="5F4332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39"/>
            </w:r>
            <w:r w:rsidRPr="00564B9D">
              <w:rPr>
                <w:sz w:val="20"/>
                <w:szCs w:val="20"/>
                <w:vertAlign w:val="superscript"/>
                <w:rtl/>
              </w:rPr>
              <w:t>)</w:t>
            </w:r>
            <w:r w:rsidRPr="00564B9D">
              <w:rPr>
                <w:rFonts w:hint="cs"/>
                <w:sz w:val="20"/>
                <w:szCs w:val="20"/>
                <w:rtl/>
              </w:rPr>
              <w:t>: 0,5 في المائة (وتضم البيانات أطفال الصف الابتدائي الأول ممن تتراوح أعمارهم بين 4,5 و6,25 سنة)</w:t>
            </w:r>
          </w:p>
          <w:p w14:paraId="2FF93156" w14:textId="64090EBB"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40"/>
            </w:r>
            <w:r w:rsidR="00494AE4" w:rsidRPr="00564B9D">
              <w:rPr>
                <w:sz w:val="20"/>
                <w:szCs w:val="20"/>
                <w:vertAlign w:val="superscript"/>
                <w:rtl/>
              </w:rPr>
              <w:t>)</w:t>
            </w:r>
            <w:r w:rsidR="00494AE4" w:rsidRPr="00564B9D">
              <w:rPr>
                <w:rFonts w:hint="cs"/>
                <w:sz w:val="20"/>
                <w:szCs w:val="20"/>
                <w:rtl/>
              </w:rPr>
              <w:t>: 0,5 في المائة.</w:t>
            </w:r>
          </w:p>
        </w:tc>
      </w:tr>
      <w:tr w:rsidR="007B5A24" w:rsidRPr="00564B9D" w14:paraId="26D10970" w14:textId="77777777" w:rsidTr="00804944">
        <w:trPr>
          <w:trHeight w:val="240"/>
        </w:trPr>
        <w:tc>
          <w:tcPr>
            <w:tcW w:w="3069" w:type="dxa"/>
            <w:shd w:val="clear" w:color="auto" w:fill="auto"/>
          </w:tcPr>
          <w:p w14:paraId="76B9AB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معدلات وفيات الرضّع والأمهات (لكل 000</w:t>
            </w:r>
            <w:r w:rsidRPr="00564B9D">
              <w:rPr>
                <w:sz w:val="20"/>
                <w:szCs w:val="20"/>
                <w:rtl/>
              </w:rPr>
              <w:t> </w:t>
            </w:r>
            <w:r w:rsidRPr="00564B9D">
              <w:rPr>
                <w:rFonts w:hint="cs"/>
                <w:sz w:val="20"/>
                <w:szCs w:val="20"/>
                <w:rtl/>
              </w:rPr>
              <w:t>1 مولود حي)</w:t>
            </w:r>
          </w:p>
        </w:tc>
        <w:tc>
          <w:tcPr>
            <w:tcW w:w="4709" w:type="dxa"/>
            <w:shd w:val="clear" w:color="auto" w:fill="auto"/>
          </w:tcPr>
          <w:p w14:paraId="4BF18FAB" w14:textId="0EDE9B7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41"/>
            </w:r>
            <w:r w:rsidRPr="00564B9D">
              <w:rPr>
                <w:sz w:val="20"/>
                <w:szCs w:val="20"/>
                <w:vertAlign w:val="superscript"/>
                <w:rtl/>
              </w:rPr>
              <w:t>)</w:t>
            </w:r>
            <w:r w:rsidRPr="00564B9D">
              <w:rPr>
                <w:rFonts w:hint="cs"/>
                <w:sz w:val="20"/>
                <w:szCs w:val="20"/>
                <w:rtl/>
              </w:rPr>
              <w:t xml:space="preserve">: </w:t>
            </w:r>
            <w:r w:rsidR="00E73AE1" w:rsidRPr="00564B9D">
              <w:rPr>
                <w:rFonts w:hint="cs"/>
                <w:sz w:val="20"/>
                <w:szCs w:val="20"/>
                <w:rtl/>
              </w:rPr>
              <w:t>3,7</w:t>
            </w:r>
            <w:r w:rsidRPr="00564B9D">
              <w:rPr>
                <w:rFonts w:hint="cs"/>
                <w:sz w:val="20"/>
                <w:szCs w:val="20"/>
                <w:rtl/>
              </w:rPr>
              <w:t xml:space="preserve"> في المائة</w:t>
            </w:r>
          </w:p>
          <w:p w14:paraId="0D2179B4" w14:textId="168E17A8"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42"/>
            </w:r>
            <w:r w:rsidRPr="00564B9D">
              <w:rPr>
                <w:sz w:val="20"/>
                <w:szCs w:val="20"/>
                <w:vertAlign w:val="superscript"/>
                <w:rtl/>
              </w:rPr>
              <w:t>)</w:t>
            </w:r>
            <w:r w:rsidRPr="00564B9D">
              <w:rPr>
                <w:rFonts w:hint="cs"/>
                <w:sz w:val="20"/>
                <w:szCs w:val="20"/>
                <w:rtl/>
              </w:rPr>
              <w:t>:</w:t>
            </w:r>
            <w:r w:rsidR="00E73AE1" w:rsidRPr="00564B9D">
              <w:rPr>
                <w:rFonts w:hint="cs"/>
                <w:sz w:val="20"/>
                <w:szCs w:val="20"/>
                <w:rtl/>
              </w:rPr>
              <w:t>3,7</w:t>
            </w:r>
            <w:r w:rsidRPr="00564B9D">
              <w:rPr>
                <w:rFonts w:hint="cs"/>
                <w:sz w:val="20"/>
                <w:szCs w:val="20"/>
                <w:rtl/>
              </w:rPr>
              <w:t xml:space="preserve"> في المائة</w:t>
            </w:r>
          </w:p>
          <w:p w14:paraId="5846950D" w14:textId="37EB4EF4"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43"/>
            </w:r>
            <w:r w:rsidR="00494AE4" w:rsidRPr="00564B9D">
              <w:rPr>
                <w:sz w:val="20"/>
                <w:szCs w:val="20"/>
                <w:vertAlign w:val="superscript"/>
                <w:rtl/>
              </w:rPr>
              <w:t>)</w:t>
            </w:r>
            <w:r w:rsidR="00494AE4" w:rsidRPr="00564B9D">
              <w:rPr>
                <w:rFonts w:hint="cs"/>
                <w:sz w:val="20"/>
                <w:szCs w:val="20"/>
                <w:rtl/>
              </w:rPr>
              <w:t>:</w:t>
            </w:r>
            <w:r w:rsidR="00E73AE1" w:rsidRPr="00564B9D">
              <w:rPr>
                <w:rFonts w:hint="cs"/>
                <w:sz w:val="20"/>
                <w:szCs w:val="20"/>
                <w:rtl/>
              </w:rPr>
              <w:t xml:space="preserve"> 5,0</w:t>
            </w:r>
            <w:r w:rsidR="00494AE4" w:rsidRPr="00564B9D">
              <w:rPr>
                <w:rFonts w:hint="cs"/>
                <w:sz w:val="20"/>
                <w:szCs w:val="20"/>
                <w:rtl/>
              </w:rPr>
              <w:t xml:space="preserve"> في المائة </w:t>
            </w:r>
          </w:p>
        </w:tc>
      </w:tr>
      <w:tr w:rsidR="007B5A24" w:rsidRPr="00564B9D" w14:paraId="6D30216D" w14:textId="77777777" w:rsidTr="00804944">
        <w:trPr>
          <w:trHeight w:val="240"/>
        </w:trPr>
        <w:tc>
          <w:tcPr>
            <w:tcW w:w="3069" w:type="dxa"/>
            <w:shd w:val="clear" w:color="auto" w:fill="auto"/>
          </w:tcPr>
          <w:p w14:paraId="3C63CE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اللاتي في سن الحمل ويستخدمن وسائل منع الحمل أو اللاتي يستخدم شركاؤهن وسائل منع الحمل </w:t>
            </w:r>
          </w:p>
        </w:tc>
        <w:tc>
          <w:tcPr>
            <w:tcW w:w="4709" w:type="dxa"/>
            <w:shd w:val="clear" w:color="auto" w:fill="auto"/>
          </w:tcPr>
          <w:p w14:paraId="5C0442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44"/>
            </w:r>
            <w:r w:rsidRPr="00564B9D">
              <w:rPr>
                <w:sz w:val="20"/>
                <w:szCs w:val="20"/>
                <w:vertAlign w:val="superscript"/>
                <w:rtl/>
              </w:rPr>
              <w:t>)</w:t>
            </w:r>
            <w:r w:rsidRPr="00564B9D">
              <w:rPr>
                <w:rFonts w:hint="cs"/>
                <w:sz w:val="20"/>
                <w:szCs w:val="20"/>
                <w:rtl/>
              </w:rPr>
              <w:t>:</w:t>
            </w:r>
          </w:p>
          <w:p w14:paraId="2A6EEAD8"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استخدام طريقة واحدة على الأقل: 75 في المائة</w:t>
            </w:r>
          </w:p>
          <w:p w14:paraId="7C342686"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من بين اللاتي لا يمارسن حياة جنسية طبيعية ولا يستخدمن وسائل منع الحمل (25 في المائة): 54 في المائة منهن كان شريكهن عقيماً؛ 11 في المائة منهن كن حوامل؛ 9 في المائة كن يخططن للإنجاب</w:t>
            </w:r>
          </w:p>
          <w:p w14:paraId="77B6DC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 لم تتوفر المعلومات بعد.</w:t>
            </w:r>
          </w:p>
          <w:p w14:paraId="3D3674EB" w14:textId="2416A101"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rFonts w:hint="cs"/>
                <w:sz w:val="20"/>
                <w:szCs w:val="20"/>
                <w:rtl/>
              </w:rPr>
              <w:t>: لم تتوفر المعلومات بعد.</w:t>
            </w:r>
          </w:p>
        </w:tc>
      </w:tr>
      <w:tr w:rsidR="007B5A24" w:rsidRPr="00564B9D" w14:paraId="17E8811B" w14:textId="77777777" w:rsidTr="00804944">
        <w:trPr>
          <w:trHeight w:val="240"/>
        </w:trPr>
        <w:tc>
          <w:tcPr>
            <w:tcW w:w="3069" w:type="dxa"/>
            <w:shd w:val="clear" w:color="auto" w:fill="auto"/>
          </w:tcPr>
          <w:p w14:paraId="6A7F4C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الإنهاء الطبي للحمل كنسبة من المواليد الأحياء </w:t>
            </w:r>
          </w:p>
        </w:tc>
        <w:tc>
          <w:tcPr>
            <w:tcW w:w="4709" w:type="dxa"/>
            <w:shd w:val="clear" w:color="auto" w:fill="auto"/>
          </w:tcPr>
          <w:p w14:paraId="30A3FF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45"/>
            </w:r>
            <w:r w:rsidRPr="00564B9D">
              <w:rPr>
                <w:sz w:val="20"/>
                <w:szCs w:val="20"/>
                <w:vertAlign w:val="superscript"/>
                <w:rtl/>
              </w:rPr>
              <w:t>)</w:t>
            </w:r>
            <w:r w:rsidRPr="00564B9D">
              <w:rPr>
                <w:rFonts w:hint="cs"/>
                <w:sz w:val="20"/>
                <w:szCs w:val="20"/>
                <w:rtl/>
              </w:rPr>
              <w:t>: 0,24 في المائة</w:t>
            </w:r>
          </w:p>
          <w:p w14:paraId="1E857F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46"/>
            </w:r>
            <w:r w:rsidRPr="00564B9D">
              <w:rPr>
                <w:sz w:val="20"/>
                <w:szCs w:val="20"/>
                <w:vertAlign w:val="superscript"/>
                <w:rtl/>
              </w:rPr>
              <w:t>)</w:t>
            </w:r>
            <w:r w:rsidRPr="00564B9D">
              <w:rPr>
                <w:rFonts w:hint="cs"/>
                <w:sz w:val="20"/>
                <w:szCs w:val="20"/>
                <w:rtl/>
              </w:rPr>
              <w:t>: 0,24 في المائة</w:t>
            </w:r>
          </w:p>
          <w:p w14:paraId="02873428" w14:textId="03B484FE"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47"/>
            </w:r>
            <w:r w:rsidR="00494AE4" w:rsidRPr="00564B9D">
              <w:rPr>
                <w:sz w:val="20"/>
                <w:szCs w:val="20"/>
                <w:vertAlign w:val="superscript"/>
                <w:rtl/>
              </w:rPr>
              <w:t>)</w:t>
            </w:r>
            <w:r w:rsidR="00494AE4" w:rsidRPr="00564B9D">
              <w:rPr>
                <w:rFonts w:hint="cs"/>
                <w:sz w:val="20"/>
                <w:szCs w:val="20"/>
                <w:rtl/>
              </w:rPr>
              <w:t xml:space="preserve">: 0,00 (22 حالة إنهاء طبي للحمل سجلت في الفترة 2019/2020) </w:t>
            </w:r>
          </w:p>
        </w:tc>
      </w:tr>
      <w:tr w:rsidR="007B5A24" w:rsidRPr="00564B9D" w14:paraId="52459035" w14:textId="77777777" w:rsidTr="00804944">
        <w:trPr>
          <w:trHeight w:val="240"/>
        </w:trPr>
        <w:tc>
          <w:tcPr>
            <w:tcW w:w="3069" w:type="dxa"/>
            <w:shd w:val="clear" w:color="auto" w:fill="auto"/>
          </w:tcPr>
          <w:p w14:paraId="4DADA0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r w:rsidRPr="00564B9D">
              <w:rPr>
                <w:sz w:val="20"/>
                <w:szCs w:val="20"/>
                <w:vertAlign w:val="superscript"/>
                <w:rtl/>
              </w:rPr>
              <w:t>(</w:t>
            </w:r>
            <w:r w:rsidRPr="00564B9D">
              <w:rPr>
                <w:rStyle w:val="FootnoteReference"/>
                <w:rFonts w:cs="Simplified Arabic"/>
                <w:b w:val="0"/>
                <w:sz w:val="20"/>
                <w:szCs w:val="20"/>
                <w:rtl/>
                <w:lang w:val="en-US"/>
              </w:rPr>
              <w:footnoteReference w:id="48"/>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18F27DF4" w14:textId="30432C58"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فيروس نقص المناعة البشرية: إنكلترا: 5,1؛ ويلز: 3,7؛ </w:t>
            </w:r>
            <w:r w:rsidR="000F4858" w:rsidRPr="00564B9D">
              <w:rPr>
                <w:rFonts w:hint="cs"/>
                <w:sz w:val="20"/>
                <w:szCs w:val="20"/>
                <w:rtl/>
              </w:rPr>
              <w:t>أيرلندا الشمالية</w:t>
            </w:r>
            <w:r w:rsidRPr="00564B9D">
              <w:rPr>
                <w:rFonts w:hint="cs"/>
                <w:sz w:val="20"/>
                <w:szCs w:val="20"/>
                <w:rtl/>
              </w:rPr>
              <w:t xml:space="preserve"> 2,0؛ اسكتلندا 2,6 (إصابة لكل 000</w:t>
            </w:r>
            <w:r w:rsidRPr="00564B9D">
              <w:rPr>
                <w:sz w:val="20"/>
                <w:szCs w:val="20"/>
                <w:rtl/>
              </w:rPr>
              <w:t> </w:t>
            </w:r>
            <w:r w:rsidRPr="00564B9D">
              <w:rPr>
                <w:rFonts w:hint="cs"/>
                <w:sz w:val="20"/>
                <w:szCs w:val="20"/>
                <w:rtl/>
              </w:rPr>
              <w:t>100 من السكان).</w:t>
            </w:r>
          </w:p>
          <w:p w14:paraId="29D6C9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السل</w:t>
            </w:r>
            <w:r w:rsidRPr="00564B9D">
              <w:rPr>
                <w:sz w:val="20"/>
                <w:szCs w:val="20"/>
                <w:vertAlign w:val="superscript"/>
                <w:rtl/>
              </w:rPr>
              <w:t>(</w:t>
            </w:r>
            <w:r w:rsidRPr="00564B9D">
              <w:rPr>
                <w:rStyle w:val="FootnoteReference"/>
                <w:rFonts w:cs="Simplified Arabic"/>
                <w:b w:val="0"/>
                <w:sz w:val="20"/>
                <w:szCs w:val="20"/>
                <w:rtl/>
                <w:lang w:val="en-US"/>
              </w:rPr>
              <w:footnoteReference w:id="49"/>
            </w:r>
            <w:r w:rsidRPr="00564B9D">
              <w:rPr>
                <w:sz w:val="20"/>
                <w:szCs w:val="20"/>
                <w:vertAlign w:val="superscript"/>
                <w:rtl/>
              </w:rPr>
              <w:t>)</w:t>
            </w:r>
            <w:r w:rsidRPr="00564B9D">
              <w:rPr>
                <w:rFonts w:hint="cs"/>
                <w:sz w:val="20"/>
                <w:szCs w:val="20"/>
                <w:rtl/>
              </w:rPr>
              <w:t>: 7,7 (إصابة لكل 000</w:t>
            </w:r>
            <w:r w:rsidRPr="00564B9D">
              <w:rPr>
                <w:sz w:val="20"/>
                <w:szCs w:val="20"/>
                <w:rtl/>
              </w:rPr>
              <w:t> </w:t>
            </w:r>
            <w:r w:rsidRPr="00564B9D">
              <w:rPr>
                <w:rFonts w:hint="cs"/>
                <w:sz w:val="20"/>
                <w:szCs w:val="20"/>
                <w:rtl/>
              </w:rPr>
              <w:t>100 من السكان).</w:t>
            </w:r>
          </w:p>
          <w:p w14:paraId="2FF7D8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الملاريا</w:t>
            </w:r>
            <w:r w:rsidRPr="00564B9D">
              <w:rPr>
                <w:sz w:val="20"/>
                <w:szCs w:val="20"/>
                <w:vertAlign w:val="superscript"/>
                <w:rtl/>
              </w:rPr>
              <w:t>(</w:t>
            </w:r>
            <w:r w:rsidRPr="00564B9D">
              <w:rPr>
                <w:rStyle w:val="FootnoteReference"/>
                <w:rFonts w:cs="Simplified Arabic"/>
                <w:b w:val="0"/>
                <w:sz w:val="20"/>
                <w:szCs w:val="20"/>
                <w:rtl/>
                <w:lang w:val="en-US"/>
              </w:rPr>
              <w:footnoteReference w:id="50"/>
            </w:r>
            <w:r w:rsidRPr="00564B9D">
              <w:rPr>
                <w:sz w:val="20"/>
                <w:szCs w:val="20"/>
                <w:vertAlign w:val="superscript"/>
                <w:rtl/>
              </w:rPr>
              <w:t>)</w:t>
            </w:r>
            <w:r w:rsidRPr="00564B9D">
              <w:rPr>
                <w:rFonts w:hint="cs"/>
                <w:sz w:val="20"/>
                <w:szCs w:val="20"/>
                <w:rtl/>
              </w:rPr>
              <w:t>: 2,6 (إصابة لكل 000</w:t>
            </w:r>
            <w:r w:rsidRPr="00564B9D">
              <w:rPr>
                <w:sz w:val="20"/>
                <w:szCs w:val="20"/>
                <w:rtl/>
              </w:rPr>
              <w:t> </w:t>
            </w:r>
            <w:r w:rsidRPr="00564B9D">
              <w:rPr>
                <w:rFonts w:hint="cs"/>
                <w:sz w:val="20"/>
                <w:szCs w:val="20"/>
                <w:rtl/>
              </w:rPr>
              <w:t xml:space="preserve">100 من السكان). </w:t>
            </w:r>
          </w:p>
        </w:tc>
      </w:tr>
      <w:tr w:rsidR="007B5A24" w:rsidRPr="00564B9D" w14:paraId="41BA76D1" w14:textId="77777777" w:rsidTr="00804944">
        <w:trPr>
          <w:trHeight w:val="240"/>
        </w:trPr>
        <w:tc>
          <w:tcPr>
            <w:tcW w:w="3069" w:type="dxa"/>
            <w:shd w:val="clear" w:color="auto" w:fill="auto"/>
          </w:tcPr>
          <w:p w14:paraId="51BA29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w:t>
            </w:r>
            <w:r w:rsidRPr="00564B9D">
              <w:rPr>
                <w:sz w:val="20"/>
                <w:szCs w:val="20"/>
                <w:vertAlign w:val="superscript"/>
                <w:rtl/>
              </w:rPr>
              <w:t>(</w:t>
            </w:r>
            <w:r w:rsidRPr="00564B9D">
              <w:rPr>
                <w:rStyle w:val="FootnoteReference"/>
                <w:rFonts w:cs="Simplified Arabic"/>
                <w:b w:val="0"/>
                <w:sz w:val="20"/>
                <w:szCs w:val="20"/>
                <w:rtl/>
                <w:lang w:val="en-US"/>
              </w:rPr>
              <w:footnoteReference w:id="51"/>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6DDBE0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الأمراض السارية الرئيسية: انظر أعلاه.</w:t>
            </w:r>
          </w:p>
          <w:p w14:paraId="2738C9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الأمراض غير السارية الرئيسية:</w:t>
            </w:r>
          </w:p>
          <w:p w14:paraId="48974A7B"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left="360" w:right="0"/>
              <w:rPr>
                <w:sz w:val="20"/>
                <w:szCs w:val="20"/>
              </w:rPr>
            </w:pPr>
            <w:r w:rsidRPr="00564B9D">
              <w:rPr>
                <w:rFonts w:hint="cs"/>
                <w:sz w:val="20"/>
                <w:szCs w:val="20"/>
                <w:rtl/>
              </w:rPr>
              <w:t>السرطان</w:t>
            </w:r>
            <w:r w:rsidRPr="00564B9D">
              <w:rPr>
                <w:sz w:val="20"/>
                <w:szCs w:val="20"/>
                <w:vertAlign w:val="superscript"/>
                <w:rtl/>
              </w:rPr>
              <w:t>(</w:t>
            </w:r>
            <w:r w:rsidRPr="00564B9D">
              <w:rPr>
                <w:rStyle w:val="FootnoteReference"/>
                <w:rFonts w:cs="Simplified Arabic"/>
                <w:b w:val="0"/>
                <w:sz w:val="20"/>
                <w:szCs w:val="20"/>
                <w:rtl/>
                <w:lang w:val="en-US"/>
              </w:rPr>
              <w:footnoteReference w:id="52"/>
            </w:r>
            <w:r w:rsidRPr="00564B9D">
              <w:rPr>
                <w:sz w:val="20"/>
                <w:szCs w:val="20"/>
                <w:vertAlign w:val="superscript"/>
                <w:rtl/>
              </w:rPr>
              <w:t>)</w:t>
            </w:r>
            <w:r w:rsidRPr="00564B9D">
              <w:rPr>
                <w:rFonts w:hint="cs"/>
                <w:sz w:val="20"/>
                <w:szCs w:val="20"/>
                <w:rtl/>
              </w:rPr>
              <w:t>: معدل أولي: 568 (إصابة لكل 000</w:t>
            </w:r>
            <w:r w:rsidRPr="00564B9D">
              <w:rPr>
                <w:sz w:val="20"/>
                <w:szCs w:val="20"/>
                <w:rtl/>
              </w:rPr>
              <w:t> </w:t>
            </w:r>
            <w:r w:rsidRPr="00564B9D">
              <w:rPr>
                <w:rFonts w:hint="cs"/>
                <w:sz w:val="20"/>
                <w:szCs w:val="20"/>
                <w:rtl/>
              </w:rPr>
              <w:t>100 من السكان).</w:t>
            </w:r>
          </w:p>
          <w:p w14:paraId="6F112ABF"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مرض القلب التاجي</w:t>
            </w:r>
            <w:r w:rsidRPr="00564B9D">
              <w:rPr>
                <w:sz w:val="20"/>
                <w:szCs w:val="20"/>
                <w:vertAlign w:val="superscript"/>
                <w:rtl/>
              </w:rPr>
              <w:t>(</w:t>
            </w:r>
            <w:r w:rsidRPr="00564B9D">
              <w:rPr>
                <w:rStyle w:val="FootnoteReference"/>
                <w:rFonts w:cs="Simplified Arabic"/>
                <w:b w:val="0"/>
                <w:sz w:val="20"/>
                <w:szCs w:val="20"/>
                <w:rtl/>
                <w:lang w:val="en-US"/>
              </w:rPr>
              <w:footnoteReference w:id="53"/>
            </w:r>
            <w:r w:rsidRPr="00564B9D">
              <w:rPr>
                <w:sz w:val="20"/>
                <w:szCs w:val="20"/>
                <w:vertAlign w:val="superscript"/>
                <w:rtl/>
              </w:rPr>
              <w:t>)</w:t>
            </w:r>
            <w:r w:rsidRPr="00564B9D">
              <w:rPr>
                <w:rFonts w:hint="cs"/>
                <w:sz w:val="20"/>
                <w:szCs w:val="20"/>
                <w:rtl/>
              </w:rPr>
              <w:t>:</w:t>
            </w:r>
          </w:p>
          <w:p w14:paraId="00A1C7F8"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lastRenderedPageBreak/>
              <w:t>المملكة المتحدة: 3,2 في المائة؛</w:t>
            </w:r>
          </w:p>
          <w:p w14:paraId="59811BD5"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إنكلترا: 3,1 في المائة؛</w:t>
            </w:r>
          </w:p>
          <w:p w14:paraId="491590B2"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ويلز: 3,6 في المائة؛</w:t>
            </w:r>
          </w:p>
          <w:p w14:paraId="5B5CEB8E"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اسكتلندا: 3,9 في المائة؛</w:t>
            </w:r>
          </w:p>
          <w:p w14:paraId="16C5A033" w14:textId="20D78BE2" w:rsidR="00494AE4" w:rsidRPr="00564B9D" w:rsidRDefault="000F4858"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أيرلندا الشمالية</w:t>
            </w:r>
            <w:r w:rsidR="00494AE4" w:rsidRPr="00564B9D">
              <w:rPr>
                <w:rFonts w:hint="cs"/>
                <w:sz w:val="20"/>
                <w:szCs w:val="20"/>
                <w:rtl/>
              </w:rPr>
              <w:t>: 3,7 في المائة.</w:t>
            </w:r>
          </w:p>
          <w:p w14:paraId="369F7070"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left="360" w:right="0"/>
              <w:rPr>
                <w:sz w:val="20"/>
                <w:szCs w:val="20"/>
              </w:rPr>
            </w:pPr>
            <w:r w:rsidRPr="00564B9D">
              <w:rPr>
                <w:rFonts w:hint="cs"/>
                <w:sz w:val="20"/>
                <w:szCs w:val="20"/>
                <w:rtl/>
              </w:rPr>
              <w:t>مرض القلب والأوعية الدموية</w:t>
            </w:r>
            <w:r w:rsidRPr="00564B9D">
              <w:rPr>
                <w:sz w:val="20"/>
                <w:szCs w:val="20"/>
                <w:vertAlign w:val="superscript"/>
                <w:rtl/>
              </w:rPr>
              <w:t>(</w:t>
            </w:r>
            <w:r w:rsidRPr="00564B9D">
              <w:rPr>
                <w:rStyle w:val="FootnoteReference"/>
                <w:rFonts w:cs="Simplified Arabic"/>
                <w:b w:val="0"/>
                <w:sz w:val="20"/>
                <w:szCs w:val="20"/>
                <w:rtl/>
                <w:lang w:val="en-US"/>
              </w:rPr>
              <w:footnoteReference w:id="54"/>
            </w:r>
            <w:r w:rsidRPr="00564B9D">
              <w:rPr>
                <w:sz w:val="20"/>
                <w:szCs w:val="20"/>
                <w:vertAlign w:val="superscript"/>
                <w:rtl/>
              </w:rPr>
              <w:t>)</w:t>
            </w:r>
            <w:r w:rsidRPr="00564B9D">
              <w:rPr>
                <w:rFonts w:hint="cs"/>
                <w:sz w:val="20"/>
                <w:szCs w:val="20"/>
                <w:rtl/>
              </w:rPr>
              <w:t>:</w:t>
            </w:r>
          </w:p>
          <w:p w14:paraId="1DA93D19"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إنكلترا - ذكور: 14,6 في المائة؛</w:t>
            </w:r>
          </w:p>
          <w:p w14:paraId="0099BBB5"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إنكلترا - إناث: 12,5 في المائة؛</w:t>
            </w:r>
          </w:p>
          <w:p w14:paraId="24C2B72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ويلز</w:t>
            </w:r>
            <w:r w:rsidRPr="00564B9D">
              <w:rPr>
                <w:sz w:val="20"/>
                <w:szCs w:val="20"/>
                <w:rtl/>
              </w:rPr>
              <w:t xml:space="preserve"> </w:t>
            </w:r>
            <w:r w:rsidRPr="00564B9D">
              <w:rPr>
                <w:rFonts w:hint="cs"/>
                <w:sz w:val="20"/>
                <w:szCs w:val="20"/>
                <w:rtl/>
              </w:rPr>
              <w:t xml:space="preserve">- أشكال مختارة من أمراض </w:t>
            </w:r>
            <w:r w:rsidRPr="00564B9D">
              <w:rPr>
                <w:sz w:val="20"/>
                <w:szCs w:val="20"/>
                <w:rtl/>
              </w:rPr>
              <w:t xml:space="preserve">القلب والأوعية الدموية (الرجفان </w:t>
            </w:r>
            <w:proofErr w:type="spellStart"/>
            <w:r w:rsidRPr="00564B9D">
              <w:rPr>
                <w:sz w:val="20"/>
                <w:szCs w:val="20"/>
                <w:rtl/>
              </w:rPr>
              <w:t>الأذيني</w:t>
            </w:r>
            <w:proofErr w:type="spellEnd"/>
            <w:r w:rsidRPr="00564B9D">
              <w:rPr>
                <w:sz w:val="20"/>
                <w:szCs w:val="20"/>
                <w:rtl/>
              </w:rPr>
              <w:t xml:space="preserve">، فشل القلب، أمراض الشرايين التاجية، احتشاء عضلة القلب، </w:t>
            </w:r>
            <w:r w:rsidRPr="00564B9D">
              <w:rPr>
                <w:rFonts w:hint="cs"/>
                <w:sz w:val="20"/>
                <w:szCs w:val="20"/>
                <w:rtl/>
              </w:rPr>
              <w:t>أمراض الأوعية الدموية الطرفية</w:t>
            </w:r>
            <w:r w:rsidRPr="00564B9D">
              <w:rPr>
                <w:sz w:val="20"/>
                <w:szCs w:val="20"/>
                <w:rtl/>
              </w:rPr>
              <w:t xml:space="preserve">، </w:t>
            </w:r>
            <w:r w:rsidRPr="00564B9D">
              <w:rPr>
                <w:rFonts w:hint="cs"/>
                <w:sz w:val="20"/>
                <w:szCs w:val="20"/>
                <w:rtl/>
              </w:rPr>
              <w:t>جلطة</w:t>
            </w:r>
            <w:r w:rsidRPr="00564B9D">
              <w:rPr>
                <w:sz w:val="20"/>
                <w:szCs w:val="20"/>
                <w:rtl/>
              </w:rPr>
              <w:t xml:space="preserve"> دماغية، نوبات نقص تروية عابرة</w:t>
            </w:r>
            <w:r w:rsidRPr="00564B9D">
              <w:rPr>
                <w:rFonts w:hint="cs"/>
                <w:sz w:val="20"/>
                <w:szCs w:val="20"/>
                <w:rtl/>
              </w:rPr>
              <w:t>):</w:t>
            </w:r>
          </w:p>
          <w:p w14:paraId="5CF8B6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 (موحدة عمرياً) 11,6 في المائة؛</w:t>
            </w:r>
          </w:p>
          <w:p w14:paraId="4C746FE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 (موحدة عمرياً): 7,3 في المائة؛</w:t>
            </w:r>
          </w:p>
          <w:p w14:paraId="29F4FCEE"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اسكتلندا - ذكور: 17 في المائة؛</w:t>
            </w:r>
          </w:p>
          <w:p w14:paraId="36980968"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اسكتلندا - إناث: 14 في المائة؛</w:t>
            </w:r>
          </w:p>
          <w:p w14:paraId="01ADB78C" w14:textId="06435A5C" w:rsidR="00494AE4" w:rsidRPr="00564B9D" w:rsidRDefault="000F4858"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أيرلندا الشمالية</w:t>
            </w:r>
            <w:r w:rsidR="00494AE4" w:rsidRPr="00564B9D">
              <w:rPr>
                <w:rFonts w:hint="cs"/>
                <w:sz w:val="20"/>
                <w:szCs w:val="20"/>
                <w:rtl/>
              </w:rPr>
              <w:t xml:space="preserve"> - أشكال مختارة من أمراض </w:t>
            </w:r>
            <w:r w:rsidR="00494AE4" w:rsidRPr="00564B9D">
              <w:rPr>
                <w:sz w:val="20"/>
                <w:szCs w:val="20"/>
                <w:rtl/>
              </w:rPr>
              <w:t xml:space="preserve">القلب والأوعية الدموية (الرجفان </w:t>
            </w:r>
            <w:proofErr w:type="spellStart"/>
            <w:r w:rsidR="00494AE4" w:rsidRPr="00564B9D">
              <w:rPr>
                <w:sz w:val="20"/>
                <w:szCs w:val="20"/>
                <w:rtl/>
              </w:rPr>
              <w:t>الأذيني</w:t>
            </w:r>
            <w:proofErr w:type="spellEnd"/>
            <w:r w:rsidR="00494AE4" w:rsidRPr="00564B9D">
              <w:rPr>
                <w:sz w:val="20"/>
                <w:szCs w:val="20"/>
                <w:rtl/>
              </w:rPr>
              <w:t xml:space="preserve">، فشل القلب، أمراض الشرايين التاجية، احتشاء عضلة القلب، </w:t>
            </w:r>
            <w:r w:rsidR="00494AE4" w:rsidRPr="00564B9D">
              <w:rPr>
                <w:rFonts w:hint="cs"/>
                <w:sz w:val="20"/>
                <w:szCs w:val="20"/>
                <w:rtl/>
              </w:rPr>
              <w:t>أمراض الأوعية الدموية الطرفية</w:t>
            </w:r>
            <w:r w:rsidR="00494AE4" w:rsidRPr="00564B9D">
              <w:rPr>
                <w:sz w:val="20"/>
                <w:szCs w:val="20"/>
                <w:rtl/>
              </w:rPr>
              <w:t xml:space="preserve">، </w:t>
            </w:r>
            <w:r w:rsidR="00494AE4" w:rsidRPr="00564B9D">
              <w:rPr>
                <w:rFonts w:hint="cs"/>
                <w:sz w:val="20"/>
                <w:szCs w:val="20"/>
                <w:rtl/>
              </w:rPr>
              <w:t>جلطة</w:t>
            </w:r>
            <w:r w:rsidR="00494AE4" w:rsidRPr="00564B9D">
              <w:rPr>
                <w:sz w:val="20"/>
                <w:szCs w:val="20"/>
                <w:rtl/>
              </w:rPr>
              <w:t xml:space="preserve"> دماغية، نوبات نقص تروية عابرة</w:t>
            </w:r>
            <w:r w:rsidR="00494AE4" w:rsidRPr="00564B9D">
              <w:rPr>
                <w:rFonts w:hint="cs"/>
                <w:sz w:val="20"/>
                <w:szCs w:val="20"/>
                <w:rtl/>
              </w:rPr>
              <w:t>):</w:t>
            </w:r>
          </w:p>
          <w:p w14:paraId="006724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 (موحدة عمرياً) 13,3 في المائة؛</w:t>
            </w:r>
          </w:p>
          <w:p w14:paraId="0FEBE2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 (موحدة عمرياً): 8,3 في المائة؛</w:t>
            </w:r>
          </w:p>
          <w:p w14:paraId="675B499C"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داء السكري</w:t>
            </w:r>
            <w:r w:rsidRPr="00564B9D">
              <w:rPr>
                <w:sz w:val="20"/>
                <w:szCs w:val="20"/>
                <w:vertAlign w:val="superscript"/>
                <w:rtl/>
              </w:rPr>
              <w:t>(</w:t>
            </w:r>
            <w:r w:rsidRPr="00564B9D">
              <w:rPr>
                <w:rStyle w:val="FootnoteReference"/>
                <w:rFonts w:cs="Simplified Arabic"/>
                <w:b w:val="0"/>
                <w:sz w:val="20"/>
                <w:szCs w:val="20"/>
                <w:rtl/>
                <w:lang w:val="en-US"/>
              </w:rPr>
              <w:footnoteReference w:id="55"/>
            </w:r>
            <w:r w:rsidRPr="00564B9D">
              <w:rPr>
                <w:sz w:val="20"/>
                <w:szCs w:val="20"/>
                <w:vertAlign w:val="superscript"/>
                <w:rtl/>
              </w:rPr>
              <w:t>)</w:t>
            </w:r>
            <w:r w:rsidRPr="00564B9D">
              <w:rPr>
                <w:rFonts w:hint="cs"/>
                <w:sz w:val="20"/>
                <w:szCs w:val="20"/>
                <w:rtl/>
              </w:rPr>
              <w:t xml:space="preserve"> </w:t>
            </w:r>
          </w:p>
          <w:p w14:paraId="3423CE93"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إنكلترا: 5,9 في المائة؛</w:t>
            </w:r>
          </w:p>
          <w:p w14:paraId="5CB89C44"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ويلز: 6,3 في المائة؛</w:t>
            </w:r>
          </w:p>
          <w:p w14:paraId="314FC5C1" w14:textId="77777777" w:rsidR="00494AE4" w:rsidRPr="00564B9D" w:rsidRDefault="00494AE4" w:rsidP="00494AE4">
            <w:pPr>
              <w:pStyle w:val="SingleTxtGA"/>
              <w:numPr>
                <w:ilvl w:val="0"/>
                <w:numId w:val="8"/>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اسكتلندا: 5,5 في المائة؛</w:t>
            </w:r>
          </w:p>
          <w:p w14:paraId="5C6249EA" w14:textId="2F4A3F8B" w:rsidR="00494AE4" w:rsidRPr="00564B9D" w:rsidRDefault="000F4858"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أيرلندا الشمالية</w:t>
            </w:r>
            <w:r w:rsidR="00494AE4" w:rsidRPr="00564B9D">
              <w:rPr>
                <w:rFonts w:hint="cs"/>
                <w:sz w:val="20"/>
                <w:szCs w:val="20"/>
                <w:rtl/>
              </w:rPr>
              <w:t>: 5,3 في المائة.</w:t>
            </w:r>
          </w:p>
        </w:tc>
      </w:tr>
      <w:tr w:rsidR="007B5A24" w:rsidRPr="00564B9D" w14:paraId="248B9BFA" w14:textId="77777777" w:rsidTr="00804944">
        <w:trPr>
          <w:trHeight w:val="240"/>
        </w:trPr>
        <w:tc>
          <w:tcPr>
            <w:tcW w:w="3069" w:type="dxa"/>
            <w:shd w:val="clear" w:color="auto" w:fill="auto"/>
          </w:tcPr>
          <w:p w14:paraId="296CFD7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الأسباب الرئيسية المؤدية إلى الوفاة</w:t>
            </w:r>
          </w:p>
        </w:tc>
        <w:tc>
          <w:tcPr>
            <w:tcW w:w="4709" w:type="dxa"/>
            <w:shd w:val="clear" w:color="auto" w:fill="auto"/>
          </w:tcPr>
          <w:p w14:paraId="55450B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56"/>
            </w:r>
            <w:r w:rsidRPr="00564B9D">
              <w:rPr>
                <w:sz w:val="20"/>
                <w:szCs w:val="20"/>
                <w:vertAlign w:val="superscript"/>
                <w:rtl/>
              </w:rPr>
              <w:t>)</w:t>
            </w:r>
            <w:r w:rsidRPr="00564B9D">
              <w:rPr>
                <w:rFonts w:hint="cs"/>
                <w:sz w:val="20"/>
                <w:szCs w:val="20"/>
                <w:rtl/>
              </w:rPr>
              <w:t xml:space="preserve"> </w:t>
            </w:r>
          </w:p>
          <w:p w14:paraId="54C715B2"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left="360" w:right="0"/>
              <w:rPr>
                <w:sz w:val="20"/>
                <w:szCs w:val="20"/>
              </w:rPr>
            </w:pPr>
            <w:r w:rsidRPr="00564B9D">
              <w:rPr>
                <w:rFonts w:hint="cs"/>
                <w:sz w:val="20"/>
                <w:szCs w:val="20"/>
                <w:rtl/>
              </w:rPr>
              <w:t>ذكور:</w:t>
            </w:r>
          </w:p>
          <w:p w14:paraId="74982B2C"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 xml:space="preserve">أمراض القلب </w:t>
            </w:r>
            <w:proofErr w:type="spellStart"/>
            <w:r w:rsidRPr="00564B9D">
              <w:rPr>
                <w:sz w:val="20"/>
                <w:szCs w:val="20"/>
                <w:rtl/>
              </w:rPr>
              <w:t>الإقفارية</w:t>
            </w:r>
            <w:proofErr w:type="spellEnd"/>
            <w:r w:rsidRPr="00564B9D">
              <w:rPr>
                <w:sz w:val="20"/>
                <w:szCs w:val="20"/>
                <w:rtl/>
              </w:rPr>
              <w:t>: 13,1</w:t>
            </w:r>
            <w:r w:rsidRPr="00564B9D">
              <w:rPr>
                <w:rFonts w:hint="cs"/>
                <w:sz w:val="20"/>
                <w:szCs w:val="20"/>
                <w:rtl/>
              </w:rPr>
              <w:t xml:space="preserve"> في المائة</w:t>
            </w:r>
          </w:p>
          <w:p w14:paraId="0CBD2B34"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مرض الخرف والزهايمر: 8,9</w:t>
            </w:r>
            <w:r w:rsidRPr="00564B9D">
              <w:rPr>
                <w:rFonts w:hint="cs"/>
                <w:sz w:val="20"/>
                <w:szCs w:val="20"/>
                <w:rtl/>
              </w:rPr>
              <w:t xml:space="preserve"> في المائة</w:t>
            </w:r>
          </w:p>
          <w:p w14:paraId="502F12E0"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ورم خبيث في القصبة الهوائية والشعب الهوائية والرئة: 6,0</w:t>
            </w:r>
            <w:r w:rsidRPr="00564B9D">
              <w:rPr>
                <w:rFonts w:hint="cs"/>
                <w:sz w:val="20"/>
                <w:szCs w:val="20"/>
                <w:rtl/>
              </w:rPr>
              <w:t xml:space="preserve"> في المائة</w:t>
            </w:r>
          </w:p>
          <w:p w14:paraId="38F402ED"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أمراض الجهاز التنفسي السفلي المزمنة: 5,8</w:t>
            </w:r>
            <w:r w:rsidRPr="00564B9D">
              <w:rPr>
                <w:rFonts w:hint="cs"/>
                <w:sz w:val="20"/>
                <w:szCs w:val="20"/>
                <w:rtl/>
              </w:rPr>
              <w:t xml:space="preserve"> في المائة</w:t>
            </w:r>
          </w:p>
          <w:p w14:paraId="042118FD"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أمراض الأوعية الدموية الدماغية: 4,9</w:t>
            </w:r>
            <w:r w:rsidRPr="00564B9D">
              <w:rPr>
                <w:rFonts w:hint="cs"/>
                <w:sz w:val="20"/>
                <w:szCs w:val="20"/>
                <w:rtl/>
              </w:rPr>
              <w:t xml:space="preserve"> في المائة</w:t>
            </w:r>
          </w:p>
          <w:p w14:paraId="04C8620D"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left="360" w:right="0"/>
              <w:rPr>
                <w:sz w:val="20"/>
                <w:szCs w:val="20"/>
              </w:rPr>
            </w:pPr>
            <w:r w:rsidRPr="00564B9D">
              <w:rPr>
                <w:rFonts w:hint="cs"/>
                <w:sz w:val="20"/>
                <w:szCs w:val="20"/>
                <w:rtl/>
              </w:rPr>
              <w:t>إناث:</w:t>
            </w:r>
          </w:p>
          <w:p w14:paraId="166652C9"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مرض الخرف والزهايمر: 16,1</w:t>
            </w:r>
            <w:r w:rsidRPr="00564B9D">
              <w:rPr>
                <w:rFonts w:hint="cs"/>
                <w:sz w:val="20"/>
                <w:szCs w:val="20"/>
                <w:rtl/>
              </w:rPr>
              <w:t xml:space="preserve"> في المائة</w:t>
            </w:r>
          </w:p>
          <w:p w14:paraId="22C630CE"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 xml:space="preserve">أمراض القلب </w:t>
            </w:r>
            <w:proofErr w:type="spellStart"/>
            <w:r w:rsidRPr="00564B9D">
              <w:rPr>
                <w:sz w:val="20"/>
                <w:szCs w:val="20"/>
                <w:rtl/>
              </w:rPr>
              <w:t>الإقفارية</w:t>
            </w:r>
            <w:proofErr w:type="spellEnd"/>
            <w:r w:rsidRPr="00564B9D">
              <w:rPr>
                <w:sz w:val="20"/>
                <w:szCs w:val="20"/>
                <w:rtl/>
              </w:rPr>
              <w:t>: 7,6</w:t>
            </w:r>
            <w:r w:rsidRPr="00564B9D">
              <w:rPr>
                <w:rFonts w:hint="cs"/>
                <w:sz w:val="20"/>
                <w:szCs w:val="20"/>
                <w:rtl/>
              </w:rPr>
              <w:t xml:space="preserve"> في المائة</w:t>
            </w:r>
          </w:p>
          <w:p w14:paraId="284B06F6"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lastRenderedPageBreak/>
              <w:t>أمراض الأوعية الدموية الدماغية: 6,3</w:t>
            </w:r>
            <w:r w:rsidRPr="00564B9D">
              <w:rPr>
                <w:rFonts w:hint="cs"/>
                <w:sz w:val="20"/>
                <w:szCs w:val="20"/>
                <w:rtl/>
              </w:rPr>
              <w:t xml:space="preserve"> في المائة</w:t>
            </w:r>
          </w:p>
          <w:p w14:paraId="6156C0B7"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أمراض الجهاز التنفسي السفلي المزمنة: 5,9</w:t>
            </w:r>
            <w:r w:rsidRPr="00564B9D">
              <w:rPr>
                <w:rFonts w:hint="cs"/>
                <w:sz w:val="20"/>
                <w:szCs w:val="20"/>
                <w:rtl/>
              </w:rPr>
              <w:t xml:space="preserve"> في المائة</w:t>
            </w:r>
          </w:p>
          <w:p w14:paraId="582C12E8"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الإنفلونزا والالتهاب الرئوي: 5,3</w:t>
            </w:r>
            <w:r w:rsidRPr="00564B9D">
              <w:rPr>
                <w:rFonts w:hint="cs"/>
                <w:sz w:val="20"/>
                <w:szCs w:val="20"/>
                <w:rtl/>
              </w:rPr>
              <w:t xml:space="preserve"> في المائة</w:t>
            </w:r>
          </w:p>
          <w:p w14:paraId="2DDE33B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57"/>
            </w:r>
            <w:r w:rsidRPr="00564B9D">
              <w:rPr>
                <w:sz w:val="20"/>
                <w:szCs w:val="20"/>
                <w:vertAlign w:val="superscript"/>
                <w:rtl/>
              </w:rPr>
              <w:t>)</w:t>
            </w:r>
            <w:r w:rsidRPr="00564B9D">
              <w:rPr>
                <w:rFonts w:hint="cs"/>
                <w:sz w:val="20"/>
                <w:szCs w:val="20"/>
                <w:rtl/>
              </w:rPr>
              <w:t>:</w:t>
            </w:r>
            <w:r w:rsidRPr="00564B9D">
              <w:rPr>
                <w:sz w:val="20"/>
                <w:szCs w:val="20"/>
                <w:rtl/>
              </w:rPr>
              <w:t xml:space="preserve"> </w:t>
            </w:r>
          </w:p>
          <w:p w14:paraId="40738AE3"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 xml:space="preserve">أمراض القلب </w:t>
            </w:r>
            <w:proofErr w:type="spellStart"/>
            <w:r w:rsidRPr="00564B9D">
              <w:rPr>
                <w:sz w:val="20"/>
                <w:szCs w:val="20"/>
                <w:rtl/>
              </w:rPr>
              <w:t>الإقفارية</w:t>
            </w:r>
            <w:proofErr w:type="spellEnd"/>
            <w:r w:rsidRPr="00564B9D">
              <w:rPr>
                <w:sz w:val="20"/>
                <w:szCs w:val="20"/>
                <w:rtl/>
              </w:rPr>
              <w:t xml:space="preserve">: </w:t>
            </w:r>
            <w:r w:rsidRPr="00564B9D">
              <w:rPr>
                <w:rFonts w:hint="cs"/>
                <w:sz w:val="20"/>
                <w:szCs w:val="20"/>
                <w:rtl/>
              </w:rPr>
              <w:t>11,3 في المائة</w:t>
            </w:r>
          </w:p>
          <w:p w14:paraId="2BA40D45"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الخرف ومرض الزهايمر: 11,1</w:t>
            </w:r>
            <w:r w:rsidRPr="00564B9D">
              <w:rPr>
                <w:rFonts w:hint="cs"/>
                <w:sz w:val="20"/>
                <w:szCs w:val="20"/>
                <w:rtl/>
              </w:rPr>
              <w:t xml:space="preserve"> في المائة</w:t>
            </w:r>
          </w:p>
          <w:p w14:paraId="4F9DCBA2"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سرطان الرئة: 6,8</w:t>
            </w:r>
            <w:r w:rsidRPr="00564B9D">
              <w:rPr>
                <w:rFonts w:hint="cs"/>
                <w:sz w:val="20"/>
                <w:szCs w:val="20"/>
                <w:rtl/>
              </w:rPr>
              <w:t xml:space="preserve"> في المائة</w:t>
            </w:r>
          </w:p>
          <w:p w14:paraId="7399EF33"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أمراض الأوعية الدموية الدماغية (بما في ذلك السكتة الدماغية): 6,5</w:t>
            </w:r>
            <w:r w:rsidRPr="00564B9D">
              <w:rPr>
                <w:rFonts w:hint="cs"/>
                <w:sz w:val="20"/>
                <w:szCs w:val="20"/>
                <w:rtl/>
              </w:rPr>
              <w:t xml:space="preserve"> في المائة</w:t>
            </w:r>
          </w:p>
          <w:p w14:paraId="737A6033"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أمراض الجهاز التنفسي السفلي المزمنة: 5,9</w:t>
            </w:r>
            <w:r w:rsidRPr="00564B9D">
              <w:rPr>
                <w:rFonts w:hint="cs"/>
                <w:sz w:val="20"/>
                <w:szCs w:val="20"/>
                <w:rtl/>
              </w:rPr>
              <w:t xml:space="preserve"> في المائة</w:t>
            </w:r>
          </w:p>
          <w:p w14:paraId="38C97B4A" w14:textId="671297C5"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rFonts w:hint="cs"/>
                <w:sz w:val="20"/>
                <w:szCs w:val="20"/>
                <w:rtl/>
              </w:rPr>
              <w:t>: لم تتوفر المعلومات بعد.</w:t>
            </w:r>
          </w:p>
        </w:tc>
      </w:tr>
      <w:tr w:rsidR="007B5A24" w:rsidRPr="00564B9D" w14:paraId="03CB134A" w14:textId="77777777" w:rsidTr="00804944">
        <w:trPr>
          <w:trHeight w:val="240"/>
        </w:trPr>
        <w:tc>
          <w:tcPr>
            <w:tcW w:w="3069" w:type="dxa"/>
            <w:shd w:val="clear" w:color="auto" w:fill="auto"/>
          </w:tcPr>
          <w:p w14:paraId="1AEB94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 الالتحاق الصافي في التعليم الابتدائي والثانوي</w:t>
            </w:r>
          </w:p>
        </w:tc>
        <w:tc>
          <w:tcPr>
            <w:tcW w:w="4709" w:type="dxa"/>
            <w:shd w:val="clear" w:color="auto" w:fill="auto"/>
          </w:tcPr>
          <w:p w14:paraId="5AA6DB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الابتدائي: 98 في المائة</w:t>
            </w:r>
          </w:p>
          <w:p w14:paraId="4E4338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الثانوي: 98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58"/>
            </w:r>
            <w:r w:rsidRPr="00564B9D">
              <w:rPr>
                <w:sz w:val="20"/>
                <w:szCs w:val="20"/>
                <w:vertAlign w:val="superscript"/>
                <w:rtl/>
              </w:rPr>
              <w:t>)</w:t>
            </w:r>
            <w:r w:rsidRPr="00564B9D">
              <w:rPr>
                <w:rFonts w:hint="cs"/>
                <w:sz w:val="20"/>
                <w:szCs w:val="20"/>
                <w:rtl/>
              </w:rPr>
              <w:t xml:space="preserve"> </w:t>
            </w:r>
          </w:p>
        </w:tc>
      </w:tr>
      <w:tr w:rsidR="007B5A24" w:rsidRPr="00564B9D" w14:paraId="4F550668" w14:textId="77777777" w:rsidTr="00804944">
        <w:trPr>
          <w:trHeight w:val="240"/>
        </w:trPr>
        <w:tc>
          <w:tcPr>
            <w:tcW w:w="3069" w:type="dxa"/>
            <w:shd w:val="clear" w:color="auto" w:fill="auto"/>
          </w:tcPr>
          <w:p w14:paraId="20AF9DF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4709" w:type="dxa"/>
            <w:shd w:val="clear" w:color="auto" w:fill="auto"/>
          </w:tcPr>
          <w:p w14:paraId="0C4B69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w:t>
            </w:r>
            <w:r w:rsidRPr="00564B9D">
              <w:rPr>
                <w:sz w:val="20"/>
                <w:szCs w:val="20"/>
                <w:vertAlign w:val="superscript"/>
                <w:rtl/>
              </w:rPr>
              <w:t>(</w:t>
            </w:r>
            <w:r w:rsidRPr="00564B9D">
              <w:rPr>
                <w:rStyle w:val="FootnoteReference"/>
                <w:rFonts w:cs="Simplified Arabic"/>
                <w:b w:val="0"/>
                <w:sz w:val="20"/>
                <w:szCs w:val="20"/>
                <w:rtl/>
                <w:lang w:val="en-US"/>
              </w:rPr>
              <w:footnoteReference w:id="59"/>
            </w:r>
            <w:r w:rsidRPr="00564B9D">
              <w:rPr>
                <w:sz w:val="20"/>
                <w:szCs w:val="20"/>
                <w:vertAlign w:val="superscript"/>
                <w:rtl/>
              </w:rPr>
              <w:t>)</w:t>
            </w:r>
            <w:r w:rsidRPr="00564B9D">
              <w:rPr>
                <w:rFonts w:hint="cs"/>
                <w:sz w:val="20"/>
                <w:szCs w:val="20"/>
                <w:rtl/>
              </w:rPr>
              <w:t>: 4,3 في المائة (ابتدائي)؛ 5,6 في المائة (ثانوي).</w:t>
            </w:r>
          </w:p>
          <w:p w14:paraId="441E98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ويلز</w:t>
            </w:r>
            <w:r w:rsidRPr="00564B9D">
              <w:rPr>
                <w:sz w:val="20"/>
                <w:szCs w:val="20"/>
                <w:vertAlign w:val="superscript"/>
                <w:rtl/>
              </w:rPr>
              <w:t>(</w:t>
            </w:r>
            <w:r w:rsidRPr="00564B9D">
              <w:rPr>
                <w:rStyle w:val="FootnoteReference"/>
                <w:rFonts w:cs="Simplified Arabic"/>
                <w:b w:val="0"/>
                <w:sz w:val="20"/>
                <w:szCs w:val="20"/>
                <w:rtl/>
                <w:lang w:val="en-US"/>
              </w:rPr>
              <w:footnoteReference w:id="60"/>
            </w:r>
            <w:r w:rsidRPr="00564B9D">
              <w:rPr>
                <w:sz w:val="20"/>
                <w:szCs w:val="20"/>
                <w:vertAlign w:val="superscript"/>
                <w:rtl/>
              </w:rPr>
              <w:t>)</w:t>
            </w:r>
            <w:r w:rsidRPr="00564B9D">
              <w:rPr>
                <w:rFonts w:hint="cs"/>
                <w:sz w:val="20"/>
                <w:szCs w:val="20"/>
                <w:rtl/>
              </w:rPr>
              <w:t>: 5,4 في المائة (ابتدائي)؛ 6,2 في المائة (ثانوي).</w:t>
            </w:r>
          </w:p>
          <w:p w14:paraId="64CA6D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61"/>
            </w:r>
            <w:r w:rsidRPr="00564B9D">
              <w:rPr>
                <w:sz w:val="20"/>
                <w:szCs w:val="20"/>
                <w:vertAlign w:val="superscript"/>
                <w:rtl/>
              </w:rPr>
              <w:t>)</w:t>
            </w:r>
            <w:r w:rsidRPr="00564B9D">
              <w:rPr>
                <w:rFonts w:hint="cs"/>
                <w:sz w:val="20"/>
                <w:szCs w:val="20"/>
                <w:rtl/>
              </w:rPr>
              <w:t>: 5,5 في المائة (ابتدائي)؛ 9,3 في المائة (ثانوي).</w:t>
            </w:r>
          </w:p>
          <w:p w14:paraId="44E63A3D" w14:textId="14805004"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62"/>
            </w:r>
            <w:r w:rsidR="00494AE4" w:rsidRPr="00564B9D">
              <w:rPr>
                <w:sz w:val="20"/>
                <w:szCs w:val="20"/>
                <w:vertAlign w:val="superscript"/>
                <w:rtl/>
              </w:rPr>
              <w:t>)</w:t>
            </w:r>
            <w:r w:rsidR="00494AE4" w:rsidRPr="00564B9D">
              <w:rPr>
                <w:rFonts w:hint="cs"/>
                <w:sz w:val="20"/>
                <w:szCs w:val="20"/>
                <w:rtl/>
              </w:rPr>
              <w:t>: 5,1 في المائة (ابتدائي)؛ 6,7 في المائة (ما بعد الابتدائي).</w:t>
            </w:r>
          </w:p>
        </w:tc>
      </w:tr>
      <w:tr w:rsidR="007B5A24" w:rsidRPr="00564B9D" w14:paraId="4DC18479" w14:textId="77777777" w:rsidTr="00804944">
        <w:trPr>
          <w:trHeight w:val="240"/>
        </w:trPr>
        <w:tc>
          <w:tcPr>
            <w:tcW w:w="3069" w:type="dxa"/>
            <w:shd w:val="clear" w:color="auto" w:fill="auto"/>
          </w:tcPr>
          <w:p w14:paraId="0BE3B23B" w14:textId="52EAAFAC"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r w:rsidRPr="00564B9D">
              <w:rPr>
                <w:sz w:val="20"/>
                <w:szCs w:val="20"/>
                <w:vertAlign w:val="superscript"/>
                <w:rtl/>
              </w:rPr>
              <w:t>(</w:t>
            </w:r>
            <w:r w:rsidRPr="00564B9D">
              <w:rPr>
                <w:rStyle w:val="FootnoteReference"/>
                <w:rFonts w:cs="Simplified Arabic"/>
                <w:b w:val="0"/>
                <w:sz w:val="20"/>
                <w:szCs w:val="20"/>
                <w:rtl/>
                <w:lang w:val="en-US"/>
              </w:rPr>
              <w:footnoteReference w:id="63"/>
            </w:r>
            <w:r w:rsidRPr="00564B9D">
              <w:rPr>
                <w:sz w:val="20"/>
                <w:szCs w:val="20"/>
                <w:vertAlign w:val="superscript"/>
                <w:rtl/>
              </w:rPr>
              <w:t>)</w:t>
            </w:r>
          </w:p>
        </w:tc>
        <w:tc>
          <w:tcPr>
            <w:tcW w:w="4709" w:type="dxa"/>
            <w:shd w:val="clear" w:color="auto" w:fill="auto"/>
          </w:tcPr>
          <w:p w14:paraId="39392A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18,2 في المائة</w:t>
            </w:r>
          </w:p>
          <w:p w14:paraId="612E71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ويلز: 19,3 في المائة</w:t>
            </w:r>
          </w:p>
          <w:p w14:paraId="4DCAAF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 13,6 في المائة</w:t>
            </w:r>
          </w:p>
          <w:p w14:paraId="73BA50FA" w14:textId="6CF37E6E"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64"/>
            </w:r>
            <w:r w:rsidR="00494AE4" w:rsidRPr="00564B9D">
              <w:rPr>
                <w:sz w:val="20"/>
                <w:szCs w:val="20"/>
                <w:vertAlign w:val="superscript"/>
                <w:rtl/>
              </w:rPr>
              <w:t>)</w:t>
            </w:r>
            <w:r w:rsidR="00494AE4" w:rsidRPr="00564B9D">
              <w:rPr>
                <w:rFonts w:hint="cs"/>
                <w:sz w:val="20"/>
                <w:szCs w:val="20"/>
                <w:rtl/>
              </w:rPr>
              <w:t>: 18,3 في المائة</w:t>
            </w:r>
          </w:p>
        </w:tc>
      </w:tr>
      <w:tr w:rsidR="007B5A24" w:rsidRPr="00564B9D" w14:paraId="1C8751B7" w14:textId="77777777" w:rsidTr="00804944">
        <w:trPr>
          <w:trHeight w:val="240"/>
        </w:trPr>
        <w:tc>
          <w:tcPr>
            <w:tcW w:w="3069" w:type="dxa"/>
            <w:shd w:val="clear" w:color="auto" w:fill="auto"/>
          </w:tcPr>
          <w:p w14:paraId="1404075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4709" w:type="dxa"/>
            <w:shd w:val="clear" w:color="auto" w:fill="auto"/>
          </w:tcPr>
          <w:p w14:paraId="7999CE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99,0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65"/>
            </w:r>
            <w:r w:rsidRPr="00564B9D">
              <w:rPr>
                <w:sz w:val="20"/>
                <w:szCs w:val="20"/>
                <w:vertAlign w:val="superscript"/>
                <w:rtl/>
              </w:rPr>
              <w:t>)</w:t>
            </w:r>
            <w:r w:rsidRPr="00564B9D">
              <w:rPr>
                <w:rFonts w:hint="cs"/>
                <w:sz w:val="20"/>
                <w:szCs w:val="20"/>
                <w:rtl/>
              </w:rPr>
              <w:t xml:space="preserve"> </w:t>
            </w:r>
          </w:p>
        </w:tc>
      </w:tr>
      <w:tr w:rsidR="007B5A24" w:rsidRPr="00564B9D" w14:paraId="5F1DBE5D" w14:textId="77777777" w:rsidTr="00804944">
        <w:trPr>
          <w:trHeight w:val="240"/>
        </w:trPr>
        <w:tc>
          <w:tcPr>
            <w:tcW w:w="3069" w:type="dxa"/>
            <w:shd w:val="clear" w:color="auto" w:fill="auto"/>
          </w:tcPr>
          <w:p w14:paraId="0E56AA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 البطالة</w:t>
            </w:r>
            <w:r w:rsidRPr="00564B9D">
              <w:rPr>
                <w:sz w:val="20"/>
                <w:szCs w:val="20"/>
                <w:vertAlign w:val="superscript"/>
                <w:rtl/>
              </w:rPr>
              <w:t>(</w:t>
            </w:r>
            <w:r w:rsidRPr="00564B9D">
              <w:rPr>
                <w:rStyle w:val="FootnoteReference"/>
                <w:rFonts w:cs="Simplified Arabic"/>
                <w:b w:val="0"/>
                <w:sz w:val="20"/>
                <w:szCs w:val="20"/>
                <w:rtl/>
                <w:lang w:val="en-US"/>
              </w:rPr>
              <w:footnoteReference w:id="66"/>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2DD131FB" w14:textId="72A2C5FF" w:rsidR="00494AE4" w:rsidRPr="00564B9D" w:rsidRDefault="00D86AA0"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تشرين الثاني/نوفمبر </w:t>
            </w:r>
            <w:r w:rsidRPr="00564B9D">
              <w:rPr>
                <w:sz w:val="20"/>
                <w:szCs w:val="20"/>
                <w:rtl/>
              </w:rPr>
              <w:t>–</w:t>
            </w:r>
            <w:r w:rsidRPr="00564B9D">
              <w:rPr>
                <w:rFonts w:hint="cs"/>
                <w:sz w:val="20"/>
                <w:szCs w:val="20"/>
                <w:rtl/>
              </w:rPr>
              <w:t xml:space="preserve"> كانون الثاني/يناير </w:t>
            </w:r>
            <w:r w:rsidR="00494AE4" w:rsidRPr="00564B9D">
              <w:rPr>
                <w:rFonts w:hint="cs"/>
                <w:sz w:val="20"/>
                <w:szCs w:val="20"/>
                <w:rtl/>
              </w:rPr>
              <w:t>2021:</w:t>
            </w:r>
          </w:p>
          <w:p w14:paraId="4D773F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العمر 16-64: 5,1 في المائة</w:t>
            </w:r>
          </w:p>
          <w:p w14:paraId="72C733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65+: 2,4 في المائة</w:t>
            </w:r>
          </w:p>
        </w:tc>
      </w:tr>
      <w:tr w:rsidR="007B5A24" w:rsidRPr="00564B9D" w14:paraId="77215374" w14:textId="77777777" w:rsidTr="00804944">
        <w:trPr>
          <w:trHeight w:val="240"/>
        </w:trPr>
        <w:tc>
          <w:tcPr>
            <w:tcW w:w="3069" w:type="dxa"/>
            <w:shd w:val="clear" w:color="auto" w:fill="auto"/>
          </w:tcPr>
          <w:p w14:paraId="131CD3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r w:rsidRPr="00564B9D">
              <w:rPr>
                <w:sz w:val="20"/>
                <w:szCs w:val="20"/>
                <w:vertAlign w:val="superscript"/>
                <w:rtl/>
              </w:rPr>
              <w:t>(</w:t>
            </w:r>
            <w:r w:rsidRPr="00564B9D">
              <w:rPr>
                <w:rStyle w:val="FootnoteReference"/>
                <w:rFonts w:cs="Simplified Arabic"/>
                <w:b w:val="0"/>
                <w:sz w:val="20"/>
                <w:szCs w:val="20"/>
                <w:rtl/>
                <w:lang w:val="en-US"/>
              </w:rPr>
              <w:footnoteReference w:id="67"/>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53DFF8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القطاع العام: 16,3 في المائة</w:t>
            </w:r>
          </w:p>
          <w:p w14:paraId="52508C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القطاع الخاص: 83,7 في المائة</w:t>
            </w:r>
          </w:p>
        </w:tc>
      </w:tr>
      <w:tr w:rsidR="007B5A24" w:rsidRPr="00564B9D" w14:paraId="645C3627" w14:textId="77777777" w:rsidTr="00804944">
        <w:trPr>
          <w:trHeight w:val="240"/>
        </w:trPr>
        <w:tc>
          <w:tcPr>
            <w:tcW w:w="3069" w:type="dxa"/>
            <w:shd w:val="clear" w:color="auto" w:fill="auto"/>
          </w:tcPr>
          <w:p w14:paraId="548B92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المشاركة في العمل</w:t>
            </w:r>
            <w:r w:rsidRPr="00564B9D">
              <w:rPr>
                <w:sz w:val="20"/>
                <w:szCs w:val="20"/>
                <w:vertAlign w:val="superscript"/>
                <w:rtl/>
              </w:rPr>
              <w:t>(</w:t>
            </w:r>
            <w:r w:rsidRPr="00564B9D">
              <w:rPr>
                <w:rStyle w:val="FootnoteReference"/>
                <w:rFonts w:cs="Simplified Arabic"/>
                <w:b w:val="0"/>
                <w:sz w:val="20"/>
                <w:szCs w:val="20"/>
                <w:rtl/>
                <w:lang w:val="en-US"/>
              </w:rPr>
              <w:footnoteReference w:id="68"/>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096E37B8" w14:textId="3A9FA7C1"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تشرين الثاني/نوفمبر 202- - كانون الثاني/يناير 2021: </w:t>
            </w:r>
            <w:r w:rsidR="00D86AA0" w:rsidRPr="00564B9D">
              <w:rPr>
                <w:rFonts w:hint="cs"/>
                <w:sz w:val="20"/>
                <w:szCs w:val="20"/>
                <w:rtl/>
              </w:rPr>
              <w:t>75</w:t>
            </w:r>
            <w:r w:rsidRPr="00564B9D">
              <w:rPr>
                <w:rFonts w:hint="cs"/>
                <w:sz w:val="20"/>
                <w:szCs w:val="20"/>
                <w:rtl/>
              </w:rPr>
              <w:t>,</w:t>
            </w:r>
            <w:r w:rsidR="00D86AA0" w:rsidRPr="00564B9D">
              <w:rPr>
                <w:rFonts w:hint="cs"/>
                <w:sz w:val="20"/>
                <w:szCs w:val="20"/>
                <w:rtl/>
              </w:rPr>
              <w:t xml:space="preserve">0 </w:t>
            </w:r>
            <w:r w:rsidRPr="00564B9D">
              <w:rPr>
                <w:rFonts w:hint="cs"/>
                <w:sz w:val="20"/>
                <w:szCs w:val="20"/>
                <w:rtl/>
              </w:rPr>
              <w:t>في المائة</w:t>
            </w:r>
          </w:p>
        </w:tc>
      </w:tr>
      <w:tr w:rsidR="007B5A24" w:rsidRPr="00564B9D" w14:paraId="222DE3FE" w14:textId="77777777" w:rsidTr="00804944">
        <w:trPr>
          <w:trHeight w:val="240"/>
        </w:trPr>
        <w:tc>
          <w:tcPr>
            <w:tcW w:w="3069" w:type="dxa"/>
            <w:shd w:val="clear" w:color="auto" w:fill="auto"/>
          </w:tcPr>
          <w:p w14:paraId="40966B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r w:rsidRPr="00564B9D">
              <w:rPr>
                <w:sz w:val="20"/>
                <w:szCs w:val="20"/>
                <w:vertAlign w:val="superscript"/>
                <w:rtl/>
              </w:rPr>
              <w:t>(</w:t>
            </w:r>
            <w:r w:rsidRPr="00564B9D">
              <w:rPr>
                <w:rStyle w:val="FootnoteReference"/>
                <w:rFonts w:cs="Simplified Arabic"/>
                <w:b w:val="0"/>
                <w:sz w:val="20"/>
                <w:szCs w:val="20"/>
                <w:rtl/>
                <w:lang w:val="en-US"/>
              </w:rPr>
              <w:footnoteReference w:id="69"/>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65AFBE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2019: 21,0 في المائة </w:t>
            </w:r>
          </w:p>
        </w:tc>
      </w:tr>
      <w:tr w:rsidR="007B5A24" w:rsidRPr="00564B9D" w14:paraId="126E323E" w14:textId="77777777" w:rsidTr="00804944">
        <w:trPr>
          <w:trHeight w:val="240"/>
        </w:trPr>
        <w:tc>
          <w:tcPr>
            <w:tcW w:w="3069" w:type="dxa"/>
            <w:shd w:val="clear" w:color="auto" w:fill="auto"/>
          </w:tcPr>
          <w:p w14:paraId="559046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نصيب الفرد من الدخل</w:t>
            </w:r>
            <w:r w:rsidRPr="00564B9D">
              <w:rPr>
                <w:sz w:val="20"/>
                <w:szCs w:val="20"/>
                <w:vertAlign w:val="superscript"/>
                <w:rtl/>
              </w:rPr>
              <w:t>(</w:t>
            </w:r>
            <w:r w:rsidRPr="00564B9D">
              <w:rPr>
                <w:rStyle w:val="FootnoteReference"/>
                <w:rFonts w:cs="Simplified Arabic"/>
                <w:b w:val="0"/>
                <w:sz w:val="20"/>
                <w:szCs w:val="20"/>
                <w:rtl/>
                <w:lang w:val="en-US"/>
              </w:rPr>
              <w:footnoteReference w:id="70"/>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1AF3B4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2020: 124</w:t>
            </w:r>
            <w:r w:rsidRPr="00564B9D">
              <w:rPr>
                <w:sz w:val="20"/>
                <w:szCs w:val="20"/>
                <w:rtl/>
              </w:rPr>
              <w:t> </w:t>
            </w:r>
            <w:r w:rsidRPr="00564B9D">
              <w:rPr>
                <w:rFonts w:hint="cs"/>
                <w:sz w:val="20"/>
                <w:szCs w:val="20"/>
                <w:rtl/>
              </w:rPr>
              <w:t>29 جنيه استرليني</w:t>
            </w:r>
          </w:p>
        </w:tc>
      </w:tr>
      <w:tr w:rsidR="007B5A24" w:rsidRPr="00564B9D" w14:paraId="250AE6E1" w14:textId="77777777" w:rsidTr="00804944">
        <w:trPr>
          <w:trHeight w:val="240"/>
        </w:trPr>
        <w:tc>
          <w:tcPr>
            <w:tcW w:w="3069" w:type="dxa"/>
            <w:shd w:val="clear" w:color="auto" w:fill="auto"/>
          </w:tcPr>
          <w:p w14:paraId="288A3197" w14:textId="19F36065"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w:t>
            </w:r>
            <w:r w:rsidR="00D86AA0" w:rsidRPr="00564B9D">
              <w:rPr>
                <w:rFonts w:hint="cs"/>
                <w:sz w:val="20"/>
                <w:szCs w:val="20"/>
                <w:rtl/>
              </w:rPr>
              <w:t>بالملايين</w:t>
            </w:r>
            <w:r w:rsidRPr="00564B9D">
              <w:rPr>
                <w:sz w:val="20"/>
                <w:szCs w:val="20"/>
                <w:vertAlign w:val="superscript"/>
                <w:rtl/>
              </w:rPr>
              <w:t>(</w:t>
            </w:r>
            <w:r w:rsidRPr="00564B9D">
              <w:rPr>
                <w:rStyle w:val="FootnoteReference"/>
                <w:rFonts w:cs="Simplified Arabic"/>
                <w:b w:val="0"/>
                <w:sz w:val="20"/>
                <w:szCs w:val="20"/>
                <w:rtl/>
                <w:lang w:val="en-US"/>
              </w:rPr>
              <w:footnoteReference w:id="71"/>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589D491E" w14:textId="42051096"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2019:</w:t>
            </w:r>
            <w:r w:rsidR="00D86AA0" w:rsidRPr="00564B9D">
              <w:rPr>
                <w:rFonts w:hint="cs"/>
                <w:sz w:val="20"/>
                <w:szCs w:val="20"/>
                <w:rtl/>
              </w:rPr>
              <w:t xml:space="preserve"> 511</w:t>
            </w:r>
            <w:r w:rsidRPr="00564B9D">
              <w:rPr>
                <w:rFonts w:hint="cs"/>
                <w:sz w:val="20"/>
                <w:szCs w:val="20"/>
                <w:rtl/>
              </w:rPr>
              <w:t xml:space="preserve"> 172</w:t>
            </w:r>
            <w:r w:rsidRPr="00564B9D">
              <w:rPr>
                <w:sz w:val="20"/>
                <w:szCs w:val="20"/>
                <w:rtl/>
              </w:rPr>
              <w:t> </w:t>
            </w:r>
            <w:r w:rsidRPr="00564B9D">
              <w:rPr>
                <w:rFonts w:hint="cs"/>
                <w:sz w:val="20"/>
                <w:szCs w:val="20"/>
                <w:rtl/>
              </w:rPr>
              <w:t>2 جنيه استرليني</w:t>
            </w:r>
          </w:p>
        </w:tc>
      </w:tr>
      <w:tr w:rsidR="007B5A24" w:rsidRPr="00564B9D" w14:paraId="3DC47108" w14:textId="77777777" w:rsidTr="00804944">
        <w:trPr>
          <w:trHeight w:val="240"/>
        </w:trPr>
        <w:tc>
          <w:tcPr>
            <w:tcW w:w="3069" w:type="dxa"/>
            <w:shd w:val="clear" w:color="auto" w:fill="auto"/>
          </w:tcPr>
          <w:p w14:paraId="2E481D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r w:rsidRPr="00564B9D">
              <w:rPr>
                <w:sz w:val="20"/>
                <w:szCs w:val="20"/>
                <w:vertAlign w:val="superscript"/>
                <w:rtl/>
              </w:rPr>
              <w:t>(</w:t>
            </w:r>
            <w:r w:rsidRPr="00564B9D">
              <w:rPr>
                <w:rStyle w:val="FootnoteReference"/>
                <w:rFonts w:cs="Simplified Arabic"/>
                <w:b w:val="0"/>
                <w:sz w:val="20"/>
                <w:szCs w:val="20"/>
                <w:rtl/>
                <w:lang w:val="en-US"/>
              </w:rPr>
              <w:footnoteReference w:id="72"/>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1FA2A5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2019: 1,4 </w:t>
            </w:r>
          </w:p>
        </w:tc>
      </w:tr>
      <w:tr w:rsidR="007B5A24" w:rsidRPr="00564B9D" w14:paraId="1520D28D" w14:textId="77777777" w:rsidTr="00804944">
        <w:trPr>
          <w:trHeight w:val="240"/>
        </w:trPr>
        <w:tc>
          <w:tcPr>
            <w:tcW w:w="3069" w:type="dxa"/>
            <w:shd w:val="clear" w:color="auto" w:fill="auto"/>
          </w:tcPr>
          <w:p w14:paraId="343104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 بالملايين</w:t>
            </w:r>
            <w:r w:rsidRPr="00564B9D">
              <w:rPr>
                <w:sz w:val="20"/>
                <w:szCs w:val="20"/>
                <w:vertAlign w:val="superscript"/>
                <w:rtl/>
              </w:rPr>
              <w:t>(</w:t>
            </w:r>
            <w:r w:rsidRPr="00564B9D">
              <w:rPr>
                <w:rStyle w:val="FootnoteReference"/>
                <w:rFonts w:cs="Simplified Arabic"/>
                <w:b w:val="0"/>
                <w:sz w:val="20"/>
                <w:szCs w:val="20"/>
                <w:rtl/>
                <w:lang w:val="en-US"/>
              </w:rPr>
              <w:footnoteReference w:id="73"/>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5773EB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2019: 701</w:t>
            </w:r>
            <w:r w:rsidRPr="00564B9D">
              <w:rPr>
                <w:sz w:val="20"/>
                <w:szCs w:val="20"/>
                <w:rtl/>
              </w:rPr>
              <w:t> </w:t>
            </w:r>
            <w:r w:rsidRPr="00564B9D">
              <w:rPr>
                <w:rFonts w:hint="cs"/>
                <w:sz w:val="20"/>
                <w:szCs w:val="20"/>
                <w:rtl/>
              </w:rPr>
              <w:t>203 2 جنيه استرليني</w:t>
            </w:r>
          </w:p>
        </w:tc>
      </w:tr>
      <w:tr w:rsidR="007B5A24" w:rsidRPr="00564B9D" w14:paraId="38B343F6" w14:textId="77777777" w:rsidTr="00804944">
        <w:trPr>
          <w:trHeight w:val="240"/>
        </w:trPr>
        <w:tc>
          <w:tcPr>
            <w:tcW w:w="3069" w:type="dxa"/>
            <w:shd w:val="clear" w:color="auto" w:fill="auto"/>
          </w:tcPr>
          <w:p w14:paraId="273A19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مؤشر أسعار الاستهلاك</w:t>
            </w:r>
            <w:r w:rsidRPr="00564B9D">
              <w:rPr>
                <w:sz w:val="20"/>
                <w:szCs w:val="20"/>
                <w:vertAlign w:val="superscript"/>
                <w:rtl/>
              </w:rPr>
              <w:t>(</w:t>
            </w:r>
            <w:r w:rsidRPr="00564B9D">
              <w:rPr>
                <w:rStyle w:val="FootnoteReference"/>
                <w:rFonts w:cs="Simplified Arabic"/>
                <w:b w:val="0"/>
                <w:sz w:val="20"/>
                <w:szCs w:val="20"/>
                <w:rtl/>
                <w:lang w:val="en-US"/>
              </w:rPr>
              <w:footnoteReference w:id="74"/>
            </w:r>
            <w:r w:rsidRPr="00564B9D">
              <w:rPr>
                <w:sz w:val="20"/>
                <w:szCs w:val="20"/>
                <w:vertAlign w:val="superscript"/>
                <w:rtl/>
              </w:rPr>
              <w:t>)</w:t>
            </w:r>
            <w:r w:rsidRPr="00564B9D">
              <w:rPr>
                <w:rFonts w:hint="cs"/>
                <w:sz w:val="20"/>
                <w:szCs w:val="20"/>
                <w:rtl/>
              </w:rPr>
              <w:t xml:space="preserve"> (المتوسط لفترة 12 شهراً في كانون الثاني/يناير)</w:t>
            </w:r>
          </w:p>
        </w:tc>
        <w:tc>
          <w:tcPr>
            <w:tcW w:w="4709" w:type="dxa"/>
            <w:shd w:val="clear" w:color="auto" w:fill="auto"/>
          </w:tcPr>
          <w:p w14:paraId="7AF2339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2021: 0,7 في المائة</w:t>
            </w:r>
          </w:p>
        </w:tc>
      </w:tr>
      <w:tr w:rsidR="007B5A24" w:rsidRPr="00564B9D" w14:paraId="4A745365" w14:textId="77777777" w:rsidTr="00804944">
        <w:trPr>
          <w:trHeight w:val="240"/>
        </w:trPr>
        <w:tc>
          <w:tcPr>
            <w:tcW w:w="3069" w:type="dxa"/>
            <w:shd w:val="clear" w:color="auto" w:fill="auto"/>
          </w:tcPr>
          <w:p w14:paraId="50430F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مجموع النفقات والناتج المحلي الإجمالي</w:t>
            </w:r>
            <w:r w:rsidRPr="00564B9D">
              <w:rPr>
                <w:sz w:val="20"/>
                <w:szCs w:val="20"/>
                <w:vertAlign w:val="superscript"/>
                <w:rtl/>
              </w:rPr>
              <w:t>(</w:t>
            </w:r>
            <w:r w:rsidRPr="00564B9D">
              <w:rPr>
                <w:rStyle w:val="FootnoteReference"/>
                <w:rFonts w:cs="Simplified Arabic"/>
                <w:b w:val="0"/>
                <w:sz w:val="20"/>
                <w:szCs w:val="20"/>
                <w:rtl/>
                <w:lang w:val="en-US"/>
              </w:rPr>
              <w:footnoteReference w:id="75"/>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37A757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التقديرات للفترة 2014-2015 (بما في ذلك: الإسكان/البيئة، التعليم، الضمان الاجتماعي، الخدمات الاجتماعية الشخصية، الصناعة/الزراعة/العمالة، الصحة):</w:t>
            </w:r>
          </w:p>
          <w:p w14:paraId="29CFCC2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75,9 في المائة من مجموع النفقات.</w:t>
            </w:r>
          </w:p>
          <w:p w14:paraId="23D8AD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36 في المائة من الناتج المحلي الإجمالي في عام 2012.</w:t>
            </w:r>
          </w:p>
        </w:tc>
      </w:tr>
      <w:tr w:rsidR="007B5A24" w:rsidRPr="00564B9D" w14:paraId="7BFE1133" w14:textId="77777777" w:rsidTr="00804944">
        <w:trPr>
          <w:trHeight w:val="240"/>
        </w:trPr>
        <w:tc>
          <w:tcPr>
            <w:tcW w:w="3069" w:type="dxa"/>
            <w:shd w:val="clear" w:color="auto" w:fill="auto"/>
          </w:tcPr>
          <w:p w14:paraId="6BB02AF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r w:rsidRPr="00564B9D">
              <w:rPr>
                <w:sz w:val="20"/>
                <w:szCs w:val="20"/>
                <w:vertAlign w:val="superscript"/>
                <w:rtl/>
              </w:rPr>
              <w:t>(</w:t>
            </w:r>
            <w:r w:rsidRPr="00564B9D">
              <w:rPr>
                <w:rStyle w:val="FootnoteReference"/>
                <w:rFonts w:cs="Simplified Arabic"/>
                <w:b w:val="0"/>
                <w:sz w:val="20"/>
                <w:szCs w:val="20"/>
                <w:rtl/>
                <w:lang w:val="en-US"/>
              </w:rPr>
              <w:footnoteReference w:id="76"/>
            </w:r>
            <w:r w:rsidRPr="00564B9D">
              <w:rPr>
                <w:sz w:val="20"/>
                <w:szCs w:val="20"/>
                <w:vertAlign w:val="superscript"/>
                <w:rtl/>
              </w:rPr>
              <w:t>)</w:t>
            </w:r>
            <w:r w:rsidRPr="00564B9D">
              <w:rPr>
                <w:rFonts w:hint="cs"/>
                <w:sz w:val="20"/>
                <w:szCs w:val="20"/>
                <w:rtl/>
              </w:rPr>
              <w:t xml:space="preserve"> </w:t>
            </w:r>
          </w:p>
        </w:tc>
        <w:tc>
          <w:tcPr>
            <w:tcW w:w="4709" w:type="dxa"/>
            <w:shd w:val="clear" w:color="auto" w:fill="auto"/>
          </w:tcPr>
          <w:p w14:paraId="606C7D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إجمالي الديون الكلية الحكومية العامة (القيمة الاسمية):</w:t>
            </w:r>
          </w:p>
          <w:p w14:paraId="3D0ECD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في الفترة 2019/2020: 84,6 في المائة من الناتج المحلي الإجمالي. </w:t>
            </w:r>
          </w:p>
        </w:tc>
      </w:tr>
      <w:tr w:rsidR="007B5A24" w:rsidRPr="00564B9D" w14:paraId="65A4AEDE" w14:textId="77777777" w:rsidTr="00804944">
        <w:trPr>
          <w:trHeight w:val="240"/>
        </w:trPr>
        <w:tc>
          <w:tcPr>
            <w:tcW w:w="3069" w:type="dxa"/>
            <w:tcBorders>
              <w:bottom w:val="single" w:sz="12" w:space="0" w:color="auto"/>
            </w:tcBorders>
            <w:shd w:val="clear" w:color="auto" w:fill="auto"/>
          </w:tcPr>
          <w:p w14:paraId="5CE6BC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4709" w:type="dxa"/>
            <w:tcBorders>
              <w:bottom w:val="single" w:sz="12" w:space="0" w:color="auto"/>
            </w:tcBorders>
            <w:shd w:val="clear" w:color="auto" w:fill="auto"/>
          </w:tcPr>
          <w:p w14:paraId="1ACCE9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المساعدة الإنمائية الرسمية في عام 2019 (صافية): 197</w:t>
            </w:r>
            <w:r w:rsidRPr="00564B9D">
              <w:rPr>
                <w:spacing w:val="-2"/>
                <w:sz w:val="20"/>
                <w:szCs w:val="20"/>
                <w:rtl/>
              </w:rPr>
              <w:t> </w:t>
            </w:r>
            <w:r w:rsidRPr="00564B9D">
              <w:rPr>
                <w:rFonts w:hint="cs"/>
                <w:spacing w:val="-2"/>
                <w:sz w:val="20"/>
                <w:szCs w:val="20"/>
                <w:rtl/>
              </w:rPr>
              <w:t>15 مليون جنيه استرليني</w:t>
            </w:r>
          </w:p>
          <w:p w14:paraId="423707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 xml:space="preserve">نسبة المساعدة الإنمائية الرسمية إلى الدخل القومي الإجمالي لعام 2019: 0,70. </w:t>
            </w:r>
          </w:p>
          <w:p w14:paraId="54169BB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Pr>
            </w:pPr>
            <w:r w:rsidRPr="00564B9D">
              <w:rPr>
                <w:rFonts w:hint="cs"/>
                <w:spacing w:val="-2"/>
                <w:sz w:val="20"/>
                <w:szCs w:val="20"/>
                <w:rtl/>
              </w:rPr>
              <w:lastRenderedPageBreak/>
              <w:t>توزيع المساعدة الإنمائية الرسمية الثنائية للمملكة المتحدة بحسب المنطقة (في عام 2019):</w:t>
            </w:r>
          </w:p>
          <w:p w14:paraId="0261CB4D"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أفريقيا: 989</w:t>
            </w:r>
            <w:r w:rsidRPr="00564B9D">
              <w:rPr>
                <w:spacing w:val="-2"/>
                <w:sz w:val="20"/>
                <w:szCs w:val="20"/>
                <w:rtl/>
              </w:rPr>
              <w:t> </w:t>
            </w:r>
            <w:r w:rsidRPr="00564B9D">
              <w:rPr>
                <w:rFonts w:hint="cs"/>
                <w:spacing w:val="-2"/>
                <w:sz w:val="20"/>
                <w:szCs w:val="20"/>
                <w:rtl/>
              </w:rPr>
              <w:t>2 مليون جنيه استرليني (29 في المائة من المساعدة الإنمائية الرسمية الثنائية للمملكة المتحدة)؛</w:t>
            </w:r>
          </w:p>
          <w:p w14:paraId="7CC10570"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البرنامج الدولي/السياسات: 350</w:t>
            </w:r>
            <w:r w:rsidRPr="00564B9D">
              <w:rPr>
                <w:spacing w:val="-2"/>
                <w:sz w:val="20"/>
                <w:szCs w:val="20"/>
                <w:rtl/>
              </w:rPr>
              <w:t> </w:t>
            </w:r>
            <w:r w:rsidRPr="00564B9D">
              <w:rPr>
                <w:rFonts w:hint="cs"/>
                <w:spacing w:val="-2"/>
                <w:sz w:val="20"/>
                <w:szCs w:val="20"/>
                <w:rtl/>
              </w:rPr>
              <w:t>4 مليون جنيه استرليني (42 في المائة من المساعدة الإنمائية الرسمية الثنائية للمملكة المتحدة)؛</w:t>
            </w:r>
          </w:p>
          <w:p w14:paraId="13FA89EF"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آسيا: 470</w:t>
            </w:r>
            <w:r w:rsidRPr="00564B9D">
              <w:rPr>
                <w:spacing w:val="-2"/>
                <w:sz w:val="20"/>
                <w:szCs w:val="20"/>
                <w:rtl/>
              </w:rPr>
              <w:t> </w:t>
            </w:r>
            <w:r w:rsidRPr="00564B9D">
              <w:rPr>
                <w:rFonts w:hint="cs"/>
                <w:spacing w:val="-2"/>
                <w:sz w:val="20"/>
                <w:szCs w:val="20"/>
                <w:rtl/>
              </w:rPr>
              <w:t>2 مليون جنيه استرليني (24 في المائة من المساعدة الإنمائية الرسمية الثنائية للمملكة المتحدة)؛</w:t>
            </w:r>
          </w:p>
          <w:p w14:paraId="0D8A6421"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pacing w:val="-2"/>
                <w:sz w:val="20"/>
                <w:szCs w:val="20"/>
              </w:rPr>
            </w:pPr>
            <w:r w:rsidRPr="00564B9D">
              <w:rPr>
                <w:rFonts w:hint="cs"/>
                <w:spacing w:val="-2"/>
                <w:sz w:val="20"/>
                <w:szCs w:val="20"/>
                <w:rtl/>
              </w:rPr>
              <w:t>القارة الأمريكية: 244 مليون جنيه استرليني (2 في المائة من المساعدة الإنمائية الرسمية الثنائية للمملكة المتحدة)؛</w:t>
            </w:r>
          </w:p>
          <w:p w14:paraId="112FF259"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أوروبا: 189 مليون جنيه استرليني (21 في المائة من المساعدة الإنمائية الرسمية الثنائية للمملكة المتحدة)؛</w:t>
            </w:r>
          </w:p>
          <w:p w14:paraId="7771082F"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منطقة المحيط الهادئ: 16 ملايين جنيه استرليني (صفر في المائة من المساعدة الإنمائية الرسمية الثنائية للمملكة المتحدة)؛</w:t>
            </w:r>
          </w:p>
          <w:p w14:paraId="4653FA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توزيع المساعدة الإنمائية الرسمية الثنائية للمملكة المتحدة بحسب القطاع (في عام 2019):</w:t>
            </w:r>
          </w:p>
          <w:p w14:paraId="1EC54FD0"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الصحة: 431</w:t>
            </w:r>
            <w:r w:rsidRPr="00564B9D">
              <w:rPr>
                <w:spacing w:val="-2"/>
                <w:sz w:val="20"/>
                <w:szCs w:val="20"/>
                <w:rtl/>
              </w:rPr>
              <w:t> </w:t>
            </w:r>
            <w:r w:rsidRPr="00564B9D">
              <w:rPr>
                <w:rFonts w:hint="cs"/>
                <w:spacing w:val="-2"/>
                <w:sz w:val="20"/>
                <w:szCs w:val="20"/>
                <w:rtl/>
              </w:rPr>
              <w:t>1 مليون جنيه استرليني (14 في المائة من المساعدة الإنمائية الرسمية الثنائية للمملكة المتحدة)؛</w:t>
            </w:r>
          </w:p>
          <w:p w14:paraId="1293AD8A"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الحكومة والمجتمع المدني (عام): 313</w:t>
            </w:r>
            <w:r w:rsidRPr="00564B9D">
              <w:rPr>
                <w:spacing w:val="-2"/>
                <w:sz w:val="20"/>
                <w:szCs w:val="20"/>
                <w:rtl/>
              </w:rPr>
              <w:t> </w:t>
            </w:r>
            <w:r w:rsidRPr="00564B9D">
              <w:rPr>
                <w:rFonts w:hint="cs"/>
                <w:spacing w:val="-2"/>
                <w:sz w:val="20"/>
                <w:szCs w:val="20"/>
                <w:rtl/>
              </w:rPr>
              <w:t>1 مليون جنيه استرليني (13 في المائة من المساعدة الإنمائية الرسمية الثنائية للمملكة المتحدة)؛</w:t>
            </w:r>
          </w:p>
          <w:p w14:paraId="46754BD8" w14:textId="479EF69E"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 xml:space="preserve">متعددة القطاعات/شاملة: </w:t>
            </w:r>
            <w:r w:rsidR="00D86AA0" w:rsidRPr="00564B9D">
              <w:rPr>
                <w:rFonts w:hint="cs"/>
                <w:spacing w:val="-2"/>
                <w:sz w:val="20"/>
                <w:szCs w:val="20"/>
                <w:rtl/>
              </w:rPr>
              <w:t xml:space="preserve">325 1 </w:t>
            </w:r>
            <w:r w:rsidRPr="00564B9D">
              <w:rPr>
                <w:rFonts w:hint="cs"/>
                <w:spacing w:val="-2"/>
                <w:sz w:val="20"/>
                <w:szCs w:val="20"/>
                <w:rtl/>
              </w:rPr>
              <w:t>مليون جنيه استرليني (</w:t>
            </w:r>
            <w:r w:rsidR="00D86AA0" w:rsidRPr="00564B9D">
              <w:rPr>
                <w:rFonts w:hint="cs"/>
                <w:spacing w:val="-2"/>
                <w:sz w:val="20"/>
                <w:szCs w:val="20"/>
                <w:rtl/>
              </w:rPr>
              <w:t xml:space="preserve">13 </w:t>
            </w:r>
            <w:r w:rsidRPr="00564B9D">
              <w:rPr>
                <w:rFonts w:hint="cs"/>
                <w:spacing w:val="-2"/>
                <w:sz w:val="20"/>
                <w:szCs w:val="20"/>
                <w:rtl/>
              </w:rPr>
              <w:t>في المائة من المساعدة الإنمائية الرسمية الثنائية للمملكة المتحدة)؛</w:t>
            </w:r>
          </w:p>
          <w:p w14:paraId="1CEB669A"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التعليم: 789 مليون جنيه استرليني (8 في المائة من المساعدة الإنمائية الرسمية الثنائية للمملكة المتحدة)؛</w:t>
            </w:r>
          </w:p>
          <w:p w14:paraId="0DCBE037"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البنية التحتية الاقتصادية والخدمات: 195</w:t>
            </w:r>
            <w:r w:rsidRPr="00564B9D">
              <w:rPr>
                <w:spacing w:val="-2"/>
                <w:sz w:val="20"/>
                <w:szCs w:val="20"/>
                <w:rtl/>
              </w:rPr>
              <w:t> </w:t>
            </w:r>
            <w:r w:rsidRPr="00564B9D">
              <w:rPr>
                <w:rFonts w:hint="cs"/>
                <w:spacing w:val="-2"/>
                <w:sz w:val="20"/>
                <w:szCs w:val="20"/>
                <w:rtl/>
              </w:rPr>
              <w:t>1 مليون باوند (12 في المائة من المساعدة الإنمائية الرسمية الثنائية للمملكة المتحدة)؛</w:t>
            </w:r>
          </w:p>
          <w:p w14:paraId="61654F48"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المساعدة الإنسانية: 536</w:t>
            </w:r>
            <w:r w:rsidRPr="00564B9D">
              <w:rPr>
                <w:spacing w:val="-2"/>
                <w:sz w:val="20"/>
                <w:szCs w:val="20"/>
                <w:rtl/>
              </w:rPr>
              <w:t> </w:t>
            </w:r>
            <w:r w:rsidRPr="00564B9D">
              <w:rPr>
                <w:rFonts w:hint="cs"/>
                <w:spacing w:val="-2"/>
                <w:sz w:val="20"/>
                <w:szCs w:val="20"/>
                <w:rtl/>
              </w:rPr>
              <w:t>1 مليون جنيه استرليني (15 في المائة من المساعدة الإنمائية الرسمية الثنائية للمملكة المتحدة)؛</w:t>
            </w:r>
          </w:p>
          <w:p w14:paraId="069F6AEE" w14:textId="3867D38E"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التكاليف الإدارية للجهات المانحة: 759 مليون جنيه استرليني (</w:t>
            </w:r>
            <w:r w:rsidR="00D86AA0" w:rsidRPr="00564B9D">
              <w:rPr>
                <w:rFonts w:hint="cs"/>
                <w:spacing w:val="-2"/>
                <w:sz w:val="20"/>
                <w:szCs w:val="20"/>
                <w:rtl/>
              </w:rPr>
              <w:t xml:space="preserve">7 </w:t>
            </w:r>
            <w:r w:rsidRPr="00564B9D">
              <w:rPr>
                <w:rFonts w:hint="cs"/>
                <w:spacing w:val="-2"/>
                <w:sz w:val="20"/>
                <w:szCs w:val="20"/>
                <w:rtl/>
              </w:rPr>
              <w:t>في المائة من المساعدة الإنمائية الرسمية الثنائية للمملكة المتحدة)؛</w:t>
            </w:r>
          </w:p>
          <w:p w14:paraId="2CD5E3E9"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المساعدة السلعية والبرنامجية العامة: 71 مليون جنيه استرليني (1 في المائة من المساعدة الإنمائية الرسمية الثنائية للمملكة المتحدة)؛</w:t>
            </w:r>
          </w:p>
          <w:p w14:paraId="24952502"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البنية التحتية الاجتماعية والخدمات الأخرى: 237 مليون جنيه استرليني (2 في المائة من المساعدة الإنمائية الرسمية الثنائية للمملكة المتحدة)؛</w:t>
            </w:r>
          </w:p>
          <w:p w14:paraId="08B97C85"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القطاعات الإنتاجية: 895 مليون جنيه استرليني (9 في المائة من المساعدة الإنمائية الرسمية الثنائية للمملكة المتحدة)؛</w:t>
            </w:r>
          </w:p>
          <w:p w14:paraId="4EEAB609"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المياه والصرف الصحي: 176 ملايين جنيه استرليني (2 في المائة من المساعدة الإنمائية الرسمية الثنائية للمملكة المتحدة)؛</w:t>
            </w:r>
          </w:p>
          <w:p w14:paraId="1D564832" w14:textId="022BC55B"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اللاجئون في البلدان المانحة: 477 مليون جنيه استرليني (</w:t>
            </w:r>
            <w:r w:rsidR="00D86AA0" w:rsidRPr="00564B9D">
              <w:rPr>
                <w:rFonts w:hint="cs"/>
                <w:spacing w:val="-2"/>
                <w:sz w:val="20"/>
                <w:szCs w:val="20"/>
                <w:rtl/>
              </w:rPr>
              <w:t>5</w:t>
            </w:r>
            <w:r w:rsidRPr="00564B9D">
              <w:rPr>
                <w:rFonts w:hint="cs"/>
                <w:spacing w:val="-2"/>
                <w:sz w:val="20"/>
                <w:szCs w:val="20"/>
                <w:rtl/>
              </w:rPr>
              <w:t xml:space="preserve"> في المائة من المساعدة الإنمائية الرسمية الثنائية للمملكة المتحدة)؛</w:t>
            </w:r>
          </w:p>
          <w:p w14:paraId="121C603D" w14:textId="643EF492"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pacing w:val="-2"/>
                <w:sz w:val="20"/>
                <w:szCs w:val="20"/>
                <w:rtl/>
              </w:rPr>
              <w:t>غير مخصصة/غير محددة: 54 مليون جنيه استرليني (</w:t>
            </w:r>
            <w:r w:rsidR="00D86AA0" w:rsidRPr="00564B9D">
              <w:rPr>
                <w:rFonts w:hint="cs"/>
                <w:spacing w:val="-2"/>
                <w:sz w:val="20"/>
                <w:szCs w:val="20"/>
                <w:rtl/>
              </w:rPr>
              <w:t>1</w:t>
            </w:r>
            <w:r w:rsidRPr="00564B9D">
              <w:rPr>
                <w:rFonts w:hint="cs"/>
                <w:spacing w:val="-2"/>
                <w:sz w:val="20"/>
                <w:szCs w:val="20"/>
                <w:rtl/>
              </w:rPr>
              <w:t xml:space="preserve"> في المائة من المساعدة الإنمائية الرسمية الثنائية للمملكة المتحدة)؛</w:t>
            </w:r>
          </w:p>
        </w:tc>
      </w:tr>
    </w:tbl>
    <w:p w14:paraId="79D56904" w14:textId="77777777" w:rsidR="00494AE4" w:rsidRPr="00564B9D" w:rsidRDefault="00494AE4" w:rsidP="00777024">
      <w:pPr>
        <w:pStyle w:val="SingleTxtGA"/>
        <w:spacing w:line="20" w:lineRule="exact"/>
        <w:rPr>
          <w:sz w:val="2"/>
          <w:szCs w:val="2"/>
          <w:rtl/>
        </w:rPr>
      </w:pPr>
    </w:p>
    <w:tbl>
      <w:tblPr>
        <w:bidiVisual/>
        <w:tblW w:w="8392" w:type="dxa"/>
        <w:tblInd w:w="1247" w:type="dxa"/>
        <w:tblLayout w:type="fixed"/>
        <w:tblCellMar>
          <w:right w:w="113" w:type="dxa"/>
        </w:tblCellMar>
        <w:tblLook w:val="01E0" w:firstRow="1" w:lastRow="1" w:firstColumn="1" w:lastColumn="1" w:noHBand="0" w:noVBand="0"/>
      </w:tblPr>
      <w:tblGrid>
        <w:gridCol w:w="3325"/>
        <w:gridCol w:w="5067"/>
      </w:tblGrid>
      <w:tr w:rsidR="007B5A24" w:rsidRPr="00564B9D" w14:paraId="7F54820E" w14:textId="77777777" w:rsidTr="00804944">
        <w:trPr>
          <w:trHeight w:val="240"/>
          <w:tblHeader/>
        </w:trPr>
        <w:tc>
          <w:tcPr>
            <w:tcW w:w="7782" w:type="dxa"/>
            <w:gridSpan w:val="2"/>
            <w:tcBorders>
              <w:top w:val="single" w:sz="4" w:space="0" w:color="auto"/>
              <w:bottom w:val="single" w:sz="12" w:space="0" w:color="auto"/>
            </w:tcBorders>
            <w:shd w:val="clear" w:color="auto" w:fill="auto"/>
            <w:vAlign w:val="bottom"/>
          </w:tcPr>
          <w:p w14:paraId="0B2AADA6"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lastRenderedPageBreak/>
              <w:t xml:space="preserve">المؤشرات المتعلقة بالنظام السياسي </w:t>
            </w:r>
          </w:p>
        </w:tc>
      </w:tr>
      <w:tr w:rsidR="007B5A24" w:rsidRPr="00564B9D" w14:paraId="0001568F" w14:textId="77777777" w:rsidTr="00804944">
        <w:trPr>
          <w:trHeight w:val="240"/>
        </w:trPr>
        <w:tc>
          <w:tcPr>
            <w:tcW w:w="3083" w:type="dxa"/>
            <w:tcBorders>
              <w:top w:val="single" w:sz="12" w:space="0" w:color="auto"/>
            </w:tcBorders>
            <w:shd w:val="clear" w:color="auto" w:fill="auto"/>
          </w:tcPr>
          <w:p w14:paraId="680E61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الصعيد الوطني</w:t>
            </w:r>
            <w:r w:rsidRPr="00564B9D">
              <w:rPr>
                <w:sz w:val="20"/>
                <w:szCs w:val="20"/>
                <w:vertAlign w:val="superscript"/>
                <w:rtl/>
              </w:rPr>
              <w:t>(</w:t>
            </w:r>
            <w:r w:rsidRPr="00564B9D">
              <w:rPr>
                <w:rStyle w:val="FootnoteReference"/>
                <w:rFonts w:cs="Simplified Arabic"/>
                <w:b w:val="0"/>
                <w:sz w:val="20"/>
                <w:szCs w:val="20"/>
                <w:rtl/>
                <w:lang w:val="en-US"/>
              </w:rPr>
              <w:footnoteReference w:id="77"/>
            </w:r>
            <w:r w:rsidRPr="00564B9D">
              <w:rPr>
                <w:sz w:val="20"/>
                <w:szCs w:val="20"/>
                <w:vertAlign w:val="superscript"/>
                <w:rtl/>
              </w:rPr>
              <w:t>)</w:t>
            </w:r>
            <w:r w:rsidRPr="00564B9D">
              <w:rPr>
                <w:rFonts w:hint="cs"/>
                <w:sz w:val="20"/>
                <w:szCs w:val="20"/>
                <w:rtl/>
              </w:rPr>
              <w:t xml:space="preserve"> </w:t>
            </w:r>
          </w:p>
        </w:tc>
        <w:tc>
          <w:tcPr>
            <w:tcW w:w="4699" w:type="dxa"/>
            <w:tcBorders>
              <w:top w:val="single" w:sz="12" w:space="0" w:color="auto"/>
            </w:tcBorders>
            <w:shd w:val="clear" w:color="auto" w:fill="auto"/>
          </w:tcPr>
          <w:p w14:paraId="0AC317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سجل المملكة المتحدة: 341</w:t>
            </w:r>
          </w:p>
          <w:p w14:paraId="795654D5" w14:textId="26007B75"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سجل </w:t>
            </w:r>
            <w:r w:rsidR="000F4858" w:rsidRPr="00564B9D">
              <w:rPr>
                <w:rFonts w:hint="cs"/>
                <w:sz w:val="20"/>
                <w:szCs w:val="20"/>
                <w:rtl/>
              </w:rPr>
              <w:t>أيرلندا الشمالية</w:t>
            </w:r>
            <w:r w:rsidRPr="00564B9D">
              <w:rPr>
                <w:rFonts w:hint="cs"/>
                <w:sz w:val="20"/>
                <w:szCs w:val="20"/>
                <w:rtl/>
              </w:rPr>
              <w:t>: 28</w:t>
            </w:r>
          </w:p>
        </w:tc>
      </w:tr>
      <w:tr w:rsidR="007B5A24" w:rsidRPr="00564B9D" w14:paraId="09E5A58B" w14:textId="77777777" w:rsidTr="00804944">
        <w:trPr>
          <w:trHeight w:val="240"/>
        </w:trPr>
        <w:tc>
          <w:tcPr>
            <w:tcW w:w="3083" w:type="dxa"/>
            <w:shd w:val="clear" w:color="auto" w:fill="auto"/>
          </w:tcPr>
          <w:p w14:paraId="4E6264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المؤهلين للتصويت</w:t>
            </w:r>
            <w:r w:rsidRPr="00564B9D">
              <w:rPr>
                <w:sz w:val="20"/>
                <w:szCs w:val="20"/>
                <w:vertAlign w:val="superscript"/>
                <w:rtl/>
              </w:rPr>
              <w:t>(</w:t>
            </w:r>
            <w:r w:rsidRPr="00564B9D">
              <w:rPr>
                <w:rStyle w:val="FootnoteReference"/>
                <w:rFonts w:cs="Simplified Arabic"/>
                <w:b w:val="0"/>
                <w:sz w:val="20"/>
                <w:szCs w:val="20"/>
                <w:rtl/>
                <w:lang w:val="en-US"/>
              </w:rPr>
              <w:footnoteReference w:id="78"/>
            </w:r>
            <w:r w:rsidRPr="00564B9D">
              <w:rPr>
                <w:sz w:val="20"/>
                <w:szCs w:val="20"/>
                <w:vertAlign w:val="superscript"/>
                <w:rtl/>
              </w:rPr>
              <w:t>)</w:t>
            </w:r>
            <w:r w:rsidRPr="00564B9D">
              <w:rPr>
                <w:rFonts w:hint="cs"/>
                <w:sz w:val="20"/>
                <w:szCs w:val="20"/>
                <w:rtl/>
              </w:rPr>
              <w:t xml:space="preserve"> </w:t>
            </w:r>
          </w:p>
        </w:tc>
        <w:tc>
          <w:tcPr>
            <w:tcW w:w="4699" w:type="dxa"/>
            <w:shd w:val="clear" w:color="auto" w:fill="auto"/>
          </w:tcPr>
          <w:p w14:paraId="2FA5E24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74,3 في المائة </w:t>
            </w:r>
          </w:p>
        </w:tc>
      </w:tr>
      <w:tr w:rsidR="007B5A24" w:rsidRPr="00564B9D" w14:paraId="208282A1" w14:textId="77777777" w:rsidTr="00804944">
        <w:trPr>
          <w:trHeight w:val="240"/>
        </w:trPr>
        <w:tc>
          <w:tcPr>
            <w:tcW w:w="3083" w:type="dxa"/>
            <w:shd w:val="clear" w:color="auto" w:fill="auto"/>
          </w:tcPr>
          <w:p w14:paraId="4A0C75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4699" w:type="dxa"/>
            <w:shd w:val="clear" w:color="auto" w:fill="auto"/>
          </w:tcPr>
          <w:p w14:paraId="5AFFC0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تجمع المعلومات.</w:t>
            </w:r>
          </w:p>
        </w:tc>
      </w:tr>
      <w:tr w:rsidR="007B5A24" w:rsidRPr="00564B9D" w14:paraId="0F18E3E0" w14:textId="77777777" w:rsidTr="00804944">
        <w:trPr>
          <w:trHeight w:val="240"/>
        </w:trPr>
        <w:tc>
          <w:tcPr>
            <w:tcW w:w="3083" w:type="dxa"/>
            <w:shd w:val="clear" w:color="auto" w:fill="auto"/>
          </w:tcPr>
          <w:p w14:paraId="49DA16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r w:rsidRPr="00564B9D">
              <w:rPr>
                <w:sz w:val="20"/>
                <w:szCs w:val="20"/>
                <w:vertAlign w:val="superscript"/>
                <w:rtl/>
              </w:rPr>
              <w:t>(</w:t>
            </w:r>
            <w:r w:rsidRPr="00564B9D">
              <w:rPr>
                <w:rStyle w:val="FootnoteReference"/>
                <w:rFonts w:cs="Simplified Arabic"/>
                <w:b w:val="0"/>
                <w:sz w:val="20"/>
                <w:szCs w:val="20"/>
                <w:rtl/>
                <w:lang w:val="en-US"/>
              </w:rPr>
              <w:footnoteReference w:id="79"/>
            </w:r>
            <w:r w:rsidRPr="00564B9D">
              <w:rPr>
                <w:sz w:val="20"/>
                <w:szCs w:val="20"/>
                <w:vertAlign w:val="superscript"/>
                <w:rtl/>
              </w:rPr>
              <w:t>)</w:t>
            </w:r>
            <w:r w:rsidRPr="00564B9D">
              <w:rPr>
                <w:rFonts w:hint="cs"/>
                <w:sz w:val="20"/>
                <w:szCs w:val="20"/>
                <w:rtl/>
              </w:rPr>
              <w:t xml:space="preserve"> </w:t>
            </w:r>
          </w:p>
        </w:tc>
        <w:tc>
          <w:tcPr>
            <w:tcW w:w="4699" w:type="dxa"/>
            <w:shd w:val="clear" w:color="auto" w:fill="auto"/>
          </w:tcPr>
          <w:p w14:paraId="4EA6DF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595 (حالة تزوير مزعوم للانتخابات أبلغت عنها الشرطة في عام 2019).</w:t>
            </w:r>
          </w:p>
          <w:p w14:paraId="72D044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أنواع حالات التزوير المزعوم للانتخابات:</w:t>
            </w:r>
          </w:p>
          <w:p w14:paraId="3ACE2126"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التسجيل: 10 في المائة من الحالات؛</w:t>
            </w:r>
          </w:p>
          <w:p w14:paraId="10DA849A"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الترشيح: 12 في المائة من الحالات؛</w:t>
            </w:r>
          </w:p>
          <w:p w14:paraId="2A1DBA99" w14:textId="77777777" w:rsidR="00494AE4" w:rsidRPr="00564B9D" w:rsidRDefault="00494AE4" w:rsidP="00494AE4">
            <w:pPr>
              <w:pStyle w:val="SingleTxtGA"/>
              <w:numPr>
                <w:ilvl w:val="0"/>
                <w:numId w:val="10"/>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الحملات الانتخابية: 54 في المائة من الحالات؛</w:t>
            </w:r>
          </w:p>
          <w:p w14:paraId="518C5154"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التصويت: 24 في المائة من الحالات.</w:t>
            </w:r>
          </w:p>
        </w:tc>
      </w:tr>
      <w:tr w:rsidR="007B5A24" w:rsidRPr="00564B9D" w14:paraId="6885CA0D" w14:textId="77777777" w:rsidTr="00804944">
        <w:trPr>
          <w:trHeight w:val="240"/>
        </w:trPr>
        <w:tc>
          <w:tcPr>
            <w:tcW w:w="3083" w:type="dxa"/>
            <w:shd w:val="clear" w:color="auto" w:fill="auto"/>
          </w:tcPr>
          <w:p w14:paraId="48EAD2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وتوزيع ملكية القنوات الإعلامية الرئيسية (إلكترونية، مطبوعة، سمعية ونحو ذلك)</w:t>
            </w:r>
          </w:p>
        </w:tc>
        <w:tc>
          <w:tcPr>
            <w:tcW w:w="4699" w:type="dxa"/>
            <w:shd w:val="clear" w:color="auto" w:fill="auto"/>
          </w:tcPr>
          <w:p w14:paraId="739984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التلفزيون الرقمي</w:t>
            </w:r>
            <w:r w:rsidRPr="00564B9D">
              <w:rPr>
                <w:sz w:val="20"/>
                <w:szCs w:val="20"/>
                <w:vertAlign w:val="superscript"/>
                <w:rtl/>
              </w:rPr>
              <w:t>(</w:t>
            </w:r>
            <w:r w:rsidRPr="00564B9D">
              <w:rPr>
                <w:rStyle w:val="FootnoteReference"/>
                <w:rFonts w:cs="Simplified Arabic"/>
                <w:b w:val="0"/>
                <w:sz w:val="20"/>
                <w:szCs w:val="20"/>
                <w:rtl/>
                <w:lang w:val="en-US"/>
              </w:rPr>
              <w:footnoteReference w:id="80"/>
            </w:r>
            <w:r w:rsidRPr="00564B9D">
              <w:rPr>
                <w:sz w:val="20"/>
                <w:szCs w:val="20"/>
                <w:vertAlign w:val="superscript"/>
                <w:rtl/>
              </w:rPr>
              <w:t>)</w:t>
            </w:r>
            <w:r w:rsidRPr="00564B9D">
              <w:rPr>
                <w:rFonts w:hint="cs"/>
                <w:sz w:val="20"/>
                <w:szCs w:val="20"/>
                <w:rtl/>
              </w:rPr>
              <w:t xml:space="preserve"> </w:t>
            </w:r>
          </w:p>
          <w:p w14:paraId="6388E804"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نسبة المنازل في المملكة المتحدة التي لديها تلفزيون رقمي: البيانات لم تعد تُجمع؛</w:t>
            </w:r>
          </w:p>
          <w:p w14:paraId="1639D42C"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 xml:space="preserve">نسبة المنازل التي لديها مسجلات </w:t>
            </w:r>
            <w:proofErr w:type="spellStart"/>
            <w:r w:rsidRPr="00564B9D">
              <w:rPr>
                <w:rFonts w:hint="cs"/>
                <w:spacing w:val="-2"/>
                <w:sz w:val="20"/>
                <w:szCs w:val="20"/>
                <w:rtl/>
              </w:rPr>
              <w:t>فيديوية</w:t>
            </w:r>
            <w:proofErr w:type="spellEnd"/>
            <w:r w:rsidRPr="00564B9D">
              <w:rPr>
                <w:rFonts w:hint="cs"/>
                <w:spacing w:val="-2"/>
                <w:sz w:val="20"/>
                <w:szCs w:val="20"/>
                <w:rtl/>
              </w:rPr>
              <w:t xml:space="preserve"> رقمية (</w:t>
            </w:r>
            <w:r w:rsidRPr="00564B9D">
              <w:rPr>
                <w:spacing w:val="-2"/>
                <w:sz w:val="20"/>
                <w:szCs w:val="20"/>
              </w:rPr>
              <w:t>DVR</w:t>
            </w:r>
            <w:r w:rsidRPr="00564B9D">
              <w:rPr>
                <w:rFonts w:hint="cs"/>
                <w:spacing w:val="-2"/>
                <w:sz w:val="20"/>
                <w:szCs w:val="20"/>
                <w:rtl/>
              </w:rPr>
              <w:t>): البيانات لم تعد تُجمع؛</w:t>
            </w:r>
          </w:p>
          <w:p w14:paraId="438D52FB"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pacing w:val="-2"/>
                <w:sz w:val="20"/>
                <w:szCs w:val="20"/>
                <w:rtl/>
              </w:rPr>
              <w:t>عدد الدقائق المستهلكة في مشاهدة التلفزيون يومياً (الأشخاص في عمر 4 سنوات فما فوق): 340 (4 ساعات)؛</w:t>
            </w:r>
          </w:p>
          <w:p w14:paraId="1FB54D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الراديو</w:t>
            </w:r>
            <w:r w:rsidRPr="00564B9D">
              <w:rPr>
                <w:sz w:val="20"/>
                <w:szCs w:val="20"/>
                <w:vertAlign w:val="superscript"/>
                <w:rtl/>
              </w:rPr>
              <w:t>(</w:t>
            </w:r>
            <w:r w:rsidRPr="00564B9D">
              <w:rPr>
                <w:rStyle w:val="FootnoteReference"/>
                <w:rFonts w:cs="Simplified Arabic"/>
                <w:b w:val="0"/>
                <w:sz w:val="20"/>
                <w:szCs w:val="20"/>
                <w:rtl/>
                <w:lang w:val="en-US"/>
              </w:rPr>
              <w:footnoteReference w:id="81"/>
            </w:r>
            <w:r w:rsidRPr="00564B9D">
              <w:rPr>
                <w:sz w:val="20"/>
                <w:szCs w:val="20"/>
                <w:vertAlign w:val="superscript"/>
                <w:rtl/>
              </w:rPr>
              <w:t>)</w:t>
            </w:r>
            <w:r w:rsidRPr="00564B9D">
              <w:rPr>
                <w:rFonts w:hint="cs"/>
                <w:sz w:val="20"/>
                <w:szCs w:val="20"/>
                <w:rtl/>
              </w:rPr>
              <w:t xml:space="preserve"> </w:t>
            </w:r>
          </w:p>
          <w:p w14:paraId="09697F63"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المستمعين إلى الراديو عبر إذاعة صوتية رقمية في منازلهم: 42 في المائة</w:t>
            </w:r>
          </w:p>
          <w:p w14:paraId="2F48B270"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pacing w:val="-2"/>
                <w:sz w:val="20"/>
                <w:szCs w:val="20"/>
                <w:rtl/>
              </w:rPr>
            </w:pPr>
            <w:r w:rsidRPr="00564B9D">
              <w:rPr>
                <w:rFonts w:hint="cs"/>
                <w:spacing w:val="-2"/>
                <w:sz w:val="20"/>
                <w:szCs w:val="20"/>
                <w:rtl/>
              </w:rPr>
              <w:t>نسبة ساعات الاستماع من خلال منصة رقمية (إذاعة صوتية رقمية، بواسطة الإنترنت، تلفزيون رقمي): 66 في المائة</w:t>
            </w:r>
          </w:p>
          <w:p w14:paraId="12F23261"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الدقائق المستهلكة في الاستماع إلى الراديو يومياً (من بين مستمعي الراديو): غير متوفرة</w:t>
            </w:r>
          </w:p>
          <w:p w14:paraId="708375D9"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عدد المحطات الإذاعية المحلية ذات البث التماثلي والبث الصوتي الرقمي (ما عدا عدد المحطات الإذاعية في المجتمعات المحلية): غير متوفرة</w:t>
            </w:r>
          </w:p>
          <w:p w14:paraId="7E4CF206"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عدد المحطات الإذاعية في المجتمعات المحلية التي تبث حالياً: 298</w:t>
            </w:r>
          </w:p>
          <w:p w14:paraId="68EDDB78"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عدد المحطات الإذاعية الوطنية ذات البث التماثلي والبث الصوتي الرقمي: غير متوفرة</w:t>
            </w:r>
          </w:p>
          <w:p w14:paraId="08097E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الإنترنت</w:t>
            </w:r>
            <w:r w:rsidRPr="00564B9D">
              <w:rPr>
                <w:sz w:val="20"/>
                <w:szCs w:val="20"/>
                <w:vertAlign w:val="superscript"/>
                <w:rtl/>
              </w:rPr>
              <w:t>(</w:t>
            </w:r>
            <w:r w:rsidRPr="00564B9D">
              <w:rPr>
                <w:rStyle w:val="FootnoteReference"/>
                <w:rFonts w:cs="Simplified Arabic"/>
                <w:b w:val="0"/>
                <w:sz w:val="20"/>
                <w:szCs w:val="20"/>
                <w:rtl/>
                <w:lang w:val="en-US"/>
              </w:rPr>
              <w:footnoteReference w:id="82"/>
            </w:r>
            <w:r w:rsidRPr="00564B9D">
              <w:rPr>
                <w:sz w:val="20"/>
                <w:szCs w:val="20"/>
                <w:vertAlign w:val="superscript"/>
                <w:rtl/>
              </w:rPr>
              <w:t>)</w:t>
            </w:r>
            <w:r w:rsidRPr="00564B9D">
              <w:rPr>
                <w:rFonts w:hint="cs"/>
                <w:sz w:val="20"/>
                <w:szCs w:val="20"/>
                <w:rtl/>
              </w:rPr>
              <w:t xml:space="preserve"> </w:t>
            </w:r>
          </w:p>
          <w:p w14:paraId="6F3B9B81"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الإقبال الكلي للأسر على الإنترنت: 94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83"/>
            </w:r>
            <w:r w:rsidRPr="00564B9D">
              <w:rPr>
                <w:sz w:val="20"/>
                <w:szCs w:val="20"/>
                <w:vertAlign w:val="superscript"/>
                <w:rtl/>
              </w:rPr>
              <w:t>)</w:t>
            </w:r>
            <w:r w:rsidRPr="00564B9D">
              <w:rPr>
                <w:rFonts w:hint="cs"/>
                <w:sz w:val="20"/>
                <w:szCs w:val="20"/>
                <w:rtl/>
              </w:rPr>
              <w:t xml:space="preserve"> </w:t>
            </w:r>
          </w:p>
          <w:p w14:paraId="5CC9A56A"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lastRenderedPageBreak/>
              <w:t>عدد توصيلات النطاق العريض المنزلية الثابتة: 27,4 مليون (الربع الأول 2021)</w:t>
            </w:r>
            <w:r w:rsidRPr="00564B9D">
              <w:rPr>
                <w:sz w:val="20"/>
                <w:szCs w:val="20"/>
                <w:vertAlign w:val="superscript"/>
                <w:rtl/>
              </w:rPr>
              <w:t>(</w:t>
            </w:r>
            <w:r w:rsidRPr="00564B9D">
              <w:rPr>
                <w:rStyle w:val="FootnoteReference"/>
                <w:rFonts w:cs="Simplified Arabic"/>
                <w:b w:val="0"/>
                <w:sz w:val="20"/>
                <w:szCs w:val="20"/>
                <w:rtl/>
                <w:lang w:val="en-US"/>
              </w:rPr>
              <w:footnoteReference w:id="84"/>
            </w:r>
            <w:r w:rsidRPr="00564B9D">
              <w:rPr>
                <w:sz w:val="20"/>
                <w:szCs w:val="20"/>
                <w:vertAlign w:val="superscript"/>
                <w:rtl/>
              </w:rPr>
              <w:t>)</w:t>
            </w:r>
            <w:r w:rsidRPr="00564B9D">
              <w:rPr>
                <w:sz w:val="20"/>
                <w:szCs w:val="20"/>
                <w:rtl/>
              </w:rPr>
              <w:t xml:space="preserve"> </w:t>
            </w:r>
          </w:p>
          <w:p w14:paraId="3EDBAF98"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البالغين الذين لديهم خدمة نطاق عريض (ثابتة ومتنقلة): 75 في المائة</w:t>
            </w:r>
          </w:p>
          <w:p w14:paraId="0CEC3D21"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البالغين الذين لديهم خدمة نطاق عريض متنقلة: 5 في المائة.</w:t>
            </w:r>
          </w:p>
          <w:p w14:paraId="5DF1C579"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الإقبال على النطاق العريض الفائق السرعة (نسبة التوصيلات غير المؤسسية): 78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85"/>
            </w:r>
            <w:r w:rsidRPr="00564B9D">
              <w:rPr>
                <w:sz w:val="20"/>
                <w:szCs w:val="20"/>
                <w:vertAlign w:val="superscript"/>
                <w:rtl/>
              </w:rPr>
              <w:t>)</w:t>
            </w:r>
            <w:r w:rsidRPr="00564B9D">
              <w:rPr>
                <w:rFonts w:hint="cs"/>
                <w:sz w:val="20"/>
                <w:szCs w:val="20"/>
                <w:rtl/>
              </w:rPr>
              <w:t xml:space="preserve"> </w:t>
            </w:r>
          </w:p>
          <w:p w14:paraId="1F318C6C"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المنازل التي لديها حاسوب شخصي أو محمول: 79 في المائة</w:t>
            </w:r>
          </w:p>
          <w:p w14:paraId="4AE4E06D"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الأشخاص الذين يستخدمون الهاتف المتنقل للنفاذ إلى الإنترنت: 49 في المائة</w:t>
            </w:r>
          </w:p>
          <w:p w14:paraId="4982A398"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عدد الاشتراكات في خدمة النطاق العريض المتنقلة (مفاتيح/بطاقة بيانات للحاسوب الشخصي): 4,917 مليون (كانون الأول/ديسمبر 2012).</w:t>
            </w:r>
          </w:p>
          <w:p w14:paraId="33CACA92"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 xml:space="preserve">حصة السوق (وصلات البث الثابتة): بريتيش تليكوم (33,45 في المائة)؛ سكاي (22,48 في المائة)؛ فيرجن ميديا (20,35 في المائة)؛ توك </w:t>
            </w:r>
            <w:proofErr w:type="spellStart"/>
            <w:r w:rsidRPr="00564B9D">
              <w:rPr>
                <w:rFonts w:hint="cs"/>
                <w:sz w:val="20"/>
                <w:szCs w:val="20"/>
                <w:rtl/>
              </w:rPr>
              <w:t>توك</w:t>
            </w:r>
            <w:proofErr w:type="spellEnd"/>
            <w:r w:rsidRPr="00564B9D">
              <w:rPr>
                <w:rFonts w:hint="cs"/>
                <w:sz w:val="20"/>
                <w:szCs w:val="20"/>
                <w:rtl/>
              </w:rPr>
              <w:t xml:space="preserve"> (10,13 في المائة)؛ آخرون (13,6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86"/>
            </w:r>
            <w:r w:rsidRPr="00564B9D">
              <w:rPr>
                <w:sz w:val="20"/>
                <w:szCs w:val="20"/>
                <w:vertAlign w:val="superscript"/>
                <w:rtl/>
              </w:rPr>
              <w:t>)</w:t>
            </w:r>
            <w:r w:rsidRPr="00564B9D">
              <w:rPr>
                <w:sz w:val="20"/>
                <w:szCs w:val="20"/>
                <w:rtl/>
              </w:rPr>
              <w:t xml:space="preserve"> </w:t>
            </w:r>
          </w:p>
          <w:p w14:paraId="05CA20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الهاتف الثابت والمتنقل</w:t>
            </w:r>
            <w:r w:rsidRPr="00564B9D">
              <w:rPr>
                <w:sz w:val="20"/>
                <w:szCs w:val="20"/>
                <w:vertAlign w:val="superscript"/>
                <w:rtl/>
              </w:rPr>
              <w:t>(</w:t>
            </w:r>
            <w:r w:rsidRPr="00564B9D">
              <w:rPr>
                <w:rStyle w:val="FootnoteReference"/>
                <w:rFonts w:cs="Simplified Arabic"/>
                <w:b w:val="0"/>
                <w:sz w:val="20"/>
                <w:szCs w:val="20"/>
                <w:rtl/>
                <w:lang w:val="en-US"/>
              </w:rPr>
              <w:footnoteReference w:id="87"/>
            </w:r>
            <w:r w:rsidRPr="00564B9D">
              <w:rPr>
                <w:sz w:val="20"/>
                <w:szCs w:val="20"/>
                <w:vertAlign w:val="superscript"/>
                <w:rtl/>
              </w:rPr>
              <w:t>)</w:t>
            </w:r>
            <w:r w:rsidRPr="00564B9D">
              <w:rPr>
                <w:rFonts w:hint="cs"/>
                <w:sz w:val="20"/>
                <w:szCs w:val="20"/>
                <w:rtl/>
              </w:rPr>
              <w:t xml:space="preserve"> </w:t>
            </w:r>
          </w:p>
          <w:p w14:paraId="3649CF55"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الخطوط الأرضية المنزلية الثابتة: 77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88"/>
            </w:r>
            <w:r w:rsidRPr="00564B9D">
              <w:rPr>
                <w:sz w:val="20"/>
                <w:szCs w:val="20"/>
                <w:vertAlign w:val="superscript"/>
                <w:rtl/>
              </w:rPr>
              <w:t>)</w:t>
            </w:r>
            <w:r w:rsidRPr="00564B9D">
              <w:rPr>
                <w:rFonts w:hint="cs"/>
                <w:sz w:val="20"/>
                <w:szCs w:val="20"/>
                <w:rtl/>
              </w:rPr>
              <w:t xml:space="preserve"> </w:t>
            </w:r>
          </w:p>
          <w:p w14:paraId="48A3C765"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 xml:space="preserve">عدد الخطوط الأرضية الثابتة في المملكة المتحدة، بما في ذلك قنوات الشبكة الرقمية المتكاملة الخدمات </w:t>
            </w:r>
            <w:r w:rsidRPr="00564B9D">
              <w:rPr>
                <w:sz w:val="20"/>
                <w:szCs w:val="20"/>
              </w:rPr>
              <w:t>(ISDN)</w:t>
            </w:r>
            <w:r w:rsidRPr="00564B9D">
              <w:rPr>
                <w:rFonts w:hint="cs"/>
                <w:sz w:val="20"/>
                <w:szCs w:val="20"/>
                <w:rtl/>
              </w:rPr>
              <w:t>: 31,8 مليون (الربع الأول 2021)</w:t>
            </w:r>
            <w:r w:rsidRPr="00564B9D">
              <w:rPr>
                <w:sz w:val="20"/>
                <w:szCs w:val="20"/>
                <w:vertAlign w:val="superscript"/>
                <w:rtl/>
              </w:rPr>
              <w:t>(</w:t>
            </w:r>
            <w:r w:rsidRPr="00564B9D">
              <w:rPr>
                <w:rStyle w:val="FootnoteReference"/>
                <w:rFonts w:cs="Simplified Arabic"/>
                <w:b w:val="0"/>
                <w:sz w:val="20"/>
                <w:szCs w:val="20"/>
                <w:rtl/>
                <w:lang w:val="en-US"/>
              </w:rPr>
              <w:footnoteReference w:id="89"/>
            </w:r>
            <w:r w:rsidRPr="00564B9D">
              <w:rPr>
                <w:sz w:val="20"/>
                <w:szCs w:val="20"/>
                <w:vertAlign w:val="superscript"/>
                <w:rtl/>
              </w:rPr>
              <w:t>)</w:t>
            </w:r>
            <w:r w:rsidRPr="00564B9D">
              <w:rPr>
                <w:sz w:val="20"/>
                <w:szCs w:val="20"/>
                <w:rtl/>
              </w:rPr>
              <w:t xml:space="preserve"> </w:t>
            </w:r>
          </w:p>
          <w:p w14:paraId="4E254D86"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عدد اشتراكات الهاتف المتنقل: 94,7 مليوناً (2020)</w:t>
            </w:r>
            <w:r w:rsidRPr="00564B9D">
              <w:rPr>
                <w:sz w:val="20"/>
                <w:szCs w:val="20"/>
                <w:vertAlign w:val="superscript"/>
                <w:rtl/>
              </w:rPr>
              <w:t>(</w:t>
            </w:r>
            <w:r w:rsidRPr="00564B9D">
              <w:rPr>
                <w:rStyle w:val="FootnoteReference"/>
                <w:rFonts w:cs="Simplified Arabic"/>
                <w:b w:val="0"/>
                <w:sz w:val="20"/>
                <w:szCs w:val="20"/>
                <w:rtl/>
                <w:lang w:val="en-US"/>
              </w:rPr>
              <w:footnoteReference w:id="90"/>
            </w:r>
            <w:r w:rsidRPr="00564B9D">
              <w:rPr>
                <w:sz w:val="20"/>
                <w:szCs w:val="20"/>
                <w:vertAlign w:val="superscript"/>
                <w:rtl/>
              </w:rPr>
              <w:t>)</w:t>
            </w:r>
            <w:r w:rsidRPr="00564B9D">
              <w:rPr>
                <w:sz w:val="20"/>
                <w:szCs w:val="20"/>
                <w:rtl/>
              </w:rPr>
              <w:t xml:space="preserve"> </w:t>
            </w:r>
          </w:p>
          <w:p w14:paraId="081BF3BC"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البالغين الذين يملكون هاتفاً ذكياً: 51 في المائة</w:t>
            </w:r>
          </w:p>
          <w:p w14:paraId="336235E9"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نسبة البالغين الذين يقيمون في بيوت متنقلة فقط: 15 في المائة</w:t>
            </w:r>
          </w:p>
          <w:p w14:paraId="59BAF17A"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عدد الاشتراكات في الهاتف المتنقل المسبق الدفع: 22,2 في المائة (2020)</w:t>
            </w:r>
            <w:r w:rsidRPr="00564B9D">
              <w:rPr>
                <w:sz w:val="20"/>
                <w:szCs w:val="20"/>
                <w:vertAlign w:val="superscript"/>
                <w:rtl/>
              </w:rPr>
              <w:t>(</w:t>
            </w:r>
            <w:r w:rsidRPr="00564B9D">
              <w:rPr>
                <w:rStyle w:val="FootnoteReference"/>
                <w:rFonts w:cs="Simplified Arabic"/>
                <w:b w:val="0"/>
                <w:sz w:val="20"/>
                <w:szCs w:val="20"/>
                <w:rtl/>
                <w:lang w:val="en-US"/>
              </w:rPr>
              <w:footnoteReference w:id="91"/>
            </w:r>
            <w:r w:rsidRPr="00564B9D">
              <w:rPr>
                <w:sz w:val="20"/>
                <w:szCs w:val="20"/>
                <w:vertAlign w:val="superscript"/>
                <w:rtl/>
              </w:rPr>
              <w:t>)</w:t>
            </w:r>
            <w:r w:rsidRPr="00564B9D">
              <w:rPr>
                <w:sz w:val="20"/>
                <w:szCs w:val="20"/>
                <w:rtl/>
              </w:rPr>
              <w:t xml:space="preserve"> </w:t>
            </w:r>
          </w:p>
          <w:p w14:paraId="73CEBA3F"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عدد الرسائل النصية والرسائل المتعددة الوسائط المرسلة: 48,7 بليوناً (2020)</w:t>
            </w:r>
            <w:r w:rsidRPr="00564B9D">
              <w:rPr>
                <w:sz w:val="20"/>
                <w:szCs w:val="20"/>
                <w:vertAlign w:val="superscript"/>
                <w:rtl/>
              </w:rPr>
              <w:t>(</w:t>
            </w:r>
            <w:r w:rsidRPr="00564B9D">
              <w:rPr>
                <w:rStyle w:val="FootnoteReference"/>
                <w:rFonts w:cs="Simplified Arabic"/>
                <w:b w:val="0"/>
                <w:sz w:val="20"/>
                <w:szCs w:val="20"/>
                <w:rtl/>
                <w:lang w:val="en-US"/>
              </w:rPr>
              <w:footnoteReference w:id="92"/>
            </w:r>
            <w:r w:rsidRPr="00564B9D">
              <w:rPr>
                <w:sz w:val="20"/>
                <w:szCs w:val="20"/>
                <w:vertAlign w:val="superscript"/>
                <w:rtl/>
              </w:rPr>
              <w:t>)</w:t>
            </w:r>
            <w:r w:rsidRPr="00564B9D">
              <w:rPr>
                <w:sz w:val="20"/>
                <w:szCs w:val="20"/>
                <w:rtl/>
              </w:rPr>
              <w:t xml:space="preserve"> </w:t>
            </w:r>
          </w:p>
          <w:p w14:paraId="5CCBF66D"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حصة السوق (حجم المكالمات على الخط الثابت): بريتيش تليكوم (38 في المائة)؛ فيرجن ميديا (12 في المائة)؛ آخرون (49 في المائة)</w:t>
            </w:r>
          </w:p>
          <w:p w14:paraId="17B991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البريــد</w:t>
            </w:r>
            <w:r w:rsidRPr="00564B9D">
              <w:rPr>
                <w:sz w:val="20"/>
                <w:szCs w:val="20"/>
                <w:vertAlign w:val="superscript"/>
                <w:rtl/>
              </w:rPr>
              <w:t>(</w:t>
            </w:r>
            <w:r w:rsidRPr="00564B9D">
              <w:rPr>
                <w:rStyle w:val="FootnoteReference"/>
                <w:rFonts w:cs="Simplified Arabic"/>
                <w:b w:val="0"/>
                <w:sz w:val="20"/>
                <w:szCs w:val="20"/>
                <w:rtl/>
                <w:lang w:val="en-US"/>
              </w:rPr>
              <w:footnoteReference w:id="93"/>
            </w:r>
            <w:r w:rsidRPr="00564B9D">
              <w:rPr>
                <w:sz w:val="20"/>
                <w:szCs w:val="20"/>
                <w:vertAlign w:val="superscript"/>
                <w:rtl/>
              </w:rPr>
              <w:t>)</w:t>
            </w:r>
            <w:r w:rsidRPr="00564B9D">
              <w:rPr>
                <w:rFonts w:hint="cs"/>
                <w:sz w:val="20"/>
                <w:szCs w:val="20"/>
                <w:rtl/>
              </w:rPr>
              <w:t xml:space="preserve"> </w:t>
            </w:r>
          </w:p>
          <w:p w14:paraId="44FDCD27"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حجم البريد المرسل في عام 2020: 12,1 بليون بند (من بينها عدد الرسائل: 337</w:t>
            </w:r>
            <w:r w:rsidRPr="00564B9D">
              <w:rPr>
                <w:sz w:val="20"/>
                <w:szCs w:val="20"/>
                <w:rtl/>
              </w:rPr>
              <w:t> </w:t>
            </w:r>
            <w:r w:rsidRPr="00564B9D">
              <w:rPr>
                <w:rFonts w:hint="cs"/>
                <w:sz w:val="20"/>
                <w:szCs w:val="20"/>
                <w:rtl/>
              </w:rPr>
              <w:t>8 مليوناً؛ عدد الطرود البريدية 791</w:t>
            </w:r>
            <w:r w:rsidRPr="00564B9D">
              <w:rPr>
                <w:sz w:val="20"/>
                <w:szCs w:val="20"/>
                <w:rtl/>
              </w:rPr>
              <w:t> </w:t>
            </w:r>
            <w:r w:rsidRPr="00564B9D">
              <w:rPr>
                <w:rFonts w:hint="cs"/>
                <w:sz w:val="20"/>
                <w:szCs w:val="20"/>
                <w:rtl/>
              </w:rPr>
              <w:t>3 مليوناً)</w:t>
            </w:r>
          </w:p>
          <w:p w14:paraId="57B42490"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تلقي الأنباء (من مجموع البالغين في المملكة المتحدة)</w:t>
            </w:r>
            <w:r w:rsidRPr="00564B9D">
              <w:rPr>
                <w:sz w:val="20"/>
                <w:szCs w:val="20"/>
                <w:vertAlign w:val="superscript"/>
                <w:rtl/>
              </w:rPr>
              <w:t>(</w:t>
            </w:r>
            <w:r w:rsidRPr="00564B9D">
              <w:rPr>
                <w:rStyle w:val="FootnoteReference"/>
                <w:rFonts w:cs="Simplified Arabic"/>
                <w:b w:val="0"/>
                <w:sz w:val="20"/>
                <w:szCs w:val="20"/>
                <w:rtl/>
                <w:lang w:val="en-US"/>
              </w:rPr>
              <w:footnoteReference w:id="94"/>
            </w:r>
            <w:r w:rsidRPr="00564B9D">
              <w:rPr>
                <w:sz w:val="20"/>
                <w:szCs w:val="20"/>
                <w:vertAlign w:val="superscript"/>
                <w:rtl/>
              </w:rPr>
              <w:t>)</w:t>
            </w:r>
            <w:r w:rsidRPr="00564B9D">
              <w:rPr>
                <w:rFonts w:hint="cs"/>
                <w:sz w:val="20"/>
                <w:szCs w:val="20"/>
                <w:rtl/>
              </w:rPr>
              <w:t xml:space="preserve"> </w:t>
            </w:r>
          </w:p>
          <w:p w14:paraId="34EB8885"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sz w:val="20"/>
                <w:szCs w:val="20"/>
                <w:rtl/>
              </w:rPr>
              <w:t xml:space="preserve">بي بي سي </w:t>
            </w:r>
            <w:r w:rsidRPr="00564B9D">
              <w:rPr>
                <w:rFonts w:hint="cs"/>
                <w:sz w:val="20"/>
                <w:szCs w:val="20"/>
                <w:rtl/>
              </w:rPr>
              <w:t>الأولى: 62 في المائة</w:t>
            </w:r>
          </w:p>
          <w:p w14:paraId="4AE138D9"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sz w:val="20"/>
                <w:szCs w:val="20"/>
              </w:rPr>
              <w:t>ITV1/ITV WALES/UTV/STV</w:t>
            </w:r>
            <w:r w:rsidRPr="00564B9D">
              <w:rPr>
                <w:rFonts w:hint="cs"/>
                <w:sz w:val="20"/>
                <w:szCs w:val="20"/>
                <w:rtl/>
              </w:rPr>
              <w:t>: 46 في المائة</w:t>
            </w:r>
          </w:p>
          <w:p w14:paraId="3D4EB134"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فيسبوك 36 في المائة</w:t>
            </w:r>
          </w:p>
          <w:p w14:paraId="0EF0DF9A"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موقع/تطبيق بي بي سي 31 في المائة</w:t>
            </w:r>
          </w:p>
          <w:p w14:paraId="49BEC3E7"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قناة بي بي سي نيوز: 31 في المائة</w:t>
            </w:r>
          </w:p>
          <w:p w14:paraId="366E4E29"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قناة سكاي نيوز: 30 في المائة</w:t>
            </w:r>
          </w:p>
          <w:p w14:paraId="40B93B2F"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القناة 4: 24 في المائة</w:t>
            </w:r>
          </w:p>
          <w:p w14:paraId="1D204E12" w14:textId="60D6CE9C"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تويتر: 24 في المائة</w:t>
            </w:r>
          </w:p>
          <w:p w14:paraId="2BC1245F" w14:textId="7EBB3741" w:rsidR="002C7C1F" w:rsidRPr="00564B9D" w:rsidRDefault="002C7C1F"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بي بي سي راديو 2: 13 في المائة</w:t>
            </w:r>
          </w:p>
          <w:p w14:paraId="7B5FD3C4" w14:textId="5E396DF1"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الدايلي ميل/</w:t>
            </w:r>
            <w:r w:rsidR="002C7C1F" w:rsidRPr="00564B9D">
              <w:rPr>
                <w:rFonts w:hint="cs"/>
                <w:sz w:val="20"/>
                <w:szCs w:val="20"/>
                <w:rtl/>
              </w:rPr>
              <w:t xml:space="preserve">ميل </w:t>
            </w:r>
            <w:r w:rsidRPr="00564B9D">
              <w:rPr>
                <w:rFonts w:hint="cs"/>
                <w:sz w:val="20"/>
                <w:szCs w:val="20"/>
                <w:rtl/>
              </w:rPr>
              <w:t>أون صنداي: 22 في المائة</w:t>
            </w:r>
          </w:p>
          <w:p w14:paraId="264BEE21"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انستغرام: 19 في المائة</w:t>
            </w:r>
          </w:p>
          <w:p w14:paraId="49FB3F6E"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غوغل (محرك البحث): 17 في المائة</w:t>
            </w:r>
          </w:p>
          <w:p w14:paraId="641383D3" w14:textId="5229987F"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بي بي سي 2: 16 في المائة</w:t>
            </w:r>
          </w:p>
          <w:p w14:paraId="51E213EC" w14:textId="77777777" w:rsidR="002C7C1F" w:rsidRPr="00564B9D" w:rsidRDefault="002C7C1F" w:rsidP="002C7C1F">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تطبيق وتسأب: 16 في المائة</w:t>
            </w:r>
          </w:p>
          <w:p w14:paraId="5BB51E40" w14:textId="2FC492CF"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tl/>
              </w:rPr>
            </w:pPr>
            <w:r w:rsidRPr="00564B9D">
              <w:rPr>
                <w:rFonts w:hint="cs"/>
                <w:sz w:val="20"/>
                <w:szCs w:val="20"/>
                <w:rtl/>
              </w:rPr>
              <w:t>الغارديان/</w:t>
            </w:r>
            <w:proofErr w:type="spellStart"/>
            <w:r w:rsidRPr="00564B9D">
              <w:rPr>
                <w:rFonts w:hint="cs"/>
                <w:sz w:val="20"/>
                <w:szCs w:val="20"/>
                <w:rtl/>
              </w:rPr>
              <w:t>الأوبزرفر</w:t>
            </w:r>
            <w:proofErr w:type="spellEnd"/>
            <w:r w:rsidRPr="00564B9D">
              <w:rPr>
                <w:rFonts w:hint="cs"/>
                <w:sz w:val="20"/>
                <w:szCs w:val="20"/>
                <w:rtl/>
              </w:rPr>
              <w:t xml:space="preserve">: </w:t>
            </w:r>
            <w:r w:rsidR="002C7C1F" w:rsidRPr="00564B9D">
              <w:rPr>
                <w:rFonts w:hint="cs"/>
                <w:sz w:val="20"/>
                <w:szCs w:val="20"/>
                <w:rtl/>
              </w:rPr>
              <w:t xml:space="preserve">16 </w:t>
            </w:r>
            <w:r w:rsidRPr="00564B9D">
              <w:rPr>
                <w:rFonts w:hint="cs"/>
                <w:sz w:val="20"/>
                <w:szCs w:val="20"/>
                <w:rtl/>
              </w:rPr>
              <w:t>في المائة</w:t>
            </w:r>
          </w:p>
          <w:p w14:paraId="4E566CF8"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ذا صن/ذا صن أون صنداي: 12 في المائة</w:t>
            </w:r>
          </w:p>
          <w:p w14:paraId="649F3943"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موقع/تطبيق سكاي نيوز: 12 في المائة</w:t>
            </w:r>
          </w:p>
          <w:p w14:paraId="4B64B101"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القناة 5: 12 في المائة</w:t>
            </w:r>
          </w:p>
          <w:p w14:paraId="70E76241"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بي بي سي راديو 1: 11 في المائة</w:t>
            </w:r>
          </w:p>
          <w:p w14:paraId="77B15138"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left="1080" w:right="0"/>
              <w:rPr>
                <w:sz w:val="20"/>
                <w:szCs w:val="20"/>
              </w:rPr>
            </w:pPr>
            <w:r w:rsidRPr="00564B9D">
              <w:rPr>
                <w:rFonts w:hint="cs"/>
                <w:sz w:val="20"/>
                <w:szCs w:val="20"/>
                <w:rtl/>
              </w:rPr>
              <w:t>بي بي سي راديو 4: 11 في المائة</w:t>
            </w:r>
          </w:p>
        </w:tc>
      </w:tr>
      <w:tr w:rsidR="007B5A24" w:rsidRPr="00564B9D" w14:paraId="575AC919" w14:textId="77777777" w:rsidTr="00804944">
        <w:trPr>
          <w:trHeight w:val="240"/>
        </w:trPr>
        <w:tc>
          <w:tcPr>
            <w:tcW w:w="3083" w:type="dxa"/>
            <w:shd w:val="clear" w:color="auto" w:fill="auto"/>
          </w:tcPr>
          <w:p w14:paraId="6FA546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عدد المنظمات غير الحكومية المعترف بها </w:t>
            </w:r>
          </w:p>
        </w:tc>
        <w:tc>
          <w:tcPr>
            <w:tcW w:w="4699" w:type="dxa"/>
            <w:shd w:val="clear" w:color="auto" w:fill="auto"/>
          </w:tcPr>
          <w:p w14:paraId="328FF2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 سجل مركزي لهذه المعلومات</w:t>
            </w:r>
          </w:p>
        </w:tc>
      </w:tr>
      <w:tr w:rsidR="007B5A24" w:rsidRPr="00564B9D" w14:paraId="0E8F4C9B" w14:textId="77777777" w:rsidTr="00804944">
        <w:trPr>
          <w:trHeight w:val="240"/>
        </w:trPr>
        <w:tc>
          <w:tcPr>
            <w:tcW w:w="3083" w:type="dxa"/>
            <w:shd w:val="clear" w:color="auto" w:fill="auto"/>
          </w:tcPr>
          <w:p w14:paraId="50E1A5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المقاعد التشريعية بحسب الحزب </w:t>
            </w:r>
          </w:p>
        </w:tc>
        <w:tc>
          <w:tcPr>
            <w:tcW w:w="4699" w:type="dxa"/>
            <w:shd w:val="clear" w:color="auto" w:fill="auto"/>
          </w:tcPr>
          <w:p w14:paraId="7B854C1E" w14:textId="014F9CBD"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برلمان المملكة المتحدة (650): حزب المحافظين (364)؛ حزب الخضر (1)؛ حزب المستقلين (4)؛ حزب العمال (182)؛ حزب الليبراليين الديمقراطيين (11)؛ بليد كيمرو (3)؛ الحزب الوطني الاسكتلندي (47)؛ حزب التحالف (آلايانس) (1)؛ الحزب الديمقراطي الاتحادي (8)؛ شين فين (7)؛ حزب الاجتماعيين الديمقراط</w:t>
            </w:r>
            <w:r w:rsidR="00762F1C" w:rsidRPr="00564B9D">
              <w:rPr>
                <w:rFonts w:hint="cs"/>
                <w:sz w:val="20"/>
                <w:szCs w:val="20"/>
                <w:rtl/>
              </w:rPr>
              <w:t>ي</w:t>
            </w:r>
            <w:r w:rsidRPr="00564B9D">
              <w:rPr>
                <w:rFonts w:hint="cs"/>
                <w:sz w:val="20"/>
                <w:szCs w:val="20"/>
                <w:rtl/>
              </w:rPr>
              <w:t>ين والعمال (2)؛ أحزاب أخرى (1)؛ حزب العمال والتعاونيات (19).</w:t>
            </w:r>
          </w:p>
          <w:p w14:paraId="43C612C9" w14:textId="2340D5C9"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البرلمان الاسكتلندي (129): حزب المحافظين (31)؛ حزب الخضر (6)؛ حزب المستقلين (2)؛ حزب العمال (23)؛ حزب الليبراليين الديمقراطيين (5)؛ الحزب الوطني الاسكتلندي (61)؛ غير منتمين لأحزاب (1).</w:t>
            </w:r>
          </w:p>
          <w:p w14:paraId="38401C6D" w14:textId="3394B0BF" w:rsidR="00494AE4" w:rsidRPr="00564B9D" w:rsidRDefault="00974E62" w:rsidP="00762F1C">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الجمعية الوطنية لويلز (60)؛ حزب المحافظين (11)؛ حزب المستقلين (4)؛ حزب العمال (28)؛ حزب الليبراليين الديمقراطيين (1)؛ بليد كيمرو (10)؛ حزب الاستقلال بالمملكة المتحدة (1)؛ حزب العمال والتعاونيات (1)؛ بريكزت</w:t>
            </w:r>
            <w:r w:rsidRPr="00564B9D">
              <w:rPr>
                <w:rFonts w:hint="eastAsia"/>
                <w:sz w:val="20"/>
                <w:szCs w:val="20"/>
                <w:rtl/>
              </w:rPr>
              <w:t> </w:t>
            </w:r>
            <w:r w:rsidRPr="00564B9D">
              <w:rPr>
                <w:rFonts w:hint="cs"/>
                <w:sz w:val="20"/>
                <w:szCs w:val="20"/>
                <w:rtl/>
              </w:rPr>
              <w:t xml:space="preserve">(4)؛ جمعية </w:t>
            </w:r>
            <w:r w:rsidR="000F4858" w:rsidRPr="00564B9D">
              <w:rPr>
                <w:rFonts w:hint="cs"/>
                <w:sz w:val="20"/>
                <w:szCs w:val="20"/>
                <w:rtl/>
              </w:rPr>
              <w:t>أيرلندا الشمالية</w:t>
            </w:r>
            <w:r w:rsidRPr="00564B9D">
              <w:rPr>
                <w:rFonts w:hint="cs"/>
                <w:sz w:val="20"/>
                <w:szCs w:val="20"/>
                <w:rtl/>
              </w:rPr>
              <w:t xml:space="preserve"> (90)؛ حزب الخضر (2)؛ حزب المستقلين (1)؛ حزب التحالف (آلايانس) (8)؛ الحزب الديمقراطي والعمال (12)؛ حزب ألستر الاتحادي (10)؛ أحزاب أخرى (2).</w:t>
            </w:r>
          </w:p>
        </w:tc>
      </w:tr>
      <w:tr w:rsidR="007B5A24" w:rsidRPr="00564B9D" w14:paraId="2141579A" w14:textId="77777777" w:rsidTr="00804944">
        <w:trPr>
          <w:trHeight w:val="240"/>
        </w:trPr>
        <w:tc>
          <w:tcPr>
            <w:tcW w:w="3083" w:type="dxa"/>
            <w:shd w:val="clear" w:color="auto" w:fill="auto"/>
          </w:tcPr>
          <w:p w14:paraId="2A7A82F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النسبة المئوية للنساء في البرلمان</w:t>
            </w:r>
            <w:r w:rsidRPr="00564B9D">
              <w:rPr>
                <w:sz w:val="20"/>
                <w:szCs w:val="20"/>
                <w:vertAlign w:val="superscript"/>
                <w:rtl/>
              </w:rPr>
              <w:t>(</w:t>
            </w:r>
            <w:r w:rsidRPr="00564B9D">
              <w:rPr>
                <w:rStyle w:val="FootnoteReference"/>
                <w:rFonts w:cs="Simplified Arabic"/>
                <w:b w:val="0"/>
                <w:sz w:val="20"/>
                <w:szCs w:val="20"/>
                <w:rtl/>
                <w:lang w:val="en-US"/>
              </w:rPr>
              <w:footnoteReference w:id="95"/>
            </w:r>
            <w:r w:rsidRPr="00564B9D">
              <w:rPr>
                <w:sz w:val="20"/>
                <w:szCs w:val="20"/>
                <w:vertAlign w:val="superscript"/>
                <w:rtl/>
              </w:rPr>
              <w:t>)</w:t>
            </w:r>
            <w:r w:rsidRPr="00564B9D">
              <w:rPr>
                <w:rFonts w:hint="cs"/>
                <w:sz w:val="20"/>
                <w:szCs w:val="20"/>
                <w:rtl/>
              </w:rPr>
              <w:t xml:space="preserve"> </w:t>
            </w:r>
          </w:p>
        </w:tc>
        <w:tc>
          <w:tcPr>
            <w:tcW w:w="4699" w:type="dxa"/>
            <w:shd w:val="clear" w:color="auto" w:fill="auto"/>
          </w:tcPr>
          <w:p w14:paraId="38FF21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برلمان المملكة المتحدة: 31,9 في المائة (مجلس العموم 2017)؛ 26,1 في المائة (مجلس اللوردات 2017)</w:t>
            </w:r>
          </w:p>
          <w:p w14:paraId="2EB37C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البرلمان الاسكتلندي 2016: 34,9 في المائة</w:t>
            </w:r>
          </w:p>
          <w:p w14:paraId="36C172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الجمعية الوطنية 2016 لويلز: 41,7 في المائة</w:t>
            </w:r>
          </w:p>
          <w:p w14:paraId="36421C38" w14:textId="3791C81C"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جمعية </w:t>
            </w:r>
            <w:r w:rsidR="000F4858" w:rsidRPr="00564B9D">
              <w:rPr>
                <w:rFonts w:hint="cs"/>
                <w:sz w:val="20"/>
                <w:szCs w:val="20"/>
                <w:rtl/>
              </w:rPr>
              <w:t>أيرلندا الشمالية</w:t>
            </w:r>
            <w:r w:rsidRPr="00564B9D">
              <w:rPr>
                <w:rFonts w:hint="cs"/>
                <w:sz w:val="20"/>
                <w:szCs w:val="20"/>
                <w:rtl/>
              </w:rPr>
              <w:t xml:space="preserve"> 2017: 37 في المائة</w:t>
            </w:r>
            <w:r w:rsidRPr="00564B9D">
              <w:rPr>
                <w:sz w:val="20"/>
                <w:szCs w:val="20"/>
                <w:rtl/>
              </w:rPr>
              <w:t xml:space="preserve"> </w:t>
            </w:r>
          </w:p>
        </w:tc>
      </w:tr>
      <w:tr w:rsidR="007B5A24" w:rsidRPr="00564B9D" w14:paraId="1E38543C" w14:textId="77777777" w:rsidTr="00804944">
        <w:trPr>
          <w:trHeight w:val="240"/>
        </w:trPr>
        <w:tc>
          <w:tcPr>
            <w:tcW w:w="3083" w:type="dxa"/>
            <w:shd w:val="clear" w:color="auto" w:fill="auto"/>
          </w:tcPr>
          <w:p w14:paraId="62CA7E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الانتخابات الوطنية ودون الوطنية التي أجريت في حدود الجدول الزمني الذي ينص عليه القانون</w:t>
            </w:r>
          </w:p>
        </w:tc>
        <w:tc>
          <w:tcPr>
            <w:tcW w:w="4699" w:type="dxa"/>
            <w:shd w:val="clear" w:color="auto" w:fill="auto"/>
          </w:tcPr>
          <w:p w14:paraId="0D7009E5" w14:textId="6F8CA6A2"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حتى صدور قانون البرلمانات المحددة الأجل لعام 2011، لم يكن إلزامياً إجراء الانتخابات الوطنية في مواعيد محددة ينص عليها القانون. ولا يزال الأمر كذلك بالنسبة للانتخابات في جمعية </w:t>
            </w:r>
            <w:r w:rsidR="000F4858" w:rsidRPr="00564B9D">
              <w:rPr>
                <w:rFonts w:hint="cs"/>
                <w:sz w:val="20"/>
                <w:szCs w:val="20"/>
                <w:rtl/>
              </w:rPr>
              <w:t>أيرلندا الشمالية</w:t>
            </w:r>
            <w:r w:rsidRPr="00564B9D">
              <w:rPr>
                <w:rFonts w:hint="cs"/>
                <w:sz w:val="20"/>
                <w:szCs w:val="20"/>
                <w:rtl/>
              </w:rPr>
              <w:t>.</w:t>
            </w:r>
          </w:p>
        </w:tc>
      </w:tr>
      <w:tr w:rsidR="007B5A24" w:rsidRPr="00564B9D" w14:paraId="36105FDF" w14:textId="77777777" w:rsidTr="00804944">
        <w:trPr>
          <w:trHeight w:val="240"/>
        </w:trPr>
        <w:tc>
          <w:tcPr>
            <w:tcW w:w="3083" w:type="dxa"/>
            <w:tcBorders>
              <w:bottom w:val="single" w:sz="12" w:space="0" w:color="auto"/>
            </w:tcBorders>
            <w:shd w:val="clear" w:color="auto" w:fill="auto"/>
          </w:tcPr>
          <w:p w14:paraId="720444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4"/>
                <w:sz w:val="20"/>
                <w:szCs w:val="20"/>
              </w:rPr>
            </w:pPr>
            <w:r w:rsidRPr="00564B9D">
              <w:rPr>
                <w:rFonts w:hint="cs"/>
                <w:spacing w:val="-4"/>
                <w:sz w:val="20"/>
                <w:szCs w:val="20"/>
                <w:rtl/>
              </w:rPr>
              <w:t>متوسط عدد الناخبين الفعليين في الانتخابات الوطنية ودون الوطنية بحسب الوحدة الإدارية</w:t>
            </w:r>
            <w:r w:rsidRPr="00564B9D">
              <w:rPr>
                <w:spacing w:val="-4"/>
                <w:sz w:val="20"/>
                <w:szCs w:val="20"/>
                <w:vertAlign w:val="superscript"/>
                <w:rtl/>
              </w:rPr>
              <w:t>(</w:t>
            </w:r>
            <w:r w:rsidRPr="00564B9D">
              <w:rPr>
                <w:rStyle w:val="FootnoteReference"/>
                <w:rFonts w:cs="Simplified Arabic"/>
                <w:b w:val="0"/>
                <w:spacing w:val="-4"/>
                <w:sz w:val="20"/>
                <w:szCs w:val="20"/>
                <w:rtl/>
                <w:lang w:val="en-US"/>
              </w:rPr>
              <w:footnoteReference w:id="96"/>
            </w:r>
            <w:r w:rsidRPr="00564B9D">
              <w:rPr>
                <w:spacing w:val="-4"/>
                <w:sz w:val="20"/>
                <w:szCs w:val="20"/>
                <w:vertAlign w:val="superscript"/>
                <w:rtl/>
              </w:rPr>
              <w:t>)</w:t>
            </w:r>
            <w:r w:rsidRPr="00564B9D">
              <w:rPr>
                <w:rFonts w:hint="cs"/>
                <w:spacing w:val="-4"/>
                <w:sz w:val="20"/>
                <w:szCs w:val="20"/>
                <w:rtl/>
              </w:rPr>
              <w:t xml:space="preserve"> </w:t>
            </w:r>
          </w:p>
        </w:tc>
        <w:tc>
          <w:tcPr>
            <w:tcW w:w="4699" w:type="dxa"/>
            <w:tcBorders>
              <w:bottom w:val="single" w:sz="12" w:space="0" w:color="auto"/>
            </w:tcBorders>
            <w:shd w:val="clear" w:color="auto" w:fill="auto"/>
          </w:tcPr>
          <w:p w14:paraId="28C6F5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الانتخابات العامة لبرلمان المملكة المتحدة في 2019: 67,5 في المائة</w:t>
            </w:r>
          </w:p>
          <w:p w14:paraId="73CD70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انتخابات البرلمان الاسكتلندي في أيار/مايو 2021: 63,5 في المائة</w:t>
            </w:r>
          </w:p>
          <w:p w14:paraId="2B689F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انتخابات الجمعية الوطنية لويلز في أيار/مايو 2021: 46,8 في المائة</w:t>
            </w:r>
          </w:p>
          <w:p w14:paraId="67AB6A0D" w14:textId="450098C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pacing w:val="-2"/>
                <w:sz w:val="20"/>
                <w:szCs w:val="20"/>
                <w:rtl/>
              </w:rPr>
              <w:t xml:space="preserve">انتخابات جمعية </w:t>
            </w:r>
            <w:r w:rsidR="000F4858" w:rsidRPr="00564B9D">
              <w:rPr>
                <w:rFonts w:hint="cs"/>
                <w:spacing w:val="-2"/>
                <w:sz w:val="20"/>
                <w:szCs w:val="20"/>
                <w:rtl/>
              </w:rPr>
              <w:t>أيرلندا الشمالية</w:t>
            </w:r>
            <w:r w:rsidRPr="00564B9D">
              <w:rPr>
                <w:rFonts w:hint="cs"/>
                <w:spacing w:val="-2"/>
                <w:sz w:val="20"/>
                <w:szCs w:val="20"/>
                <w:rtl/>
              </w:rPr>
              <w:t xml:space="preserve"> في آذار/مارس 2017: 64,8 في المائة</w:t>
            </w:r>
          </w:p>
        </w:tc>
      </w:tr>
    </w:tbl>
    <w:p w14:paraId="2D3ABE1D"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3654"/>
        <w:gridCol w:w="4738"/>
      </w:tblGrid>
      <w:tr w:rsidR="007B5A24" w:rsidRPr="00564B9D" w14:paraId="1C6BA341" w14:textId="77777777" w:rsidTr="000F4858">
        <w:trPr>
          <w:trHeight w:val="240"/>
          <w:tblHeader/>
        </w:trPr>
        <w:tc>
          <w:tcPr>
            <w:tcW w:w="8392" w:type="dxa"/>
            <w:gridSpan w:val="2"/>
            <w:tcBorders>
              <w:top w:val="single" w:sz="4" w:space="0" w:color="auto"/>
              <w:bottom w:val="single" w:sz="12" w:space="0" w:color="auto"/>
            </w:tcBorders>
            <w:shd w:val="clear" w:color="auto" w:fill="auto"/>
            <w:vAlign w:val="bottom"/>
          </w:tcPr>
          <w:p w14:paraId="419C18AE"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 xml:space="preserve">المؤشرات المتعلقة بالجريمة وإقامة العدل </w:t>
            </w:r>
          </w:p>
        </w:tc>
      </w:tr>
      <w:tr w:rsidR="007B5A24" w:rsidRPr="00564B9D" w14:paraId="7A3FB2CE" w14:textId="77777777" w:rsidTr="000F4858">
        <w:tblPrEx>
          <w:tblLook w:val="0000" w:firstRow="0" w:lastRow="0" w:firstColumn="0" w:lastColumn="0" w:noHBand="0" w:noVBand="0"/>
        </w:tblPrEx>
        <w:trPr>
          <w:trHeight w:val="240"/>
        </w:trPr>
        <w:tc>
          <w:tcPr>
            <w:tcW w:w="3654" w:type="dxa"/>
            <w:tcBorders>
              <w:top w:val="single" w:sz="12" w:space="0" w:color="auto"/>
            </w:tcBorders>
            <w:shd w:val="clear" w:color="auto" w:fill="auto"/>
          </w:tcPr>
          <w:p w14:paraId="6862B87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حالات الموت العنيف والجرائم المهددة للحياة المبلّغ عنها لكل 000</w:t>
            </w:r>
            <w:r w:rsidRPr="00564B9D">
              <w:rPr>
                <w:sz w:val="20"/>
                <w:szCs w:val="20"/>
                <w:rtl/>
              </w:rPr>
              <w:t> </w:t>
            </w:r>
            <w:r w:rsidRPr="00564B9D">
              <w:rPr>
                <w:rFonts w:hint="cs"/>
                <w:sz w:val="20"/>
                <w:szCs w:val="20"/>
                <w:rtl/>
              </w:rPr>
              <w:t>100 شخص</w:t>
            </w:r>
          </w:p>
        </w:tc>
        <w:tc>
          <w:tcPr>
            <w:tcW w:w="4738" w:type="dxa"/>
            <w:tcBorders>
              <w:top w:val="single" w:sz="12" w:space="0" w:color="auto"/>
            </w:tcBorders>
            <w:shd w:val="clear" w:color="auto" w:fill="auto"/>
          </w:tcPr>
          <w:p w14:paraId="2E4CCFB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الفترة 2019/2020:</w:t>
            </w:r>
          </w:p>
          <w:p w14:paraId="53C917FD"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97"/>
            </w:r>
            <w:r w:rsidRPr="00564B9D">
              <w:rPr>
                <w:sz w:val="20"/>
                <w:szCs w:val="20"/>
                <w:vertAlign w:val="superscript"/>
                <w:rtl/>
              </w:rPr>
              <w:t>)</w:t>
            </w:r>
            <w:r w:rsidRPr="00564B9D">
              <w:rPr>
                <w:rFonts w:hint="cs"/>
                <w:sz w:val="20"/>
                <w:szCs w:val="20"/>
                <w:rtl/>
              </w:rPr>
              <w:t>: 1,2 (جريمة قتل)؛ 1,7 (محاولة قتل)</w:t>
            </w:r>
          </w:p>
          <w:p w14:paraId="64AA1874" w14:textId="77777777" w:rsidR="00494AE4" w:rsidRPr="00564B9D" w:rsidRDefault="00494AE4" w:rsidP="00494AE4">
            <w:pPr>
              <w:pStyle w:val="SingleTxtGA"/>
              <w:numPr>
                <w:ilvl w:val="0"/>
                <w:numId w:val="11"/>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اسكتلندا: 1,2 (جريمة قتل)؛ 6,6 (محاولات قتل)؛</w:t>
            </w:r>
          </w:p>
          <w:p w14:paraId="6C790848" w14:textId="4309417E" w:rsidR="00494AE4" w:rsidRPr="00564B9D" w:rsidRDefault="000F4858"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98"/>
            </w:r>
            <w:r w:rsidR="00494AE4" w:rsidRPr="00564B9D">
              <w:rPr>
                <w:sz w:val="20"/>
                <w:szCs w:val="20"/>
                <w:vertAlign w:val="superscript"/>
                <w:rtl/>
              </w:rPr>
              <w:t>)</w:t>
            </w:r>
            <w:r w:rsidR="00494AE4" w:rsidRPr="00564B9D">
              <w:rPr>
                <w:rFonts w:hint="cs"/>
                <w:sz w:val="20"/>
                <w:szCs w:val="20"/>
                <w:rtl/>
              </w:rPr>
              <w:t>: ما مجموعه 20 جريمة قتل و92 محاولة</w:t>
            </w:r>
            <w:r w:rsidR="00494AE4" w:rsidRPr="00564B9D">
              <w:rPr>
                <w:rFonts w:hint="eastAsia"/>
                <w:sz w:val="20"/>
                <w:szCs w:val="20"/>
                <w:rtl/>
              </w:rPr>
              <w:t> </w:t>
            </w:r>
            <w:r w:rsidR="00494AE4" w:rsidRPr="00564B9D">
              <w:rPr>
                <w:rFonts w:hint="cs"/>
                <w:sz w:val="20"/>
                <w:szCs w:val="20"/>
                <w:rtl/>
              </w:rPr>
              <w:t>قتل.</w:t>
            </w:r>
          </w:p>
        </w:tc>
      </w:tr>
      <w:tr w:rsidR="007B5A24" w:rsidRPr="00564B9D" w14:paraId="634FBA29" w14:textId="77777777" w:rsidTr="000F4858">
        <w:tblPrEx>
          <w:tblLook w:val="0000" w:firstRow="0" w:lastRow="0" w:firstColumn="0" w:lastColumn="0" w:noHBand="0" w:noVBand="0"/>
        </w:tblPrEx>
        <w:trPr>
          <w:trHeight w:val="240"/>
        </w:trPr>
        <w:tc>
          <w:tcPr>
            <w:tcW w:w="3654" w:type="dxa"/>
            <w:shd w:val="clear" w:color="auto" w:fill="auto"/>
          </w:tcPr>
          <w:p w14:paraId="78BB84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ومعدل الأشخاص (لكل 000</w:t>
            </w:r>
            <w:r w:rsidRPr="00564B9D">
              <w:rPr>
                <w:sz w:val="20"/>
                <w:szCs w:val="20"/>
                <w:rtl/>
              </w:rPr>
              <w:t> </w:t>
            </w:r>
            <w:r w:rsidRPr="00564B9D">
              <w:rPr>
                <w:rFonts w:hint="cs"/>
                <w:sz w:val="20"/>
                <w:szCs w:val="20"/>
                <w:rtl/>
              </w:rPr>
              <w:t>100 شخص) الذين تم توقيفهم/تقديمهم إلى القضاء/إدانتهم/إصدار أحكام ضدهم/حبسهم لارتكابهم جرائم عنف أو غير ذلك من الجرائم الخطيرة (مثل القتل والسرقة والاعتداء والإتجار غير المشروع)</w:t>
            </w:r>
          </w:p>
        </w:tc>
        <w:tc>
          <w:tcPr>
            <w:tcW w:w="4738" w:type="dxa"/>
            <w:shd w:val="clear" w:color="auto" w:fill="auto"/>
          </w:tcPr>
          <w:p w14:paraId="4CD2DE6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 (2019-2020)</w:t>
            </w:r>
            <w:r w:rsidRPr="00564B9D">
              <w:rPr>
                <w:sz w:val="20"/>
                <w:szCs w:val="20"/>
                <w:vertAlign w:val="superscript"/>
                <w:rtl/>
              </w:rPr>
              <w:t>(</w:t>
            </w:r>
            <w:r w:rsidRPr="00564B9D">
              <w:rPr>
                <w:rStyle w:val="FootnoteReference"/>
                <w:rFonts w:cs="Simplified Arabic"/>
                <w:b w:val="0"/>
                <w:sz w:val="20"/>
                <w:szCs w:val="20"/>
                <w:rtl/>
                <w:lang w:val="en-US"/>
              </w:rPr>
              <w:footnoteReference w:id="99"/>
            </w:r>
            <w:r w:rsidRPr="00564B9D">
              <w:rPr>
                <w:sz w:val="20"/>
                <w:szCs w:val="20"/>
                <w:vertAlign w:val="superscript"/>
                <w:rtl/>
              </w:rPr>
              <w:t>)</w:t>
            </w:r>
            <w:r w:rsidRPr="00564B9D">
              <w:rPr>
                <w:rFonts w:hint="cs"/>
                <w:sz w:val="20"/>
                <w:szCs w:val="20"/>
                <w:rtl/>
              </w:rPr>
              <w:t>:</w:t>
            </w:r>
          </w:p>
          <w:p w14:paraId="50AAC273" w14:textId="77777777" w:rsidR="00494AE4" w:rsidRPr="00564B9D" w:rsidRDefault="00494AE4"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أعمال العنف المرتكبة ضد الأشخاص: 783</w:t>
            </w:r>
            <w:r w:rsidRPr="00564B9D">
              <w:rPr>
                <w:sz w:val="20"/>
                <w:szCs w:val="20"/>
                <w:rtl/>
              </w:rPr>
              <w:t> </w:t>
            </w:r>
            <w:r w:rsidRPr="00564B9D">
              <w:rPr>
                <w:rFonts w:hint="cs"/>
                <w:sz w:val="20"/>
                <w:szCs w:val="20"/>
                <w:rtl/>
              </w:rPr>
              <w:t>12 مجرماً حكم عليهم بالسجن (21,4 حالة لكل 000</w:t>
            </w:r>
            <w:r w:rsidRPr="00564B9D">
              <w:rPr>
                <w:sz w:val="20"/>
                <w:szCs w:val="20"/>
                <w:rtl/>
              </w:rPr>
              <w:t> </w:t>
            </w:r>
            <w:r w:rsidRPr="00564B9D">
              <w:rPr>
                <w:rFonts w:hint="cs"/>
                <w:sz w:val="20"/>
                <w:szCs w:val="20"/>
                <w:rtl/>
              </w:rPr>
              <w:t>100 شخص)؛</w:t>
            </w:r>
          </w:p>
          <w:p w14:paraId="41F295FC" w14:textId="77777777" w:rsidR="00494AE4" w:rsidRPr="00564B9D" w:rsidRDefault="00494AE4"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جرائم جنسية: 791</w:t>
            </w:r>
            <w:r w:rsidRPr="00564B9D">
              <w:rPr>
                <w:sz w:val="20"/>
                <w:szCs w:val="20"/>
                <w:rtl/>
              </w:rPr>
              <w:t> </w:t>
            </w:r>
            <w:r w:rsidRPr="00564B9D">
              <w:rPr>
                <w:rFonts w:hint="cs"/>
                <w:sz w:val="20"/>
                <w:szCs w:val="20"/>
                <w:rtl/>
              </w:rPr>
              <w:t>2 مجرماً حكم عليهم بالسجن (4,7 حالة لكل 000</w:t>
            </w:r>
            <w:r w:rsidRPr="00564B9D">
              <w:rPr>
                <w:sz w:val="20"/>
                <w:szCs w:val="20"/>
                <w:rtl/>
              </w:rPr>
              <w:t> </w:t>
            </w:r>
            <w:r w:rsidRPr="00564B9D">
              <w:rPr>
                <w:rFonts w:hint="cs"/>
                <w:sz w:val="20"/>
                <w:szCs w:val="20"/>
                <w:rtl/>
              </w:rPr>
              <w:t>100 شخص)</w:t>
            </w:r>
          </w:p>
          <w:p w14:paraId="1270C715" w14:textId="77777777" w:rsidR="00494AE4" w:rsidRPr="00564B9D" w:rsidRDefault="00494AE4"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سطو: 626</w:t>
            </w:r>
            <w:r w:rsidRPr="00564B9D">
              <w:rPr>
                <w:sz w:val="20"/>
                <w:szCs w:val="20"/>
                <w:rtl/>
              </w:rPr>
              <w:t> </w:t>
            </w:r>
            <w:r w:rsidRPr="00564B9D">
              <w:rPr>
                <w:rFonts w:hint="cs"/>
                <w:sz w:val="20"/>
                <w:szCs w:val="20"/>
                <w:rtl/>
              </w:rPr>
              <w:t>6 مجرماً حكم عليهم بالسجن (11,1 لكل 000</w:t>
            </w:r>
            <w:r w:rsidRPr="00564B9D">
              <w:rPr>
                <w:sz w:val="20"/>
                <w:szCs w:val="20"/>
                <w:rtl/>
              </w:rPr>
              <w:t> </w:t>
            </w:r>
            <w:r w:rsidRPr="00564B9D">
              <w:rPr>
                <w:rFonts w:hint="cs"/>
                <w:sz w:val="20"/>
                <w:szCs w:val="20"/>
                <w:rtl/>
              </w:rPr>
              <w:t>100 شخص)؛</w:t>
            </w:r>
          </w:p>
          <w:p w14:paraId="0B921EA3" w14:textId="77777777" w:rsidR="00494AE4" w:rsidRPr="00564B9D" w:rsidRDefault="00494AE4"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rFonts w:hint="cs"/>
                <w:sz w:val="20"/>
                <w:szCs w:val="20"/>
                <w:rtl/>
              </w:rPr>
              <w:t>سرقة: 578</w:t>
            </w:r>
            <w:r w:rsidRPr="00564B9D">
              <w:rPr>
                <w:sz w:val="20"/>
                <w:szCs w:val="20"/>
                <w:rtl/>
              </w:rPr>
              <w:t> </w:t>
            </w:r>
            <w:r w:rsidRPr="00564B9D">
              <w:rPr>
                <w:rFonts w:hint="cs"/>
                <w:sz w:val="20"/>
                <w:szCs w:val="20"/>
                <w:rtl/>
              </w:rPr>
              <w:t>2 مجرماً حكم عليهم بالسجن (4,3 حالة لكل 000</w:t>
            </w:r>
            <w:r w:rsidRPr="00564B9D">
              <w:rPr>
                <w:sz w:val="20"/>
                <w:szCs w:val="20"/>
                <w:rtl/>
              </w:rPr>
              <w:t> </w:t>
            </w:r>
            <w:r w:rsidRPr="00564B9D">
              <w:rPr>
                <w:rFonts w:hint="cs"/>
                <w:sz w:val="20"/>
                <w:szCs w:val="20"/>
                <w:rtl/>
              </w:rPr>
              <w:t>100 شخص).</w:t>
            </w:r>
          </w:p>
          <w:p w14:paraId="7FAE1A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 (2012-2013)</w:t>
            </w:r>
            <w:r w:rsidRPr="00564B9D">
              <w:rPr>
                <w:sz w:val="20"/>
                <w:szCs w:val="20"/>
                <w:vertAlign w:val="superscript"/>
                <w:rtl/>
              </w:rPr>
              <w:t>(</w:t>
            </w:r>
            <w:r w:rsidRPr="00564B9D">
              <w:rPr>
                <w:rStyle w:val="FootnoteReference"/>
                <w:rFonts w:cs="Simplified Arabic"/>
                <w:b w:val="0"/>
                <w:sz w:val="20"/>
                <w:szCs w:val="20"/>
                <w:rtl/>
                <w:lang w:val="en-US"/>
              </w:rPr>
              <w:footnoteReference w:id="100"/>
            </w:r>
            <w:r w:rsidRPr="00564B9D">
              <w:rPr>
                <w:sz w:val="20"/>
                <w:szCs w:val="20"/>
                <w:vertAlign w:val="superscript"/>
                <w:rtl/>
              </w:rPr>
              <w:t>)</w:t>
            </w:r>
            <w:r w:rsidRPr="00564B9D">
              <w:rPr>
                <w:rFonts w:hint="cs"/>
                <w:sz w:val="20"/>
                <w:szCs w:val="20"/>
                <w:rtl/>
              </w:rPr>
              <w:t>:</w:t>
            </w:r>
          </w:p>
          <w:p w14:paraId="554BA30E" w14:textId="77777777" w:rsidR="00494AE4" w:rsidRPr="00564B9D" w:rsidRDefault="00494AE4"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جرائم العنف غير الجنسية (القتل، الاعتداء الخطير ومحاولة القتل، السرقة، وغيرها من أعمال العنف الأخرى): 034</w:t>
            </w:r>
            <w:r w:rsidRPr="00564B9D">
              <w:rPr>
                <w:sz w:val="20"/>
                <w:szCs w:val="20"/>
                <w:rtl/>
              </w:rPr>
              <w:t> </w:t>
            </w:r>
            <w:r w:rsidRPr="00564B9D">
              <w:rPr>
                <w:rFonts w:hint="cs"/>
                <w:sz w:val="20"/>
                <w:szCs w:val="20"/>
                <w:rtl/>
              </w:rPr>
              <w:t xml:space="preserve">1 </w:t>
            </w:r>
            <w:r w:rsidRPr="00564B9D">
              <w:rPr>
                <w:rFonts w:hint="cs"/>
                <w:sz w:val="20"/>
                <w:szCs w:val="20"/>
                <w:rtl/>
              </w:rPr>
              <w:lastRenderedPageBreak/>
              <w:t>مجرماً حكم عليهم بالسجن (19 حالة لكل 000</w:t>
            </w:r>
            <w:r w:rsidRPr="00564B9D">
              <w:rPr>
                <w:sz w:val="20"/>
                <w:szCs w:val="20"/>
                <w:rtl/>
              </w:rPr>
              <w:t> </w:t>
            </w:r>
            <w:r w:rsidRPr="00564B9D">
              <w:rPr>
                <w:rFonts w:hint="cs"/>
                <w:sz w:val="20"/>
                <w:szCs w:val="20"/>
                <w:rtl/>
              </w:rPr>
              <w:t>100 شخص)؛</w:t>
            </w:r>
          </w:p>
          <w:p w14:paraId="51BB2953" w14:textId="77777777" w:rsidR="00494AE4" w:rsidRPr="00564B9D" w:rsidRDefault="00494AE4"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الجرائم الجنسية (الاغتصاب ومحاولة الاغتصاب، والاعتداء الجنسي، والأفعال الجرمية المرتبطة بالبغاء، وجرائم جنسية أخرى)؛ 468 مجرماً حكم عليهم بالسجن (8,6 حالة لكل 000</w:t>
            </w:r>
            <w:r w:rsidRPr="00564B9D">
              <w:rPr>
                <w:sz w:val="20"/>
                <w:szCs w:val="20"/>
                <w:rtl/>
              </w:rPr>
              <w:t> </w:t>
            </w:r>
            <w:r w:rsidRPr="00564B9D">
              <w:rPr>
                <w:rFonts w:hint="cs"/>
                <w:sz w:val="20"/>
                <w:szCs w:val="20"/>
                <w:rtl/>
              </w:rPr>
              <w:t>100 شخص)؛</w:t>
            </w:r>
          </w:p>
          <w:p w14:paraId="142D3BCF" w14:textId="6A4D57D7" w:rsidR="00494AE4" w:rsidRPr="00564B9D" w:rsidRDefault="00494AE4" w:rsidP="00494AE4">
            <w:pPr>
              <w:pStyle w:val="SingleTxtGA"/>
              <w:numPr>
                <w:ilvl w:val="0"/>
                <w:numId w:val="12"/>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السطو على المنازل: 501 مجرم حكم عليهم بالسجن (</w:t>
            </w:r>
            <w:r w:rsidR="00974E62" w:rsidRPr="00564B9D">
              <w:rPr>
                <w:rFonts w:hint="cs"/>
                <w:sz w:val="20"/>
                <w:szCs w:val="20"/>
                <w:rtl/>
              </w:rPr>
              <w:t>9,2</w:t>
            </w:r>
            <w:r w:rsidRPr="00564B9D">
              <w:rPr>
                <w:rFonts w:hint="cs"/>
                <w:sz w:val="20"/>
                <w:szCs w:val="20"/>
                <w:rtl/>
              </w:rPr>
              <w:t xml:space="preserve"> حالة لكل 000</w:t>
            </w:r>
            <w:r w:rsidRPr="00564B9D">
              <w:rPr>
                <w:sz w:val="20"/>
                <w:szCs w:val="20"/>
                <w:rtl/>
              </w:rPr>
              <w:t> </w:t>
            </w:r>
            <w:r w:rsidRPr="00564B9D">
              <w:rPr>
                <w:rFonts w:hint="cs"/>
                <w:sz w:val="20"/>
                <w:szCs w:val="20"/>
                <w:rtl/>
              </w:rPr>
              <w:t>100 شخص).</w:t>
            </w:r>
          </w:p>
          <w:p w14:paraId="265C21D5" w14:textId="1F4CEC20" w:rsidR="00494AE4" w:rsidRPr="00564B9D" w:rsidRDefault="000F4858" w:rsidP="00494AE4">
            <w:pPr>
              <w:pStyle w:val="SingleTxtGA"/>
              <w:numPr>
                <w:ilvl w:val="0"/>
                <w:numId w:val="13"/>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أيرلندا الشمالية</w:t>
            </w:r>
            <w:r w:rsidR="00494AE4" w:rsidRPr="00564B9D">
              <w:rPr>
                <w:rFonts w:hint="cs"/>
                <w:sz w:val="20"/>
                <w:szCs w:val="20"/>
                <w:rtl/>
              </w:rPr>
              <w:t xml:space="preserve"> (2006)</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01"/>
            </w:r>
            <w:r w:rsidR="00494AE4" w:rsidRPr="00564B9D">
              <w:rPr>
                <w:sz w:val="20"/>
                <w:szCs w:val="20"/>
                <w:vertAlign w:val="superscript"/>
                <w:rtl/>
              </w:rPr>
              <w:t>)</w:t>
            </w:r>
            <w:r w:rsidR="00494AE4" w:rsidRPr="00564B9D">
              <w:rPr>
                <w:rFonts w:hint="cs"/>
                <w:sz w:val="20"/>
                <w:szCs w:val="20"/>
                <w:rtl/>
              </w:rPr>
              <w:t>:</w:t>
            </w:r>
          </w:p>
          <w:p w14:paraId="378AB39C" w14:textId="77777777" w:rsidR="00494AE4" w:rsidRPr="00564B9D" w:rsidRDefault="00494AE4" w:rsidP="00494AE4">
            <w:pPr>
              <w:pStyle w:val="SingleTxtGA"/>
              <w:numPr>
                <w:ilvl w:val="0"/>
                <w:numId w:val="13"/>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pacing w:val="-2"/>
                <w:sz w:val="20"/>
                <w:szCs w:val="20"/>
                <w:rtl/>
              </w:rPr>
              <w:t>أعمال العنف المرتكبة ضد الأشخاص: 441 شخصاً تمت إدانتهم (23,3 حالة لكل 000</w:t>
            </w:r>
            <w:r w:rsidRPr="00564B9D">
              <w:rPr>
                <w:spacing w:val="-2"/>
                <w:sz w:val="20"/>
                <w:szCs w:val="20"/>
                <w:rtl/>
              </w:rPr>
              <w:t> </w:t>
            </w:r>
            <w:r w:rsidRPr="00564B9D">
              <w:rPr>
                <w:rFonts w:hint="cs"/>
                <w:spacing w:val="-2"/>
                <w:sz w:val="20"/>
                <w:szCs w:val="20"/>
                <w:rtl/>
              </w:rPr>
              <w:t>100 شخص)</w:t>
            </w:r>
            <w:r w:rsidRPr="00564B9D">
              <w:rPr>
                <w:rFonts w:hint="cs"/>
                <w:sz w:val="20"/>
                <w:szCs w:val="20"/>
                <w:rtl/>
              </w:rPr>
              <w:t>؛</w:t>
            </w:r>
          </w:p>
          <w:p w14:paraId="5F19293C" w14:textId="77777777" w:rsidR="00494AE4" w:rsidRPr="00564B9D" w:rsidRDefault="00494AE4" w:rsidP="00494AE4">
            <w:pPr>
              <w:pStyle w:val="SingleTxtGA"/>
              <w:numPr>
                <w:ilvl w:val="0"/>
                <w:numId w:val="13"/>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جرائم جنسية: 132 شخصاً تمت إدانتهم (7,0 حالة لكل 000</w:t>
            </w:r>
            <w:r w:rsidRPr="00564B9D">
              <w:rPr>
                <w:sz w:val="20"/>
                <w:szCs w:val="20"/>
                <w:rtl/>
              </w:rPr>
              <w:t> </w:t>
            </w:r>
            <w:r w:rsidRPr="00564B9D">
              <w:rPr>
                <w:rFonts w:hint="cs"/>
                <w:sz w:val="20"/>
                <w:szCs w:val="20"/>
                <w:rtl/>
              </w:rPr>
              <w:t>100 شخص)؛</w:t>
            </w:r>
            <w:r w:rsidRPr="00564B9D">
              <w:rPr>
                <w:sz w:val="20"/>
                <w:szCs w:val="20"/>
                <w:rtl/>
              </w:rPr>
              <w:t xml:space="preserve"> </w:t>
            </w:r>
          </w:p>
        </w:tc>
      </w:tr>
      <w:tr w:rsidR="007B5A24" w:rsidRPr="00564B9D" w14:paraId="2150ABFF" w14:textId="77777777" w:rsidTr="000F4858">
        <w:tblPrEx>
          <w:tblLook w:val="0000" w:firstRow="0" w:lastRow="0" w:firstColumn="0" w:lastColumn="0" w:noHBand="0" w:noVBand="0"/>
        </w:tblPrEx>
        <w:trPr>
          <w:trHeight w:val="240"/>
        </w:trPr>
        <w:tc>
          <w:tcPr>
            <w:tcW w:w="3654" w:type="dxa"/>
            <w:shd w:val="clear" w:color="auto" w:fill="auto"/>
          </w:tcPr>
          <w:p w14:paraId="04A5AF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 xml:space="preserve">عدد حالات العنف بدافع الجنس المبلغ عنها (مثل الاغتصاب، وتشويه الأعضاء الجنسية عند الإناث، وجرائم الشرف، والاعتداء بالأحماض). </w:t>
            </w:r>
          </w:p>
        </w:tc>
        <w:tc>
          <w:tcPr>
            <w:tcW w:w="4738" w:type="dxa"/>
            <w:shd w:val="clear" w:color="auto" w:fill="auto"/>
          </w:tcPr>
          <w:p w14:paraId="633D59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102"/>
            </w:r>
            <w:r w:rsidRPr="00564B9D">
              <w:rPr>
                <w:sz w:val="20"/>
                <w:szCs w:val="20"/>
                <w:vertAlign w:val="superscript"/>
                <w:rtl/>
              </w:rPr>
              <w:t>)</w:t>
            </w:r>
            <w:r w:rsidRPr="00564B9D">
              <w:rPr>
                <w:rFonts w:hint="cs"/>
                <w:sz w:val="20"/>
                <w:szCs w:val="20"/>
                <w:rtl/>
              </w:rPr>
              <w:t>: 936</w:t>
            </w:r>
            <w:r w:rsidRPr="00564B9D">
              <w:rPr>
                <w:sz w:val="20"/>
                <w:szCs w:val="20"/>
                <w:rtl/>
              </w:rPr>
              <w:t> </w:t>
            </w:r>
            <w:r w:rsidRPr="00564B9D">
              <w:rPr>
                <w:rFonts w:hint="cs"/>
                <w:sz w:val="20"/>
                <w:szCs w:val="20"/>
                <w:rtl/>
              </w:rPr>
              <w:t>162 في الفترة 2019/2020</w:t>
            </w:r>
          </w:p>
          <w:p w14:paraId="439DEC18" w14:textId="45B186EE"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w:t>
            </w:r>
            <w:r w:rsidR="003753EF" w:rsidRPr="00564B9D">
              <w:rPr>
                <w:rFonts w:hint="cs"/>
                <w:sz w:val="20"/>
                <w:szCs w:val="20"/>
                <w:rtl/>
              </w:rPr>
              <w:t>ا</w:t>
            </w:r>
            <w:r w:rsidRPr="00564B9D">
              <w:rPr>
                <w:rFonts w:hint="cs"/>
                <w:sz w:val="20"/>
                <w:szCs w:val="20"/>
                <w:rtl/>
              </w:rPr>
              <w:t>: 452</w:t>
            </w:r>
            <w:r w:rsidRPr="00564B9D">
              <w:rPr>
                <w:sz w:val="20"/>
                <w:szCs w:val="20"/>
                <w:rtl/>
              </w:rPr>
              <w:t> </w:t>
            </w:r>
            <w:r w:rsidRPr="00564B9D">
              <w:rPr>
                <w:rFonts w:hint="cs"/>
                <w:sz w:val="20"/>
                <w:szCs w:val="20"/>
                <w:rtl/>
              </w:rPr>
              <w:t>12 في الفترة 2019/2020</w:t>
            </w:r>
          </w:p>
          <w:p w14:paraId="1C772199" w14:textId="7F4833AD"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03"/>
            </w:r>
            <w:r w:rsidR="00494AE4" w:rsidRPr="00564B9D">
              <w:rPr>
                <w:sz w:val="20"/>
                <w:szCs w:val="20"/>
                <w:vertAlign w:val="superscript"/>
                <w:rtl/>
              </w:rPr>
              <w:t>)</w:t>
            </w:r>
            <w:r w:rsidR="00494AE4" w:rsidRPr="00564B9D">
              <w:rPr>
                <w:rFonts w:hint="cs"/>
                <w:sz w:val="20"/>
                <w:szCs w:val="20"/>
                <w:rtl/>
              </w:rPr>
              <w:t>: 558</w:t>
            </w:r>
            <w:r w:rsidR="00494AE4" w:rsidRPr="00564B9D">
              <w:rPr>
                <w:sz w:val="20"/>
                <w:szCs w:val="20"/>
                <w:rtl/>
              </w:rPr>
              <w:t> </w:t>
            </w:r>
            <w:r w:rsidR="00494AE4" w:rsidRPr="00564B9D">
              <w:rPr>
                <w:rFonts w:hint="cs"/>
                <w:sz w:val="20"/>
                <w:szCs w:val="20"/>
                <w:rtl/>
              </w:rPr>
              <w:t>3 في الفترة 2019/2020</w:t>
            </w:r>
          </w:p>
        </w:tc>
      </w:tr>
      <w:tr w:rsidR="007B5A24" w:rsidRPr="00564B9D" w14:paraId="408FE97D" w14:textId="77777777" w:rsidTr="000F4858">
        <w:tblPrEx>
          <w:tblLook w:val="0000" w:firstRow="0" w:lastRow="0" w:firstColumn="0" w:lastColumn="0" w:noHBand="0" w:noVBand="0"/>
        </w:tblPrEx>
        <w:trPr>
          <w:trHeight w:val="240"/>
        </w:trPr>
        <w:tc>
          <w:tcPr>
            <w:tcW w:w="3654" w:type="dxa"/>
            <w:shd w:val="clear" w:color="auto" w:fill="auto"/>
          </w:tcPr>
          <w:p w14:paraId="2EE31F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المدة الزمنية القصوى للاحتجاز السابق للمحاكمة (الحبس الاحتياطي)</w:t>
            </w:r>
          </w:p>
        </w:tc>
        <w:tc>
          <w:tcPr>
            <w:tcW w:w="4738" w:type="dxa"/>
            <w:shd w:val="clear" w:color="auto" w:fill="auto"/>
          </w:tcPr>
          <w:p w14:paraId="5A2BA950" w14:textId="3C433DB5"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 56 يوماً (المحكمة الجزئية)؛ 70-182 يوماً (محكمة التاج). بعد كوفيد-19 ارتفعت المدة الزمنية القصوى للاحتجاز السابق للمحاكمة بما مقداره 56 يوماً ومن 182 يوماً إلى 238 يوماً لجميع</w:t>
            </w:r>
            <w:r w:rsidRPr="00564B9D">
              <w:rPr>
                <w:sz w:val="20"/>
                <w:szCs w:val="20"/>
                <w:rtl/>
              </w:rPr>
              <w:t xml:space="preserve"> الجرائم الجنائية القابلة للمقاضاة في أي من الاتجاهين و</w:t>
            </w:r>
            <w:r w:rsidRPr="00564B9D">
              <w:rPr>
                <w:rFonts w:hint="cs"/>
                <w:sz w:val="20"/>
                <w:szCs w:val="20"/>
                <w:rtl/>
              </w:rPr>
              <w:t>فقط للجرائم</w:t>
            </w:r>
            <w:r w:rsidRPr="00564B9D">
              <w:rPr>
                <w:sz w:val="20"/>
                <w:szCs w:val="20"/>
                <w:rtl/>
              </w:rPr>
              <w:t xml:space="preserve"> التي تنتظر المحاكمة </w:t>
            </w:r>
            <w:r w:rsidRPr="00564B9D">
              <w:rPr>
                <w:rFonts w:hint="cs"/>
                <w:sz w:val="20"/>
                <w:szCs w:val="20"/>
                <w:rtl/>
              </w:rPr>
              <w:t>يعد صدور</w:t>
            </w:r>
            <w:r w:rsidRPr="00564B9D">
              <w:rPr>
                <w:sz w:val="20"/>
                <w:szCs w:val="20"/>
                <w:rtl/>
              </w:rPr>
              <w:t xml:space="preserve"> لائحة الاتهام في محكمة التاج ومن 112 يوماً إلى 168 يوماً، في الحالات النادرة، حيث يُفضل تقديم لائحة اتهام طوعية، أو </w:t>
            </w:r>
            <w:r w:rsidRPr="00564B9D">
              <w:rPr>
                <w:rFonts w:hint="cs"/>
                <w:sz w:val="20"/>
                <w:szCs w:val="20"/>
                <w:rtl/>
              </w:rPr>
              <w:t>إذا</w:t>
            </w:r>
            <w:r w:rsidRPr="00564B9D">
              <w:rPr>
                <w:sz w:val="20"/>
                <w:szCs w:val="20"/>
                <w:rtl/>
              </w:rPr>
              <w:t xml:space="preserve"> أمرت محكمة الاستئناف بمحاكمة</w:t>
            </w:r>
            <w:r w:rsidRPr="00564B9D">
              <w:rPr>
                <w:rFonts w:hint="cs"/>
                <w:sz w:val="20"/>
                <w:szCs w:val="20"/>
                <w:rtl/>
              </w:rPr>
              <w:t xml:space="preserve"> جديدة</w:t>
            </w:r>
            <w:r w:rsidRPr="00564B9D">
              <w:rPr>
                <w:sz w:val="20"/>
                <w:szCs w:val="20"/>
                <w:rtl/>
              </w:rPr>
              <w:t>.</w:t>
            </w:r>
          </w:p>
          <w:p w14:paraId="580B4F9B" w14:textId="3DBCAD2E"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 البيانات غير متوفرة</w:t>
            </w:r>
            <w:r w:rsidR="00DA45EB" w:rsidRPr="00564B9D">
              <w:rPr>
                <w:rFonts w:hint="cs"/>
                <w:sz w:val="20"/>
                <w:szCs w:val="20"/>
                <w:rtl/>
              </w:rPr>
              <w:t>.</w:t>
            </w:r>
          </w:p>
          <w:p w14:paraId="44F9DC94" w14:textId="0A41E244"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04"/>
            </w:r>
            <w:r w:rsidR="00494AE4" w:rsidRPr="00564B9D">
              <w:rPr>
                <w:sz w:val="20"/>
                <w:szCs w:val="20"/>
                <w:vertAlign w:val="superscript"/>
                <w:rtl/>
              </w:rPr>
              <w:t>)</w:t>
            </w:r>
            <w:r w:rsidR="00494AE4" w:rsidRPr="00564B9D">
              <w:rPr>
                <w:rFonts w:hint="cs"/>
                <w:sz w:val="20"/>
                <w:szCs w:val="20"/>
                <w:rtl/>
              </w:rPr>
              <w:t>: 163,4 يوماً (في المتوسط) في 30 حزيران/يونيه 2013</w:t>
            </w:r>
          </w:p>
        </w:tc>
      </w:tr>
      <w:tr w:rsidR="007B5A24" w:rsidRPr="00564B9D" w14:paraId="317C87D0" w14:textId="77777777" w:rsidTr="000F4858">
        <w:tblPrEx>
          <w:tblLook w:val="0000" w:firstRow="0" w:lastRow="0" w:firstColumn="0" w:lastColumn="0" w:noHBand="0" w:noVBand="0"/>
        </w:tblPrEx>
        <w:trPr>
          <w:trHeight w:val="240"/>
        </w:trPr>
        <w:tc>
          <w:tcPr>
            <w:tcW w:w="3654" w:type="dxa"/>
            <w:shd w:val="clear" w:color="auto" w:fill="auto"/>
          </w:tcPr>
          <w:p w14:paraId="6BFD44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المساجين وتوزيعهم بحسب نوع الجريمة وطول مدة الحكم </w:t>
            </w:r>
          </w:p>
        </w:tc>
        <w:tc>
          <w:tcPr>
            <w:tcW w:w="4738" w:type="dxa"/>
            <w:shd w:val="clear" w:color="auto" w:fill="auto"/>
          </w:tcPr>
          <w:p w14:paraId="6E3769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105"/>
            </w:r>
            <w:r w:rsidRPr="00564B9D">
              <w:rPr>
                <w:sz w:val="20"/>
                <w:szCs w:val="20"/>
                <w:vertAlign w:val="superscript"/>
                <w:rtl/>
              </w:rPr>
              <w:t>)</w:t>
            </w:r>
            <w:r w:rsidRPr="00564B9D">
              <w:rPr>
                <w:rFonts w:hint="cs"/>
                <w:sz w:val="20"/>
                <w:szCs w:val="20"/>
                <w:rtl/>
              </w:rPr>
              <w:t xml:space="preserve"> </w:t>
            </w:r>
          </w:p>
          <w:p w14:paraId="5ED0CA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 بحسب نوع الجريمة (المجموع 081</w:t>
            </w:r>
            <w:r w:rsidRPr="00564B9D">
              <w:rPr>
                <w:sz w:val="20"/>
                <w:szCs w:val="20"/>
                <w:rtl/>
              </w:rPr>
              <w:t> </w:t>
            </w:r>
            <w:r w:rsidRPr="00564B9D">
              <w:rPr>
                <w:rFonts w:hint="cs"/>
                <w:sz w:val="20"/>
                <w:szCs w:val="20"/>
                <w:rtl/>
              </w:rPr>
              <w:t>66)؛ العنف ضد الأشخاص (437</w:t>
            </w:r>
            <w:r w:rsidRPr="00564B9D">
              <w:rPr>
                <w:sz w:val="20"/>
                <w:szCs w:val="20"/>
                <w:rtl/>
              </w:rPr>
              <w:t> </w:t>
            </w:r>
            <w:r w:rsidRPr="00564B9D">
              <w:rPr>
                <w:rFonts w:hint="cs"/>
                <w:sz w:val="20"/>
                <w:szCs w:val="20"/>
                <w:rtl/>
              </w:rPr>
              <w:t>19)؛ جرائم جنسية (005</w:t>
            </w:r>
            <w:r w:rsidRPr="00564B9D">
              <w:rPr>
                <w:sz w:val="20"/>
                <w:szCs w:val="20"/>
                <w:rtl/>
              </w:rPr>
              <w:t> </w:t>
            </w:r>
            <w:r w:rsidRPr="00564B9D">
              <w:rPr>
                <w:rFonts w:hint="cs"/>
                <w:sz w:val="20"/>
                <w:szCs w:val="20"/>
                <w:rtl/>
              </w:rPr>
              <w:t>12)؛ سطو (843</w:t>
            </w:r>
            <w:r w:rsidRPr="00564B9D">
              <w:rPr>
                <w:sz w:val="20"/>
                <w:szCs w:val="20"/>
                <w:rtl/>
              </w:rPr>
              <w:t> </w:t>
            </w:r>
            <w:r w:rsidRPr="00564B9D">
              <w:rPr>
                <w:rFonts w:hint="cs"/>
                <w:sz w:val="20"/>
                <w:szCs w:val="20"/>
                <w:rtl/>
              </w:rPr>
              <w:t>6)؛ سرقة (060</w:t>
            </w:r>
            <w:r w:rsidRPr="00564B9D">
              <w:rPr>
                <w:sz w:val="20"/>
                <w:szCs w:val="20"/>
                <w:rtl/>
              </w:rPr>
              <w:t> </w:t>
            </w:r>
            <w:r w:rsidRPr="00564B9D">
              <w:rPr>
                <w:rFonts w:hint="cs"/>
                <w:sz w:val="20"/>
                <w:szCs w:val="20"/>
                <w:rtl/>
              </w:rPr>
              <w:t>7)؛ أعطاب جنائية وحريق متعمد (067</w:t>
            </w:r>
            <w:r w:rsidRPr="00564B9D">
              <w:rPr>
                <w:sz w:val="20"/>
                <w:szCs w:val="20"/>
                <w:rtl/>
              </w:rPr>
              <w:t> </w:t>
            </w:r>
            <w:r w:rsidRPr="00564B9D">
              <w:rPr>
                <w:rFonts w:hint="cs"/>
                <w:sz w:val="20"/>
                <w:szCs w:val="20"/>
                <w:rtl/>
              </w:rPr>
              <w:t>1)؛ جرائم المخدرات (990</w:t>
            </w:r>
            <w:r w:rsidRPr="00564B9D">
              <w:rPr>
                <w:sz w:val="20"/>
                <w:szCs w:val="20"/>
                <w:rtl/>
              </w:rPr>
              <w:t> </w:t>
            </w:r>
            <w:r w:rsidRPr="00564B9D">
              <w:rPr>
                <w:rFonts w:hint="cs"/>
                <w:sz w:val="20"/>
                <w:szCs w:val="20"/>
                <w:rtl/>
              </w:rPr>
              <w:t>9)؛ حيازة سلاح (383</w:t>
            </w:r>
            <w:r w:rsidRPr="00564B9D">
              <w:rPr>
                <w:sz w:val="20"/>
                <w:szCs w:val="20"/>
                <w:rtl/>
              </w:rPr>
              <w:t> </w:t>
            </w:r>
            <w:r w:rsidRPr="00564B9D">
              <w:rPr>
                <w:rFonts w:hint="cs"/>
                <w:sz w:val="20"/>
                <w:szCs w:val="20"/>
                <w:rtl/>
              </w:rPr>
              <w:t>2)؛ جرائم النظام العام (053</w:t>
            </w:r>
            <w:r w:rsidRPr="00564B9D">
              <w:rPr>
                <w:sz w:val="20"/>
                <w:szCs w:val="20"/>
                <w:rtl/>
              </w:rPr>
              <w:t> </w:t>
            </w:r>
            <w:r w:rsidRPr="00564B9D">
              <w:rPr>
                <w:rFonts w:hint="cs"/>
                <w:sz w:val="20"/>
                <w:szCs w:val="20"/>
                <w:rtl/>
              </w:rPr>
              <w:t>1)؛ جرائم متنوعة ضد المجتمع (248</w:t>
            </w:r>
            <w:r w:rsidRPr="00564B9D">
              <w:rPr>
                <w:sz w:val="20"/>
                <w:szCs w:val="20"/>
                <w:rtl/>
              </w:rPr>
              <w:t> </w:t>
            </w:r>
            <w:r w:rsidRPr="00564B9D">
              <w:rPr>
                <w:rFonts w:hint="cs"/>
                <w:sz w:val="20"/>
                <w:szCs w:val="20"/>
                <w:rtl/>
              </w:rPr>
              <w:t>2)؛ جرائم الاحتيال (832؛ جرائم عاجلة غير حوادث السيارات (716</w:t>
            </w:r>
            <w:r w:rsidRPr="00564B9D">
              <w:rPr>
                <w:sz w:val="20"/>
                <w:szCs w:val="20"/>
                <w:rtl/>
              </w:rPr>
              <w:t> </w:t>
            </w:r>
            <w:r w:rsidRPr="00564B9D">
              <w:rPr>
                <w:rFonts w:hint="cs"/>
                <w:sz w:val="20"/>
                <w:szCs w:val="20"/>
                <w:rtl/>
              </w:rPr>
              <w:t>2)؛ جرائم عاجلة لحوادث السيارات (307)؛ جرائم غير مسجلة (147).</w:t>
            </w:r>
          </w:p>
          <w:p w14:paraId="0AF1BA3F" w14:textId="4AC27E2D"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 بحسب طول مدة الحكم (المجموع 100</w:t>
            </w:r>
            <w:r w:rsidRPr="00564B9D">
              <w:rPr>
                <w:sz w:val="20"/>
                <w:szCs w:val="20"/>
                <w:rtl/>
              </w:rPr>
              <w:t> </w:t>
            </w:r>
            <w:r w:rsidRPr="00564B9D">
              <w:rPr>
                <w:rFonts w:hint="cs"/>
                <w:sz w:val="20"/>
                <w:szCs w:val="20"/>
                <w:rtl/>
              </w:rPr>
              <w:t>66)؛ التخلف عن دفع الغرامة (19)؛ 6 أشهر أو أقل (034</w:t>
            </w:r>
            <w:r w:rsidRPr="00564B9D">
              <w:rPr>
                <w:sz w:val="20"/>
                <w:szCs w:val="20"/>
                <w:rtl/>
              </w:rPr>
              <w:t> </w:t>
            </w:r>
            <w:r w:rsidRPr="00564B9D">
              <w:rPr>
                <w:rFonts w:hint="cs"/>
                <w:sz w:val="20"/>
                <w:szCs w:val="20"/>
                <w:rtl/>
              </w:rPr>
              <w:t xml:space="preserve">2)؛ أكثر من 6 أشهر وأقل من </w:t>
            </w:r>
            <w:r w:rsidRPr="00564B9D">
              <w:rPr>
                <w:rFonts w:hint="cs"/>
                <w:sz w:val="20"/>
                <w:szCs w:val="20"/>
                <w:rtl/>
              </w:rPr>
              <w:lastRenderedPageBreak/>
              <w:t>12 شهراً (380</w:t>
            </w:r>
            <w:r w:rsidRPr="00564B9D">
              <w:rPr>
                <w:sz w:val="20"/>
                <w:szCs w:val="20"/>
                <w:rtl/>
              </w:rPr>
              <w:t> </w:t>
            </w:r>
            <w:r w:rsidRPr="00564B9D">
              <w:rPr>
                <w:rFonts w:hint="cs"/>
                <w:sz w:val="20"/>
                <w:szCs w:val="20"/>
                <w:rtl/>
              </w:rPr>
              <w:t>1)؛ 12 شهراً إلى أقل من 4 سنوات (951</w:t>
            </w:r>
            <w:r w:rsidRPr="00564B9D">
              <w:rPr>
                <w:sz w:val="20"/>
                <w:szCs w:val="20"/>
                <w:rtl/>
              </w:rPr>
              <w:t> </w:t>
            </w:r>
            <w:r w:rsidRPr="00564B9D">
              <w:rPr>
                <w:rFonts w:hint="cs"/>
                <w:sz w:val="20"/>
                <w:szCs w:val="20"/>
                <w:rtl/>
              </w:rPr>
              <w:t xml:space="preserve">11)؛ 4 سنوات أو أكثر - ما عدا الأحكام غير </w:t>
            </w:r>
            <w:r w:rsidR="007B752D" w:rsidRPr="00564B9D">
              <w:rPr>
                <w:rFonts w:hint="cs"/>
                <w:sz w:val="20"/>
                <w:szCs w:val="20"/>
                <w:rtl/>
              </w:rPr>
              <w:t>ال</w:t>
            </w:r>
            <w:r w:rsidRPr="00564B9D">
              <w:rPr>
                <w:rFonts w:hint="cs"/>
                <w:sz w:val="20"/>
                <w:szCs w:val="20"/>
                <w:rtl/>
              </w:rPr>
              <w:t>محددة المدة (169</w:t>
            </w:r>
            <w:r w:rsidRPr="00564B9D">
              <w:rPr>
                <w:sz w:val="20"/>
                <w:szCs w:val="20"/>
                <w:rtl/>
              </w:rPr>
              <w:t> </w:t>
            </w:r>
            <w:r w:rsidRPr="00564B9D">
              <w:rPr>
                <w:rFonts w:hint="cs"/>
                <w:sz w:val="20"/>
                <w:szCs w:val="20"/>
                <w:rtl/>
              </w:rPr>
              <w:t xml:space="preserve">32)؛ </w:t>
            </w:r>
            <w:r w:rsidR="00DA45EB" w:rsidRPr="00564B9D">
              <w:rPr>
                <w:rFonts w:hint="cs"/>
                <w:sz w:val="20"/>
                <w:szCs w:val="20"/>
                <w:rtl/>
              </w:rPr>
              <w:t xml:space="preserve">الأحكام غير </w:t>
            </w:r>
            <w:r w:rsidR="007B752D" w:rsidRPr="00564B9D">
              <w:rPr>
                <w:rFonts w:hint="cs"/>
                <w:sz w:val="20"/>
                <w:szCs w:val="20"/>
                <w:rtl/>
              </w:rPr>
              <w:t>ال</w:t>
            </w:r>
            <w:r w:rsidR="00DA45EB" w:rsidRPr="00564B9D">
              <w:rPr>
                <w:rFonts w:hint="cs"/>
                <w:sz w:val="20"/>
                <w:szCs w:val="20"/>
                <w:rtl/>
              </w:rPr>
              <w:t xml:space="preserve">محددة المدة (840 8)؛ </w:t>
            </w:r>
            <w:r w:rsidRPr="00564B9D">
              <w:rPr>
                <w:rFonts w:hint="cs"/>
                <w:sz w:val="20"/>
                <w:szCs w:val="20"/>
                <w:rtl/>
              </w:rPr>
              <w:t>إلغاء الحكم (250</w:t>
            </w:r>
            <w:r w:rsidRPr="00564B9D">
              <w:rPr>
                <w:sz w:val="20"/>
                <w:szCs w:val="20"/>
                <w:rtl/>
              </w:rPr>
              <w:t> </w:t>
            </w:r>
            <w:r w:rsidRPr="00564B9D">
              <w:rPr>
                <w:rFonts w:hint="cs"/>
                <w:sz w:val="20"/>
                <w:szCs w:val="20"/>
                <w:rtl/>
              </w:rPr>
              <w:t>9)؛ أحكام مدتها غير مسجلة (457).</w:t>
            </w:r>
          </w:p>
          <w:p w14:paraId="7682BA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p>
          <w:p w14:paraId="104477D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 بحسب نوع الجريمة (المجموع 435</w:t>
            </w:r>
            <w:r w:rsidRPr="00564B9D">
              <w:rPr>
                <w:sz w:val="20"/>
                <w:szCs w:val="20"/>
                <w:rtl/>
              </w:rPr>
              <w:t> </w:t>
            </w:r>
            <w:r w:rsidRPr="00564B9D">
              <w:rPr>
                <w:rFonts w:hint="cs"/>
                <w:sz w:val="20"/>
                <w:szCs w:val="20"/>
                <w:rtl/>
              </w:rPr>
              <w:t>7): جرائم عنف غير جنسية (874</w:t>
            </w:r>
            <w:r w:rsidRPr="00564B9D">
              <w:rPr>
                <w:sz w:val="20"/>
                <w:szCs w:val="20"/>
                <w:rtl/>
              </w:rPr>
              <w:t> </w:t>
            </w:r>
            <w:r w:rsidRPr="00564B9D">
              <w:rPr>
                <w:rFonts w:hint="cs"/>
                <w:sz w:val="20"/>
                <w:szCs w:val="20"/>
                <w:rtl/>
              </w:rPr>
              <w:t>2)؛ جرائم جنسية (154</w:t>
            </w:r>
            <w:r w:rsidRPr="00564B9D">
              <w:rPr>
                <w:sz w:val="20"/>
                <w:szCs w:val="20"/>
                <w:rtl/>
              </w:rPr>
              <w:t> </w:t>
            </w:r>
            <w:r w:rsidRPr="00564B9D">
              <w:rPr>
                <w:rFonts w:hint="cs"/>
                <w:sz w:val="20"/>
                <w:szCs w:val="20"/>
                <w:rtl/>
              </w:rPr>
              <w:t>1)؛ جرائم انعدام الأمانة (476)؛ الحريق العمد والتخريب ونحو ذلك (111)؛ جرائم أخرى (206</w:t>
            </w:r>
            <w:r w:rsidRPr="00564B9D">
              <w:rPr>
                <w:sz w:val="20"/>
                <w:szCs w:val="20"/>
                <w:rtl/>
              </w:rPr>
              <w:t> </w:t>
            </w:r>
            <w:r w:rsidRPr="00564B9D">
              <w:rPr>
                <w:rFonts w:hint="cs"/>
                <w:sz w:val="20"/>
                <w:szCs w:val="20"/>
                <w:rtl/>
              </w:rPr>
              <w:t>1)؛ جرائم متنوعة (759)؛ جرائم حوادث السيارات (76)؛ تهم غير معروفة (348)؛ تهم تنتمي لاختصاصات أخرى (39).</w:t>
            </w:r>
          </w:p>
          <w:p w14:paraId="2DB5CC85" w14:textId="342FC5BF"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 بحسب طول مدة الحكم (المجموع 423</w:t>
            </w:r>
            <w:r w:rsidRPr="00564B9D">
              <w:rPr>
                <w:sz w:val="20"/>
                <w:szCs w:val="20"/>
                <w:rtl/>
              </w:rPr>
              <w:t> </w:t>
            </w:r>
            <w:r w:rsidRPr="00564B9D">
              <w:rPr>
                <w:rFonts w:hint="cs"/>
                <w:sz w:val="20"/>
                <w:szCs w:val="20"/>
                <w:rtl/>
              </w:rPr>
              <w:t xml:space="preserve">5): أقل من 3 أشهر (34)؛ من 3 أشهر إلى أقل من 6 أشهر (135)؛ من 6 أشهر إلى أقل من سنة (238)؛ من 12 شهراً </w:t>
            </w:r>
            <w:r w:rsidR="004F08E0" w:rsidRPr="00564B9D">
              <w:rPr>
                <w:rFonts w:hint="cs"/>
                <w:sz w:val="20"/>
                <w:szCs w:val="20"/>
                <w:rtl/>
              </w:rPr>
              <w:t>إلى</w:t>
            </w:r>
            <w:r w:rsidRPr="00564B9D">
              <w:rPr>
                <w:rFonts w:hint="cs"/>
                <w:sz w:val="20"/>
                <w:szCs w:val="20"/>
                <w:rtl/>
              </w:rPr>
              <w:t xml:space="preserve"> أقل من 18 شهراً (344)؛ من 18 شهراً إلى أقل من سنتين (398)؛ من سنتين إلى أقل من 4 سنوات (145</w:t>
            </w:r>
            <w:r w:rsidRPr="00564B9D">
              <w:rPr>
                <w:sz w:val="20"/>
                <w:szCs w:val="20"/>
                <w:rtl/>
              </w:rPr>
              <w:t> </w:t>
            </w:r>
            <w:r w:rsidRPr="00564B9D">
              <w:rPr>
                <w:rFonts w:hint="cs"/>
                <w:sz w:val="20"/>
                <w:szCs w:val="20"/>
                <w:rtl/>
              </w:rPr>
              <w:t>1)؛ 4 سنوات إلى 10 سنوت (625 1)؛ 10 سنوات أو أكثر - باستثناء السجن المؤبد (342)؛ سجن مؤبد (993)؛ مفقود (169).</w:t>
            </w:r>
          </w:p>
          <w:p w14:paraId="3273CF40" w14:textId="329B53EB"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06"/>
            </w:r>
            <w:r w:rsidR="00494AE4" w:rsidRPr="00564B9D">
              <w:rPr>
                <w:sz w:val="20"/>
                <w:szCs w:val="20"/>
                <w:vertAlign w:val="superscript"/>
                <w:rtl/>
              </w:rPr>
              <w:t>)</w:t>
            </w:r>
            <w:r w:rsidR="00494AE4" w:rsidRPr="00564B9D">
              <w:rPr>
                <w:rFonts w:hint="cs"/>
                <w:sz w:val="20"/>
                <w:szCs w:val="20"/>
                <w:rtl/>
              </w:rPr>
              <w:t xml:space="preserve"> - المتوسط اليومي بين سكان </w:t>
            </w:r>
            <w:r w:rsidRPr="00564B9D">
              <w:rPr>
                <w:rFonts w:hint="cs"/>
                <w:sz w:val="20"/>
                <w:szCs w:val="20"/>
                <w:rtl/>
              </w:rPr>
              <w:t>أيرلندا الشمالية</w:t>
            </w:r>
            <w:r w:rsidR="00494AE4" w:rsidRPr="00564B9D">
              <w:rPr>
                <w:rFonts w:hint="cs"/>
                <w:sz w:val="20"/>
                <w:szCs w:val="20"/>
                <w:rtl/>
              </w:rPr>
              <w:t xml:space="preserve"> في 2019/2020</w:t>
            </w:r>
          </w:p>
          <w:p w14:paraId="1FE2A84A" w14:textId="4B354B13"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التوزيع بحسب نوع الجريمة (المجموع </w:t>
            </w:r>
            <w:r w:rsidR="00EA2151" w:rsidRPr="00564B9D">
              <w:rPr>
                <w:rFonts w:hint="cs"/>
                <w:sz w:val="20"/>
                <w:szCs w:val="20"/>
                <w:rtl/>
              </w:rPr>
              <w:t>018 1</w:t>
            </w:r>
            <w:r w:rsidRPr="00564B9D">
              <w:rPr>
                <w:rFonts w:hint="cs"/>
                <w:sz w:val="20"/>
                <w:szCs w:val="20"/>
                <w:rtl/>
              </w:rPr>
              <w:t>)؛ العنف ضد الأشخاص (348)؛ جرائم جنسية (112)؛ جرائم جنسية متنوعة (3)؛ سطو (</w:t>
            </w:r>
            <w:r w:rsidR="00EA2151" w:rsidRPr="00564B9D">
              <w:rPr>
                <w:rFonts w:hint="cs"/>
                <w:sz w:val="20"/>
                <w:szCs w:val="20"/>
                <w:rtl/>
              </w:rPr>
              <w:t>92</w:t>
            </w:r>
            <w:r w:rsidRPr="00564B9D">
              <w:rPr>
                <w:rFonts w:hint="cs"/>
                <w:sz w:val="20"/>
                <w:szCs w:val="20"/>
                <w:rtl/>
              </w:rPr>
              <w:t>)؛ سرقة (39)؛ سطو على المنازل (69)؛ أعطاب جنائية (42)؛ جرائم المخدرات (94)؛ حيازة سلاح (14)؛ جرائم النظام العام (154)؛ احتيال (7)؛ جرائم حوادث السيارات (14)؛ جرائم أخرى (</w:t>
            </w:r>
            <w:r w:rsidR="00EA2151" w:rsidRPr="00564B9D">
              <w:rPr>
                <w:rFonts w:hint="cs"/>
                <w:sz w:val="20"/>
                <w:szCs w:val="20"/>
                <w:rtl/>
              </w:rPr>
              <w:t>30</w:t>
            </w:r>
            <w:r w:rsidRPr="00564B9D">
              <w:rPr>
                <w:rFonts w:hint="cs"/>
                <w:sz w:val="20"/>
                <w:szCs w:val="20"/>
                <w:rtl/>
              </w:rPr>
              <w:t>)؛ مفقود (1).</w:t>
            </w:r>
          </w:p>
          <w:p w14:paraId="555ED0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التوزيع بحسب طول مدة الحكم (المجموع 018</w:t>
            </w:r>
            <w:r w:rsidRPr="00564B9D">
              <w:rPr>
                <w:sz w:val="20"/>
                <w:szCs w:val="20"/>
                <w:rtl/>
              </w:rPr>
              <w:t> </w:t>
            </w:r>
            <w:r w:rsidRPr="00564B9D">
              <w:rPr>
                <w:rFonts w:hint="cs"/>
                <w:sz w:val="20"/>
                <w:szCs w:val="20"/>
                <w:rtl/>
              </w:rPr>
              <w:t>1): أقل من 3 أشهر (22)؛ 3-6 أشهر (70)؛ 6-12 شهراً (105)؛ سنة إلى 5 سنوات (384)؛ 5 سنوات إلى سجن مؤبد (270)؛ سجن مؤبد (165)؛ حالات أخرى (3).</w:t>
            </w:r>
          </w:p>
        </w:tc>
      </w:tr>
      <w:tr w:rsidR="007B5A24" w:rsidRPr="00564B9D" w14:paraId="0E18A6FC" w14:textId="77777777" w:rsidTr="000F4858">
        <w:tblPrEx>
          <w:tblLook w:val="0000" w:firstRow="0" w:lastRow="0" w:firstColumn="0" w:lastColumn="0" w:noHBand="0" w:noVBand="0"/>
        </w:tblPrEx>
        <w:trPr>
          <w:trHeight w:val="240"/>
        </w:trPr>
        <w:tc>
          <w:tcPr>
            <w:tcW w:w="3654" w:type="dxa"/>
            <w:shd w:val="clear" w:color="auto" w:fill="auto"/>
          </w:tcPr>
          <w:p w14:paraId="1172F3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حالات الوفاة في السجن </w:t>
            </w:r>
          </w:p>
        </w:tc>
        <w:tc>
          <w:tcPr>
            <w:tcW w:w="4738" w:type="dxa"/>
            <w:shd w:val="clear" w:color="auto" w:fill="auto"/>
          </w:tcPr>
          <w:p w14:paraId="01F0A3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 318 (4,0 لكل 000</w:t>
            </w:r>
            <w:r w:rsidRPr="00564B9D">
              <w:rPr>
                <w:sz w:val="20"/>
                <w:szCs w:val="20"/>
                <w:rtl/>
              </w:rPr>
              <w:t> </w:t>
            </w:r>
            <w:r w:rsidRPr="00564B9D">
              <w:rPr>
                <w:rFonts w:hint="cs"/>
                <w:sz w:val="20"/>
                <w:szCs w:val="20"/>
                <w:rtl/>
              </w:rPr>
              <w:t>1 سجين)</w:t>
            </w:r>
          </w:p>
          <w:p w14:paraId="07AF65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107"/>
            </w:r>
            <w:r w:rsidRPr="00564B9D">
              <w:rPr>
                <w:sz w:val="20"/>
                <w:szCs w:val="20"/>
                <w:vertAlign w:val="superscript"/>
                <w:rtl/>
              </w:rPr>
              <w:t>)</w:t>
            </w:r>
            <w:r w:rsidRPr="00564B9D">
              <w:rPr>
                <w:rFonts w:hint="cs"/>
                <w:sz w:val="20"/>
                <w:szCs w:val="20"/>
                <w:rtl/>
              </w:rPr>
              <w:t>: في عام 2020، 34</w:t>
            </w:r>
          </w:p>
          <w:p w14:paraId="6EC4C724" w14:textId="733DE1EF"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08"/>
            </w:r>
            <w:r w:rsidR="00494AE4" w:rsidRPr="00564B9D">
              <w:rPr>
                <w:sz w:val="20"/>
                <w:szCs w:val="20"/>
                <w:vertAlign w:val="superscript"/>
                <w:rtl/>
              </w:rPr>
              <w:t>)</w:t>
            </w:r>
            <w:r w:rsidR="00494AE4" w:rsidRPr="00564B9D">
              <w:rPr>
                <w:rFonts w:hint="cs"/>
                <w:sz w:val="20"/>
                <w:szCs w:val="20"/>
                <w:rtl/>
              </w:rPr>
              <w:t>: في 2019-2020، 2</w:t>
            </w:r>
          </w:p>
        </w:tc>
      </w:tr>
      <w:tr w:rsidR="007B5A24" w:rsidRPr="00564B9D" w14:paraId="6D448C04" w14:textId="77777777" w:rsidTr="000F4858">
        <w:tblPrEx>
          <w:tblLook w:val="0000" w:firstRow="0" w:lastRow="0" w:firstColumn="0" w:lastColumn="0" w:noHBand="0" w:noVBand="0"/>
        </w:tblPrEx>
        <w:trPr>
          <w:trHeight w:val="240"/>
        </w:trPr>
        <w:tc>
          <w:tcPr>
            <w:tcW w:w="3654" w:type="dxa"/>
            <w:shd w:val="clear" w:color="auto" w:fill="auto"/>
          </w:tcPr>
          <w:p w14:paraId="62CABF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109"/>
            </w:r>
            <w:r w:rsidRPr="00564B9D">
              <w:rPr>
                <w:sz w:val="20"/>
                <w:szCs w:val="20"/>
                <w:vertAlign w:val="superscript"/>
                <w:rtl/>
              </w:rPr>
              <w:t>)</w:t>
            </w:r>
            <w:r w:rsidRPr="00564B9D">
              <w:rPr>
                <w:rFonts w:hint="cs"/>
                <w:sz w:val="20"/>
                <w:szCs w:val="20"/>
                <w:rtl/>
              </w:rPr>
              <w:t xml:space="preserve"> </w:t>
            </w:r>
          </w:p>
        </w:tc>
        <w:tc>
          <w:tcPr>
            <w:tcW w:w="4738" w:type="dxa"/>
            <w:shd w:val="clear" w:color="auto" w:fill="auto"/>
          </w:tcPr>
          <w:p w14:paraId="1731D1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434D0851" w14:textId="77777777" w:rsidTr="000F4858">
        <w:tblPrEx>
          <w:tblLook w:val="0000" w:firstRow="0" w:lastRow="0" w:firstColumn="0" w:lastColumn="0" w:noHBand="0" w:noVBand="0"/>
        </w:tblPrEx>
        <w:trPr>
          <w:trHeight w:val="240"/>
        </w:trPr>
        <w:tc>
          <w:tcPr>
            <w:tcW w:w="3654" w:type="dxa"/>
            <w:shd w:val="clear" w:color="auto" w:fill="auto"/>
          </w:tcPr>
          <w:p w14:paraId="79BC76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متوسط القضايا المتراكمة للقاضي الواحد عند مستويات مختلفة من النظام القضائي</w:t>
            </w:r>
          </w:p>
        </w:tc>
        <w:tc>
          <w:tcPr>
            <w:tcW w:w="4738" w:type="dxa"/>
            <w:shd w:val="clear" w:color="auto" w:fill="auto"/>
          </w:tcPr>
          <w:p w14:paraId="4E2B5D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القضايا المتراكمة في المحاكم والهيئات القضائية في إنكلترا وويلز (2020):</w:t>
            </w:r>
          </w:p>
          <w:p w14:paraId="70AEFD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المحكمة الجزئية: 613</w:t>
            </w:r>
            <w:r w:rsidRPr="00564B9D">
              <w:rPr>
                <w:sz w:val="20"/>
                <w:szCs w:val="20"/>
                <w:rtl/>
              </w:rPr>
              <w:t> </w:t>
            </w:r>
            <w:r w:rsidRPr="00564B9D">
              <w:rPr>
                <w:rFonts w:hint="cs"/>
                <w:sz w:val="20"/>
                <w:szCs w:val="20"/>
                <w:rtl/>
              </w:rPr>
              <w:t>385</w:t>
            </w:r>
            <w:r w:rsidRPr="00564B9D">
              <w:rPr>
                <w:sz w:val="20"/>
                <w:szCs w:val="20"/>
                <w:vertAlign w:val="superscript"/>
                <w:rtl/>
              </w:rPr>
              <w:t>(</w:t>
            </w:r>
            <w:r w:rsidRPr="00564B9D">
              <w:rPr>
                <w:rStyle w:val="FootnoteReference"/>
                <w:rFonts w:cs="Simplified Arabic"/>
                <w:b w:val="0"/>
                <w:sz w:val="20"/>
                <w:szCs w:val="20"/>
                <w:rtl/>
                <w:lang w:val="en-US"/>
              </w:rPr>
              <w:footnoteReference w:id="110"/>
            </w:r>
            <w:r w:rsidRPr="00564B9D">
              <w:rPr>
                <w:sz w:val="20"/>
                <w:szCs w:val="20"/>
                <w:vertAlign w:val="superscript"/>
                <w:rtl/>
              </w:rPr>
              <w:t>)</w:t>
            </w:r>
            <w:r w:rsidRPr="00564B9D">
              <w:rPr>
                <w:sz w:val="20"/>
                <w:szCs w:val="20"/>
                <w:rtl/>
              </w:rPr>
              <w:t xml:space="preserve"> </w:t>
            </w:r>
          </w:p>
          <w:p w14:paraId="0452FB34" w14:textId="6831D7B3"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 xml:space="preserve">محكمة التاج: </w:t>
            </w:r>
            <w:r w:rsidR="00EA2151" w:rsidRPr="00564B9D">
              <w:rPr>
                <w:rFonts w:hint="cs"/>
                <w:sz w:val="20"/>
                <w:szCs w:val="20"/>
                <w:rtl/>
              </w:rPr>
              <w:t>827 56</w:t>
            </w:r>
            <w:r w:rsidRPr="00564B9D">
              <w:rPr>
                <w:sz w:val="20"/>
                <w:szCs w:val="20"/>
                <w:vertAlign w:val="superscript"/>
                <w:rtl/>
              </w:rPr>
              <w:t>(</w:t>
            </w:r>
            <w:r w:rsidRPr="00564B9D">
              <w:rPr>
                <w:rStyle w:val="FootnoteReference"/>
                <w:rFonts w:cs="Simplified Arabic"/>
                <w:b w:val="0"/>
                <w:sz w:val="20"/>
                <w:szCs w:val="20"/>
                <w:rtl/>
                <w:lang w:val="en-US"/>
              </w:rPr>
              <w:footnoteReference w:id="111"/>
            </w:r>
            <w:r w:rsidRPr="00564B9D">
              <w:rPr>
                <w:sz w:val="20"/>
                <w:szCs w:val="20"/>
                <w:vertAlign w:val="superscript"/>
                <w:rtl/>
              </w:rPr>
              <w:t>)</w:t>
            </w:r>
            <w:r w:rsidRPr="00564B9D">
              <w:rPr>
                <w:rFonts w:hint="cs"/>
                <w:sz w:val="20"/>
                <w:szCs w:val="20"/>
                <w:rtl/>
              </w:rPr>
              <w:t xml:space="preserve"> </w:t>
            </w:r>
          </w:p>
          <w:p w14:paraId="7E7BAC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الهيئات القضائية: 802</w:t>
            </w:r>
            <w:r w:rsidRPr="00564B9D">
              <w:rPr>
                <w:sz w:val="20"/>
                <w:szCs w:val="20"/>
                <w:rtl/>
              </w:rPr>
              <w:t> </w:t>
            </w:r>
            <w:r w:rsidRPr="00564B9D">
              <w:rPr>
                <w:rFonts w:hint="cs"/>
                <w:sz w:val="20"/>
                <w:szCs w:val="20"/>
                <w:rtl/>
              </w:rPr>
              <w:t>594</w:t>
            </w:r>
            <w:r w:rsidRPr="00564B9D">
              <w:rPr>
                <w:sz w:val="20"/>
                <w:szCs w:val="20"/>
                <w:vertAlign w:val="superscript"/>
                <w:rtl/>
              </w:rPr>
              <w:t>(</w:t>
            </w:r>
            <w:r w:rsidRPr="00564B9D">
              <w:rPr>
                <w:rStyle w:val="FootnoteReference"/>
                <w:rFonts w:cs="Simplified Arabic"/>
                <w:b w:val="0"/>
                <w:sz w:val="20"/>
                <w:szCs w:val="20"/>
                <w:rtl/>
                <w:lang w:val="en-US"/>
              </w:rPr>
              <w:footnoteReference w:id="112"/>
            </w:r>
            <w:r w:rsidRPr="00564B9D">
              <w:rPr>
                <w:sz w:val="20"/>
                <w:szCs w:val="20"/>
                <w:vertAlign w:val="superscript"/>
                <w:rtl/>
              </w:rPr>
              <w:t>)</w:t>
            </w:r>
            <w:r w:rsidRPr="00564B9D">
              <w:rPr>
                <w:rFonts w:hint="cs"/>
                <w:sz w:val="20"/>
                <w:szCs w:val="20"/>
                <w:rtl/>
              </w:rPr>
              <w:t xml:space="preserve"> </w:t>
            </w:r>
          </w:p>
          <w:p w14:paraId="6988C2E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محاكم الأسرة (القانون العام والخاص): 253</w:t>
            </w:r>
            <w:r w:rsidRPr="00564B9D">
              <w:rPr>
                <w:sz w:val="20"/>
                <w:szCs w:val="20"/>
                <w:rtl/>
              </w:rPr>
              <w:t> </w:t>
            </w:r>
            <w:r w:rsidRPr="00564B9D">
              <w:rPr>
                <w:rFonts w:hint="cs"/>
                <w:sz w:val="20"/>
                <w:szCs w:val="20"/>
                <w:rtl/>
              </w:rPr>
              <w:t>65</w:t>
            </w:r>
            <w:r w:rsidRPr="00564B9D">
              <w:rPr>
                <w:sz w:val="20"/>
                <w:szCs w:val="20"/>
                <w:vertAlign w:val="superscript"/>
                <w:rtl/>
              </w:rPr>
              <w:t>(</w:t>
            </w:r>
            <w:r w:rsidRPr="00564B9D">
              <w:rPr>
                <w:rStyle w:val="FootnoteReference"/>
                <w:rFonts w:cs="Simplified Arabic"/>
                <w:b w:val="0"/>
                <w:sz w:val="20"/>
                <w:szCs w:val="20"/>
                <w:rtl/>
                <w:lang w:val="en-US"/>
              </w:rPr>
              <w:footnoteReference w:id="113"/>
            </w:r>
            <w:r w:rsidRPr="00564B9D">
              <w:rPr>
                <w:sz w:val="20"/>
                <w:szCs w:val="20"/>
                <w:vertAlign w:val="superscript"/>
                <w:rtl/>
              </w:rPr>
              <w:t>)</w:t>
            </w:r>
            <w:r w:rsidRPr="00564B9D">
              <w:rPr>
                <w:rFonts w:hint="cs"/>
                <w:sz w:val="20"/>
                <w:szCs w:val="20"/>
                <w:rtl/>
              </w:rPr>
              <w:t xml:space="preserve"> </w:t>
            </w:r>
          </w:p>
          <w:p w14:paraId="3EA9739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نظراً لطبيعة </w:t>
            </w:r>
            <w:r w:rsidRPr="00564B9D">
              <w:rPr>
                <w:rFonts w:hint="cs"/>
                <w:sz w:val="20"/>
                <w:szCs w:val="20"/>
                <w:rtl/>
              </w:rPr>
              <w:t>الادعاءات</w:t>
            </w:r>
            <w:r w:rsidRPr="00564B9D">
              <w:rPr>
                <w:sz w:val="20"/>
                <w:szCs w:val="20"/>
                <w:rtl/>
              </w:rPr>
              <w:t xml:space="preserve"> المدنية (يتم حل </w:t>
            </w:r>
            <w:r w:rsidRPr="00564B9D">
              <w:rPr>
                <w:rFonts w:hint="cs"/>
                <w:sz w:val="20"/>
                <w:szCs w:val="20"/>
                <w:rtl/>
              </w:rPr>
              <w:t>كثير</w:t>
            </w:r>
            <w:r w:rsidRPr="00564B9D">
              <w:rPr>
                <w:sz w:val="20"/>
                <w:szCs w:val="20"/>
                <w:rtl/>
              </w:rPr>
              <w:t xml:space="preserve"> منها دون الحاجة إلى جلسة في المحكمة)، فإننا لا نقيس تراكم القضايا. المحكمة العليا: 46 قضية جارية.</w:t>
            </w:r>
          </w:p>
          <w:p w14:paraId="05C3CAF0" w14:textId="41C7F3A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المعلومات عن المحاكم في واسكتلندا و</w:t>
            </w:r>
            <w:r w:rsidR="000F4858" w:rsidRPr="00564B9D">
              <w:rPr>
                <w:rFonts w:hint="cs"/>
                <w:sz w:val="20"/>
                <w:szCs w:val="20"/>
                <w:rtl/>
              </w:rPr>
              <w:t>أيرلندا الشمالية</w:t>
            </w:r>
            <w:r w:rsidRPr="00564B9D">
              <w:rPr>
                <w:rFonts w:hint="cs"/>
                <w:sz w:val="20"/>
                <w:szCs w:val="20"/>
                <w:rtl/>
              </w:rPr>
              <w:t xml:space="preserve"> غير متوفرة.</w:t>
            </w:r>
          </w:p>
        </w:tc>
      </w:tr>
      <w:tr w:rsidR="007B5A24" w:rsidRPr="00564B9D" w14:paraId="058E37B6" w14:textId="77777777" w:rsidTr="000F4858">
        <w:tblPrEx>
          <w:tblLook w:val="0000" w:firstRow="0" w:lastRow="0" w:firstColumn="0" w:lastColumn="0" w:noHBand="0" w:noVBand="0"/>
        </w:tblPrEx>
        <w:trPr>
          <w:trHeight w:val="240"/>
        </w:trPr>
        <w:tc>
          <w:tcPr>
            <w:tcW w:w="3654" w:type="dxa"/>
            <w:shd w:val="clear" w:color="auto" w:fill="auto"/>
          </w:tcPr>
          <w:p w14:paraId="7D44EE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عدد رجال الشرطة/الأمن لكل 000</w:t>
            </w:r>
            <w:r w:rsidRPr="00564B9D">
              <w:rPr>
                <w:sz w:val="20"/>
                <w:szCs w:val="20"/>
                <w:rtl/>
              </w:rPr>
              <w:t> </w:t>
            </w:r>
            <w:r w:rsidRPr="00564B9D">
              <w:rPr>
                <w:rFonts w:hint="cs"/>
                <w:sz w:val="20"/>
                <w:szCs w:val="20"/>
                <w:rtl/>
              </w:rPr>
              <w:t xml:space="preserve">100 شخص </w:t>
            </w:r>
          </w:p>
        </w:tc>
        <w:tc>
          <w:tcPr>
            <w:tcW w:w="4738" w:type="dxa"/>
            <w:shd w:val="clear" w:color="auto" w:fill="auto"/>
          </w:tcPr>
          <w:p w14:paraId="588F02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رجال الشرطة/الأمن لكل 000</w:t>
            </w:r>
            <w:r w:rsidRPr="00564B9D">
              <w:rPr>
                <w:sz w:val="20"/>
                <w:szCs w:val="20"/>
                <w:rtl/>
              </w:rPr>
              <w:t> </w:t>
            </w:r>
            <w:r w:rsidRPr="00564B9D">
              <w:rPr>
                <w:rFonts w:hint="cs"/>
                <w:sz w:val="20"/>
                <w:szCs w:val="20"/>
                <w:rtl/>
              </w:rPr>
              <w:t>100 شخص هو على النحو الآتي:</w:t>
            </w:r>
          </w:p>
          <w:p w14:paraId="01671F3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114"/>
            </w:r>
            <w:r w:rsidRPr="00564B9D">
              <w:rPr>
                <w:sz w:val="20"/>
                <w:szCs w:val="20"/>
                <w:vertAlign w:val="superscript"/>
                <w:rtl/>
              </w:rPr>
              <w:t>)</w:t>
            </w:r>
            <w:r w:rsidRPr="00564B9D">
              <w:rPr>
                <w:rFonts w:hint="cs"/>
                <w:sz w:val="20"/>
                <w:szCs w:val="20"/>
                <w:rtl/>
              </w:rPr>
              <w:t>: 223؛</w:t>
            </w:r>
          </w:p>
          <w:p w14:paraId="6C261FF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w:t>
            </w:r>
            <w:r w:rsidRPr="00564B9D">
              <w:rPr>
                <w:sz w:val="20"/>
                <w:szCs w:val="20"/>
                <w:vertAlign w:val="superscript"/>
                <w:rtl/>
              </w:rPr>
              <w:t>(</w:t>
            </w:r>
            <w:r w:rsidRPr="00564B9D">
              <w:rPr>
                <w:rStyle w:val="FootnoteReference"/>
                <w:rFonts w:cs="Simplified Arabic"/>
                <w:b w:val="0"/>
                <w:sz w:val="20"/>
                <w:szCs w:val="20"/>
                <w:rtl/>
                <w:lang w:val="en-US"/>
              </w:rPr>
              <w:footnoteReference w:id="115"/>
            </w:r>
            <w:r w:rsidRPr="00564B9D">
              <w:rPr>
                <w:sz w:val="20"/>
                <w:szCs w:val="20"/>
                <w:vertAlign w:val="superscript"/>
                <w:rtl/>
              </w:rPr>
              <w:t>)</w:t>
            </w:r>
            <w:r w:rsidRPr="00564B9D">
              <w:rPr>
                <w:rFonts w:hint="cs"/>
                <w:sz w:val="20"/>
                <w:szCs w:val="20"/>
                <w:rtl/>
              </w:rPr>
              <w:t>: 315؛</w:t>
            </w:r>
          </w:p>
          <w:p w14:paraId="0DA4C7B6" w14:textId="17CF5878"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16"/>
            </w:r>
            <w:r w:rsidR="00494AE4" w:rsidRPr="00564B9D">
              <w:rPr>
                <w:sz w:val="20"/>
                <w:szCs w:val="20"/>
                <w:vertAlign w:val="superscript"/>
                <w:rtl/>
              </w:rPr>
              <w:t>)</w:t>
            </w:r>
            <w:r w:rsidR="00494AE4" w:rsidRPr="00564B9D">
              <w:rPr>
                <w:rFonts w:hint="cs"/>
                <w:sz w:val="20"/>
                <w:szCs w:val="20"/>
                <w:rtl/>
              </w:rPr>
              <w:t>: 369.</w:t>
            </w:r>
          </w:p>
        </w:tc>
      </w:tr>
      <w:tr w:rsidR="007B5A24" w:rsidRPr="00564B9D" w14:paraId="0F0C21D2" w14:textId="77777777" w:rsidTr="000F4858">
        <w:tblPrEx>
          <w:tblLook w:val="0000" w:firstRow="0" w:lastRow="0" w:firstColumn="0" w:lastColumn="0" w:noHBand="0" w:noVBand="0"/>
        </w:tblPrEx>
        <w:trPr>
          <w:trHeight w:val="240"/>
        </w:trPr>
        <w:tc>
          <w:tcPr>
            <w:tcW w:w="3654" w:type="dxa"/>
            <w:shd w:val="clear" w:color="auto" w:fill="auto"/>
          </w:tcPr>
          <w:p w14:paraId="3BFBE3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المدعين العامين والقضاة لكل 000</w:t>
            </w:r>
            <w:r w:rsidRPr="00564B9D">
              <w:rPr>
                <w:sz w:val="20"/>
                <w:szCs w:val="20"/>
                <w:rtl/>
              </w:rPr>
              <w:t> </w:t>
            </w:r>
            <w:r w:rsidRPr="00564B9D">
              <w:rPr>
                <w:rFonts w:hint="cs"/>
                <w:sz w:val="20"/>
                <w:szCs w:val="20"/>
                <w:rtl/>
              </w:rPr>
              <w:t>100 شخص</w:t>
            </w:r>
          </w:p>
        </w:tc>
        <w:tc>
          <w:tcPr>
            <w:tcW w:w="4738" w:type="dxa"/>
            <w:shd w:val="clear" w:color="auto" w:fill="auto"/>
          </w:tcPr>
          <w:p w14:paraId="49457B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 1,93 قاضياً (تقديرات)</w:t>
            </w:r>
            <w:r w:rsidRPr="00564B9D">
              <w:rPr>
                <w:sz w:val="20"/>
                <w:szCs w:val="20"/>
                <w:vertAlign w:val="superscript"/>
                <w:rtl/>
              </w:rPr>
              <w:t>(</w:t>
            </w:r>
            <w:r w:rsidRPr="00564B9D">
              <w:rPr>
                <w:rStyle w:val="FootnoteReference"/>
                <w:rFonts w:cs="Simplified Arabic"/>
                <w:b w:val="0"/>
                <w:sz w:val="20"/>
                <w:szCs w:val="20"/>
                <w:rtl/>
                <w:lang w:val="en-US"/>
              </w:rPr>
              <w:footnoteReference w:id="117"/>
            </w:r>
            <w:r w:rsidRPr="00564B9D">
              <w:rPr>
                <w:sz w:val="20"/>
                <w:szCs w:val="20"/>
                <w:vertAlign w:val="superscript"/>
                <w:rtl/>
              </w:rPr>
              <w:t>)</w:t>
            </w:r>
            <w:r w:rsidRPr="00564B9D">
              <w:rPr>
                <w:rFonts w:hint="cs"/>
                <w:sz w:val="20"/>
                <w:szCs w:val="20"/>
                <w:rtl/>
              </w:rPr>
              <w:t>؛ 5,16 مدعين عامين (تقديرات)</w:t>
            </w:r>
            <w:r w:rsidRPr="00564B9D">
              <w:rPr>
                <w:sz w:val="20"/>
                <w:szCs w:val="20"/>
                <w:vertAlign w:val="superscript"/>
                <w:rtl/>
              </w:rPr>
              <w:t>(</w:t>
            </w:r>
            <w:r w:rsidRPr="00564B9D">
              <w:rPr>
                <w:rStyle w:val="FootnoteReference"/>
                <w:rFonts w:cs="Simplified Arabic"/>
                <w:b w:val="0"/>
                <w:sz w:val="20"/>
                <w:szCs w:val="20"/>
                <w:rtl/>
                <w:lang w:val="en-US"/>
              </w:rPr>
              <w:footnoteReference w:id="118"/>
            </w:r>
            <w:r w:rsidRPr="00564B9D">
              <w:rPr>
                <w:sz w:val="20"/>
                <w:szCs w:val="20"/>
                <w:vertAlign w:val="superscript"/>
                <w:rtl/>
              </w:rPr>
              <w:t>)</w:t>
            </w:r>
            <w:r w:rsidRPr="00564B9D">
              <w:rPr>
                <w:rFonts w:hint="cs"/>
                <w:sz w:val="20"/>
                <w:szCs w:val="20"/>
                <w:rtl/>
              </w:rPr>
              <w:t>.</w:t>
            </w:r>
          </w:p>
          <w:p w14:paraId="098D6F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اسكتلندا: 4,25 قضاة و12,66 من المدعين العامين</w:t>
            </w:r>
          </w:p>
          <w:p w14:paraId="1202C354" w14:textId="709A1338"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rFonts w:hint="cs"/>
                <w:sz w:val="20"/>
                <w:szCs w:val="20"/>
                <w:rtl/>
              </w:rPr>
              <w:t>: 12,7 قاضياً</w:t>
            </w:r>
            <w:r w:rsidR="00494AE4" w:rsidRPr="00564B9D">
              <w:rPr>
                <w:sz w:val="20"/>
                <w:szCs w:val="20"/>
                <w:vertAlign w:val="superscript"/>
                <w:rtl/>
              </w:rPr>
              <w:t>(</w:t>
            </w:r>
            <w:r w:rsidR="00494AE4" w:rsidRPr="00564B9D">
              <w:rPr>
                <w:rStyle w:val="FootnoteReference"/>
                <w:rFonts w:cs="Simplified Arabic"/>
                <w:b w:val="0"/>
                <w:sz w:val="20"/>
                <w:szCs w:val="20"/>
                <w:rtl/>
                <w:lang w:val="en-US"/>
              </w:rPr>
              <w:footnoteReference w:id="119"/>
            </w:r>
            <w:r w:rsidR="00494AE4" w:rsidRPr="00564B9D">
              <w:rPr>
                <w:sz w:val="20"/>
                <w:szCs w:val="20"/>
                <w:vertAlign w:val="superscript"/>
                <w:rtl/>
              </w:rPr>
              <w:t>)</w:t>
            </w:r>
            <w:r w:rsidR="00494AE4" w:rsidRPr="00564B9D">
              <w:rPr>
                <w:rFonts w:hint="cs"/>
                <w:sz w:val="20"/>
                <w:szCs w:val="20"/>
                <w:rtl/>
              </w:rPr>
              <w:t>؛ 7,8 مدعين عامين.</w:t>
            </w:r>
          </w:p>
        </w:tc>
      </w:tr>
      <w:tr w:rsidR="007B5A24" w:rsidRPr="00564B9D" w14:paraId="3ADCC7FF" w14:textId="77777777" w:rsidTr="000F4858">
        <w:tblPrEx>
          <w:tblLook w:val="0000" w:firstRow="0" w:lastRow="0" w:firstColumn="0" w:lastColumn="0" w:noHBand="0" w:noVBand="0"/>
        </w:tblPrEx>
        <w:trPr>
          <w:trHeight w:val="240"/>
        </w:trPr>
        <w:tc>
          <w:tcPr>
            <w:tcW w:w="3654" w:type="dxa"/>
            <w:shd w:val="clear" w:color="auto" w:fill="auto"/>
          </w:tcPr>
          <w:p w14:paraId="5F7A20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الحصة من النفقات العامة على جهاز الشرطة/الأمن والجهاز القضائي</w:t>
            </w:r>
            <w:r w:rsidRPr="00564B9D">
              <w:rPr>
                <w:sz w:val="20"/>
                <w:szCs w:val="20"/>
                <w:vertAlign w:val="superscript"/>
                <w:rtl/>
              </w:rPr>
              <w:t>(</w:t>
            </w:r>
            <w:r w:rsidRPr="00564B9D">
              <w:rPr>
                <w:rStyle w:val="FootnoteReference"/>
                <w:rFonts w:cs="Simplified Arabic"/>
                <w:b w:val="0"/>
                <w:sz w:val="20"/>
                <w:szCs w:val="20"/>
                <w:rtl/>
                <w:lang w:val="en-US"/>
              </w:rPr>
              <w:footnoteReference w:id="120"/>
            </w:r>
            <w:r w:rsidRPr="00564B9D">
              <w:rPr>
                <w:sz w:val="20"/>
                <w:szCs w:val="20"/>
                <w:vertAlign w:val="superscript"/>
                <w:rtl/>
              </w:rPr>
              <w:t>)</w:t>
            </w:r>
            <w:r w:rsidRPr="00564B9D">
              <w:rPr>
                <w:rFonts w:hint="cs"/>
                <w:sz w:val="20"/>
                <w:szCs w:val="20"/>
                <w:rtl/>
              </w:rPr>
              <w:t xml:space="preserve"> </w:t>
            </w:r>
          </w:p>
        </w:tc>
        <w:tc>
          <w:tcPr>
            <w:tcW w:w="4738" w:type="dxa"/>
            <w:shd w:val="clear" w:color="auto" w:fill="auto"/>
          </w:tcPr>
          <w:p w14:paraId="6B3E871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الإنفاق العام على النظام العام والسلامة في المملكة المتحدة في جميع أنحاء إنكلترا وويلز: 3,9 في المائة في 2021/20</w:t>
            </w:r>
            <w:r w:rsidRPr="00564B9D">
              <w:rPr>
                <w:rFonts w:hint="cs"/>
                <w:sz w:val="20"/>
                <w:szCs w:val="20"/>
                <w:rtl/>
              </w:rPr>
              <w:t>2</w:t>
            </w:r>
            <w:r w:rsidRPr="00564B9D">
              <w:rPr>
                <w:sz w:val="20"/>
                <w:szCs w:val="20"/>
                <w:rtl/>
              </w:rPr>
              <w:t xml:space="preserve">2. </w:t>
            </w:r>
            <w:r w:rsidRPr="00564B9D">
              <w:rPr>
                <w:rFonts w:hint="cs"/>
                <w:sz w:val="20"/>
                <w:szCs w:val="20"/>
                <w:rtl/>
              </w:rPr>
              <w:t>و</w:t>
            </w:r>
            <w:r w:rsidRPr="00564B9D">
              <w:rPr>
                <w:sz w:val="20"/>
                <w:szCs w:val="20"/>
                <w:rtl/>
              </w:rPr>
              <w:t xml:space="preserve">هذه </w:t>
            </w:r>
            <w:r w:rsidRPr="00564B9D">
              <w:rPr>
                <w:rFonts w:hint="cs"/>
                <w:sz w:val="20"/>
                <w:szCs w:val="20"/>
                <w:rtl/>
              </w:rPr>
              <w:t>ال</w:t>
            </w:r>
            <w:r w:rsidRPr="00564B9D">
              <w:rPr>
                <w:sz w:val="20"/>
                <w:szCs w:val="20"/>
                <w:rtl/>
              </w:rPr>
              <w:t>سنة غير نمطية حيث زاد الإنفاق على الصحة والحماية الاجتماعية بشكل كبير.</w:t>
            </w:r>
          </w:p>
          <w:p w14:paraId="58D1C2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من </w:t>
            </w:r>
            <w:r w:rsidRPr="00564B9D">
              <w:rPr>
                <w:rFonts w:hint="cs"/>
                <w:sz w:val="20"/>
                <w:szCs w:val="20"/>
                <w:rtl/>
              </w:rPr>
              <w:t>مجموع</w:t>
            </w:r>
            <w:r w:rsidRPr="00564B9D">
              <w:rPr>
                <w:sz w:val="20"/>
                <w:szCs w:val="20"/>
                <w:rtl/>
              </w:rPr>
              <w:t xml:space="preserve"> تمويل الحكومة الاسكتلندية لعام 2020-</w:t>
            </w:r>
            <w:r w:rsidRPr="00564B9D">
              <w:rPr>
                <w:rFonts w:hint="cs"/>
                <w:sz w:val="20"/>
                <w:szCs w:val="20"/>
                <w:rtl/>
              </w:rPr>
              <w:t>2021</w:t>
            </w:r>
            <w:r w:rsidRPr="00564B9D">
              <w:rPr>
                <w:sz w:val="20"/>
                <w:szCs w:val="20"/>
                <w:rtl/>
              </w:rPr>
              <w:t xml:space="preserve"> (40,477 </w:t>
            </w:r>
            <w:r w:rsidRPr="00564B9D">
              <w:rPr>
                <w:rFonts w:hint="cs"/>
                <w:sz w:val="20"/>
                <w:szCs w:val="20"/>
                <w:rtl/>
              </w:rPr>
              <w:t>بليون</w:t>
            </w:r>
            <w:r w:rsidRPr="00564B9D">
              <w:rPr>
                <w:sz w:val="20"/>
                <w:szCs w:val="20"/>
                <w:rtl/>
              </w:rPr>
              <w:t xml:space="preserve"> جنيه</w:t>
            </w:r>
            <w:r w:rsidRPr="00564B9D">
              <w:rPr>
                <w:sz w:val="20"/>
                <w:szCs w:val="20"/>
                <w:vertAlign w:val="superscript"/>
                <w:rtl/>
              </w:rPr>
              <w:t>(</w:t>
            </w:r>
            <w:r w:rsidRPr="00564B9D">
              <w:rPr>
                <w:rStyle w:val="FootnoteReference"/>
                <w:rFonts w:cs="Simplified Arabic"/>
                <w:b w:val="0"/>
                <w:sz w:val="20"/>
                <w:szCs w:val="20"/>
                <w:rtl/>
                <w:lang w:val="en-US"/>
              </w:rPr>
              <w:footnoteReference w:id="121"/>
            </w:r>
            <w:r w:rsidRPr="00564B9D">
              <w:rPr>
                <w:sz w:val="20"/>
                <w:szCs w:val="20"/>
                <w:vertAlign w:val="superscript"/>
                <w:rtl/>
              </w:rPr>
              <w:t>)</w:t>
            </w:r>
            <w:r w:rsidRPr="00564B9D">
              <w:rPr>
                <w:sz w:val="20"/>
                <w:szCs w:val="20"/>
                <w:rtl/>
              </w:rPr>
              <w:t xml:space="preserve"> إسترليني)، </w:t>
            </w:r>
            <w:r w:rsidRPr="00564B9D">
              <w:rPr>
                <w:rFonts w:hint="cs"/>
                <w:sz w:val="20"/>
                <w:szCs w:val="20"/>
                <w:rtl/>
              </w:rPr>
              <w:t>ال</w:t>
            </w:r>
            <w:r w:rsidRPr="00564B9D">
              <w:rPr>
                <w:sz w:val="20"/>
                <w:szCs w:val="20"/>
                <w:rtl/>
              </w:rPr>
              <w:t xml:space="preserve">ميزانية </w:t>
            </w:r>
            <w:r w:rsidRPr="00564B9D">
              <w:rPr>
                <w:rFonts w:hint="cs"/>
                <w:sz w:val="20"/>
                <w:szCs w:val="20"/>
                <w:rtl/>
              </w:rPr>
              <w:t>الحكومية</w:t>
            </w:r>
            <w:r w:rsidRPr="00564B9D">
              <w:rPr>
                <w:sz w:val="20"/>
                <w:szCs w:val="20"/>
                <w:rtl/>
              </w:rPr>
              <w:t xml:space="preserve"> 36,3 مليون جنيه إسترليني للسلطة القضائية، و1,24 </w:t>
            </w:r>
            <w:r w:rsidRPr="00564B9D">
              <w:rPr>
                <w:rFonts w:hint="cs"/>
                <w:sz w:val="20"/>
                <w:szCs w:val="20"/>
                <w:rtl/>
              </w:rPr>
              <w:t>بليون</w:t>
            </w:r>
            <w:r w:rsidRPr="00564B9D">
              <w:rPr>
                <w:sz w:val="20"/>
                <w:szCs w:val="20"/>
                <w:rtl/>
              </w:rPr>
              <w:t xml:space="preserve"> جنيه إسترليني لسلطة الشرطة الاسكتلندية و57 مليون جنيه إسترليني </w:t>
            </w:r>
            <w:r w:rsidRPr="00564B9D">
              <w:rPr>
                <w:rFonts w:hint="cs"/>
                <w:sz w:val="20"/>
                <w:szCs w:val="20"/>
                <w:rtl/>
              </w:rPr>
              <w:t>للإدارة</w:t>
            </w:r>
            <w:r w:rsidRPr="00564B9D">
              <w:rPr>
                <w:sz w:val="20"/>
                <w:szCs w:val="20"/>
                <w:rtl/>
              </w:rPr>
              <w:t xml:space="preserve"> المركزية للشرطة</w:t>
            </w:r>
            <w:r w:rsidRPr="00564B9D">
              <w:rPr>
                <w:sz w:val="20"/>
                <w:szCs w:val="20"/>
                <w:vertAlign w:val="superscript"/>
                <w:rtl/>
              </w:rPr>
              <w:t>(</w:t>
            </w:r>
            <w:r w:rsidRPr="00564B9D">
              <w:rPr>
                <w:rStyle w:val="FootnoteReference"/>
                <w:rFonts w:cs="Simplified Arabic"/>
                <w:b w:val="0"/>
                <w:sz w:val="20"/>
                <w:szCs w:val="20"/>
                <w:rtl/>
                <w:lang w:val="en-US"/>
              </w:rPr>
              <w:footnoteReference w:id="122"/>
            </w:r>
            <w:r w:rsidRPr="00564B9D">
              <w:rPr>
                <w:sz w:val="20"/>
                <w:szCs w:val="20"/>
                <w:vertAlign w:val="superscript"/>
                <w:rtl/>
              </w:rPr>
              <w:t>)</w:t>
            </w:r>
            <w:r w:rsidRPr="00564B9D">
              <w:rPr>
                <w:sz w:val="20"/>
                <w:szCs w:val="20"/>
                <w:rtl/>
              </w:rPr>
              <w:t xml:space="preserve">. </w:t>
            </w:r>
            <w:r w:rsidRPr="00564B9D">
              <w:rPr>
                <w:rFonts w:hint="cs"/>
                <w:sz w:val="20"/>
                <w:szCs w:val="20"/>
                <w:rtl/>
              </w:rPr>
              <w:t>و</w:t>
            </w:r>
            <w:r w:rsidRPr="00564B9D">
              <w:rPr>
                <w:sz w:val="20"/>
                <w:szCs w:val="20"/>
                <w:rtl/>
              </w:rPr>
              <w:t>يمثل هذا</w:t>
            </w:r>
            <w:r w:rsidRPr="00564B9D">
              <w:rPr>
                <w:rFonts w:hint="cs"/>
                <w:sz w:val="20"/>
                <w:szCs w:val="20"/>
                <w:rtl/>
              </w:rPr>
              <w:t xml:space="preserve"> المجموع</w:t>
            </w:r>
            <w:r w:rsidRPr="00564B9D">
              <w:rPr>
                <w:sz w:val="20"/>
                <w:szCs w:val="20"/>
                <w:rtl/>
              </w:rPr>
              <w:t xml:space="preserve"> حوالي 3,3 في المائة من الميزانية.</w:t>
            </w:r>
          </w:p>
          <w:p w14:paraId="022AB134" w14:textId="70D3D8D0"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أما بالنسبة</w:t>
            </w:r>
            <w:r w:rsidRPr="00564B9D">
              <w:rPr>
                <w:sz w:val="20"/>
                <w:szCs w:val="20"/>
                <w:rtl/>
              </w:rPr>
              <w:t xml:space="preserve"> </w:t>
            </w:r>
            <w:r w:rsidRPr="00564B9D">
              <w:rPr>
                <w:rFonts w:hint="cs"/>
                <w:sz w:val="20"/>
                <w:szCs w:val="20"/>
                <w:rtl/>
              </w:rPr>
              <w:t>ل</w:t>
            </w:r>
            <w:r w:rsidRPr="00564B9D">
              <w:rPr>
                <w:sz w:val="20"/>
                <w:szCs w:val="20"/>
                <w:rtl/>
              </w:rPr>
              <w:t>ميزانية</w:t>
            </w:r>
            <w:r w:rsidRPr="00564B9D">
              <w:rPr>
                <w:rFonts w:hint="cs"/>
                <w:sz w:val="20"/>
                <w:szCs w:val="20"/>
                <w:rtl/>
              </w:rPr>
              <w:t xml:space="preserve"> عام </w:t>
            </w:r>
            <w:r w:rsidRPr="00564B9D">
              <w:rPr>
                <w:sz w:val="20"/>
                <w:szCs w:val="20"/>
                <w:rtl/>
              </w:rPr>
              <w:t>2020-</w:t>
            </w:r>
            <w:r w:rsidRPr="00564B9D">
              <w:rPr>
                <w:rFonts w:hint="cs"/>
                <w:sz w:val="20"/>
                <w:szCs w:val="20"/>
                <w:rtl/>
              </w:rPr>
              <w:t>20</w:t>
            </w:r>
            <w:r w:rsidRPr="00564B9D">
              <w:rPr>
                <w:sz w:val="20"/>
                <w:szCs w:val="20"/>
                <w:rtl/>
              </w:rPr>
              <w:t>21 ل</w:t>
            </w:r>
            <w:r w:rsidR="000F4858" w:rsidRPr="00564B9D">
              <w:rPr>
                <w:sz w:val="20"/>
                <w:szCs w:val="20"/>
                <w:rtl/>
              </w:rPr>
              <w:t>أيرلندا الشمالية</w:t>
            </w:r>
            <w:r w:rsidRPr="00564B9D">
              <w:rPr>
                <w:sz w:val="20"/>
                <w:szCs w:val="20"/>
                <w:vertAlign w:val="superscript"/>
                <w:rtl/>
              </w:rPr>
              <w:t>(</w:t>
            </w:r>
            <w:r w:rsidRPr="00564B9D">
              <w:rPr>
                <w:rStyle w:val="FootnoteReference"/>
                <w:rFonts w:cs="Simplified Arabic"/>
                <w:b w:val="0"/>
                <w:sz w:val="20"/>
                <w:szCs w:val="20"/>
                <w:rtl/>
                <w:lang w:val="en-US"/>
              </w:rPr>
              <w:footnoteReference w:id="123"/>
            </w:r>
            <w:r w:rsidRPr="00564B9D">
              <w:rPr>
                <w:sz w:val="20"/>
                <w:szCs w:val="20"/>
                <w:vertAlign w:val="superscript"/>
                <w:rtl/>
              </w:rPr>
              <w:t>)</w:t>
            </w:r>
            <w:r w:rsidRPr="00564B9D">
              <w:rPr>
                <w:sz w:val="20"/>
                <w:szCs w:val="20"/>
                <w:rtl/>
              </w:rPr>
              <w:t>، فإن 196,9 </w:t>
            </w:r>
            <w:r w:rsidRPr="00564B9D">
              <w:rPr>
                <w:rFonts w:hint="cs"/>
                <w:sz w:val="20"/>
                <w:szCs w:val="20"/>
                <w:rtl/>
              </w:rPr>
              <w:t xml:space="preserve">12 </w:t>
            </w:r>
            <w:r w:rsidRPr="00564B9D">
              <w:rPr>
                <w:sz w:val="20"/>
                <w:szCs w:val="20"/>
                <w:rtl/>
              </w:rPr>
              <w:t>مليون جنيه إسترليني هو إجمالي مخصصات الإدارات.</w:t>
            </w:r>
            <w:r w:rsidRPr="00564B9D">
              <w:rPr>
                <w:rFonts w:hint="cs"/>
                <w:sz w:val="20"/>
                <w:szCs w:val="20"/>
                <w:rtl/>
              </w:rPr>
              <w:t xml:space="preserve"> و</w:t>
            </w:r>
            <w:r w:rsidRPr="00564B9D">
              <w:rPr>
                <w:sz w:val="20"/>
                <w:szCs w:val="20"/>
                <w:rtl/>
              </w:rPr>
              <w:t>111,2 </w:t>
            </w:r>
            <w:r w:rsidRPr="00564B9D">
              <w:rPr>
                <w:rFonts w:hint="cs"/>
                <w:sz w:val="20"/>
                <w:szCs w:val="20"/>
                <w:rtl/>
              </w:rPr>
              <w:t xml:space="preserve">1 </w:t>
            </w:r>
            <w:r w:rsidRPr="00564B9D">
              <w:rPr>
                <w:sz w:val="20"/>
                <w:szCs w:val="20"/>
                <w:rtl/>
              </w:rPr>
              <w:t xml:space="preserve">مليون جنيه إسترليني محجوزة للعدالة، و34,7 مليون جنيه إسترليني </w:t>
            </w:r>
            <w:r w:rsidRPr="00564B9D">
              <w:rPr>
                <w:rFonts w:hint="cs"/>
                <w:sz w:val="20"/>
                <w:szCs w:val="20"/>
                <w:rtl/>
              </w:rPr>
              <w:t>لل</w:t>
            </w:r>
            <w:r w:rsidRPr="00564B9D">
              <w:rPr>
                <w:sz w:val="20"/>
                <w:szCs w:val="20"/>
                <w:rtl/>
              </w:rPr>
              <w:t xml:space="preserve">نيابة العامة. ويصل هذا </w:t>
            </w:r>
            <w:r w:rsidRPr="00564B9D">
              <w:rPr>
                <w:rFonts w:hint="cs"/>
                <w:sz w:val="20"/>
                <w:szCs w:val="20"/>
                <w:rtl/>
              </w:rPr>
              <w:t xml:space="preserve">المجموع إلى </w:t>
            </w:r>
            <w:r w:rsidRPr="00564B9D">
              <w:rPr>
                <w:sz w:val="20"/>
                <w:szCs w:val="20"/>
                <w:rtl/>
              </w:rPr>
              <w:t>حوالي 9,4 في المائة من إجمالي مخصصات الإدارات.</w:t>
            </w:r>
          </w:p>
        </w:tc>
      </w:tr>
      <w:tr w:rsidR="007B5A24" w:rsidRPr="00564B9D" w14:paraId="30B4A3A1" w14:textId="77777777" w:rsidTr="000F4858">
        <w:tblPrEx>
          <w:tblLook w:val="0000" w:firstRow="0" w:lastRow="0" w:firstColumn="0" w:lastColumn="0" w:noHBand="0" w:noVBand="0"/>
        </w:tblPrEx>
        <w:trPr>
          <w:trHeight w:val="240"/>
        </w:trPr>
        <w:tc>
          <w:tcPr>
            <w:tcW w:w="3654" w:type="dxa"/>
            <w:shd w:val="clear" w:color="auto" w:fill="auto"/>
          </w:tcPr>
          <w:p w14:paraId="42F14C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نسبة الأشخاص الذين يتلقون مساعدة قانونية من بين المتهمين والمعتقلين الذين يتقدمون بطلبها </w:t>
            </w:r>
          </w:p>
        </w:tc>
        <w:tc>
          <w:tcPr>
            <w:tcW w:w="4736" w:type="dxa"/>
            <w:shd w:val="clear" w:color="auto" w:fill="auto"/>
          </w:tcPr>
          <w:p w14:paraId="3E1619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المساعدة القانونية في المجال الجنائي</w:t>
            </w:r>
          </w:p>
          <w:p w14:paraId="70E103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وويلز</w:t>
            </w:r>
            <w:r w:rsidRPr="00564B9D">
              <w:rPr>
                <w:sz w:val="20"/>
                <w:szCs w:val="20"/>
                <w:vertAlign w:val="superscript"/>
                <w:rtl/>
              </w:rPr>
              <w:t>(</w:t>
            </w:r>
            <w:r w:rsidRPr="00564B9D">
              <w:rPr>
                <w:rStyle w:val="FootnoteReference"/>
                <w:rFonts w:cs="Simplified Arabic"/>
                <w:b w:val="0"/>
                <w:sz w:val="20"/>
                <w:szCs w:val="20"/>
                <w:rtl/>
                <w:lang w:val="en-US"/>
              </w:rPr>
              <w:footnoteReference w:id="124"/>
            </w:r>
            <w:r w:rsidRPr="00564B9D">
              <w:rPr>
                <w:sz w:val="20"/>
                <w:szCs w:val="20"/>
                <w:vertAlign w:val="superscript"/>
                <w:rtl/>
              </w:rPr>
              <w:t>)</w:t>
            </w:r>
            <w:r w:rsidRPr="00564B9D">
              <w:rPr>
                <w:rFonts w:hint="cs"/>
                <w:sz w:val="20"/>
                <w:szCs w:val="20"/>
                <w:rtl/>
              </w:rPr>
              <w:t>: 95 في المائة (المحكمة الجزئية)؛ 99,9 في المائة (محكمة التاج).</w:t>
            </w:r>
          </w:p>
          <w:p w14:paraId="035449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اسكتلندا: </w:t>
            </w:r>
            <w:r w:rsidRPr="00564B9D">
              <w:rPr>
                <w:sz w:val="20"/>
                <w:szCs w:val="20"/>
                <w:rtl/>
              </w:rPr>
              <w:t>حصل 100</w:t>
            </w:r>
            <w:r w:rsidRPr="00564B9D">
              <w:rPr>
                <w:rFonts w:hint="cs"/>
                <w:sz w:val="20"/>
                <w:szCs w:val="20"/>
                <w:rtl/>
              </w:rPr>
              <w:t xml:space="preserve"> في المائة</w:t>
            </w:r>
            <w:r w:rsidRPr="00564B9D">
              <w:rPr>
                <w:sz w:val="20"/>
                <w:szCs w:val="20"/>
                <w:rtl/>
              </w:rPr>
              <w:t xml:space="preserve"> من الأشخاص المحتجزين و93</w:t>
            </w:r>
            <w:r w:rsidRPr="00564B9D">
              <w:rPr>
                <w:rFonts w:hint="cs"/>
                <w:sz w:val="20"/>
                <w:szCs w:val="20"/>
                <w:rtl/>
              </w:rPr>
              <w:t xml:space="preserve"> في المائة</w:t>
            </w:r>
            <w:r w:rsidRPr="00564B9D">
              <w:rPr>
                <w:sz w:val="20"/>
                <w:szCs w:val="20"/>
                <w:rtl/>
              </w:rPr>
              <w:t xml:space="preserve"> من المتهمين على مساعدة قانونية مجانية في 2019-20</w:t>
            </w:r>
            <w:r w:rsidRPr="00564B9D">
              <w:rPr>
                <w:rFonts w:hint="cs"/>
                <w:sz w:val="20"/>
                <w:szCs w:val="20"/>
                <w:rtl/>
              </w:rPr>
              <w:t xml:space="preserve">20. </w:t>
            </w:r>
          </w:p>
          <w:p w14:paraId="538BAE90" w14:textId="2C7B9280"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أيرلندا الشمالية</w:t>
            </w:r>
            <w:r w:rsidR="00494AE4" w:rsidRPr="00564B9D">
              <w:rPr>
                <w:rFonts w:hint="cs"/>
                <w:sz w:val="20"/>
                <w:szCs w:val="20"/>
                <w:rtl/>
              </w:rPr>
              <w:t xml:space="preserve">: لم تتوفر المعلومات بعد. </w:t>
            </w:r>
          </w:p>
        </w:tc>
      </w:tr>
      <w:tr w:rsidR="007B5A24" w:rsidRPr="00564B9D" w14:paraId="18584E35" w14:textId="77777777" w:rsidTr="000F4858">
        <w:tblPrEx>
          <w:tblLook w:val="0000" w:firstRow="0" w:lastRow="0" w:firstColumn="0" w:lastColumn="0" w:noHBand="0" w:noVBand="0"/>
        </w:tblPrEx>
        <w:trPr>
          <w:trHeight w:val="240"/>
        </w:trPr>
        <w:tc>
          <w:tcPr>
            <w:tcW w:w="3654" w:type="dxa"/>
            <w:tcBorders>
              <w:bottom w:val="single" w:sz="12" w:space="0" w:color="auto"/>
            </w:tcBorders>
            <w:shd w:val="clear" w:color="auto" w:fill="auto"/>
          </w:tcPr>
          <w:p w14:paraId="1CF635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الضحايا الذين تم تعويضهم بعد صدور الحكم القضائي، بحسب نوع الجريمة </w:t>
            </w:r>
          </w:p>
        </w:tc>
        <w:tc>
          <w:tcPr>
            <w:tcW w:w="4736" w:type="dxa"/>
            <w:tcBorders>
              <w:bottom w:val="single" w:sz="12" w:space="0" w:color="auto"/>
            </w:tcBorders>
            <w:shd w:val="clear" w:color="auto" w:fill="auto"/>
          </w:tcPr>
          <w:p w14:paraId="0779F839" w14:textId="77777777" w:rsidR="008C7853"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إنكلترا، واسكتلندا، وويلز</w:t>
            </w:r>
            <w:r w:rsidRPr="00564B9D">
              <w:rPr>
                <w:sz w:val="20"/>
                <w:szCs w:val="20"/>
                <w:vertAlign w:val="superscript"/>
                <w:rtl/>
              </w:rPr>
              <w:t>(</w:t>
            </w:r>
            <w:r w:rsidRPr="00564B9D">
              <w:rPr>
                <w:rStyle w:val="FootnoteReference"/>
                <w:rFonts w:cs="Simplified Arabic"/>
                <w:b w:val="0"/>
                <w:sz w:val="20"/>
                <w:szCs w:val="20"/>
                <w:rtl/>
                <w:lang w:val="en-US"/>
              </w:rPr>
              <w:footnoteReference w:id="125"/>
            </w:r>
            <w:r w:rsidRPr="00564B9D">
              <w:rPr>
                <w:sz w:val="20"/>
                <w:szCs w:val="20"/>
                <w:vertAlign w:val="superscript"/>
                <w:rtl/>
              </w:rPr>
              <w:t>)</w:t>
            </w:r>
            <w:r w:rsidRPr="00564B9D">
              <w:rPr>
                <w:rFonts w:hint="cs"/>
                <w:sz w:val="20"/>
                <w:szCs w:val="20"/>
                <w:rtl/>
              </w:rPr>
              <w:t xml:space="preserve">: 57,47 في المائة. </w:t>
            </w:r>
          </w:p>
          <w:p w14:paraId="2C78CD8F" w14:textId="4D0A01C9" w:rsidR="00494AE4" w:rsidRPr="00564B9D" w:rsidRDefault="000F4858"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أيرلندا الشمالية</w:t>
            </w:r>
            <w:r w:rsidR="00494AE4" w:rsidRPr="00564B9D">
              <w:rPr>
                <w:rFonts w:hint="cs"/>
                <w:sz w:val="20"/>
                <w:szCs w:val="20"/>
                <w:rtl/>
              </w:rPr>
              <w:t>: 44,7 في المائة (1 نيسان/أبريل 2020 - 29 آذار/مارس 2021)</w:t>
            </w:r>
          </w:p>
          <w:p w14:paraId="3172B3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التوزيع بحسب نوع الجريمة غير متوفر.</w:t>
            </w:r>
          </w:p>
        </w:tc>
      </w:tr>
    </w:tbl>
    <w:p w14:paraId="0EBD030D" w14:textId="77777777" w:rsidR="00494AE4" w:rsidRPr="00564B9D" w:rsidRDefault="00494AE4" w:rsidP="00494AE4">
      <w:pPr>
        <w:pStyle w:val="H1GA"/>
        <w:rPr>
          <w:rtl/>
        </w:rPr>
      </w:pPr>
      <w:r w:rsidRPr="00564B9D">
        <w:rPr>
          <w:rtl/>
        </w:rPr>
        <w:tab/>
      </w:r>
      <w:bookmarkStart w:id="25" w:name="_Toc123044109"/>
      <w:bookmarkStart w:id="26" w:name="_Toc123044332"/>
      <w:bookmarkStart w:id="27" w:name="_Toc123044593"/>
      <w:bookmarkStart w:id="28" w:name="_Toc123044855"/>
      <w:r w:rsidRPr="00564B9D">
        <w:rPr>
          <w:rFonts w:hint="cs"/>
          <w:rtl/>
        </w:rPr>
        <w:t>باء-</w:t>
      </w:r>
      <w:r w:rsidRPr="00564B9D">
        <w:rPr>
          <w:rtl/>
        </w:rPr>
        <w:tab/>
        <w:t>الهيكل الدستوري والسياسي والقانوني</w:t>
      </w:r>
      <w:r w:rsidRPr="00564B9D">
        <w:rPr>
          <w:rFonts w:hint="cs"/>
          <w:rtl/>
        </w:rPr>
        <w:t xml:space="preserve"> للدولة</w:t>
      </w:r>
      <w:bookmarkEnd w:id="25"/>
      <w:bookmarkEnd w:id="26"/>
      <w:bookmarkEnd w:id="27"/>
      <w:bookmarkEnd w:id="28"/>
    </w:p>
    <w:p w14:paraId="042ABB41" w14:textId="77777777" w:rsidR="00494AE4" w:rsidRPr="00564B9D" w:rsidRDefault="00494AE4" w:rsidP="00494AE4">
      <w:pPr>
        <w:pStyle w:val="SingleTxtGA"/>
        <w:rPr>
          <w:rtl/>
        </w:rPr>
      </w:pPr>
      <w:r w:rsidRPr="00564B9D">
        <w:rPr>
          <w:rFonts w:hint="cs"/>
          <w:rtl/>
        </w:rPr>
        <w:t>3</w:t>
      </w:r>
      <w:r w:rsidRPr="00564B9D">
        <w:rPr>
          <w:rtl/>
        </w:rPr>
        <w:t>-</w:t>
      </w:r>
      <w:r w:rsidRPr="00564B9D">
        <w:rPr>
          <w:rtl/>
        </w:rPr>
        <w:tab/>
      </w:r>
      <w:r w:rsidRPr="00564B9D">
        <w:rPr>
          <w:rFonts w:hint="cs"/>
          <w:rtl/>
        </w:rPr>
        <w:t>نظام الحكم في المملكة المتحدة هو نظام ملكي دستوري. غير</w:t>
      </w:r>
      <w:r w:rsidRPr="00564B9D">
        <w:rPr>
          <w:rtl/>
        </w:rPr>
        <w:t xml:space="preserve"> </w:t>
      </w:r>
      <w:r w:rsidRPr="00564B9D">
        <w:rPr>
          <w:rFonts w:hint="eastAsia"/>
          <w:rtl/>
        </w:rPr>
        <w:t>أن</w:t>
      </w:r>
      <w:r w:rsidRPr="00564B9D">
        <w:rPr>
          <w:rtl/>
        </w:rPr>
        <w:t xml:space="preserve"> دستور المملكة المتحدة ليس مدوناً، أي </w:t>
      </w:r>
      <w:r w:rsidRPr="00564B9D">
        <w:rPr>
          <w:rFonts w:hint="eastAsia"/>
          <w:rtl/>
        </w:rPr>
        <w:t>أنه</w:t>
      </w:r>
      <w:r w:rsidRPr="00564B9D">
        <w:rPr>
          <w:rtl/>
        </w:rPr>
        <w:t xml:space="preserve"> لا يرد في شكل وثيقة واحدة </w:t>
      </w:r>
      <w:r w:rsidRPr="00564B9D">
        <w:rPr>
          <w:rFonts w:hint="eastAsia"/>
          <w:rtl/>
        </w:rPr>
        <w:t>بل</w:t>
      </w:r>
      <w:r w:rsidRPr="00564B9D">
        <w:rPr>
          <w:rtl/>
        </w:rPr>
        <w:t xml:space="preserve"> إنه مستمد من مصادر مختلفة مثل التشريعات، والقرارات القضائية، والحق التمييزي الملكي (السلطات التمييزية</w:t>
      </w:r>
      <w:r w:rsidRPr="00564B9D">
        <w:rPr>
          <w:rFonts w:hint="cs"/>
          <w:rtl/>
        </w:rPr>
        <w:t xml:space="preserve"> المتبقية للعاهل)، والقوانين والأعراف الصادرة عن برلمان المملكة المتحدة، والأعمال الرسمية الموثوقة، والاتفاقية الأوروبية لحماية حقوق الإنسان والحريات الأساسية (من خلال قانون حقوق الإنسان لعام 1998)</w:t>
      </w:r>
      <w:r w:rsidRPr="00564B9D">
        <w:rPr>
          <w:vertAlign w:val="superscript"/>
          <w:rtl/>
        </w:rPr>
        <w:t>(</w:t>
      </w:r>
      <w:r w:rsidRPr="00564B9D">
        <w:rPr>
          <w:rStyle w:val="FootnoteReference"/>
          <w:rFonts w:cs="Simplified Arabic"/>
          <w:b w:val="0"/>
          <w:sz w:val="22"/>
          <w:szCs w:val="22"/>
          <w:rtl/>
          <w:lang w:val="en-US"/>
        </w:rPr>
        <w:footnoteReference w:id="126"/>
      </w:r>
      <w:r w:rsidRPr="00564B9D">
        <w:rPr>
          <w:vertAlign w:val="superscript"/>
          <w:rtl/>
        </w:rPr>
        <w:t>)</w:t>
      </w:r>
      <w:r w:rsidRPr="00564B9D">
        <w:rPr>
          <w:rFonts w:hint="cs"/>
          <w:rtl/>
        </w:rPr>
        <w:t>، والاتفاقيات الدستورية</w:t>
      </w:r>
      <w:r w:rsidRPr="00564B9D">
        <w:rPr>
          <w:rtl/>
        </w:rPr>
        <w:t>.</w:t>
      </w:r>
    </w:p>
    <w:p w14:paraId="765E628F" w14:textId="77777777" w:rsidR="00494AE4" w:rsidRPr="00564B9D" w:rsidRDefault="00494AE4" w:rsidP="00494AE4">
      <w:pPr>
        <w:pStyle w:val="SingleTxtGA"/>
        <w:rPr>
          <w:rtl/>
        </w:rPr>
      </w:pPr>
      <w:r w:rsidRPr="00564B9D">
        <w:rPr>
          <w:rFonts w:hint="cs"/>
          <w:rtl/>
        </w:rPr>
        <w:t>4</w:t>
      </w:r>
      <w:r w:rsidRPr="00564B9D">
        <w:rPr>
          <w:rtl/>
        </w:rPr>
        <w:t>-</w:t>
      </w:r>
      <w:r w:rsidRPr="00564B9D">
        <w:rPr>
          <w:rtl/>
        </w:rPr>
        <w:tab/>
      </w:r>
      <w:r w:rsidRPr="00564B9D">
        <w:rPr>
          <w:rFonts w:hint="cs"/>
          <w:rtl/>
        </w:rPr>
        <w:t>وهناك اثنان من المبادئ الدستورية الرئيسية التي يقوم عليها دستور المملكة المتحدة، وهما: هيمنة السلطة البرلمانية (التي جرت العادة على أن تعرّف بأنها: سلطات برلمان المملكة المتحدة المتمثلة بالتشريع (أو تعديل أو إبطال أي من التشريعات) وفقما يشاء، والمبدأ القائل بأن القانون الصادر عن البرلمان لا يمكن أن تلغيه هيئات أخرى)؛ وسيادة القانون (التي تم التعبير عنها</w:t>
      </w:r>
      <w:r w:rsidRPr="00564B9D">
        <w:rPr>
          <w:vertAlign w:val="superscript"/>
          <w:rtl/>
        </w:rPr>
        <w:t>(</w:t>
      </w:r>
      <w:r w:rsidRPr="00564B9D">
        <w:rPr>
          <w:rStyle w:val="FootnoteReference"/>
          <w:rFonts w:cs="Simplified Arabic"/>
          <w:b w:val="0"/>
          <w:sz w:val="22"/>
          <w:szCs w:val="22"/>
          <w:rtl/>
          <w:lang w:val="en-US"/>
        </w:rPr>
        <w:footnoteReference w:id="127"/>
      </w:r>
      <w:r w:rsidRPr="00564B9D">
        <w:rPr>
          <w:vertAlign w:val="superscript"/>
          <w:rtl/>
        </w:rPr>
        <w:t>)</w:t>
      </w:r>
      <w:r w:rsidRPr="00564B9D">
        <w:rPr>
          <w:rFonts w:hint="cs"/>
          <w:rtl/>
        </w:rPr>
        <w:t xml:space="preserve"> مؤخراً على النحو التالي: "ينبغي للشخصيات والسلطات داخل الدولة، سواء كانت عامة أو خاصة، أن تكون ملزمة بالقوانين الصادرة علناً وبشكل استباقي والمدارة علناً داخل المحاكم وأن تستفيد منها").</w:t>
      </w:r>
    </w:p>
    <w:p w14:paraId="1DF7FFC3"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برلمان المملكة المتحدة</w:t>
      </w:r>
      <w:r w:rsidRPr="00564B9D">
        <w:rPr>
          <w:b w:val="0"/>
          <w:bCs w:val="0"/>
          <w:vertAlign w:val="superscript"/>
          <w:rtl/>
        </w:rPr>
        <w:t>(</w:t>
      </w:r>
      <w:r w:rsidRPr="00564B9D">
        <w:rPr>
          <w:rStyle w:val="FootnoteReference"/>
          <w:rFonts w:cs="Simplified Arabic"/>
          <w:bCs w:val="0"/>
          <w:sz w:val="22"/>
          <w:szCs w:val="22"/>
          <w:rtl/>
          <w:lang w:val="en-US"/>
        </w:rPr>
        <w:footnoteReference w:id="128"/>
      </w:r>
      <w:r w:rsidRPr="00564B9D">
        <w:rPr>
          <w:b w:val="0"/>
          <w:bCs w:val="0"/>
          <w:vertAlign w:val="superscript"/>
          <w:rtl/>
        </w:rPr>
        <w:t>)</w:t>
      </w:r>
      <w:r w:rsidRPr="00564B9D">
        <w:rPr>
          <w:rFonts w:hint="cs"/>
          <w:rtl/>
        </w:rPr>
        <w:t xml:space="preserve"> </w:t>
      </w:r>
    </w:p>
    <w:p w14:paraId="4E1BA066" w14:textId="77777777" w:rsidR="00494AE4" w:rsidRPr="00564B9D" w:rsidRDefault="00494AE4" w:rsidP="00494AE4">
      <w:pPr>
        <w:pStyle w:val="SingleTxtGA"/>
        <w:rPr>
          <w:rtl/>
        </w:rPr>
      </w:pPr>
      <w:r w:rsidRPr="00564B9D">
        <w:rPr>
          <w:rFonts w:hint="cs"/>
          <w:rtl/>
        </w:rPr>
        <w:t>5</w:t>
      </w:r>
      <w:r w:rsidRPr="00564B9D">
        <w:rPr>
          <w:rtl/>
        </w:rPr>
        <w:t>-</w:t>
      </w:r>
      <w:r w:rsidRPr="00564B9D">
        <w:rPr>
          <w:rtl/>
        </w:rPr>
        <w:tab/>
      </w:r>
      <w:r w:rsidRPr="00564B9D">
        <w:rPr>
          <w:rFonts w:hint="cs"/>
          <w:rtl/>
        </w:rPr>
        <w:t>يتألف برلمان المملكة المتحدة من مجلس اللوردات ومجلس العموم. ويجب أن تحظى النصوص التشريعية (مشاريع القوانين) بموافقة كلا المجلسين (مع استثناءات محدودة جداً مبينة أدناه)، ومن ثمّ الحصول على الموافقة الملكية من العاهل قبل أن تصبح قوانين تصدر عن البرلمان</w:t>
      </w:r>
      <w:r w:rsidRPr="00564B9D">
        <w:rPr>
          <w:rtl/>
        </w:rPr>
        <w:t>.</w:t>
      </w:r>
    </w:p>
    <w:p w14:paraId="14E54A9D" w14:textId="77777777" w:rsidR="00494AE4" w:rsidRPr="00564B9D" w:rsidRDefault="00494AE4" w:rsidP="00494AE4">
      <w:pPr>
        <w:pStyle w:val="SingleTxtGA"/>
        <w:rPr>
          <w:rtl/>
        </w:rPr>
      </w:pPr>
      <w:r w:rsidRPr="00564B9D">
        <w:rPr>
          <w:rFonts w:hint="cs"/>
          <w:rtl/>
        </w:rPr>
        <w:t>6</w:t>
      </w:r>
      <w:r w:rsidRPr="00564B9D">
        <w:rPr>
          <w:rtl/>
        </w:rPr>
        <w:t>-</w:t>
      </w:r>
      <w:r w:rsidRPr="00564B9D">
        <w:rPr>
          <w:rtl/>
        </w:rPr>
        <w:tab/>
      </w:r>
      <w:r w:rsidRPr="00564B9D">
        <w:rPr>
          <w:rFonts w:hint="cs"/>
          <w:rtl/>
        </w:rPr>
        <w:t>ويتألف مجلس اللوردات من 780 عضواً من النبلاء</w:t>
      </w:r>
      <w:r w:rsidRPr="00564B9D">
        <w:rPr>
          <w:vertAlign w:val="superscript"/>
          <w:rtl/>
        </w:rPr>
        <w:t>(</w:t>
      </w:r>
      <w:r w:rsidRPr="00564B9D">
        <w:rPr>
          <w:rStyle w:val="FootnoteReference"/>
          <w:rFonts w:cs="Simplified Arabic"/>
          <w:b w:val="0"/>
          <w:sz w:val="22"/>
          <w:szCs w:val="22"/>
          <w:rtl/>
          <w:lang w:val="en-US"/>
        </w:rPr>
        <w:footnoteReference w:id="129"/>
      </w:r>
      <w:r w:rsidRPr="00564B9D">
        <w:rPr>
          <w:vertAlign w:val="superscript"/>
          <w:rtl/>
        </w:rPr>
        <w:t>)</w:t>
      </w:r>
      <w:r w:rsidRPr="00564B9D">
        <w:rPr>
          <w:rFonts w:hint="cs"/>
          <w:rtl/>
        </w:rPr>
        <w:t>: 666 من النبلاء مدى الحياة، و88 من النبلاء بحكم الوراثة، و26 أسقفاً. وتعيّن الملكة النبلاء بناء على مشورة رئيس الوزراء أو لجنة التعيينات في مجلس اللوردات. وبموجب القوانين الصادرة عن البرلمان لعامي</w:t>
      </w:r>
      <w:r w:rsidRPr="00564B9D">
        <w:rPr>
          <w:rFonts w:hint="eastAsia"/>
          <w:rtl/>
        </w:rPr>
        <w:t xml:space="preserve"> </w:t>
      </w:r>
      <w:r w:rsidRPr="00564B9D">
        <w:rPr>
          <w:rFonts w:hint="cs"/>
          <w:rtl/>
        </w:rPr>
        <w:t>1911</w:t>
      </w:r>
      <w:r w:rsidRPr="00564B9D">
        <w:rPr>
          <w:vertAlign w:val="superscript"/>
          <w:rtl/>
        </w:rPr>
        <w:t>(</w:t>
      </w:r>
      <w:r w:rsidRPr="00564B9D">
        <w:rPr>
          <w:rStyle w:val="FootnoteReference"/>
          <w:rFonts w:cs="Simplified Arabic"/>
          <w:b w:val="0"/>
          <w:sz w:val="22"/>
          <w:szCs w:val="22"/>
          <w:rtl/>
          <w:lang w:val="en-US"/>
        </w:rPr>
        <w:footnoteReference w:id="130"/>
      </w:r>
      <w:r w:rsidRPr="00564B9D">
        <w:rPr>
          <w:vertAlign w:val="superscript"/>
          <w:rtl/>
        </w:rPr>
        <w:t>)</w:t>
      </w:r>
      <w:r w:rsidRPr="00564B9D">
        <w:rPr>
          <w:rtl/>
        </w:rPr>
        <w:t xml:space="preserve"> </w:t>
      </w:r>
      <w:r w:rsidRPr="00564B9D">
        <w:rPr>
          <w:rFonts w:hint="cs"/>
          <w:rtl/>
        </w:rPr>
        <w:t>و1949</w:t>
      </w:r>
      <w:r w:rsidRPr="00564B9D">
        <w:rPr>
          <w:vertAlign w:val="superscript"/>
          <w:rtl/>
        </w:rPr>
        <w:t>(</w:t>
      </w:r>
      <w:r w:rsidRPr="00564B9D">
        <w:rPr>
          <w:rStyle w:val="FootnoteReference"/>
          <w:rFonts w:cs="Simplified Arabic"/>
          <w:b w:val="0"/>
          <w:sz w:val="22"/>
          <w:szCs w:val="22"/>
          <w:rtl/>
          <w:lang w:val="en-US"/>
        </w:rPr>
        <w:footnoteReference w:id="131"/>
      </w:r>
      <w:r w:rsidRPr="00564B9D">
        <w:rPr>
          <w:vertAlign w:val="superscript"/>
          <w:rtl/>
        </w:rPr>
        <w:t>)</w:t>
      </w:r>
      <w:r w:rsidRPr="00564B9D">
        <w:rPr>
          <w:rFonts w:hint="cs"/>
          <w:rtl/>
        </w:rPr>
        <w:t>، يمكن أن تتحول مشاريع قوانين معينة إلى قوانين دون موافقة اللوردات. وقد فرض مشروع قانون عام 1911 قيوداً على حق اللوردات في تأجيل مشاريع القوانين التي تتناول حصرياً النفقات أو الضرائب كما </w:t>
      </w:r>
      <w:r w:rsidRPr="00564B9D">
        <w:rPr>
          <w:rtl/>
        </w:rPr>
        <w:t xml:space="preserve">حد من سلطتهم </w:t>
      </w:r>
      <w:r w:rsidRPr="00564B9D">
        <w:rPr>
          <w:rFonts w:hint="cs"/>
          <w:rtl/>
        </w:rPr>
        <w:t xml:space="preserve">في رفض التشريعات الأخرى؛ وبموجب قانون عام 1949 تنحصر سلطة اللوردات في تأجيل مشاريع القوانين لمدة سنة واحدة. </w:t>
      </w:r>
      <w:r w:rsidRPr="00564B9D">
        <w:rPr>
          <w:rtl/>
        </w:rPr>
        <w:t>وتستند هذه القيود التي تحد من سلطات مجلس اللوردات إلى الاعتقاد بأن المهمة التشريعية الرئيسية لمجلس اللوردات الحديث تتمثل في المراجعة</w:t>
      </w:r>
      <w:r w:rsidRPr="00564B9D">
        <w:rPr>
          <w:rFonts w:hint="cs"/>
          <w:rtl/>
        </w:rPr>
        <w:t>،</w:t>
      </w:r>
      <w:r w:rsidRPr="00564B9D">
        <w:rPr>
          <w:rtl/>
        </w:rPr>
        <w:t xml:space="preserve"> وأن هدفه هو أن يكون مكملاً لمجلس العموم لا منافساً له.</w:t>
      </w:r>
    </w:p>
    <w:p w14:paraId="3B6C2F8B" w14:textId="77777777" w:rsidR="00494AE4" w:rsidRPr="00564B9D" w:rsidRDefault="00494AE4" w:rsidP="00494AE4">
      <w:pPr>
        <w:pStyle w:val="SingleTxtGA"/>
      </w:pPr>
      <w:r w:rsidRPr="00564B9D">
        <w:rPr>
          <w:rFonts w:hint="cs"/>
          <w:rtl/>
        </w:rPr>
        <w:t>7</w:t>
      </w:r>
      <w:r w:rsidRPr="00564B9D">
        <w:rPr>
          <w:rtl/>
        </w:rPr>
        <w:t>-</w:t>
      </w:r>
      <w:r w:rsidRPr="00564B9D">
        <w:rPr>
          <w:rtl/>
        </w:rPr>
        <w:tab/>
      </w:r>
      <w:r w:rsidRPr="00564B9D">
        <w:rPr>
          <w:rFonts w:hint="cs"/>
          <w:rtl/>
        </w:rPr>
        <w:t>ويتألف مجلس العموم من 650</w:t>
      </w:r>
      <w:r w:rsidRPr="00564B9D">
        <w:rPr>
          <w:vertAlign w:val="superscript"/>
          <w:rtl/>
        </w:rPr>
        <w:t>(</w:t>
      </w:r>
      <w:r w:rsidRPr="00564B9D">
        <w:rPr>
          <w:rStyle w:val="FootnoteReference"/>
          <w:rFonts w:cs="Simplified Arabic"/>
          <w:b w:val="0"/>
          <w:sz w:val="22"/>
          <w:szCs w:val="22"/>
          <w:rtl/>
          <w:lang w:val="en-US"/>
        </w:rPr>
        <w:footnoteReference w:id="132"/>
      </w:r>
      <w:r w:rsidRPr="00564B9D">
        <w:rPr>
          <w:vertAlign w:val="superscript"/>
          <w:rtl/>
        </w:rPr>
        <w:t>)</w:t>
      </w:r>
      <w:r w:rsidRPr="00564B9D">
        <w:rPr>
          <w:rtl/>
        </w:rPr>
        <w:t xml:space="preserve"> </w:t>
      </w:r>
      <w:r w:rsidRPr="00564B9D">
        <w:rPr>
          <w:rFonts w:hint="cs"/>
          <w:rtl/>
        </w:rPr>
        <w:t>عضواً برلمانياً يُنتخبون بالاقتراع العام بموجب نظام "المقعد الفائز بأكثر الأصوات": ففي كل دائرة انتخابية، يتم انتخاب المرشح الذي حاز على أكبر عدد من الأصوات. وبموجب قانون تحديد أجل البرلمان لعام 2011</w:t>
      </w:r>
      <w:r w:rsidRPr="00564B9D">
        <w:rPr>
          <w:vertAlign w:val="superscript"/>
          <w:rtl/>
        </w:rPr>
        <w:t>(</w:t>
      </w:r>
      <w:r w:rsidRPr="00564B9D">
        <w:rPr>
          <w:rStyle w:val="FootnoteReference"/>
          <w:rFonts w:cs="Simplified Arabic"/>
          <w:b w:val="0"/>
          <w:sz w:val="22"/>
          <w:szCs w:val="22"/>
          <w:rtl/>
          <w:lang w:val="en-US"/>
        </w:rPr>
        <w:footnoteReference w:id="133"/>
      </w:r>
      <w:r w:rsidRPr="00564B9D">
        <w:rPr>
          <w:vertAlign w:val="superscript"/>
          <w:rtl/>
        </w:rPr>
        <w:t>)</w:t>
      </w:r>
      <w:r w:rsidRPr="00564B9D">
        <w:rPr>
          <w:rFonts w:hint="cs"/>
          <w:rtl/>
        </w:rPr>
        <w:t xml:space="preserve">، فإن الانتخابات العامة المقبلة ستجري في 2 أيار/مايو 2024، </w:t>
      </w:r>
      <w:r w:rsidRPr="00564B9D">
        <w:rPr>
          <w:rtl/>
        </w:rPr>
        <w:t xml:space="preserve">وستُجرى الانتخابات العامة بعد ذلك في أول يوم خميس </w:t>
      </w:r>
      <w:r w:rsidRPr="00564B9D">
        <w:rPr>
          <w:rFonts w:hint="cs"/>
          <w:rtl/>
        </w:rPr>
        <w:t>من شهر أيار/مايو كل فترة خمس سنوات (ولا يستطيع رئيس الوزراء تأجيل يوم الاقتراع لأكثر من شهرين). ومع ذلك يمكن إجراء الانتخابات العامة دون الالتزام بالفترات الفاصلة التي تبلغ مدتها خمس سنوات وذلك إذا: تم التصويت على اقتراح بسحب الثقة من الحكومة بأغلبية بسيطة ومرّ 14 يوماً من دون أن يقر مجلس العموم ملتمس منح الثقة لأي حكومة جديدة تشكلت؛ أو إذا وافق ثلثا العدد الكلي لأعضاء مجلس العموم، بما يشمل المقاعد الشاغرة، على اقتراح بإجراء انتخابات عامة.</w:t>
      </w:r>
    </w:p>
    <w:p w14:paraId="4068BE6A" w14:textId="77777777" w:rsidR="00494AE4" w:rsidRPr="00564B9D" w:rsidRDefault="00494AE4" w:rsidP="00494AE4">
      <w:pPr>
        <w:pStyle w:val="SingleTxtGA"/>
        <w:rPr>
          <w:rtl/>
        </w:rPr>
      </w:pPr>
      <w:r w:rsidRPr="00564B9D">
        <w:rPr>
          <w:rFonts w:hint="cs"/>
          <w:rtl/>
        </w:rPr>
        <w:t>8</w:t>
      </w:r>
      <w:r w:rsidRPr="00564B9D">
        <w:rPr>
          <w:rtl/>
        </w:rPr>
        <w:t>-</w:t>
      </w:r>
      <w:r w:rsidRPr="00564B9D">
        <w:rPr>
          <w:rtl/>
        </w:rPr>
        <w:tab/>
      </w:r>
      <w:r w:rsidRPr="00564B9D">
        <w:rPr>
          <w:rFonts w:hint="cs"/>
          <w:rtl/>
        </w:rPr>
        <w:t>ويمارس العاهل</w:t>
      </w:r>
      <w:r w:rsidRPr="00564B9D">
        <w:rPr>
          <w:vertAlign w:val="superscript"/>
          <w:rtl/>
        </w:rPr>
        <w:t>(</w:t>
      </w:r>
      <w:r w:rsidRPr="00564B9D">
        <w:rPr>
          <w:rStyle w:val="FootnoteReference"/>
          <w:rFonts w:cs="Simplified Arabic"/>
          <w:b w:val="0"/>
          <w:sz w:val="22"/>
          <w:szCs w:val="22"/>
          <w:rtl/>
          <w:lang w:val="en-US"/>
        </w:rPr>
        <w:footnoteReference w:id="134"/>
      </w:r>
      <w:r w:rsidRPr="00564B9D">
        <w:rPr>
          <w:vertAlign w:val="superscript"/>
          <w:rtl/>
        </w:rPr>
        <w:t>)</w:t>
      </w:r>
      <w:r w:rsidRPr="00564B9D">
        <w:rPr>
          <w:rFonts w:hint="cs"/>
          <w:rtl/>
        </w:rPr>
        <w:t>، أي رئيس الدولة، سلطاته إزاء البرلمان رهناً بقيود وتغييرات تمليها العملية التشريعية، ويكون ذلك دائماً من خلال وزراء مسؤولين أمام البرلمان وبمشورتهم. ويدعى البرلمان للانعقاد بمرسوم ملكي ويفض العاهل دورته (توقف جلساته إلى حين انعقاد الدورة القادمة) ويحله. ويفتتح العاهل البرلمان شخصياً في بداية كل دورة جديدة. وموافقة العاهل شرط أساسي قبل أن يسري أي قانون: ويقوم رئيسا المجلسين في الوقت الحالي عادة بإعلان الموافقة الملكية على مشاريع القوانين أمام البرلمان. وللعاهل الحق في أن يُستشار، والحق في أن يُشجِّع والحق في أن يحذِّر، أما </w:t>
      </w:r>
      <w:r w:rsidRPr="00564B9D">
        <w:rPr>
          <w:rtl/>
        </w:rPr>
        <w:t xml:space="preserve">الحق في </w:t>
      </w:r>
      <w:r w:rsidRPr="00564B9D">
        <w:rPr>
          <w:rFonts w:hint="cs"/>
          <w:rtl/>
        </w:rPr>
        <w:t>الاعتراض على التشريعات فلم يعد معمولاً به منذ وقت طويل.</w:t>
      </w:r>
    </w:p>
    <w:p w14:paraId="0D5DB6F6"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حكومة المملكة المتحدة</w:t>
      </w:r>
      <w:r w:rsidRPr="00564B9D">
        <w:rPr>
          <w:b w:val="0"/>
          <w:bCs w:val="0"/>
          <w:vertAlign w:val="superscript"/>
          <w:rtl/>
        </w:rPr>
        <w:t>(</w:t>
      </w:r>
      <w:r w:rsidRPr="00564B9D">
        <w:rPr>
          <w:rStyle w:val="FootnoteReference"/>
          <w:rFonts w:cs="Simplified Arabic"/>
          <w:bCs w:val="0"/>
          <w:sz w:val="22"/>
          <w:szCs w:val="22"/>
          <w:rtl/>
          <w:lang w:val="en-US"/>
        </w:rPr>
        <w:footnoteReference w:id="135"/>
      </w:r>
      <w:r w:rsidRPr="00564B9D">
        <w:rPr>
          <w:b w:val="0"/>
          <w:bCs w:val="0"/>
          <w:vertAlign w:val="superscript"/>
          <w:rtl/>
        </w:rPr>
        <w:t>)</w:t>
      </w:r>
      <w:r w:rsidRPr="00564B9D">
        <w:rPr>
          <w:rFonts w:hint="cs"/>
          <w:rtl/>
        </w:rPr>
        <w:t xml:space="preserve"> </w:t>
      </w:r>
    </w:p>
    <w:p w14:paraId="5F40B5A9" w14:textId="77777777" w:rsidR="00494AE4" w:rsidRPr="00564B9D" w:rsidRDefault="00494AE4" w:rsidP="00494AE4">
      <w:pPr>
        <w:pStyle w:val="SingleTxtGA"/>
      </w:pPr>
      <w:r w:rsidRPr="00564B9D">
        <w:rPr>
          <w:rFonts w:hint="cs"/>
          <w:rtl/>
        </w:rPr>
        <w:t>9</w:t>
      </w:r>
      <w:r w:rsidRPr="00564B9D">
        <w:rPr>
          <w:rtl/>
        </w:rPr>
        <w:t>-</w:t>
      </w:r>
      <w:r w:rsidRPr="00564B9D">
        <w:rPr>
          <w:rtl/>
        </w:rPr>
        <w:tab/>
      </w:r>
      <w:r w:rsidRPr="00564B9D">
        <w:rPr>
          <w:rFonts w:hint="cs"/>
          <w:rtl/>
        </w:rPr>
        <w:t>يوجه العاهل الدعوة، وفقاً للأعراف الدستورية، إلى زعيم الحزب الذي يحصل على أكبر عدد من المقاعد (وليس بالضرورة على أكبر عدد من الأصوات) في انتخاب عام، أو الذي يحظى بدعم غالبية أعضاء مجلس العموم، لتشكيل الحكومة ويُعَيَّن رئيساً للوزراء. وفي الحالات التي لا يفلح فيها حزب من الأحزاب في الحصول على أغلبية مطلقة، يجوز تشكيل حكومة أقلية. ويختار رئيس الوزراء فريقاً من الوزراء، بما في ذلك مجلس وزراء يقوم بالتوصية بهم إلى العاهل لتعيينهم وزراء للتاج. وهم يشكلون معاً حكومة صاحب الجلالة.</w:t>
      </w:r>
    </w:p>
    <w:p w14:paraId="5085FA5F" w14:textId="77777777" w:rsidR="00494AE4" w:rsidRPr="00564B9D" w:rsidRDefault="00494AE4" w:rsidP="00494AE4">
      <w:pPr>
        <w:pStyle w:val="SingleTxtGA"/>
      </w:pPr>
      <w:r w:rsidRPr="00564B9D">
        <w:rPr>
          <w:rFonts w:hint="cs"/>
          <w:rtl/>
        </w:rPr>
        <w:t>10</w:t>
      </w:r>
      <w:r w:rsidRPr="00564B9D">
        <w:rPr>
          <w:rtl/>
        </w:rPr>
        <w:t>-</w:t>
      </w:r>
      <w:r w:rsidRPr="00564B9D">
        <w:rPr>
          <w:rtl/>
        </w:rPr>
        <w:tab/>
      </w:r>
      <w:r w:rsidRPr="00564B9D">
        <w:rPr>
          <w:rFonts w:hint="cs"/>
          <w:rtl/>
        </w:rPr>
        <w:t>والحزب الذي يفوز بثاني أكبر عدد من المقاعد يعترف به رسمياً بوصفه "معارضة صاحب الجلالة" (أو "المعارضة الرسمية")، بقيادة زعيمه وما يعرف باسم "حكومة الظل" التي يقوم أعضاؤها بالتصرف كمتحدثين رسميين في المواضيع التي يتحمل مسؤولية الحديث عنها وزراء الحكومة. ويؤيد أعضاء أي حزب آخر، وكذلك أي عضو من أعضاء البرلمان المستقلين المنتخبين، الحكومة أو يعارضونها وفقاً لسياسات حزبهم أو وفقاً لآرائهم الشخصية.</w:t>
      </w:r>
    </w:p>
    <w:p w14:paraId="3EE2F085" w14:textId="77777777" w:rsidR="00494AE4" w:rsidRPr="00564B9D" w:rsidRDefault="00494AE4" w:rsidP="00494AE4">
      <w:pPr>
        <w:pStyle w:val="SingleTxtGA"/>
      </w:pPr>
      <w:r w:rsidRPr="00564B9D">
        <w:rPr>
          <w:rFonts w:hint="cs"/>
          <w:rtl/>
        </w:rPr>
        <w:t>11</w:t>
      </w:r>
      <w:r w:rsidRPr="00564B9D">
        <w:rPr>
          <w:rtl/>
        </w:rPr>
        <w:t>-</w:t>
      </w:r>
      <w:r w:rsidRPr="00564B9D">
        <w:rPr>
          <w:rtl/>
        </w:rPr>
        <w:tab/>
      </w:r>
      <w:r w:rsidRPr="00564B9D">
        <w:rPr>
          <w:rFonts w:hint="cs"/>
          <w:rtl/>
        </w:rPr>
        <w:t>وتقوم الحكومة بدور رئيسي في تحديد عمل مجلسي البرلمان: فهي التي تبادر بوضع معظم التشريعات، وتشرح موقفها وتدافع عنه في المناقشات العامة داخل البرلمان. وتُمارَس الرقابة على الحكومة في نهاية الأمر من خلال سلطة مجلس العموم على إرغام الحكومة على الاستقالة، ومن خلال إصدار قرار "عدم الثقة" أو برفض اقتراح تعتبره الحكومة حيوياً لسياستها لدرجة أنها تعتبره معياراً للثقة، أو برفض المصادقة على الميزانية. كما تعتبر السلطة التنفيذية، بما في ذلك الحكومة، مسؤولة أمام المحاكم من خلال عملية المراجعة القضائية (حيث يتسنى للمحاكم العليا مراجعة قرارات الهيئات العامة لتحديد ما إذا كانت قد تصرفت بطريقة غير مشروعة أو غير عقلانية أو غير سليمة من الناحية الإجرائية).</w:t>
      </w:r>
    </w:p>
    <w:p w14:paraId="2331E846" w14:textId="77777777" w:rsidR="00494AE4" w:rsidRPr="00564B9D" w:rsidRDefault="00494AE4" w:rsidP="00494AE4">
      <w:pPr>
        <w:pStyle w:val="H23GA"/>
        <w:rPr>
          <w:rtl/>
        </w:rPr>
      </w:pPr>
      <w:r w:rsidRPr="00564B9D">
        <w:rPr>
          <w:rtl/>
        </w:rPr>
        <w:tab/>
      </w:r>
      <w:r w:rsidRPr="00564B9D">
        <w:rPr>
          <w:rtl/>
        </w:rPr>
        <w:tab/>
      </w:r>
      <w:r w:rsidRPr="00564B9D">
        <w:rPr>
          <w:rFonts w:hint="cs"/>
          <w:rtl/>
        </w:rPr>
        <w:t>أيلولة السلطات</w:t>
      </w:r>
    </w:p>
    <w:p w14:paraId="4CA8839F" w14:textId="79B304C5" w:rsidR="00494AE4" w:rsidRPr="00564B9D" w:rsidRDefault="00494AE4" w:rsidP="00494AE4">
      <w:pPr>
        <w:pStyle w:val="SingleTxtGA"/>
      </w:pPr>
      <w:r w:rsidRPr="00564B9D">
        <w:rPr>
          <w:rFonts w:hint="cs"/>
          <w:rtl/>
        </w:rPr>
        <w:t>12</w:t>
      </w:r>
      <w:r w:rsidRPr="00564B9D">
        <w:rPr>
          <w:rtl/>
        </w:rPr>
        <w:t>-</w:t>
      </w:r>
      <w:r w:rsidRPr="00564B9D">
        <w:rPr>
          <w:rtl/>
        </w:rPr>
        <w:tab/>
        <w:t xml:space="preserve">بعد إقرار القوانين في عام 1998، </w:t>
      </w:r>
      <w:r w:rsidRPr="00564B9D">
        <w:rPr>
          <w:rFonts w:hint="cs"/>
          <w:rtl/>
        </w:rPr>
        <w:t>و</w:t>
      </w:r>
      <w:r w:rsidRPr="00564B9D">
        <w:rPr>
          <w:rtl/>
        </w:rPr>
        <w:t xml:space="preserve">بحلول عام 1999، </w:t>
      </w:r>
      <w:r w:rsidRPr="00564B9D">
        <w:rPr>
          <w:rFonts w:hint="cs"/>
          <w:rtl/>
        </w:rPr>
        <w:t>أنشئت حكومة مفوضة بالصلاحيات في ويلز</w:t>
      </w:r>
      <w:r w:rsidRPr="00564B9D">
        <w:rPr>
          <w:vertAlign w:val="superscript"/>
          <w:rtl/>
        </w:rPr>
        <w:t>(</w:t>
      </w:r>
      <w:r w:rsidRPr="00564B9D">
        <w:rPr>
          <w:rStyle w:val="FootnoteReference"/>
          <w:rFonts w:cs="Simplified Arabic"/>
          <w:b w:val="0"/>
          <w:sz w:val="22"/>
          <w:szCs w:val="22"/>
          <w:rtl/>
          <w:lang w:val="en-US"/>
        </w:rPr>
        <w:footnoteReference w:id="136"/>
      </w:r>
      <w:r w:rsidRPr="00564B9D">
        <w:rPr>
          <w:vertAlign w:val="superscript"/>
          <w:rtl/>
        </w:rPr>
        <w:t>)</w:t>
      </w:r>
      <w:r w:rsidRPr="00564B9D">
        <w:rPr>
          <w:rFonts w:hint="cs"/>
          <w:rtl/>
        </w:rPr>
        <w:t xml:space="preserve"> واسكتلندا</w:t>
      </w:r>
      <w:r w:rsidRPr="00564B9D">
        <w:rPr>
          <w:vertAlign w:val="superscript"/>
          <w:rtl/>
        </w:rPr>
        <w:t>(</w:t>
      </w:r>
      <w:r w:rsidRPr="00564B9D">
        <w:rPr>
          <w:rStyle w:val="FootnoteReference"/>
          <w:rFonts w:cs="Simplified Arabic"/>
          <w:b w:val="0"/>
          <w:sz w:val="22"/>
          <w:szCs w:val="22"/>
          <w:rtl/>
          <w:lang w:val="en-US"/>
        </w:rPr>
        <w:footnoteReference w:id="137"/>
      </w:r>
      <w:r w:rsidRPr="00564B9D">
        <w:rPr>
          <w:vertAlign w:val="superscript"/>
          <w:rtl/>
        </w:rPr>
        <w:t>)</w:t>
      </w:r>
      <w:r w:rsidRPr="00564B9D">
        <w:rPr>
          <w:rFonts w:hint="cs"/>
          <w:rtl/>
        </w:rPr>
        <w:t xml:space="preserve"> و</w:t>
      </w:r>
      <w:r w:rsidR="000F4858" w:rsidRPr="00564B9D">
        <w:rPr>
          <w:rFonts w:hint="cs"/>
          <w:rtl/>
        </w:rPr>
        <w:t>أيرلندا الشمالية</w:t>
      </w:r>
      <w:r w:rsidRPr="00564B9D">
        <w:rPr>
          <w:vertAlign w:val="superscript"/>
          <w:rtl/>
        </w:rPr>
        <w:t>(</w:t>
      </w:r>
      <w:r w:rsidRPr="00564B9D">
        <w:rPr>
          <w:rStyle w:val="FootnoteReference"/>
          <w:rFonts w:cs="Simplified Arabic"/>
          <w:b w:val="0"/>
          <w:sz w:val="22"/>
          <w:szCs w:val="22"/>
          <w:rtl/>
          <w:lang w:val="en-US"/>
        </w:rPr>
        <w:footnoteReference w:id="138"/>
      </w:r>
      <w:r w:rsidRPr="00564B9D">
        <w:rPr>
          <w:vertAlign w:val="superscript"/>
          <w:rtl/>
        </w:rPr>
        <w:t>)</w:t>
      </w:r>
      <w:r w:rsidRPr="00564B9D">
        <w:rPr>
          <w:rFonts w:hint="cs"/>
          <w:rtl/>
        </w:rPr>
        <w:t>. ويحتفظ برلمان المملكة المتحدة بالحق في التشريع بشأن جميع المسائل، لكن حكومة المملكة المتحدة، بموجب اتفاقية سيويل</w:t>
      </w:r>
      <w:r w:rsidRPr="00564B9D">
        <w:rPr>
          <w:vertAlign w:val="superscript"/>
          <w:rtl/>
        </w:rPr>
        <w:t>(</w:t>
      </w:r>
      <w:r w:rsidRPr="00564B9D">
        <w:rPr>
          <w:rStyle w:val="FootnoteReference"/>
          <w:rFonts w:cs="Simplified Arabic"/>
          <w:b w:val="0"/>
          <w:sz w:val="22"/>
          <w:szCs w:val="22"/>
          <w:rtl/>
          <w:lang w:val="en-US"/>
        </w:rPr>
        <w:footnoteReference w:id="139"/>
      </w:r>
      <w:r w:rsidRPr="00564B9D">
        <w:rPr>
          <w:vertAlign w:val="superscript"/>
          <w:rtl/>
        </w:rPr>
        <w:t>)</w:t>
      </w:r>
      <w:r w:rsidRPr="00564B9D">
        <w:rPr>
          <w:rFonts w:hint="cs"/>
          <w:rtl/>
        </w:rPr>
        <w:t xml:space="preserve"> </w:t>
      </w:r>
      <w:r w:rsidRPr="00564B9D">
        <w:t>(Sewel)</w:t>
      </w:r>
      <w:r w:rsidRPr="00564B9D">
        <w:rPr>
          <w:rFonts w:hint="cs"/>
          <w:rtl/>
        </w:rPr>
        <w:t>، لا تدعو عادة برلمان المملكة المتحدة إلى التشريع فيما يتعلق بالأمور الخاضعة لأيلولة السلطات إلا بموافقة الهيئة التشريعية المعنية التي آلت إليها تلك السلطات. ومع ذلك يحتفظ برلمان المملكة المتحدة بالرقابة المباشرة على بعض القضايا بما في ذلك: الشؤون الخارجية، والدفاع والأمن القومي، ومعظم مسائل الاقتصاد الكلي، والأمور المالية.</w:t>
      </w:r>
    </w:p>
    <w:p w14:paraId="77CE3B75" w14:textId="77777777" w:rsidR="00494AE4" w:rsidRPr="00564B9D" w:rsidRDefault="00494AE4" w:rsidP="00494AE4">
      <w:pPr>
        <w:pStyle w:val="SingleTxtGA"/>
      </w:pPr>
      <w:r w:rsidRPr="00564B9D">
        <w:rPr>
          <w:rFonts w:hint="cs"/>
          <w:rtl/>
        </w:rPr>
        <w:lastRenderedPageBreak/>
        <w:t>13</w:t>
      </w:r>
      <w:r w:rsidRPr="00564B9D">
        <w:rPr>
          <w:rtl/>
        </w:rPr>
        <w:t>-</w:t>
      </w:r>
      <w:r w:rsidRPr="00564B9D">
        <w:rPr>
          <w:rtl/>
        </w:rPr>
        <w:tab/>
      </w:r>
      <w:r w:rsidRPr="00564B9D">
        <w:rPr>
          <w:rFonts w:hint="cs"/>
          <w:rtl/>
        </w:rPr>
        <w:t>وفي أعقاب صدور قانون اسكتلندا لعام 1998</w:t>
      </w:r>
      <w:r w:rsidRPr="00564B9D">
        <w:rPr>
          <w:vertAlign w:val="superscript"/>
          <w:rtl/>
        </w:rPr>
        <w:t>(</w:t>
      </w:r>
      <w:r w:rsidRPr="00564B9D">
        <w:rPr>
          <w:rStyle w:val="FootnoteReference"/>
          <w:rFonts w:cs="Simplified Arabic"/>
          <w:b w:val="0"/>
          <w:sz w:val="22"/>
          <w:szCs w:val="22"/>
          <w:rtl/>
          <w:lang w:val="en-US"/>
        </w:rPr>
        <w:footnoteReference w:id="140"/>
      </w:r>
      <w:r w:rsidRPr="00564B9D">
        <w:rPr>
          <w:vertAlign w:val="superscript"/>
          <w:rtl/>
        </w:rPr>
        <w:t>)</w:t>
      </w:r>
      <w:r w:rsidRPr="00564B9D">
        <w:rPr>
          <w:rtl/>
        </w:rPr>
        <w:t xml:space="preserve"> </w:t>
      </w:r>
      <w:r w:rsidRPr="00564B9D">
        <w:rPr>
          <w:rFonts w:hint="cs"/>
          <w:rtl/>
        </w:rPr>
        <w:t>وقانون اسكتلندا لعام 2012</w:t>
      </w:r>
      <w:r w:rsidRPr="00564B9D">
        <w:rPr>
          <w:vertAlign w:val="superscript"/>
          <w:rtl/>
        </w:rPr>
        <w:t>(</w:t>
      </w:r>
      <w:r w:rsidRPr="00564B9D">
        <w:rPr>
          <w:rStyle w:val="FootnoteReference"/>
          <w:rFonts w:cs="Simplified Arabic"/>
          <w:b w:val="0"/>
          <w:sz w:val="22"/>
          <w:szCs w:val="22"/>
          <w:rtl/>
          <w:lang w:val="en-US"/>
        </w:rPr>
        <w:footnoteReference w:id="141"/>
      </w:r>
      <w:r w:rsidRPr="00564B9D">
        <w:rPr>
          <w:vertAlign w:val="superscript"/>
          <w:rtl/>
        </w:rPr>
        <w:t>)</w:t>
      </w:r>
      <w:r w:rsidRPr="00564B9D">
        <w:rPr>
          <w:rtl/>
        </w:rPr>
        <w:t xml:space="preserve"> </w:t>
      </w:r>
      <w:r w:rsidRPr="00564B9D">
        <w:rPr>
          <w:rFonts w:hint="cs"/>
          <w:rtl/>
        </w:rPr>
        <w:t>وقانون اسكتلندا لعام 2016</w:t>
      </w:r>
      <w:r w:rsidRPr="00564B9D">
        <w:rPr>
          <w:vertAlign w:val="superscript"/>
          <w:rtl/>
        </w:rPr>
        <w:t>(</w:t>
      </w:r>
      <w:r w:rsidRPr="00564B9D">
        <w:rPr>
          <w:rStyle w:val="FootnoteReference"/>
          <w:rFonts w:cs="Simplified Arabic"/>
          <w:b w:val="0"/>
          <w:sz w:val="22"/>
          <w:szCs w:val="22"/>
          <w:rtl/>
          <w:lang w:val="en-US"/>
        </w:rPr>
        <w:footnoteReference w:id="142"/>
      </w:r>
      <w:r w:rsidRPr="00564B9D">
        <w:rPr>
          <w:vertAlign w:val="superscript"/>
          <w:rtl/>
        </w:rPr>
        <w:t>)</w:t>
      </w:r>
      <w:r w:rsidRPr="00564B9D">
        <w:rPr>
          <w:rFonts w:hint="cs"/>
          <w:rtl/>
        </w:rPr>
        <w:t>، أنشئ البرلمان الاسكتلندي</w:t>
      </w:r>
      <w:r w:rsidRPr="00564B9D">
        <w:rPr>
          <w:vertAlign w:val="superscript"/>
          <w:rtl/>
        </w:rPr>
        <w:t>(</w:t>
      </w:r>
      <w:r w:rsidRPr="00564B9D">
        <w:rPr>
          <w:rStyle w:val="FootnoteReference"/>
          <w:rFonts w:cs="Simplified Arabic"/>
          <w:b w:val="0"/>
          <w:sz w:val="22"/>
          <w:szCs w:val="22"/>
          <w:rtl/>
          <w:lang w:val="en-US"/>
        </w:rPr>
        <w:footnoteReference w:id="143"/>
      </w:r>
      <w:r w:rsidRPr="00564B9D">
        <w:rPr>
          <w:vertAlign w:val="superscript"/>
          <w:rtl/>
        </w:rPr>
        <w:t>)</w:t>
      </w:r>
      <w:r w:rsidRPr="00564B9D">
        <w:rPr>
          <w:rFonts w:hint="cs"/>
          <w:rtl/>
        </w:rPr>
        <w:t xml:space="preserve"> الذي يتألف حالياً من 129 عضواً ينتخبون بموجب نظام العضو الإضافي. ويرأس الوزير الأول الحكومة الاسكتلندية</w:t>
      </w:r>
      <w:r w:rsidRPr="00564B9D">
        <w:rPr>
          <w:vertAlign w:val="superscript"/>
          <w:rtl/>
        </w:rPr>
        <w:t>(</w:t>
      </w:r>
      <w:r w:rsidRPr="00564B9D">
        <w:rPr>
          <w:rStyle w:val="FootnoteReference"/>
          <w:rFonts w:cs="Simplified Arabic"/>
          <w:b w:val="0"/>
          <w:sz w:val="22"/>
          <w:szCs w:val="22"/>
          <w:rtl/>
          <w:lang w:val="en-US"/>
        </w:rPr>
        <w:footnoteReference w:id="144"/>
      </w:r>
      <w:r w:rsidRPr="00564B9D">
        <w:rPr>
          <w:vertAlign w:val="superscript"/>
          <w:rtl/>
        </w:rPr>
        <w:t>)</w:t>
      </w:r>
      <w:r w:rsidRPr="00564B9D">
        <w:rPr>
          <w:rFonts w:hint="cs"/>
          <w:rtl/>
        </w:rPr>
        <w:t>. والبرلمان والهيئة التنفيذية الاسكتلنديان مسؤولان عن معظم أوجه السياسات المحلية والاقتصادية والاجتماعية. أما المسائل "المحفوظة" لبرلمان المملكة المتحدة، والتي هي بالتالي من مسؤولية حكومة المملكة المتحدة، فهي مدرجة بها في قوانين اسكتلندا. وتعتبر جميع المسائل غير المحصورة في تلك القوائم مشمولة بأيلولة السلطات.</w:t>
      </w:r>
    </w:p>
    <w:p w14:paraId="3DCBE965" w14:textId="77777777" w:rsidR="00494AE4" w:rsidRPr="00564B9D" w:rsidRDefault="00494AE4" w:rsidP="00494AE4">
      <w:pPr>
        <w:pStyle w:val="SingleTxtGA"/>
      </w:pPr>
      <w:r w:rsidRPr="00564B9D">
        <w:rPr>
          <w:rFonts w:hint="cs"/>
          <w:rtl/>
        </w:rPr>
        <w:t>14</w:t>
      </w:r>
      <w:r w:rsidRPr="00564B9D">
        <w:rPr>
          <w:rtl/>
        </w:rPr>
        <w:t>-</w:t>
      </w:r>
      <w:r w:rsidRPr="00564B9D">
        <w:rPr>
          <w:rtl/>
        </w:rPr>
        <w:tab/>
      </w:r>
      <w:r w:rsidRPr="00564B9D">
        <w:rPr>
          <w:rFonts w:hint="cs"/>
          <w:rtl/>
        </w:rPr>
        <w:t>وفي أعقاب صدور قانون حكومة ويلز لعام 1998</w:t>
      </w:r>
      <w:r w:rsidRPr="00564B9D">
        <w:rPr>
          <w:vertAlign w:val="superscript"/>
          <w:rtl/>
        </w:rPr>
        <w:t>(</w:t>
      </w:r>
      <w:r w:rsidRPr="00564B9D">
        <w:rPr>
          <w:rStyle w:val="FootnoteReference"/>
          <w:rFonts w:cs="Simplified Arabic"/>
          <w:b w:val="0"/>
          <w:sz w:val="22"/>
          <w:szCs w:val="22"/>
          <w:rtl/>
          <w:lang w:val="en-US"/>
        </w:rPr>
        <w:footnoteReference w:id="145"/>
      </w:r>
      <w:r w:rsidRPr="00564B9D">
        <w:rPr>
          <w:vertAlign w:val="superscript"/>
          <w:rtl/>
        </w:rPr>
        <w:t>)</w:t>
      </w:r>
      <w:r w:rsidRPr="00564B9D">
        <w:rPr>
          <w:rFonts w:hint="cs"/>
          <w:rtl/>
        </w:rPr>
        <w:t>، أنشئت الجمعية الوطنية لويلز</w:t>
      </w:r>
      <w:r w:rsidRPr="00564B9D">
        <w:rPr>
          <w:vertAlign w:val="superscript"/>
          <w:rtl/>
        </w:rPr>
        <w:t>(</w:t>
      </w:r>
      <w:r w:rsidRPr="00564B9D">
        <w:rPr>
          <w:rStyle w:val="FootnoteReference"/>
          <w:rFonts w:cs="Simplified Arabic"/>
          <w:b w:val="0"/>
          <w:sz w:val="22"/>
          <w:szCs w:val="22"/>
          <w:rtl/>
          <w:lang w:val="en-US"/>
        </w:rPr>
        <w:footnoteReference w:id="146"/>
      </w:r>
      <w:r w:rsidRPr="00564B9D">
        <w:rPr>
          <w:vertAlign w:val="superscript"/>
          <w:rtl/>
        </w:rPr>
        <w:t>)</w:t>
      </w:r>
      <w:r w:rsidRPr="00564B9D">
        <w:rPr>
          <w:rFonts w:hint="cs"/>
          <w:rtl/>
        </w:rPr>
        <w:t xml:space="preserve"> التي تتألف من 60 عضواً ينتخبون بموجب نظام العضو الإضافي. ويفصل قانون حكومة ويلز لعام 2006</w:t>
      </w:r>
      <w:r w:rsidRPr="00564B9D">
        <w:rPr>
          <w:vertAlign w:val="superscript"/>
          <w:rtl/>
        </w:rPr>
        <w:t>(</w:t>
      </w:r>
      <w:r w:rsidRPr="00564B9D">
        <w:rPr>
          <w:rStyle w:val="FootnoteReference"/>
          <w:rFonts w:cs="Simplified Arabic"/>
          <w:b w:val="0"/>
          <w:sz w:val="22"/>
          <w:szCs w:val="22"/>
          <w:rtl/>
          <w:lang w:val="en-US"/>
        </w:rPr>
        <w:footnoteReference w:id="147"/>
      </w:r>
      <w:r w:rsidRPr="00564B9D">
        <w:rPr>
          <w:vertAlign w:val="superscript"/>
          <w:rtl/>
        </w:rPr>
        <w:t>)</w:t>
      </w:r>
      <w:r w:rsidRPr="00564B9D">
        <w:rPr>
          <w:rtl/>
        </w:rPr>
        <w:t xml:space="preserve"> </w:t>
      </w:r>
      <w:r w:rsidRPr="00564B9D">
        <w:rPr>
          <w:rFonts w:hint="cs"/>
          <w:rtl/>
        </w:rPr>
        <w:t>رسمياً بين الجمعية الوطنية كهيئة تشريعية وحكومة جمعية ويلز</w:t>
      </w:r>
      <w:r w:rsidRPr="00564B9D">
        <w:rPr>
          <w:vertAlign w:val="superscript"/>
          <w:rtl/>
        </w:rPr>
        <w:t>(</w:t>
      </w:r>
      <w:r w:rsidRPr="00564B9D">
        <w:rPr>
          <w:rStyle w:val="FootnoteReference"/>
          <w:rFonts w:cs="Simplified Arabic"/>
          <w:b w:val="0"/>
          <w:sz w:val="22"/>
          <w:szCs w:val="22"/>
          <w:rtl/>
          <w:lang w:val="en-US"/>
        </w:rPr>
        <w:footnoteReference w:id="148"/>
      </w:r>
      <w:r w:rsidRPr="00564B9D">
        <w:rPr>
          <w:vertAlign w:val="superscript"/>
          <w:rtl/>
        </w:rPr>
        <w:t>)</w:t>
      </w:r>
      <w:r w:rsidRPr="00564B9D">
        <w:rPr>
          <w:rFonts w:hint="cs"/>
          <w:rtl/>
        </w:rPr>
        <w:t xml:space="preserve"> كهيئة تنفيذية أصبحت هي حكومة ويلز. و</w:t>
      </w:r>
      <w:r w:rsidRPr="00564B9D">
        <w:rPr>
          <w:rtl/>
        </w:rPr>
        <w:t>اكتسب</w:t>
      </w:r>
      <w:r w:rsidRPr="00564B9D">
        <w:rPr>
          <w:rFonts w:hint="cs"/>
          <w:rtl/>
        </w:rPr>
        <w:t>ت</w:t>
      </w:r>
      <w:r w:rsidRPr="00564B9D">
        <w:rPr>
          <w:rtl/>
        </w:rPr>
        <w:t xml:space="preserve"> </w:t>
      </w:r>
      <w:r w:rsidRPr="00564B9D">
        <w:rPr>
          <w:rFonts w:hint="cs"/>
          <w:rtl/>
        </w:rPr>
        <w:t>الجمعية</w:t>
      </w:r>
      <w:r w:rsidRPr="00564B9D">
        <w:rPr>
          <w:rtl/>
        </w:rPr>
        <w:t xml:space="preserve"> سلطات تشريعية كاملة في عام 2011 </w:t>
      </w:r>
      <w:r w:rsidRPr="00564B9D">
        <w:rPr>
          <w:rFonts w:hint="cs"/>
          <w:rtl/>
        </w:rPr>
        <w:t>في أعقاب</w:t>
      </w:r>
      <w:r w:rsidRPr="00564B9D">
        <w:rPr>
          <w:rtl/>
        </w:rPr>
        <w:t xml:space="preserve"> استفتاء. </w:t>
      </w:r>
      <w:r w:rsidRPr="00564B9D">
        <w:rPr>
          <w:rFonts w:hint="cs"/>
          <w:rtl/>
        </w:rPr>
        <w:t>و</w:t>
      </w:r>
      <w:r w:rsidRPr="00564B9D">
        <w:rPr>
          <w:rtl/>
        </w:rPr>
        <w:t xml:space="preserve">منح قانون ويلز لعام 2014 الجمعية بعض </w:t>
      </w:r>
      <w:r w:rsidRPr="00564B9D">
        <w:rPr>
          <w:rFonts w:hint="cs"/>
          <w:rtl/>
        </w:rPr>
        <w:t>ال</w:t>
      </w:r>
      <w:r w:rsidRPr="00564B9D">
        <w:rPr>
          <w:rtl/>
        </w:rPr>
        <w:t xml:space="preserve">صلاحيات </w:t>
      </w:r>
      <w:r w:rsidRPr="00564B9D">
        <w:rPr>
          <w:rFonts w:hint="cs"/>
          <w:rtl/>
        </w:rPr>
        <w:t>المتعلقة ب</w:t>
      </w:r>
      <w:r w:rsidRPr="00564B9D">
        <w:rPr>
          <w:rtl/>
        </w:rPr>
        <w:t xml:space="preserve">زيادة الضرائب، </w:t>
      </w:r>
      <w:r w:rsidRPr="00564B9D">
        <w:rPr>
          <w:rFonts w:hint="cs"/>
          <w:rtl/>
        </w:rPr>
        <w:t>وعدّل</w:t>
      </w:r>
      <w:r w:rsidRPr="00564B9D">
        <w:rPr>
          <w:rtl/>
        </w:rPr>
        <w:t xml:space="preserve"> قانون ويلز لعام 2017 </w:t>
      </w:r>
      <w:r w:rsidRPr="00564B9D">
        <w:rPr>
          <w:rFonts w:hint="cs"/>
          <w:rtl/>
        </w:rPr>
        <w:t>اتفاق</w:t>
      </w:r>
      <w:r w:rsidRPr="00564B9D">
        <w:rPr>
          <w:rtl/>
        </w:rPr>
        <w:t xml:space="preserve"> </w:t>
      </w:r>
      <w:r w:rsidRPr="00564B9D">
        <w:rPr>
          <w:rFonts w:hint="cs"/>
          <w:rtl/>
        </w:rPr>
        <w:t>الأيلولة</w:t>
      </w:r>
      <w:r w:rsidRPr="00564B9D">
        <w:rPr>
          <w:rtl/>
        </w:rPr>
        <w:t xml:space="preserve"> مرة أخرى، بما في ذلك عن طريق منح </w:t>
      </w:r>
      <w:r w:rsidRPr="00564B9D">
        <w:rPr>
          <w:rFonts w:hint="cs"/>
          <w:rtl/>
        </w:rPr>
        <w:t>الجمعية بعض ال</w:t>
      </w:r>
      <w:r w:rsidRPr="00564B9D">
        <w:rPr>
          <w:rtl/>
        </w:rPr>
        <w:t xml:space="preserve">سلطات </w:t>
      </w:r>
      <w:r w:rsidRPr="00564B9D">
        <w:rPr>
          <w:rFonts w:hint="cs"/>
          <w:rtl/>
        </w:rPr>
        <w:t>المتعلقة ب</w:t>
      </w:r>
      <w:r w:rsidRPr="00564B9D">
        <w:rPr>
          <w:rtl/>
        </w:rPr>
        <w:t xml:space="preserve">ضريبة الدخل. </w:t>
      </w:r>
      <w:r w:rsidRPr="00564B9D">
        <w:rPr>
          <w:rFonts w:hint="cs"/>
          <w:rtl/>
        </w:rPr>
        <w:t>وغيّر</w:t>
      </w:r>
      <w:r w:rsidRPr="00564B9D">
        <w:rPr>
          <w:rtl/>
        </w:rPr>
        <w:t xml:space="preserve"> قانون </w:t>
      </w:r>
      <w:r w:rsidRPr="00564B9D">
        <w:rPr>
          <w:rFonts w:hint="cs"/>
          <w:rtl/>
        </w:rPr>
        <w:t>سينيد</w:t>
      </w:r>
      <w:r w:rsidRPr="00564B9D">
        <w:rPr>
          <w:rtl/>
        </w:rPr>
        <w:t xml:space="preserve"> والانتخابات (ويلز) لعام 2020 تسمية الجمعية </w:t>
      </w:r>
      <w:r w:rsidRPr="00564B9D">
        <w:rPr>
          <w:rFonts w:hint="cs"/>
          <w:rtl/>
        </w:rPr>
        <w:t xml:space="preserve">لتصبح </w:t>
      </w:r>
      <w:r w:rsidRPr="00564B9D">
        <w:rPr>
          <w:rtl/>
        </w:rPr>
        <w:t>"</w:t>
      </w:r>
      <w:r w:rsidRPr="00564B9D">
        <w:t>Senedd Cymru</w:t>
      </w:r>
      <w:r w:rsidRPr="00564B9D">
        <w:rPr>
          <w:rtl/>
        </w:rPr>
        <w:t>" أو "البرلمان الويلزي"، المعروف</w:t>
      </w:r>
      <w:r w:rsidRPr="00564B9D">
        <w:rPr>
          <w:rFonts w:hint="cs"/>
          <w:rtl/>
        </w:rPr>
        <w:t xml:space="preserve"> عموماً</w:t>
      </w:r>
      <w:r w:rsidRPr="00564B9D">
        <w:rPr>
          <w:rtl/>
        </w:rPr>
        <w:t xml:space="preserve"> باسم "</w:t>
      </w:r>
      <w:r w:rsidRPr="00564B9D">
        <w:rPr>
          <w:rFonts w:hint="cs"/>
          <w:rtl/>
        </w:rPr>
        <w:t>سينيد</w:t>
      </w:r>
      <w:r w:rsidRPr="00564B9D">
        <w:rPr>
          <w:rtl/>
        </w:rPr>
        <w:t xml:space="preserve">". كما منح هذا القانون حق الانتخاب للأشخاص </w:t>
      </w:r>
      <w:r w:rsidRPr="00564B9D">
        <w:rPr>
          <w:rFonts w:hint="cs"/>
          <w:rtl/>
        </w:rPr>
        <w:t>في عمر</w:t>
      </w:r>
      <w:r w:rsidRPr="00564B9D">
        <w:rPr>
          <w:rtl/>
        </w:rPr>
        <w:t xml:space="preserve"> 16 و17 و</w:t>
      </w:r>
      <w:r w:rsidRPr="00564B9D">
        <w:rPr>
          <w:rFonts w:hint="cs"/>
          <w:rtl/>
        </w:rPr>
        <w:t>ل</w:t>
      </w:r>
      <w:r w:rsidRPr="00564B9D">
        <w:rPr>
          <w:rtl/>
        </w:rPr>
        <w:t xml:space="preserve">لمواطنين الأجانب المؤهلين. </w:t>
      </w:r>
      <w:r w:rsidRPr="00564B9D">
        <w:rPr>
          <w:rFonts w:hint="cs"/>
          <w:rtl/>
        </w:rPr>
        <w:t>وي</w:t>
      </w:r>
      <w:r w:rsidRPr="00564B9D">
        <w:rPr>
          <w:rtl/>
        </w:rPr>
        <w:t>تمتع</w:t>
      </w:r>
      <w:r w:rsidRPr="00564B9D">
        <w:rPr>
          <w:rFonts w:hint="cs"/>
          <w:rtl/>
        </w:rPr>
        <w:t xml:space="preserve"> السينيد</w:t>
      </w:r>
      <w:r w:rsidRPr="00564B9D">
        <w:rPr>
          <w:rtl/>
        </w:rPr>
        <w:t xml:space="preserve"> بسلطات </w:t>
      </w:r>
      <w:r w:rsidRPr="00564B9D">
        <w:rPr>
          <w:rFonts w:hint="cs"/>
          <w:rtl/>
        </w:rPr>
        <w:t>إصدار</w:t>
      </w:r>
      <w:r w:rsidRPr="00564B9D">
        <w:rPr>
          <w:rtl/>
        </w:rPr>
        <w:t xml:space="preserve"> القوانين في المجالات غير المحفوظة في قانون 2006</w:t>
      </w:r>
      <w:r w:rsidRPr="00564B9D">
        <w:rPr>
          <w:rFonts w:hint="cs"/>
          <w:rtl/>
        </w:rPr>
        <w:t>. أما برلمان المملكة المتحدة فيظل مسؤولاً عن سن التشريعات في المجالات المحفوظة.</w:t>
      </w:r>
    </w:p>
    <w:p w14:paraId="52C5A520" w14:textId="1BA05CAF" w:rsidR="00494AE4" w:rsidRPr="00564B9D" w:rsidRDefault="00494AE4" w:rsidP="00494AE4">
      <w:pPr>
        <w:pStyle w:val="SingleTxtGA"/>
      </w:pPr>
      <w:r w:rsidRPr="00564B9D">
        <w:rPr>
          <w:rFonts w:hint="cs"/>
          <w:rtl/>
        </w:rPr>
        <w:t>15</w:t>
      </w:r>
      <w:r w:rsidRPr="00564B9D">
        <w:rPr>
          <w:rtl/>
        </w:rPr>
        <w:t>-</w:t>
      </w:r>
      <w:r w:rsidRPr="00564B9D">
        <w:rPr>
          <w:rtl/>
        </w:rPr>
        <w:tab/>
      </w:r>
      <w:r w:rsidRPr="00564B9D">
        <w:rPr>
          <w:rFonts w:hint="cs"/>
          <w:rtl/>
        </w:rPr>
        <w:t>وقد مهّد اتفاق بلفاست المؤرخ 10 نيسان/أبريل 1998</w:t>
      </w:r>
      <w:r w:rsidRPr="00564B9D">
        <w:rPr>
          <w:vertAlign w:val="superscript"/>
          <w:rtl/>
        </w:rPr>
        <w:t>(</w:t>
      </w:r>
      <w:r w:rsidRPr="00564B9D">
        <w:rPr>
          <w:rStyle w:val="FootnoteReference"/>
          <w:rFonts w:cs="Simplified Arabic"/>
          <w:b w:val="0"/>
          <w:sz w:val="22"/>
          <w:szCs w:val="22"/>
          <w:rtl/>
          <w:lang w:val="en-US"/>
        </w:rPr>
        <w:footnoteReference w:id="149"/>
      </w:r>
      <w:r w:rsidRPr="00564B9D">
        <w:rPr>
          <w:vertAlign w:val="superscript"/>
          <w:rtl/>
        </w:rPr>
        <w:t>)</w:t>
      </w:r>
      <w:r w:rsidRPr="00564B9D">
        <w:rPr>
          <w:rtl/>
        </w:rPr>
        <w:t xml:space="preserve"> </w:t>
      </w:r>
      <w:r w:rsidRPr="00564B9D">
        <w:rPr>
          <w:rFonts w:hint="cs"/>
          <w:rtl/>
        </w:rPr>
        <w:t xml:space="preserve">الطريق لأيلوبة السلطة الى </w:t>
      </w:r>
      <w:r w:rsidR="000F4858" w:rsidRPr="00564B9D">
        <w:rPr>
          <w:rFonts w:hint="cs"/>
          <w:rtl/>
        </w:rPr>
        <w:t>أيرلندا الشمالية</w:t>
      </w:r>
      <w:r w:rsidRPr="00564B9D">
        <w:rPr>
          <w:rFonts w:hint="cs"/>
          <w:rtl/>
        </w:rPr>
        <w:t xml:space="preserve"> من خلال قانون </w:t>
      </w:r>
      <w:r w:rsidR="000F4858" w:rsidRPr="00564B9D">
        <w:rPr>
          <w:rFonts w:hint="cs"/>
          <w:rtl/>
        </w:rPr>
        <w:t>أيرلندا الشمالية</w:t>
      </w:r>
      <w:r w:rsidRPr="00564B9D">
        <w:rPr>
          <w:rFonts w:hint="cs"/>
          <w:rtl/>
        </w:rPr>
        <w:t xml:space="preserve"> لعام 1998</w:t>
      </w:r>
      <w:r w:rsidRPr="00564B9D">
        <w:rPr>
          <w:vertAlign w:val="superscript"/>
          <w:rtl/>
        </w:rPr>
        <w:t>(</w:t>
      </w:r>
      <w:r w:rsidRPr="00564B9D">
        <w:rPr>
          <w:rStyle w:val="FootnoteReference"/>
          <w:rFonts w:cs="Simplified Arabic"/>
          <w:b w:val="0"/>
          <w:sz w:val="22"/>
          <w:szCs w:val="22"/>
          <w:rtl/>
          <w:lang w:val="en-US"/>
        </w:rPr>
        <w:footnoteReference w:id="150"/>
      </w:r>
      <w:r w:rsidRPr="00564B9D">
        <w:rPr>
          <w:vertAlign w:val="superscript"/>
          <w:rtl/>
        </w:rPr>
        <w:t>)</w:t>
      </w:r>
      <w:r w:rsidRPr="00564B9D">
        <w:rPr>
          <w:rFonts w:hint="cs"/>
          <w:rtl/>
        </w:rPr>
        <w:t>. وأنشئت جمعية</w:t>
      </w:r>
      <w:r w:rsidRPr="00564B9D">
        <w:rPr>
          <w:vertAlign w:val="superscript"/>
          <w:rtl/>
        </w:rPr>
        <w:t>(</w:t>
      </w:r>
      <w:r w:rsidRPr="00564B9D">
        <w:rPr>
          <w:rStyle w:val="FootnoteReference"/>
          <w:rFonts w:cs="Simplified Arabic"/>
          <w:b w:val="0"/>
          <w:sz w:val="22"/>
          <w:szCs w:val="22"/>
          <w:rtl/>
          <w:lang w:val="en-US"/>
        </w:rPr>
        <w:footnoteReference w:id="151"/>
      </w:r>
      <w:r w:rsidRPr="00564B9D">
        <w:rPr>
          <w:vertAlign w:val="superscript"/>
          <w:rtl/>
        </w:rPr>
        <w:t>)</w:t>
      </w:r>
      <w:r w:rsidRPr="00564B9D">
        <w:rPr>
          <w:rFonts w:hint="cs"/>
          <w:rtl/>
        </w:rPr>
        <w:t xml:space="preserve"> مؤلفة من 90 عضواً، ينتخبون بموجب نظام الصوت الواحد القابل للتحويل، ولديها مجموعة من السلطات التشريعية والتنفيذية. وتتألف السلطة التنفيذية</w:t>
      </w:r>
      <w:r w:rsidRPr="00564B9D">
        <w:rPr>
          <w:vertAlign w:val="superscript"/>
          <w:rtl/>
        </w:rPr>
        <w:t>(</w:t>
      </w:r>
      <w:r w:rsidRPr="00564B9D">
        <w:rPr>
          <w:rStyle w:val="FootnoteReference"/>
          <w:rFonts w:cs="Simplified Arabic"/>
          <w:b w:val="0"/>
          <w:sz w:val="22"/>
          <w:szCs w:val="22"/>
          <w:rtl/>
          <w:lang w:val="en-US"/>
        </w:rPr>
        <w:footnoteReference w:id="152"/>
      </w:r>
      <w:r w:rsidRPr="00564B9D">
        <w:rPr>
          <w:vertAlign w:val="superscript"/>
          <w:rtl/>
        </w:rPr>
        <w:t>)</w:t>
      </w:r>
      <w:r w:rsidRPr="00564B9D">
        <w:rPr>
          <w:rFonts w:hint="cs"/>
          <w:rtl/>
        </w:rPr>
        <w:t xml:space="preserve"> ل</w:t>
      </w:r>
      <w:r w:rsidR="000F4858" w:rsidRPr="00564B9D">
        <w:rPr>
          <w:rFonts w:hint="cs"/>
          <w:rtl/>
        </w:rPr>
        <w:t>أيرلندا الشمالية</w:t>
      </w:r>
      <w:r w:rsidRPr="00564B9D">
        <w:rPr>
          <w:rFonts w:hint="cs"/>
          <w:rtl/>
        </w:rPr>
        <w:t xml:space="preserve"> حالياً من وزير أول ونائب وزير أول و8 وزراء. وتشمل الأمور المفوضة إلى </w:t>
      </w:r>
      <w:r w:rsidR="000F4858" w:rsidRPr="00564B9D">
        <w:rPr>
          <w:rFonts w:hint="cs"/>
          <w:rtl/>
        </w:rPr>
        <w:t>أيرلندا الشمالية</w:t>
      </w:r>
      <w:r w:rsidRPr="00564B9D">
        <w:rPr>
          <w:rFonts w:hint="cs"/>
          <w:rtl/>
        </w:rPr>
        <w:t xml:space="preserve"> الزراعة والتعليم والإسكان والعمالة والصحة ومسائل الشرطة والعدل.</w:t>
      </w:r>
    </w:p>
    <w:p w14:paraId="035CA9E0"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الجهاز القضائي وإقامة العدل</w:t>
      </w:r>
      <w:r w:rsidRPr="00564B9D">
        <w:rPr>
          <w:b w:val="0"/>
          <w:bCs w:val="0"/>
          <w:vertAlign w:val="superscript"/>
          <w:rtl/>
        </w:rPr>
        <w:t>(</w:t>
      </w:r>
      <w:r w:rsidRPr="00564B9D">
        <w:rPr>
          <w:rStyle w:val="FootnoteReference"/>
          <w:rFonts w:cs="Simplified Arabic"/>
          <w:bCs w:val="0"/>
          <w:sz w:val="22"/>
          <w:szCs w:val="22"/>
          <w:rtl/>
          <w:lang w:val="en-US"/>
        </w:rPr>
        <w:footnoteReference w:id="153"/>
      </w:r>
      <w:r w:rsidRPr="00564B9D">
        <w:rPr>
          <w:b w:val="0"/>
          <w:bCs w:val="0"/>
          <w:vertAlign w:val="superscript"/>
          <w:rtl/>
        </w:rPr>
        <w:t>)</w:t>
      </w:r>
      <w:r w:rsidRPr="00564B9D">
        <w:rPr>
          <w:rFonts w:hint="cs"/>
          <w:rtl/>
        </w:rPr>
        <w:t xml:space="preserve"> </w:t>
      </w:r>
    </w:p>
    <w:p w14:paraId="14EDA369" w14:textId="30D77647" w:rsidR="00494AE4" w:rsidRPr="00564B9D" w:rsidRDefault="00494AE4" w:rsidP="00494AE4">
      <w:pPr>
        <w:pStyle w:val="SingleTxtGA"/>
      </w:pPr>
      <w:r w:rsidRPr="00564B9D">
        <w:rPr>
          <w:rFonts w:hint="cs"/>
          <w:rtl/>
        </w:rPr>
        <w:t>16</w:t>
      </w:r>
      <w:r w:rsidRPr="00564B9D">
        <w:rPr>
          <w:rtl/>
        </w:rPr>
        <w:t>-</w:t>
      </w:r>
      <w:r w:rsidRPr="00564B9D">
        <w:rPr>
          <w:rtl/>
        </w:rPr>
        <w:tab/>
      </w:r>
      <w:r w:rsidRPr="00564B9D">
        <w:rPr>
          <w:rFonts w:hint="cs"/>
          <w:rtl/>
        </w:rPr>
        <w:t>هناك ثلاث ولايات قضائية داخل المملكة المتحدة، وهي: إنكلترا وويلز، واسكتلندا، و</w:t>
      </w:r>
      <w:r w:rsidR="000F4858" w:rsidRPr="00564B9D">
        <w:rPr>
          <w:rFonts w:hint="cs"/>
          <w:rtl/>
        </w:rPr>
        <w:t>أيرلندا الشمالية</w:t>
      </w:r>
      <w:r w:rsidRPr="00564B9D">
        <w:rPr>
          <w:rFonts w:hint="cs"/>
          <w:rtl/>
        </w:rPr>
        <w:t>، والنظام السائد في إنكلترا وويلز، و</w:t>
      </w:r>
      <w:r w:rsidR="000F4858" w:rsidRPr="00564B9D">
        <w:rPr>
          <w:rFonts w:hint="cs"/>
          <w:rtl/>
        </w:rPr>
        <w:t>أيرلندا الشمالية</w:t>
      </w:r>
      <w:r w:rsidRPr="00564B9D">
        <w:rPr>
          <w:rFonts w:hint="cs"/>
          <w:rtl/>
        </w:rPr>
        <w:t xml:space="preserve"> هو نظام القانون العام، أي نظام يرتكز على مبدأ السوابق القضائية الذي تُرتَّب المحاكم بموجبه في تسلسل هرمي، وتكون فيه الأحكام الصادرة عن المحاكم الأعلى رتبة (المحكمة العليا للمملكة المتحدة ومحكمة الاستئناف ومحكمة التمييز) ملزمة للمحاكم الأدنى رتبة، وتتطور فيه مجموعة القوانين بشكل تدريجي. ولدى اسكتلندا نظام مختلط مكون من القانون العام والقانون المدني (وهذا الأخير هو نظام يستند الى التشريعات المدونة).</w:t>
      </w:r>
    </w:p>
    <w:p w14:paraId="7BA2ACFC" w14:textId="6015BA9B" w:rsidR="00494AE4" w:rsidRPr="00564B9D" w:rsidRDefault="00494AE4" w:rsidP="00494AE4">
      <w:pPr>
        <w:pStyle w:val="SingleTxtGA"/>
      </w:pPr>
      <w:r w:rsidRPr="00564B9D">
        <w:rPr>
          <w:rFonts w:hint="cs"/>
          <w:rtl/>
        </w:rPr>
        <w:t>17</w:t>
      </w:r>
      <w:r w:rsidRPr="00564B9D">
        <w:rPr>
          <w:rtl/>
        </w:rPr>
        <w:t>-</w:t>
      </w:r>
      <w:r w:rsidRPr="00564B9D">
        <w:rPr>
          <w:rtl/>
        </w:rPr>
        <w:tab/>
      </w:r>
      <w:r w:rsidRPr="00564B9D">
        <w:rPr>
          <w:rFonts w:hint="cs"/>
          <w:rtl/>
        </w:rPr>
        <w:t>وتعتبر المحكمة العليا للمملكة المتحدة</w:t>
      </w:r>
      <w:r w:rsidRPr="00564B9D">
        <w:rPr>
          <w:vertAlign w:val="superscript"/>
          <w:rtl/>
        </w:rPr>
        <w:t>(</w:t>
      </w:r>
      <w:r w:rsidRPr="00564B9D">
        <w:rPr>
          <w:rStyle w:val="FootnoteReference"/>
          <w:rFonts w:cs="Simplified Arabic"/>
          <w:b w:val="0"/>
          <w:sz w:val="22"/>
          <w:szCs w:val="22"/>
          <w:rtl/>
          <w:lang w:val="en-US"/>
        </w:rPr>
        <w:footnoteReference w:id="154"/>
      </w:r>
      <w:r w:rsidRPr="00564B9D">
        <w:rPr>
          <w:vertAlign w:val="superscript"/>
          <w:rtl/>
        </w:rPr>
        <w:t>)</w:t>
      </w:r>
      <w:r w:rsidRPr="00564B9D">
        <w:rPr>
          <w:rFonts w:hint="cs"/>
          <w:rtl/>
        </w:rPr>
        <w:t>، التي يُختار قضاتها من قبل لجنة مستقلة تضم ممثلين عن الولايات القضائية الثلاث، محكمة الاستئناف النهائية للقضايا المدنية في عموم المملكة المتحدة، والقضايا الجنائية في إنكلترا وويلز و</w:t>
      </w:r>
      <w:r w:rsidR="000F4858" w:rsidRPr="00564B9D">
        <w:rPr>
          <w:rFonts w:hint="cs"/>
          <w:rtl/>
        </w:rPr>
        <w:t>أيرلندا الشمالية</w:t>
      </w:r>
      <w:r w:rsidRPr="00564B9D">
        <w:rPr>
          <w:rFonts w:hint="cs"/>
          <w:rtl/>
        </w:rPr>
        <w:t xml:space="preserve"> وقضايا أيلولة السلطات. ومحكمة العدل العليا هي محكمة الاستئناف النهائية للقضايا الجنائية في اسكتلندا.</w:t>
      </w:r>
    </w:p>
    <w:p w14:paraId="2AD34871" w14:textId="77777777" w:rsidR="00494AE4" w:rsidRPr="00564B9D" w:rsidRDefault="00494AE4" w:rsidP="00494AE4">
      <w:pPr>
        <w:pStyle w:val="SingleTxtGA"/>
      </w:pPr>
      <w:r w:rsidRPr="00564B9D">
        <w:rPr>
          <w:rFonts w:hint="cs"/>
          <w:rtl/>
        </w:rPr>
        <w:t>18</w:t>
      </w:r>
      <w:r w:rsidRPr="00564B9D">
        <w:rPr>
          <w:rtl/>
        </w:rPr>
        <w:t>-</w:t>
      </w:r>
      <w:r w:rsidRPr="00564B9D">
        <w:rPr>
          <w:rtl/>
        </w:rPr>
        <w:tab/>
      </w:r>
      <w:r w:rsidRPr="00564B9D">
        <w:rPr>
          <w:rFonts w:hint="cs"/>
          <w:rtl/>
        </w:rPr>
        <w:t>وفي إنكلترا وويلز، تتولى دائرة المحاكم والمحاكم الإدارية التابعة لصاحب الجلالة</w:t>
      </w:r>
      <w:r w:rsidRPr="00564B9D">
        <w:rPr>
          <w:vertAlign w:val="superscript"/>
          <w:rtl/>
        </w:rPr>
        <w:t>(</w:t>
      </w:r>
      <w:r w:rsidRPr="00564B9D">
        <w:rPr>
          <w:rStyle w:val="FootnoteReference"/>
          <w:rFonts w:cs="Simplified Arabic"/>
          <w:b w:val="0"/>
          <w:sz w:val="22"/>
          <w:szCs w:val="22"/>
          <w:rtl/>
          <w:lang w:val="en-US"/>
        </w:rPr>
        <w:footnoteReference w:id="155"/>
      </w:r>
      <w:r w:rsidRPr="00564B9D">
        <w:rPr>
          <w:vertAlign w:val="superscript"/>
          <w:rtl/>
        </w:rPr>
        <w:t>)</w:t>
      </w:r>
      <w:r w:rsidRPr="00564B9D">
        <w:rPr>
          <w:rFonts w:hint="cs"/>
          <w:rtl/>
        </w:rPr>
        <w:t xml:space="preserve"> إدارة المحاكم الجنائية (المحاكم الجزئية، ومحكمة التاج، والمحكمة العليا، ومحكمة الاستئناف (الشعبة الجنائية) والمحاكم المدنية (المحاكم الجزئية ومحاكم المقاطعات والمحكمة العليا ومحكمة الاستئناف (الشعبة المدنية) والمحاكم الإدارية).</w:t>
      </w:r>
      <w:r w:rsidRPr="00564B9D">
        <w:rPr>
          <w:rtl/>
        </w:rPr>
        <w:t xml:space="preserve"> </w:t>
      </w:r>
      <w:r w:rsidRPr="00564B9D">
        <w:rPr>
          <w:rFonts w:hint="cs"/>
          <w:rtl/>
        </w:rPr>
        <w:t>وتدير</w:t>
      </w:r>
      <w:r w:rsidRPr="00564B9D">
        <w:rPr>
          <w:rtl/>
        </w:rPr>
        <w:t xml:space="preserve"> وحدة</w:t>
      </w:r>
      <w:r w:rsidRPr="00564B9D">
        <w:rPr>
          <w:rFonts w:hint="cs"/>
          <w:rtl/>
        </w:rPr>
        <w:t>ُ</w:t>
      </w:r>
      <w:r w:rsidRPr="00564B9D">
        <w:rPr>
          <w:rtl/>
        </w:rPr>
        <w:t xml:space="preserve"> المحاكم الويلزية، وهي فرع من الحكومة الويلزية ويقودها رئيس المحاكم الويلزية</w:t>
      </w:r>
      <w:r w:rsidRPr="00564B9D">
        <w:rPr>
          <w:rFonts w:hint="cs"/>
          <w:rtl/>
        </w:rPr>
        <w:t xml:space="preserve">، </w:t>
      </w:r>
      <w:r w:rsidRPr="00564B9D">
        <w:rPr>
          <w:rtl/>
        </w:rPr>
        <w:t>المحاكم</w:t>
      </w:r>
      <w:r w:rsidRPr="00564B9D">
        <w:rPr>
          <w:rFonts w:hint="cs"/>
          <w:rtl/>
        </w:rPr>
        <w:t>َ</w:t>
      </w:r>
      <w:r w:rsidRPr="00564B9D">
        <w:rPr>
          <w:rtl/>
        </w:rPr>
        <w:t xml:space="preserve"> الويلزية </w:t>
      </w:r>
      <w:r w:rsidRPr="00564B9D">
        <w:rPr>
          <w:rFonts w:hint="cs"/>
          <w:rtl/>
        </w:rPr>
        <w:t>الخاضعة لأيلولة السلطات. ويعتبر كبير القضاة في إنكلترا وويلز</w:t>
      </w:r>
      <w:r w:rsidRPr="00564B9D">
        <w:rPr>
          <w:vertAlign w:val="superscript"/>
          <w:rtl/>
        </w:rPr>
        <w:t>(</w:t>
      </w:r>
      <w:r w:rsidRPr="00564B9D">
        <w:rPr>
          <w:rStyle w:val="FootnoteReference"/>
          <w:rFonts w:cs="Simplified Arabic"/>
          <w:b w:val="0"/>
          <w:sz w:val="22"/>
          <w:szCs w:val="22"/>
          <w:rtl/>
          <w:lang w:val="en-US"/>
        </w:rPr>
        <w:footnoteReference w:id="156"/>
      </w:r>
      <w:r w:rsidRPr="00564B9D">
        <w:rPr>
          <w:vertAlign w:val="superscript"/>
          <w:rtl/>
        </w:rPr>
        <w:t>)</w:t>
      </w:r>
      <w:r w:rsidRPr="00564B9D">
        <w:rPr>
          <w:rFonts w:hint="cs"/>
          <w:rtl/>
        </w:rPr>
        <w:t xml:space="preserve"> رئيس الهيئة القضائية في إنكلترا وويلز. وتوصي لجنة التعيينات القضائية</w:t>
      </w:r>
      <w:r w:rsidRPr="00564B9D">
        <w:rPr>
          <w:vertAlign w:val="superscript"/>
          <w:rtl/>
        </w:rPr>
        <w:t>(</w:t>
      </w:r>
      <w:r w:rsidRPr="00564B9D">
        <w:rPr>
          <w:rStyle w:val="FootnoteReference"/>
          <w:rFonts w:cs="Simplified Arabic"/>
          <w:b w:val="0"/>
          <w:sz w:val="22"/>
          <w:szCs w:val="22"/>
          <w:rtl/>
          <w:lang w:val="en-US"/>
        </w:rPr>
        <w:footnoteReference w:id="157"/>
      </w:r>
      <w:r w:rsidRPr="00564B9D">
        <w:rPr>
          <w:vertAlign w:val="superscript"/>
          <w:rtl/>
        </w:rPr>
        <w:t>)</w:t>
      </w:r>
      <w:r w:rsidRPr="00564B9D">
        <w:rPr>
          <w:rFonts w:hint="cs"/>
          <w:rtl/>
        </w:rPr>
        <w:t xml:space="preserve"> بمرشحين لتولي المناصب القضائية في المحاكم والمحاكم الإدارية. وينظر مكتب التحقيق في سلوك الجهاز القضائي</w:t>
      </w:r>
      <w:r w:rsidRPr="00564B9D">
        <w:rPr>
          <w:vertAlign w:val="superscript"/>
          <w:rtl/>
        </w:rPr>
        <w:t>(</w:t>
      </w:r>
      <w:r w:rsidRPr="00564B9D">
        <w:rPr>
          <w:rStyle w:val="FootnoteReference"/>
          <w:rFonts w:cs="Simplified Arabic"/>
          <w:b w:val="0"/>
          <w:sz w:val="22"/>
          <w:szCs w:val="22"/>
          <w:rtl/>
          <w:lang w:val="en-US"/>
        </w:rPr>
        <w:footnoteReference w:id="158"/>
      </w:r>
      <w:r w:rsidRPr="00564B9D">
        <w:rPr>
          <w:vertAlign w:val="superscript"/>
          <w:rtl/>
        </w:rPr>
        <w:t>)</w:t>
      </w:r>
      <w:r w:rsidRPr="00564B9D">
        <w:rPr>
          <w:rFonts w:hint="cs"/>
          <w:rtl/>
        </w:rPr>
        <w:t xml:space="preserve"> في القضايا التأديبية القضائية داخل إنكلترا وويلز.</w:t>
      </w:r>
    </w:p>
    <w:p w14:paraId="068EEB80" w14:textId="77777777" w:rsidR="00494AE4" w:rsidRPr="00564B9D" w:rsidRDefault="00494AE4" w:rsidP="00494AE4">
      <w:pPr>
        <w:pStyle w:val="SingleTxtGA"/>
      </w:pPr>
      <w:r w:rsidRPr="00564B9D">
        <w:rPr>
          <w:rFonts w:hint="cs"/>
          <w:rtl/>
        </w:rPr>
        <w:t>19</w:t>
      </w:r>
      <w:r w:rsidRPr="00564B9D">
        <w:rPr>
          <w:rtl/>
        </w:rPr>
        <w:t>-</w:t>
      </w:r>
      <w:r w:rsidRPr="00564B9D">
        <w:rPr>
          <w:rtl/>
        </w:rPr>
        <w:tab/>
      </w:r>
      <w:r w:rsidRPr="00564B9D">
        <w:rPr>
          <w:rFonts w:hint="cs"/>
          <w:rtl/>
        </w:rPr>
        <w:t>وفي اسكتلندا، تتولى دائرة المحاكم الاسكتلندية إدارة المحاكم الجنائية (محاكم الصلح، ومحاكم عامل الملك، ومحكمة العدل العليا) والمحاكم المدنية (محاكم عامل الملك والمحكمة المدنية العليا). ورئيس المحكمة المدنية العليا</w:t>
      </w:r>
      <w:r w:rsidRPr="00564B9D">
        <w:rPr>
          <w:vertAlign w:val="superscript"/>
          <w:rtl/>
        </w:rPr>
        <w:t>(</w:t>
      </w:r>
      <w:r w:rsidRPr="00564B9D">
        <w:rPr>
          <w:rStyle w:val="FootnoteReference"/>
          <w:rFonts w:cs="Simplified Arabic"/>
          <w:b w:val="0"/>
          <w:sz w:val="22"/>
          <w:szCs w:val="22"/>
          <w:rtl/>
          <w:lang w:val="en-US"/>
        </w:rPr>
        <w:footnoteReference w:id="159"/>
      </w:r>
      <w:r w:rsidRPr="00564B9D">
        <w:rPr>
          <w:vertAlign w:val="superscript"/>
          <w:rtl/>
        </w:rPr>
        <w:t>)</w:t>
      </w:r>
      <w:r w:rsidRPr="00564B9D">
        <w:rPr>
          <w:rFonts w:hint="cs"/>
          <w:rtl/>
        </w:rPr>
        <w:t xml:space="preserve"> هو رئيس الهيئة القضائية في اسكتلندا. ويوصي مجلس التعيينات القضائية لاسكتلندا</w:t>
      </w:r>
      <w:r w:rsidRPr="00564B9D">
        <w:rPr>
          <w:vertAlign w:val="superscript"/>
          <w:rtl/>
        </w:rPr>
        <w:t>(</w:t>
      </w:r>
      <w:r w:rsidRPr="00564B9D">
        <w:rPr>
          <w:rStyle w:val="FootnoteReference"/>
          <w:rFonts w:cs="Simplified Arabic"/>
          <w:b w:val="0"/>
          <w:sz w:val="22"/>
          <w:szCs w:val="22"/>
          <w:rtl/>
          <w:lang w:val="en-US"/>
        </w:rPr>
        <w:footnoteReference w:id="160"/>
      </w:r>
      <w:r w:rsidRPr="00564B9D">
        <w:rPr>
          <w:vertAlign w:val="superscript"/>
          <w:rtl/>
        </w:rPr>
        <w:t>)</w:t>
      </w:r>
      <w:r w:rsidRPr="00564B9D">
        <w:rPr>
          <w:rFonts w:hint="cs"/>
          <w:rtl/>
        </w:rPr>
        <w:t xml:space="preserve"> بمرشحين لتعيينهم في وظائف قضائية في معظم المحاكم. وينظر المكتب القضائي في اسكتلندا في القضايا التأديبية القضائية داخل اسكتنلدا.</w:t>
      </w:r>
    </w:p>
    <w:p w14:paraId="33ED35D0" w14:textId="24CF4F49" w:rsidR="00494AE4" w:rsidRPr="00564B9D" w:rsidRDefault="00494AE4" w:rsidP="00494AE4">
      <w:pPr>
        <w:pStyle w:val="SingleTxtGA"/>
      </w:pPr>
      <w:r w:rsidRPr="00564B9D">
        <w:rPr>
          <w:rFonts w:hint="cs"/>
          <w:rtl/>
        </w:rPr>
        <w:t>20</w:t>
      </w:r>
      <w:r w:rsidRPr="00564B9D">
        <w:rPr>
          <w:rtl/>
        </w:rPr>
        <w:t>-</w:t>
      </w:r>
      <w:r w:rsidRPr="00564B9D">
        <w:rPr>
          <w:rtl/>
        </w:rPr>
        <w:tab/>
      </w:r>
      <w:r w:rsidRPr="00564B9D">
        <w:rPr>
          <w:rFonts w:hint="cs"/>
          <w:rtl/>
        </w:rPr>
        <w:t xml:space="preserve">وفي </w:t>
      </w:r>
      <w:r w:rsidR="000F4858" w:rsidRPr="00564B9D">
        <w:rPr>
          <w:rFonts w:hint="cs"/>
          <w:rtl/>
        </w:rPr>
        <w:t>أيرلندا الشمالية</w:t>
      </w:r>
      <w:r w:rsidRPr="00564B9D">
        <w:rPr>
          <w:rFonts w:hint="cs"/>
          <w:rtl/>
        </w:rPr>
        <w:t xml:space="preserve">، تتولى دائرة المحاكم والمحاكم الإدارية في </w:t>
      </w:r>
      <w:r w:rsidR="000F4858" w:rsidRPr="00564B9D">
        <w:rPr>
          <w:rFonts w:hint="cs"/>
          <w:rtl/>
        </w:rPr>
        <w:t>أيرلندا الشمالية</w:t>
      </w:r>
      <w:r w:rsidRPr="00564B9D">
        <w:rPr>
          <w:vertAlign w:val="superscript"/>
          <w:rtl/>
        </w:rPr>
        <w:t>(</w:t>
      </w:r>
      <w:r w:rsidRPr="00564B9D">
        <w:rPr>
          <w:rStyle w:val="FootnoteReference"/>
          <w:rFonts w:cs="Simplified Arabic"/>
          <w:b w:val="0"/>
          <w:sz w:val="22"/>
          <w:szCs w:val="22"/>
          <w:rtl/>
          <w:lang w:val="en-US"/>
        </w:rPr>
        <w:footnoteReference w:id="161"/>
      </w:r>
      <w:r w:rsidRPr="00564B9D">
        <w:rPr>
          <w:vertAlign w:val="superscript"/>
          <w:rtl/>
        </w:rPr>
        <w:t>)</w:t>
      </w:r>
      <w:r w:rsidRPr="00564B9D">
        <w:rPr>
          <w:rFonts w:hint="cs"/>
          <w:rtl/>
        </w:rPr>
        <w:t xml:space="preserve"> إدارة المحاكم الجنائية (المحاكم الجزئية، ومحكمة التاج، والمحكمة العليا، ومحكمة الاستئناف) والمحاكم المدنية (المحاكم الجزئية، ومحاكم المقاطعات، والمحكمة العليا، ومحكمة الاستئناف والمحاكم الإدارية). ورئيس </w:t>
      </w:r>
      <w:r w:rsidR="00D70082" w:rsidRPr="00564B9D">
        <w:rPr>
          <w:rFonts w:hint="cs"/>
          <w:rtl/>
        </w:rPr>
        <w:lastRenderedPageBreak/>
        <w:t xml:space="preserve">ورئيس </w:t>
      </w:r>
      <w:r w:rsidRPr="00564B9D">
        <w:rPr>
          <w:rFonts w:hint="cs"/>
          <w:rtl/>
        </w:rPr>
        <w:t xml:space="preserve">قضاة </w:t>
      </w:r>
      <w:r w:rsidR="000F4858" w:rsidRPr="00564B9D">
        <w:rPr>
          <w:rFonts w:hint="cs"/>
          <w:rtl/>
        </w:rPr>
        <w:t>أيرلندا الشمالية</w:t>
      </w:r>
      <w:r w:rsidRPr="00564B9D">
        <w:rPr>
          <w:rFonts w:hint="cs"/>
          <w:rtl/>
        </w:rPr>
        <w:t xml:space="preserve"> هو رئيس الهيئة القضائية في </w:t>
      </w:r>
      <w:r w:rsidR="000F4858" w:rsidRPr="00564B9D">
        <w:rPr>
          <w:rFonts w:hint="cs"/>
          <w:rtl/>
        </w:rPr>
        <w:t>أيرلندا الشمالية</w:t>
      </w:r>
      <w:r w:rsidRPr="00564B9D">
        <w:rPr>
          <w:rFonts w:hint="cs"/>
          <w:rtl/>
        </w:rPr>
        <w:t xml:space="preserve">. وتوصي لجنة التعيينات القضائية في </w:t>
      </w:r>
      <w:r w:rsidR="000F4858" w:rsidRPr="00564B9D">
        <w:rPr>
          <w:rFonts w:hint="cs"/>
          <w:rtl/>
        </w:rPr>
        <w:t>أيرلندا الشمالية</w:t>
      </w:r>
      <w:r w:rsidRPr="00564B9D">
        <w:rPr>
          <w:vertAlign w:val="superscript"/>
          <w:rtl/>
        </w:rPr>
        <w:t>(</w:t>
      </w:r>
      <w:r w:rsidRPr="00564B9D">
        <w:rPr>
          <w:rStyle w:val="FootnoteReference"/>
          <w:rFonts w:cs="Simplified Arabic"/>
          <w:b w:val="0"/>
          <w:sz w:val="22"/>
          <w:szCs w:val="22"/>
          <w:rtl/>
          <w:lang w:val="en-US"/>
        </w:rPr>
        <w:footnoteReference w:id="162"/>
      </w:r>
      <w:r w:rsidRPr="00564B9D">
        <w:rPr>
          <w:vertAlign w:val="superscript"/>
          <w:rtl/>
        </w:rPr>
        <w:t>)</w:t>
      </w:r>
      <w:r w:rsidRPr="00564B9D">
        <w:rPr>
          <w:rFonts w:hint="cs"/>
          <w:rtl/>
        </w:rPr>
        <w:t xml:space="preserve"> بمرشحين لتولي المناصب القضائية في المحاكم والمحاكم الإدارية. وينظر رئيس قضاة </w:t>
      </w:r>
      <w:r w:rsidR="000F4858" w:rsidRPr="00564B9D">
        <w:rPr>
          <w:rFonts w:hint="cs"/>
          <w:rtl/>
        </w:rPr>
        <w:t>أيرلندا الشمالية</w:t>
      </w:r>
      <w:r w:rsidRPr="00564B9D">
        <w:rPr>
          <w:rFonts w:hint="cs"/>
          <w:rtl/>
        </w:rPr>
        <w:t xml:space="preserve"> في القضايا التأديبية القضائية داخل </w:t>
      </w:r>
      <w:r w:rsidR="000F4858" w:rsidRPr="00564B9D">
        <w:rPr>
          <w:rFonts w:hint="cs"/>
          <w:rtl/>
        </w:rPr>
        <w:t>أيرلندا الشمالية</w:t>
      </w:r>
      <w:r w:rsidRPr="00564B9D">
        <w:rPr>
          <w:rFonts w:hint="cs"/>
          <w:rtl/>
        </w:rPr>
        <w:t>.</w:t>
      </w:r>
    </w:p>
    <w:p w14:paraId="2E363BC3" w14:textId="77777777" w:rsidR="00494AE4" w:rsidRPr="00564B9D" w:rsidRDefault="00494AE4" w:rsidP="00494AE4">
      <w:pPr>
        <w:pStyle w:val="H23GA"/>
      </w:pPr>
      <w:r w:rsidRPr="00564B9D">
        <w:rPr>
          <w:rtl/>
        </w:rPr>
        <w:tab/>
      </w:r>
      <w:r w:rsidRPr="00564B9D">
        <w:rPr>
          <w:rtl/>
        </w:rPr>
        <w:tab/>
      </w:r>
      <w:r w:rsidRPr="00564B9D">
        <w:rPr>
          <w:rFonts w:hint="cs"/>
          <w:rtl/>
        </w:rPr>
        <w:t>المنظمات غير الحكومية</w:t>
      </w:r>
      <w:r w:rsidRPr="00564B9D">
        <w:rPr>
          <w:b w:val="0"/>
          <w:bCs w:val="0"/>
          <w:vertAlign w:val="superscript"/>
          <w:rtl/>
        </w:rPr>
        <w:t>(</w:t>
      </w:r>
      <w:r w:rsidRPr="00564B9D">
        <w:rPr>
          <w:rStyle w:val="FootnoteReference"/>
          <w:rFonts w:cs="Simplified Arabic"/>
          <w:bCs w:val="0"/>
          <w:sz w:val="22"/>
          <w:szCs w:val="22"/>
          <w:rtl/>
          <w:lang w:val="en-US"/>
        </w:rPr>
        <w:footnoteReference w:id="163"/>
      </w:r>
      <w:r w:rsidRPr="00564B9D">
        <w:rPr>
          <w:b w:val="0"/>
          <w:bCs w:val="0"/>
          <w:vertAlign w:val="superscript"/>
          <w:rtl/>
        </w:rPr>
        <w:t>)</w:t>
      </w:r>
      <w:r w:rsidRPr="00564B9D">
        <w:rPr>
          <w:rFonts w:hint="cs"/>
          <w:rtl/>
        </w:rPr>
        <w:t xml:space="preserve"> </w:t>
      </w:r>
    </w:p>
    <w:p w14:paraId="719F8174" w14:textId="77777777" w:rsidR="00494AE4" w:rsidRPr="00564B9D" w:rsidRDefault="00494AE4" w:rsidP="00494AE4">
      <w:pPr>
        <w:pStyle w:val="SingleTxtGA"/>
        <w:rPr>
          <w:rtl/>
        </w:rPr>
      </w:pPr>
      <w:r w:rsidRPr="00564B9D">
        <w:rPr>
          <w:rFonts w:hint="cs"/>
          <w:rtl/>
        </w:rPr>
        <w:t>21</w:t>
      </w:r>
      <w:r w:rsidRPr="00564B9D">
        <w:rPr>
          <w:rtl/>
        </w:rPr>
        <w:t>-</w:t>
      </w:r>
      <w:r w:rsidRPr="00564B9D">
        <w:rPr>
          <w:rtl/>
        </w:rPr>
        <w:tab/>
      </w:r>
      <w:r w:rsidRPr="00564B9D">
        <w:rPr>
          <w:rFonts w:hint="cs"/>
          <w:rtl/>
        </w:rPr>
        <w:t>صدّقت المملكة المتحدة على الاتفاقية الأوروبية التابعة لمجلس أوروبا والمتعلقة بالاعتراف بالشخصية القانونية لمنظمات غير حكومية دولية</w:t>
      </w:r>
      <w:r w:rsidRPr="00564B9D">
        <w:rPr>
          <w:rtl/>
        </w:rPr>
        <w:t>.</w:t>
      </w:r>
    </w:p>
    <w:p w14:paraId="0F362246" w14:textId="001128A9" w:rsidR="00494AE4" w:rsidRPr="00564B9D" w:rsidRDefault="00494AE4" w:rsidP="00494AE4">
      <w:pPr>
        <w:pStyle w:val="SingleTxtGA"/>
        <w:rPr>
          <w:rtl/>
        </w:rPr>
      </w:pPr>
      <w:r w:rsidRPr="00564B9D">
        <w:rPr>
          <w:rFonts w:hint="cs"/>
          <w:rtl/>
        </w:rPr>
        <w:t>22</w:t>
      </w:r>
      <w:r w:rsidRPr="00564B9D">
        <w:rPr>
          <w:rtl/>
        </w:rPr>
        <w:t>-</w:t>
      </w:r>
      <w:r w:rsidRPr="00564B9D">
        <w:rPr>
          <w:rtl/>
        </w:rPr>
        <w:tab/>
      </w:r>
      <w:r w:rsidRPr="00564B9D">
        <w:rPr>
          <w:rFonts w:hint="cs"/>
          <w:rtl/>
        </w:rPr>
        <w:t>وتؤدي مختلف المنظمات غير الحكومية أعمالها داخل المملكة المتحدة. وتتخذ المنظمات غير الحكومية بوجه رئيسي شكل الجمعيات الخيرية لأغراض تتعلق بالضرائب. ولا يوجد نظام موحد في المملكة المتحدة تنظم بموجبة الأعمال الخيرية. ومع ذلك تحفظ السجلات لدى: اللجنة المعنية بالمؤسسات الخيرية</w:t>
      </w:r>
      <w:r w:rsidRPr="00564B9D">
        <w:rPr>
          <w:vertAlign w:val="superscript"/>
          <w:rtl/>
        </w:rPr>
        <w:t>(</w:t>
      </w:r>
      <w:r w:rsidRPr="00564B9D">
        <w:rPr>
          <w:rStyle w:val="FootnoteReference"/>
          <w:rFonts w:cs="Simplified Arabic"/>
          <w:b w:val="0"/>
          <w:sz w:val="22"/>
          <w:szCs w:val="22"/>
          <w:rtl/>
          <w:lang w:val="en-US"/>
        </w:rPr>
        <w:footnoteReference w:id="164"/>
      </w:r>
      <w:r w:rsidRPr="00564B9D">
        <w:rPr>
          <w:vertAlign w:val="superscript"/>
          <w:rtl/>
        </w:rPr>
        <w:t>)</w:t>
      </w:r>
      <w:r w:rsidRPr="00564B9D">
        <w:rPr>
          <w:rFonts w:hint="cs"/>
          <w:rtl/>
        </w:rPr>
        <w:t xml:space="preserve"> (لإنكلترا وويلز)، ومكتب الهيئة المنظمة للجمعيات الخيرية في اسكتلندا</w:t>
      </w:r>
      <w:r w:rsidRPr="00564B9D">
        <w:rPr>
          <w:vertAlign w:val="superscript"/>
          <w:rtl/>
        </w:rPr>
        <w:t>(</w:t>
      </w:r>
      <w:r w:rsidRPr="00564B9D">
        <w:rPr>
          <w:rStyle w:val="FootnoteReference"/>
          <w:rFonts w:cs="Simplified Arabic"/>
          <w:b w:val="0"/>
          <w:sz w:val="22"/>
          <w:szCs w:val="22"/>
          <w:rtl/>
          <w:lang w:val="en-US"/>
        </w:rPr>
        <w:footnoteReference w:id="165"/>
      </w:r>
      <w:r w:rsidRPr="00564B9D">
        <w:rPr>
          <w:vertAlign w:val="superscript"/>
          <w:rtl/>
        </w:rPr>
        <w:t>)</w:t>
      </w:r>
      <w:r w:rsidRPr="00564B9D">
        <w:rPr>
          <w:rFonts w:hint="cs"/>
          <w:rtl/>
        </w:rPr>
        <w:t xml:space="preserve"> (لاسكتلندا)، واللجنة المعنية بالمؤسسات الخيرية في </w:t>
      </w:r>
      <w:r w:rsidR="000F4858" w:rsidRPr="00564B9D">
        <w:rPr>
          <w:rFonts w:hint="cs"/>
          <w:rtl/>
        </w:rPr>
        <w:t>أيرلندا الشمالية</w:t>
      </w:r>
      <w:r w:rsidRPr="00564B9D">
        <w:rPr>
          <w:vertAlign w:val="superscript"/>
          <w:rtl/>
        </w:rPr>
        <w:t>(</w:t>
      </w:r>
      <w:r w:rsidRPr="00564B9D">
        <w:rPr>
          <w:rStyle w:val="FootnoteReference"/>
          <w:rFonts w:cs="Simplified Arabic"/>
          <w:b w:val="0"/>
          <w:sz w:val="22"/>
          <w:szCs w:val="22"/>
          <w:rtl/>
          <w:lang w:val="en-US"/>
        </w:rPr>
        <w:footnoteReference w:id="166"/>
      </w:r>
      <w:r w:rsidRPr="00564B9D">
        <w:rPr>
          <w:vertAlign w:val="superscript"/>
          <w:rtl/>
        </w:rPr>
        <w:t>)</w:t>
      </w:r>
      <w:r w:rsidRPr="00564B9D">
        <w:rPr>
          <w:rFonts w:hint="cs"/>
          <w:rtl/>
        </w:rPr>
        <w:t xml:space="preserve"> (ل</w:t>
      </w:r>
      <w:r w:rsidR="000F4858" w:rsidRPr="00564B9D">
        <w:rPr>
          <w:rFonts w:hint="cs"/>
          <w:rtl/>
        </w:rPr>
        <w:t>أيرلندا الشمالية</w:t>
      </w:r>
      <w:r w:rsidRPr="00564B9D">
        <w:rPr>
          <w:rFonts w:hint="cs"/>
          <w:rtl/>
        </w:rPr>
        <w:t>). وقد يؤدي تعريف منظمة بوصفها مؤسسة خيرية إلى عدد من الإعفاءات الضريبية وتخفيف بعض الأعباء الضريبية، إلا أنه يتعين على الجمعيات الخيرية أن تدفع ضرائب على بعض المداخيل كما تنص على ذلك هيئة الإيرادات والجمارك التابعة لحكومة صاحب الجلالة</w:t>
      </w:r>
      <w:r w:rsidRPr="00564B9D">
        <w:rPr>
          <w:vertAlign w:val="superscript"/>
          <w:rtl/>
        </w:rPr>
        <w:t>(</w:t>
      </w:r>
      <w:r w:rsidRPr="00564B9D">
        <w:rPr>
          <w:rStyle w:val="FootnoteReference"/>
          <w:rFonts w:cs="Simplified Arabic"/>
          <w:b w:val="0"/>
          <w:sz w:val="22"/>
          <w:szCs w:val="22"/>
          <w:rtl/>
          <w:lang w:val="en-US"/>
        </w:rPr>
        <w:footnoteReference w:id="167"/>
      </w:r>
      <w:r w:rsidRPr="00564B9D">
        <w:rPr>
          <w:vertAlign w:val="superscript"/>
          <w:rtl/>
        </w:rPr>
        <w:t>)</w:t>
      </w:r>
      <w:r w:rsidRPr="00564B9D">
        <w:rPr>
          <w:rFonts w:hint="cs"/>
          <w:rtl/>
        </w:rPr>
        <w:t>.</w:t>
      </w:r>
    </w:p>
    <w:p w14:paraId="2ACD96E5" w14:textId="77777777" w:rsidR="00494AE4" w:rsidRPr="00564B9D" w:rsidRDefault="00494AE4" w:rsidP="00494AE4">
      <w:pPr>
        <w:pStyle w:val="HChGA"/>
        <w:rPr>
          <w:rtl/>
        </w:rPr>
      </w:pPr>
      <w:r w:rsidRPr="00564B9D">
        <w:rPr>
          <w:rtl/>
        </w:rPr>
        <w:tab/>
      </w:r>
      <w:bookmarkStart w:id="29" w:name="_Toc123044110"/>
      <w:bookmarkStart w:id="30" w:name="_Toc123044333"/>
      <w:bookmarkStart w:id="31" w:name="_Toc123044594"/>
      <w:bookmarkStart w:id="32" w:name="_Toc123044856"/>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29"/>
      <w:bookmarkEnd w:id="30"/>
      <w:bookmarkEnd w:id="31"/>
      <w:bookmarkEnd w:id="32"/>
    </w:p>
    <w:p w14:paraId="2C22A343" w14:textId="77777777" w:rsidR="00494AE4" w:rsidRPr="00564B9D" w:rsidRDefault="00494AE4" w:rsidP="00494AE4">
      <w:pPr>
        <w:pStyle w:val="H1GA"/>
        <w:rPr>
          <w:rtl/>
        </w:rPr>
      </w:pPr>
      <w:r w:rsidRPr="00564B9D">
        <w:rPr>
          <w:rtl/>
        </w:rPr>
        <w:tab/>
      </w:r>
      <w:bookmarkStart w:id="33" w:name="_Toc123044111"/>
      <w:bookmarkStart w:id="34" w:name="_Toc123044334"/>
      <w:bookmarkStart w:id="35" w:name="_Toc123044595"/>
      <w:bookmarkStart w:id="36" w:name="_Toc123044857"/>
      <w:r w:rsidRPr="00564B9D">
        <w:rPr>
          <w:rtl/>
        </w:rPr>
        <w:t>ألف-</w:t>
      </w:r>
      <w:r w:rsidRPr="00564B9D">
        <w:rPr>
          <w:rtl/>
        </w:rPr>
        <w:tab/>
      </w:r>
      <w:r w:rsidRPr="00564B9D">
        <w:rPr>
          <w:rFonts w:hint="cs"/>
          <w:rtl/>
        </w:rPr>
        <w:t>قبول معايير حقوق الإنسان الدولية</w:t>
      </w:r>
      <w:bookmarkEnd w:id="33"/>
      <w:bookmarkEnd w:id="34"/>
      <w:bookmarkEnd w:id="35"/>
      <w:bookmarkEnd w:id="36"/>
    </w:p>
    <w:p w14:paraId="47DE1389" w14:textId="77777777" w:rsidR="00494AE4" w:rsidRPr="00564B9D" w:rsidRDefault="00494AE4" w:rsidP="00494AE4">
      <w:pPr>
        <w:pStyle w:val="SingleTxtGA"/>
        <w:rPr>
          <w:rtl/>
        </w:rPr>
      </w:pPr>
      <w:r w:rsidRPr="00564B9D">
        <w:rPr>
          <w:rFonts w:hint="cs"/>
          <w:rtl/>
        </w:rPr>
        <w:t>23</w:t>
      </w:r>
      <w:r w:rsidRPr="00564B9D">
        <w:rPr>
          <w:rtl/>
        </w:rPr>
        <w:t>-</w:t>
      </w:r>
      <w:r w:rsidRPr="00564B9D">
        <w:rPr>
          <w:rtl/>
        </w:rPr>
        <w:tab/>
      </w:r>
      <w:r w:rsidRPr="00564B9D">
        <w:rPr>
          <w:rFonts w:hint="cs"/>
          <w:rtl/>
        </w:rPr>
        <w:t xml:space="preserve">تلتزم المملكة المتحدة بمواصلة نجاح عملية الاستعراض الدوري الشامل الذي ينفذه مجلس حقوق الإنسان التابع للأمم المتحدة، وذلك كوسيلة لتقاسم أفضل الممارسات بشأن حقوق الإنسان في شتى أنحاء العالم ومن أجل تشجيع تعزيز حقوق الإنسان بشكل مستمر على أرض الواقع. وقد تم حتى الآن استعراض وضع المملكة المتحدة </w:t>
      </w:r>
      <w:r w:rsidRPr="00564B9D">
        <w:rPr>
          <w:rtl/>
        </w:rPr>
        <w:t xml:space="preserve">ثلاث مرات (في </w:t>
      </w:r>
      <w:r w:rsidRPr="00564B9D">
        <w:rPr>
          <w:rFonts w:hint="cs"/>
          <w:rtl/>
        </w:rPr>
        <w:t>ال</w:t>
      </w:r>
      <w:r w:rsidRPr="00564B9D">
        <w:rPr>
          <w:rtl/>
        </w:rPr>
        <w:t>أعوام 2008 و2012 و2017).</w:t>
      </w:r>
    </w:p>
    <w:p w14:paraId="2DA05293" w14:textId="77777777" w:rsidR="00494AE4" w:rsidRPr="00564B9D" w:rsidRDefault="00494AE4" w:rsidP="00494AE4">
      <w:pPr>
        <w:pStyle w:val="SingleTxtGA"/>
        <w:rPr>
          <w:rtl/>
        </w:rPr>
      </w:pPr>
      <w:r w:rsidRPr="00564B9D">
        <w:rPr>
          <w:rFonts w:hint="cs"/>
          <w:rtl/>
        </w:rPr>
        <w:t>24</w:t>
      </w:r>
      <w:r w:rsidRPr="00564B9D">
        <w:rPr>
          <w:rtl/>
        </w:rPr>
        <w:t>-</w:t>
      </w:r>
      <w:r w:rsidRPr="00564B9D">
        <w:rPr>
          <w:rtl/>
        </w:rPr>
        <w:tab/>
      </w:r>
      <w:r w:rsidRPr="00564B9D">
        <w:rPr>
          <w:rFonts w:hint="cs"/>
          <w:rtl/>
        </w:rPr>
        <w:t>كما قبلت المملكة المتحدة عدداً من الصكوك الدولية المتصلة بصورة مباشرة أو غير مباشرة بحقوق الإنسان. وتستند قائمة الصكوك الواردة أدناه إلى الصكوك المدرجة في التذييل 2 للمبادئ التوجيهية لتقديم التقارير في الأمم المتحدة. وتراجع المملكة المتحدة بشكل منتظم تحفظاتها وإعلاناتها بشأن هذه الصكوك (حيث تم إدخالها) لضمان أن تظل فعالة.</w:t>
      </w:r>
    </w:p>
    <w:p w14:paraId="7A8CA924" w14:textId="77777777" w:rsidR="00494AE4" w:rsidRPr="00564B9D" w:rsidRDefault="00494AE4" w:rsidP="00494AE4">
      <w:pPr>
        <w:pStyle w:val="SingleTxtGA"/>
        <w:rPr>
          <w:rtl/>
        </w:rPr>
      </w:pPr>
      <w:r w:rsidRPr="00564B9D">
        <w:rPr>
          <w:rFonts w:hint="cs"/>
          <w:rtl/>
        </w:rPr>
        <w:t>25</w:t>
      </w:r>
      <w:r w:rsidRPr="00564B9D">
        <w:rPr>
          <w:rtl/>
        </w:rPr>
        <w:t>-</w:t>
      </w:r>
      <w:r w:rsidRPr="00564B9D">
        <w:rPr>
          <w:rtl/>
        </w:rPr>
        <w:tab/>
      </w:r>
      <w:r w:rsidRPr="00564B9D">
        <w:rPr>
          <w:rFonts w:hint="cs"/>
          <w:rtl/>
        </w:rPr>
        <w:t xml:space="preserve">وتنفذ المملكة المتحدة التزاماتها الدولية بحقوق الإنسان من خلال التشريعات والتدابير الإدارية المناسبة. ومع ذلك فإن الصكوك الدولية لا تطبق بشكل مباشر في قانون المملكة المتحدة. وفي الوقت الحالي وضمن إطار حقوق الإنسان، يعطي قانون حقوق الإنسان لعام 1998 المزيد من التأثير في قانون </w:t>
      </w:r>
      <w:r w:rsidRPr="00564B9D">
        <w:rPr>
          <w:rFonts w:hint="cs"/>
          <w:rtl/>
        </w:rPr>
        <w:lastRenderedPageBreak/>
        <w:t>المملكة المتحدة للحقوق الواردة في الاتفاقية الأوروبية لحماية حقوق الإنسان والحريات الأساسية، ويجعل معظم حقوق الاتفاقية تلك قابلة للإنفاذ مباشرةً في محاكم المملكة المتحدة.</w:t>
      </w:r>
    </w:p>
    <w:p w14:paraId="0141BED2" w14:textId="77777777" w:rsidR="00494AE4" w:rsidRPr="00564B9D" w:rsidRDefault="00494AE4" w:rsidP="00494AE4">
      <w:pPr>
        <w:pStyle w:val="H23GA"/>
        <w:rPr>
          <w:rtl/>
        </w:rPr>
      </w:pPr>
      <w:r w:rsidRPr="00564B9D">
        <w:tab/>
      </w:r>
      <w:r w:rsidRPr="00564B9D">
        <w:tab/>
      </w:r>
      <w:r w:rsidRPr="00564B9D">
        <w:rPr>
          <w:rFonts w:hint="cs"/>
          <w:rtl/>
        </w:rPr>
        <w:t>الاتفاقيات والبروتوكولات الدولية الرئيسية المتعلقة بحقوق الإنسان التابعة للأمم المتحدة</w:t>
      </w:r>
    </w:p>
    <w:p w14:paraId="524231C4" w14:textId="77777777" w:rsidR="00494AE4" w:rsidRPr="00564B9D" w:rsidRDefault="00494AE4" w:rsidP="00494AE4">
      <w:pPr>
        <w:pStyle w:val="SingleTxtGA"/>
      </w:pPr>
      <w:r w:rsidRPr="00564B9D">
        <w:rPr>
          <w:rFonts w:hint="cs"/>
          <w:rtl/>
        </w:rPr>
        <w:t>26</w:t>
      </w:r>
      <w:r w:rsidRPr="00564B9D">
        <w:rPr>
          <w:rtl/>
        </w:rPr>
        <w:t>-</w:t>
      </w:r>
      <w:r w:rsidRPr="00564B9D">
        <w:rPr>
          <w:rtl/>
        </w:rPr>
        <w:tab/>
      </w:r>
      <w:r w:rsidRPr="00564B9D">
        <w:rPr>
          <w:rFonts w:hint="cs"/>
          <w:rtl/>
        </w:rPr>
        <w:t>صدّقت المملكة المتحدة على صكوك الأمم المتحدة التالية المتعلقة بحقوق الإنسان: الاتفاقية الدولية للقضاء على جميع أشكال التمييز العنصري؛ العهد الدولي الخاص بالحقوق المدنية والسياسية؛ البروتوكول الاختياري الثاني الملحق بالعهد الدولي الخاص بالحقوق المدنية والسياسية لإلغاء عقوبة الإعدام؛ العهد الدولي الخاص بالحقوق الاقتصادية والاجتماعية والثقافية؛ اتفاقية القضاء على جميع أشكال التمييز ضد المرأة؛ البروتوكول الاختياري الملحق باتفاقية القضاء على جميع أشكال التمييز ضد المرأة؛ اتفاقية مناهضة التعذيب وغيره من ضروب المعاملة أو العقوبة القاسية أو اللاإنسانية أو المهينة؛ البروتوكول الاختياري الملحق باتفاقية مناهضة التعذيب وغيره من ضروب المعاملة أو العقوبة القاسية أو اللاإنسانية أو المهينة؛ اتفاقية حقوق الطفل؛ البروتوكول الاختياري لاتفاقية حقوق الطفل بشأن اشتراك الأطفال في المنازعات المسلحة؛ البروتوكول الاختياري المتعلق ببيع الأطفال واستغلالهم في البغاء وفي إنتاج المواد الإباحية التابع لاتفاقية حقوق الطفل؛ اتفاقية حقوق الأشخاص ذوي الإعاقة؛ البروتوكول الاختياري الملحق باتفاقية حقوق الأشخاص ذوي الإعاقة.</w:t>
      </w:r>
    </w:p>
    <w:p w14:paraId="507BFDE0"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3FC75F3B" w14:textId="77777777" w:rsidR="00494AE4" w:rsidRPr="00564B9D" w:rsidRDefault="00494AE4" w:rsidP="00494AE4">
      <w:pPr>
        <w:pStyle w:val="SingleTxtGA"/>
        <w:rPr>
          <w:rtl/>
        </w:rPr>
      </w:pPr>
      <w:r w:rsidRPr="00564B9D">
        <w:rPr>
          <w:rFonts w:hint="cs"/>
          <w:rtl/>
        </w:rPr>
        <w:t>27</w:t>
      </w:r>
      <w:r w:rsidRPr="00564B9D">
        <w:rPr>
          <w:rtl/>
        </w:rPr>
        <w:t>-</w:t>
      </w:r>
      <w:r w:rsidRPr="00564B9D">
        <w:rPr>
          <w:rtl/>
        </w:rPr>
        <w:tab/>
      </w:r>
      <w:r w:rsidRPr="00564B9D">
        <w:rPr>
          <w:rFonts w:hint="cs"/>
          <w:rtl/>
        </w:rPr>
        <w:t xml:space="preserve">المملكة المتحدة طرف في الصكوك التالية أيضاً: </w:t>
      </w:r>
      <w:r w:rsidRPr="00564B9D">
        <w:rPr>
          <w:rtl/>
        </w:rPr>
        <w:t>اتفاقية منع جريمة الإبادة الجماعية والمعاقبة عليها</w:t>
      </w:r>
      <w:r w:rsidRPr="00564B9D">
        <w:rPr>
          <w:rFonts w:hint="cs"/>
          <w:rtl/>
        </w:rPr>
        <w:t>؛ والاتفاقية الخاصة بالرقّ (كما عُدلت في عام 1953)؛ الاتفاقية المتعلقة بوضع اللاجئين (وبروتوكولها لعام 1967)؛ الاتفاقية بشأن وضع الأشخاص عديمي الجنسية؛ الاتفاقية بشأن خفض حالات انعدام الجنسية؛ نظام روما الأساسي للمحكمة الجنائية الدولية؛ اتفاقية الأمم المتحدة لمكافحة الجريمة المنظمة عبر الوطنية، وبروتوكول مكافحة تهريب المهاجرين عن طريق البر والبحر والجو، المكمل لاتفاقية الأمم المتحدة لمكافحة الجريمة المنظمة عبر الوطنية، وبروتوكول منع الاتجار بالأشخاص وبخاصة النساء والأطفال، وقمعه والمعاقبة عليه، المكمل لاتفاقية الأمم المتحدة لمكافحة الجريمة المنظمة عبر الوطنية</w:t>
      </w:r>
      <w:r w:rsidRPr="00564B9D">
        <w:rPr>
          <w:rtl/>
        </w:rPr>
        <w:t>.</w:t>
      </w:r>
    </w:p>
    <w:p w14:paraId="5E9D20A4" w14:textId="77777777" w:rsidR="00494AE4" w:rsidRPr="00564B9D" w:rsidRDefault="00494AE4" w:rsidP="00494AE4">
      <w:pPr>
        <w:pStyle w:val="H23GA"/>
      </w:pPr>
      <w:r w:rsidRPr="00564B9D">
        <w:rPr>
          <w:rtl/>
        </w:rPr>
        <w:tab/>
      </w:r>
      <w:r w:rsidRPr="00564B9D">
        <w:rPr>
          <w:rtl/>
        </w:rPr>
        <w:tab/>
      </w:r>
      <w:r w:rsidRPr="00564B9D">
        <w:rPr>
          <w:rFonts w:hint="cs"/>
          <w:rtl/>
        </w:rPr>
        <w:t>اتفاقيات منظمة العمل الدولية</w:t>
      </w:r>
    </w:p>
    <w:p w14:paraId="4CFA14FC" w14:textId="77777777" w:rsidR="00494AE4" w:rsidRPr="00564B9D" w:rsidRDefault="00494AE4" w:rsidP="00494AE4">
      <w:pPr>
        <w:pStyle w:val="SingleTxtGA"/>
        <w:rPr>
          <w:rtl/>
        </w:rPr>
      </w:pPr>
      <w:r w:rsidRPr="00564B9D">
        <w:rPr>
          <w:rFonts w:hint="cs"/>
          <w:rtl/>
        </w:rPr>
        <w:t>28</w:t>
      </w:r>
      <w:r w:rsidRPr="00564B9D">
        <w:rPr>
          <w:rtl/>
        </w:rPr>
        <w:t>-</w:t>
      </w:r>
      <w:r w:rsidRPr="00564B9D">
        <w:rPr>
          <w:rtl/>
        </w:rPr>
        <w:tab/>
      </w:r>
      <w:r w:rsidRPr="00564B9D">
        <w:rPr>
          <w:rFonts w:hint="cs"/>
          <w:rtl/>
        </w:rPr>
        <w:t xml:space="preserve">صدّقت المملكة المتحدة على اتفاقيات خاصة بمنظمة العمل الدولية من بينها ما يلي: </w:t>
      </w:r>
      <w:r w:rsidRPr="00564B9D">
        <w:t>C029</w:t>
      </w:r>
      <w:r w:rsidRPr="00564B9D">
        <w:rPr>
          <w:rFonts w:hint="eastAsia"/>
          <w:rtl/>
        </w:rPr>
        <w:t> </w:t>
      </w:r>
      <w:r w:rsidRPr="00564B9D">
        <w:rPr>
          <w:rFonts w:hint="cs"/>
          <w:rtl/>
        </w:rPr>
        <w:t xml:space="preserve">- اتفاقية العمل الجبري؛ </w:t>
      </w:r>
      <w:r w:rsidRPr="00564B9D">
        <w:t>P029</w:t>
      </w:r>
      <w:r w:rsidRPr="00564B9D">
        <w:rPr>
          <w:rFonts w:hint="cs"/>
          <w:rtl/>
        </w:rPr>
        <w:t xml:space="preserve"> - </w:t>
      </w:r>
      <w:r w:rsidRPr="00564B9D">
        <w:rPr>
          <w:rtl/>
        </w:rPr>
        <w:t xml:space="preserve">بروتوكول العمل الجبري؛ </w:t>
      </w:r>
      <w:r w:rsidRPr="00564B9D">
        <w:t>C081</w:t>
      </w:r>
      <w:r w:rsidRPr="00564B9D">
        <w:rPr>
          <w:rFonts w:hint="cs"/>
          <w:rtl/>
        </w:rPr>
        <w:t xml:space="preserve"> - الاتفاقية بشأن تفتيش العمل؛ </w:t>
      </w: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C097</w:t>
      </w:r>
      <w:r w:rsidRPr="00564B9D">
        <w:rPr>
          <w:rFonts w:hint="cs"/>
          <w:rtl/>
        </w:rPr>
        <w:t xml:space="preserve"> - الاتفاقية (المراجعة) بشأن الهجرة من أجل العمل؛ </w:t>
      </w:r>
      <w:r w:rsidRPr="00564B9D">
        <w:t>C098</w:t>
      </w:r>
      <w:r w:rsidRPr="00564B9D">
        <w:rPr>
          <w:rFonts w:hint="cs"/>
          <w:rtl/>
        </w:rPr>
        <w:t xml:space="preserve"> - الاتفاقية الخاصة بحق التنظيم والمفاوضة الجماعية؛ </w:t>
      </w:r>
      <w:r w:rsidRPr="00564B9D">
        <w:t>C100</w:t>
      </w:r>
      <w:r w:rsidRPr="00564B9D">
        <w:rPr>
          <w:rFonts w:hint="cs"/>
          <w:rtl/>
        </w:rPr>
        <w:t xml:space="preserve"> - اتفاقية المساواة في الأجر؛ </w:t>
      </w:r>
      <w:r w:rsidRPr="00564B9D">
        <w:t>C102</w:t>
      </w:r>
      <w:r w:rsidRPr="00564B9D">
        <w:rPr>
          <w:rFonts w:hint="cs"/>
          <w:rtl/>
        </w:rPr>
        <w:t xml:space="preserve"> - اتفاقية الضمان الاجتماعي (المعايير الدنيا)؛ </w:t>
      </w:r>
      <w:r w:rsidRPr="00564B9D">
        <w:t>C105</w:t>
      </w:r>
      <w:r w:rsidRPr="00564B9D">
        <w:rPr>
          <w:rFonts w:hint="cs"/>
          <w:rtl/>
        </w:rPr>
        <w:t xml:space="preserve"> - اتفاقية إلغاء العمل الجبري؛ </w:t>
      </w:r>
      <w:r w:rsidRPr="00564B9D">
        <w:t>C111</w:t>
      </w:r>
      <w:r w:rsidRPr="00564B9D">
        <w:rPr>
          <w:rFonts w:hint="eastAsia"/>
          <w:rtl/>
        </w:rPr>
        <w:t xml:space="preserve"> </w:t>
      </w:r>
      <w:r w:rsidRPr="00564B9D">
        <w:rPr>
          <w:rFonts w:hint="cs"/>
          <w:rtl/>
        </w:rPr>
        <w:t xml:space="preserve">- الاتفاقية بشأن التمييز (في الاستخدام والمهنة)؛ </w:t>
      </w:r>
      <w:r w:rsidRPr="00564B9D">
        <w:t>C122</w:t>
      </w:r>
      <w:r w:rsidRPr="00564B9D">
        <w:rPr>
          <w:rFonts w:hint="cs"/>
          <w:rtl/>
        </w:rPr>
        <w:t xml:space="preserve"> - الاتفاقية بشأن سياسة العمالة؛ </w:t>
      </w:r>
      <w:r w:rsidRPr="00564B9D">
        <w:t>C138</w:t>
      </w:r>
      <w:r w:rsidRPr="00564B9D">
        <w:rPr>
          <w:rFonts w:hint="cs"/>
          <w:rtl/>
        </w:rPr>
        <w:t xml:space="preserve"> - الاتفاقية بشأن الحد الأدنى لسن الاستخدام؛ </w:t>
      </w:r>
      <w:r w:rsidRPr="00564B9D">
        <w:t>C151</w:t>
      </w:r>
      <w:r w:rsidRPr="00564B9D">
        <w:rPr>
          <w:rFonts w:hint="cs"/>
          <w:rtl/>
        </w:rPr>
        <w:t xml:space="preserve"> - الاتفاقية المتعلقة بعلاقات العمل (الخدمة العامة)؛ </w:t>
      </w:r>
      <w:r w:rsidRPr="00564B9D">
        <w:t>C182</w:t>
      </w:r>
      <w:r w:rsidRPr="00564B9D">
        <w:rPr>
          <w:rFonts w:hint="cs"/>
          <w:rtl/>
        </w:rPr>
        <w:t xml:space="preserve"> - الاتفاقية بشأن حظر أسوأ أشكال عمل الأطفال</w:t>
      </w:r>
      <w:r w:rsidRPr="00564B9D">
        <w:rPr>
          <w:rtl/>
        </w:rPr>
        <w:t>.</w:t>
      </w:r>
    </w:p>
    <w:p w14:paraId="3103E67B"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الأمم المتحدة للتربية والعلوم والثقافة (اليونسكو)</w:t>
      </w:r>
    </w:p>
    <w:p w14:paraId="7DADDBD7" w14:textId="77777777" w:rsidR="00494AE4" w:rsidRPr="00564B9D" w:rsidRDefault="00494AE4" w:rsidP="00494AE4">
      <w:pPr>
        <w:pStyle w:val="SingleTxtGA"/>
        <w:rPr>
          <w:rtl/>
        </w:rPr>
      </w:pPr>
      <w:r w:rsidRPr="00564B9D">
        <w:rPr>
          <w:rFonts w:hint="cs"/>
          <w:rtl/>
        </w:rPr>
        <w:t>29</w:t>
      </w:r>
      <w:r w:rsidRPr="00564B9D">
        <w:rPr>
          <w:rtl/>
        </w:rPr>
        <w:t>-</w:t>
      </w:r>
      <w:r w:rsidRPr="00564B9D">
        <w:rPr>
          <w:rtl/>
        </w:rPr>
        <w:tab/>
      </w:r>
      <w:r w:rsidRPr="00564B9D">
        <w:rPr>
          <w:rFonts w:hint="cs"/>
          <w:rtl/>
        </w:rPr>
        <w:t>المملكة المتحدة هي طرف في اتفاقية مكافحة التمييز في مجال التعليم</w:t>
      </w:r>
      <w:r w:rsidRPr="00564B9D">
        <w:rPr>
          <w:rtl/>
        </w:rPr>
        <w:t xml:space="preserve"> واتفاقية حماية وتعزيز تنوع أشكال التعبير الثقافي</w:t>
      </w:r>
      <w:r w:rsidRPr="00564B9D">
        <w:rPr>
          <w:rFonts w:hint="cs"/>
          <w:rtl/>
        </w:rPr>
        <w:t>.</w:t>
      </w:r>
    </w:p>
    <w:p w14:paraId="11D7BB2C"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اتفاقيات مؤتمر لاهاي بشأن القانون الدولي الخاص</w:t>
      </w:r>
    </w:p>
    <w:p w14:paraId="1C344866" w14:textId="77777777" w:rsidR="00494AE4" w:rsidRPr="00564B9D" w:rsidRDefault="00494AE4" w:rsidP="00494AE4">
      <w:pPr>
        <w:pStyle w:val="SingleTxtGA"/>
        <w:rPr>
          <w:rtl/>
        </w:rPr>
      </w:pPr>
      <w:r w:rsidRPr="00564B9D">
        <w:rPr>
          <w:rFonts w:hint="cs"/>
          <w:rtl/>
        </w:rPr>
        <w:t>30</w:t>
      </w:r>
      <w:r w:rsidRPr="00564B9D">
        <w:rPr>
          <w:rtl/>
        </w:rPr>
        <w:t>-</w:t>
      </w:r>
      <w:r w:rsidRPr="00564B9D">
        <w:rPr>
          <w:rtl/>
        </w:rPr>
        <w:tab/>
      </w:r>
      <w:r w:rsidRPr="00564B9D">
        <w:rPr>
          <w:rFonts w:hint="cs"/>
          <w:rtl/>
        </w:rPr>
        <w:t xml:space="preserve">المملكة المتحدة طرف في الصكوك التالية: اتفاقية الاعتراف بالطلاق والانفصال القانوني؛ الاتفاقية بشأن الاعتراف بأحكام التزامات النفقة وتنفيذها؛ الاتفاقية بشأن الجوانب المدنية لاختطاف الأطفال على الصعيد الدولي؛ اتفاقية حماية الأطفال والتعاون في مجال التبني في ما بين البلدان؛ </w:t>
      </w:r>
      <w:r w:rsidRPr="00564B9D">
        <w:rPr>
          <w:rtl/>
        </w:rPr>
        <w:t xml:space="preserve">الاتفاقية </w:t>
      </w:r>
      <w:r w:rsidRPr="00564B9D">
        <w:rPr>
          <w:rFonts w:hint="cs"/>
          <w:rtl/>
        </w:rPr>
        <w:t>بشأن الولاية القانونية والقانون المنطبق والاعتراف والتنفيذ والتعاون في مجال المسؤولية الأبوية وتدابير حماية الأطفال؛ اتفاقية الحماية الدولية للبالغين.</w:t>
      </w:r>
    </w:p>
    <w:p w14:paraId="1CCA3A7D"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والمعاهدات الأخرى المتعلقة بالقانون الإنساني الدولي</w:t>
      </w:r>
    </w:p>
    <w:p w14:paraId="15328130" w14:textId="3278D0AC" w:rsidR="00494AE4" w:rsidRPr="00564B9D" w:rsidRDefault="00494AE4" w:rsidP="00494AE4">
      <w:pPr>
        <w:pStyle w:val="SingleTxtGA"/>
        <w:rPr>
          <w:rtl/>
        </w:rPr>
      </w:pPr>
      <w:r w:rsidRPr="00564B9D">
        <w:rPr>
          <w:rFonts w:hint="cs"/>
          <w:rtl/>
        </w:rPr>
        <w:t>31</w:t>
      </w:r>
      <w:r w:rsidRPr="00564B9D">
        <w:rPr>
          <w:rtl/>
        </w:rPr>
        <w:t>-</w:t>
      </w:r>
      <w:r w:rsidRPr="00564B9D">
        <w:rPr>
          <w:rtl/>
        </w:rPr>
        <w:tab/>
      </w:r>
      <w:r w:rsidRPr="00564B9D">
        <w:rPr>
          <w:rFonts w:hint="cs"/>
          <w:rtl/>
        </w:rPr>
        <w:t xml:space="preserve">المملكة المتحدة هي طرف في الصكوك التالية: جنيف 1؛ جنيف 2؛ جنيف 3؛ جنيف 4؛ البروتوكول الأول؛ البروتوكول الثاني؛ البروتوكول الثالث؛ </w:t>
      </w:r>
      <w:r w:rsidRPr="00564B9D">
        <w:rPr>
          <w:rtl/>
        </w:rPr>
        <w:t xml:space="preserve">اتفاقية لاهاي (وبروتوكولاتها) لحماية الممتلكات الثقافية في حالة نزاع مسلح؛ اتفاقيات الأسلحة البيولوجية؛ اتفاقية أسلحة تقليدية معينة؛ البروتوكول 1 لاتفاقية الأسلحة التقليدية؛ البروتوكول 2 لاتفاقية الأسلحة التقليدية؛ </w:t>
      </w:r>
      <w:r w:rsidR="00290218" w:rsidRPr="00564B9D">
        <w:rPr>
          <w:rtl/>
        </w:rPr>
        <w:t xml:space="preserve">البروتوكول </w:t>
      </w:r>
      <w:r w:rsidR="00290218" w:rsidRPr="00564B9D">
        <w:rPr>
          <w:rFonts w:hint="cs"/>
          <w:rtl/>
        </w:rPr>
        <w:t>3</w:t>
      </w:r>
      <w:r w:rsidR="00290218" w:rsidRPr="00564B9D">
        <w:rPr>
          <w:rtl/>
        </w:rPr>
        <w:t xml:space="preserve"> لاتفاقية الأسلحة التقليدية؛</w:t>
      </w:r>
      <w:r w:rsidR="00290218" w:rsidRPr="00564B9D">
        <w:rPr>
          <w:rFonts w:hint="cs"/>
          <w:rtl/>
        </w:rPr>
        <w:t xml:space="preserve"> </w:t>
      </w:r>
      <w:r w:rsidR="00290218" w:rsidRPr="00564B9D">
        <w:rPr>
          <w:rtl/>
        </w:rPr>
        <w:t xml:space="preserve">البروتوكول </w:t>
      </w:r>
      <w:r w:rsidR="00290218" w:rsidRPr="00564B9D">
        <w:rPr>
          <w:rFonts w:hint="cs"/>
          <w:rtl/>
        </w:rPr>
        <w:t>4</w:t>
      </w:r>
      <w:r w:rsidR="00290218" w:rsidRPr="00564B9D">
        <w:rPr>
          <w:rtl/>
        </w:rPr>
        <w:t xml:space="preserve"> لاتفاقية الأسلحة التقليدية؛</w:t>
      </w:r>
      <w:r w:rsidR="00290218" w:rsidRPr="00564B9D">
        <w:rPr>
          <w:rFonts w:hint="cs"/>
          <w:rtl/>
        </w:rPr>
        <w:t xml:space="preserve"> </w:t>
      </w:r>
      <w:r w:rsidRPr="00564B9D">
        <w:rPr>
          <w:rFonts w:hint="cs"/>
          <w:rtl/>
        </w:rPr>
        <w:t xml:space="preserve">اتفاقية حظر استعمال وتخزين وإنتاج ونقل الألغام المضادة للأفراد وتدمير تلك الألغام؛ </w:t>
      </w:r>
      <w:r w:rsidRPr="00564B9D">
        <w:rPr>
          <w:rtl/>
        </w:rPr>
        <w:t>اتفاقية الألغام الأرضية المضادة للأفراد؛ نظام روما الأساسي للمحكمة الجنائية الدولية؛ اتفاقية الذخائر العنقودية؛ معاهدة تجارة الأسلحة.</w:t>
      </w:r>
    </w:p>
    <w:p w14:paraId="4D92D59E"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المتعلقة بحقوق الإنسان</w:t>
      </w:r>
    </w:p>
    <w:p w14:paraId="1519FDAB" w14:textId="77777777" w:rsidR="00494AE4" w:rsidRPr="00564B9D" w:rsidRDefault="00494AE4" w:rsidP="00494AE4">
      <w:pPr>
        <w:pStyle w:val="SingleTxtGA"/>
        <w:rPr>
          <w:rtl/>
        </w:rPr>
      </w:pPr>
      <w:r w:rsidRPr="00564B9D">
        <w:rPr>
          <w:rFonts w:hint="cs"/>
          <w:rtl/>
        </w:rPr>
        <w:t>32</w:t>
      </w:r>
      <w:r w:rsidRPr="00564B9D">
        <w:rPr>
          <w:rtl/>
        </w:rPr>
        <w:t>-</w:t>
      </w:r>
      <w:r w:rsidRPr="00564B9D">
        <w:rPr>
          <w:rtl/>
        </w:rPr>
        <w:tab/>
      </w:r>
      <w:r w:rsidRPr="00564B9D">
        <w:rPr>
          <w:rFonts w:hint="cs"/>
          <w:rtl/>
        </w:rPr>
        <w:t>صدّقت المملكة المتحدة، بوصفها عضواً في مجلس أوروبا، على صكوك من بينها ما يلي: الاتفاقية الأوروبية لحماية حقوق الإنسان والحريات الأساسية؛ الميثاق الاجتماعي الأوروبي (1961)؛ المدونة الأوروبية للضمان الاجتماعي؛ الاتفاقية الأوروبية بشأن الاعتراف بالشخصية القانونية للمنظمات غير الحكومية الدولية؛ الاتفاقية الأوروبية لمناهضة التعذيب وغيره من ضروب المعاملة أو العقوبة القاسية أو اللاإنسانية أو المهينة؛ الاتفاقية الإطارية لحماية الأقليات القومية؛ الميثاق الأوروبي للغات الإقليمية أو لغات الأقليات؛ اتفاقية مجلس أوروبا بشأن العمل على مكافحة الإتجار بالبشر</w:t>
      </w:r>
      <w:r w:rsidRPr="00564B9D">
        <w:rPr>
          <w:rtl/>
        </w:rPr>
        <w:t>؛ اتفاقية مجلس أوروبا بشأن حماية الأطفال من الاستغلال الجنسي والاعتداء الجنسي</w:t>
      </w:r>
      <w:r w:rsidRPr="00564B9D">
        <w:rPr>
          <w:rFonts w:hint="cs"/>
          <w:rtl/>
        </w:rPr>
        <w:t>.</w:t>
      </w:r>
    </w:p>
    <w:p w14:paraId="212558D9" w14:textId="77777777" w:rsidR="00494AE4" w:rsidRPr="00564B9D" w:rsidRDefault="00494AE4" w:rsidP="00494AE4">
      <w:pPr>
        <w:pStyle w:val="SingleTxtGA"/>
        <w:rPr>
          <w:rtl/>
        </w:rPr>
      </w:pPr>
      <w:r w:rsidRPr="00564B9D">
        <w:rPr>
          <w:rtl/>
        </w:rPr>
        <w:t>33-</w:t>
      </w:r>
      <w:r w:rsidRPr="00564B9D">
        <w:rPr>
          <w:rtl/>
        </w:rPr>
        <w:tab/>
      </w:r>
      <w:r w:rsidRPr="00564B9D">
        <w:rPr>
          <w:rFonts w:hint="cs"/>
          <w:rtl/>
        </w:rPr>
        <w:t>والمملكة المتحدة عضو أيضاً في منظمة الأمن والتعاون في أوروبا التي يشمل نطاق اختصاصها رصد حقوق الإنسان لدى الدول المشاركة</w:t>
      </w:r>
      <w:r w:rsidRPr="00564B9D">
        <w:rPr>
          <w:rtl/>
        </w:rPr>
        <w:t>.</w:t>
      </w:r>
    </w:p>
    <w:p w14:paraId="30CE3A80" w14:textId="77777777" w:rsidR="00494AE4" w:rsidRPr="00564B9D" w:rsidRDefault="00494AE4" w:rsidP="00494AE4">
      <w:pPr>
        <w:pStyle w:val="H1GA"/>
        <w:rPr>
          <w:rtl/>
        </w:rPr>
      </w:pPr>
      <w:r w:rsidRPr="00564B9D">
        <w:rPr>
          <w:rtl/>
        </w:rPr>
        <w:tab/>
      </w:r>
      <w:bookmarkStart w:id="37" w:name="_Toc123044112"/>
      <w:bookmarkStart w:id="38" w:name="_Toc123044335"/>
      <w:bookmarkStart w:id="39" w:name="_Toc123044596"/>
      <w:bookmarkStart w:id="40" w:name="_Toc123044858"/>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168"/>
      </w:r>
      <w:r w:rsidRPr="00564B9D">
        <w:rPr>
          <w:b w:val="0"/>
          <w:bCs w:val="0"/>
          <w:sz w:val="22"/>
          <w:szCs w:val="22"/>
          <w:vertAlign w:val="superscript"/>
          <w:rtl/>
        </w:rPr>
        <w:t>)</w:t>
      </w:r>
      <w:bookmarkEnd w:id="37"/>
      <w:bookmarkEnd w:id="38"/>
      <w:bookmarkEnd w:id="39"/>
      <w:bookmarkEnd w:id="40"/>
      <w:r w:rsidRPr="00564B9D">
        <w:rPr>
          <w:rFonts w:hint="cs"/>
          <w:rtl/>
        </w:rPr>
        <w:t xml:space="preserve"> </w:t>
      </w:r>
    </w:p>
    <w:p w14:paraId="72A706C8" w14:textId="77777777" w:rsidR="00494AE4" w:rsidRPr="00564B9D" w:rsidRDefault="00494AE4" w:rsidP="00494AE4">
      <w:pPr>
        <w:pStyle w:val="SingleTxtGA"/>
        <w:rPr>
          <w:rtl/>
        </w:rPr>
      </w:pPr>
      <w:r w:rsidRPr="00564B9D">
        <w:rPr>
          <w:rFonts w:hint="cs"/>
          <w:rtl/>
        </w:rPr>
        <w:t>34</w:t>
      </w:r>
      <w:r w:rsidRPr="00564B9D">
        <w:rPr>
          <w:rtl/>
        </w:rPr>
        <w:t>-</w:t>
      </w:r>
      <w:r w:rsidRPr="00564B9D">
        <w:rPr>
          <w:rtl/>
        </w:rPr>
        <w:tab/>
      </w:r>
      <w:r w:rsidRPr="00564B9D">
        <w:rPr>
          <w:rFonts w:hint="cs"/>
          <w:rtl/>
        </w:rPr>
        <w:t>لقد تم الاعتراف منذ عهد بعيد بمختلف الحقوق وتمت حمايتها بالتشريعات أو القانون العام، فعلى سبيل المثال، لا تطبق العقوبة إلا بموجب القانون أو إثر صدور حكم من قبل النظراء (الماغنا كارتا لعام 1297</w:t>
      </w:r>
      <w:r w:rsidRPr="00564B9D">
        <w:rPr>
          <w:vertAlign w:val="superscript"/>
          <w:rtl/>
        </w:rPr>
        <w:t>(</w:t>
      </w:r>
      <w:r w:rsidRPr="00564B9D">
        <w:rPr>
          <w:rStyle w:val="FootnoteReference"/>
          <w:rFonts w:cs="Simplified Arabic"/>
          <w:b w:val="0"/>
          <w:sz w:val="22"/>
          <w:szCs w:val="22"/>
          <w:rtl/>
          <w:lang w:val="en-US"/>
        </w:rPr>
        <w:footnoteReference w:id="169"/>
      </w:r>
      <w:r w:rsidRPr="00564B9D">
        <w:rPr>
          <w:vertAlign w:val="superscript"/>
          <w:rtl/>
        </w:rPr>
        <w:t>)</w:t>
      </w:r>
      <w:r w:rsidRPr="00564B9D">
        <w:rPr>
          <w:rFonts w:hint="cs"/>
          <w:rtl/>
        </w:rPr>
        <w:t>، في إنكلترا وويلز)؛ وحق الطعن في احتجاز غير شرعي (قانون المثول أمام المحكمة لعام 1679</w:t>
      </w:r>
      <w:r w:rsidRPr="00564B9D">
        <w:rPr>
          <w:vertAlign w:val="superscript"/>
          <w:rtl/>
        </w:rPr>
        <w:t>(</w:t>
      </w:r>
      <w:r w:rsidRPr="00564B9D">
        <w:rPr>
          <w:rStyle w:val="FootnoteReference"/>
          <w:rFonts w:cs="Simplified Arabic"/>
          <w:b w:val="0"/>
          <w:sz w:val="22"/>
          <w:szCs w:val="22"/>
          <w:rtl/>
          <w:lang w:val="en-US"/>
        </w:rPr>
        <w:footnoteReference w:id="170"/>
      </w:r>
      <w:r w:rsidRPr="00564B9D">
        <w:rPr>
          <w:vertAlign w:val="superscript"/>
          <w:rtl/>
        </w:rPr>
        <w:t>)</w:t>
      </w:r>
      <w:r w:rsidRPr="00564B9D">
        <w:rPr>
          <w:rFonts w:hint="cs"/>
          <w:rtl/>
        </w:rPr>
        <w:t>، في إنكلترا وويلز؛ وقانون المطالبة بالحق لعام 1689</w:t>
      </w:r>
      <w:r w:rsidRPr="00564B9D">
        <w:rPr>
          <w:vertAlign w:val="superscript"/>
          <w:rtl/>
        </w:rPr>
        <w:t>(</w:t>
      </w:r>
      <w:r w:rsidRPr="00564B9D">
        <w:rPr>
          <w:rStyle w:val="FootnoteReference"/>
          <w:rFonts w:cs="Simplified Arabic"/>
          <w:b w:val="0"/>
          <w:sz w:val="22"/>
          <w:szCs w:val="22"/>
          <w:rtl/>
          <w:lang w:val="en-US"/>
        </w:rPr>
        <w:footnoteReference w:id="171"/>
      </w:r>
      <w:r w:rsidRPr="00564B9D">
        <w:rPr>
          <w:vertAlign w:val="superscript"/>
          <w:rtl/>
        </w:rPr>
        <w:t>)</w:t>
      </w:r>
      <w:r w:rsidRPr="00564B9D">
        <w:rPr>
          <w:rFonts w:hint="cs"/>
          <w:rtl/>
        </w:rPr>
        <w:t xml:space="preserve">، وقانون الإجراءات الجنائية </w:t>
      </w:r>
      <w:r w:rsidRPr="00564B9D">
        <w:rPr>
          <w:rFonts w:hint="cs"/>
          <w:rtl/>
        </w:rPr>
        <w:lastRenderedPageBreak/>
        <w:t>لعام 1701</w:t>
      </w:r>
      <w:r w:rsidRPr="00564B9D">
        <w:rPr>
          <w:vertAlign w:val="superscript"/>
          <w:rtl/>
        </w:rPr>
        <w:t>(</w:t>
      </w:r>
      <w:r w:rsidRPr="00564B9D">
        <w:rPr>
          <w:rStyle w:val="FootnoteReference"/>
          <w:rFonts w:cs="Simplified Arabic"/>
          <w:b w:val="0"/>
          <w:sz w:val="22"/>
          <w:szCs w:val="22"/>
          <w:rtl/>
          <w:lang w:val="en-US"/>
        </w:rPr>
        <w:footnoteReference w:id="172"/>
      </w:r>
      <w:r w:rsidRPr="00564B9D">
        <w:rPr>
          <w:vertAlign w:val="superscript"/>
          <w:rtl/>
        </w:rPr>
        <w:t>)</w:t>
      </w:r>
      <w:r w:rsidRPr="00564B9D">
        <w:rPr>
          <w:rFonts w:hint="cs"/>
          <w:rtl/>
        </w:rPr>
        <w:t>، في اسكتلندا)؛ والحق في الملكية الخاصة والدفاع عنها ضد التعدّيات (</w:t>
      </w:r>
      <w:r w:rsidRPr="00564B9D">
        <w:rPr>
          <w:i/>
          <w:iCs/>
        </w:rPr>
        <w:t>Entick v. Carrington &amp; Ors</w:t>
      </w:r>
      <w:r w:rsidRPr="00564B9D">
        <w:t xml:space="preserve"> [1765] EWHC KB J98</w:t>
      </w:r>
      <w:r w:rsidRPr="00564B9D">
        <w:rPr>
          <w:vertAlign w:val="superscript"/>
          <w:rtl/>
        </w:rPr>
        <w:t>(</w:t>
      </w:r>
      <w:r w:rsidRPr="00564B9D">
        <w:rPr>
          <w:rStyle w:val="FootnoteReference"/>
          <w:rFonts w:cs="Simplified Arabic"/>
          <w:b w:val="0"/>
          <w:sz w:val="22"/>
          <w:szCs w:val="22"/>
          <w:rtl/>
          <w:lang w:val="en-US"/>
        </w:rPr>
        <w:footnoteReference w:id="173"/>
      </w:r>
      <w:r w:rsidRPr="00564B9D">
        <w:rPr>
          <w:vertAlign w:val="superscript"/>
          <w:rtl/>
        </w:rPr>
        <w:t>)</w:t>
      </w:r>
      <w:r w:rsidRPr="00564B9D">
        <w:rPr>
          <w:rFonts w:hint="cs"/>
          <w:rtl/>
        </w:rPr>
        <w:t>، في إنكلترا وويلز).</w:t>
      </w:r>
    </w:p>
    <w:p w14:paraId="0CBC0F09" w14:textId="2BBAC002" w:rsidR="00494AE4" w:rsidRPr="00564B9D" w:rsidRDefault="00494AE4" w:rsidP="00494AE4">
      <w:pPr>
        <w:pStyle w:val="SingleTxtGA"/>
        <w:rPr>
          <w:rtl/>
        </w:rPr>
      </w:pPr>
      <w:r w:rsidRPr="00564B9D">
        <w:rPr>
          <w:rFonts w:hint="cs"/>
          <w:rtl/>
        </w:rPr>
        <w:t>35</w:t>
      </w:r>
      <w:r w:rsidRPr="00564B9D">
        <w:rPr>
          <w:rtl/>
        </w:rPr>
        <w:t>-</w:t>
      </w:r>
      <w:r w:rsidRPr="00564B9D">
        <w:rPr>
          <w:rtl/>
        </w:rPr>
        <w:tab/>
      </w:r>
      <w:r w:rsidRPr="00564B9D">
        <w:rPr>
          <w:rFonts w:hint="cs"/>
          <w:rtl/>
        </w:rPr>
        <w:t xml:space="preserve">وقانون حقوق الإنسان لعام 1998، الذي ينطبق على جميع أنحاء المملكة المتحدة، يجعل معظم الحقوق الواردة في الاتفاقية الأوروبية لحماية حقوق الإنسان والحريات الأساسية قابلة للإنفاذ مباشرة في محاكم المملكة المتحدة. وبالإضافة إلى ذلك، يقتضي القانون أن يتم تفسير جميع التشريعات ووضعها موضع التنفيذ على نحو يتفق مع حقوق الاتفاقية الأوروبية لحماية حقوق الإنسان والحريات الأساسية ما أمكن (كما يقتضي من الوزير الحكومي الذي يقدم مشروع قانون إلى البرلمان أن يدلي ببيان بشأن مدى مطابقة مشروع القانون مع الحقوق الواردة في الاتفاقية الأوروبية)؛ ويحرّم القانون على أي سلطة عامة أن تتصرف على نحو لا يتمشى مع حقوق الاتفاقية؛ ويقتضي القانون من المحاكم والمحاكم الإدارية في المملكة المتحدة أن تراعي الأحكام القضائية للمحكمة الأوروبية لحقوق الإنسان التابعة لمجلس أوروبا عند النظر في مسألة تتعلق بالحقوق الواردة في الاتفاقية الأوروبية. وبموجب قانون اسكتلندا لعام 1998 وقانون </w:t>
      </w:r>
      <w:r w:rsidR="000F4858" w:rsidRPr="00564B9D">
        <w:rPr>
          <w:rFonts w:hint="cs"/>
          <w:rtl/>
        </w:rPr>
        <w:t>أيرلندا الشمالية</w:t>
      </w:r>
      <w:r w:rsidRPr="00564B9D">
        <w:rPr>
          <w:rFonts w:hint="cs"/>
          <w:rtl/>
        </w:rPr>
        <w:t xml:space="preserve"> لعام 1998 وقانون حكومة ويلز لعام 2006، لا يمكن للإدارات التي الخاضعة للأيلولة التصرف أو التشريع بشكل مخالف لأحكام الاتفاقية الأوروبية.</w:t>
      </w:r>
    </w:p>
    <w:p w14:paraId="259980CC" w14:textId="54872188" w:rsidR="00494AE4" w:rsidRPr="00564B9D" w:rsidRDefault="00494AE4" w:rsidP="00494AE4">
      <w:pPr>
        <w:pStyle w:val="SingleTxtGA"/>
        <w:rPr>
          <w:rtl/>
        </w:rPr>
      </w:pPr>
      <w:r w:rsidRPr="00564B9D">
        <w:rPr>
          <w:rFonts w:hint="cs"/>
          <w:rtl/>
        </w:rPr>
        <w:t>36</w:t>
      </w:r>
      <w:r w:rsidRPr="00564B9D">
        <w:rPr>
          <w:rtl/>
        </w:rPr>
        <w:t>-</w:t>
      </w:r>
      <w:r w:rsidRPr="00564B9D">
        <w:rPr>
          <w:rtl/>
        </w:rPr>
        <w:tab/>
      </w:r>
      <w:r w:rsidRPr="00564B9D">
        <w:rPr>
          <w:rFonts w:hint="cs"/>
          <w:rtl/>
        </w:rPr>
        <w:t>وهناك تشريع آخر يتعلق بحماية حقوق معينة أو فئات معينة من الحقوق، وعلى سبيل المثال فإن قانون المساواة لعام 2006</w:t>
      </w:r>
      <w:r w:rsidRPr="00564B9D">
        <w:rPr>
          <w:vertAlign w:val="superscript"/>
          <w:rtl/>
        </w:rPr>
        <w:t>(</w:t>
      </w:r>
      <w:r w:rsidRPr="00564B9D">
        <w:rPr>
          <w:rStyle w:val="FootnoteReference"/>
          <w:rFonts w:cs="Simplified Arabic"/>
          <w:b w:val="0"/>
          <w:sz w:val="22"/>
          <w:szCs w:val="22"/>
          <w:rtl/>
          <w:lang w:val="en-US"/>
        </w:rPr>
        <w:footnoteReference w:id="174"/>
      </w:r>
      <w:r w:rsidRPr="00564B9D">
        <w:rPr>
          <w:vertAlign w:val="superscript"/>
          <w:rtl/>
        </w:rPr>
        <w:t>)</w:t>
      </w:r>
      <w:r w:rsidRPr="00564B9D">
        <w:rPr>
          <w:rtl/>
        </w:rPr>
        <w:t xml:space="preserve"> </w:t>
      </w:r>
      <w:r w:rsidRPr="00564B9D">
        <w:rPr>
          <w:rFonts w:hint="cs"/>
          <w:rtl/>
        </w:rPr>
        <w:t>وقانون المساواة لعام 2010</w:t>
      </w:r>
      <w:r w:rsidRPr="00564B9D">
        <w:rPr>
          <w:vertAlign w:val="superscript"/>
          <w:rtl/>
        </w:rPr>
        <w:t>(</w:t>
      </w:r>
      <w:r w:rsidRPr="00564B9D">
        <w:rPr>
          <w:rStyle w:val="FootnoteReference"/>
          <w:rFonts w:cs="Simplified Arabic"/>
          <w:b w:val="0"/>
          <w:sz w:val="22"/>
          <w:szCs w:val="22"/>
          <w:rtl/>
          <w:lang w:val="en-US"/>
        </w:rPr>
        <w:footnoteReference w:id="175"/>
      </w:r>
      <w:r w:rsidRPr="00564B9D">
        <w:rPr>
          <w:vertAlign w:val="superscript"/>
          <w:rtl/>
        </w:rPr>
        <w:t>)</w:t>
      </w:r>
      <w:r w:rsidRPr="00564B9D">
        <w:rPr>
          <w:rtl/>
        </w:rPr>
        <w:t xml:space="preserve"> </w:t>
      </w:r>
      <w:r w:rsidRPr="00564B9D">
        <w:rPr>
          <w:rFonts w:hint="cs"/>
          <w:rtl/>
        </w:rPr>
        <w:t>(في إنكلترا وويلز واسكتلندا) يعززان تدابير مناهضة التمييز (انظر أيضاً القسم ثالثاً أدناه: "معلومات عن عدم التمييز والمساواة وسبل الانتصاف الفعالة")؛ أما القوانين التي تعزز حقوق الإعلام فهي قانون حماية البيانات لعام 1998</w:t>
      </w:r>
      <w:r w:rsidRPr="00564B9D">
        <w:rPr>
          <w:vertAlign w:val="superscript"/>
          <w:rtl/>
        </w:rPr>
        <w:t>(</w:t>
      </w:r>
      <w:r w:rsidRPr="00564B9D">
        <w:rPr>
          <w:rStyle w:val="FootnoteReference"/>
          <w:rFonts w:cs="Simplified Arabic"/>
          <w:b w:val="0"/>
          <w:sz w:val="22"/>
          <w:szCs w:val="22"/>
          <w:rtl/>
          <w:lang w:val="en-US"/>
        </w:rPr>
        <w:footnoteReference w:id="176"/>
      </w:r>
      <w:r w:rsidRPr="00564B9D">
        <w:rPr>
          <w:vertAlign w:val="superscript"/>
          <w:rtl/>
        </w:rPr>
        <w:t>)</w:t>
      </w:r>
      <w:r w:rsidRPr="00564B9D">
        <w:rPr>
          <w:rtl/>
        </w:rPr>
        <w:t xml:space="preserve"> </w:t>
      </w:r>
      <w:r w:rsidRPr="00564B9D">
        <w:rPr>
          <w:rFonts w:hint="cs"/>
          <w:rtl/>
        </w:rPr>
        <w:t>(في المملكة المتحدة بأكملها)، وقانون حرية الإعلام لعام 2000</w:t>
      </w:r>
      <w:r w:rsidRPr="00564B9D">
        <w:rPr>
          <w:vertAlign w:val="superscript"/>
          <w:rtl/>
        </w:rPr>
        <w:t>(</w:t>
      </w:r>
      <w:r w:rsidRPr="00564B9D">
        <w:rPr>
          <w:rStyle w:val="FootnoteReference"/>
          <w:rFonts w:cs="Simplified Arabic"/>
          <w:b w:val="0"/>
          <w:sz w:val="22"/>
          <w:szCs w:val="22"/>
          <w:rtl/>
          <w:lang w:val="en-US"/>
        </w:rPr>
        <w:footnoteReference w:id="177"/>
      </w:r>
      <w:r w:rsidRPr="00564B9D">
        <w:rPr>
          <w:vertAlign w:val="superscript"/>
          <w:rtl/>
        </w:rPr>
        <w:t>)</w:t>
      </w:r>
      <w:r w:rsidRPr="00564B9D">
        <w:rPr>
          <w:rtl/>
        </w:rPr>
        <w:t xml:space="preserve"> </w:t>
      </w:r>
      <w:r w:rsidRPr="00564B9D">
        <w:rPr>
          <w:rFonts w:hint="cs"/>
          <w:rtl/>
        </w:rPr>
        <w:t>(في إنكلترا وويلز و</w:t>
      </w:r>
      <w:r w:rsidR="000F4858" w:rsidRPr="00564B9D">
        <w:rPr>
          <w:rFonts w:hint="cs"/>
          <w:rtl/>
        </w:rPr>
        <w:t>أيرلندا الشمالية</w:t>
      </w:r>
      <w:r w:rsidRPr="00564B9D">
        <w:rPr>
          <w:rFonts w:hint="cs"/>
          <w:rtl/>
        </w:rPr>
        <w:t>)، وقانون حرية الإعلام (اسكتلندا) لعام 2002</w:t>
      </w:r>
      <w:r w:rsidRPr="00564B9D">
        <w:rPr>
          <w:vertAlign w:val="superscript"/>
          <w:rtl/>
        </w:rPr>
        <w:t>(</w:t>
      </w:r>
      <w:r w:rsidRPr="00564B9D">
        <w:rPr>
          <w:rStyle w:val="FootnoteReference"/>
          <w:rFonts w:cs="Simplified Arabic"/>
          <w:b w:val="0"/>
          <w:sz w:val="22"/>
          <w:szCs w:val="22"/>
          <w:rtl/>
          <w:lang w:val="en-US"/>
        </w:rPr>
        <w:footnoteReference w:id="178"/>
      </w:r>
      <w:r w:rsidRPr="00564B9D">
        <w:rPr>
          <w:vertAlign w:val="superscript"/>
          <w:rtl/>
        </w:rPr>
        <w:t>)</w:t>
      </w:r>
      <w:r w:rsidRPr="00564B9D">
        <w:rPr>
          <w:rtl/>
        </w:rPr>
        <w:t xml:space="preserve"> </w:t>
      </w:r>
      <w:r w:rsidRPr="00564B9D">
        <w:rPr>
          <w:rFonts w:hint="cs"/>
          <w:rtl/>
        </w:rPr>
        <w:t>(في اسكتلندا).</w:t>
      </w:r>
    </w:p>
    <w:p w14:paraId="0CEED240" w14:textId="289CB498" w:rsidR="00494AE4" w:rsidRPr="00564B9D" w:rsidRDefault="00494AE4" w:rsidP="00494AE4">
      <w:pPr>
        <w:pStyle w:val="SingleTxtGA"/>
        <w:rPr>
          <w:rtl/>
        </w:rPr>
      </w:pPr>
      <w:r w:rsidRPr="00564B9D">
        <w:rPr>
          <w:rFonts w:hint="cs"/>
          <w:rtl/>
        </w:rPr>
        <w:t>37</w:t>
      </w:r>
      <w:r w:rsidRPr="00564B9D">
        <w:rPr>
          <w:rtl/>
        </w:rPr>
        <w:t>-</w:t>
      </w:r>
      <w:r w:rsidRPr="00564B9D">
        <w:rPr>
          <w:rtl/>
        </w:rPr>
        <w:tab/>
      </w:r>
      <w:r w:rsidRPr="00564B9D">
        <w:rPr>
          <w:rFonts w:hint="cs"/>
          <w:rtl/>
        </w:rPr>
        <w:t>وهناك آليات لتوفير المساعدة القانونية وتيسير الوصول إلى نظام العدالة في إنكلترا وويلز، من خلال الوكالة المعنية بالمساعدة القانونية</w:t>
      </w:r>
      <w:r w:rsidRPr="00564B9D">
        <w:rPr>
          <w:vertAlign w:val="superscript"/>
          <w:rtl/>
        </w:rPr>
        <w:t>(</w:t>
      </w:r>
      <w:r w:rsidRPr="00564B9D">
        <w:rPr>
          <w:rStyle w:val="FootnoteReference"/>
          <w:rFonts w:cs="Simplified Arabic"/>
          <w:b w:val="0"/>
          <w:sz w:val="22"/>
          <w:szCs w:val="22"/>
          <w:rtl/>
          <w:lang w:val="en-US"/>
        </w:rPr>
        <w:footnoteReference w:id="179"/>
      </w:r>
      <w:r w:rsidRPr="00564B9D">
        <w:rPr>
          <w:vertAlign w:val="superscript"/>
          <w:rtl/>
        </w:rPr>
        <w:t>)</w:t>
      </w:r>
      <w:r w:rsidRPr="00564B9D">
        <w:rPr>
          <w:rFonts w:hint="cs"/>
          <w:rtl/>
        </w:rPr>
        <w:t>؛ وفي اسكتلندا، من خلال مجلس المساعدة القانونية الاسكتلندي</w:t>
      </w:r>
      <w:r w:rsidRPr="00564B9D">
        <w:rPr>
          <w:vertAlign w:val="superscript"/>
          <w:rtl/>
        </w:rPr>
        <w:t>(</w:t>
      </w:r>
      <w:r w:rsidRPr="00564B9D">
        <w:rPr>
          <w:rStyle w:val="FootnoteReference"/>
          <w:rFonts w:cs="Simplified Arabic"/>
          <w:b w:val="0"/>
          <w:sz w:val="22"/>
          <w:szCs w:val="22"/>
          <w:rtl/>
          <w:lang w:val="en-US"/>
        </w:rPr>
        <w:footnoteReference w:id="180"/>
      </w:r>
      <w:r w:rsidRPr="00564B9D">
        <w:rPr>
          <w:vertAlign w:val="superscript"/>
          <w:rtl/>
        </w:rPr>
        <w:t>)</w:t>
      </w:r>
      <w:r w:rsidRPr="00564B9D">
        <w:rPr>
          <w:rFonts w:hint="cs"/>
          <w:rtl/>
        </w:rPr>
        <w:t>؛ وفي </w:t>
      </w:r>
      <w:r w:rsidR="000F4858" w:rsidRPr="00564B9D">
        <w:rPr>
          <w:rFonts w:hint="cs"/>
          <w:rtl/>
        </w:rPr>
        <w:t>أيرلندا الشمالية</w:t>
      </w:r>
      <w:r w:rsidRPr="00564B9D">
        <w:rPr>
          <w:rFonts w:hint="cs"/>
          <w:rtl/>
        </w:rPr>
        <w:t xml:space="preserve">، من خلال لجنة الخدمات القانونية في </w:t>
      </w:r>
      <w:r w:rsidR="000F4858" w:rsidRPr="00564B9D">
        <w:rPr>
          <w:rFonts w:hint="cs"/>
          <w:rtl/>
        </w:rPr>
        <w:t>أيرلندا الشمالية</w:t>
      </w:r>
      <w:r w:rsidRPr="00564B9D">
        <w:rPr>
          <w:vertAlign w:val="superscript"/>
          <w:rtl/>
        </w:rPr>
        <w:t>(</w:t>
      </w:r>
      <w:r w:rsidRPr="00564B9D">
        <w:rPr>
          <w:rStyle w:val="FootnoteReference"/>
          <w:rFonts w:cs="Simplified Arabic"/>
          <w:b w:val="0"/>
          <w:sz w:val="22"/>
          <w:szCs w:val="22"/>
          <w:rtl/>
          <w:lang w:val="en-US"/>
        </w:rPr>
        <w:footnoteReference w:id="181"/>
      </w:r>
      <w:r w:rsidRPr="00564B9D">
        <w:rPr>
          <w:vertAlign w:val="superscript"/>
          <w:rtl/>
        </w:rPr>
        <w:t>)</w:t>
      </w:r>
      <w:r w:rsidRPr="00564B9D">
        <w:rPr>
          <w:rFonts w:hint="cs"/>
          <w:rtl/>
        </w:rPr>
        <w:t xml:space="preserve">. ويمكن أن تشمل المساعدة القانونية ما يلي: المساعدة القانونية (تقديم المشورة بشأن الحقوق والأعمال الورقية)، والمساعدة في المحكمة، والوساطة العائلية، والتمثيل القانوني. وتختلف عملية تحديد أهلية الفرد للحصول على المساعدة القانونية المدنية (في القضايا المدنية) عن عملية تحديد أهليته للحصول على المساعدة القانونية الجنائية (في القضايا الجنائية). ففي حالة المساعدة القانونية المدنية، يجب أن يكون دخل الشخص ورأسماله ضمن حدود معينة (اختبار الإمكانات المادية) ويجب أن تتاح أمام دعواه فرصة معقولة </w:t>
      </w:r>
      <w:r w:rsidRPr="00564B9D">
        <w:rPr>
          <w:rFonts w:hint="cs"/>
          <w:rtl/>
        </w:rPr>
        <w:lastRenderedPageBreak/>
        <w:t>للفوز (اختبار الجدارة). أما فيما يتعلق بالمساعدة القانونية الجنائية، فتؤخذ الإمكانات المالية أيضاً في الاعتبار ولكن بطريقة مختلفة؛ بالإضافة إلى ذلك، يلاحظ أنه كلما ازدادت خطورة التهمة - والتبعات المحتملة - تعزز احتمال أهلية الشخص للحصول على المساعدة القانونية الجنائية (اختبار مصلحة</w:t>
      </w:r>
      <w:r w:rsidR="00290218" w:rsidRPr="00564B9D">
        <w:rPr>
          <w:rFonts w:hint="eastAsia"/>
          <w:rtl/>
        </w:rPr>
        <w:t> </w:t>
      </w:r>
      <w:r w:rsidRPr="00564B9D">
        <w:rPr>
          <w:rFonts w:hint="cs"/>
          <w:rtl/>
        </w:rPr>
        <w:t>العدالة).</w:t>
      </w:r>
    </w:p>
    <w:p w14:paraId="4104A74F" w14:textId="77777777" w:rsidR="00494AE4" w:rsidRPr="00564B9D" w:rsidRDefault="00494AE4" w:rsidP="00494AE4">
      <w:pPr>
        <w:pStyle w:val="SingleTxtGA"/>
        <w:rPr>
          <w:rtl/>
        </w:rPr>
      </w:pPr>
      <w:r w:rsidRPr="00564B9D">
        <w:rPr>
          <w:rFonts w:hint="cs"/>
          <w:rtl/>
        </w:rPr>
        <w:t>38</w:t>
      </w:r>
      <w:r w:rsidRPr="00564B9D">
        <w:rPr>
          <w:rtl/>
        </w:rPr>
        <w:t>-</w:t>
      </w:r>
      <w:r w:rsidRPr="00564B9D">
        <w:rPr>
          <w:rtl/>
        </w:rPr>
        <w:tab/>
      </w:r>
      <w:r w:rsidRPr="00564B9D">
        <w:rPr>
          <w:rFonts w:hint="cs"/>
          <w:rtl/>
        </w:rPr>
        <w:t>وفي نهاية المطاف، يمكن للأشخاص أو المنظمات التي ترى أن حقوقها الواردة في الاتفاقية الأوروبية قد انتهكت من قبل المملكة المتحدة التقدم بطلب إلى المحكمة الأوروبية لحقوق الإنسان التابعة لمجلس أوروبا، شريطة أن: تكون قد استنفدت جميع سبل الانتصاف المحلية في المملكة المتحدة؛ وأن تتقدم بالطلب في غضون ستة أشهر من تاريخ اتخاذ القرار النهائي؛ وأن لا يكون قد لحق بها أذى كبير؛ وأن لا يكون طلبها مستنداً إلى أساس خاطئ بشكل جلي.</w:t>
      </w:r>
    </w:p>
    <w:p w14:paraId="6A93552B" w14:textId="56694DA1" w:rsidR="00494AE4" w:rsidRPr="00564B9D" w:rsidRDefault="00494AE4" w:rsidP="00494AE4">
      <w:pPr>
        <w:pStyle w:val="SingleTxtGA"/>
        <w:rPr>
          <w:rtl/>
        </w:rPr>
      </w:pPr>
      <w:r w:rsidRPr="00564B9D">
        <w:rPr>
          <w:rFonts w:hint="cs"/>
          <w:rtl/>
        </w:rPr>
        <w:t>39</w:t>
      </w:r>
      <w:r w:rsidRPr="00564B9D">
        <w:rPr>
          <w:rtl/>
        </w:rPr>
        <w:t>-</w:t>
      </w:r>
      <w:r w:rsidRPr="00564B9D">
        <w:rPr>
          <w:rtl/>
        </w:rPr>
        <w:tab/>
      </w:r>
      <w:r w:rsidRPr="00564B9D">
        <w:rPr>
          <w:rFonts w:hint="cs"/>
          <w:rtl/>
        </w:rPr>
        <w:t>وتقوم اللجنة المشتركة المعنية بحقوق الإنسان</w:t>
      </w:r>
      <w:r w:rsidRPr="00564B9D">
        <w:rPr>
          <w:vertAlign w:val="superscript"/>
          <w:rtl/>
        </w:rPr>
        <w:t>(</w:t>
      </w:r>
      <w:r w:rsidRPr="00564B9D">
        <w:rPr>
          <w:rStyle w:val="FootnoteReference"/>
          <w:rFonts w:cs="Simplified Arabic"/>
          <w:b w:val="0"/>
          <w:sz w:val="22"/>
          <w:szCs w:val="22"/>
          <w:rtl/>
          <w:lang w:val="en-US"/>
        </w:rPr>
        <w:footnoteReference w:id="182"/>
      </w:r>
      <w:r w:rsidRPr="00564B9D">
        <w:rPr>
          <w:vertAlign w:val="superscript"/>
          <w:rtl/>
        </w:rPr>
        <w:t>)</w:t>
      </w:r>
      <w:r w:rsidRPr="00564B9D">
        <w:rPr>
          <w:rFonts w:hint="cs"/>
          <w:rtl/>
        </w:rPr>
        <w:t xml:space="preserve"> بأدوار من بينها رصد امتثال السلطة التنفيذية لحقوق الإنسان من خلال إجراء تحقيقات بشأن قضايا حقوق الإنسان وتقديم تقارير بالنتائج والتوصيات التي تتوصل إليها إلى برلمان المملكة المتحدة. كما تعمل مؤسسات حقوق الإنسان الوطنية ولجنة المساواة في </w:t>
      </w:r>
      <w:r w:rsidR="000F4858" w:rsidRPr="00564B9D">
        <w:rPr>
          <w:rFonts w:hint="cs"/>
          <w:rtl/>
        </w:rPr>
        <w:t>أيرلندا الشمالية</w:t>
      </w:r>
      <w:r w:rsidRPr="00564B9D">
        <w:rPr>
          <w:rFonts w:hint="cs"/>
          <w:rtl/>
        </w:rPr>
        <w:t xml:space="preserve"> على رصد امتثال السلطة التنفيذية لحقوق الإنسان على مستوى المملكة المتحدة ومستوى السلطة المفوضة. وقد وضعت آليات مختلفة من أجل رصد حقوق معينة، مثلاً: بشأن حقوق الطفل، والمفوضين المعنيين بالأطفال في إنكلترا</w:t>
      </w:r>
      <w:r w:rsidRPr="00564B9D">
        <w:rPr>
          <w:vertAlign w:val="superscript"/>
          <w:rtl/>
        </w:rPr>
        <w:t>(</w:t>
      </w:r>
      <w:r w:rsidRPr="00564B9D">
        <w:rPr>
          <w:rStyle w:val="FootnoteReference"/>
          <w:rFonts w:cs="Simplified Arabic"/>
          <w:b w:val="0"/>
          <w:sz w:val="22"/>
          <w:szCs w:val="22"/>
          <w:rtl/>
          <w:lang w:val="en-US"/>
        </w:rPr>
        <w:footnoteReference w:id="183"/>
      </w:r>
      <w:r w:rsidRPr="00564B9D">
        <w:rPr>
          <w:vertAlign w:val="superscript"/>
          <w:rtl/>
        </w:rPr>
        <w:t>)</w:t>
      </w:r>
      <w:r w:rsidRPr="00564B9D">
        <w:rPr>
          <w:rFonts w:hint="cs"/>
          <w:rtl/>
        </w:rPr>
        <w:t xml:space="preserve"> وويلز</w:t>
      </w:r>
      <w:r w:rsidRPr="00564B9D">
        <w:rPr>
          <w:vertAlign w:val="superscript"/>
          <w:rtl/>
        </w:rPr>
        <w:t>(</w:t>
      </w:r>
      <w:r w:rsidRPr="00564B9D">
        <w:rPr>
          <w:rStyle w:val="FootnoteReference"/>
          <w:rFonts w:cs="Simplified Arabic"/>
          <w:b w:val="0"/>
          <w:sz w:val="22"/>
          <w:szCs w:val="22"/>
          <w:rtl/>
          <w:lang w:val="en-US"/>
        </w:rPr>
        <w:footnoteReference w:id="184"/>
      </w:r>
      <w:r w:rsidRPr="00564B9D">
        <w:rPr>
          <w:vertAlign w:val="superscript"/>
          <w:rtl/>
        </w:rPr>
        <w:t>)</w:t>
      </w:r>
      <w:r w:rsidRPr="00564B9D">
        <w:rPr>
          <w:rFonts w:hint="cs"/>
          <w:rtl/>
        </w:rPr>
        <w:t xml:space="preserve"> واسكتلندا</w:t>
      </w:r>
      <w:r w:rsidRPr="00564B9D">
        <w:rPr>
          <w:vertAlign w:val="superscript"/>
          <w:rtl/>
        </w:rPr>
        <w:t>(</w:t>
      </w:r>
      <w:r w:rsidRPr="00564B9D">
        <w:rPr>
          <w:rStyle w:val="FootnoteReference"/>
          <w:rFonts w:cs="Simplified Arabic"/>
          <w:b w:val="0"/>
          <w:sz w:val="22"/>
          <w:szCs w:val="22"/>
          <w:rtl/>
          <w:lang w:val="en-US"/>
        </w:rPr>
        <w:footnoteReference w:id="185"/>
      </w:r>
      <w:r w:rsidRPr="00564B9D">
        <w:rPr>
          <w:vertAlign w:val="superscript"/>
          <w:rtl/>
        </w:rPr>
        <w:t>)</w:t>
      </w:r>
      <w:r w:rsidRPr="00564B9D">
        <w:rPr>
          <w:rFonts w:hint="cs"/>
          <w:rtl/>
        </w:rPr>
        <w:t xml:space="preserve"> و</w:t>
      </w:r>
      <w:r w:rsidR="000F4858" w:rsidRPr="00564B9D">
        <w:rPr>
          <w:rFonts w:hint="cs"/>
          <w:rtl/>
        </w:rPr>
        <w:t>أيرلندا الشمالية</w:t>
      </w:r>
      <w:r w:rsidRPr="00564B9D">
        <w:rPr>
          <w:vertAlign w:val="superscript"/>
          <w:rtl/>
        </w:rPr>
        <w:t>(</w:t>
      </w:r>
      <w:r w:rsidRPr="00564B9D">
        <w:rPr>
          <w:rStyle w:val="FootnoteReference"/>
          <w:rFonts w:cs="Simplified Arabic"/>
          <w:b w:val="0"/>
          <w:sz w:val="22"/>
          <w:szCs w:val="22"/>
          <w:rtl/>
          <w:lang w:val="en-US"/>
        </w:rPr>
        <w:footnoteReference w:id="186"/>
      </w:r>
      <w:r w:rsidRPr="00564B9D">
        <w:rPr>
          <w:vertAlign w:val="superscript"/>
          <w:rtl/>
        </w:rPr>
        <w:t>)</w:t>
      </w:r>
      <w:r w:rsidRPr="00564B9D">
        <w:rPr>
          <w:rFonts w:hint="cs"/>
          <w:rtl/>
        </w:rPr>
        <w:t>؛ وبشأن حقوق الإعلام</w:t>
      </w:r>
      <w:r w:rsidRPr="00564B9D">
        <w:rPr>
          <w:vertAlign w:val="superscript"/>
          <w:rtl/>
        </w:rPr>
        <w:t>(</w:t>
      </w:r>
      <w:r w:rsidRPr="00564B9D">
        <w:rPr>
          <w:rStyle w:val="FootnoteReference"/>
          <w:rFonts w:cs="Simplified Arabic"/>
          <w:b w:val="0"/>
          <w:sz w:val="22"/>
          <w:szCs w:val="22"/>
          <w:rtl/>
          <w:lang w:val="en-US"/>
        </w:rPr>
        <w:footnoteReference w:id="187"/>
      </w:r>
      <w:r w:rsidRPr="00564B9D">
        <w:rPr>
          <w:vertAlign w:val="superscript"/>
          <w:rtl/>
        </w:rPr>
        <w:t>)</w:t>
      </w:r>
      <w:r w:rsidRPr="00564B9D">
        <w:rPr>
          <w:rFonts w:hint="cs"/>
          <w:rtl/>
        </w:rPr>
        <w:t>، والمفوض الإعلامي الاسكتلندي</w:t>
      </w:r>
      <w:r w:rsidRPr="00564B9D">
        <w:rPr>
          <w:vertAlign w:val="superscript"/>
          <w:rtl/>
        </w:rPr>
        <w:t>(</w:t>
      </w:r>
      <w:r w:rsidRPr="00564B9D">
        <w:rPr>
          <w:rStyle w:val="FootnoteReference"/>
          <w:rFonts w:cs="Simplified Arabic"/>
          <w:b w:val="0"/>
          <w:sz w:val="22"/>
          <w:szCs w:val="22"/>
          <w:rtl/>
          <w:lang w:val="en-US"/>
        </w:rPr>
        <w:footnoteReference w:id="188"/>
      </w:r>
      <w:r w:rsidRPr="00564B9D">
        <w:rPr>
          <w:vertAlign w:val="superscript"/>
          <w:rtl/>
        </w:rPr>
        <w:t>)</w:t>
      </w:r>
      <w:r w:rsidRPr="00564B9D">
        <w:rPr>
          <w:rFonts w:hint="cs"/>
          <w:rtl/>
        </w:rPr>
        <w:t>.</w:t>
      </w:r>
    </w:p>
    <w:p w14:paraId="313739CC" w14:textId="77777777" w:rsidR="00494AE4" w:rsidRPr="00564B9D" w:rsidRDefault="00494AE4" w:rsidP="00494AE4">
      <w:pPr>
        <w:pStyle w:val="H1GA"/>
        <w:rPr>
          <w:rtl/>
        </w:rPr>
      </w:pPr>
      <w:r w:rsidRPr="00564B9D">
        <w:rPr>
          <w:rtl/>
        </w:rPr>
        <w:tab/>
      </w:r>
      <w:bookmarkStart w:id="41" w:name="_Toc123044113"/>
      <w:bookmarkStart w:id="42" w:name="_Toc123044336"/>
      <w:bookmarkStart w:id="43" w:name="_Toc123044597"/>
      <w:bookmarkStart w:id="44" w:name="_Toc123044859"/>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41"/>
      <w:bookmarkEnd w:id="42"/>
      <w:bookmarkEnd w:id="43"/>
      <w:bookmarkEnd w:id="44"/>
    </w:p>
    <w:p w14:paraId="2EB12585" w14:textId="2590EA91" w:rsidR="00494AE4" w:rsidRPr="00564B9D" w:rsidRDefault="00494AE4" w:rsidP="00494AE4">
      <w:pPr>
        <w:pStyle w:val="SingleTxtGA"/>
        <w:rPr>
          <w:rtl/>
        </w:rPr>
      </w:pPr>
      <w:r w:rsidRPr="00564B9D">
        <w:rPr>
          <w:rFonts w:hint="cs"/>
          <w:rtl/>
        </w:rPr>
        <w:t>40</w:t>
      </w:r>
      <w:r w:rsidRPr="00564B9D">
        <w:rPr>
          <w:rtl/>
        </w:rPr>
        <w:t>-</w:t>
      </w:r>
      <w:r w:rsidRPr="00564B9D">
        <w:rPr>
          <w:rtl/>
        </w:rPr>
        <w:tab/>
      </w:r>
      <w:r w:rsidRPr="00564B9D">
        <w:rPr>
          <w:rFonts w:hint="cs"/>
          <w:rtl/>
        </w:rPr>
        <w:t xml:space="preserve">كما أشير إليه أعلاه، تؤدي اللجنة المشتركة المعنية بحقوق الإنسان ومؤسسات حقوق الإنسان الوطنية ولجنة المساواة في </w:t>
      </w:r>
      <w:r w:rsidR="000F4858" w:rsidRPr="00564B9D">
        <w:rPr>
          <w:rFonts w:hint="cs"/>
          <w:rtl/>
        </w:rPr>
        <w:t>أيرلندا الشمالية</w:t>
      </w:r>
      <w:r w:rsidRPr="00564B9D">
        <w:rPr>
          <w:rFonts w:hint="cs"/>
          <w:rtl/>
        </w:rPr>
        <w:t>، إلى جانب عدد كبير من المنظمات غير الحكومية، دوراً رئيسياً في تعزيز حقوق الإنسان في جميع أنحاء المملكة المتحدة. وبوجه خاص، تضطلع لجنة المساواة وحقوق الإنسان بموجب الفرع 9 من قانون المساواة لعام 2006 بواجب قانوني يتمثل بتعزيز الوعي بحقوق الإنسان وفهمها وحمايتها؛ وللجنة حقوق الإنسان في اسكتلندا واجب قانوني مماثل بموجب الفرع 2 من قانون لجنة حقوق الإنسان في اسكتلندا لعام 2006</w:t>
      </w:r>
      <w:r w:rsidRPr="00564B9D">
        <w:rPr>
          <w:vertAlign w:val="superscript"/>
          <w:rtl/>
        </w:rPr>
        <w:t>(</w:t>
      </w:r>
      <w:r w:rsidRPr="00564B9D">
        <w:rPr>
          <w:rStyle w:val="FootnoteReference"/>
          <w:rFonts w:cs="Simplified Arabic"/>
          <w:b w:val="0"/>
          <w:sz w:val="22"/>
          <w:szCs w:val="22"/>
          <w:rtl/>
          <w:lang w:val="en-US"/>
        </w:rPr>
        <w:footnoteReference w:id="189"/>
      </w:r>
      <w:r w:rsidRPr="00564B9D">
        <w:rPr>
          <w:vertAlign w:val="superscript"/>
          <w:rtl/>
        </w:rPr>
        <w:t>)</w:t>
      </w:r>
      <w:r w:rsidRPr="00564B9D">
        <w:rPr>
          <w:rFonts w:hint="cs"/>
          <w:rtl/>
        </w:rPr>
        <w:t xml:space="preserve">، وكذلك لجنة حقوق الإنسان في </w:t>
      </w:r>
      <w:r w:rsidR="000F4858" w:rsidRPr="00564B9D">
        <w:rPr>
          <w:rFonts w:hint="cs"/>
          <w:rtl/>
        </w:rPr>
        <w:t>أيرلندا الشمالية</w:t>
      </w:r>
      <w:r w:rsidRPr="00564B9D">
        <w:rPr>
          <w:rFonts w:hint="cs"/>
          <w:rtl/>
        </w:rPr>
        <w:t xml:space="preserve"> بموجب الفرع 69 من قانون </w:t>
      </w:r>
      <w:r w:rsidR="000F4858" w:rsidRPr="00564B9D">
        <w:rPr>
          <w:rFonts w:hint="cs"/>
          <w:rtl/>
        </w:rPr>
        <w:t>أيرلندا الشمالية</w:t>
      </w:r>
      <w:r w:rsidRPr="00564B9D">
        <w:rPr>
          <w:rFonts w:hint="cs"/>
          <w:rtl/>
        </w:rPr>
        <w:t xml:space="preserve"> لعام 1998. </w:t>
      </w:r>
    </w:p>
    <w:p w14:paraId="5CF9340F" w14:textId="249D77E7" w:rsidR="00494AE4" w:rsidRPr="00564B9D" w:rsidRDefault="00494AE4" w:rsidP="00494AE4">
      <w:pPr>
        <w:pStyle w:val="SingleTxtGA"/>
        <w:rPr>
          <w:rtl/>
        </w:rPr>
      </w:pPr>
      <w:r w:rsidRPr="00564B9D">
        <w:rPr>
          <w:rFonts w:hint="cs"/>
          <w:rtl/>
        </w:rPr>
        <w:t>41</w:t>
      </w:r>
      <w:r w:rsidRPr="00564B9D">
        <w:rPr>
          <w:rtl/>
        </w:rPr>
        <w:t>-</w:t>
      </w:r>
      <w:r w:rsidRPr="00564B9D">
        <w:rPr>
          <w:rtl/>
        </w:rPr>
        <w:tab/>
      </w:r>
      <w:r w:rsidRPr="00564B9D">
        <w:rPr>
          <w:rFonts w:hint="cs"/>
          <w:rtl/>
        </w:rPr>
        <w:t>و</w:t>
      </w:r>
      <w:r w:rsidRPr="00564B9D">
        <w:rPr>
          <w:rtl/>
        </w:rPr>
        <w:t xml:space="preserve">تمول حكومة المملكة المتحدة </w:t>
      </w:r>
      <w:r w:rsidRPr="00564B9D">
        <w:rPr>
          <w:rFonts w:hint="cs"/>
          <w:rtl/>
        </w:rPr>
        <w:t>دائرة</w:t>
      </w:r>
      <w:r w:rsidRPr="00564B9D">
        <w:rPr>
          <w:rtl/>
        </w:rPr>
        <w:t xml:space="preserve"> الاستشارة والدعم </w:t>
      </w:r>
      <w:r w:rsidRPr="00564B9D">
        <w:rPr>
          <w:rFonts w:hint="cs"/>
          <w:rtl/>
        </w:rPr>
        <w:t>فيما يتعلق با</w:t>
      </w:r>
      <w:r w:rsidRPr="00564B9D">
        <w:rPr>
          <w:rtl/>
        </w:rPr>
        <w:t>لمساواة</w:t>
      </w:r>
      <w:r w:rsidRPr="00564B9D">
        <w:rPr>
          <w:vertAlign w:val="superscript"/>
          <w:rtl/>
        </w:rPr>
        <w:t>(</w:t>
      </w:r>
      <w:r w:rsidRPr="00564B9D">
        <w:rPr>
          <w:rStyle w:val="FootnoteReference"/>
          <w:rFonts w:cs="Simplified Arabic"/>
          <w:b w:val="0"/>
          <w:sz w:val="22"/>
          <w:szCs w:val="22"/>
          <w:rtl/>
          <w:lang w:val="en-US"/>
        </w:rPr>
        <w:footnoteReference w:id="190"/>
      </w:r>
      <w:r w:rsidRPr="00564B9D">
        <w:rPr>
          <w:vertAlign w:val="superscript"/>
          <w:rtl/>
        </w:rPr>
        <w:t>)</w:t>
      </w:r>
      <w:r w:rsidRPr="00564B9D">
        <w:rPr>
          <w:rtl/>
        </w:rPr>
        <w:t xml:space="preserve">، التي توفر موقعاً على الإنترنت وخطاً هاتفياً للمساعدة للحصول على المشورة بشأن قضايا حقوق الإنسان والمساواة في جميع أنحاء </w:t>
      </w:r>
      <w:r w:rsidRPr="00564B9D">
        <w:rPr>
          <w:rFonts w:hint="cs"/>
          <w:rtl/>
        </w:rPr>
        <w:t xml:space="preserve">إنكلترا </w:t>
      </w:r>
      <w:r w:rsidRPr="00564B9D">
        <w:rPr>
          <w:rtl/>
        </w:rPr>
        <w:t>واسكتلندا وويلز</w:t>
      </w:r>
      <w:r w:rsidRPr="00564B9D">
        <w:rPr>
          <w:rFonts w:hint="cs"/>
          <w:rtl/>
        </w:rPr>
        <w:t xml:space="preserve">. </w:t>
      </w:r>
      <w:r w:rsidRPr="00564B9D">
        <w:rPr>
          <w:rtl/>
        </w:rPr>
        <w:t xml:space="preserve">تقدم المؤسسات الوطنية لحقوق الإنسان أيضاً إرشادات في </w:t>
      </w:r>
      <w:r w:rsidRPr="00564B9D">
        <w:rPr>
          <w:rFonts w:hint="cs"/>
          <w:rtl/>
        </w:rPr>
        <w:t xml:space="preserve">إنكلترا </w:t>
      </w:r>
      <w:r w:rsidRPr="00564B9D">
        <w:rPr>
          <w:rtl/>
        </w:rPr>
        <w:lastRenderedPageBreak/>
        <w:t>واسكتلندا وويلز و</w:t>
      </w:r>
      <w:r w:rsidR="000F4858" w:rsidRPr="00564B9D">
        <w:rPr>
          <w:rtl/>
        </w:rPr>
        <w:t>أيرلندا الشمالية</w:t>
      </w:r>
      <w:r w:rsidRPr="00564B9D">
        <w:rPr>
          <w:rtl/>
        </w:rPr>
        <w:t>. تتوفر إرشادات حول كيفية الوصول إلى مختلف الحقوق على موقع الويب الخاص بحكومة المملكة المتحدة</w:t>
      </w:r>
      <w:r w:rsidRPr="00564B9D">
        <w:rPr>
          <w:vertAlign w:val="superscript"/>
          <w:rtl/>
        </w:rPr>
        <w:t>(</w:t>
      </w:r>
      <w:r w:rsidRPr="00564B9D">
        <w:rPr>
          <w:rStyle w:val="FootnoteReference"/>
          <w:rFonts w:cs="Simplified Arabic"/>
          <w:b w:val="0"/>
          <w:sz w:val="22"/>
          <w:szCs w:val="22"/>
          <w:rtl/>
          <w:lang w:val="en-US"/>
        </w:rPr>
        <w:footnoteReference w:id="191"/>
      </w:r>
      <w:r w:rsidRPr="00564B9D">
        <w:rPr>
          <w:vertAlign w:val="superscript"/>
          <w:rtl/>
        </w:rPr>
        <w:t>)</w:t>
      </w:r>
      <w:r w:rsidRPr="00564B9D">
        <w:rPr>
          <w:rtl/>
        </w:rPr>
        <w:t xml:space="preserve">، </w:t>
      </w:r>
      <w:r w:rsidRPr="00564B9D">
        <w:rPr>
          <w:rFonts w:hint="cs"/>
          <w:rtl/>
        </w:rPr>
        <w:t>ومن خلال مراكز تقديم المشورة من قبيل مراكز تقديم المشورة للمواطنين</w:t>
      </w:r>
      <w:r w:rsidRPr="00564B9D">
        <w:rPr>
          <w:vertAlign w:val="superscript"/>
          <w:rtl/>
        </w:rPr>
        <w:t>(</w:t>
      </w:r>
      <w:r w:rsidRPr="00564B9D">
        <w:rPr>
          <w:rStyle w:val="FootnoteReference"/>
          <w:rFonts w:cs="Simplified Arabic"/>
          <w:b w:val="0"/>
          <w:sz w:val="22"/>
          <w:szCs w:val="22"/>
          <w:rtl/>
          <w:lang w:val="en-US"/>
        </w:rPr>
        <w:footnoteReference w:id="192"/>
      </w:r>
      <w:r w:rsidRPr="00564B9D">
        <w:rPr>
          <w:vertAlign w:val="superscript"/>
          <w:rtl/>
        </w:rPr>
        <w:t>)</w:t>
      </w:r>
      <w:r w:rsidRPr="00564B9D">
        <w:rPr>
          <w:rFonts w:hint="cs"/>
          <w:rtl/>
        </w:rPr>
        <w:t>، والمراكز القانونية</w:t>
      </w:r>
      <w:r w:rsidRPr="00564B9D">
        <w:rPr>
          <w:vertAlign w:val="superscript"/>
          <w:rtl/>
        </w:rPr>
        <w:t>(</w:t>
      </w:r>
      <w:r w:rsidRPr="00564B9D">
        <w:rPr>
          <w:rStyle w:val="FootnoteReference"/>
          <w:rFonts w:cs="Simplified Arabic"/>
          <w:b w:val="0"/>
          <w:sz w:val="22"/>
          <w:szCs w:val="22"/>
          <w:rtl/>
          <w:lang w:val="en-US"/>
        </w:rPr>
        <w:footnoteReference w:id="193"/>
      </w:r>
      <w:r w:rsidRPr="00564B9D">
        <w:rPr>
          <w:vertAlign w:val="superscript"/>
          <w:rtl/>
        </w:rPr>
        <w:t>)</w:t>
      </w:r>
      <w:r w:rsidRPr="00564B9D">
        <w:rPr>
          <w:rFonts w:hint="cs"/>
          <w:rtl/>
        </w:rPr>
        <w:t>.</w:t>
      </w:r>
      <w:r w:rsidRPr="00564B9D">
        <w:rPr>
          <w:rtl/>
        </w:rPr>
        <w:t xml:space="preserve"> </w:t>
      </w:r>
      <w:r w:rsidRPr="00564B9D">
        <w:rPr>
          <w:rFonts w:hint="cs"/>
          <w:rtl/>
        </w:rPr>
        <w:t>كما تتضمن المناهج الدراسية الوطنية في إنكلترا مسألة التوعية بحقوق الإنسان والقانون الدولي</w:t>
      </w:r>
      <w:r w:rsidRPr="00564B9D">
        <w:rPr>
          <w:vertAlign w:val="superscript"/>
          <w:rtl/>
        </w:rPr>
        <w:t>(</w:t>
      </w:r>
      <w:r w:rsidRPr="00564B9D">
        <w:rPr>
          <w:rStyle w:val="FootnoteReference"/>
          <w:rFonts w:cs="Simplified Arabic"/>
          <w:b w:val="0"/>
          <w:sz w:val="22"/>
          <w:szCs w:val="22"/>
          <w:rtl/>
          <w:lang w:val="en-US"/>
        </w:rPr>
        <w:footnoteReference w:id="194"/>
      </w:r>
      <w:r w:rsidRPr="00564B9D">
        <w:rPr>
          <w:vertAlign w:val="superscript"/>
          <w:rtl/>
        </w:rPr>
        <w:t>)</w:t>
      </w:r>
      <w:r w:rsidRPr="00564B9D">
        <w:rPr>
          <w:rFonts w:hint="cs"/>
          <w:rtl/>
        </w:rPr>
        <w:t>. وسيتم في التقارير الدورية ذات الصلة الخاصة بمعاهدات معينة تسليط الضوء على أنشطة إذكاء الوعي بفئات معينة من حقوق الإنسان، مثل حقوق الأطفال وحقوق الأشخاص ذوي الإعاقة.</w:t>
      </w:r>
    </w:p>
    <w:p w14:paraId="5F4F0DFF" w14:textId="4CFA9767" w:rsidR="00494AE4" w:rsidRPr="00564B9D" w:rsidRDefault="00494AE4" w:rsidP="00494AE4">
      <w:pPr>
        <w:pStyle w:val="SingleTxtGA"/>
        <w:rPr>
          <w:rtl/>
        </w:rPr>
      </w:pPr>
      <w:r w:rsidRPr="00564B9D">
        <w:rPr>
          <w:rFonts w:hint="cs"/>
          <w:rtl/>
        </w:rPr>
        <w:t>42</w:t>
      </w:r>
      <w:r w:rsidRPr="00564B9D">
        <w:rPr>
          <w:rtl/>
        </w:rPr>
        <w:t>-</w:t>
      </w:r>
      <w:r w:rsidRPr="00564B9D">
        <w:rPr>
          <w:rtl/>
        </w:rPr>
        <w:tab/>
      </w:r>
      <w:r w:rsidRPr="00564B9D">
        <w:rPr>
          <w:rFonts w:hint="cs"/>
          <w:rtl/>
        </w:rPr>
        <w:t xml:space="preserve">وفيما يتعلق بمهنة المحاماة، يتوفر التعليم والتدريب في مجال حقوق الإنسان للمحامين في الولايات القضائية الثلاث داخل المملكة المتحدة. وتتوفر التوجيهات (التي تصدرها السلطة القضائية نفسها) لشاغلي المناصب القضائية على شكل "دليل </w:t>
      </w:r>
      <w:r w:rsidRPr="00564B9D">
        <w:rPr>
          <w:rtl/>
        </w:rPr>
        <w:t>المساواة في المعاملة</w:t>
      </w:r>
      <w:r w:rsidRPr="00564B9D">
        <w:rPr>
          <w:rFonts w:hint="cs"/>
          <w:rtl/>
        </w:rPr>
        <w:t>" الذي يتضمن توجيهات لشاغلي المناصب القضائية في إنكلترا وويلز</w:t>
      </w:r>
      <w:r w:rsidRPr="00564B9D">
        <w:rPr>
          <w:vertAlign w:val="superscript"/>
          <w:rtl/>
        </w:rPr>
        <w:t>(</w:t>
      </w:r>
      <w:r w:rsidRPr="00564B9D">
        <w:rPr>
          <w:rStyle w:val="FootnoteReference"/>
          <w:rFonts w:cs="Simplified Arabic"/>
          <w:b w:val="0"/>
          <w:sz w:val="22"/>
          <w:szCs w:val="22"/>
          <w:rtl/>
          <w:lang w:val="en-US"/>
        </w:rPr>
        <w:footnoteReference w:id="195"/>
      </w:r>
      <w:r w:rsidRPr="00564B9D">
        <w:rPr>
          <w:vertAlign w:val="superscript"/>
          <w:rtl/>
        </w:rPr>
        <w:t>)</w:t>
      </w:r>
      <w:r w:rsidRPr="00564B9D">
        <w:rPr>
          <w:rFonts w:hint="cs"/>
          <w:rtl/>
        </w:rPr>
        <w:t>، واسكتلندا</w:t>
      </w:r>
      <w:r w:rsidRPr="00564B9D">
        <w:rPr>
          <w:vertAlign w:val="superscript"/>
          <w:rtl/>
        </w:rPr>
        <w:t>(</w:t>
      </w:r>
      <w:r w:rsidRPr="00564B9D">
        <w:rPr>
          <w:rStyle w:val="FootnoteReference"/>
          <w:rFonts w:cs="Simplified Arabic"/>
          <w:b w:val="0"/>
          <w:sz w:val="22"/>
          <w:szCs w:val="22"/>
          <w:rtl/>
          <w:lang w:val="en-US"/>
        </w:rPr>
        <w:footnoteReference w:id="196"/>
      </w:r>
      <w:r w:rsidRPr="00564B9D">
        <w:rPr>
          <w:vertAlign w:val="superscript"/>
          <w:rtl/>
        </w:rPr>
        <w:t>)</w:t>
      </w:r>
      <w:r w:rsidRPr="00564B9D">
        <w:rPr>
          <w:rFonts w:hint="cs"/>
          <w:rtl/>
        </w:rPr>
        <w:t>، و</w:t>
      </w:r>
      <w:r w:rsidR="000F4858" w:rsidRPr="00564B9D">
        <w:rPr>
          <w:rFonts w:hint="cs"/>
          <w:rtl/>
        </w:rPr>
        <w:t>أيرلندا الشمالية</w:t>
      </w:r>
      <w:r w:rsidRPr="00564B9D">
        <w:rPr>
          <w:vertAlign w:val="superscript"/>
          <w:rtl/>
        </w:rPr>
        <w:t>(</w:t>
      </w:r>
      <w:r w:rsidRPr="00564B9D">
        <w:rPr>
          <w:rStyle w:val="FootnoteReference"/>
          <w:rFonts w:cs="Simplified Arabic"/>
          <w:b w:val="0"/>
          <w:sz w:val="22"/>
          <w:szCs w:val="22"/>
          <w:rtl/>
          <w:lang w:val="en-US"/>
        </w:rPr>
        <w:footnoteReference w:id="197"/>
      </w:r>
      <w:r w:rsidRPr="00564B9D">
        <w:rPr>
          <w:vertAlign w:val="superscript"/>
          <w:rtl/>
        </w:rPr>
        <w:t>)</w:t>
      </w:r>
      <w:r w:rsidRPr="00564B9D">
        <w:rPr>
          <w:rFonts w:hint="cs"/>
          <w:rtl/>
        </w:rPr>
        <w:t>، بشأن حالات معينة من مناهضة التمييز (وكذلك التشريعات والصكوك الدولية ذات الصلة بحقوق الإنسان).</w:t>
      </w:r>
    </w:p>
    <w:p w14:paraId="76D8D4B6" w14:textId="77777777" w:rsidR="00494AE4" w:rsidRPr="00564B9D" w:rsidRDefault="00494AE4" w:rsidP="00494AE4">
      <w:pPr>
        <w:pStyle w:val="SingleTxtGA"/>
        <w:rPr>
          <w:rtl/>
        </w:rPr>
      </w:pPr>
      <w:r w:rsidRPr="00564B9D">
        <w:rPr>
          <w:rFonts w:hint="cs"/>
          <w:rtl/>
        </w:rPr>
        <w:t>43</w:t>
      </w:r>
      <w:r w:rsidRPr="00564B9D">
        <w:rPr>
          <w:rtl/>
        </w:rPr>
        <w:t>-</w:t>
      </w:r>
      <w:r w:rsidRPr="00564B9D">
        <w:rPr>
          <w:rtl/>
        </w:rPr>
        <w:tab/>
      </w:r>
      <w:r w:rsidRPr="00564B9D">
        <w:rPr>
          <w:rFonts w:hint="cs"/>
          <w:rtl/>
        </w:rPr>
        <w:t>وتتاح للجمهور عامة على الموقع الإلكتروني لحكومة المملكة المتحدة</w:t>
      </w:r>
      <w:r w:rsidRPr="00564B9D">
        <w:rPr>
          <w:vertAlign w:val="superscript"/>
          <w:rtl/>
        </w:rPr>
        <w:t>(</w:t>
      </w:r>
      <w:r w:rsidRPr="00564B9D">
        <w:rPr>
          <w:rStyle w:val="FootnoteReference"/>
          <w:rFonts w:cs="Simplified Arabic"/>
          <w:b w:val="0"/>
          <w:sz w:val="22"/>
          <w:szCs w:val="22"/>
          <w:rtl/>
          <w:lang w:val="en-US"/>
        </w:rPr>
        <w:footnoteReference w:id="198"/>
      </w:r>
      <w:r w:rsidRPr="00564B9D">
        <w:rPr>
          <w:vertAlign w:val="superscript"/>
          <w:rtl/>
        </w:rPr>
        <w:t>)</w:t>
      </w:r>
      <w:r w:rsidRPr="00564B9D">
        <w:rPr>
          <w:rFonts w:hint="cs"/>
          <w:rtl/>
        </w:rPr>
        <w:t xml:space="preserve"> قائمة بالصكوك الدولية بما فيها تلك المتعلقة بحقوق الإنسان، التي صدقت عليها المملكة المتحدة.</w:t>
      </w:r>
    </w:p>
    <w:p w14:paraId="77654B97" w14:textId="4343CC84" w:rsidR="00494AE4" w:rsidRPr="00564B9D" w:rsidRDefault="00494AE4" w:rsidP="00494AE4">
      <w:pPr>
        <w:pStyle w:val="SingleTxtGA"/>
        <w:rPr>
          <w:rtl/>
        </w:rPr>
      </w:pPr>
      <w:r w:rsidRPr="00564B9D">
        <w:rPr>
          <w:rFonts w:hint="cs"/>
          <w:rtl/>
        </w:rPr>
        <w:t>44</w:t>
      </w:r>
      <w:r w:rsidRPr="00564B9D">
        <w:rPr>
          <w:rtl/>
        </w:rPr>
        <w:t>-</w:t>
      </w:r>
      <w:r w:rsidRPr="00564B9D">
        <w:rPr>
          <w:rtl/>
        </w:rPr>
        <w:tab/>
      </w:r>
      <w:r w:rsidRPr="00564B9D">
        <w:rPr>
          <w:rFonts w:hint="cs"/>
          <w:rtl/>
        </w:rPr>
        <w:t>ويُستكمل تدعيم تعزيز حقوق الإنسان على مستوى أيلولة السلطات من خلال أمور منها، على سبيل المثال، إجراء عام 2011 بشأن حقوق الطفل والشباب (في ويلز)</w:t>
      </w:r>
      <w:r w:rsidRPr="00564B9D">
        <w:rPr>
          <w:vertAlign w:val="superscript"/>
          <w:rtl/>
        </w:rPr>
        <w:t>(</w:t>
      </w:r>
      <w:r w:rsidRPr="00564B9D">
        <w:rPr>
          <w:rStyle w:val="FootnoteReference"/>
          <w:rFonts w:cs="Simplified Arabic"/>
          <w:b w:val="0"/>
          <w:sz w:val="22"/>
          <w:szCs w:val="22"/>
          <w:rtl/>
          <w:lang w:val="en-US"/>
        </w:rPr>
        <w:footnoteReference w:id="199"/>
      </w:r>
      <w:r w:rsidRPr="00564B9D">
        <w:rPr>
          <w:vertAlign w:val="superscript"/>
          <w:rtl/>
        </w:rPr>
        <w:t>)</w:t>
      </w:r>
      <w:r w:rsidRPr="00564B9D">
        <w:rPr>
          <w:rFonts w:hint="cs"/>
          <w:rtl/>
        </w:rPr>
        <w:t>، الذي يلزم وزراء ويلز بإيلاء الاعتبار الواجب لاتفاقية حقوق الطفل، والبروتوكول الاختياري لاتفاقية حقوق الطفل بشأن اشتراك الأطفال في المنازعات المسلحة، والبروتوكول الاختياري المتعلق ببيع الأطفال واستغلالهم في البغاء وفي إنتاج المواد الإباحية التابع لاتفاقية حقوق الطفل</w:t>
      </w:r>
      <w:r w:rsidRPr="00564B9D">
        <w:rPr>
          <w:rtl/>
        </w:rPr>
        <w:t xml:space="preserve">؛ وقانون الأطفال والشباب في اسكتلندا (اسكتلندا) لعام 2014، الذي يضع واجبات على الوزراء الاسكتلنديين للنظر والإبلاغ عن الإجراءات اللازمة لتأمين تأثير أفضل أو إضافي لاتفاقية حقوق الطفل. </w:t>
      </w:r>
      <w:r w:rsidRPr="00564B9D">
        <w:rPr>
          <w:rFonts w:hint="cs"/>
          <w:rtl/>
        </w:rPr>
        <w:t>وتُعرض أنشطة المملكة المتحدة الرامية إلى تعزيز حقوق الإنسان في أقاليم ما وراء البحار، وتحدّث دورياً، على الموقع الإلكتروني لحكومة المملكة المتحدة</w:t>
      </w:r>
      <w:r w:rsidRPr="00564B9D">
        <w:rPr>
          <w:vertAlign w:val="superscript"/>
          <w:rtl/>
        </w:rPr>
        <w:t>(</w:t>
      </w:r>
      <w:r w:rsidRPr="00564B9D">
        <w:rPr>
          <w:rStyle w:val="FootnoteReference"/>
          <w:rFonts w:cs="Simplified Arabic"/>
          <w:b w:val="0"/>
          <w:sz w:val="22"/>
          <w:szCs w:val="22"/>
          <w:rtl/>
          <w:lang w:val="en-US"/>
        </w:rPr>
        <w:footnoteReference w:id="200"/>
      </w:r>
      <w:r w:rsidRPr="00564B9D">
        <w:rPr>
          <w:vertAlign w:val="superscript"/>
          <w:rtl/>
        </w:rPr>
        <w:t>)</w:t>
      </w:r>
      <w:r w:rsidRPr="00564B9D">
        <w:rPr>
          <w:rFonts w:hint="cs"/>
          <w:rtl/>
        </w:rPr>
        <w:t xml:space="preserve"> وفي التقرير السنوي لحقوق الإنسان</w:t>
      </w:r>
      <w:r w:rsidRPr="00564B9D">
        <w:rPr>
          <w:vertAlign w:val="superscript"/>
          <w:rtl/>
        </w:rPr>
        <w:t>(</w:t>
      </w:r>
      <w:r w:rsidRPr="00564B9D">
        <w:rPr>
          <w:rStyle w:val="FootnoteReference"/>
          <w:rFonts w:cs="Simplified Arabic"/>
          <w:b w:val="0"/>
          <w:sz w:val="22"/>
          <w:szCs w:val="22"/>
          <w:rtl/>
          <w:lang w:val="en-US"/>
        </w:rPr>
        <w:footnoteReference w:id="201"/>
      </w:r>
      <w:r w:rsidRPr="00564B9D">
        <w:rPr>
          <w:vertAlign w:val="superscript"/>
          <w:rtl/>
        </w:rPr>
        <w:t>)</w:t>
      </w:r>
      <w:r w:rsidRPr="00564B9D">
        <w:rPr>
          <w:rFonts w:hint="cs"/>
          <w:rtl/>
        </w:rPr>
        <w:t>، وتركز بصورة أساسية على: تعزيز الديمقراطية وسيادة القانون؛</w:t>
      </w:r>
      <w:r w:rsidRPr="00564B9D">
        <w:rPr>
          <w:rtl/>
        </w:rPr>
        <w:t xml:space="preserve"> </w:t>
      </w:r>
      <w:r w:rsidRPr="00564B9D">
        <w:rPr>
          <w:rFonts w:hint="cs"/>
          <w:rtl/>
        </w:rPr>
        <w:t>و</w:t>
      </w:r>
      <w:r w:rsidRPr="00564B9D">
        <w:rPr>
          <w:rtl/>
        </w:rPr>
        <w:t xml:space="preserve">دعم المجتمع المدني؛ </w:t>
      </w:r>
      <w:r w:rsidRPr="00564B9D">
        <w:rPr>
          <w:rFonts w:hint="cs"/>
          <w:rtl/>
        </w:rPr>
        <w:t>و</w:t>
      </w:r>
      <w:r w:rsidRPr="00564B9D">
        <w:rPr>
          <w:rtl/>
        </w:rPr>
        <w:t xml:space="preserve">حرية وسائل الإعلام؛ </w:t>
      </w:r>
      <w:r w:rsidRPr="00564B9D">
        <w:rPr>
          <w:rFonts w:hint="cs"/>
          <w:rtl/>
        </w:rPr>
        <w:t>و</w:t>
      </w:r>
      <w:r w:rsidRPr="00564B9D">
        <w:rPr>
          <w:rtl/>
        </w:rPr>
        <w:t xml:space="preserve">المساواة بين الجنسين، بما في ذلك تعليم الفتيات؛ </w:t>
      </w:r>
      <w:r w:rsidRPr="00564B9D">
        <w:rPr>
          <w:rFonts w:hint="cs"/>
          <w:rtl/>
        </w:rPr>
        <w:t>و</w:t>
      </w:r>
      <w:r w:rsidRPr="00564B9D">
        <w:rPr>
          <w:rtl/>
        </w:rPr>
        <w:t xml:space="preserve">حقوق المثليين؛ </w:t>
      </w:r>
      <w:r w:rsidRPr="00564B9D">
        <w:rPr>
          <w:rFonts w:hint="cs"/>
          <w:rtl/>
        </w:rPr>
        <w:t>و</w:t>
      </w:r>
      <w:r w:rsidRPr="00564B9D">
        <w:rPr>
          <w:rtl/>
        </w:rPr>
        <w:t xml:space="preserve">حرية الدين أو المعتقد؛ </w:t>
      </w:r>
      <w:r w:rsidRPr="00564B9D">
        <w:rPr>
          <w:rFonts w:hint="cs"/>
          <w:rtl/>
        </w:rPr>
        <w:t>و</w:t>
      </w:r>
      <w:r w:rsidRPr="00564B9D">
        <w:rPr>
          <w:rtl/>
        </w:rPr>
        <w:t xml:space="preserve">قضايا ما بعد </w:t>
      </w:r>
      <w:r w:rsidR="00D70082" w:rsidRPr="00564B9D">
        <w:rPr>
          <w:rFonts w:hint="cs"/>
          <w:rtl/>
        </w:rPr>
        <w:t>الهولوكوس</w:t>
      </w:r>
      <w:r w:rsidR="00D70082" w:rsidRPr="00564B9D">
        <w:rPr>
          <w:rtl/>
        </w:rPr>
        <w:t>ت</w:t>
      </w:r>
      <w:r w:rsidRPr="00564B9D">
        <w:rPr>
          <w:rFonts w:hint="cs"/>
          <w:rtl/>
        </w:rPr>
        <w:t>؛</w:t>
      </w:r>
      <w:r w:rsidRPr="00564B9D">
        <w:rPr>
          <w:rtl/>
        </w:rPr>
        <w:t xml:space="preserve"> </w:t>
      </w:r>
      <w:r w:rsidRPr="00564B9D">
        <w:rPr>
          <w:rFonts w:hint="cs"/>
          <w:rtl/>
        </w:rPr>
        <w:t>و</w:t>
      </w:r>
      <w:r w:rsidRPr="00564B9D">
        <w:rPr>
          <w:rtl/>
        </w:rPr>
        <w:t xml:space="preserve">العبودية الحديثة؛ </w:t>
      </w:r>
      <w:r w:rsidRPr="00564B9D">
        <w:rPr>
          <w:rFonts w:hint="cs"/>
          <w:rtl/>
        </w:rPr>
        <w:t xml:space="preserve">ومنع التعذيب، وإلغاء </w:t>
      </w:r>
      <w:r w:rsidRPr="00564B9D">
        <w:rPr>
          <w:rFonts w:hint="cs"/>
          <w:rtl/>
        </w:rPr>
        <w:lastRenderedPageBreak/>
        <w:t>عقوبة الإعدام</w:t>
      </w:r>
      <w:r w:rsidRPr="00564B9D">
        <w:rPr>
          <w:rtl/>
        </w:rPr>
        <w:t xml:space="preserve">؛ </w:t>
      </w:r>
      <w:r w:rsidRPr="00564B9D">
        <w:rPr>
          <w:rFonts w:hint="cs"/>
          <w:rtl/>
        </w:rPr>
        <w:t>وبرنامج الأعمال التجارية وحقوق الإنسان (الذي يضم خطة العمل الوطنية الخاصة بالمملكة المتحدة بشأن الأعمال التجارية وحقوق الإنسان)</w:t>
      </w:r>
      <w:r w:rsidRPr="00564B9D">
        <w:rPr>
          <w:vertAlign w:val="superscript"/>
          <w:rtl/>
        </w:rPr>
        <w:t>(</w:t>
      </w:r>
      <w:r w:rsidRPr="00564B9D">
        <w:rPr>
          <w:rStyle w:val="FootnoteReference"/>
          <w:rFonts w:cs="Simplified Arabic"/>
          <w:b w:val="0"/>
          <w:sz w:val="22"/>
          <w:szCs w:val="22"/>
          <w:rtl/>
          <w:lang w:val="en-US"/>
        </w:rPr>
        <w:footnoteReference w:id="202"/>
      </w:r>
      <w:r w:rsidRPr="00564B9D">
        <w:rPr>
          <w:vertAlign w:val="superscript"/>
          <w:rtl/>
        </w:rPr>
        <w:t>)</w:t>
      </w:r>
      <w:r w:rsidRPr="00564B9D">
        <w:rPr>
          <w:rFonts w:hint="cs"/>
          <w:rtl/>
        </w:rPr>
        <w:t>.</w:t>
      </w:r>
      <w:r w:rsidRPr="00564B9D">
        <w:rPr>
          <w:rtl/>
        </w:rPr>
        <w:t xml:space="preserve"> </w:t>
      </w:r>
    </w:p>
    <w:p w14:paraId="0411DB44" w14:textId="77777777" w:rsidR="00494AE4" w:rsidRPr="00564B9D" w:rsidRDefault="00494AE4" w:rsidP="00494AE4">
      <w:pPr>
        <w:pStyle w:val="H1GA"/>
        <w:rPr>
          <w:rtl/>
        </w:rPr>
      </w:pPr>
      <w:r w:rsidRPr="00564B9D">
        <w:rPr>
          <w:rtl/>
        </w:rPr>
        <w:tab/>
      </w:r>
      <w:bookmarkStart w:id="45" w:name="_Toc123044114"/>
      <w:bookmarkStart w:id="46" w:name="_Toc123044337"/>
      <w:bookmarkStart w:id="47" w:name="_Toc123044598"/>
      <w:bookmarkStart w:id="48" w:name="_Toc123044860"/>
      <w:r w:rsidRPr="00564B9D">
        <w:rPr>
          <w:rFonts w:hint="cs"/>
          <w:rtl/>
        </w:rPr>
        <w:t>دال</w:t>
      </w:r>
      <w:r w:rsidRPr="00564B9D">
        <w:rPr>
          <w:rtl/>
        </w:rPr>
        <w:t>-</w:t>
      </w:r>
      <w:r w:rsidRPr="00564B9D">
        <w:rPr>
          <w:rtl/>
        </w:rPr>
        <w:tab/>
        <w:t xml:space="preserve">عملية رفع التقارير </w:t>
      </w:r>
      <w:r w:rsidRPr="00564B9D">
        <w:rPr>
          <w:rFonts w:hint="cs"/>
          <w:rtl/>
        </w:rPr>
        <w:t xml:space="preserve">إلى الأمم المتحدة </w:t>
      </w:r>
      <w:r w:rsidRPr="00564B9D">
        <w:rPr>
          <w:rtl/>
        </w:rPr>
        <w:t>على الصعيد الوطني</w:t>
      </w:r>
      <w:bookmarkEnd w:id="45"/>
      <w:bookmarkEnd w:id="46"/>
      <w:bookmarkEnd w:id="47"/>
      <w:bookmarkEnd w:id="48"/>
    </w:p>
    <w:p w14:paraId="3C157979" w14:textId="77777777" w:rsidR="00494AE4" w:rsidRPr="00564B9D" w:rsidRDefault="00494AE4" w:rsidP="00494AE4">
      <w:pPr>
        <w:pStyle w:val="SingleTxtGA"/>
        <w:rPr>
          <w:rtl/>
        </w:rPr>
      </w:pPr>
      <w:r w:rsidRPr="00564B9D">
        <w:rPr>
          <w:rFonts w:hint="cs"/>
          <w:rtl/>
        </w:rPr>
        <w:t>45</w:t>
      </w:r>
      <w:r w:rsidRPr="00564B9D">
        <w:rPr>
          <w:rtl/>
        </w:rPr>
        <w:t>-</w:t>
      </w:r>
      <w:r w:rsidRPr="00564B9D">
        <w:rPr>
          <w:rtl/>
        </w:rPr>
        <w:tab/>
      </w:r>
      <w:r w:rsidRPr="00564B9D">
        <w:rPr>
          <w:rFonts w:hint="cs"/>
          <w:rtl/>
        </w:rPr>
        <w:t>يجري تنسيق الالتزامات المتعلقة بتقديم التقارير في الملكة المتحدة (ومتابعة التوصيات) بموجب مختلف صكوك الأمم المتحدة من قبل إدارات حكومية مختلفة تقوم بدورها بالاتصال مع الإدارات المفوضة بالسلطة. كما تقوم إدارة التنسيق بالاتصال بالأقاليم البريطانية فيما وراء البحار (بشكل كبير من خلال وزارة الخارجية والكومنولث) والأقاليم التابعة للتاج حيث جرى توسيع نطاق أحد الصكوك ليشمل هذه الأقاليم</w:t>
      </w:r>
      <w:r w:rsidRPr="00564B9D">
        <w:rPr>
          <w:vertAlign w:val="superscript"/>
          <w:rtl/>
        </w:rPr>
        <w:t>(</w:t>
      </w:r>
      <w:r w:rsidRPr="00564B9D">
        <w:rPr>
          <w:rStyle w:val="FootnoteReference"/>
          <w:rFonts w:cs="Simplified Arabic"/>
          <w:b w:val="0"/>
          <w:sz w:val="22"/>
          <w:szCs w:val="22"/>
          <w:rtl/>
          <w:lang w:val="en-US"/>
        </w:rPr>
        <w:footnoteReference w:id="203"/>
      </w:r>
      <w:r w:rsidRPr="00564B9D">
        <w:rPr>
          <w:vertAlign w:val="superscript"/>
          <w:rtl/>
        </w:rPr>
        <w:t>)</w:t>
      </w:r>
      <w:r w:rsidRPr="00564B9D">
        <w:rPr>
          <w:rFonts w:hint="cs"/>
          <w:rtl/>
        </w:rPr>
        <w:t>. كما أُحرز تقدم في التشاور مع أصحاب المصلحة الخارجيين بفضل جهود إدارة التنسيق، ويتضمن في العادة تعاقدات مباشرة مع المنظمات المهتمة فضلاً عن فعاليات أصحاب المصلحة.</w:t>
      </w:r>
    </w:p>
    <w:p w14:paraId="1EE1F286" w14:textId="77777777" w:rsidR="00494AE4" w:rsidRPr="00564B9D" w:rsidRDefault="00494AE4" w:rsidP="00494AE4">
      <w:pPr>
        <w:pStyle w:val="SingleTxtGA"/>
        <w:rPr>
          <w:rtl/>
        </w:rPr>
      </w:pPr>
      <w:r w:rsidRPr="00564B9D">
        <w:rPr>
          <w:rFonts w:hint="cs"/>
          <w:rtl/>
        </w:rPr>
        <w:t>46</w:t>
      </w:r>
      <w:r w:rsidRPr="00564B9D">
        <w:rPr>
          <w:rtl/>
        </w:rPr>
        <w:t>-</w:t>
      </w:r>
      <w:r w:rsidRPr="00564B9D">
        <w:rPr>
          <w:rtl/>
        </w:rPr>
        <w:tab/>
      </w:r>
      <w:r w:rsidRPr="00564B9D">
        <w:rPr>
          <w:rFonts w:hint="cs"/>
          <w:rtl/>
        </w:rPr>
        <w:t xml:space="preserve">يورد الجدول أدناه الإدارات الرئيسية المسؤولة عن كل صك (كما أدرج الموقع الإلكتروني حيثما توفر؛ ومع ذلك تجدر الإشارة إلى أن جميع المواقع الإلكترونية لحكومة المملكة المتحدة قد أدمجت في البوابة الرئيسية لحكومة المملكة المتحدة </w:t>
      </w:r>
      <w:r w:rsidRPr="00564B9D">
        <w:t>(gov.uk)</w:t>
      </w:r>
      <w:r w:rsidRPr="00564B9D">
        <w:rPr>
          <w:rFonts w:hint="cs"/>
          <w:rtl/>
        </w:rPr>
        <w:t>، وبالتالي من المحتمل أن تتغير الروابط الشبكية ومحتواها في المستقبل القريب).</w:t>
      </w:r>
    </w:p>
    <w:tbl>
      <w:tblPr>
        <w:bidiVisual/>
        <w:tblW w:w="8392" w:type="dxa"/>
        <w:tblInd w:w="1247" w:type="dxa"/>
        <w:tblCellMar>
          <w:right w:w="113" w:type="dxa"/>
        </w:tblCellMar>
        <w:tblLook w:val="01E0" w:firstRow="1" w:lastRow="1" w:firstColumn="1" w:lastColumn="1" w:noHBand="0" w:noVBand="0"/>
      </w:tblPr>
      <w:tblGrid>
        <w:gridCol w:w="5292"/>
        <w:gridCol w:w="3100"/>
      </w:tblGrid>
      <w:tr w:rsidR="007B5A24" w:rsidRPr="00564B9D" w14:paraId="48B5843F" w14:textId="77777777" w:rsidTr="00804944">
        <w:trPr>
          <w:trHeight w:val="240"/>
          <w:tblHeader/>
        </w:trPr>
        <w:tc>
          <w:tcPr>
            <w:tcW w:w="4552" w:type="dxa"/>
            <w:tcBorders>
              <w:top w:val="single" w:sz="4" w:space="0" w:color="auto"/>
              <w:bottom w:val="single" w:sz="12" w:space="0" w:color="auto"/>
            </w:tcBorders>
            <w:shd w:val="clear" w:color="auto" w:fill="auto"/>
            <w:vAlign w:val="bottom"/>
          </w:tcPr>
          <w:p w14:paraId="5D21B0CE"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صك/اتفاقية لأمم المتحدة </w:t>
            </w:r>
          </w:p>
        </w:tc>
        <w:tc>
          <w:tcPr>
            <w:tcW w:w="2666" w:type="dxa"/>
            <w:tcBorders>
              <w:top w:val="single" w:sz="4" w:space="0" w:color="auto"/>
              <w:bottom w:val="single" w:sz="12" w:space="0" w:color="auto"/>
            </w:tcBorders>
            <w:shd w:val="clear" w:color="auto" w:fill="auto"/>
            <w:vAlign w:val="bottom"/>
          </w:tcPr>
          <w:p w14:paraId="7088BC87"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الإدارة المسؤولة </w:t>
            </w:r>
          </w:p>
        </w:tc>
      </w:tr>
      <w:tr w:rsidR="007B5A24" w:rsidRPr="00564B9D" w14:paraId="6AA8F9C2" w14:textId="77777777" w:rsidTr="00804944">
        <w:trPr>
          <w:trHeight w:val="36"/>
        </w:trPr>
        <w:tc>
          <w:tcPr>
            <w:tcW w:w="4552" w:type="dxa"/>
            <w:tcBorders>
              <w:top w:val="single" w:sz="12" w:space="0" w:color="auto"/>
            </w:tcBorders>
            <w:shd w:val="clear" w:color="auto" w:fill="auto"/>
          </w:tcPr>
          <w:p w14:paraId="769F52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الاستعراض الدوري الشامل </w:t>
            </w:r>
          </w:p>
        </w:tc>
        <w:tc>
          <w:tcPr>
            <w:tcW w:w="2666" w:type="dxa"/>
            <w:tcBorders>
              <w:top w:val="single" w:sz="12" w:space="0" w:color="auto"/>
            </w:tcBorders>
            <w:shd w:val="clear" w:color="auto" w:fill="auto"/>
          </w:tcPr>
          <w:p w14:paraId="593894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وزارة العدل</w:t>
            </w:r>
            <w:r w:rsidRPr="00564B9D">
              <w:rPr>
                <w:sz w:val="20"/>
                <w:szCs w:val="20"/>
                <w:vertAlign w:val="superscript"/>
                <w:rtl/>
              </w:rPr>
              <w:t>(</w:t>
            </w:r>
            <w:r w:rsidRPr="00564B9D">
              <w:rPr>
                <w:rStyle w:val="FootnoteReference"/>
                <w:rFonts w:cs="Simplified Arabic"/>
                <w:b w:val="0"/>
                <w:sz w:val="20"/>
                <w:szCs w:val="20"/>
                <w:rtl/>
                <w:lang w:val="en-US"/>
              </w:rPr>
              <w:footnoteReference w:id="204"/>
            </w:r>
            <w:r w:rsidRPr="00564B9D">
              <w:rPr>
                <w:sz w:val="20"/>
                <w:szCs w:val="20"/>
                <w:vertAlign w:val="superscript"/>
                <w:rtl/>
              </w:rPr>
              <w:t>)</w:t>
            </w:r>
            <w:r w:rsidRPr="00564B9D">
              <w:rPr>
                <w:rFonts w:hint="cs"/>
                <w:sz w:val="20"/>
                <w:szCs w:val="20"/>
                <w:rtl/>
              </w:rPr>
              <w:t xml:space="preserve"> </w:t>
            </w:r>
          </w:p>
        </w:tc>
      </w:tr>
      <w:tr w:rsidR="007B5A24" w:rsidRPr="00564B9D" w14:paraId="4EEC4A9B" w14:textId="77777777" w:rsidTr="00804944">
        <w:trPr>
          <w:trHeight w:val="66"/>
        </w:trPr>
        <w:tc>
          <w:tcPr>
            <w:tcW w:w="4552" w:type="dxa"/>
            <w:shd w:val="clear" w:color="auto" w:fill="auto"/>
          </w:tcPr>
          <w:p w14:paraId="6F827B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الوثيقة الأساسية </w:t>
            </w:r>
          </w:p>
        </w:tc>
        <w:tc>
          <w:tcPr>
            <w:tcW w:w="2666" w:type="dxa"/>
            <w:shd w:val="clear" w:color="auto" w:fill="auto"/>
          </w:tcPr>
          <w:p w14:paraId="7BC1A5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وزارة العدل</w:t>
            </w:r>
            <w:r w:rsidRPr="00564B9D">
              <w:rPr>
                <w:sz w:val="20"/>
                <w:szCs w:val="20"/>
                <w:vertAlign w:val="superscript"/>
                <w:rtl/>
              </w:rPr>
              <w:t>(</w:t>
            </w:r>
            <w:r w:rsidRPr="00564B9D">
              <w:rPr>
                <w:rStyle w:val="FootnoteReference"/>
                <w:rFonts w:cs="Simplified Arabic"/>
                <w:b w:val="0"/>
                <w:sz w:val="20"/>
                <w:szCs w:val="20"/>
                <w:rtl/>
                <w:lang w:val="en-US"/>
              </w:rPr>
              <w:footnoteReference w:id="205"/>
            </w:r>
            <w:r w:rsidRPr="00564B9D">
              <w:rPr>
                <w:sz w:val="20"/>
                <w:szCs w:val="20"/>
                <w:vertAlign w:val="superscript"/>
                <w:rtl/>
              </w:rPr>
              <w:t>)</w:t>
            </w:r>
            <w:r w:rsidRPr="00564B9D">
              <w:rPr>
                <w:rFonts w:hint="cs"/>
                <w:sz w:val="20"/>
                <w:szCs w:val="20"/>
                <w:rtl/>
              </w:rPr>
              <w:t xml:space="preserve"> </w:t>
            </w:r>
          </w:p>
        </w:tc>
      </w:tr>
      <w:tr w:rsidR="007B5A24" w:rsidRPr="00564B9D" w14:paraId="22C4F3A0" w14:textId="77777777" w:rsidTr="00804944">
        <w:trPr>
          <w:trHeight w:val="240"/>
        </w:trPr>
        <w:tc>
          <w:tcPr>
            <w:tcW w:w="4552" w:type="dxa"/>
            <w:shd w:val="clear" w:color="auto" w:fill="auto"/>
          </w:tcPr>
          <w:p w14:paraId="59F700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الاتفاقية الدولية للقضاء على جميع أشكال التمييز العنصري</w:t>
            </w:r>
            <w:r w:rsidRPr="00564B9D">
              <w:rPr>
                <w:sz w:val="20"/>
                <w:szCs w:val="20"/>
                <w:rtl/>
              </w:rPr>
              <w:t xml:space="preserve"> </w:t>
            </w:r>
          </w:p>
        </w:tc>
        <w:tc>
          <w:tcPr>
            <w:tcW w:w="2666" w:type="dxa"/>
            <w:shd w:val="clear" w:color="auto" w:fill="auto"/>
          </w:tcPr>
          <w:p w14:paraId="73DA8FA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إدارة المجتمعات المحلية والحكومة المحلية </w:t>
            </w:r>
          </w:p>
        </w:tc>
      </w:tr>
      <w:tr w:rsidR="007B5A24" w:rsidRPr="00564B9D" w14:paraId="232F9738" w14:textId="77777777" w:rsidTr="00804944">
        <w:trPr>
          <w:trHeight w:val="339"/>
        </w:trPr>
        <w:tc>
          <w:tcPr>
            <w:tcW w:w="4552" w:type="dxa"/>
            <w:shd w:val="clear" w:color="auto" w:fill="auto"/>
          </w:tcPr>
          <w:p w14:paraId="78C2F6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العهد الدولي الخاص بالحقوق المدنية والسياسية</w:t>
            </w:r>
          </w:p>
          <w:p w14:paraId="6A7386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البروتوكول الاختياري الثاني الملحق بالعهد الدولي الخاص بالحقوق المدنية والسياسية لإلغاء عقوبة الإعدام</w:t>
            </w:r>
            <w:r w:rsidRPr="00564B9D">
              <w:rPr>
                <w:sz w:val="20"/>
                <w:szCs w:val="20"/>
                <w:rtl/>
              </w:rPr>
              <w:t xml:space="preserve"> </w:t>
            </w:r>
          </w:p>
        </w:tc>
        <w:tc>
          <w:tcPr>
            <w:tcW w:w="2666" w:type="dxa"/>
            <w:shd w:val="clear" w:color="auto" w:fill="auto"/>
          </w:tcPr>
          <w:p w14:paraId="6CFC39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وزارة العدل</w:t>
            </w:r>
            <w:r w:rsidRPr="00564B9D">
              <w:rPr>
                <w:sz w:val="20"/>
                <w:szCs w:val="20"/>
                <w:vertAlign w:val="superscript"/>
                <w:rtl/>
              </w:rPr>
              <w:t>(</w:t>
            </w:r>
            <w:r w:rsidRPr="00564B9D">
              <w:rPr>
                <w:rStyle w:val="FootnoteReference"/>
                <w:rFonts w:cs="Simplified Arabic"/>
                <w:b w:val="0"/>
                <w:sz w:val="20"/>
                <w:szCs w:val="20"/>
                <w:rtl/>
                <w:lang w:val="en-US"/>
              </w:rPr>
              <w:footnoteReference w:id="206"/>
            </w:r>
            <w:r w:rsidRPr="00564B9D">
              <w:rPr>
                <w:sz w:val="20"/>
                <w:szCs w:val="20"/>
                <w:vertAlign w:val="superscript"/>
                <w:rtl/>
              </w:rPr>
              <w:t>)</w:t>
            </w:r>
            <w:r w:rsidRPr="00564B9D">
              <w:rPr>
                <w:rFonts w:hint="cs"/>
                <w:sz w:val="20"/>
                <w:szCs w:val="20"/>
                <w:rtl/>
              </w:rPr>
              <w:t xml:space="preserve"> </w:t>
            </w:r>
          </w:p>
        </w:tc>
      </w:tr>
      <w:tr w:rsidR="007B5A24" w:rsidRPr="00564B9D" w14:paraId="1D5C91AA" w14:textId="77777777" w:rsidTr="00804944">
        <w:trPr>
          <w:trHeight w:val="240"/>
        </w:trPr>
        <w:tc>
          <w:tcPr>
            <w:tcW w:w="4552" w:type="dxa"/>
            <w:shd w:val="clear" w:color="auto" w:fill="auto"/>
          </w:tcPr>
          <w:p w14:paraId="73C8FB3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العهد الدولي الخاص بالحقوق الاقتصادية والاجتماعية والثقافية</w:t>
            </w:r>
            <w:r w:rsidRPr="00564B9D">
              <w:rPr>
                <w:sz w:val="20"/>
                <w:szCs w:val="20"/>
                <w:rtl/>
              </w:rPr>
              <w:t xml:space="preserve"> </w:t>
            </w:r>
          </w:p>
        </w:tc>
        <w:tc>
          <w:tcPr>
            <w:tcW w:w="2666" w:type="dxa"/>
            <w:shd w:val="clear" w:color="auto" w:fill="auto"/>
          </w:tcPr>
          <w:p w14:paraId="005A25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وزارة العدل</w:t>
            </w:r>
            <w:r w:rsidRPr="00564B9D">
              <w:rPr>
                <w:sz w:val="20"/>
                <w:szCs w:val="20"/>
                <w:vertAlign w:val="superscript"/>
                <w:rtl/>
              </w:rPr>
              <w:t>(</w:t>
            </w:r>
            <w:r w:rsidRPr="00564B9D">
              <w:rPr>
                <w:rStyle w:val="FootnoteReference"/>
                <w:rFonts w:cs="Simplified Arabic"/>
                <w:b w:val="0"/>
                <w:sz w:val="20"/>
                <w:szCs w:val="20"/>
                <w:rtl/>
                <w:lang w:val="en-US"/>
              </w:rPr>
              <w:footnoteReference w:id="207"/>
            </w:r>
            <w:r w:rsidRPr="00564B9D">
              <w:rPr>
                <w:sz w:val="20"/>
                <w:szCs w:val="20"/>
                <w:vertAlign w:val="superscript"/>
                <w:rtl/>
              </w:rPr>
              <w:t>)</w:t>
            </w:r>
            <w:r w:rsidRPr="00564B9D">
              <w:rPr>
                <w:rFonts w:hint="cs"/>
                <w:sz w:val="20"/>
                <w:szCs w:val="20"/>
                <w:rtl/>
              </w:rPr>
              <w:t xml:space="preserve"> </w:t>
            </w:r>
          </w:p>
        </w:tc>
      </w:tr>
      <w:tr w:rsidR="007B5A24" w:rsidRPr="00564B9D" w14:paraId="59FCA0CD" w14:textId="77777777" w:rsidTr="00804944">
        <w:trPr>
          <w:trHeight w:val="66"/>
        </w:trPr>
        <w:tc>
          <w:tcPr>
            <w:tcW w:w="4552" w:type="dxa"/>
            <w:shd w:val="clear" w:color="auto" w:fill="auto"/>
          </w:tcPr>
          <w:p w14:paraId="034CE0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اتفاقية القضاء على جميع أشكال التمييز ضد المرأة</w:t>
            </w:r>
          </w:p>
          <w:p w14:paraId="374025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البروتوكول الاختياري الملحق باتفاقية القضاء على جميع أشكال التمييز ضد المرأة </w:t>
            </w:r>
          </w:p>
        </w:tc>
        <w:tc>
          <w:tcPr>
            <w:tcW w:w="2666" w:type="dxa"/>
            <w:shd w:val="clear" w:color="auto" w:fill="auto"/>
          </w:tcPr>
          <w:p w14:paraId="32F0C6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مكتب أوجه المساواة الحكومي</w:t>
            </w:r>
            <w:r w:rsidRPr="00564B9D">
              <w:rPr>
                <w:sz w:val="20"/>
                <w:szCs w:val="20"/>
                <w:vertAlign w:val="superscript"/>
                <w:rtl/>
              </w:rPr>
              <w:t>(</w:t>
            </w:r>
            <w:r w:rsidRPr="00564B9D">
              <w:rPr>
                <w:rStyle w:val="FootnoteReference"/>
                <w:rFonts w:cs="Simplified Arabic"/>
                <w:b w:val="0"/>
                <w:sz w:val="20"/>
                <w:szCs w:val="20"/>
                <w:rtl/>
                <w:lang w:val="en-US"/>
              </w:rPr>
              <w:footnoteReference w:id="208"/>
            </w:r>
            <w:r w:rsidRPr="00564B9D">
              <w:rPr>
                <w:sz w:val="20"/>
                <w:szCs w:val="20"/>
                <w:vertAlign w:val="superscript"/>
                <w:rtl/>
              </w:rPr>
              <w:t>)</w:t>
            </w:r>
            <w:r w:rsidRPr="00564B9D">
              <w:rPr>
                <w:rFonts w:hint="cs"/>
                <w:sz w:val="20"/>
                <w:szCs w:val="20"/>
                <w:rtl/>
              </w:rPr>
              <w:t xml:space="preserve"> </w:t>
            </w:r>
          </w:p>
        </w:tc>
      </w:tr>
      <w:tr w:rsidR="007B5A24" w:rsidRPr="00564B9D" w14:paraId="7CDF5943" w14:textId="77777777" w:rsidTr="00804944">
        <w:trPr>
          <w:trHeight w:val="240"/>
        </w:trPr>
        <w:tc>
          <w:tcPr>
            <w:tcW w:w="4552" w:type="dxa"/>
            <w:shd w:val="clear" w:color="auto" w:fill="auto"/>
          </w:tcPr>
          <w:p w14:paraId="4BB1B3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اتفاقية مناهضة التعذيب وغيره من ضروب المعاملة أو العقوبة القاسية أو اللاإنسانية أو المهينة</w:t>
            </w:r>
          </w:p>
          <w:p w14:paraId="7B2F37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البروتوكول الاختياري الملحق باتفاقية مناهضة التعذيب وغيره من ضروب المعاملة أو العقوبة القاسية أو اللاإنسانية أو المهينة</w:t>
            </w:r>
          </w:p>
        </w:tc>
        <w:tc>
          <w:tcPr>
            <w:tcW w:w="2666" w:type="dxa"/>
            <w:shd w:val="clear" w:color="auto" w:fill="auto"/>
          </w:tcPr>
          <w:p w14:paraId="5D6EC0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وزارة العدل</w:t>
            </w:r>
            <w:r w:rsidRPr="00564B9D">
              <w:rPr>
                <w:sz w:val="20"/>
                <w:szCs w:val="20"/>
                <w:vertAlign w:val="superscript"/>
                <w:rtl/>
              </w:rPr>
              <w:t>(</w:t>
            </w:r>
            <w:r w:rsidRPr="00564B9D">
              <w:rPr>
                <w:rStyle w:val="FootnoteReference"/>
                <w:rFonts w:cs="Simplified Arabic"/>
                <w:b w:val="0"/>
                <w:sz w:val="20"/>
                <w:szCs w:val="20"/>
                <w:rtl/>
                <w:lang w:val="en-US"/>
              </w:rPr>
              <w:footnoteReference w:id="209"/>
            </w:r>
            <w:r w:rsidRPr="00564B9D">
              <w:rPr>
                <w:sz w:val="20"/>
                <w:szCs w:val="20"/>
                <w:vertAlign w:val="superscript"/>
                <w:rtl/>
              </w:rPr>
              <w:t>)</w:t>
            </w:r>
            <w:r w:rsidRPr="00564B9D">
              <w:rPr>
                <w:rFonts w:hint="cs"/>
                <w:sz w:val="20"/>
                <w:szCs w:val="20"/>
                <w:rtl/>
              </w:rPr>
              <w:t xml:space="preserve"> </w:t>
            </w:r>
          </w:p>
        </w:tc>
      </w:tr>
      <w:tr w:rsidR="007B5A24" w:rsidRPr="00564B9D" w14:paraId="4A1E5162" w14:textId="77777777" w:rsidTr="00804944">
        <w:trPr>
          <w:trHeight w:val="240"/>
        </w:trPr>
        <w:tc>
          <w:tcPr>
            <w:tcW w:w="4552" w:type="dxa"/>
            <w:shd w:val="clear" w:color="auto" w:fill="auto"/>
          </w:tcPr>
          <w:p w14:paraId="1F705B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اتفاقية حقوق الطفل</w:t>
            </w:r>
          </w:p>
          <w:p w14:paraId="3475D02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البروتوكول الاختياري لاتفاقية حقوق الطفل بشأن اشتراك الأطفال في المنازعات المسلحة</w:t>
            </w:r>
          </w:p>
          <w:p w14:paraId="26C003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البروتوكول الاختياري المتعلق ببيع الأطفال واستغلالهم في البغاء وفي إنتاج المواد الإباحية التابع لاتفاقية حقوق الطفل </w:t>
            </w:r>
          </w:p>
        </w:tc>
        <w:tc>
          <w:tcPr>
            <w:tcW w:w="2666" w:type="dxa"/>
            <w:shd w:val="clear" w:color="auto" w:fill="auto"/>
          </w:tcPr>
          <w:p w14:paraId="2F54EA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وزارة التعليم</w:t>
            </w:r>
            <w:r w:rsidRPr="00564B9D">
              <w:rPr>
                <w:sz w:val="20"/>
                <w:szCs w:val="20"/>
                <w:vertAlign w:val="superscript"/>
                <w:rtl/>
              </w:rPr>
              <w:t>(</w:t>
            </w:r>
            <w:r w:rsidRPr="00564B9D">
              <w:rPr>
                <w:rStyle w:val="FootnoteReference"/>
                <w:rFonts w:cs="Simplified Arabic"/>
                <w:b w:val="0"/>
                <w:sz w:val="20"/>
                <w:szCs w:val="20"/>
                <w:rtl/>
                <w:lang w:val="en-US"/>
              </w:rPr>
              <w:footnoteReference w:id="210"/>
            </w:r>
            <w:r w:rsidRPr="00564B9D">
              <w:rPr>
                <w:sz w:val="20"/>
                <w:szCs w:val="20"/>
                <w:vertAlign w:val="superscript"/>
                <w:rtl/>
              </w:rPr>
              <w:t>)</w:t>
            </w:r>
            <w:r w:rsidRPr="00564B9D">
              <w:rPr>
                <w:rFonts w:hint="cs"/>
                <w:sz w:val="20"/>
                <w:szCs w:val="20"/>
                <w:rtl/>
              </w:rPr>
              <w:t xml:space="preserve"> </w:t>
            </w:r>
          </w:p>
          <w:p w14:paraId="67AF46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p>
        </w:tc>
      </w:tr>
      <w:tr w:rsidR="007B5A24" w:rsidRPr="00564B9D" w14:paraId="3B28F9F2" w14:textId="77777777" w:rsidTr="00804944">
        <w:trPr>
          <w:trHeight w:val="240"/>
        </w:trPr>
        <w:tc>
          <w:tcPr>
            <w:tcW w:w="4552" w:type="dxa"/>
            <w:tcBorders>
              <w:bottom w:val="single" w:sz="12" w:space="0" w:color="auto"/>
            </w:tcBorders>
            <w:shd w:val="clear" w:color="auto" w:fill="auto"/>
          </w:tcPr>
          <w:p w14:paraId="08250A7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اتفاقية حقوق الأشخاص ذوي الإعاقة</w:t>
            </w:r>
          </w:p>
          <w:p w14:paraId="100E9C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البروتوكول الاختياري الملحق باتفاقية حقوق الأشخاص ذوي الإعاقة</w:t>
            </w:r>
            <w:r w:rsidRPr="00564B9D">
              <w:rPr>
                <w:sz w:val="20"/>
                <w:szCs w:val="20"/>
                <w:rtl/>
              </w:rPr>
              <w:t xml:space="preserve"> </w:t>
            </w:r>
          </w:p>
        </w:tc>
        <w:tc>
          <w:tcPr>
            <w:tcW w:w="2666" w:type="dxa"/>
            <w:tcBorders>
              <w:bottom w:val="single" w:sz="12" w:space="0" w:color="auto"/>
            </w:tcBorders>
            <w:shd w:val="clear" w:color="auto" w:fill="auto"/>
          </w:tcPr>
          <w:p w14:paraId="1B8AE9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مكتب مجلس الوزراء</w:t>
            </w:r>
          </w:p>
        </w:tc>
      </w:tr>
    </w:tbl>
    <w:p w14:paraId="2E09977A" w14:textId="77777777" w:rsidR="00494AE4" w:rsidRPr="00564B9D" w:rsidRDefault="00494AE4" w:rsidP="00494AE4">
      <w:pPr>
        <w:pStyle w:val="HChGA"/>
        <w:rPr>
          <w:rtl/>
        </w:rPr>
      </w:pPr>
      <w:r w:rsidRPr="00564B9D">
        <w:rPr>
          <w:rtl/>
        </w:rPr>
        <w:tab/>
      </w:r>
      <w:bookmarkStart w:id="49" w:name="_Toc123044115"/>
      <w:bookmarkStart w:id="50" w:name="_Toc123044338"/>
      <w:bookmarkStart w:id="51" w:name="_Toc123044599"/>
      <w:bookmarkStart w:id="52" w:name="_Toc123044861"/>
      <w:r w:rsidRPr="00564B9D">
        <w:rPr>
          <w:rFonts w:hint="cs"/>
          <w:rtl/>
        </w:rPr>
        <w:t>ثالثاً-</w:t>
      </w:r>
      <w:r w:rsidRPr="00564B9D">
        <w:rPr>
          <w:rtl/>
        </w:rPr>
        <w:tab/>
      </w:r>
      <w:r w:rsidRPr="00564B9D">
        <w:rPr>
          <w:rFonts w:hint="cs"/>
          <w:rtl/>
        </w:rPr>
        <w:t>معلومات عن عدم التمييز والمساواة وسبل الانتصاف الفعالة</w:t>
      </w:r>
      <w:bookmarkEnd w:id="49"/>
      <w:bookmarkEnd w:id="50"/>
      <w:bookmarkEnd w:id="51"/>
      <w:bookmarkEnd w:id="52"/>
    </w:p>
    <w:p w14:paraId="4104DFA3" w14:textId="77777777" w:rsidR="00494AE4" w:rsidRPr="00564B9D" w:rsidRDefault="00494AE4" w:rsidP="00494AE4">
      <w:pPr>
        <w:pStyle w:val="SingleTxtGA"/>
        <w:rPr>
          <w:rtl/>
        </w:rPr>
      </w:pPr>
      <w:r w:rsidRPr="00564B9D">
        <w:rPr>
          <w:rFonts w:hint="cs"/>
          <w:rtl/>
        </w:rPr>
        <w:t>47</w:t>
      </w:r>
      <w:r w:rsidRPr="00564B9D">
        <w:rPr>
          <w:rtl/>
        </w:rPr>
        <w:t>-</w:t>
      </w:r>
      <w:r w:rsidRPr="00564B9D">
        <w:rPr>
          <w:rtl/>
        </w:rPr>
        <w:tab/>
      </w:r>
      <w:r w:rsidRPr="00564B9D">
        <w:rPr>
          <w:rFonts w:hint="cs"/>
          <w:rtl/>
        </w:rPr>
        <w:t>تتفاعل القوانين التالية: قانون حقوق الإنسان لعام 1998 وقانون المساواة لعام 2006 وقانون المساواة لعام 2010، فيما بينها لحماية حقوق الإنسان ومكافحة التمييز</w:t>
      </w:r>
      <w:r w:rsidRPr="00564B9D">
        <w:rPr>
          <w:rtl/>
        </w:rPr>
        <w:t>.</w:t>
      </w:r>
    </w:p>
    <w:p w14:paraId="73045285" w14:textId="11134A43" w:rsidR="00494AE4" w:rsidRPr="00564B9D" w:rsidRDefault="00494AE4" w:rsidP="00494AE4">
      <w:pPr>
        <w:pStyle w:val="SingleTxtGA"/>
        <w:rPr>
          <w:rtl/>
        </w:rPr>
      </w:pPr>
      <w:r w:rsidRPr="00564B9D">
        <w:rPr>
          <w:rFonts w:hint="cs"/>
          <w:rtl/>
        </w:rPr>
        <w:t>48</w:t>
      </w:r>
      <w:r w:rsidRPr="00564B9D">
        <w:rPr>
          <w:rtl/>
        </w:rPr>
        <w:t>-</w:t>
      </w:r>
      <w:r w:rsidRPr="00564B9D">
        <w:rPr>
          <w:rtl/>
        </w:rPr>
        <w:tab/>
      </w:r>
      <w:r w:rsidRPr="00564B9D">
        <w:rPr>
          <w:rFonts w:hint="cs"/>
          <w:rtl/>
        </w:rPr>
        <w:t>وبوجه خاص، تنص المادة 14 من الاتفاقية الأوروبية لحماية حقوق الإنسان والحريات الأساسية، التي تعتبر قابلة للإنفاذ بشكل مباشر في محاكم المملكة المتحدة من خلال قانون حقوق</w:t>
      </w:r>
      <w:r w:rsidR="00777024" w:rsidRPr="00564B9D">
        <w:rPr>
          <w:rFonts w:hint="eastAsia"/>
          <w:rtl/>
        </w:rPr>
        <w:t> </w:t>
      </w:r>
      <w:r w:rsidRPr="00564B9D">
        <w:rPr>
          <w:rFonts w:hint="cs"/>
          <w:rtl/>
        </w:rPr>
        <w:t>الإنسان لعام 1998، على حظر التمييز لأي سبب كان فيما يتعلق بتمتع الناس بحقوقهم بموجب الاتفاقية الأوروبية.</w:t>
      </w:r>
    </w:p>
    <w:p w14:paraId="07DE9E26" w14:textId="77777777" w:rsidR="00494AE4" w:rsidRPr="00564B9D" w:rsidRDefault="00494AE4" w:rsidP="00494AE4">
      <w:pPr>
        <w:pStyle w:val="SingleTxtGA"/>
        <w:rPr>
          <w:rtl/>
        </w:rPr>
      </w:pPr>
      <w:r w:rsidRPr="00564B9D">
        <w:rPr>
          <w:rFonts w:hint="cs"/>
          <w:rtl/>
        </w:rPr>
        <w:t>49</w:t>
      </w:r>
      <w:r w:rsidRPr="00564B9D">
        <w:rPr>
          <w:rtl/>
        </w:rPr>
        <w:t>-</w:t>
      </w:r>
      <w:r w:rsidRPr="00564B9D">
        <w:rPr>
          <w:rtl/>
        </w:rPr>
        <w:tab/>
      </w:r>
      <w:r w:rsidRPr="00564B9D">
        <w:rPr>
          <w:rFonts w:hint="cs"/>
          <w:rtl/>
        </w:rPr>
        <w:t>بالإضافة إلى ذلك، يعمل قانون المساواة لعام 2010</w:t>
      </w:r>
      <w:r w:rsidRPr="00564B9D">
        <w:rPr>
          <w:vertAlign w:val="superscript"/>
          <w:rtl/>
        </w:rPr>
        <w:t>(</w:t>
      </w:r>
      <w:r w:rsidRPr="00564B9D">
        <w:rPr>
          <w:rStyle w:val="FootnoteReference"/>
          <w:rFonts w:cs="Simplified Arabic"/>
          <w:b w:val="0"/>
          <w:sz w:val="22"/>
          <w:szCs w:val="22"/>
          <w:rtl/>
          <w:lang w:val="en-US"/>
        </w:rPr>
        <w:footnoteReference w:id="211"/>
      </w:r>
      <w:r w:rsidRPr="00564B9D">
        <w:rPr>
          <w:vertAlign w:val="superscript"/>
          <w:rtl/>
        </w:rPr>
        <w:t>)</w:t>
      </w:r>
      <w:r w:rsidRPr="00564B9D">
        <w:rPr>
          <w:rtl/>
        </w:rPr>
        <w:t xml:space="preserve"> </w:t>
      </w:r>
      <w:r w:rsidRPr="00564B9D">
        <w:rPr>
          <w:rFonts w:hint="cs"/>
          <w:rtl/>
        </w:rPr>
        <w:t>على تدعيم التشريعات المتعلقة بمناهضة التمييز وحظر التمييز المباشر وغير المباشر، والمضايقات، والإيقاع بالضحايا وأي سلوك آخر محدد، مع استثناءات معينة مسموح بها بوصفها قانونية حسب الاقتضاء. كما يعمل القانون على حماية الأشخاص من التمييز بموجب تسع "خصائص مشمولة بالحماية" وهي: السن، والإعاقة، وتغيير نوع الجنس، والزواج والقران المدني، والحمل والأمومة، والعرق، والدين أو المعتقد، والجنس و</w:t>
      </w:r>
      <w:r w:rsidRPr="00564B9D">
        <w:rPr>
          <w:rtl/>
        </w:rPr>
        <w:t>التوجه الجنسي.</w:t>
      </w:r>
    </w:p>
    <w:p w14:paraId="0265C597" w14:textId="77777777" w:rsidR="00494AE4" w:rsidRPr="00564B9D" w:rsidRDefault="00494AE4" w:rsidP="00494AE4">
      <w:pPr>
        <w:pStyle w:val="SingleTxtGA"/>
        <w:rPr>
          <w:spacing w:val="-2"/>
          <w:rtl/>
        </w:rPr>
      </w:pPr>
      <w:r w:rsidRPr="00564B9D">
        <w:rPr>
          <w:rFonts w:hint="cs"/>
          <w:rtl/>
        </w:rPr>
        <w:t>50</w:t>
      </w:r>
      <w:r w:rsidRPr="00564B9D">
        <w:rPr>
          <w:rtl/>
        </w:rPr>
        <w:t>-</w:t>
      </w:r>
      <w:r w:rsidRPr="00564B9D">
        <w:rPr>
          <w:rtl/>
        </w:rPr>
        <w:tab/>
      </w:r>
      <w:r w:rsidRPr="00564B9D">
        <w:rPr>
          <w:rFonts w:hint="cs"/>
          <w:spacing w:val="-2"/>
          <w:rtl/>
        </w:rPr>
        <w:t>كما قدم قانون المساواة لعام 2010 أحكاماً تتعلق بمناهضة التمييز من بينها "واجب المساواة في القطاع العام" في إنكلترا وويلز واسكتلندا، يقتضي من الهيئات العامة إيلاء الاهتمام الواجب للحاجة إلى: القضاء على التمييز، والمضايقات، والإيقاع بالضحايا، وأي سلوك آخر يحظره القانون؛ وتعزيز المساواة في الفرص بين الأشخاص الذين يتشاركون في إحدى الخصائص ذات الصلة المشمولة بالحماية والأشخاص الذين لا يتشاركون فيها؛ وتعزيز العلاقات السليمة بين الأشخاص الذين يتشاركون في الخصائص ذات الصلة المشمولة بالحماية والأشخاص الذين لا يتشاركون فيها. وقد قدمت واجبات محددة في ويلز واسكتلندا على التوالي من خلال لوائح عام 2011</w:t>
      </w:r>
      <w:r w:rsidRPr="00564B9D">
        <w:rPr>
          <w:spacing w:val="-2"/>
          <w:vertAlign w:val="superscript"/>
          <w:rtl/>
        </w:rPr>
        <w:t>(</w:t>
      </w:r>
      <w:r w:rsidRPr="00564B9D">
        <w:rPr>
          <w:rStyle w:val="FootnoteReference"/>
          <w:rFonts w:cs="Simplified Arabic"/>
          <w:b w:val="0"/>
          <w:spacing w:val="-2"/>
          <w:sz w:val="22"/>
          <w:szCs w:val="22"/>
          <w:rtl/>
          <w:lang w:val="en-US"/>
        </w:rPr>
        <w:footnoteReference w:id="212"/>
      </w:r>
      <w:r w:rsidRPr="00564B9D">
        <w:rPr>
          <w:spacing w:val="-2"/>
          <w:vertAlign w:val="superscript"/>
          <w:rtl/>
        </w:rPr>
        <w:t>)</w:t>
      </w:r>
      <w:r w:rsidRPr="00564B9D">
        <w:rPr>
          <w:spacing w:val="-2"/>
          <w:rtl/>
        </w:rPr>
        <w:t xml:space="preserve"> </w:t>
      </w:r>
      <w:r w:rsidRPr="00564B9D">
        <w:rPr>
          <w:rFonts w:hint="cs"/>
          <w:spacing w:val="-2"/>
          <w:rtl/>
        </w:rPr>
        <w:t xml:space="preserve">المتعلقة بقانون المساواة لعام 2010 (الواجبات القانونية) (ويلز) </w:t>
      </w:r>
      <w:r w:rsidRPr="00564B9D">
        <w:rPr>
          <w:rFonts w:hint="cs"/>
          <w:spacing w:val="-2"/>
          <w:rtl/>
        </w:rPr>
        <w:lastRenderedPageBreak/>
        <w:t>ولوائح عام 2012</w:t>
      </w:r>
      <w:r w:rsidRPr="00564B9D">
        <w:rPr>
          <w:spacing w:val="-2"/>
          <w:vertAlign w:val="superscript"/>
          <w:rtl/>
        </w:rPr>
        <w:t>(</w:t>
      </w:r>
      <w:r w:rsidRPr="00564B9D">
        <w:rPr>
          <w:rStyle w:val="FootnoteReference"/>
          <w:rFonts w:cs="Simplified Arabic"/>
          <w:b w:val="0"/>
          <w:spacing w:val="-2"/>
          <w:sz w:val="22"/>
          <w:szCs w:val="22"/>
          <w:rtl/>
          <w:lang w:val="en-US"/>
        </w:rPr>
        <w:footnoteReference w:id="213"/>
      </w:r>
      <w:r w:rsidRPr="00564B9D">
        <w:rPr>
          <w:spacing w:val="-2"/>
          <w:vertAlign w:val="superscript"/>
          <w:rtl/>
        </w:rPr>
        <w:t>)</w:t>
      </w:r>
      <w:r w:rsidRPr="00564B9D">
        <w:rPr>
          <w:spacing w:val="-2"/>
          <w:rtl/>
        </w:rPr>
        <w:t xml:space="preserve"> </w:t>
      </w:r>
      <w:r w:rsidRPr="00564B9D">
        <w:rPr>
          <w:rFonts w:hint="cs"/>
          <w:spacing w:val="-2"/>
          <w:rtl/>
        </w:rPr>
        <w:t>المتعلقة بقانون المساواة لعام 2012 (واجبات محددة) (اسكتلندا).</w:t>
      </w:r>
      <w:r w:rsidRPr="00564B9D">
        <w:rPr>
          <w:spacing w:val="-2"/>
          <w:rtl/>
        </w:rPr>
        <w:t xml:space="preserve"> </w:t>
      </w:r>
      <w:r w:rsidRPr="00564B9D">
        <w:rPr>
          <w:rFonts w:hint="cs"/>
          <w:spacing w:val="-2"/>
          <w:rtl/>
        </w:rPr>
        <w:t>و</w:t>
      </w:r>
      <w:r w:rsidRPr="00564B9D">
        <w:rPr>
          <w:spacing w:val="-2"/>
          <w:rtl/>
        </w:rPr>
        <w:t xml:space="preserve">تم تعديل لوائح </w:t>
      </w:r>
      <w:r w:rsidRPr="00564B9D">
        <w:rPr>
          <w:rFonts w:hint="cs"/>
          <w:spacing w:val="-2"/>
          <w:rtl/>
        </w:rPr>
        <w:t>الواجبات</w:t>
      </w:r>
      <w:r w:rsidRPr="00564B9D">
        <w:rPr>
          <w:spacing w:val="-2"/>
          <w:rtl/>
        </w:rPr>
        <w:t xml:space="preserve"> المحددة الاسكتلندية مرتين - في عام </w:t>
      </w:r>
      <w:r w:rsidRPr="00564B9D">
        <w:rPr>
          <w:spacing w:val="-2"/>
          <w:vertAlign w:val="superscript"/>
          <w:rtl/>
        </w:rPr>
        <w:t>(</w:t>
      </w:r>
      <w:r w:rsidRPr="00564B9D">
        <w:rPr>
          <w:rStyle w:val="FootnoteReference"/>
          <w:rFonts w:cs="Simplified Arabic"/>
          <w:b w:val="0"/>
          <w:spacing w:val="-2"/>
          <w:sz w:val="22"/>
          <w:szCs w:val="22"/>
          <w:rtl/>
          <w:lang w:val="en-US"/>
        </w:rPr>
        <w:footnoteReference w:id="214"/>
      </w:r>
      <w:r w:rsidRPr="00564B9D">
        <w:rPr>
          <w:spacing w:val="-2"/>
          <w:vertAlign w:val="superscript"/>
          <w:rtl/>
        </w:rPr>
        <w:t>)</w:t>
      </w:r>
      <w:r w:rsidRPr="00564B9D">
        <w:rPr>
          <w:spacing w:val="-2"/>
          <w:rtl/>
        </w:rPr>
        <w:t xml:space="preserve"> 2015 </w:t>
      </w:r>
      <w:r w:rsidRPr="00564B9D">
        <w:rPr>
          <w:rFonts w:hint="cs"/>
          <w:spacing w:val="-2"/>
          <w:rtl/>
        </w:rPr>
        <w:t>ثم</w:t>
      </w:r>
      <w:r w:rsidRPr="00564B9D">
        <w:rPr>
          <w:spacing w:val="-2"/>
          <w:rtl/>
        </w:rPr>
        <w:t xml:space="preserve"> في عام </w:t>
      </w:r>
      <w:r w:rsidRPr="00564B9D">
        <w:rPr>
          <w:spacing w:val="-2"/>
          <w:vertAlign w:val="superscript"/>
          <w:rtl/>
        </w:rPr>
        <w:t>(</w:t>
      </w:r>
      <w:r w:rsidRPr="00564B9D">
        <w:rPr>
          <w:rStyle w:val="FootnoteReference"/>
          <w:rFonts w:cs="Simplified Arabic"/>
          <w:b w:val="0"/>
          <w:spacing w:val="-2"/>
          <w:sz w:val="22"/>
          <w:szCs w:val="22"/>
          <w:rtl/>
          <w:lang w:val="en-US"/>
        </w:rPr>
        <w:footnoteReference w:id="215"/>
      </w:r>
      <w:r w:rsidRPr="00564B9D">
        <w:rPr>
          <w:spacing w:val="-2"/>
          <w:vertAlign w:val="superscript"/>
          <w:rtl/>
        </w:rPr>
        <w:t>)</w:t>
      </w:r>
      <w:r w:rsidRPr="00564B9D">
        <w:rPr>
          <w:spacing w:val="-2"/>
          <w:rtl/>
        </w:rPr>
        <w:t xml:space="preserve"> 2016. </w:t>
      </w:r>
    </w:p>
    <w:p w14:paraId="1559E4A9" w14:textId="2BBF8B74" w:rsidR="00494AE4" w:rsidRPr="00564B9D" w:rsidRDefault="00494AE4" w:rsidP="00494AE4">
      <w:pPr>
        <w:pStyle w:val="SingleTxtGA"/>
        <w:rPr>
          <w:rtl/>
        </w:rPr>
      </w:pPr>
      <w:r w:rsidRPr="00564B9D">
        <w:rPr>
          <w:rFonts w:hint="cs"/>
          <w:rtl/>
        </w:rPr>
        <w:t>51</w:t>
      </w:r>
      <w:r w:rsidRPr="00564B9D">
        <w:rPr>
          <w:rtl/>
        </w:rPr>
        <w:t>-</w:t>
      </w:r>
      <w:r w:rsidRPr="00564B9D">
        <w:rPr>
          <w:rtl/>
        </w:rPr>
        <w:tab/>
      </w:r>
      <w:r w:rsidRPr="00564B9D">
        <w:rPr>
          <w:rFonts w:hint="cs"/>
          <w:rtl/>
        </w:rPr>
        <w:t xml:space="preserve">وفي </w:t>
      </w:r>
      <w:r w:rsidR="000F4858" w:rsidRPr="00564B9D">
        <w:rPr>
          <w:rFonts w:hint="cs"/>
          <w:rtl/>
        </w:rPr>
        <w:t>أيرلندا الشمالية</w:t>
      </w:r>
      <w:r w:rsidRPr="00564B9D">
        <w:rPr>
          <w:rFonts w:hint="cs"/>
          <w:rtl/>
        </w:rPr>
        <w:t xml:space="preserve">، يتضمن قانون </w:t>
      </w:r>
      <w:r w:rsidR="000F4858" w:rsidRPr="00564B9D">
        <w:rPr>
          <w:rFonts w:hint="cs"/>
          <w:rtl/>
        </w:rPr>
        <w:t>أيرلندا الشمالية</w:t>
      </w:r>
      <w:r w:rsidRPr="00564B9D">
        <w:rPr>
          <w:rFonts w:hint="cs"/>
          <w:rtl/>
        </w:rPr>
        <w:t xml:space="preserve"> لعام 1998 واجباً قانونياً يُفرض على السلطات العامة فيها ويتمثل بتشجيع المساواة في الفرص بين: الأشخاص ذوي المعتقد الديني المختلف؛ والآراء السياسية؛ والمجموعة العرقية؛ والسن؛ والوضع العائلي أو الميول الجنسية؛ وبين الرجال والنساء بوجه عام؛ والأشخاص ذوي الإعاقة والأشخاص الأصحاء؛ والأشخاص الذين يعولون والأشخاص الذين لا يفعلون ذلك.</w:t>
      </w:r>
    </w:p>
    <w:p w14:paraId="34A5E0B8" w14:textId="41E6E19E" w:rsidR="00494AE4" w:rsidRPr="00564B9D" w:rsidRDefault="00494AE4" w:rsidP="00494AE4">
      <w:pPr>
        <w:pStyle w:val="SingleTxtGA"/>
        <w:rPr>
          <w:rtl/>
        </w:rPr>
      </w:pPr>
      <w:r w:rsidRPr="00564B9D">
        <w:rPr>
          <w:rFonts w:hint="cs"/>
          <w:rtl/>
        </w:rPr>
        <w:t>52</w:t>
      </w:r>
      <w:r w:rsidRPr="00564B9D">
        <w:rPr>
          <w:rtl/>
        </w:rPr>
        <w:t>-</w:t>
      </w:r>
      <w:r w:rsidRPr="00564B9D">
        <w:rPr>
          <w:rtl/>
        </w:rPr>
        <w:tab/>
      </w:r>
      <w:r w:rsidRPr="00564B9D">
        <w:rPr>
          <w:rFonts w:hint="cs"/>
          <w:rtl/>
        </w:rPr>
        <w:t>ويعمل تشريع إضافي في المملكة المتحدة وعلى المستوى المفوض بالسلطة على تكملة الإطار القانوني الوارد أعلاه لمكافحة التمييز، بما في ذلك: قانون الاعتراف الجنساني لعام 2004 (الاعتراف القانوني بالأشخاص المتحولين جنسياً في نوع الجنس المكتسب)؛ وقانون الشراكة المدنية 2004</w:t>
      </w:r>
      <w:r w:rsidRPr="00564B9D">
        <w:rPr>
          <w:vertAlign w:val="superscript"/>
          <w:rtl/>
        </w:rPr>
        <w:t>(</w:t>
      </w:r>
      <w:r w:rsidRPr="00564B9D">
        <w:rPr>
          <w:rStyle w:val="FootnoteReference"/>
          <w:rFonts w:cs="Simplified Arabic"/>
          <w:b w:val="0"/>
          <w:sz w:val="22"/>
          <w:szCs w:val="22"/>
          <w:rtl/>
          <w:lang w:val="en-US"/>
        </w:rPr>
        <w:footnoteReference w:id="216"/>
      </w:r>
      <w:r w:rsidRPr="00564B9D">
        <w:rPr>
          <w:vertAlign w:val="superscript"/>
          <w:rtl/>
        </w:rPr>
        <w:t>)</w:t>
      </w:r>
      <w:r w:rsidRPr="00564B9D">
        <w:rPr>
          <w:rtl/>
        </w:rPr>
        <w:t xml:space="preserve"> </w:t>
      </w:r>
      <w:r w:rsidRPr="00564B9D">
        <w:rPr>
          <w:rFonts w:hint="cs"/>
          <w:rtl/>
        </w:rPr>
        <w:t>(الاعتراف القانوني بالعلاقات بين شخصين من نفس الجنس)؛ وقانون الزواج لعام 2013</w:t>
      </w:r>
      <w:r w:rsidRPr="00564B9D">
        <w:rPr>
          <w:vertAlign w:val="superscript"/>
          <w:rtl/>
        </w:rPr>
        <w:t>(</w:t>
      </w:r>
      <w:r w:rsidRPr="00564B9D">
        <w:rPr>
          <w:rStyle w:val="FootnoteReference"/>
          <w:rFonts w:cs="Simplified Arabic"/>
          <w:b w:val="0"/>
          <w:sz w:val="22"/>
          <w:szCs w:val="22"/>
          <w:rtl/>
          <w:lang w:val="en-US"/>
        </w:rPr>
        <w:footnoteReference w:id="217"/>
      </w:r>
      <w:r w:rsidRPr="00564B9D">
        <w:rPr>
          <w:vertAlign w:val="superscript"/>
          <w:rtl/>
        </w:rPr>
        <w:t>)</w:t>
      </w:r>
      <w:r w:rsidRPr="00564B9D">
        <w:rPr>
          <w:rtl/>
        </w:rPr>
        <w:t xml:space="preserve"> </w:t>
      </w:r>
      <w:r w:rsidRPr="00564B9D">
        <w:rPr>
          <w:rFonts w:hint="cs"/>
          <w:rtl/>
        </w:rPr>
        <w:t>(الأزواج من جنس واحد)؛ وقانون الزواج والشراكة المدنية لعام 2014</w:t>
      </w:r>
      <w:r w:rsidRPr="00564B9D">
        <w:rPr>
          <w:vertAlign w:val="superscript"/>
          <w:rtl/>
        </w:rPr>
        <w:t>(</w:t>
      </w:r>
      <w:r w:rsidRPr="00564B9D">
        <w:rPr>
          <w:rStyle w:val="FootnoteReference"/>
          <w:rFonts w:cs="Simplified Arabic"/>
          <w:b w:val="0"/>
          <w:sz w:val="22"/>
          <w:szCs w:val="22"/>
          <w:rtl/>
          <w:lang w:val="en-US"/>
        </w:rPr>
        <w:footnoteReference w:id="218"/>
      </w:r>
      <w:r w:rsidRPr="00564B9D">
        <w:rPr>
          <w:vertAlign w:val="superscript"/>
          <w:rtl/>
        </w:rPr>
        <w:t>)</w:t>
      </w:r>
      <w:r w:rsidRPr="00564B9D">
        <w:rPr>
          <w:rtl/>
        </w:rPr>
        <w:t xml:space="preserve"> </w:t>
      </w:r>
      <w:r w:rsidRPr="00564B9D">
        <w:rPr>
          <w:rFonts w:hint="cs"/>
          <w:rtl/>
        </w:rPr>
        <w:t>(اسكتلندا) (إضفاء الطابع القانوني على زواج الأشخاص المنتمين إلى نفس الجنس في إنكلترا وويلز وفي اسكتلندا على التوالي)</w:t>
      </w:r>
      <w:r w:rsidRPr="00564B9D">
        <w:rPr>
          <w:rtl/>
        </w:rPr>
        <w:t xml:space="preserve">؛ </w:t>
      </w:r>
      <w:r w:rsidRPr="00564B9D">
        <w:rPr>
          <w:rFonts w:hint="cs"/>
          <w:rtl/>
        </w:rPr>
        <w:t>و</w:t>
      </w:r>
      <w:r w:rsidRPr="00564B9D">
        <w:rPr>
          <w:rtl/>
        </w:rPr>
        <w:t xml:space="preserve">قانون </w:t>
      </w:r>
      <w:r w:rsidRPr="00564B9D">
        <w:rPr>
          <w:rFonts w:hint="cs"/>
          <w:rtl/>
        </w:rPr>
        <w:t>ال</w:t>
      </w:r>
      <w:r w:rsidRPr="00564B9D">
        <w:rPr>
          <w:rtl/>
        </w:rPr>
        <w:t>تمثيل الجنس</w:t>
      </w:r>
      <w:r w:rsidRPr="00564B9D">
        <w:rPr>
          <w:rFonts w:hint="cs"/>
          <w:rtl/>
        </w:rPr>
        <w:t>اني</w:t>
      </w:r>
      <w:r w:rsidRPr="00564B9D">
        <w:rPr>
          <w:rtl/>
        </w:rPr>
        <w:t xml:space="preserve"> في المجالس العامة (اسكتلندا) لعام 2018 (ينص على تمثيل المرأة في المجالس العامة في اسكتلندا)، وقانون الشراكة المدنية (اسكتلندا) لعام 2020 (إضفاء الشرعية على الشراكة المدنية بين الأزواج </w:t>
      </w:r>
      <w:r w:rsidRPr="00564B9D">
        <w:rPr>
          <w:rFonts w:hint="cs"/>
          <w:rtl/>
        </w:rPr>
        <w:t xml:space="preserve">من الجنس الآخر </w:t>
      </w:r>
      <w:r w:rsidRPr="00564B9D">
        <w:rPr>
          <w:rtl/>
        </w:rPr>
        <w:t xml:space="preserve">في اسكتلندا)؛ </w:t>
      </w:r>
      <w:r w:rsidRPr="00564B9D">
        <w:rPr>
          <w:rFonts w:hint="cs"/>
          <w:rtl/>
        </w:rPr>
        <w:t>و</w:t>
      </w:r>
      <w:r w:rsidRPr="00564B9D">
        <w:rPr>
          <w:rtl/>
        </w:rPr>
        <w:t>اللوائح بموجب قانون الشراكات المدنية والزواج والوفيات (التسجيل وما إلى ذلك) لعام 2019 (</w:t>
      </w:r>
      <w:r w:rsidRPr="00564B9D">
        <w:rPr>
          <w:rFonts w:hint="cs"/>
          <w:rtl/>
        </w:rPr>
        <w:t>تطبيق</w:t>
      </w:r>
      <w:r w:rsidRPr="00564B9D">
        <w:rPr>
          <w:rtl/>
        </w:rPr>
        <w:t xml:space="preserve"> الشراكات المدنية </w:t>
      </w:r>
      <w:r w:rsidRPr="00564B9D">
        <w:rPr>
          <w:rFonts w:hint="cs"/>
          <w:rtl/>
        </w:rPr>
        <w:t>ع</w:t>
      </w:r>
      <w:r w:rsidRPr="00564B9D">
        <w:rPr>
          <w:rtl/>
        </w:rPr>
        <w:t xml:space="preserve">لى الأزواج من الجنس الآخر)؛ واللوائح بموجب قانون </w:t>
      </w:r>
      <w:r w:rsidR="000F4858" w:rsidRPr="00564B9D">
        <w:rPr>
          <w:rtl/>
        </w:rPr>
        <w:t>أيرلندا الشمالية</w:t>
      </w:r>
      <w:r w:rsidRPr="00564B9D">
        <w:rPr>
          <w:rtl/>
        </w:rPr>
        <w:t xml:space="preserve"> (التكوين التنفيذي) لعام 2019 (الاعتراف قانوناً بزواج المثليين والشراكات المدنية من الجنس الآخر في </w:t>
      </w:r>
      <w:r w:rsidR="000F4858" w:rsidRPr="00564B9D">
        <w:rPr>
          <w:rtl/>
        </w:rPr>
        <w:t>أيرلندا الشمالية</w:t>
      </w:r>
      <w:r w:rsidRPr="00564B9D">
        <w:rPr>
          <w:rtl/>
        </w:rPr>
        <w:t>).</w:t>
      </w:r>
    </w:p>
    <w:p w14:paraId="5AAABB99" w14:textId="74A62B62" w:rsidR="00494AE4" w:rsidRPr="00564B9D" w:rsidRDefault="00494AE4" w:rsidP="00494AE4">
      <w:pPr>
        <w:pStyle w:val="SingleTxtGA"/>
        <w:rPr>
          <w:rtl/>
        </w:rPr>
      </w:pPr>
      <w:r w:rsidRPr="00564B9D">
        <w:rPr>
          <w:rFonts w:hint="cs"/>
          <w:rtl/>
        </w:rPr>
        <w:t>53</w:t>
      </w:r>
      <w:r w:rsidRPr="00564B9D">
        <w:rPr>
          <w:rtl/>
        </w:rPr>
        <w:t>-</w:t>
      </w:r>
      <w:r w:rsidRPr="00564B9D">
        <w:rPr>
          <w:rtl/>
        </w:rPr>
        <w:tab/>
      </w:r>
      <w:r w:rsidRPr="00564B9D">
        <w:rPr>
          <w:rFonts w:hint="cs"/>
          <w:rtl/>
        </w:rPr>
        <w:t xml:space="preserve">ولدى مؤسسات حقوق الإنسان الوطنية ولجنة المساواة في </w:t>
      </w:r>
      <w:r w:rsidR="000F4858" w:rsidRPr="00564B9D">
        <w:rPr>
          <w:rFonts w:hint="cs"/>
          <w:rtl/>
        </w:rPr>
        <w:t>أيرلندا الشمالية</w:t>
      </w:r>
      <w:r w:rsidRPr="00564B9D">
        <w:rPr>
          <w:rFonts w:hint="cs"/>
          <w:rtl/>
        </w:rPr>
        <w:t xml:space="preserve"> دور رئيسي يتعلق برصد قضايا مناهضة التمييز والمساواة. وإضافة إلى ذلك، يكون لدى كل من اللجنة المشتركة المعنية بحقوق الإنسان والمنظمات غير الحكومية الحق في مراقبة الهيئة التنفيذية ومساءلتها بشأن هذه القضايا وقضايا حقوق الإنسان الأوسع نطاقاً.</w:t>
      </w:r>
    </w:p>
    <w:p w14:paraId="62EBC4BB" w14:textId="77777777" w:rsidR="00494AE4" w:rsidRPr="00564B9D" w:rsidRDefault="00494AE4" w:rsidP="004A0DA9">
      <w:pPr>
        <w:pStyle w:val="HChGA"/>
        <w:rPr>
          <w:rtl/>
        </w:rPr>
      </w:pPr>
      <w:bookmarkStart w:id="53" w:name="British"/>
      <w:r w:rsidRPr="00564B9D">
        <w:rPr>
          <w:rtl/>
        </w:rPr>
        <w:tab/>
      </w:r>
      <w:r w:rsidRPr="00564B9D">
        <w:rPr>
          <w:rtl/>
        </w:rPr>
        <w:tab/>
      </w:r>
      <w:r w:rsidRPr="00564B9D">
        <w:rPr>
          <w:rFonts w:hint="cs"/>
          <w:rtl/>
        </w:rPr>
        <w:t>الأقاليم البريطانية فيما وراء البحار</w:t>
      </w:r>
    </w:p>
    <w:bookmarkEnd w:id="53"/>
    <w:p w14:paraId="09E72635" w14:textId="77777777" w:rsidR="00494AE4" w:rsidRPr="00564B9D" w:rsidRDefault="00494AE4" w:rsidP="00494AE4">
      <w:pPr>
        <w:pStyle w:val="SingleTxtGA"/>
        <w:rPr>
          <w:rtl/>
        </w:rPr>
      </w:pPr>
      <w:r w:rsidRPr="00564B9D">
        <w:rPr>
          <w:rFonts w:hint="cs"/>
          <w:rtl/>
        </w:rPr>
        <w:t>54</w:t>
      </w:r>
      <w:r w:rsidRPr="00564B9D">
        <w:rPr>
          <w:rtl/>
        </w:rPr>
        <w:t>-</w:t>
      </w:r>
      <w:r w:rsidRPr="00564B9D">
        <w:rPr>
          <w:rtl/>
        </w:rPr>
        <w:tab/>
      </w:r>
      <w:r w:rsidRPr="00564B9D">
        <w:rPr>
          <w:rFonts w:hint="cs"/>
          <w:rtl/>
        </w:rPr>
        <w:t>هناك أربعة عشر إقليماً بريطانياً فيما وراء البحار، وهي: أنغيلا؛ وبرمودا؛ والأراضي البريطانية في أنتارتيكا؛ وإقليم المحيط الهندي البريطاني؛ وجزر كايمان؛ وجزر فوكلاند؛ وجبل طارق؛ ومونتسيرات؛ وبيتكيرن وهندرسون ودوسي وأوينو؛ وسانت هيلانة وأسنسيون وتريستان دا كونيا؛ و</w:t>
      </w:r>
      <w:r w:rsidRPr="00564B9D">
        <w:rPr>
          <w:rtl/>
        </w:rPr>
        <w:t>جورجيا الجنوبية وجزر ساندويتش الجنوبية</w:t>
      </w:r>
      <w:r w:rsidRPr="00564B9D">
        <w:rPr>
          <w:rFonts w:hint="cs"/>
          <w:rtl/>
        </w:rPr>
        <w:t>؛ ومنطقتا قاعدتي أكروتيري وديكليا التابعتين للسيادة البريطانية في قبرص؛ وجزر تركس وكايكوس؛ وجزر فيرجن (المعروفة بجزر فيرجن البريطانية).</w:t>
      </w:r>
    </w:p>
    <w:p w14:paraId="03B184CB" w14:textId="7906AD7A" w:rsidR="00494AE4" w:rsidRPr="00564B9D" w:rsidRDefault="00494AE4" w:rsidP="00494AE4">
      <w:pPr>
        <w:pStyle w:val="SingleTxtGA"/>
        <w:rPr>
          <w:rtl/>
        </w:rPr>
      </w:pPr>
      <w:r w:rsidRPr="00564B9D">
        <w:rPr>
          <w:rFonts w:hint="cs"/>
          <w:rtl/>
        </w:rPr>
        <w:lastRenderedPageBreak/>
        <w:t>55</w:t>
      </w:r>
      <w:r w:rsidRPr="00564B9D">
        <w:rPr>
          <w:rtl/>
        </w:rPr>
        <w:t>-</w:t>
      </w:r>
      <w:r w:rsidRPr="00564B9D">
        <w:rPr>
          <w:rtl/>
        </w:rPr>
        <w:tab/>
      </w:r>
      <w:r w:rsidRPr="00564B9D">
        <w:rPr>
          <w:rFonts w:hint="cs"/>
          <w:rtl/>
        </w:rPr>
        <w:t>ولا يوجد سكان أصليون دائمون في الأراضي البريطانية في أنتارتيكا وإقليم المحيط الهندي البريطاني و</w:t>
      </w:r>
      <w:r w:rsidRPr="00564B9D">
        <w:rPr>
          <w:rtl/>
        </w:rPr>
        <w:t>جورجيا الجنوبية وجزر ساندويتش الجنوبية</w:t>
      </w:r>
      <w:r w:rsidRPr="00564B9D">
        <w:rPr>
          <w:rFonts w:hint="cs"/>
          <w:rtl/>
        </w:rPr>
        <w:t xml:space="preserve"> و</w:t>
      </w:r>
      <w:r w:rsidRPr="00564B9D">
        <w:rPr>
          <w:rtl/>
        </w:rPr>
        <w:t>منطقت</w:t>
      </w:r>
      <w:r w:rsidRPr="00564B9D">
        <w:rPr>
          <w:rFonts w:hint="cs"/>
          <w:rtl/>
        </w:rPr>
        <w:t>ي</w:t>
      </w:r>
      <w:r w:rsidRPr="00564B9D">
        <w:rPr>
          <w:rtl/>
        </w:rPr>
        <w:t xml:space="preserve"> ق</w:t>
      </w:r>
      <w:r w:rsidRPr="00564B9D">
        <w:rPr>
          <w:rFonts w:hint="cs"/>
          <w:rtl/>
        </w:rPr>
        <w:t>اعدتي</w:t>
      </w:r>
      <w:r w:rsidRPr="00564B9D">
        <w:rPr>
          <w:rtl/>
        </w:rPr>
        <w:t xml:space="preserve"> أكروتيري و</w:t>
      </w:r>
      <w:r w:rsidRPr="00564B9D">
        <w:rPr>
          <w:rFonts w:hint="cs"/>
          <w:rtl/>
        </w:rPr>
        <w:t>د</w:t>
      </w:r>
      <w:r w:rsidRPr="00564B9D">
        <w:rPr>
          <w:rtl/>
        </w:rPr>
        <w:t xml:space="preserve">يكليا </w:t>
      </w:r>
      <w:r w:rsidRPr="00564B9D">
        <w:rPr>
          <w:rFonts w:hint="cs"/>
          <w:rtl/>
        </w:rPr>
        <w:t>التابعتين</w:t>
      </w:r>
      <w:r w:rsidRPr="00564B9D">
        <w:rPr>
          <w:rtl/>
        </w:rPr>
        <w:t xml:space="preserve"> </w:t>
      </w:r>
      <w:r w:rsidRPr="00564B9D">
        <w:rPr>
          <w:rFonts w:hint="cs"/>
          <w:rtl/>
        </w:rPr>
        <w:t>ل</w:t>
      </w:r>
      <w:r w:rsidRPr="00564B9D">
        <w:rPr>
          <w:rtl/>
        </w:rPr>
        <w:t>لسيادة</w:t>
      </w:r>
      <w:r w:rsidRPr="00564B9D">
        <w:rPr>
          <w:rFonts w:hint="cs"/>
          <w:rtl/>
        </w:rPr>
        <w:t xml:space="preserve"> البريطانية في قبرص. وبناء على ذلك ستركز الوثيقة الأساسية فقط على الأقاليم الأخرى فيما وراء البحار (ويتوفر على الإنترنت قدر متزايد من المعلومات المتعلقة بهذه</w:t>
      </w:r>
      <w:r w:rsidRPr="00564B9D">
        <w:rPr>
          <w:rFonts w:hint="eastAsia"/>
          <w:rtl/>
        </w:rPr>
        <w:t xml:space="preserve"> </w:t>
      </w:r>
      <w:r w:rsidRPr="00564B9D">
        <w:rPr>
          <w:rFonts w:hint="cs"/>
          <w:rtl/>
        </w:rPr>
        <w:t>الأقاليم)</w:t>
      </w:r>
      <w:r w:rsidRPr="00564B9D">
        <w:rPr>
          <w:vertAlign w:val="superscript"/>
          <w:rtl/>
        </w:rPr>
        <w:t>(</w:t>
      </w:r>
      <w:r w:rsidRPr="00564B9D">
        <w:rPr>
          <w:rStyle w:val="FootnoteReference"/>
          <w:rFonts w:cs="Simplified Arabic"/>
          <w:b w:val="0"/>
          <w:sz w:val="22"/>
          <w:szCs w:val="22"/>
          <w:rtl/>
          <w:lang w:val="en-US"/>
        </w:rPr>
        <w:footnoteReference w:id="219"/>
      </w:r>
      <w:r w:rsidRPr="00564B9D">
        <w:rPr>
          <w:vertAlign w:val="superscript"/>
          <w:rtl/>
        </w:rPr>
        <w:t>)</w:t>
      </w:r>
      <w:r w:rsidRPr="00564B9D">
        <w:rPr>
          <w:rFonts w:hint="cs"/>
          <w:rtl/>
        </w:rPr>
        <w:t>.</w:t>
      </w:r>
    </w:p>
    <w:p w14:paraId="4C400270" w14:textId="0BFC650D" w:rsidR="00494AE4" w:rsidRPr="00564B9D" w:rsidRDefault="00494AE4" w:rsidP="00494AE4">
      <w:pPr>
        <w:pStyle w:val="HChGA"/>
        <w:rPr>
          <w:rtl/>
          <w:lang w:val="en-US"/>
        </w:rPr>
      </w:pPr>
      <w:r w:rsidRPr="00564B9D">
        <w:rPr>
          <w:rtl/>
        </w:rPr>
        <w:tab/>
      </w:r>
      <w:r w:rsidRPr="00564B9D">
        <w:rPr>
          <w:rtl/>
        </w:rPr>
        <w:tab/>
      </w:r>
      <w:bookmarkStart w:id="54" w:name="_Toc123044116"/>
      <w:bookmarkStart w:id="55" w:name="_Toc123044339"/>
      <w:bookmarkStart w:id="56" w:name="_Toc123044600"/>
      <w:bookmarkStart w:id="57" w:name="_Toc123044862"/>
      <w:r w:rsidRPr="00564B9D">
        <w:rPr>
          <w:rFonts w:hint="cs"/>
          <w:rtl/>
        </w:rPr>
        <w:t>أنغيلا</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20"/>
      </w:r>
      <w:r w:rsidRPr="00564B9D">
        <w:rPr>
          <w:b w:val="0"/>
          <w:bCs w:val="0"/>
          <w:sz w:val="22"/>
          <w:szCs w:val="22"/>
          <w:vertAlign w:val="superscript"/>
          <w:rtl/>
        </w:rPr>
        <w:t>)</w:t>
      </w:r>
      <w:bookmarkEnd w:id="54"/>
      <w:bookmarkEnd w:id="55"/>
      <w:bookmarkEnd w:id="56"/>
      <w:bookmarkEnd w:id="57"/>
    </w:p>
    <w:p w14:paraId="4EAA6059" w14:textId="77777777" w:rsidR="00494AE4" w:rsidRPr="00564B9D" w:rsidRDefault="00494AE4" w:rsidP="00494AE4">
      <w:pPr>
        <w:pStyle w:val="HChGA"/>
        <w:rPr>
          <w:lang w:val="en-US"/>
        </w:rPr>
      </w:pPr>
      <w:r w:rsidRPr="00564B9D">
        <w:rPr>
          <w:rtl/>
        </w:rPr>
        <w:tab/>
      </w:r>
      <w:bookmarkStart w:id="58" w:name="_Toc123044117"/>
      <w:bookmarkStart w:id="59" w:name="_Toc123044340"/>
      <w:bookmarkStart w:id="60" w:name="_Toc123044601"/>
      <w:bookmarkStart w:id="61" w:name="_Toc123044863"/>
      <w:r w:rsidRPr="00564B9D">
        <w:rPr>
          <w:rFonts w:hint="cs"/>
          <w:rtl/>
        </w:rPr>
        <w:t>أولاً</w:t>
      </w:r>
      <w:r w:rsidRPr="00564B9D">
        <w:rPr>
          <w:rtl/>
        </w:rPr>
        <w:t>-</w:t>
      </w:r>
      <w:r w:rsidRPr="00564B9D">
        <w:rPr>
          <w:rtl/>
        </w:rPr>
        <w:tab/>
      </w:r>
      <w:r w:rsidRPr="00564B9D">
        <w:rPr>
          <w:rFonts w:hint="cs"/>
          <w:rtl/>
        </w:rPr>
        <w:t>معلومات عامة</w:t>
      </w:r>
      <w:bookmarkEnd w:id="58"/>
      <w:bookmarkEnd w:id="59"/>
      <w:bookmarkEnd w:id="60"/>
      <w:bookmarkEnd w:id="61"/>
    </w:p>
    <w:p w14:paraId="793F121E" w14:textId="77777777" w:rsidR="00494AE4" w:rsidRPr="00564B9D" w:rsidRDefault="00494AE4" w:rsidP="00494AE4">
      <w:pPr>
        <w:pStyle w:val="H1GA"/>
        <w:rPr>
          <w:rtl/>
        </w:rPr>
      </w:pPr>
      <w:r w:rsidRPr="00564B9D">
        <w:rPr>
          <w:rtl/>
        </w:rPr>
        <w:tab/>
      </w:r>
      <w:bookmarkStart w:id="62" w:name="_Toc123044118"/>
      <w:bookmarkStart w:id="63" w:name="_Toc123044341"/>
      <w:bookmarkStart w:id="64" w:name="_Toc123044602"/>
      <w:bookmarkStart w:id="65" w:name="_Toc123044864"/>
      <w:r w:rsidRPr="00564B9D">
        <w:rPr>
          <w:rtl/>
        </w:rPr>
        <w:t>ألف-</w:t>
      </w:r>
      <w:r w:rsidRPr="00564B9D">
        <w:rPr>
          <w:rtl/>
        </w:rPr>
        <w:tab/>
        <w:t>الخصائص الديمغرافية والاقتصادية والاجتماعية والثقافية</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21"/>
      </w:r>
      <w:r w:rsidRPr="00564B9D">
        <w:rPr>
          <w:b w:val="0"/>
          <w:bCs w:val="0"/>
          <w:sz w:val="22"/>
          <w:szCs w:val="22"/>
          <w:vertAlign w:val="superscript"/>
          <w:rtl/>
        </w:rPr>
        <w:t>)</w:t>
      </w:r>
      <w:bookmarkEnd w:id="62"/>
      <w:bookmarkEnd w:id="63"/>
      <w:bookmarkEnd w:id="64"/>
      <w:bookmarkEnd w:id="65"/>
      <w:r w:rsidRPr="00564B9D">
        <w:rPr>
          <w:rtl/>
        </w:rPr>
        <w:t xml:space="preserve"> </w:t>
      </w:r>
    </w:p>
    <w:tbl>
      <w:tblPr>
        <w:bidiVisual/>
        <w:tblW w:w="8392" w:type="dxa"/>
        <w:tblInd w:w="1247" w:type="dxa"/>
        <w:tblLayout w:type="fixed"/>
        <w:tblCellMar>
          <w:right w:w="113" w:type="dxa"/>
        </w:tblCellMar>
        <w:tblLook w:val="01E0" w:firstRow="1" w:lastRow="1" w:firstColumn="1" w:lastColumn="1" w:noHBand="0" w:noVBand="0"/>
      </w:tblPr>
      <w:tblGrid>
        <w:gridCol w:w="4662"/>
        <w:gridCol w:w="3730"/>
      </w:tblGrid>
      <w:tr w:rsidR="007B5A24" w:rsidRPr="00564B9D" w14:paraId="37437C94" w14:textId="77777777" w:rsidTr="00804944">
        <w:trPr>
          <w:tblHeader/>
        </w:trPr>
        <w:tc>
          <w:tcPr>
            <w:tcW w:w="7070" w:type="dxa"/>
            <w:gridSpan w:val="2"/>
            <w:tcBorders>
              <w:top w:val="single" w:sz="4" w:space="0" w:color="auto"/>
              <w:bottom w:val="single" w:sz="12" w:space="0" w:color="auto"/>
            </w:tcBorders>
            <w:shd w:val="clear" w:color="auto" w:fill="auto"/>
            <w:vAlign w:val="bottom"/>
          </w:tcPr>
          <w:p w14:paraId="03A6F64C"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 xml:space="preserve">المؤشرات الديمغرافية </w:t>
            </w:r>
          </w:p>
        </w:tc>
      </w:tr>
      <w:tr w:rsidR="007B5A24" w:rsidRPr="00564B9D" w14:paraId="70E9094E" w14:textId="77777777" w:rsidTr="00804944">
        <w:tc>
          <w:tcPr>
            <w:tcW w:w="3928" w:type="dxa"/>
            <w:tcBorders>
              <w:top w:val="single" w:sz="12" w:space="0" w:color="auto"/>
            </w:tcBorders>
            <w:shd w:val="clear" w:color="auto" w:fill="auto"/>
          </w:tcPr>
          <w:p w14:paraId="330F11B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3142" w:type="dxa"/>
            <w:tcBorders>
              <w:top w:val="single" w:sz="12" w:space="0" w:color="auto"/>
            </w:tcBorders>
            <w:shd w:val="clear" w:color="auto" w:fill="auto"/>
          </w:tcPr>
          <w:p w14:paraId="642816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318</w:t>
            </w:r>
            <w:r w:rsidRPr="00564B9D">
              <w:rPr>
                <w:sz w:val="20"/>
                <w:szCs w:val="20"/>
                <w:rtl/>
              </w:rPr>
              <w:t> </w:t>
            </w:r>
            <w:r w:rsidRPr="00564B9D">
              <w:rPr>
                <w:rFonts w:hint="cs"/>
                <w:sz w:val="20"/>
                <w:szCs w:val="20"/>
                <w:rtl/>
              </w:rPr>
              <w:t>16 (تقديرات عام 2010)</w:t>
            </w:r>
            <w:r w:rsidRPr="00564B9D">
              <w:rPr>
                <w:sz w:val="20"/>
                <w:szCs w:val="20"/>
                <w:vertAlign w:val="superscript"/>
                <w:rtl/>
              </w:rPr>
              <w:t>(</w:t>
            </w:r>
            <w:r w:rsidRPr="00564B9D">
              <w:rPr>
                <w:rStyle w:val="FootnoteReference"/>
                <w:rFonts w:cs="Simplified Arabic"/>
                <w:b w:val="0"/>
                <w:sz w:val="20"/>
                <w:szCs w:val="20"/>
                <w:rtl/>
                <w:lang w:val="en-US"/>
              </w:rPr>
              <w:footnoteReference w:id="222"/>
            </w:r>
            <w:r w:rsidRPr="00564B9D">
              <w:rPr>
                <w:sz w:val="20"/>
                <w:szCs w:val="20"/>
                <w:vertAlign w:val="superscript"/>
                <w:rtl/>
              </w:rPr>
              <w:t>)</w:t>
            </w:r>
            <w:r w:rsidRPr="00564B9D">
              <w:rPr>
                <w:sz w:val="20"/>
                <w:szCs w:val="20"/>
                <w:rtl/>
              </w:rPr>
              <w:t xml:space="preserve"> </w:t>
            </w:r>
          </w:p>
        </w:tc>
      </w:tr>
      <w:tr w:rsidR="007B5A24" w:rsidRPr="00564B9D" w14:paraId="511746B6" w14:textId="77777777" w:rsidTr="00804944">
        <w:tc>
          <w:tcPr>
            <w:tcW w:w="3928" w:type="dxa"/>
            <w:shd w:val="clear" w:color="auto" w:fill="auto"/>
          </w:tcPr>
          <w:p w14:paraId="3716E0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3142" w:type="dxa"/>
            <w:shd w:val="clear" w:color="auto" w:fill="auto"/>
          </w:tcPr>
          <w:p w14:paraId="03B1A5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E824753" w14:textId="77777777" w:rsidTr="00804944">
        <w:tc>
          <w:tcPr>
            <w:tcW w:w="3928" w:type="dxa"/>
            <w:shd w:val="clear" w:color="auto" w:fill="auto"/>
          </w:tcPr>
          <w:p w14:paraId="050088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3142" w:type="dxa"/>
            <w:shd w:val="clear" w:color="auto" w:fill="auto"/>
          </w:tcPr>
          <w:p w14:paraId="007E0B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CD0A1D4" w14:textId="77777777" w:rsidTr="00804944">
        <w:tc>
          <w:tcPr>
            <w:tcW w:w="3928" w:type="dxa"/>
            <w:shd w:val="clear" w:color="auto" w:fill="auto"/>
          </w:tcPr>
          <w:p w14:paraId="66F73A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توزيع السكان بحسب اللغة الأم</w:t>
            </w:r>
          </w:p>
        </w:tc>
        <w:tc>
          <w:tcPr>
            <w:tcW w:w="3142" w:type="dxa"/>
            <w:shd w:val="clear" w:color="auto" w:fill="auto"/>
          </w:tcPr>
          <w:p w14:paraId="358790F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23EE54C" w14:textId="77777777" w:rsidTr="00804944">
        <w:tc>
          <w:tcPr>
            <w:tcW w:w="3928" w:type="dxa"/>
            <w:shd w:val="clear" w:color="auto" w:fill="auto"/>
          </w:tcPr>
          <w:p w14:paraId="5ADD1C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3142" w:type="dxa"/>
            <w:shd w:val="clear" w:color="auto" w:fill="auto"/>
          </w:tcPr>
          <w:p w14:paraId="6FAAB0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F228D9D" w14:textId="77777777" w:rsidTr="00804944">
        <w:tc>
          <w:tcPr>
            <w:tcW w:w="3928" w:type="dxa"/>
            <w:shd w:val="clear" w:color="auto" w:fill="auto"/>
          </w:tcPr>
          <w:p w14:paraId="41EF41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الفئات الإثنية</w:t>
            </w:r>
          </w:p>
        </w:tc>
        <w:tc>
          <w:tcPr>
            <w:tcW w:w="3142" w:type="dxa"/>
            <w:shd w:val="clear" w:color="auto" w:fill="auto"/>
          </w:tcPr>
          <w:p w14:paraId="12BBD0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2001:</w:t>
            </w:r>
          </w:p>
          <w:p w14:paraId="4A3BBC56" w14:textId="3B1B1F87" w:rsidR="00494AE4" w:rsidRPr="00564B9D" w:rsidRDefault="00494AE4" w:rsidP="0078130C">
            <w:pPr>
              <w:pStyle w:val="SingleTxtGA"/>
              <w:tabs>
                <w:tab w:val="clear" w:pos="1928"/>
                <w:tab w:val="clear" w:pos="2608"/>
                <w:tab w:val="clear" w:pos="3289"/>
                <w:tab w:val="clear" w:pos="3969"/>
                <w:tab w:val="clear" w:pos="4649"/>
                <w:tab w:val="clear" w:pos="5330"/>
                <w:tab w:val="left" w:pos="1921"/>
              </w:tabs>
              <w:spacing w:before="40" w:after="40" w:line="280" w:lineRule="exact"/>
              <w:ind w:left="0" w:right="0"/>
              <w:rPr>
                <w:sz w:val="20"/>
                <w:szCs w:val="20"/>
                <w:rtl/>
              </w:rPr>
            </w:pPr>
            <w:r w:rsidRPr="00564B9D">
              <w:rPr>
                <w:rFonts w:hint="cs"/>
                <w:sz w:val="20"/>
                <w:szCs w:val="20"/>
                <w:rtl/>
              </w:rPr>
              <w:t>أفارقة/سود</w:t>
            </w:r>
            <w:r w:rsidR="0078130C" w:rsidRPr="00564B9D">
              <w:rPr>
                <w:rFonts w:hint="cs"/>
                <w:sz w:val="20"/>
                <w:szCs w:val="20"/>
                <w:rtl/>
              </w:rPr>
              <w:t>:</w:t>
            </w:r>
            <w:r w:rsidR="0078130C" w:rsidRPr="00564B9D">
              <w:rPr>
                <w:sz w:val="20"/>
                <w:szCs w:val="20"/>
                <w:rtl/>
              </w:rPr>
              <w:tab/>
            </w:r>
            <w:r w:rsidRPr="00564B9D">
              <w:rPr>
                <w:rFonts w:hint="cs"/>
                <w:sz w:val="20"/>
                <w:szCs w:val="20"/>
                <w:rtl/>
              </w:rPr>
              <w:t>90,1 في المائة</w:t>
            </w:r>
          </w:p>
          <w:p w14:paraId="70B4FB4B" w14:textId="054CCB13" w:rsidR="00494AE4" w:rsidRPr="00564B9D" w:rsidRDefault="00494AE4" w:rsidP="0078130C">
            <w:pPr>
              <w:pStyle w:val="SingleTxtGA"/>
              <w:tabs>
                <w:tab w:val="clear" w:pos="1928"/>
                <w:tab w:val="clear" w:pos="2608"/>
                <w:tab w:val="clear" w:pos="3289"/>
                <w:tab w:val="clear" w:pos="3969"/>
                <w:tab w:val="clear" w:pos="4649"/>
                <w:tab w:val="clear" w:pos="5330"/>
                <w:tab w:val="left" w:pos="1921"/>
              </w:tabs>
              <w:spacing w:before="40" w:after="40" w:line="280" w:lineRule="exact"/>
              <w:ind w:left="0" w:right="0"/>
              <w:rPr>
                <w:sz w:val="20"/>
                <w:szCs w:val="20"/>
                <w:rtl/>
              </w:rPr>
            </w:pPr>
            <w:r w:rsidRPr="00564B9D">
              <w:rPr>
                <w:rFonts w:hint="cs"/>
                <w:sz w:val="20"/>
                <w:szCs w:val="20"/>
                <w:rtl/>
              </w:rPr>
              <w:t>هنود أمريكيون/كاريبيون</w:t>
            </w:r>
            <w:r w:rsidR="0078130C" w:rsidRPr="00564B9D">
              <w:rPr>
                <w:rFonts w:hint="cs"/>
                <w:sz w:val="20"/>
                <w:szCs w:val="20"/>
                <w:rtl/>
              </w:rPr>
              <w:t>:</w:t>
            </w:r>
            <w:r w:rsidR="0078130C" w:rsidRPr="00564B9D">
              <w:rPr>
                <w:sz w:val="20"/>
                <w:szCs w:val="20"/>
                <w:rtl/>
              </w:rPr>
              <w:tab/>
            </w:r>
            <w:r w:rsidRPr="00564B9D">
              <w:rPr>
                <w:rFonts w:hint="cs"/>
                <w:sz w:val="20"/>
                <w:szCs w:val="20"/>
                <w:rtl/>
              </w:rPr>
              <w:t>0,2 في المائة</w:t>
            </w:r>
          </w:p>
          <w:p w14:paraId="6A195418" w14:textId="0D12CCAA" w:rsidR="00494AE4" w:rsidRPr="00564B9D" w:rsidRDefault="00494AE4" w:rsidP="0078130C">
            <w:pPr>
              <w:pStyle w:val="SingleTxtGA"/>
              <w:tabs>
                <w:tab w:val="clear" w:pos="1928"/>
                <w:tab w:val="clear" w:pos="2608"/>
                <w:tab w:val="clear" w:pos="3289"/>
                <w:tab w:val="clear" w:pos="3969"/>
                <w:tab w:val="clear" w:pos="4649"/>
                <w:tab w:val="clear" w:pos="5330"/>
                <w:tab w:val="left" w:pos="1921"/>
              </w:tabs>
              <w:spacing w:before="40" w:after="40" w:line="280" w:lineRule="exact"/>
              <w:ind w:left="0" w:right="0"/>
              <w:rPr>
                <w:sz w:val="20"/>
                <w:szCs w:val="20"/>
                <w:rtl/>
              </w:rPr>
            </w:pPr>
            <w:r w:rsidRPr="00564B9D">
              <w:rPr>
                <w:rFonts w:hint="cs"/>
                <w:sz w:val="20"/>
                <w:szCs w:val="20"/>
                <w:rtl/>
              </w:rPr>
              <w:t>هنود شرقيون</w:t>
            </w:r>
            <w:r w:rsidR="0078130C" w:rsidRPr="00564B9D">
              <w:rPr>
                <w:rFonts w:hint="cs"/>
                <w:sz w:val="20"/>
                <w:szCs w:val="20"/>
                <w:rtl/>
              </w:rPr>
              <w:t>:</w:t>
            </w:r>
            <w:r w:rsidR="0078130C" w:rsidRPr="00564B9D">
              <w:rPr>
                <w:sz w:val="20"/>
                <w:szCs w:val="20"/>
                <w:rtl/>
              </w:rPr>
              <w:tab/>
            </w:r>
            <w:r w:rsidRPr="00564B9D">
              <w:rPr>
                <w:rFonts w:hint="cs"/>
                <w:sz w:val="20"/>
                <w:szCs w:val="20"/>
                <w:rtl/>
              </w:rPr>
              <w:t>0,8 في المائة</w:t>
            </w:r>
          </w:p>
          <w:p w14:paraId="68BC13A1" w14:textId="7E41EEF6" w:rsidR="00494AE4" w:rsidRPr="00564B9D" w:rsidRDefault="00494AE4" w:rsidP="0078130C">
            <w:pPr>
              <w:pStyle w:val="SingleTxtGA"/>
              <w:tabs>
                <w:tab w:val="clear" w:pos="1928"/>
                <w:tab w:val="clear" w:pos="2608"/>
                <w:tab w:val="clear" w:pos="3289"/>
                <w:tab w:val="clear" w:pos="3969"/>
                <w:tab w:val="clear" w:pos="4649"/>
                <w:tab w:val="clear" w:pos="5330"/>
                <w:tab w:val="left" w:pos="1921"/>
              </w:tabs>
              <w:spacing w:before="40" w:after="40" w:line="280" w:lineRule="exact"/>
              <w:ind w:left="0" w:right="0"/>
              <w:rPr>
                <w:sz w:val="20"/>
                <w:szCs w:val="20"/>
                <w:rtl/>
              </w:rPr>
            </w:pPr>
            <w:r w:rsidRPr="00564B9D">
              <w:rPr>
                <w:rFonts w:hint="cs"/>
                <w:sz w:val="20"/>
                <w:szCs w:val="20"/>
                <w:rtl/>
              </w:rPr>
              <w:t>قوقازيون/بيض</w:t>
            </w:r>
            <w:r w:rsidR="0078130C" w:rsidRPr="00564B9D">
              <w:rPr>
                <w:rFonts w:hint="cs"/>
                <w:sz w:val="20"/>
                <w:szCs w:val="20"/>
                <w:rtl/>
              </w:rPr>
              <w:t>:</w:t>
            </w:r>
            <w:r w:rsidR="0078130C" w:rsidRPr="00564B9D">
              <w:rPr>
                <w:sz w:val="20"/>
                <w:szCs w:val="20"/>
                <w:rtl/>
              </w:rPr>
              <w:tab/>
            </w:r>
            <w:r w:rsidRPr="00564B9D">
              <w:rPr>
                <w:rFonts w:hint="cs"/>
                <w:sz w:val="20"/>
                <w:szCs w:val="20"/>
                <w:rtl/>
              </w:rPr>
              <w:t>3,7 في المائة</w:t>
            </w:r>
          </w:p>
          <w:p w14:paraId="1249EB72" w14:textId="429664A6" w:rsidR="00494AE4" w:rsidRPr="00564B9D" w:rsidRDefault="00494AE4" w:rsidP="0078130C">
            <w:pPr>
              <w:pStyle w:val="SingleTxtGA"/>
              <w:tabs>
                <w:tab w:val="clear" w:pos="1928"/>
                <w:tab w:val="clear" w:pos="2608"/>
                <w:tab w:val="clear" w:pos="3289"/>
                <w:tab w:val="clear" w:pos="3969"/>
                <w:tab w:val="clear" w:pos="4649"/>
                <w:tab w:val="clear" w:pos="5330"/>
                <w:tab w:val="left" w:pos="1921"/>
              </w:tabs>
              <w:spacing w:before="40" w:after="40" w:line="280" w:lineRule="exact"/>
              <w:ind w:left="0" w:right="0"/>
              <w:rPr>
                <w:sz w:val="20"/>
                <w:szCs w:val="20"/>
                <w:rtl/>
              </w:rPr>
            </w:pPr>
            <w:r w:rsidRPr="00564B9D">
              <w:rPr>
                <w:rFonts w:hint="cs"/>
                <w:sz w:val="20"/>
                <w:szCs w:val="20"/>
                <w:rtl/>
              </w:rPr>
              <w:t>صينيون/شرقيون</w:t>
            </w:r>
            <w:r w:rsidR="0078130C" w:rsidRPr="00564B9D">
              <w:rPr>
                <w:rFonts w:hint="cs"/>
                <w:sz w:val="20"/>
                <w:szCs w:val="20"/>
                <w:rtl/>
              </w:rPr>
              <w:t>:</w:t>
            </w:r>
            <w:r w:rsidR="0078130C" w:rsidRPr="00564B9D">
              <w:rPr>
                <w:sz w:val="20"/>
                <w:szCs w:val="20"/>
                <w:rtl/>
              </w:rPr>
              <w:tab/>
            </w:r>
            <w:r w:rsidRPr="00564B9D">
              <w:rPr>
                <w:rFonts w:hint="cs"/>
                <w:sz w:val="20"/>
                <w:szCs w:val="20"/>
                <w:rtl/>
              </w:rPr>
              <w:t>0,2 في المائة</w:t>
            </w:r>
          </w:p>
          <w:p w14:paraId="38DA33BB" w14:textId="7E68064E" w:rsidR="00494AE4" w:rsidRPr="00564B9D" w:rsidRDefault="00494AE4" w:rsidP="0078130C">
            <w:pPr>
              <w:pStyle w:val="SingleTxtGA"/>
              <w:tabs>
                <w:tab w:val="clear" w:pos="1928"/>
                <w:tab w:val="clear" w:pos="2608"/>
                <w:tab w:val="clear" w:pos="3289"/>
                <w:tab w:val="clear" w:pos="3969"/>
                <w:tab w:val="clear" w:pos="4649"/>
                <w:tab w:val="clear" w:pos="5330"/>
                <w:tab w:val="left" w:pos="1921"/>
              </w:tabs>
              <w:spacing w:before="40" w:after="40" w:line="280" w:lineRule="exact"/>
              <w:ind w:left="0" w:right="0"/>
              <w:rPr>
                <w:sz w:val="20"/>
                <w:szCs w:val="20"/>
                <w:rtl/>
              </w:rPr>
            </w:pPr>
            <w:r w:rsidRPr="00564B9D">
              <w:rPr>
                <w:rFonts w:hint="cs"/>
                <w:sz w:val="20"/>
                <w:szCs w:val="20"/>
                <w:rtl/>
              </w:rPr>
              <w:t>مختلطون</w:t>
            </w:r>
            <w:r w:rsidR="0078130C" w:rsidRPr="00564B9D">
              <w:rPr>
                <w:rFonts w:hint="cs"/>
                <w:sz w:val="20"/>
                <w:szCs w:val="20"/>
                <w:rtl/>
              </w:rPr>
              <w:t>:</w:t>
            </w:r>
            <w:r w:rsidR="0078130C" w:rsidRPr="00564B9D">
              <w:rPr>
                <w:sz w:val="20"/>
                <w:szCs w:val="20"/>
                <w:rtl/>
              </w:rPr>
              <w:tab/>
            </w:r>
            <w:r w:rsidRPr="00564B9D">
              <w:rPr>
                <w:rFonts w:hint="cs"/>
                <w:sz w:val="20"/>
                <w:szCs w:val="20"/>
                <w:rtl/>
              </w:rPr>
              <w:t>4,6 في المائة</w:t>
            </w:r>
          </w:p>
          <w:p w14:paraId="25FF5312" w14:textId="255C6E66" w:rsidR="00494AE4" w:rsidRPr="00564B9D" w:rsidRDefault="00494AE4" w:rsidP="0078130C">
            <w:pPr>
              <w:pStyle w:val="SingleTxtGA"/>
              <w:tabs>
                <w:tab w:val="clear" w:pos="1928"/>
                <w:tab w:val="clear" w:pos="2608"/>
                <w:tab w:val="clear" w:pos="3289"/>
                <w:tab w:val="clear" w:pos="3969"/>
                <w:tab w:val="clear" w:pos="4649"/>
                <w:tab w:val="clear" w:pos="5330"/>
                <w:tab w:val="left" w:pos="1921"/>
              </w:tabs>
              <w:spacing w:before="40" w:after="40" w:line="280" w:lineRule="exact"/>
              <w:ind w:left="0" w:right="0"/>
              <w:rPr>
                <w:sz w:val="20"/>
                <w:szCs w:val="20"/>
              </w:rPr>
            </w:pPr>
            <w:r w:rsidRPr="00564B9D">
              <w:rPr>
                <w:rFonts w:hint="cs"/>
                <w:sz w:val="20"/>
                <w:szCs w:val="20"/>
                <w:rtl/>
              </w:rPr>
              <w:t>فئات أخرى</w:t>
            </w:r>
            <w:r w:rsidR="0078130C" w:rsidRPr="00564B9D">
              <w:rPr>
                <w:rFonts w:hint="cs"/>
                <w:sz w:val="20"/>
                <w:szCs w:val="20"/>
                <w:rtl/>
              </w:rPr>
              <w:t>:</w:t>
            </w:r>
            <w:r w:rsidR="0078130C" w:rsidRPr="00564B9D">
              <w:rPr>
                <w:sz w:val="20"/>
                <w:szCs w:val="20"/>
                <w:rtl/>
              </w:rPr>
              <w:tab/>
            </w:r>
            <w:r w:rsidRPr="00564B9D">
              <w:rPr>
                <w:rFonts w:hint="cs"/>
                <w:sz w:val="20"/>
                <w:szCs w:val="20"/>
                <w:rtl/>
              </w:rPr>
              <w:t>0,3 في المائة</w:t>
            </w:r>
          </w:p>
        </w:tc>
      </w:tr>
      <w:tr w:rsidR="007B5A24" w:rsidRPr="00564B9D" w14:paraId="0668397E" w14:textId="77777777" w:rsidTr="00804944">
        <w:tc>
          <w:tcPr>
            <w:tcW w:w="3928" w:type="dxa"/>
            <w:shd w:val="clear" w:color="auto" w:fill="auto"/>
          </w:tcPr>
          <w:p w14:paraId="7B9FA31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التركيب العمري للسكان </w:t>
            </w:r>
          </w:p>
        </w:tc>
        <w:tc>
          <w:tcPr>
            <w:tcW w:w="3142" w:type="dxa"/>
            <w:shd w:val="clear" w:color="auto" w:fill="auto"/>
          </w:tcPr>
          <w:p w14:paraId="3640882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2001:</w:t>
            </w:r>
          </w:p>
          <w:p w14:paraId="64B39E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دون سن 14 سنة: 74,8 في المائة من أنغيلا؛ 25,2 في المائة من خارج أنغيلا</w:t>
            </w:r>
          </w:p>
          <w:p w14:paraId="59CFA5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15</w:t>
            </w:r>
            <w:r w:rsidRPr="00564B9D">
              <w:rPr>
                <w:sz w:val="20"/>
                <w:szCs w:val="20"/>
                <w:rtl/>
              </w:rPr>
              <w:t>-</w:t>
            </w:r>
            <w:r w:rsidRPr="00564B9D">
              <w:rPr>
                <w:rFonts w:hint="cs"/>
                <w:sz w:val="20"/>
                <w:szCs w:val="20"/>
                <w:rtl/>
              </w:rPr>
              <w:t>44: 69,6 في المائة من أنغيلا؛ 30,4 في المائة من خارج أنغيلا</w:t>
            </w:r>
          </w:p>
          <w:p w14:paraId="0E17F2D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45</w:t>
            </w:r>
            <w:r w:rsidRPr="00564B9D">
              <w:rPr>
                <w:sz w:val="20"/>
                <w:szCs w:val="20"/>
                <w:rtl/>
              </w:rPr>
              <w:t>-</w:t>
            </w:r>
            <w:r w:rsidRPr="00564B9D">
              <w:rPr>
                <w:rFonts w:hint="cs"/>
                <w:sz w:val="20"/>
                <w:szCs w:val="20"/>
                <w:rtl/>
              </w:rPr>
              <w:t>74: 74,5 في المائة من أنغيلا؛ 25,5 في المائة من خارج أنغيلا</w:t>
            </w:r>
          </w:p>
          <w:p w14:paraId="47CC5F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75</w:t>
            </w:r>
            <w:r w:rsidRPr="00564B9D">
              <w:rPr>
                <w:sz w:val="20"/>
                <w:szCs w:val="20"/>
                <w:rtl/>
              </w:rPr>
              <w:t>-</w:t>
            </w:r>
            <w:r w:rsidRPr="00564B9D">
              <w:rPr>
                <w:rFonts w:hint="cs"/>
                <w:sz w:val="20"/>
                <w:szCs w:val="20"/>
                <w:rtl/>
              </w:rPr>
              <w:t>سنة فما فوق: 87,6 في المائة من أنغيلا؛ 12,6 في المائة من خارج أنغيلا</w:t>
            </w:r>
          </w:p>
        </w:tc>
      </w:tr>
      <w:tr w:rsidR="007B5A24" w:rsidRPr="00564B9D" w14:paraId="38B46273" w14:textId="77777777" w:rsidTr="00804944">
        <w:tc>
          <w:tcPr>
            <w:tcW w:w="3928" w:type="dxa"/>
            <w:shd w:val="clear" w:color="auto" w:fill="auto"/>
          </w:tcPr>
          <w:p w14:paraId="677245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3142" w:type="dxa"/>
            <w:shd w:val="clear" w:color="auto" w:fill="auto"/>
          </w:tcPr>
          <w:p w14:paraId="25D6B3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56E2F86" w14:textId="77777777" w:rsidTr="00804944">
        <w:tc>
          <w:tcPr>
            <w:tcW w:w="3928" w:type="dxa"/>
            <w:shd w:val="clear" w:color="auto" w:fill="auto"/>
          </w:tcPr>
          <w:p w14:paraId="7B31B1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نسبة الإعالة - النسبة المئوية من السكان الذين تزيد أعمارهم على 65 سنة</w:t>
            </w:r>
          </w:p>
        </w:tc>
        <w:tc>
          <w:tcPr>
            <w:tcW w:w="3142" w:type="dxa"/>
            <w:shd w:val="clear" w:color="auto" w:fill="auto"/>
          </w:tcPr>
          <w:p w14:paraId="3C6A4F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B81524C" w14:textId="77777777" w:rsidTr="00804944">
        <w:tc>
          <w:tcPr>
            <w:tcW w:w="3928" w:type="dxa"/>
            <w:shd w:val="clear" w:color="auto" w:fill="auto"/>
          </w:tcPr>
          <w:p w14:paraId="7F21FE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3142" w:type="dxa"/>
            <w:shd w:val="clear" w:color="auto" w:fill="auto"/>
          </w:tcPr>
          <w:p w14:paraId="561FC2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FAD968C" w14:textId="77777777" w:rsidTr="00804944">
        <w:tc>
          <w:tcPr>
            <w:tcW w:w="3928" w:type="dxa"/>
            <w:shd w:val="clear" w:color="auto" w:fill="auto"/>
          </w:tcPr>
          <w:p w14:paraId="4B3EF1F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3142" w:type="dxa"/>
            <w:shd w:val="clear" w:color="auto" w:fill="auto"/>
          </w:tcPr>
          <w:p w14:paraId="48D49D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8B34C52" w14:textId="77777777" w:rsidTr="00804944">
        <w:tc>
          <w:tcPr>
            <w:tcW w:w="3928" w:type="dxa"/>
            <w:shd w:val="clear" w:color="auto" w:fill="auto"/>
          </w:tcPr>
          <w:p w14:paraId="61754E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3142" w:type="dxa"/>
            <w:shd w:val="clear" w:color="auto" w:fill="auto"/>
          </w:tcPr>
          <w:p w14:paraId="6C5735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11345AA" w14:textId="77777777" w:rsidTr="00804944">
        <w:tc>
          <w:tcPr>
            <w:tcW w:w="3928" w:type="dxa"/>
            <w:shd w:val="clear" w:color="auto" w:fill="auto"/>
          </w:tcPr>
          <w:p w14:paraId="4183C6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w:t>
            </w:r>
          </w:p>
        </w:tc>
        <w:tc>
          <w:tcPr>
            <w:tcW w:w="3142" w:type="dxa"/>
            <w:shd w:val="clear" w:color="auto" w:fill="auto"/>
          </w:tcPr>
          <w:p w14:paraId="775849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6EA02B7" w14:textId="77777777" w:rsidTr="00804944">
        <w:tc>
          <w:tcPr>
            <w:tcW w:w="3928" w:type="dxa"/>
            <w:shd w:val="clear" w:color="auto" w:fill="auto"/>
          </w:tcPr>
          <w:p w14:paraId="2B6453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3142" w:type="dxa"/>
            <w:shd w:val="clear" w:color="auto" w:fill="auto"/>
          </w:tcPr>
          <w:p w14:paraId="42EA70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1E461CC" w14:textId="77777777" w:rsidTr="00804944">
        <w:tc>
          <w:tcPr>
            <w:tcW w:w="3928" w:type="dxa"/>
            <w:shd w:val="clear" w:color="auto" w:fill="auto"/>
          </w:tcPr>
          <w:p w14:paraId="4A76EC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3142" w:type="dxa"/>
            <w:shd w:val="clear" w:color="auto" w:fill="auto"/>
          </w:tcPr>
          <w:p w14:paraId="4F65DD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B3D4256" w14:textId="77777777" w:rsidTr="00804944">
        <w:tc>
          <w:tcPr>
            <w:tcW w:w="3928" w:type="dxa"/>
            <w:shd w:val="clear" w:color="auto" w:fill="auto"/>
          </w:tcPr>
          <w:p w14:paraId="0188884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رجال</w:t>
            </w:r>
          </w:p>
        </w:tc>
        <w:tc>
          <w:tcPr>
            <w:tcW w:w="3142" w:type="dxa"/>
            <w:shd w:val="clear" w:color="auto" w:fill="auto"/>
          </w:tcPr>
          <w:p w14:paraId="6DE0FC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397DBB0" w14:textId="77777777" w:rsidTr="00804944">
        <w:tc>
          <w:tcPr>
            <w:tcW w:w="3928" w:type="dxa"/>
            <w:shd w:val="clear" w:color="auto" w:fill="auto"/>
          </w:tcPr>
          <w:p w14:paraId="2826D3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نساء </w:t>
            </w:r>
          </w:p>
        </w:tc>
        <w:tc>
          <w:tcPr>
            <w:tcW w:w="3142" w:type="dxa"/>
            <w:shd w:val="clear" w:color="auto" w:fill="auto"/>
          </w:tcPr>
          <w:p w14:paraId="748EC13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7E5DB0C" w14:textId="77777777" w:rsidTr="00804944">
        <w:tc>
          <w:tcPr>
            <w:tcW w:w="3928" w:type="dxa"/>
            <w:shd w:val="clear" w:color="auto" w:fill="auto"/>
          </w:tcPr>
          <w:p w14:paraId="13D3AE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3142" w:type="dxa"/>
            <w:shd w:val="clear" w:color="auto" w:fill="auto"/>
          </w:tcPr>
          <w:p w14:paraId="3ACAFA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FEBEE8C" w14:textId="77777777" w:rsidTr="00804944">
        <w:tc>
          <w:tcPr>
            <w:tcW w:w="3928" w:type="dxa"/>
            <w:shd w:val="clear" w:color="auto" w:fill="auto"/>
          </w:tcPr>
          <w:p w14:paraId="681117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3142" w:type="dxa"/>
            <w:shd w:val="clear" w:color="auto" w:fill="auto"/>
          </w:tcPr>
          <w:p w14:paraId="72B7CA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9303554" w14:textId="77777777" w:rsidTr="00804944">
        <w:tc>
          <w:tcPr>
            <w:tcW w:w="3928" w:type="dxa"/>
            <w:tcBorders>
              <w:bottom w:val="single" w:sz="12" w:space="0" w:color="auto"/>
            </w:tcBorders>
            <w:shd w:val="clear" w:color="auto" w:fill="auto"/>
          </w:tcPr>
          <w:p w14:paraId="692B1C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3142" w:type="dxa"/>
            <w:tcBorders>
              <w:bottom w:val="single" w:sz="12" w:space="0" w:color="auto"/>
            </w:tcBorders>
            <w:shd w:val="clear" w:color="auto" w:fill="auto"/>
          </w:tcPr>
          <w:p w14:paraId="35FE55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497ACD01"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620"/>
        <w:gridCol w:w="3772"/>
      </w:tblGrid>
      <w:tr w:rsidR="007B5A24" w:rsidRPr="00564B9D" w14:paraId="297D9DFB" w14:textId="77777777" w:rsidTr="00804944">
        <w:trPr>
          <w:trHeight w:val="240"/>
          <w:tblHeader/>
        </w:trPr>
        <w:tc>
          <w:tcPr>
            <w:tcW w:w="7073" w:type="dxa"/>
            <w:gridSpan w:val="2"/>
            <w:tcBorders>
              <w:top w:val="single" w:sz="4" w:space="0" w:color="auto"/>
              <w:bottom w:val="single" w:sz="12" w:space="0" w:color="auto"/>
            </w:tcBorders>
            <w:shd w:val="clear" w:color="auto" w:fill="auto"/>
            <w:vAlign w:val="bottom"/>
          </w:tcPr>
          <w:p w14:paraId="07177203"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00716ABB" w14:textId="77777777" w:rsidTr="00804944">
        <w:trPr>
          <w:trHeight w:val="240"/>
        </w:trPr>
        <w:tc>
          <w:tcPr>
            <w:tcW w:w="3894" w:type="dxa"/>
            <w:tcBorders>
              <w:top w:val="single" w:sz="12" w:space="0" w:color="auto"/>
            </w:tcBorders>
            <w:shd w:val="clear" w:color="auto" w:fill="auto"/>
          </w:tcPr>
          <w:p w14:paraId="532265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3179" w:type="dxa"/>
            <w:tcBorders>
              <w:top w:val="single" w:sz="12" w:space="0" w:color="auto"/>
            </w:tcBorders>
            <w:shd w:val="clear" w:color="auto" w:fill="auto"/>
          </w:tcPr>
          <w:p w14:paraId="699126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5635D8D" w14:textId="77777777" w:rsidTr="00804944">
        <w:trPr>
          <w:trHeight w:val="240"/>
        </w:trPr>
        <w:tc>
          <w:tcPr>
            <w:tcW w:w="3894" w:type="dxa"/>
            <w:shd w:val="clear" w:color="auto" w:fill="auto"/>
          </w:tcPr>
          <w:p w14:paraId="1A1843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3179" w:type="dxa"/>
            <w:shd w:val="clear" w:color="auto" w:fill="auto"/>
          </w:tcPr>
          <w:p w14:paraId="2FD40F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7356382" w14:textId="77777777" w:rsidTr="00804944">
        <w:trPr>
          <w:trHeight w:val="240"/>
        </w:trPr>
        <w:tc>
          <w:tcPr>
            <w:tcW w:w="3894" w:type="dxa"/>
            <w:shd w:val="clear" w:color="auto" w:fill="auto"/>
          </w:tcPr>
          <w:p w14:paraId="0008ED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179" w:type="dxa"/>
            <w:shd w:val="clear" w:color="auto" w:fill="auto"/>
          </w:tcPr>
          <w:p w14:paraId="719333C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EC8C549" w14:textId="77777777" w:rsidTr="00804944">
        <w:trPr>
          <w:trHeight w:val="240"/>
        </w:trPr>
        <w:tc>
          <w:tcPr>
            <w:tcW w:w="3894" w:type="dxa"/>
            <w:shd w:val="clear" w:color="auto" w:fill="auto"/>
          </w:tcPr>
          <w:p w14:paraId="1637452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3179" w:type="dxa"/>
            <w:shd w:val="clear" w:color="auto" w:fill="auto"/>
          </w:tcPr>
          <w:p w14:paraId="616585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A37D15B" w14:textId="77777777" w:rsidTr="00804944">
        <w:trPr>
          <w:trHeight w:val="240"/>
        </w:trPr>
        <w:tc>
          <w:tcPr>
            <w:tcW w:w="3894" w:type="dxa"/>
            <w:shd w:val="clear" w:color="auto" w:fill="auto"/>
          </w:tcPr>
          <w:p w14:paraId="47452D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3179" w:type="dxa"/>
            <w:shd w:val="clear" w:color="auto" w:fill="auto"/>
          </w:tcPr>
          <w:p w14:paraId="43E6D9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E865DB7" w14:textId="77777777" w:rsidTr="00804944">
        <w:trPr>
          <w:trHeight w:val="240"/>
        </w:trPr>
        <w:tc>
          <w:tcPr>
            <w:tcW w:w="3894" w:type="dxa"/>
            <w:shd w:val="clear" w:color="auto" w:fill="auto"/>
          </w:tcPr>
          <w:p w14:paraId="1A6737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3179" w:type="dxa"/>
            <w:shd w:val="clear" w:color="auto" w:fill="auto"/>
          </w:tcPr>
          <w:p w14:paraId="04D084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58ECB9F" w14:textId="77777777" w:rsidTr="00804944">
        <w:trPr>
          <w:trHeight w:val="240"/>
        </w:trPr>
        <w:tc>
          <w:tcPr>
            <w:tcW w:w="3894" w:type="dxa"/>
            <w:shd w:val="clear" w:color="auto" w:fill="auto"/>
          </w:tcPr>
          <w:p w14:paraId="13C6153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اللاتي في سن الحمل ويستخدمن وسائل منع الحمل أو اللاتي يستخدم شركاؤهن وسائل منع الحمل </w:t>
            </w:r>
          </w:p>
        </w:tc>
        <w:tc>
          <w:tcPr>
            <w:tcW w:w="3179" w:type="dxa"/>
            <w:shd w:val="clear" w:color="auto" w:fill="auto"/>
          </w:tcPr>
          <w:p w14:paraId="3129A4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24301AE" w14:textId="77777777" w:rsidTr="00804944">
        <w:trPr>
          <w:trHeight w:val="240"/>
        </w:trPr>
        <w:tc>
          <w:tcPr>
            <w:tcW w:w="3894" w:type="dxa"/>
            <w:shd w:val="clear" w:color="auto" w:fill="auto"/>
          </w:tcPr>
          <w:p w14:paraId="722658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من المواليد الأحياء</w:t>
            </w:r>
          </w:p>
        </w:tc>
        <w:tc>
          <w:tcPr>
            <w:tcW w:w="3179" w:type="dxa"/>
            <w:shd w:val="clear" w:color="auto" w:fill="auto"/>
          </w:tcPr>
          <w:p w14:paraId="441344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74D216E" w14:textId="77777777" w:rsidTr="00804944">
        <w:trPr>
          <w:trHeight w:val="240"/>
        </w:trPr>
        <w:tc>
          <w:tcPr>
            <w:tcW w:w="3894" w:type="dxa"/>
            <w:shd w:val="clear" w:color="auto" w:fill="auto"/>
          </w:tcPr>
          <w:p w14:paraId="4FA433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179" w:type="dxa"/>
            <w:shd w:val="clear" w:color="auto" w:fill="auto"/>
          </w:tcPr>
          <w:p w14:paraId="694CED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ED658BA" w14:textId="77777777" w:rsidTr="00804944">
        <w:trPr>
          <w:trHeight w:val="240"/>
        </w:trPr>
        <w:tc>
          <w:tcPr>
            <w:tcW w:w="3894" w:type="dxa"/>
            <w:shd w:val="clear" w:color="auto" w:fill="auto"/>
          </w:tcPr>
          <w:p w14:paraId="750848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انتشار الأمراض السارية وغير السارية الرئيسية </w:t>
            </w:r>
          </w:p>
        </w:tc>
        <w:tc>
          <w:tcPr>
            <w:tcW w:w="3179" w:type="dxa"/>
            <w:shd w:val="clear" w:color="auto" w:fill="auto"/>
          </w:tcPr>
          <w:p w14:paraId="59BF66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44826AA" w14:textId="77777777" w:rsidTr="00804944">
        <w:trPr>
          <w:trHeight w:val="240"/>
        </w:trPr>
        <w:tc>
          <w:tcPr>
            <w:tcW w:w="3894" w:type="dxa"/>
            <w:shd w:val="clear" w:color="auto" w:fill="auto"/>
          </w:tcPr>
          <w:p w14:paraId="2016A4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3179" w:type="dxa"/>
            <w:shd w:val="clear" w:color="auto" w:fill="auto"/>
          </w:tcPr>
          <w:p w14:paraId="1FA411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C53ECA4" w14:textId="77777777" w:rsidTr="00804944">
        <w:trPr>
          <w:trHeight w:val="240"/>
        </w:trPr>
        <w:tc>
          <w:tcPr>
            <w:tcW w:w="3894" w:type="dxa"/>
            <w:shd w:val="clear" w:color="auto" w:fill="auto"/>
          </w:tcPr>
          <w:p w14:paraId="0F0046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179" w:type="dxa"/>
            <w:shd w:val="clear" w:color="auto" w:fill="auto"/>
          </w:tcPr>
          <w:p w14:paraId="18A77C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4EAC47C" w14:textId="77777777" w:rsidTr="00804944">
        <w:trPr>
          <w:trHeight w:val="240"/>
        </w:trPr>
        <w:tc>
          <w:tcPr>
            <w:tcW w:w="3894" w:type="dxa"/>
            <w:shd w:val="clear" w:color="auto" w:fill="auto"/>
          </w:tcPr>
          <w:p w14:paraId="6AAA3A0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3179" w:type="dxa"/>
            <w:shd w:val="clear" w:color="auto" w:fill="auto"/>
          </w:tcPr>
          <w:p w14:paraId="1F81E2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457BDAA" w14:textId="77777777" w:rsidTr="00804944">
        <w:trPr>
          <w:trHeight w:val="240"/>
        </w:trPr>
        <w:tc>
          <w:tcPr>
            <w:tcW w:w="3894" w:type="dxa"/>
            <w:shd w:val="clear" w:color="auto" w:fill="auto"/>
          </w:tcPr>
          <w:p w14:paraId="4D8099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3179" w:type="dxa"/>
            <w:shd w:val="clear" w:color="auto" w:fill="auto"/>
          </w:tcPr>
          <w:p w14:paraId="5991402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CD30CC2" w14:textId="77777777" w:rsidTr="00804944">
        <w:trPr>
          <w:trHeight w:val="240"/>
        </w:trPr>
        <w:tc>
          <w:tcPr>
            <w:tcW w:w="3894" w:type="dxa"/>
            <w:shd w:val="clear" w:color="auto" w:fill="auto"/>
          </w:tcPr>
          <w:p w14:paraId="2513E8E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3179" w:type="dxa"/>
            <w:shd w:val="clear" w:color="auto" w:fill="auto"/>
          </w:tcPr>
          <w:p w14:paraId="07DA4D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64C6E42" w14:textId="77777777" w:rsidTr="00804944">
        <w:trPr>
          <w:trHeight w:val="240"/>
        </w:trPr>
        <w:tc>
          <w:tcPr>
            <w:tcW w:w="3894" w:type="dxa"/>
            <w:shd w:val="clear" w:color="auto" w:fill="auto"/>
          </w:tcPr>
          <w:p w14:paraId="279D4D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3179" w:type="dxa"/>
            <w:shd w:val="clear" w:color="auto" w:fill="auto"/>
          </w:tcPr>
          <w:p w14:paraId="58A9D4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D7EA3D1" w14:textId="77777777" w:rsidTr="00804944">
        <w:trPr>
          <w:trHeight w:val="240"/>
        </w:trPr>
        <w:tc>
          <w:tcPr>
            <w:tcW w:w="3894" w:type="dxa"/>
            <w:shd w:val="clear" w:color="auto" w:fill="auto"/>
          </w:tcPr>
          <w:p w14:paraId="3D2E9A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3179" w:type="dxa"/>
            <w:shd w:val="clear" w:color="auto" w:fill="auto"/>
          </w:tcPr>
          <w:p w14:paraId="3FEC76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818B5E5" w14:textId="77777777" w:rsidTr="00804944">
        <w:trPr>
          <w:trHeight w:val="240"/>
        </w:trPr>
        <w:tc>
          <w:tcPr>
            <w:tcW w:w="3894" w:type="dxa"/>
            <w:shd w:val="clear" w:color="auto" w:fill="auto"/>
          </w:tcPr>
          <w:p w14:paraId="2E5F72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3179" w:type="dxa"/>
            <w:shd w:val="clear" w:color="auto" w:fill="auto"/>
          </w:tcPr>
          <w:p w14:paraId="1EB2B00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721885F" w14:textId="77777777" w:rsidTr="00804944">
        <w:trPr>
          <w:trHeight w:val="240"/>
        </w:trPr>
        <w:tc>
          <w:tcPr>
            <w:tcW w:w="3894" w:type="dxa"/>
            <w:shd w:val="clear" w:color="auto" w:fill="auto"/>
          </w:tcPr>
          <w:p w14:paraId="7706DD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179" w:type="dxa"/>
            <w:shd w:val="clear" w:color="auto" w:fill="auto"/>
          </w:tcPr>
          <w:p w14:paraId="5D6C19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C0BA4A3" w14:textId="77777777" w:rsidTr="00804944">
        <w:trPr>
          <w:trHeight w:val="240"/>
        </w:trPr>
        <w:tc>
          <w:tcPr>
            <w:tcW w:w="3894" w:type="dxa"/>
            <w:shd w:val="clear" w:color="auto" w:fill="auto"/>
          </w:tcPr>
          <w:p w14:paraId="7C7950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نصيب الفرد من الدخل </w:t>
            </w:r>
          </w:p>
        </w:tc>
        <w:tc>
          <w:tcPr>
            <w:tcW w:w="3179" w:type="dxa"/>
            <w:shd w:val="clear" w:color="auto" w:fill="auto"/>
          </w:tcPr>
          <w:p w14:paraId="550F03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50C37B9" w14:textId="77777777" w:rsidTr="00804944">
        <w:trPr>
          <w:trHeight w:val="240"/>
        </w:trPr>
        <w:tc>
          <w:tcPr>
            <w:tcW w:w="3894" w:type="dxa"/>
            <w:shd w:val="clear" w:color="auto" w:fill="auto"/>
          </w:tcPr>
          <w:p w14:paraId="25B7D6E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w:t>
            </w:r>
          </w:p>
        </w:tc>
        <w:tc>
          <w:tcPr>
            <w:tcW w:w="3179" w:type="dxa"/>
            <w:shd w:val="clear" w:color="auto" w:fill="auto"/>
          </w:tcPr>
          <w:p w14:paraId="18BD60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297,27 مليون دولار أمريكي (2009)</w:t>
            </w:r>
          </w:p>
          <w:p w14:paraId="343A20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623</w:t>
            </w:r>
            <w:r w:rsidRPr="00564B9D">
              <w:rPr>
                <w:sz w:val="20"/>
                <w:szCs w:val="20"/>
                <w:rtl/>
              </w:rPr>
              <w:t> </w:t>
            </w:r>
            <w:r w:rsidRPr="00564B9D">
              <w:rPr>
                <w:rFonts w:hint="cs"/>
                <w:sz w:val="20"/>
                <w:szCs w:val="20"/>
                <w:rtl/>
              </w:rPr>
              <w:t xml:space="preserve">18 دولار أمريكي (2009) - الناتج المحلي الإجمالي للفرد </w:t>
            </w:r>
          </w:p>
        </w:tc>
      </w:tr>
      <w:tr w:rsidR="007B5A24" w:rsidRPr="00564B9D" w14:paraId="4193841E" w14:textId="77777777" w:rsidTr="00804944">
        <w:trPr>
          <w:trHeight w:val="240"/>
        </w:trPr>
        <w:tc>
          <w:tcPr>
            <w:tcW w:w="3894" w:type="dxa"/>
            <w:shd w:val="clear" w:color="auto" w:fill="auto"/>
          </w:tcPr>
          <w:p w14:paraId="30C281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3179" w:type="dxa"/>
            <w:shd w:val="clear" w:color="auto" w:fill="auto"/>
          </w:tcPr>
          <w:p w14:paraId="30FBA9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0D5AC5D" w14:textId="77777777" w:rsidTr="00804944">
        <w:trPr>
          <w:trHeight w:val="240"/>
        </w:trPr>
        <w:tc>
          <w:tcPr>
            <w:tcW w:w="3894" w:type="dxa"/>
            <w:shd w:val="clear" w:color="auto" w:fill="auto"/>
          </w:tcPr>
          <w:p w14:paraId="534050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w:t>
            </w:r>
          </w:p>
        </w:tc>
        <w:tc>
          <w:tcPr>
            <w:tcW w:w="3179" w:type="dxa"/>
            <w:shd w:val="clear" w:color="auto" w:fill="auto"/>
          </w:tcPr>
          <w:p w14:paraId="6567F9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595,22 مليون دولار شرق الكاريبي (2009) </w:t>
            </w:r>
          </w:p>
        </w:tc>
      </w:tr>
      <w:tr w:rsidR="007B5A24" w:rsidRPr="00564B9D" w14:paraId="1345E8EE" w14:textId="77777777" w:rsidTr="00804944">
        <w:trPr>
          <w:trHeight w:val="240"/>
        </w:trPr>
        <w:tc>
          <w:tcPr>
            <w:tcW w:w="3894" w:type="dxa"/>
            <w:shd w:val="clear" w:color="auto" w:fill="auto"/>
          </w:tcPr>
          <w:p w14:paraId="00424E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مؤشر أسعار الاستهلاك (المتوسط لفترة 12 شهراً من تموز/يوليه إلى تموز/يوليه)</w:t>
            </w:r>
          </w:p>
        </w:tc>
        <w:tc>
          <w:tcPr>
            <w:tcW w:w="3179" w:type="dxa"/>
            <w:shd w:val="clear" w:color="auto" w:fill="auto"/>
          </w:tcPr>
          <w:p w14:paraId="0AC06D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58EF23C" w14:textId="77777777" w:rsidTr="00804944">
        <w:trPr>
          <w:trHeight w:val="240"/>
        </w:trPr>
        <w:tc>
          <w:tcPr>
            <w:tcW w:w="3894" w:type="dxa"/>
            <w:shd w:val="clear" w:color="auto" w:fill="auto"/>
          </w:tcPr>
          <w:p w14:paraId="7C05AD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179" w:type="dxa"/>
            <w:shd w:val="clear" w:color="auto" w:fill="auto"/>
          </w:tcPr>
          <w:p w14:paraId="00DAD0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3F68DE9" w14:textId="77777777" w:rsidTr="00804944">
        <w:trPr>
          <w:trHeight w:val="240"/>
        </w:trPr>
        <w:tc>
          <w:tcPr>
            <w:tcW w:w="3894" w:type="dxa"/>
            <w:shd w:val="clear" w:color="auto" w:fill="auto"/>
          </w:tcPr>
          <w:p w14:paraId="37EFE0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3179" w:type="dxa"/>
            <w:shd w:val="clear" w:color="auto" w:fill="auto"/>
          </w:tcPr>
          <w:p w14:paraId="088791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B6A94B8" w14:textId="77777777" w:rsidTr="00804944">
        <w:trPr>
          <w:trHeight w:val="240"/>
        </w:trPr>
        <w:tc>
          <w:tcPr>
            <w:tcW w:w="3894" w:type="dxa"/>
            <w:tcBorders>
              <w:bottom w:val="single" w:sz="12" w:space="0" w:color="auto"/>
            </w:tcBorders>
            <w:shd w:val="clear" w:color="auto" w:fill="auto"/>
          </w:tcPr>
          <w:p w14:paraId="34AF08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إلى ميزانية الدولة بحسب القطاع ونسبة إلى الدخل القومي الإجمالي</w:t>
            </w:r>
          </w:p>
        </w:tc>
        <w:tc>
          <w:tcPr>
            <w:tcW w:w="3179" w:type="dxa"/>
            <w:tcBorders>
              <w:bottom w:val="single" w:sz="12" w:space="0" w:color="auto"/>
            </w:tcBorders>
            <w:shd w:val="clear" w:color="auto" w:fill="auto"/>
          </w:tcPr>
          <w:p w14:paraId="39F15C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42D85DA4"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5923"/>
        <w:gridCol w:w="2469"/>
      </w:tblGrid>
      <w:tr w:rsidR="007B5A24" w:rsidRPr="00564B9D" w14:paraId="2020078C" w14:textId="77777777" w:rsidTr="00804944">
        <w:trPr>
          <w:trHeight w:val="240"/>
          <w:tblHeader/>
        </w:trPr>
        <w:tc>
          <w:tcPr>
            <w:tcW w:w="7078" w:type="dxa"/>
            <w:gridSpan w:val="2"/>
            <w:tcBorders>
              <w:top w:val="single" w:sz="4" w:space="0" w:color="auto"/>
              <w:bottom w:val="single" w:sz="12" w:space="0" w:color="auto"/>
            </w:tcBorders>
            <w:shd w:val="clear" w:color="auto" w:fill="auto"/>
            <w:vAlign w:val="bottom"/>
          </w:tcPr>
          <w:p w14:paraId="018D2DBB"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المؤشرات المتعلقة بالنظام السياسي</w:t>
            </w:r>
          </w:p>
        </w:tc>
      </w:tr>
      <w:tr w:rsidR="007B5A24" w:rsidRPr="00564B9D" w14:paraId="413A6E66" w14:textId="77777777" w:rsidTr="00804944">
        <w:trPr>
          <w:trHeight w:val="240"/>
        </w:trPr>
        <w:tc>
          <w:tcPr>
            <w:tcW w:w="4996" w:type="dxa"/>
            <w:tcBorders>
              <w:top w:val="single" w:sz="12" w:space="0" w:color="auto"/>
            </w:tcBorders>
            <w:shd w:val="clear" w:color="auto" w:fill="auto"/>
          </w:tcPr>
          <w:p w14:paraId="07CE4A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الأحزاب السياسية المعترف بها على الصعيد الوطني</w:t>
            </w:r>
          </w:p>
        </w:tc>
        <w:tc>
          <w:tcPr>
            <w:tcW w:w="2082" w:type="dxa"/>
            <w:tcBorders>
              <w:top w:val="single" w:sz="12" w:space="0" w:color="auto"/>
            </w:tcBorders>
            <w:shd w:val="clear" w:color="auto" w:fill="auto"/>
          </w:tcPr>
          <w:p w14:paraId="100F97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D26014F" w14:textId="77777777" w:rsidTr="00804944">
        <w:trPr>
          <w:trHeight w:val="240"/>
        </w:trPr>
        <w:tc>
          <w:tcPr>
            <w:tcW w:w="4996" w:type="dxa"/>
            <w:shd w:val="clear" w:color="auto" w:fill="auto"/>
          </w:tcPr>
          <w:p w14:paraId="79AA17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المؤهلين للتصويت</w:t>
            </w:r>
          </w:p>
        </w:tc>
        <w:tc>
          <w:tcPr>
            <w:tcW w:w="2082" w:type="dxa"/>
            <w:shd w:val="clear" w:color="auto" w:fill="auto"/>
          </w:tcPr>
          <w:p w14:paraId="0D464D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20F9D06" w14:textId="77777777" w:rsidTr="00804944">
        <w:trPr>
          <w:trHeight w:val="240"/>
        </w:trPr>
        <w:tc>
          <w:tcPr>
            <w:tcW w:w="4996" w:type="dxa"/>
            <w:shd w:val="clear" w:color="auto" w:fill="auto"/>
          </w:tcPr>
          <w:p w14:paraId="160D0E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غير المواطنين المسجلين في قوائم الناخبين</w:t>
            </w:r>
          </w:p>
        </w:tc>
        <w:tc>
          <w:tcPr>
            <w:tcW w:w="2082" w:type="dxa"/>
            <w:shd w:val="clear" w:color="auto" w:fill="auto"/>
          </w:tcPr>
          <w:p w14:paraId="0DECD7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793B5BC" w14:textId="77777777" w:rsidTr="00804944">
        <w:trPr>
          <w:trHeight w:val="240"/>
        </w:trPr>
        <w:tc>
          <w:tcPr>
            <w:tcW w:w="4996" w:type="dxa"/>
            <w:shd w:val="clear" w:color="auto" w:fill="auto"/>
          </w:tcPr>
          <w:p w14:paraId="3C07C1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2082" w:type="dxa"/>
            <w:shd w:val="clear" w:color="auto" w:fill="auto"/>
          </w:tcPr>
          <w:p w14:paraId="109823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6A497FD" w14:textId="77777777" w:rsidTr="00804944">
        <w:trPr>
          <w:trHeight w:val="240"/>
        </w:trPr>
        <w:tc>
          <w:tcPr>
            <w:tcW w:w="4996" w:type="dxa"/>
            <w:shd w:val="clear" w:color="auto" w:fill="auto"/>
          </w:tcPr>
          <w:p w14:paraId="38AFBC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وتوزيع ملكية القنوات الإعلامية الرئيسية (إلكترونية، مطبوعة، سمعية ونحو ذلك)</w:t>
            </w:r>
          </w:p>
        </w:tc>
        <w:tc>
          <w:tcPr>
            <w:tcW w:w="2082" w:type="dxa"/>
            <w:shd w:val="clear" w:color="auto" w:fill="auto"/>
          </w:tcPr>
          <w:p w14:paraId="48DC4D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9FFA4C9" w14:textId="77777777" w:rsidTr="00804944">
        <w:trPr>
          <w:trHeight w:val="240"/>
        </w:trPr>
        <w:tc>
          <w:tcPr>
            <w:tcW w:w="4996" w:type="dxa"/>
            <w:shd w:val="clear" w:color="auto" w:fill="auto"/>
          </w:tcPr>
          <w:p w14:paraId="3367AA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المنظمات غير الحكومية المعترف بها</w:t>
            </w:r>
          </w:p>
        </w:tc>
        <w:tc>
          <w:tcPr>
            <w:tcW w:w="2082" w:type="dxa"/>
            <w:shd w:val="clear" w:color="auto" w:fill="auto"/>
          </w:tcPr>
          <w:p w14:paraId="2AFCA9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0E32C59" w14:textId="77777777" w:rsidTr="00804944">
        <w:trPr>
          <w:trHeight w:val="240"/>
        </w:trPr>
        <w:tc>
          <w:tcPr>
            <w:tcW w:w="4996" w:type="dxa"/>
            <w:shd w:val="clear" w:color="auto" w:fill="auto"/>
          </w:tcPr>
          <w:p w14:paraId="1F61949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المقاعد التشريعية بحسب الحزب</w:t>
            </w:r>
          </w:p>
        </w:tc>
        <w:tc>
          <w:tcPr>
            <w:tcW w:w="2082" w:type="dxa"/>
            <w:shd w:val="clear" w:color="auto" w:fill="auto"/>
          </w:tcPr>
          <w:p w14:paraId="7D8DB8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8C9D80A" w14:textId="77777777" w:rsidTr="00804944">
        <w:trPr>
          <w:trHeight w:val="240"/>
        </w:trPr>
        <w:tc>
          <w:tcPr>
            <w:tcW w:w="4996" w:type="dxa"/>
            <w:shd w:val="clear" w:color="auto" w:fill="auto"/>
          </w:tcPr>
          <w:p w14:paraId="662920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في البرلمان</w:t>
            </w:r>
          </w:p>
        </w:tc>
        <w:tc>
          <w:tcPr>
            <w:tcW w:w="2082" w:type="dxa"/>
            <w:shd w:val="clear" w:color="auto" w:fill="auto"/>
          </w:tcPr>
          <w:p w14:paraId="52DB79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31A6FF6" w14:textId="77777777" w:rsidTr="00804944">
        <w:trPr>
          <w:trHeight w:val="240"/>
        </w:trPr>
        <w:tc>
          <w:tcPr>
            <w:tcW w:w="4996" w:type="dxa"/>
            <w:shd w:val="clear" w:color="auto" w:fill="auto"/>
          </w:tcPr>
          <w:p w14:paraId="0271D9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الانتخابات الوطنية ودون الوطنية التي أجريت في حدود الجدول الزمني الذي ينص عليه القانون</w:t>
            </w:r>
          </w:p>
        </w:tc>
        <w:tc>
          <w:tcPr>
            <w:tcW w:w="2082" w:type="dxa"/>
            <w:shd w:val="clear" w:color="auto" w:fill="auto"/>
          </w:tcPr>
          <w:p w14:paraId="64B732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1C93742" w14:textId="77777777" w:rsidTr="00804944">
        <w:trPr>
          <w:trHeight w:val="240"/>
        </w:trPr>
        <w:tc>
          <w:tcPr>
            <w:tcW w:w="4996" w:type="dxa"/>
            <w:tcBorders>
              <w:bottom w:val="single" w:sz="12" w:space="0" w:color="auto"/>
            </w:tcBorders>
            <w:shd w:val="clear" w:color="auto" w:fill="auto"/>
          </w:tcPr>
          <w:p w14:paraId="084618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عدد الناخبين الفعليين في الانتخابات الوطنية ودون الوطنية بحسب الوحدة الإدارية</w:t>
            </w:r>
          </w:p>
        </w:tc>
        <w:tc>
          <w:tcPr>
            <w:tcW w:w="2082" w:type="dxa"/>
            <w:tcBorders>
              <w:bottom w:val="single" w:sz="12" w:space="0" w:color="auto"/>
            </w:tcBorders>
            <w:shd w:val="clear" w:color="auto" w:fill="auto"/>
          </w:tcPr>
          <w:p w14:paraId="04162D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7F59CC25" w14:textId="77777777" w:rsidR="00494AE4" w:rsidRPr="00564B9D" w:rsidRDefault="00494AE4" w:rsidP="00494AE4">
      <w:pPr>
        <w:pStyle w:val="SingleTxtGA"/>
      </w:pPr>
    </w:p>
    <w:tbl>
      <w:tblPr>
        <w:bidiVisual/>
        <w:tblW w:w="8392" w:type="dxa"/>
        <w:tblInd w:w="1247" w:type="dxa"/>
        <w:tblCellMar>
          <w:right w:w="113" w:type="dxa"/>
        </w:tblCellMar>
        <w:tblLook w:val="01E0" w:firstRow="1" w:lastRow="1" w:firstColumn="1" w:lastColumn="1" w:noHBand="0" w:noVBand="0"/>
      </w:tblPr>
      <w:tblGrid>
        <w:gridCol w:w="6044"/>
        <w:gridCol w:w="2348"/>
      </w:tblGrid>
      <w:tr w:rsidR="007B5A24" w:rsidRPr="00564B9D" w14:paraId="2C9EADC4" w14:textId="77777777" w:rsidTr="00804944">
        <w:trPr>
          <w:trHeight w:val="240"/>
          <w:tblHeader/>
        </w:trPr>
        <w:tc>
          <w:tcPr>
            <w:tcW w:w="6938" w:type="dxa"/>
            <w:gridSpan w:val="2"/>
            <w:tcBorders>
              <w:top w:val="single" w:sz="4" w:space="0" w:color="auto"/>
              <w:bottom w:val="single" w:sz="12" w:space="0" w:color="auto"/>
            </w:tcBorders>
            <w:shd w:val="clear" w:color="auto" w:fill="auto"/>
            <w:vAlign w:val="bottom"/>
          </w:tcPr>
          <w:p w14:paraId="32F99A3C"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4D42F85B" w14:textId="77777777" w:rsidTr="00804944">
        <w:tblPrEx>
          <w:tblLook w:val="0000" w:firstRow="0" w:lastRow="0" w:firstColumn="0" w:lastColumn="0" w:noHBand="0" w:noVBand="0"/>
        </w:tblPrEx>
        <w:trPr>
          <w:trHeight w:val="240"/>
        </w:trPr>
        <w:tc>
          <w:tcPr>
            <w:tcW w:w="4997" w:type="dxa"/>
            <w:tcBorders>
              <w:top w:val="single" w:sz="12" w:space="0" w:color="auto"/>
            </w:tcBorders>
            <w:shd w:val="clear" w:color="auto" w:fill="auto"/>
          </w:tcPr>
          <w:p w14:paraId="5E7CF3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حالات الموت العنيف والجرائم المهددة للحياة المبلغ عنها لكل 000</w:t>
            </w:r>
            <w:r w:rsidRPr="00564B9D">
              <w:rPr>
                <w:sz w:val="20"/>
                <w:szCs w:val="20"/>
                <w:rtl/>
              </w:rPr>
              <w:t> </w:t>
            </w:r>
            <w:r w:rsidRPr="00564B9D">
              <w:rPr>
                <w:rFonts w:hint="cs"/>
                <w:sz w:val="20"/>
                <w:szCs w:val="20"/>
                <w:rtl/>
              </w:rPr>
              <w:t>100 شخص</w:t>
            </w:r>
          </w:p>
        </w:tc>
        <w:tc>
          <w:tcPr>
            <w:tcW w:w="1941" w:type="dxa"/>
            <w:tcBorders>
              <w:top w:val="single" w:sz="12" w:space="0" w:color="auto"/>
            </w:tcBorders>
            <w:shd w:val="clear" w:color="auto" w:fill="auto"/>
          </w:tcPr>
          <w:p w14:paraId="7AA9558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6B0EFB4" w14:textId="77777777" w:rsidTr="00804944">
        <w:tblPrEx>
          <w:tblLook w:val="0000" w:firstRow="0" w:lastRow="0" w:firstColumn="0" w:lastColumn="0" w:noHBand="0" w:noVBand="0"/>
        </w:tblPrEx>
        <w:trPr>
          <w:trHeight w:val="240"/>
        </w:trPr>
        <w:tc>
          <w:tcPr>
            <w:tcW w:w="4997" w:type="dxa"/>
            <w:shd w:val="clear" w:color="auto" w:fill="auto"/>
          </w:tcPr>
          <w:p w14:paraId="1D3E8C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ومعدل الأشخاص (لكل 000</w:t>
            </w:r>
            <w:r w:rsidRPr="00564B9D">
              <w:rPr>
                <w:sz w:val="20"/>
                <w:szCs w:val="20"/>
                <w:rtl/>
              </w:rPr>
              <w:t> </w:t>
            </w:r>
            <w:r w:rsidRPr="00564B9D">
              <w:rPr>
                <w:rFonts w:hint="cs"/>
                <w:sz w:val="20"/>
                <w:szCs w:val="20"/>
                <w:rtl/>
              </w:rPr>
              <w:t>100 شخص) الذين تم توقيفهم/تقديمهم إلى القضاء/إدانتهم/إصدار أحكام ضدهم/حبسهم لارتكابهم جرائم عنف أو غير ذلك من الجرائم الخطيرة (مثل القتل والسرقة والاعتداء والاتجار غير المشروع)</w:t>
            </w:r>
          </w:p>
        </w:tc>
        <w:tc>
          <w:tcPr>
            <w:tcW w:w="1941" w:type="dxa"/>
            <w:shd w:val="clear" w:color="auto" w:fill="auto"/>
          </w:tcPr>
          <w:p w14:paraId="03A11BB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33B706A" w14:textId="77777777" w:rsidTr="00804944">
        <w:tblPrEx>
          <w:tblLook w:val="0000" w:firstRow="0" w:lastRow="0" w:firstColumn="0" w:lastColumn="0" w:noHBand="0" w:noVBand="0"/>
        </w:tblPrEx>
        <w:trPr>
          <w:trHeight w:val="240"/>
        </w:trPr>
        <w:tc>
          <w:tcPr>
            <w:tcW w:w="4997" w:type="dxa"/>
            <w:shd w:val="clear" w:color="auto" w:fill="auto"/>
          </w:tcPr>
          <w:p w14:paraId="5CE8BD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عدد حالات العنف بدافع الجنس المبلغ عنها (مثل الاغتصاب، وتشويه الأعضاء الجنسية عند الإناث، وجرائم الشرف، والاعتداء بالأحماض). </w:t>
            </w:r>
          </w:p>
        </w:tc>
        <w:tc>
          <w:tcPr>
            <w:tcW w:w="1941" w:type="dxa"/>
            <w:shd w:val="clear" w:color="auto" w:fill="auto"/>
          </w:tcPr>
          <w:p w14:paraId="67B62F2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559EFB8" w14:textId="77777777" w:rsidTr="00804944">
        <w:tblPrEx>
          <w:tblLook w:val="0000" w:firstRow="0" w:lastRow="0" w:firstColumn="0" w:lastColumn="0" w:noHBand="0" w:noVBand="0"/>
        </w:tblPrEx>
        <w:trPr>
          <w:trHeight w:val="240"/>
        </w:trPr>
        <w:tc>
          <w:tcPr>
            <w:tcW w:w="4997" w:type="dxa"/>
            <w:shd w:val="clear" w:color="auto" w:fill="auto"/>
          </w:tcPr>
          <w:p w14:paraId="2A5461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المدة الزمنية القصوى للاحتجاز السابق للمحاكمة (الحبس الاحتياطي)</w:t>
            </w:r>
          </w:p>
        </w:tc>
        <w:tc>
          <w:tcPr>
            <w:tcW w:w="1941" w:type="dxa"/>
            <w:shd w:val="clear" w:color="auto" w:fill="auto"/>
          </w:tcPr>
          <w:p w14:paraId="0229B6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3B3EF5C" w14:textId="77777777" w:rsidTr="00804944">
        <w:tblPrEx>
          <w:tblLook w:val="0000" w:firstRow="0" w:lastRow="0" w:firstColumn="0" w:lastColumn="0" w:noHBand="0" w:noVBand="0"/>
        </w:tblPrEx>
        <w:trPr>
          <w:trHeight w:val="240"/>
        </w:trPr>
        <w:tc>
          <w:tcPr>
            <w:tcW w:w="4997" w:type="dxa"/>
            <w:shd w:val="clear" w:color="auto" w:fill="auto"/>
          </w:tcPr>
          <w:p w14:paraId="364E23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المساجين وتوزيعهم بحسب نوع الجريمة وطول مدة الحكم </w:t>
            </w:r>
          </w:p>
        </w:tc>
        <w:tc>
          <w:tcPr>
            <w:tcW w:w="1941" w:type="dxa"/>
            <w:shd w:val="clear" w:color="auto" w:fill="auto"/>
          </w:tcPr>
          <w:p w14:paraId="6EBDD57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6ACA216" w14:textId="77777777" w:rsidTr="00804944">
        <w:tblPrEx>
          <w:tblLook w:val="0000" w:firstRow="0" w:lastRow="0" w:firstColumn="0" w:lastColumn="0" w:noHBand="0" w:noVBand="0"/>
        </w:tblPrEx>
        <w:trPr>
          <w:trHeight w:val="240"/>
        </w:trPr>
        <w:tc>
          <w:tcPr>
            <w:tcW w:w="4997" w:type="dxa"/>
            <w:shd w:val="clear" w:color="auto" w:fill="auto"/>
          </w:tcPr>
          <w:p w14:paraId="28F252E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حالات الوفاة في السجن </w:t>
            </w:r>
          </w:p>
        </w:tc>
        <w:tc>
          <w:tcPr>
            <w:tcW w:w="1941" w:type="dxa"/>
            <w:shd w:val="clear" w:color="auto" w:fill="auto"/>
          </w:tcPr>
          <w:p w14:paraId="7362F70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AF1B316" w14:textId="77777777" w:rsidTr="00804944">
        <w:tblPrEx>
          <w:tblLook w:val="0000" w:firstRow="0" w:lastRow="0" w:firstColumn="0" w:lastColumn="0" w:noHBand="0" w:noVBand="0"/>
        </w:tblPrEx>
        <w:trPr>
          <w:trHeight w:val="240"/>
        </w:trPr>
        <w:tc>
          <w:tcPr>
            <w:tcW w:w="4997" w:type="dxa"/>
            <w:shd w:val="clear" w:color="auto" w:fill="auto"/>
          </w:tcPr>
          <w:p w14:paraId="17D303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عدد الأشخاص الذين تطبق عليهم عقوبة الإعدام في السنة</w:t>
            </w:r>
          </w:p>
        </w:tc>
        <w:tc>
          <w:tcPr>
            <w:tcW w:w="1941" w:type="dxa"/>
            <w:shd w:val="clear" w:color="auto" w:fill="auto"/>
          </w:tcPr>
          <w:p w14:paraId="15319A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9B93EE4" w14:textId="77777777" w:rsidTr="00804944">
        <w:tblPrEx>
          <w:tblLook w:val="0000" w:firstRow="0" w:lastRow="0" w:firstColumn="0" w:lastColumn="0" w:noHBand="0" w:noVBand="0"/>
        </w:tblPrEx>
        <w:trPr>
          <w:trHeight w:val="240"/>
        </w:trPr>
        <w:tc>
          <w:tcPr>
            <w:tcW w:w="4997" w:type="dxa"/>
            <w:shd w:val="clear" w:color="auto" w:fill="auto"/>
          </w:tcPr>
          <w:p w14:paraId="15700C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متوسط القضايا المتراكمة للقاضي الواحد عند مستويات مختلفة من النظام القضائي</w:t>
            </w:r>
          </w:p>
        </w:tc>
        <w:tc>
          <w:tcPr>
            <w:tcW w:w="1941" w:type="dxa"/>
            <w:shd w:val="clear" w:color="auto" w:fill="auto"/>
          </w:tcPr>
          <w:p w14:paraId="068C91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E57AC16" w14:textId="77777777" w:rsidTr="00804944">
        <w:tblPrEx>
          <w:tblLook w:val="0000" w:firstRow="0" w:lastRow="0" w:firstColumn="0" w:lastColumn="0" w:noHBand="0" w:noVBand="0"/>
        </w:tblPrEx>
        <w:trPr>
          <w:trHeight w:val="240"/>
        </w:trPr>
        <w:tc>
          <w:tcPr>
            <w:tcW w:w="4997" w:type="dxa"/>
            <w:shd w:val="clear" w:color="auto" w:fill="auto"/>
          </w:tcPr>
          <w:p w14:paraId="32AE9B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رجال الشرطة/الأمن لكل 000</w:t>
            </w:r>
            <w:r w:rsidRPr="00564B9D">
              <w:rPr>
                <w:sz w:val="20"/>
                <w:szCs w:val="20"/>
                <w:rtl/>
              </w:rPr>
              <w:t> </w:t>
            </w:r>
            <w:r w:rsidRPr="00564B9D">
              <w:rPr>
                <w:rFonts w:hint="cs"/>
                <w:sz w:val="20"/>
                <w:szCs w:val="20"/>
                <w:rtl/>
              </w:rPr>
              <w:t xml:space="preserve">100 شخص </w:t>
            </w:r>
          </w:p>
        </w:tc>
        <w:tc>
          <w:tcPr>
            <w:tcW w:w="1941" w:type="dxa"/>
            <w:shd w:val="clear" w:color="auto" w:fill="auto"/>
          </w:tcPr>
          <w:p w14:paraId="6F82F7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829D29F" w14:textId="77777777" w:rsidTr="00804944">
        <w:tblPrEx>
          <w:tblLook w:val="0000" w:firstRow="0" w:lastRow="0" w:firstColumn="0" w:lastColumn="0" w:noHBand="0" w:noVBand="0"/>
        </w:tblPrEx>
        <w:trPr>
          <w:trHeight w:val="240"/>
        </w:trPr>
        <w:tc>
          <w:tcPr>
            <w:tcW w:w="4997" w:type="dxa"/>
            <w:shd w:val="clear" w:color="auto" w:fill="auto"/>
          </w:tcPr>
          <w:p w14:paraId="5471759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المدعين العامين والقضاة لكل 000</w:t>
            </w:r>
            <w:r w:rsidRPr="00564B9D">
              <w:rPr>
                <w:sz w:val="20"/>
                <w:szCs w:val="20"/>
                <w:rtl/>
              </w:rPr>
              <w:t> </w:t>
            </w:r>
            <w:r w:rsidRPr="00564B9D">
              <w:rPr>
                <w:rFonts w:hint="cs"/>
                <w:sz w:val="20"/>
                <w:szCs w:val="20"/>
                <w:rtl/>
              </w:rPr>
              <w:t>100 شخص</w:t>
            </w:r>
          </w:p>
        </w:tc>
        <w:tc>
          <w:tcPr>
            <w:tcW w:w="1941" w:type="dxa"/>
            <w:shd w:val="clear" w:color="auto" w:fill="auto"/>
          </w:tcPr>
          <w:p w14:paraId="1FBA46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57F0066" w14:textId="77777777" w:rsidTr="00804944">
        <w:tblPrEx>
          <w:tblLook w:val="0000" w:firstRow="0" w:lastRow="0" w:firstColumn="0" w:lastColumn="0" w:noHBand="0" w:noVBand="0"/>
        </w:tblPrEx>
        <w:trPr>
          <w:trHeight w:val="240"/>
        </w:trPr>
        <w:tc>
          <w:tcPr>
            <w:tcW w:w="4997" w:type="dxa"/>
            <w:shd w:val="clear" w:color="auto" w:fill="auto"/>
          </w:tcPr>
          <w:p w14:paraId="0781F5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الحصة من النفقات العامة على جهاز الشرطة/الأمن والجهاز القضائي</w:t>
            </w:r>
          </w:p>
        </w:tc>
        <w:tc>
          <w:tcPr>
            <w:tcW w:w="1941" w:type="dxa"/>
            <w:shd w:val="clear" w:color="auto" w:fill="auto"/>
          </w:tcPr>
          <w:p w14:paraId="1FA5C4E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200A6A9" w14:textId="77777777" w:rsidTr="00804944">
        <w:tblPrEx>
          <w:tblLook w:val="0000" w:firstRow="0" w:lastRow="0" w:firstColumn="0" w:lastColumn="0" w:noHBand="0" w:noVBand="0"/>
        </w:tblPrEx>
        <w:trPr>
          <w:trHeight w:val="240"/>
        </w:trPr>
        <w:tc>
          <w:tcPr>
            <w:tcW w:w="4997" w:type="dxa"/>
            <w:shd w:val="clear" w:color="auto" w:fill="auto"/>
          </w:tcPr>
          <w:p w14:paraId="643F0A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الأشخاص الذين يتلقون مساعدة قضائية من بين المتهمين والمعتقلين الذين يتقدمون بطلبها </w:t>
            </w:r>
          </w:p>
        </w:tc>
        <w:tc>
          <w:tcPr>
            <w:tcW w:w="1941" w:type="dxa"/>
            <w:shd w:val="clear" w:color="auto" w:fill="auto"/>
          </w:tcPr>
          <w:p w14:paraId="6192A6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641CD05" w14:textId="77777777" w:rsidTr="00804944">
        <w:tblPrEx>
          <w:tblLook w:val="0000" w:firstRow="0" w:lastRow="0" w:firstColumn="0" w:lastColumn="0" w:noHBand="0" w:noVBand="0"/>
        </w:tblPrEx>
        <w:trPr>
          <w:trHeight w:val="240"/>
        </w:trPr>
        <w:tc>
          <w:tcPr>
            <w:tcW w:w="4997" w:type="dxa"/>
            <w:tcBorders>
              <w:bottom w:val="single" w:sz="12" w:space="0" w:color="auto"/>
            </w:tcBorders>
            <w:shd w:val="clear" w:color="auto" w:fill="auto"/>
          </w:tcPr>
          <w:p w14:paraId="7E06912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الضحايا الذين تم تعويضهم بعد صدور الحكم القضائي، بحسب نوع</w:t>
            </w:r>
            <w:r w:rsidRPr="00564B9D">
              <w:rPr>
                <w:rFonts w:hint="eastAsia"/>
                <w:sz w:val="20"/>
                <w:szCs w:val="20"/>
                <w:rtl/>
              </w:rPr>
              <w:t> </w:t>
            </w:r>
            <w:r w:rsidRPr="00564B9D">
              <w:rPr>
                <w:rFonts w:hint="cs"/>
                <w:sz w:val="20"/>
                <w:szCs w:val="20"/>
                <w:rtl/>
              </w:rPr>
              <w:t>الجريمة</w:t>
            </w:r>
          </w:p>
        </w:tc>
        <w:tc>
          <w:tcPr>
            <w:tcW w:w="1941" w:type="dxa"/>
            <w:tcBorders>
              <w:bottom w:val="single" w:sz="12" w:space="0" w:color="auto"/>
            </w:tcBorders>
            <w:shd w:val="clear" w:color="auto" w:fill="auto"/>
          </w:tcPr>
          <w:p w14:paraId="5CFCB8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05632F0F" w14:textId="77777777" w:rsidR="00494AE4" w:rsidRPr="00564B9D" w:rsidRDefault="00494AE4" w:rsidP="00494AE4">
      <w:pPr>
        <w:pStyle w:val="H1GA"/>
        <w:rPr>
          <w:rtl/>
        </w:rPr>
      </w:pPr>
      <w:r w:rsidRPr="00564B9D">
        <w:rPr>
          <w:rtl/>
        </w:rPr>
        <w:tab/>
      </w:r>
      <w:bookmarkStart w:id="66" w:name="_Toc123044119"/>
      <w:bookmarkStart w:id="67" w:name="_Toc123044342"/>
      <w:bookmarkStart w:id="68" w:name="_Toc123044603"/>
      <w:bookmarkStart w:id="69" w:name="_Toc123044865"/>
      <w:r w:rsidRPr="00564B9D">
        <w:rPr>
          <w:rFonts w:hint="cs"/>
          <w:rtl/>
        </w:rPr>
        <w:t>باء-</w:t>
      </w:r>
      <w:r w:rsidRPr="00564B9D">
        <w:rPr>
          <w:rtl/>
        </w:rPr>
        <w:tab/>
      </w:r>
      <w:r w:rsidRPr="00564B9D">
        <w:rPr>
          <w:rFonts w:hint="cs"/>
          <w:rtl/>
        </w:rPr>
        <w:t>الهيكل الدستوري والسياسي والقانوني</w:t>
      </w:r>
      <w:bookmarkEnd w:id="66"/>
      <w:bookmarkEnd w:id="67"/>
      <w:bookmarkEnd w:id="68"/>
      <w:bookmarkEnd w:id="69"/>
    </w:p>
    <w:p w14:paraId="4910F7B0" w14:textId="77777777" w:rsidR="00494AE4" w:rsidRPr="00564B9D" w:rsidRDefault="00494AE4" w:rsidP="00494AE4">
      <w:pPr>
        <w:pStyle w:val="H23GA"/>
        <w:rPr>
          <w:rtl/>
        </w:rPr>
      </w:pPr>
      <w:r w:rsidRPr="00564B9D">
        <w:rPr>
          <w:rtl/>
        </w:rPr>
        <w:tab/>
      </w:r>
      <w:r w:rsidRPr="00564B9D">
        <w:rPr>
          <w:rtl/>
        </w:rPr>
        <w:tab/>
      </w:r>
      <w:r w:rsidRPr="00564B9D">
        <w:rPr>
          <w:rFonts w:hint="cs"/>
          <w:rtl/>
        </w:rPr>
        <w:t>مجلس النواب</w:t>
      </w:r>
      <w:r w:rsidRPr="00564B9D">
        <w:rPr>
          <w:b w:val="0"/>
          <w:bCs w:val="0"/>
          <w:vertAlign w:val="superscript"/>
          <w:rtl/>
        </w:rPr>
        <w:t>(</w:t>
      </w:r>
      <w:r w:rsidRPr="00564B9D">
        <w:rPr>
          <w:rStyle w:val="FootnoteReference"/>
          <w:rFonts w:cs="Simplified Arabic"/>
          <w:bCs w:val="0"/>
          <w:sz w:val="22"/>
          <w:szCs w:val="22"/>
          <w:rtl/>
          <w:lang w:val="en-US"/>
        </w:rPr>
        <w:footnoteReference w:id="223"/>
      </w:r>
      <w:r w:rsidRPr="00564B9D">
        <w:rPr>
          <w:b w:val="0"/>
          <w:bCs w:val="0"/>
          <w:vertAlign w:val="superscript"/>
          <w:rtl/>
        </w:rPr>
        <w:t>)</w:t>
      </w:r>
      <w:r w:rsidRPr="00564B9D">
        <w:rPr>
          <w:rFonts w:hint="cs"/>
          <w:rtl/>
        </w:rPr>
        <w:t xml:space="preserve"> </w:t>
      </w:r>
    </w:p>
    <w:p w14:paraId="2AFAFF58" w14:textId="77777777" w:rsidR="00494AE4" w:rsidRPr="00564B9D" w:rsidRDefault="00494AE4" w:rsidP="00494AE4">
      <w:pPr>
        <w:pStyle w:val="SingleTxtGA"/>
        <w:rPr>
          <w:rtl/>
        </w:rPr>
      </w:pPr>
      <w:r w:rsidRPr="00564B9D">
        <w:rPr>
          <w:rFonts w:hint="cs"/>
          <w:rtl/>
        </w:rPr>
        <w:t>56</w:t>
      </w:r>
      <w:r w:rsidRPr="00564B9D">
        <w:rPr>
          <w:rtl/>
        </w:rPr>
        <w:t>-</w:t>
      </w:r>
      <w:r w:rsidRPr="00564B9D">
        <w:rPr>
          <w:rtl/>
        </w:rPr>
        <w:tab/>
      </w:r>
      <w:r w:rsidRPr="00564B9D">
        <w:rPr>
          <w:rFonts w:hint="cs"/>
          <w:rtl/>
        </w:rPr>
        <w:t>يتألف مجلس النواب من 12 عضواً. وتجري الانتخابات كل خمس سنوات وقد جرت الانتخابات الأخيرة في شباط/فبراير 2010</w:t>
      </w:r>
      <w:r w:rsidRPr="00564B9D">
        <w:rPr>
          <w:rtl/>
        </w:rPr>
        <w:t>.</w:t>
      </w:r>
      <w:r w:rsidRPr="00564B9D">
        <w:rPr>
          <w:rFonts w:hint="cs"/>
          <w:rtl/>
        </w:rPr>
        <w:t xml:space="preserve"> </w:t>
      </w:r>
    </w:p>
    <w:p w14:paraId="7A2295BA" w14:textId="77777777" w:rsidR="00494AE4" w:rsidRPr="00564B9D" w:rsidRDefault="00494AE4" w:rsidP="00494AE4">
      <w:pPr>
        <w:pStyle w:val="H23GA"/>
        <w:rPr>
          <w:rtl/>
        </w:rPr>
      </w:pPr>
      <w:r w:rsidRPr="00564B9D">
        <w:rPr>
          <w:rtl/>
        </w:rPr>
        <w:tab/>
      </w:r>
      <w:r w:rsidRPr="00564B9D">
        <w:rPr>
          <w:rtl/>
        </w:rPr>
        <w:tab/>
      </w:r>
      <w:r w:rsidRPr="00564B9D">
        <w:rPr>
          <w:rFonts w:hint="cs"/>
          <w:rtl/>
        </w:rPr>
        <w:t>حكومة أنغيلا</w:t>
      </w:r>
      <w:r w:rsidRPr="00564B9D">
        <w:rPr>
          <w:b w:val="0"/>
          <w:bCs w:val="0"/>
          <w:vertAlign w:val="superscript"/>
          <w:rtl/>
        </w:rPr>
        <w:t>(</w:t>
      </w:r>
      <w:r w:rsidRPr="00564B9D">
        <w:rPr>
          <w:rStyle w:val="FootnoteReference"/>
          <w:rFonts w:cs="Simplified Arabic"/>
          <w:bCs w:val="0"/>
          <w:sz w:val="22"/>
          <w:szCs w:val="22"/>
          <w:rtl/>
          <w:lang w:val="en-US"/>
        </w:rPr>
        <w:footnoteReference w:id="224"/>
      </w:r>
      <w:r w:rsidRPr="00564B9D">
        <w:rPr>
          <w:b w:val="0"/>
          <w:bCs w:val="0"/>
          <w:vertAlign w:val="superscript"/>
          <w:rtl/>
        </w:rPr>
        <w:t>)</w:t>
      </w:r>
      <w:r w:rsidRPr="00564B9D">
        <w:rPr>
          <w:rFonts w:hint="cs"/>
          <w:rtl/>
        </w:rPr>
        <w:t xml:space="preserve"> </w:t>
      </w:r>
    </w:p>
    <w:p w14:paraId="1BD6FAB5" w14:textId="77777777" w:rsidR="00494AE4" w:rsidRPr="00564B9D" w:rsidRDefault="00494AE4" w:rsidP="00494AE4">
      <w:pPr>
        <w:pStyle w:val="SingleTxtGA"/>
        <w:rPr>
          <w:rtl/>
        </w:rPr>
      </w:pPr>
      <w:r w:rsidRPr="00564B9D">
        <w:rPr>
          <w:rFonts w:hint="cs"/>
          <w:rtl/>
        </w:rPr>
        <w:t>57</w:t>
      </w:r>
      <w:r w:rsidRPr="00564B9D">
        <w:rPr>
          <w:rtl/>
        </w:rPr>
        <w:t>-</w:t>
      </w:r>
      <w:r w:rsidRPr="00564B9D">
        <w:rPr>
          <w:rtl/>
        </w:rPr>
        <w:tab/>
      </w:r>
      <w:r w:rsidRPr="00564B9D">
        <w:rPr>
          <w:rFonts w:hint="cs"/>
          <w:rtl/>
        </w:rPr>
        <w:t>يُمارس الحكم عن طريق الحاكم لدى صاحب الجلالة، الذي يعينه العاهل، ومجلس تنفيذي تسند إليه مهمة إدارة الحكومة ومراقبتها بوجه عام. ويتمتع الحاكم بصلاحيات حصرية فيما يتعلق بالتشريع، وهو مسؤول عن الشؤون الخارجية والشؤون المالية الخارجية والدفاع والأمن الداخلي (بما في ذلك الشرطة) وبعض جوانب الخدمة العامة. ويتألف المجلس التنفيذي من رئيس الوزراء، وما لا يزيد على ثلاثة وزراء آخرين والنائب العام ونائب الحاكم</w:t>
      </w:r>
      <w:r w:rsidRPr="00564B9D">
        <w:rPr>
          <w:rtl/>
        </w:rPr>
        <w:t>.</w:t>
      </w:r>
    </w:p>
    <w:p w14:paraId="215CA83B"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r w:rsidRPr="00564B9D">
        <w:rPr>
          <w:b w:val="0"/>
          <w:bCs w:val="0"/>
          <w:vertAlign w:val="superscript"/>
          <w:rtl/>
        </w:rPr>
        <w:t>(</w:t>
      </w:r>
      <w:r w:rsidRPr="00564B9D">
        <w:rPr>
          <w:rStyle w:val="FootnoteReference"/>
          <w:rFonts w:cs="Simplified Arabic"/>
          <w:bCs w:val="0"/>
          <w:sz w:val="22"/>
          <w:szCs w:val="22"/>
          <w:rtl/>
          <w:lang w:val="en-US"/>
        </w:rPr>
        <w:footnoteReference w:id="225"/>
      </w:r>
      <w:r w:rsidRPr="00564B9D">
        <w:rPr>
          <w:b w:val="0"/>
          <w:bCs w:val="0"/>
          <w:vertAlign w:val="superscript"/>
          <w:rtl/>
        </w:rPr>
        <w:t>)</w:t>
      </w:r>
      <w:r w:rsidRPr="00564B9D">
        <w:rPr>
          <w:rFonts w:hint="cs"/>
          <w:rtl/>
        </w:rPr>
        <w:t xml:space="preserve"> </w:t>
      </w:r>
    </w:p>
    <w:p w14:paraId="7AAE94EE" w14:textId="77777777" w:rsidR="00494AE4" w:rsidRPr="00564B9D" w:rsidRDefault="00494AE4" w:rsidP="00494AE4">
      <w:pPr>
        <w:pStyle w:val="SingleTxtGA"/>
        <w:rPr>
          <w:rtl/>
        </w:rPr>
      </w:pPr>
      <w:r w:rsidRPr="00564B9D">
        <w:rPr>
          <w:rFonts w:hint="cs"/>
          <w:rtl/>
        </w:rPr>
        <w:t>58</w:t>
      </w:r>
      <w:r w:rsidRPr="00564B9D">
        <w:rPr>
          <w:rtl/>
        </w:rPr>
        <w:t>-</w:t>
      </w:r>
      <w:r w:rsidRPr="00564B9D">
        <w:rPr>
          <w:rtl/>
        </w:rPr>
        <w:tab/>
      </w:r>
      <w:r w:rsidRPr="00564B9D">
        <w:rPr>
          <w:rFonts w:hint="cs"/>
          <w:rtl/>
        </w:rPr>
        <w:t>يتألف الجهاز القضائي من المحكمة العليا لشرق الكاريبي، التي تشمل كلاً من محكمة الاستئناف والمحكمة العليا، والمحكمة الجزئية. وتنظر في الطعون النهائية اللجنة القضائية للمجلس الملكي الخاص في لندن.</w:t>
      </w:r>
    </w:p>
    <w:p w14:paraId="169462D4" w14:textId="77777777" w:rsidR="00494AE4" w:rsidRPr="00564B9D" w:rsidRDefault="00494AE4" w:rsidP="00494AE4">
      <w:pPr>
        <w:pStyle w:val="HChGA"/>
        <w:rPr>
          <w:rtl/>
        </w:rPr>
      </w:pPr>
      <w:r w:rsidRPr="00564B9D">
        <w:rPr>
          <w:rtl/>
        </w:rPr>
        <w:tab/>
      </w:r>
      <w:bookmarkStart w:id="70" w:name="_Toc123044120"/>
      <w:bookmarkStart w:id="71" w:name="_Toc123044343"/>
      <w:bookmarkStart w:id="72" w:name="_Toc123044604"/>
      <w:bookmarkStart w:id="73" w:name="_Toc123044866"/>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70"/>
      <w:bookmarkEnd w:id="71"/>
      <w:bookmarkEnd w:id="72"/>
      <w:bookmarkEnd w:id="73"/>
    </w:p>
    <w:p w14:paraId="55A015F0" w14:textId="77777777" w:rsidR="00494AE4" w:rsidRPr="00564B9D" w:rsidRDefault="00494AE4" w:rsidP="00494AE4">
      <w:pPr>
        <w:pStyle w:val="H1GA"/>
        <w:rPr>
          <w:rtl/>
        </w:rPr>
      </w:pPr>
      <w:r w:rsidRPr="00564B9D">
        <w:rPr>
          <w:rtl/>
        </w:rPr>
        <w:tab/>
      </w:r>
      <w:bookmarkStart w:id="74" w:name="_Toc123044121"/>
      <w:bookmarkStart w:id="75" w:name="_Toc123044344"/>
      <w:bookmarkStart w:id="76" w:name="_Toc123044605"/>
      <w:bookmarkStart w:id="77" w:name="_Toc123044867"/>
      <w:r w:rsidRPr="00564B9D">
        <w:rPr>
          <w:rtl/>
        </w:rPr>
        <w:t>ألف-</w:t>
      </w:r>
      <w:r w:rsidRPr="00564B9D">
        <w:rPr>
          <w:rtl/>
        </w:rPr>
        <w:tab/>
      </w:r>
      <w:r w:rsidRPr="00564B9D">
        <w:rPr>
          <w:rFonts w:hint="cs"/>
          <w:rtl/>
        </w:rPr>
        <w:t>قبول معايير حقوق الإنسان الدولية</w:t>
      </w:r>
      <w:bookmarkEnd w:id="74"/>
      <w:bookmarkEnd w:id="75"/>
      <w:bookmarkEnd w:id="76"/>
      <w:bookmarkEnd w:id="77"/>
    </w:p>
    <w:p w14:paraId="7976777E" w14:textId="77777777" w:rsidR="00494AE4" w:rsidRPr="00564B9D" w:rsidRDefault="00494AE4" w:rsidP="00494AE4">
      <w:pPr>
        <w:pStyle w:val="SingleTxtGA"/>
        <w:rPr>
          <w:rtl/>
        </w:rPr>
      </w:pPr>
      <w:r w:rsidRPr="00564B9D">
        <w:rPr>
          <w:rFonts w:hint="cs"/>
          <w:rtl/>
        </w:rPr>
        <w:t>59</w:t>
      </w:r>
      <w:r w:rsidRPr="00564B9D">
        <w:rPr>
          <w:rtl/>
        </w:rPr>
        <w:t>-</w:t>
      </w:r>
      <w:r w:rsidRPr="00564B9D">
        <w:rPr>
          <w:rtl/>
        </w:rPr>
        <w:tab/>
      </w:r>
      <w:r w:rsidRPr="00564B9D">
        <w:rPr>
          <w:rFonts w:hint="cs"/>
          <w:rtl/>
        </w:rPr>
        <w:t>تم توسيع نطاق الصكوك الدولية الرئيسية التالية لتشمل أنغيلا</w:t>
      </w:r>
      <w:r w:rsidRPr="00564B9D">
        <w:rPr>
          <w:rtl/>
        </w:rPr>
        <w:t>.</w:t>
      </w:r>
    </w:p>
    <w:p w14:paraId="50D31EC6"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4E507176"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الاتفاقية الدولية للقضاء على جميع أشكال التمييز العنصري؛ اتفاقية مناهضة التعذيب وغيره من ضروب المعاملة أو العقوبة القاسية أو اللاإنسانية أو المهينة؛ اتفاقية حقوق الطفل.</w:t>
      </w:r>
    </w:p>
    <w:p w14:paraId="7F1DAC68"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306C0B3E"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نظام روما الأساسي للمحكمة الجنائية الدولية.</w:t>
      </w:r>
    </w:p>
    <w:p w14:paraId="3BF80DEF"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العمل الدولية</w:t>
      </w:r>
    </w:p>
    <w:p w14:paraId="363B5D72"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C081</w:t>
      </w:r>
      <w:r w:rsidRPr="00564B9D">
        <w:rPr>
          <w:rFonts w:hint="cs"/>
          <w:rtl/>
        </w:rPr>
        <w:t xml:space="preserve"> - الاتفاقية بشأن تفتيش العمل؛ </w:t>
      </w: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xml:space="preserve"> - اتفاقية الضمان الاجتماعي (المعايير الدنيا).</w:t>
      </w:r>
    </w:p>
    <w:p w14:paraId="1E7CAD2B"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300BFA6D"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المتعلقة بالجوانب المدنية للاختطاف الدولي للأطفال.</w:t>
      </w:r>
    </w:p>
    <w:p w14:paraId="5692FD17"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ومعاهدات أخرى بشأن القانون الإنساني الدولي</w:t>
      </w:r>
    </w:p>
    <w:p w14:paraId="60043EDC"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1DEC6028"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لحقوق الإنسان</w:t>
      </w:r>
    </w:p>
    <w:p w14:paraId="10319708"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597BBFBB" w14:textId="77777777" w:rsidR="00494AE4" w:rsidRPr="00564B9D" w:rsidRDefault="00494AE4" w:rsidP="00494AE4">
      <w:pPr>
        <w:pStyle w:val="H1GA"/>
        <w:rPr>
          <w:rtl/>
        </w:rPr>
      </w:pPr>
      <w:r w:rsidRPr="00564B9D">
        <w:rPr>
          <w:rtl/>
        </w:rPr>
        <w:tab/>
      </w:r>
      <w:bookmarkStart w:id="78" w:name="_Toc123044122"/>
      <w:bookmarkStart w:id="79" w:name="_Toc123044345"/>
      <w:bookmarkStart w:id="80" w:name="_Toc123044606"/>
      <w:bookmarkStart w:id="81" w:name="_Toc123044868"/>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78"/>
      <w:bookmarkEnd w:id="79"/>
      <w:bookmarkEnd w:id="80"/>
      <w:bookmarkEnd w:id="81"/>
    </w:p>
    <w:p w14:paraId="7B77611E" w14:textId="77777777" w:rsidR="00494AE4" w:rsidRPr="00564B9D" w:rsidRDefault="00494AE4" w:rsidP="00494AE4">
      <w:pPr>
        <w:pStyle w:val="SingleTxtGA"/>
        <w:rPr>
          <w:rtl/>
        </w:rPr>
      </w:pPr>
      <w:r w:rsidRPr="00564B9D">
        <w:rPr>
          <w:rFonts w:hint="cs"/>
          <w:rtl/>
        </w:rPr>
        <w:t>60</w:t>
      </w:r>
      <w:r w:rsidRPr="00564B9D">
        <w:rPr>
          <w:rtl/>
        </w:rPr>
        <w:t>-</w:t>
      </w:r>
      <w:r w:rsidRPr="00564B9D">
        <w:rPr>
          <w:rtl/>
        </w:rPr>
        <w:tab/>
      </w:r>
      <w:r w:rsidRPr="00564B9D">
        <w:rPr>
          <w:rFonts w:hint="cs"/>
          <w:rtl/>
        </w:rPr>
        <w:t>يحتوي الفصل الأول ("حماية حقوق الإنسان والحريات الأساسية") من ملحق القانون الدستوري لأنغيلا لعام 1982</w:t>
      </w:r>
      <w:r w:rsidRPr="00564B9D">
        <w:rPr>
          <w:vertAlign w:val="superscript"/>
          <w:rtl/>
        </w:rPr>
        <w:t>(</w:t>
      </w:r>
      <w:r w:rsidRPr="00564B9D">
        <w:rPr>
          <w:rStyle w:val="FootnoteReference"/>
          <w:rFonts w:cs="Simplified Arabic"/>
          <w:b w:val="0"/>
          <w:sz w:val="22"/>
          <w:szCs w:val="22"/>
          <w:rtl/>
          <w:lang w:val="en-US"/>
        </w:rPr>
        <w:footnoteReference w:id="226"/>
      </w:r>
      <w:r w:rsidRPr="00564B9D">
        <w:rPr>
          <w:vertAlign w:val="superscript"/>
          <w:rtl/>
        </w:rPr>
        <w:t>)</w:t>
      </w:r>
      <w:r w:rsidRPr="00564B9D">
        <w:rPr>
          <w:rtl/>
        </w:rPr>
        <w:t xml:space="preserve"> </w:t>
      </w:r>
      <w:r w:rsidRPr="00564B9D">
        <w:rPr>
          <w:rFonts w:hint="cs"/>
          <w:rtl/>
        </w:rPr>
        <w:t>(بصيغته المعدلة في عام 1990</w:t>
      </w:r>
      <w:r w:rsidRPr="00564B9D">
        <w:rPr>
          <w:vertAlign w:val="superscript"/>
          <w:rtl/>
        </w:rPr>
        <w:t>(</w:t>
      </w:r>
      <w:r w:rsidRPr="00564B9D">
        <w:rPr>
          <w:rStyle w:val="FootnoteReference"/>
          <w:rFonts w:cs="Simplified Arabic"/>
          <w:b w:val="0"/>
          <w:sz w:val="22"/>
          <w:szCs w:val="22"/>
          <w:rtl/>
          <w:lang w:val="en-US"/>
        </w:rPr>
        <w:footnoteReference w:id="227"/>
      </w:r>
      <w:r w:rsidRPr="00564B9D">
        <w:rPr>
          <w:vertAlign w:val="superscript"/>
          <w:rtl/>
        </w:rPr>
        <w:t>)</w:t>
      </w:r>
      <w:r w:rsidRPr="00564B9D">
        <w:rPr>
          <w:rtl/>
        </w:rPr>
        <w:t xml:space="preserve"> </w:t>
      </w:r>
      <w:r w:rsidRPr="00564B9D">
        <w:rPr>
          <w:rFonts w:hint="cs"/>
          <w:rtl/>
        </w:rPr>
        <w:t>على أحكام معينة ترمي إلى حماية حقوق الإنسان ومكافحة التمييز</w:t>
      </w:r>
      <w:r w:rsidRPr="00564B9D">
        <w:rPr>
          <w:rtl/>
        </w:rPr>
        <w:t>.</w:t>
      </w:r>
    </w:p>
    <w:p w14:paraId="2DD5A33A" w14:textId="77777777" w:rsidR="00494AE4" w:rsidRPr="00564B9D" w:rsidRDefault="00494AE4" w:rsidP="00494AE4">
      <w:pPr>
        <w:pStyle w:val="H1GA"/>
        <w:rPr>
          <w:rtl/>
        </w:rPr>
      </w:pPr>
      <w:r w:rsidRPr="00564B9D">
        <w:rPr>
          <w:rtl/>
        </w:rPr>
        <w:tab/>
      </w:r>
      <w:bookmarkStart w:id="82" w:name="_Toc123044123"/>
      <w:bookmarkStart w:id="83" w:name="_Toc123044346"/>
      <w:bookmarkStart w:id="84" w:name="_Toc123044607"/>
      <w:bookmarkStart w:id="85" w:name="_Toc123044869"/>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82"/>
      <w:bookmarkEnd w:id="83"/>
      <w:bookmarkEnd w:id="84"/>
      <w:bookmarkEnd w:id="85"/>
    </w:p>
    <w:p w14:paraId="77E3AE20" w14:textId="77777777" w:rsidR="00494AE4" w:rsidRPr="00564B9D" w:rsidRDefault="00494AE4" w:rsidP="00494AE4">
      <w:pPr>
        <w:pStyle w:val="SingleTxtGA"/>
        <w:rPr>
          <w:rtl/>
        </w:rPr>
      </w:pPr>
      <w:r w:rsidRPr="00564B9D">
        <w:rPr>
          <w:rFonts w:hint="cs"/>
          <w:rtl/>
        </w:rPr>
        <w:t>61</w:t>
      </w:r>
      <w:r w:rsidRPr="00564B9D">
        <w:rPr>
          <w:rtl/>
        </w:rPr>
        <w:t>-</w:t>
      </w:r>
      <w:r w:rsidRPr="00564B9D">
        <w:rPr>
          <w:rtl/>
        </w:rPr>
        <w:tab/>
      </w:r>
      <w:r w:rsidRPr="00564B9D">
        <w:rPr>
          <w:rFonts w:hint="cs"/>
          <w:rtl/>
        </w:rPr>
        <w:t>لم تتوفر المعلومات بعد.</w:t>
      </w:r>
    </w:p>
    <w:p w14:paraId="749BFB75" w14:textId="77777777" w:rsidR="00494AE4" w:rsidRPr="00564B9D" w:rsidRDefault="00494AE4" w:rsidP="00494AE4">
      <w:pPr>
        <w:pStyle w:val="HChGA"/>
        <w:rPr>
          <w:rtl/>
        </w:rPr>
      </w:pPr>
      <w:r w:rsidRPr="00564B9D">
        <w:rPr>
          <w:rtl/>
        </w:rPr>
        <w:tab/>
      </w:r>
      <w:bookmarkStart w:id="86" w:name="_Toc123044124"/>
      <w:bookmarkStart w:id="87" w:name="_Toc123044347"/>
      <w:bookmarkStart w:id="88" w:name="_Toc123044608"/>
      <w:bookmarkStart w:id="89" w:name="_Toc123044870"/>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86"/>
      <w:bookmarkEnd w:id="87"/>
      <w:bookmarkEnd w:id="88"/>
      <w:bookmarkEnd w:id="89"/>
    </w:p>
    <w:p w14:paraId="1F0A9ED5" w14:textId="77777777" w:rsidR="00494AE4" w:rsidRPr="00564B9D" w:rsidRDefault="00494AE4" w:rsidP="00494AE4">
      <w:pPr>
        <w:pStyle w:val="SingleTxtGA"/>
        <w:rPr>
          <w:rtl/>
        </w:rPr>
      </w:pPr>
      <w:r w:rsidRPr="00564B9D">
        <w:rPr>
          <w:rFonts w:hint="cs"/>
          <w:rtl/>
        </w:rPr>
        <w:t>62</w:t>
      </w:r>
      <w:r w:rsidRPr="00564B9D">
        <w:rPr>
          <w:rtl/>
        </w:rPr>
        <w:t>-</w:t>
      </w:r>
      <w:r w:rsidRPr="00564B9D">
        <w:rPr>
          <w:rtl/>
        </w:rPr>
        <w:tab/>
      </w:r>
      <w:r w:rsidRPr="00564B9D">
        <w:rPr>
          <w:rFonts w:hint="cs"/>
          <w:rtl/>
        </w:rPr>
        <w:t>انظر الفرع باء أعلاه.</w:t>
      </w:r>
    </w:p>
    <w:p w14:paraId="757C176F" w14:textId="77777777" w:rsidR="00494AE4" w:rsidRPr="00564B9D" w:rsidRDefault="00494AE4" w:rsidP="00494AE4">
      <w:pPr>
        <w:pStyle w:val="HChGA"/>
        <w:rPr>
          <w:rtl/>
        </w:rPr>
      </w:pPr>
      <w:r w:rsidRPr="00564B9D">
        <w:rPr>
          <w:rtl/>
        </w:rPr>
        <w:lastRenderedPageBreak/>
        <w:tab/>
      </w:r>
      <w:r w:rsidRPr="00564B9D">
        <w:rPr>
          <w:rtl/>
        </w:rPr>
        <w:tab/>
      </w:r>
      <w:bookmarkStart w:id="90" w:name="_Toc123044125"/>
      <w:bookmarkStart w:id="91" w:name="_Toc123044348"/>
      <w:bookmarkStart w:id="92" w:name="_Toc123044609"/>
      <w:bookmarkStart w:id="93" w:name="_Toc123044871"/>
      <w:r w:rsidRPr="00564B9D">
        <w:rPr>
          <w:rFonts w:hint="cs"/>
          <w:rtl/>
        </w:rPr>
        <w:t>برمودا</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28"/>
      </w:r>
      <w:r w:rsidRPr="00564B9D">
        <w:rPr>
          <w:b w:val="0"/>
          <w:bCs w:val="0"/>
          <w:sz w:val="22"/>
          <w:szCs w:val="22"/>
          <w:vertAlign w:val="superscript"/>
          <w:rtl/>
        </w:rPr>
        <w:t>)</w:t>
      </w:r>
      <w:bookmarkEnd w:id="90"/>
      <w:bookmarkEnd w:id="91"/>
      <w:bookmarkEnd w:id="92"/>
      <w:bookmarkEnd w:id="93"/>
      <w:r w:rsidRPr="00564B9D">
        <w:rPr>
          <w:rFonts w:hint="cs"/>
          <w:rtl/>
        </w:rPr>
        <w:t xml:space="preserve"> </w:t>
      </w:r>
    </w:p>
    <w:p w14:paraId="349BF729" w14:textId="77777777" w:rsidR="00494AE4" w:rsidRPr="00564B9D" w:rsidRDefault="00494AE4" w:rsidP="00494AE4">
      <w:pPr>
        <w:pStyle w:val="HChGA"/>
        <w:rPr>
          <w:rtl/>
        </w:rPr>
      </w:pPr>
      <w:r w:rsidRPr="00564B9D">
        <w:rPr>
          <w:rtl/>
        </w:rPr>
        <w:tab/>
      </w:r>
      <w:bookmarkStart w:id="94" w:name="_Toc123044126"/>
      <w:bookmarkStart w:id="95" w:name="_Toc123044349"/>
      <w:bookmarkStart w:id="96" w:name="_Toc123044610"/>
      <w:bookmarkStart w:id="97" w:name="_Toc123044872"/>
      <w:r w:rsidRPr="00564B9D">
        <w:rPr>
          <w:rFonts w:hint="cs"/>
          <w:rtl/>
        </w:rPr>
        <w:t>أولاً</w:t>
      </w:r>
      <w:r w:rsidRPr="00564B9D">
        <w:rPr>
          <w:rtl/>
        </w:rPr>
        <w:t>-</w:t>
      </w:r>
      <w:r w:rsidRPr="00564B9D">
        <w:rPr>
          <w:rtl/>
        </w:rPr>
        <w:tab/>
      </w:r>
      <w:r w:rsidRPr="00564B9D">
        <w:rPr>
          <w:rFonts w:hint="cs"/>
          <w:rtl/>
        </w:rPr>
        <w:t>معلومات عامة</w:t>
      </w:r>
      <w:bookmarkEnd w:id="94"/>
      <w:bookmarkEnd w:id="95"/>
      <w:bookmarkEnd w:id="96"/>
      <w:bookmarkEnd w:id="97"/>
    </w:p>
    <w:p w14:paraId="5E65A0DB" w14:textId="77777777" w:rsidR="00494AE4" w:rsidRPr="00564B9D" w:rsidRDefault="00494AE4" w:rsidP="00494AE4">
      <w:pPr>
        <w:pStyle w:val="H1GA"/>
        <w:rPr>
          <w:rtl/>
        </w:rPr>
      </w:pPr>
      <w:r w:rsidRPr="00564B9D">
        <w:rPr>
          <w:rtl/>
        </w:rPr>
        <w:tab/>
      </w:r>
      <w:bookmarkStart w:id="98" w:name="_Toc123044127"/>
      <w:bookmarkStart w:id="99" w:name="_Toc123044350"/>
      <w:bookmarkStart w:id="100" w:name="_Toc123044611"/>
      <w:bookmarkStart w:id="101" w:name="_Toc123044873"/>
      <w:r w:rsidRPr="00564B9D">
        <w:rPr>
          <w:rtl/>
        </w:rPr>
        <w:t>ألف-</w:t>
      </w:r>
      <w:r w:rsidRPr="00564B9D">
        <w:rPr>
          <w:rtl/>
        </w:rPr>
        <w:tab/>
        <w:t>الخصائص الديمغرافية والاقتصادية والاجتماعية والثقافية</w:t>
      </w:r>
      <w:bookmarkEnd w:id="98"/>
      <w:bookmarkEnd w:id="99"/>
      <w:bookmarkEnd w:id="100"/>
      <w:bookmarkEnd w:id="101"/>
    </w:p>
    <w:tbl>
      <w:tblPr>
        <w:bidiVisual/>
        <w:tblW w:w="8392" w:type="dxa"/>
        <w:tblInd w:w="1247" w:type="dxa"/>
        <w:tblLayout w:type="fixed"/>
        <w:tblCellMar>
          <w:right w:w="113" w:type="dxa"/>
        </w:tblCellMar>
        <w:tblLook w:val="01E0" w:firstRow="1" w:lastRow="1" w:firstColumn="1" w:lastColumn="1" w:noHBand="0" w:noVBand="0"/>
      </w:tblPr>
      <w:tblGrid>
        <w:gridCol w:w="4625"/>
        <w:gridCol w:w="3767"/>
      </w:tblGrid>
      <w:tr w:rsidR="007B5A24" w:rsidRPr="00564B9D" w14:paraId="49C5D9C8" w14:textId="77777777" w:rsidTr="00804944">
        <w:trPr>
          <w:trHeight w:val="431"/>
          <w:tblHeader/>
        </w:trPr>
        <w:tc>
          <w:tcPr>
            <w:tcW w:w="7247" w:type="dxa"/>
            <w:gridSpan w:val="2"/>
            <w:tcBorders>
              <w:top w:val="single" w:sz="4" w:space="0" w:color="auto"/>
              <w:bottom w:val="single" w:sz="12" w:space="0" w:color="auto"/>
            </w:tcBorders>
            <w:shd w:val="clear" w:color="auto" w:fill="auto"/>
            <w:vAlign w:val="bottom"/>
          </w:tcPr>
          <w:p w14:paraId="7BD8DDE7"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 xml:space="preserve">المؤشرات الديمغرافية </w:t>
            </w:r>
          </w:p>
        </w:tc>
      </w:tr>
      <w:tr w:rsidR="007B5A24" w:rsidRPr="00564B9D" w14:paraId="795E9D00" w14:textId="77777777" w:rsidTr="00804944">
        <w:trPr>
          <w:trHeight w:val="240"/>
        </w:trPr>
        <w:tc>
          <w:tcPr>
            <w:tcW w:w="3994" w:type="dxa"/>
            <w:tcBorders>
              <w:top w:val="single" w:sz="12" w:space="0" w:color="auto"/>
            </w:tcBorders>
            <w:shd w:val="clear" w:color="auto" w:fill="auto"/>
          </w:tcPr>
          <w:p w14:paraId="4640B90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حجم السكان </w:t>
            </w:r>
          </w:p>
        </w:tc>
        <w:tc>
          <w:tcPr>
            <w:tcW w:w="3253" w:type="dxa"/>
            <w:tcBorders>
              <w:top w:val="single" w:sz="12" w:space="0" w:color="auto"/>
            </w:tcBorders>
            <w:shd w:val="clear" w:color="auto" w:fill="auto"/>
          </w:tcPr>
          <w:p w14:paraId="3C07268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237</w:t>
            </w:r>
            <w:r w:rsidRPr="00564B9D">
              <w:rPr>
                <w:sz w:val="20"/>
                <w:szCs w:val="20"/>
                <w:rtl/>
              </w:rPr>
              <w:t> </w:t>
            </w:r>
            <w:r w:rsidRPr="00564B9D">
              <w:rPr>
                <w:rFonts w:hint="cs"/>
                <w:sz w:val="20"/>
                <w:szCs w:val="20"/>
                <w:rtl/>
              </w:rPr>
              <w:t>64 (2010)</w:t>
            </w:r>
          </w:p>
        </w:tc>
      </w:tr>
      <w:tr w:rsidR="007B5A24" w:rsidRPr="00564B9D" w14:paraId="2709316E" w14:textId="77777777" w:rsidTr="00804944">
        <w:trPr>
          <w:trHeight w:val="240"/>
        </w:trPr>
        <w:tc>
          <w:tcPr>
            <w:tcW w:w="3994" w:type="dxa"/>
            <w:shd w:val="clear" w:color="auto" w:fill="auto"/>
          </w:tcPr>
          <w:p w14:paraId="3DBA088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معدل النمو السكاني </w:t>
            </w:r>
          </w:p>
        </w:tc>
        <w:tc>
          <w:tcPr>
            <w:tcW w:w="3253" w:type="dxa"/>
            <w:shd w:val="clear" w:color="auto" w:fill="auto"/>
          </w:tcPr>
          <w:p w14:paraId="24E602E1"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0,34 في المائة (2000-2010)</w:t>
            </w:r>
          </w:p>
        </w:tc>
      </w:tr>
      <w:tr w:rsidR="007B5A24" w:rsidRPr="00564B9D" w14:paraId="1859FEBA" w14:textId="77777777" w:rsidTr="00804944">
        <w:trPr>
          <w:trHeight w:val="240"/>
        </w:trPr>
        <w:tc>
          <w:tcPr>
            <w:tcW w:w="3994" w:type="dxa"/>
            <w:shd w:val="clear" w:color="auto" w:fill="auto"/>
          </w:tcPr>
          <w:p w14:paraId="26BA0B9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3253" w:type="dxa"/>
            <w:shd w:val="clear" w:color="auto" w:fill="auto"/>
          </w:tcPr>
          <w:p w14:paraId="4A5ACC3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205</w:t>
            </w:r>
            <w:r w:rsidRPr="00564B9D">
              <w:rPr>
                <w:sz w:val="20"/>
                <w:szCs w:val="20"/>
                <w:rtl/>
              </w:rPr>
              <w:t> </w:t>
            </w:r>
            <w:r w:rsidRPr="00564B9D">
              <w:rPr>
                <w:rFonts w:hint="cs"/>
                <w:sz w:val="20"/>
                <w:szCs w:val="20"/>
                <w:rtl/>
              </w:rPr>
              <w:t>1 (2010)</w:t>
            </w:r>
          </w:p>
        </w:tc>
      </w:tr>
      <w:tr w:rsidR="007B5A24" w:rsidRPr="00564B9D" w14:paraId="71BDB3CA" w14:textId="77777777" w:rsidTr="00804944">
        <w:trPr>
          <w:trHeight w:val="240"/>
        </w:trPr>
        <w:tc>
          <w:tcPr>
            <w:tcW w:w="3994" w:type="dxa"/>
            <w:shd w:val="clear" w:color="auto" w:fill="auto"/>
          </w:tcPr>
          <w:p w14:paraId="4F8DF2B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توزيع السكان بحسب اللغة الأم </w:t>
            </w:r>
          </w:p>
        </w:tc>
        <w:tc>
          <w:tcPr>
            <w:tcW w:w="3253" w:type="dxa"/>
            <w:shd w:val="clear" w:color="auto" w:fill="auto"/>
          </w:tcPr>
          <w:p w14:paraId="13A666A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2C31DB21" w14:textId="77777777" w:rsidTr="00804944">
        <w:trPr>
          <w:trHeight w:val="240"/>
        </w:trPr>
        <w:tc>
          <w:tcPr>
            <w:tcW w:w="3994" w:type="dxa"/>
            <w:shd w:val="clear" w:color="auto" w:fill="auto"/>
          </w:tcPr>
          <w:p w14:paraId="15A74E6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توزيع السكان بحسب الديانة </w:t>
            </w:r>
          </w:p>
        </w:tc>
        <w:tc>
          <w:tcPr>
            <w:tcW w:w="3253" w:type="dxa"/>
            <w:shd w:val="clear" w:color="auto" w:fill="auto"/>
          </w:tcPr>
          <w:p w14:paraId="4E76E52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بدون ديانة: 19 في المائة</w:t>
            </w:r>
          </w:p>
          <w:p w14:paraId="424139E5"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أنجليكان: 16 في المائة</w:t>
            </w:r>
          </w:p>
          <w:p w14:paraId="5B56D949"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روم كاثوليك: 15 في المائة</w:t>
            </w:r>
          </w:p>
          <w:p w14:paraId="2DDAB038"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أتباع الكنيسة الأسقفية الميتودية الأفريقية: 9 في المائة</w:t>
            </w:r>
          </w:p>
          <w:p w14:paraId="39A720F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غير منتمين لطائفة معينة: 9 في المائة</w:t>
            </w:r>
          </w:p>
          <w:p w14:paraId="5BA9A98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أتباع الكنيسة الخمسينية: 4 في المائة</w:t>
            </w:r>
          </w:p>
          <w:p w14:paraId="16D8B60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أتباع الكنيسة الميثودية: 3 في المائة</w:t>
            </w:r>
          </w:p>
          <w:p w14:paraId="12CBB6D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معمدانيون: 1 في المائة </w:t>
            </w:r>
          </w:p>
        </w:tc>
      </w:tr>
      <w:tr w:rsidR="007B5A24" w:rsidRPr="00564B9D" w14:paraId="4889254E" w14:textId="77777777" w:rsidTr="00804944">
        <w:trPr>
          <w:trHeight w:val="240"/>
        </w:trPr>
        <w:tc>
          <w:tcPr>
            <w:tcW w:w="3994" w:type="dxa"/>
            <w:shd w:val="clear" w:color="auto" w:fill="auto"/>
          </w:tcPr>
          <w:p w14:paraId="0FB03AF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 xml:space="preserve">توزيع السكان بحسب الفئات الإثنية </w:t>
            </w:r>
          </w:p>
        </w:tc>
        <w:tc>
          <w:tcPr>
            <w:tcW w:w="3253" w:type="dxa"/>
            <w:shd w:val="clear" w:color="auto" w:fill="auto"/>
          </w:tcPr>
          <w:p w14:paraId="76D39FA6" w14:textId="77777777" w:rsidR="00494AE4" w:rsidRPr="00564B9D" w:rsidRDefault="00494AE4" w:rsidP="00777024">
            <w:pPr>
              <w:pStyle w:val="SingleTxtGA"/>
              <w:tabs>
                <w:tab w:val="clear" w:pos="1928"/>
                <w:tab w:val="clear" w:pos="2608"/>
                <w:tab w:val="clear" w:pos="3289"/>
                <w:tab w:val="clear" w:pos="3969"/>
                <w:tab w:val="clear" w:pos="4649"/>
                <w:tab w:val="clear" w:pos="5330"/>
                <w:tab w:val="left" w:pos="756"/>
                <w:tab w:val="left" w:pos="1106"/>
              </w:tabs>
              <w:spacing w:before="30" w:after="30" w:line="280" w:lineRule="exact"/>
              <w:ind w:left="0" w:right="0"/>
              <w:rPr>
                <w:sz w:val="20"/>
                <w:szCs w:val="20"/>
                <w:rtl/>
              </w:rPr>
            </w:pPr>
            <w:r w:rsidRPr="00564B9D">
              <w:rPr>
                <w:rFonts w:hint="cs"/>
                <w:sz w:val="20"/>
                <w:szCs w:val="20"/>
                <w:rtl/>
              </w:rPr>
              <w:t xml:space="preserve">سود </w:t>
            </w:r>
            <w:r w:rsidRPr="00564B9D">
              <w:rPr>
                <w:sz w:val="20"/>
                <w:szCs w:val="20"/>
                <w:rtl/>
              </w:rPr>
              <w:tab/>
            </w:r>
            <w:r w:rsidRPr="00564B9D">
              <w:rPr>
                <w:rFonts w:hint="cs"/>
                <w:sz w:val="20"/>
                <w:szCs w:val="20"/>
                <w:rtl/>
              </w:rPr>
              <w:t xml:space="preserve">- </w:t>
            </w:r>
            <w:r w:rsidRPr="00564B9D">
              <w:rPr>
                <w:sz w:val="20"/>
                <w:szCs w:val="20"/>
                <w:rtl/>
              </w:rPr>
              <w:tab/>
            </w:r>
            <w:r w:rsidRPr="00564B9D">
              <w:rPr>
                <w:rFonts w:hint="cs"/>
                <w:sz w:val="20"/>
                <w:szCs w:val="20"/>
                <w:rtl/>
              </w:rPr>
              <w:t>54 في المائة</w:t>
            </w:r>
          </w:p>
          <w:p w14:paraId="2FA095CC" w14:textId="77777777" w:rsidR="00494AE4" w:rsidRPr="00564B9D" w:rsidRDefault="00494AE4" w:rsidP="00777024">
            <w:pPr>
              <w:pStyle w:val="SingleTxtGA"/>
              <w:tabs>
                <w:tab w:val="clear" w:pos="1928"/>
                <w:tab w:val="clear" w:pos="2608"/>
                <w:tab w:val="clear" w:pos="3289"/>
                <w:tab w:val="clear" w:pos="3969"/>
                <w:tab w:val="clear" w:pos="4649"/>
                <w:tab w:val="clear" w:pos="5330"/>
                <w:tab w:val="left" w:pos="756"/>
                <w:tab w:val="left" w:pos="1106"/>
              </w:tabs>
              <w:spacing w:before="30" w:after="30" w:line="280" w:lineRule="exact"/>
              <w:ind w:left="0" w:right="0"/>
              <w:rPr>
                <w:sz w:val="20"/>
                <w:szCs w:val="20"/>
                <w:rtl/>
              </w:rPr>
            </w:pPr>
            <w:r w:rsidRPr="00564B9D">
              <w:rPr>
                <w:rFonts w:hint="cs"/>
                <w:sz w:val="20"/>
                <w:szCs w:val="20"/>
                <w:rtl/>
              </w:rPr>
              <w:t>بيض</w:t>
            </w:r>
            <w:r w:rsidRPr="00564B9D">
              <w:rPr>
                <w:sz w:val="20"/>
                <w:szCs w:val="20"/>
                <w:rtl/>
              </w:rPr>
              <w:tab/>
              <w:t>-</w:t>
            </w:r>
            <w:r w:rsidRPr="00564B9D">
              <w:rPr>
                <w:sz w:val="20"/>
                <w:szCs w:val="20"/>
                <w:rtl/>
              </w:rPr>
              <w:tab/>
            </w:r>
            <w:r w:rsidRPr="00564B9D">
              <w:rPr>
                <w:rFonts w:hint="cs"/>
                <w:sz w:val="20"/>
                <w:szCs w:val="20"/>
                <w:rtl/>
              </w:rPr>
              <w:t>31 في المائة</w:t>
            </w:r>
          </w:p>
          <w:p w14:paraId="3E9F7B91" w14:textId="77777777" w:rsidR="00494AE4" w:rsidRPr="00564B9D" w:rsidRDefault="00494AE4" w:rsidP="00777024">
            <w:pPr>
              <w:pStyle w:val="SingleTxtGA"/>
              <w:tabs>
                <w:tab w:val="clear" w:pos="1928"/>
                <w:tab w:val="clear" w:pos="2608"/>
                <w:tab w:val="clear" w:pos="3289"/>
                <w:tab w:val="clear" w:pos="3969"/>
                <w:tab w:val="clear" w:pos="4649"/>
                <w:tab w:val="clear" w:pos="5330"/>
                <w:tab w:val="left" w:pos="756"/>
                <w:tab w:val="left" w:pos="1106"/>
              </w:tabs>
              <w:spacing w:before="30" w:after="30" w:line="280" w:lineRule="exact"/>
              <w:ind w:left="0" w:right="0"/>
              <w:rPr>
                <w:sz w:val="20"/>
                <w:szCs w:val="20"/>
                <w:rtl/>
              </w:rPr>
            </w:pPr>
            <w:r w:rsidRPr="00564B9D">
              <w:rPr>
                <w:rFonts w:hint="cs"/>
                <w:sz w:val="20"/>
                <w:szCs w:val="20"/>
                <w:rtl/>
              </w:rPr>
              <w:t>آسيويون</w:t>
            </w:r>
            <w:r w:rsidRPr="00564B9D">
              <w:rPr>
                <w:sz w:val="20"/>
                <w:szCs w:val="20"/>
                <w:rtl/>
              </w:rPr>
              <w:tab/>
              <w:t>-</w:t>
            </w:r>
            <w:r w:rsidRPr="00564B9D">
              <w:rPr>
                <w:sz w:val="20"/>
                <w:szCs w:val="20"/>
                <w:rtl/>
              </w:rPr>
              <w:tab/>
            </w:r>
            <w:r w:rsidRPr="00564B9D">
              <w:rPr>
                <w:rFonts w:hint="cs"/>
                <w:sz w:val="20"/>
                <w:szCs w:val="20"/>
                <w:rtl/>
              </w:rPr>
              <w:t>4 في المائة</w:t>
            </w:r>
          </w:p>
          <w:p w14:paraId="075435F5" w14:textId="77777777" w:rsidR="00494AE4" w:rsidRPr="00564B9D" w:rsidRDefault="00494AE4" w:rsidP="00777024">
            <w:pPr>
              <w:pStyle w:val="SingleTxtGA"/>
              <w:tabs>
                <w:tab w:val="clear" w:pos="1928"/>
                <w:tab w:val="clear" w:pos="2608"/>
                <w:tab w:val="clear" w:pos="3289"/>
                <w:tab w:val="clear" w:pos="3969"/>
                <w:tab w:val="clear" w:pos="4649"/>
                <w:tab w:val="clear" w:pos="5330"/>
                <w:tab w:val="left" w:pos="756"/>
                <w:tab w:val="left" w:pos="1106"/>
              </w:tabs>
              <w:spacing w:before="30" w:after="30" w:line="280" w:lineRule="exact"/>
              <w:ind w:left="0" w:right="0"/>
              <w:rPr>
                <w:sz w:val="20"/>
                <w:szCs w:val="20"/>
                <w:rtl/>
              </w:rPr>
            </w:pPr>
            <w:r w:rsidRPr="00564B9D">
              <w:rPr>
                <w:rFonts w:hint="cs"/>
                <w:sz w:val="20"/>
                <w:szCs w:val="20"/>
                <w:rtl/>
              </w:rPr>
              <w:t>مختلطون</w:t>
            </w:r>
            <w:r w:rsidRPr="00564B9D">
              <w:rPr>
                <w:sz w:val="20"/>
                <w:szCs w:val="20"/>
                <w:rtl/>
              </w:rPr>
              <w:tab/>
              <w:t>-</w:t>
            </w:r>
            <w:r w:rsidRPr="00564B9D">
              <w:rPr>
                <w:sz w:val="20"/>
                <w:szCs w:val="20"/>
                <w:rtl/>
              </w:rPr>
              <w:tab/>
            </w:r>
            <w:r w:rsidRPr="00564B9D">
              <w:rPr>
                <w:rFonts w:hint="cs"/>
                <w:sz w:val="20"/>
                <w:szCs w:val="20"/>
                <w:rtl/>
              </w:rPr>
              <w:t>8 في المائة</w:t>
            </w:r>
          </w:p>
          <w:p w14:paraId="44A6A808" w14:textId="77777777" w:rsidR="00494AE4" w:rsidRPr="00564B9D" w:rsidRDefault="00494AE4" w:rsidP="00777024">
            <w:pPr>
              <w:pStyle w:val="SingleTxtGA"/>
              <w:tabs>
                <w:tab w:val="clear" w:pos="1928"/>
                <w:tab w:val="clear" w:pos="2608"/>
                <w:tab w:val="clear" w:pos="3289"/>
                <w:tab w:val="clear" w:pos="3969"/>
                <w:tab w:val="clear" w:pos="4649"/>
                <w:tab w:val="clear" w:pos="5330"/>
                <w:tab w:val="left" w:pos="756"/>
                <w:tab w:val="left" w:pos="1106"/>
              </w:tabs>
              <w:spacing w:before="30" w:after="30" w:line="280" w:lineRule="exact"/>
              <w:ind w:left="0" w:right="0"/>
              <w:rPr>
                <w:sz w:val="20"/>
                <w:szCs w:val="20"/>
              </w:rPr>
            </w:pPr>
            <w:r w:rsidRPr="00564B9D">
              <w:rPr>
                <w:rFonts w:hint="cs"/>
                <w:sz w:val="20"/>
                <w:szCs w:val="20"/>
                <w:rtl/>
              </w:rPr>
              <w:t xml:space="preserve">فئات أخرى </w:t>
            </w:r>
            <w:r w:rsidRPr="00564B9D">
              <w:rPr>
                <w:sz w:val="20"/>
                <w:szCs w:val="20"/>
                <w:rtl/>
              </w:rPr>
              <w:tab/>
            </w:r>
            <w:r w:rsidRPr="00564B9D">
              <w:rPr>
                <w:rFonts w:hint="cs"/>
                <w:sz w:val="20"/>
                <w:szCs w:val="20"/>
                <w:rtl/>
              </w:rPr>
              <w:t>-</w:t>
            </w:r>
            <w:r w:rsidRPr="00564B9D">
              <w:rPr>
                <w:sz w:val="20"/>
                <w:szCs w:val="20"/>
                <w:rtl/>
              </w:rPr>
              <w:tab/>
            </w:r>
            <w:r w:rsidRPr="00564B9D">
              <w:rPr>
                <w:rFonts w:hint="cs"/>
                <w:sz w:val="20"/>
                <w:szCs w:val="20"/>
                <w:rtl/>
              </w:rPr>
              <w:t>4 في المائة</w:t>
            </w:r>
          </w:p>
        </w:tc>
      </w:tr>
      <w:tr w:rsidR="007B5A24" w:rsidRPr="00564B9D" w14:paraId="3F5E1824" w14:textId="77777777" w:rsidTr="00804944">
        <w:trPr>
          <w:trHeight w:val="240"/>
        </w:trPr>
        <w:tc>
          <w:tcPr>
            <w:tcW w:w="3994" w:type="dxa"/>
            <w:shd w:val="clear" w:color="auto" w:fill="auto"/>
          </w:tcPr>
          <w:p w14:paraId="5068F87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 xml:space="preserve">التركيب العمري للسكان </w:t>
            </w:r>
          </w:p>
        </w:tc>
        <w:tc>
          <w:tcPr>
            <w:tcW w:w="3253" w:type="dxa"/>
            <w:shd w:val="clear" w:color="auto" w:fill="auto"/>
          </w:tcPr>
          <w:p w14:paraId="661143A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5E362108" w14:textId="77777777" w:rsidTr="00804944">
        <w:trPr>
          <w:trHeight w:val="240"/>
        </w:trPr>
        <w:tc>
          <w:tcPr>
            <w:tcW w:w="3994" w:type="dxa"/>
            <w:shd w:val="clear" w:color="auto" w:fill="auto"/>
          </w:tcPr>
          <w:p w14:paraId="17D1042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نسبة الإعالة - النسبة المئوية للسكان الذين تقل أعمارهم عن 15 سنة</w:t>
            </w:r>
          </w:p>
        </w:tc>
        <w:tc>
          <w:tcPr>
            <w:tcW w:w="3253" w:type="dxa"/>
            <w:shd w:val="clear" w:color="auto" w:fill="auto"/>
          </w:tcPr>
          <w:p w14:paraId="489A302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23؛ 16 في المائة (2010)</w:t>
            </w:r>
          </w:p>
        </w:tc>
      </w:tr>
      <w:tr w:rsidR="007B5A24" w:rsidRPr="00564B9D" w14:paraId="6C936300" w14:textId="77777777" w:rsidTr="00804944">
        <w:trPr>
          <w:trHeight w:val="240"/>
        </w:trPr>
        <w:tc>
          <w:tcPr>
            <w:tcW w:w="3994" w:type="dxa"/>
            <w:shd w:val="clear" w:color="auto" w:fill="auto"/>
          </w:tcPr>
          <w:p w14:paraId="5D9E1A1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نسبة الإعالة - النسبة المئوية للسكان الذين تزيد أعمارهم على 65 سنة</w:t>
            </w:r>
          </w:p>
        </w:tc>
        <w:tc>
          <w:tcPr>
            <w:tcW w:w="3253" w:type="dxa"/>
            <w:shd w:val="clear" w:color="auto" w:fill="auto"/>
          </w:tcPr>
          <w:p w14:paraId="155B59D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19؛ 14 في المائة (2010)</w:t>
            </w:r>
          </w:p>
        </w:tc>
      </w:tr>
      <w:tr w:rsidR="007B5A24" w:rsidRPr="00564B9D" w14:paraId="5DBFF83F" w14:textId="77777777" w:rsidTr="00804944">
        <w:trPr>
          <w:trHeight w:val="240"/>
        </w:trPr>
        <w:tc>
          <w:tcPr>
            <w:tcW w:w="3994" w:type="dxa"/>
            <w:shd w:val="clear" w:color="auto" w:fill="auto"/>
          </w:tcPr>
          <w:p w14:paraId="6D49F088"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 xml:space="preserve">1 من السكان) </w:t>
            </w:r>
          </w:p>
        </w:tc>
        <w:tc>
          <w:tcPr>
            <w:tcW w:w="3253" w:type="dxa"/>
            <w:shd w:val="clear" w:color="auto" w:fill="auto"/>
          </w:tcPr>
          <w:p w14:paraId="489D8339"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10,4 (2011)</w:t>
            </w:r>
          </w:p>
        </w:tc>
      </w:tr>
      <w:tr w:rsidR="007B5A24" w:rsidRPr="00564B9D" w14:paraId="7AB8BC69" w14:textId="77777777" w:rsidTr="00804944">
        <w:trPr>
          <w:trHeight w:val="240"/>
        </w:trPr>
        <w:tc>
          <w:tcPr>
            <w:tcW w:w="3994" w:type="dxa"/>
            <w:shd w:val="clear" w:color="auto" w:fill="auto"/>
          </w:tcPr>
          <w:p w14:paraId="28A38139"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3253" w:type="dxa"/>
            <w:shd w:val="clear" w:color="auto" w:fill="auto"/>
          </w:tcPr>
          <w:p w14:paraId="23A1369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1,3</w:t>
            </w:r>
          </w:p>
        </w:tc>
      </w:tr>
      <w:tr w:rsidR="007B5A24" w:rsidRPr="00564B9D" w14:paraId="682231FD" w14:textId="77777777" w:rsidTr="00804944">
        <w:trPr>
          <w:trHeight w:val="240"/>
        </w:trPr>
        <w:tc>
          <w:tcPr>
            <w:tcW w:w="3994" w:type="dxa"/>
            <w:shd w:val="clear" w:color="auto" w:fill="auto"/>
          </w:tcPr>
          <w:p w14:paraId="1C20FBC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3253" w:type="dxa"/>
            <w:shd w:val="clear" w:color="auto" w:fill="auto"/>
          </w:tcPr>
          <w:p w14:paraId="386725C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7,2</w:t>
            </w:r>
          </w:p>
        </w:tc>
      </w:tr>
      <w:tr w:rsidR="007B5A24" w:rsidRPr="00564B9D" w14:paraId="7314FA7C" w14:textId="77777777" w:rsidTr="00804944">
        <w:trPr>
          <w:trHeight w:val="240"/>
        </w:trPr>
        <w:tc>
          <w:tcPr>
            <w:tcW w:w="3994" w:type="dxa"/>
            <w:shd w:val="clear" w:color="auto" w:fill="auto"/>
          </w:tcPr>
          <w:p w14:paraId="02E4B52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ذكور </w:t>
            </w:r>
          </w:p>
        </w:tc>
        <w:tc>
          <w:tcPr>
            <w:tcW w:w="3253" w:type="dxa"/>
            <w:shd w:val="clear" w:color="auto" w:fill="auto"/>
          </w:tcPr>
          <w:p w14:paraId="1B06E89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8</w:t>
            </w:r>
          </w:p>
        </w:tc>
      </w:tr>
      <w:tr w:rsidR="007B5A24" w:rsidRPr="00564B9D" w14:paraId="3859D797" w14:textId="77777777" w:rsidTr="00804944">
        <w:trPr>
          <w:trHeight w:val="240"/>
        </w:trPr>
        <w:tc>
          <w:tcPr>
            <w:tcW w:w="3994" w:type="dxa"/>
            <w:shd w:val="clear" w:color="auto" w:fill="auto"/>
          </w:tcPr>
          <w:p w14:paraId="06DA68E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إناث</w:t>
            </w:r>
          </w:p>
        </w:tc>
        <w:tc>
          <w:tcPr>
            <w:tcW w:w="3253" w:type="dxa"/>
            <w:shd w:val="clear" w:color="auto" w:fill="auto"/>
          </w:tcPr>
          <w:p w14:paraId="03F71128"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6,4</w:t>
            </w:r>
          </w:p>
        </w:tc>
      </w:tr>
      <w:tr w:rsidR="007B5A24" w:rsidRPr="00564B9D" w14:paraId="464B2291" w14:textId="77777777" w:rsidTr="00804944">
        <w:trPr>
          <w:trHeight w:val="240"/>
        </w:trPr>
        <w:tc>
          <w:tcPr>
            <w:tcW w:w="3994" w:type="dxa"/>
            <w:shd w:val="clear" w:color="auto" w:fill="auto"/>
          </w:tcPr>
          <w:p w14:paraId="69B08E3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العمر المتوقع عند الولادة</w:t>
            </w:r>
          </w:p>
        </w:tc>
        <w:tc>
          <w:tcPr>
            <w:tcW w:w="3253" w:type="dxa"/>
            <w:shd w:val="clear" w:color="auto" w:fill="auto"/>
          </w:tcPr>
          <w:p w14:paraId="354C2C45"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p>
        </w:tc>
      </w:tr>
      <w:tr w:rsidR="007B5A24" w:rsidRPr="00564B9D" w14:paraId="0CCF2027" w14:textId="77777777" w:rsidTr="00804944">
        <w:trPr>
          <w:trHeight w:val="240"/>
        </w:trPr>
        <w:tc>
          <w:tcPr>
            <w:tcW w:w="3994" w:type="dxa"/>
            <w:shd w:val="clear" w:color="auto" w:fill="auto"/>
          </w:tcPr>
          <w:p w14:paraId="4B79E3C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رجال</w:t>
            </w:r>
          </w:p>
        </w:tc>
        <w:tc>
          <w:tcPr>
            <w:tcW w:w="3253" w:type="dxa"/>
            <w:shd w:val="clear" w:color="auto" w:fill="auto"/>
          </w:tcPr>
          <w:p w14:paraId="1E25021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77,20 (2013)</w:t>
            </w:r>
          </w:p>
        </w:tc>
      </w:tr>
      <w:tr w:rsidR="007B5A24" w:rsidRPr="00564B9D" w14:paraId="78FF5596" w14:textId="77777777" w:rsidTr="00804944">
        <w:trPr>
          <w:trHeight w:val="240"/>
        </w:trPr>
        <w:tc>
          <w:tcPr>
            <w:tcW w:w="3994" w:type="dxa"/>
            <w:shd w:val="clear" w:color="auto" w:fill="auto"/>
          </w:tcPr>
          <w:p w14:paraId="0111373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نساء</w:t>
            </w:r>
          </w:p>
        </w:tc>
        <w:tc>
          <w:tcPr>
            <w:tcW w:w="3253" w:type="dxa"/>
            <w:shd w:val="clear" w:color="auto" w:fill="auto"/>
          </w:tcPr>
          <w:p w14:paraId="0C7ED6B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82,69 (2013)</w:t>
            </w:r>
          </w:p>
        </w:tc>
      </w:tr>
      <w:tr w:rsidR="007B5A24" w:rsidRPr="00564B9D" w14:paraId="3232B694" w14:textId="77777777" w:rsidTr="00804944">
        <w:trPr>
          <w:trHeight w:val="240"/>
        </w:trPr>
        <w:tc>
          <w:tcPr>
            <w:tcW w:w="3994" w:type="dxa"/>
            <w:shd w:val="clear" w:color="auto" w:fill="auto"/>
          </w:tcPr>
          <w:p w14:paraId="7683488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3253" w:type="dxa"/>
            <w:shd w:val="clear" w:color="auto" w:fill="auto"/>
          </w:tcPr>
          <w:p w14:paraId="25831E6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2,8</w:t>
            </w:r>
          </w:p>
        </w:tc>
      </w:tr>
      <w:tr w:rsidR="007B5A24" w:rsidRPr="00564B9D" w14:paraId="55D78616" w14:textId="77777777" w:rsidTr="00804944">
        <w:trPr>
          <w:trHeight w:val="240"/>
        </w:trPr>
        <w:tc>
          <w:tcPr>
            <w:tcW w:w="3994" w:type="dxa"/>
            <w:shd w:val="clear" w:color="auto" w:fill="auto"/>
          </w:tcPr>
          <w:p w14:paraId="5E931F1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متوسط حجم الأسرة المعيشية </w:t>
            </w:r>
          </w:p>
        </w:tc>
        <w:tc>
          <w:tcPr>
            <w:tcW w:w="3253" w:type="dxa"/>
            <w:shd w:val="clear" w:color="auto" w:fill="auto"/>
          </w:tcPr>
          <w:p w14:paraId="4D1C683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2,39 (2010)</w:t>
            </w:r>
          </w:p>
        </w:tc>
      </w:tr>
      <w:tr w:rsidR="007B5A24" w:rsidRPr="00564B9D" w14:paraId="4ACCDCA4" w14:textId="77777777" w:rsidTr="00804944">
        <w:trPr>
          <w:trHeight w:val="240"/>
        </w:trPr>
        <w:tc>
          <w:tcPr>
            <w:tcW w:w="3994" w:type="dxa"/>
            <w:shd w:val="clear" w:color="auto" w:fill="auto"/>
          </w:tcPr>
          <w:p w14:paraId="483FCDF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نسبة الأسر المعيشية الوحيدة العائل</w:t>
            </w:r>
          </w:p>
        </w:tc>
        <w:tc>
          <w:tcPr>
            <w:tcW w:w="3253" w:type="dxa"/>
            <w:shd w:val="clear" w:color="auto" w:fill="auto"/>
          </w:tcPr>
          <w:p w14:paraId="52CE2E2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1,3 في المائة (2010)</w:t>
            </w:r>
          </w:p>
        </w:tc>
      </w:tr>
      <w:tr w:rsidR="007B5A24" w:rsidRPr="00564B9D" w14:paraId="20A11A7F" w14:textId="77777777" w:rsidTr="00804944">
        <w:trPr>
          <w:trHeight w:val="240"/>
        </w:trPr>
        <w:tc>
          <w:tcPr>
            <w:tcW w:w="3994" w:type="dxa"/>
            <w:tcBorders>
              <w:bottom w:val="single" w:sz="12" w:space="0" w:color="auto"/>
            </w:tcBorders>
            <w:shd w:val="clear" w:color="auto" w:fill="auto"/>
          </w:tcPr>
          <w:p w14:paraId="303956F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نسبة الأسر المعيشية التي تعيلها النساء</w:t>
            </w:r>
          </w:p>
        </w:tc>
        <w:tc>
          <w:tcPr>
            <w:tcW w:w="3253" w:type="dxa"/>
            <w:tcBorders>
              <w:bottom w:val="single" w:sz="12" w:space="0" w:color="auto"/>
            </w:tcBorders>
            <w:shd w:val="clear" w:color="auto" w:fill="auto"/>
          </w:tcPr>
          <w:p w14:paraId="22C953D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54 في المائة (2010)</w:t>
            </w:r>
          </w:p>
        </w:tc>
      </w:tr>
    </w:tbl>
    <w:p w14:paraId="5F823BFF" w14:textId="77777777" w:rsidR="00494AE4" w:rsidRPr="00564B9D" w:rsidRDefault="00494AE4" w:rsidP="00777024">
      <w:pPr>
        <w:pStyle w:val="SingleTxtGA"/>
        <w:spacing w:line="20" w:lineRule="exact"/>
        <w:rPr>
          <w:sz w:val="2"/>
          <w:szCs w:val="2"/>
          <w:rtl/>
        </w:rPr>
      </w:pPr>
    </w:p>
    <w:tbl>
      <w:tblPr>
        <w:bidiVisual/>
        <w:tblW w:w="8392" w:type="dxa"/>
        <w:tblInd w:w="1247" w:type="dxa"/>
        <w:tblLayout w:type="fixed"/>
        <w:tblCellMar>
          <w:right w:w="113" w:type="dxa"/>
        </w:tblCellMar>
        <w:tblLook w:val="01E0" w:firstRow="1" w:lastRow="1" w:firstColumn="1" w:lastColumn="1" w:noHBand="0" w:noVBand="0"/>
      </w:tblPr>
      <w:tblGrid>
        <w:gridCol w:w="4607"/>
        <w:gridCol w:w="3785"/>
      </w:tblGrid>
      <w:tr w:rsidR="007B5A24" w:rsidRPr="00564B9D" w14:paraId="3CA9B127" w14:textId="77777777" w:rsidTr="00804944">
        <w:trPr>
          <w:trHeight w:val="240"/>
          <w:tblHeader/>
        </w:trPr>
        <w:tc>
          <w:tcPr>
            <w:tcW w:w="7232" w:type="dxa"/>
            <w:gridSpan w:val="2"/>
            <w:tcBorders>
              <w:top w:val="single" w:sz="4" w:space="0" w:color="auto"/>
              <w:bottom w:val="single" w:sz="12" w:space="0" w:color="auto"/>
            </w:tcBorders>
            <w:shd w:val="clear" w:color="auto" w:fill="auto"/>
            <w:vAlign w:val="bottom"/>
          </w:tcPr>
          <w:p w14:paraId="224498E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lastRenderedPageBreak/>
              <w:t>المؤشرات الاجتماعية والاقتصادية والثقافية</w:t>
            </w:r>
          </w:p>
        </w:tc>
      </w:tr>
      <w:tr w:rsidR="007B5A24" w:rsidRPr="00564B9D" w14:paraId="0CC7A964" w14:textId="77777777" w:rsidTr="00804944">
        <w:trPr>
          <w:trHeight w:val="240"/>
        </w:trPr>
        <w:tc>
          <w:tcPr>
            <w:tcW w:w="3970" w:type="dxa"/>
            <w:tcBorders>
              <w:top w:val="single" w:sz="12" w:space="0" w:color="auto"/>
            </w:tcBorders>
            <w:shd w:val="clear" w:color="auto" w:fill="auto"/>
          </w:tcPr>
          <w:p w14:paraId="54FDEE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(الأسرة المعيشية) من النفقات الاستهلاكية على الطعام والإسكان والصحة والتعليم</w:t>
            </w:r>
          </w:p>
        </w:tc>
        <w:tc>
          <w:tcPr>
            <w:tcW w:w="3262" w:type="dxa"/>
            <w:tcBorders>
              <w:top w:val="single" w:sz="12" w:space="0" w:color="auto"/>
            </w:tcBorders>
            <w:shd w:val="clear" w:color="auto" w:fill="auto"/>
          </w:tcPr>
          <w:p w14:paraId="2CB73D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60 في المائة (2003)</w:t>
            </w:r>
          </w:p>
        </w:tc>
      </w:tr>
      <w:tr w:rsidR="007B5A24" w:rsidRPr="00564B9D" w14:paraId="794812E5" w14:textId="77777777" w:rsidTr="00804944">
        <w:trPr>
          <w:trHeight w:val="240"/>
        </w:trPr>
        <w:tc>
          <w:tcPr>
            <w:tcW w:w="3970" w:type="dxa"/>
            <w:shd w:val="clear" w:color="auto" w:fill="auto"/>
          </w:tcPr>
          <w:p w14:paraId="62BA2A3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3262" w:type="dxa"/>
            <w:shd w:val="clear" w:color="auto" w:fill="auto"/>
          </w:tcPr>
          <w:p w14:paraId="1AF30F8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لا يوجد رقم يشير إلى خط الفقر الوطني، ومع ذلك وبعد مسح الإنفاق الأسري لعام 2013، ستتوفر بيانات أحدث من بيانات عام 2007 المبينة أدناه:</w:t>
            </w:r>
          </w:p>
          <w:p w14:paraId="79A745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عتبة الدخل المنخفض (سنوية):</w:t>
            </w:r>
          </w:p>
          <w:p w14:paraId="211C2D9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بالغ غير متزوج: 046</w:t>
            </w:r>
            <w:r w:rsidRPr="00564B9D">
              <w:rPr>
                <w:sz w:val="20"/>
                <w:szCs w:val="20"/>
                <w:rtl/>
              </w:rPr>
              <w:t> </w:t>
            </w:r>
            <w:r w:rsidRPr="00564B9D">
              <w:rPr>
                <w:rFonts w:hint="cs"/>
                <w:sz w:val="20"/>
                <w:szCs w:val="20"/>
                <w:rtl/>
              </w:rPr>
              <w:t>27 دولاراً أمريكياً</w:t>
            </w:r>
          </w:p>
          <w:p w14:paraId="510EC8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ثنائي بالغ: 118</w:t>
            </w:r>
            <w:r w:rsidRPr="00564B9D">
              <w:rPr>
                <w:sz w:val="20"/>
                <w:szCs w:val="20"/>
                <w:rtl/>
              </w:rPr>
              <w:t> </w:t>
            </w:r>
            <w:r w:rsidRPr="00564B9D">
              <w:rPr>
                <w:rFonts w:hint="cs"/>
                <w:sz w:val="20"/>
                <w:szCs w:val="20"/>
                <w:rtl/>
              </w:rPr>
              <w:t>39 دولاراً أمريكياً</w:t>
            </w:r>
          </w:p>
          <w:p w14:paraId="3F30FE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عائل وحيد، طفل واحد: 770</w:t>
            </w:r>
            <w:r w:rsidRPr="00564B9D">
              <w:rPr>
                <w:sz w:val="20"/>
                <w:szCs w:val="20"/>
                <w:rtl/>
              </w:rPr>
              <w:t> </w:t>
            </w:r>
            <w:r w:rsidRPr="00564B9D">
              <w:rPr>
                <w:rFonts w:hint="cs"/>
                <w:sz w:val="20"/>
                <w:szCs w:val="20"/>
                <w:rtl/>
              </w:rPr>
              <w:t>45 دولاراً أمريكياً</w:t>
            </w:r>
          </w:p>
          <w:p w14:paraId="55A7F0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والدان، طفل واحد - 511</w:t>
            </w:r>
            <w:r w:rsidRPr="00564B9D">
              <w:rPr>
                <w:sz w:val="20"/>
                <w:szCs w:val="20"/>
                <w:rtl/>
              </w:rPr>
              <w:t> </w:t>
            </w:r>
            <w:r w:rsidRPr="00564B9D">
              <w:rPr>
                <w:rFonts w:hint="cs"/>
                <w:sz w:val="20"/>
                <w:szCs w:val="20"/>
                <w:rtl/>
              </w:rPr>
              <w:t>57 دولاراً أمريكياً</w:t>
            </w:r>
          </w:p>
          <w:p w14:paraId="26BB44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والدان، طفلان - 235</w:t>
            </w:r>
            <w:r w:rsidRPr="00564B9D">
              <w:rPr>
                <w:sz w:val="20"/>
                <w:szCs w:val="20"/>
                <w:rtl/>
              </w:rPr>
              <w:t> </w:t>
            </w:r>
            <w:r w:rsidRPr="00564B9D">
              <w:rPr>
                <w:rFonts w:hint="cs"/>
                <w:sz w:val="20"/>
                <w:szCs w:val="20"/>
                <w:rtl/>
              </w:rPr>
              <w:t>76 دولاراً أمريكياً</w:t>
            </w:r>
          </w:p>
        </w:tc>
      </w:tr>
      <w:tr w:rsidR="007B5A24" w:rsidRPr="00564B9D" w14:paraId="5387B173" w14:textId="77777777" w:rsidTr="00804944">
        <w:trPr>
          <w:trHeight w:val="240"/>
        </w:trPr>
        <w:tc>
          <w:tcPr>
            <w:tcW w:w="3970" w:type="dxa"/>
            <w:shd w:val="clear" w:color="auto" w:fill="auto"/>
          </w:tcPr>
          <w:p w14:paraId="5D09C3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262" w:type="dxa"/>
            <w:shd w:val="clear" w:color="auto" w:fill="auto"/>
          </w:tcPr>
          <w:p w14:paraId="5A8C4D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3AEFBA8" w14:textId="77777777" w:rsidTr="00804944">
        <w:trPr>
          <w:trHeight w:val="240"/>
        </w:trPr>
        <w:tc>
          <w:tcPr>
            <w:tcW w:w="3970" w:type="dxa"/>
            <w:shd w:val="clear" w:color="auto" w:fill="auto"/>
          </w:tcPr>
          <w:p w14:paraId="17AF6E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3262" w:type="dxa"/>
            <w:shd w:val="clear" w:color="auto" w:fill="auto"/>
          </w:tcPr>
          <w:p w14:paraId="402D44A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BA7947E" w14:textId="77777777" w:rsidTr="00804944">
        <w:trPr>
          <w:trHeight w:val="240"/>
        </w:trPr>
        <w:tc>
          <w:tcPr>
            <w:tcW w:w="3970" w:type="dxa"/>
            <w:shd w:val="clear" w:color="auto" w:fill="auto"/>
          </w:tcPr>
          <w:p w14:paraId="0AF918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3262" w:type="dxa"/>
            <w:shd w:val="clear" w:color="auto" w:fill="auto"/>
          </w:tcPr>
          <w:p w14:paraId="11364F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2D3CDB8" w14:textId="77777777" w:rsidTr="00804944">
        <w:trPr>
          <w:trHeight w:val="240"/>
        </w:trPr>
        <w:tc>
          <w:tcPr>
            <w:tcW w:w="3970" w:type="dxa"/>
            <w:shd w:val="clear" w:color="auto" w:fill="auto"/>
          </w:tcPr>
          <w:p w14:paraId="16F8A2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w:t>
            </w:r>
            <w:r w:rsidRPr="00564B9D">
              <w:rPr>
                <w:rFonts w:hint="eastAsia"/>
                <w:sz w:val="20"/>
                <w:szCs w:val="20"/>
                <w:rtl/>
              </w:rPr>
              <w:t xml:space="preserve"> </w:t>
            </w:r>
            <w:r w:rsidRPr="00564B9D">
              <w:rPr>
                <w:rFonts w:hint="cs"/>
                <w:sz w:val="20"/>
                <w:szCs w:val="20"/>
                <w:rtl/>
              </w:rPr>
              <w:t>حي)</w:t>
            </w:r>
          </w:p>
        </w:tc>
        <w:tc>
          <w:tcPr>
            <w:tcW w:w="3262" w:type="dxa"/>
            <w:shd w:val="clear" w:color="auto" w:fill="auto"/>
          </w:tcPr>
          <w:p w14:paraId="5B6EC0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أقل من 1 في المائة</w:t>
            </w:r>
          </w:p>
        </w:tc>
      </w:tr>
      <w:tr w:rsidR="007B5A24" w:rsidRPr="00564B9D" w14:paraId="573875AF" w14:textId="77777777" w:rsidTr="00804944">
        <w:trPr>
          <w:trHeight w:val="240"/>
        </w:trPr>
        <w:tc>
          <w:tcPr>
            <w:tcW w:w="3970" w:type="dxa"/>
            <w:shd w:val="clear" w:color="auto" w:fill="auto"/>
          </w:tcPr>
          <w:p w14:paraId="5287E8D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اللاتي في سن الحمل ويستخدمن وسائل منع الحمل أو اللاتي يستخدم شركاؤهن وسائل منع الحمل </w:t>
            </w:r>
          </w:p>
        </w:tc>
        <w:tc>
          <w:tcPr>
            <w:tcW w:w="3262" w:type="dxa"/>
            <w:shd w:val="clear" w:color="auto" w:fill="auto"/>
          </w:tcPr>
          <w:p w14:paraId="42FBF6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54 في المائة </w:t>
            </w:r>
          </w:p>
        </w:tc>
      </w:tr>
      <w:tr w:rsidR="007B5A24" w:rsidRPr="00564B9D" w14:paraId="7E911615" w14:textId="77777777" w:rsidTr="00804944">
        <w:trPr>
          <w:trHeight w:val="240"/>
        </w:trPr>
        <w:tc>
          <w:tcPr>
            <w:tcW w:w="3970" w:type="dxa"/>
            <w:shd w:val="clear" w:color="auto" w:fill="auto"/>
          </w:tcPr>
          <w:p w14:paraId="2C0798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الإنهاء الطبي للحمل كنسبة من المواليد الأحياء </w:t>
            </w:r>
          </w:p>
        </w:tc>
        <w:tc>
          <w:tcPr>
            <w:tcW w:w="3262" w:type="dxa"/>
            <w:shd w:val="clear" w:color="auto" w:fill="auto"/>
          </w:tcPr>
          <w:p w14:paraId="3A7391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26 في المائة</w:t>
            </w:r>
          </w:p>
        </w:tc>
      </w:tr>
      <w:tr w:rsidR="007B5A24" w:rsidRPr="00564B9D" w14:paraId="13F458FC" w14:textId="77777777" w:rsidTr="00804944">
        <w:trPr>
          <w:trHeight w:val="240"/>
        </w:trPr>
        <w:tc>
          <w:tcPr>
            <w:tcW w:w="3970" w:type="dxa"/>
            <w:shd w:val="clear" w:color="auto" w:fill="auto"/>
          </w:tcPr>
          <w:p w14:paraId="1F092C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262" w:type="dxa"/>
            <w:shd w:val="clear" w:color="auto" w:fill="auto"/>
          </w:tcPr>
          <w:p w14:paraId="3E0964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معدل الإصابة بفيروس نقص المناعة البشرية - 0,01 في المائة</w:t>
            </w:r>
          </w:p>
          <w:p w14:paraId="096572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الإصابة بمرض السل 0,005 في المائة </w:t>
            </w:r>
          </w:p>
        </w:tc>
      </w:tr>
      <w:tr w:rsidR="007B5A24" w:rsidRPr="00564B9D" w14:paraId="1FAE6A1F" w14:textId="77777777" w:rsidTr="00804944">
        <w:trPr>
          <w:trHeight w:val="240"/>
        </w:trPr>
        <w:tc>
          <w:tcPr>
            <w:tcW w:w="3970" w:type="dxa"/>
            <w:shd w:val="clear" w:color="auto" w:fill="auto"/>
          </w:tcPr>
          <w:p w14:paraId="2006871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انتشار الأمراض السارية وغير السارية الرئيسية </w:t>
            </w:r>
          </w:p>
        </w:tc>
        <w:tc>
          <w:tcPr>
            <w:tcW w:w="3262" w:type="dxa"/>
            <w:shd w:val="clear" w:color="auto" w:fill="auto"/>
          </w:tcPr>
          <w:p w14:paraId="3578C1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الإصابة بفيروس نقص المناعة البشرية - 0,46 في المائة</w:t>
            </w:r>
          </w:p>
          <w:p w14:paraId="749DED7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داء السكري - 10,9 في المائة</w:t>
            </w:r>
          </w:p>
          <w:p w14:paraId="69ACA7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ارتفاع ضغط الدم - 35,5 في المائة</w:t>
            </w:r>
          </w:p>
        </w:tc>
      </w:tr>
      <w:tr w:rsidR="007B5A24" w:rsidRPr="00564B9D" w14:paraId="74834286" w14:textId="77777777" w:rsidTr="00804944">
        <w:trPr>
          <w:trHeight w:val="240"/>
        </w:trPr>
        <w:tc>
          <w:tcPr>
            <w:tcW w:w="3970" w:type="dxa"/>
            <w:shd w:val="clear" w:color="auto" w:fill="auto"/>
          </w:tcPr>
          <w:p w14:paraId="0129EA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3262" w:type="dxa"/>
            <w:shd w:val="clear" w:color="auto" w:fill="auto"/>
          </w:tcPr>
          <w:p w14:paraId="40121B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الجهاز الدموي/مرض القلب - 28,8 في المائة</w:t>
            </w:r>
          </w:p>
          <w:p w14:paraId="11AE47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أورام خبيثة/سرطان - 28,6 في المائة</w:t>
            </w:r>
          </w:p>
          <w:p w14:paraId="65F6AF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الجهاز التنفسي - 11,8 في المائة</w:t>
            </w:r>
          </w:p>
          <w:p w14:paraId="43A98E55" w14:textId="33870D10" w:rsidR="00494AE4" w:rsidRPr="00564B9D" w:rsidRDefault="00D70082"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مسببات </w:t>
            </w:r>
            <w:r w:rsidR="00494AE4" w:rsidRPr="00564B9D">
              <w:rPr>
                <w:rFonts w:hint="cs"/>
                <w:sz w:val="20"/>
                <w:szCs w:val="20"/>
                <w:rtl/>
              </w:rPr>
              <w:t>خارجية - 6,2 في المائة</w:t>
            </w:r>
          </w:p>
          <w:p w14:paraId="5AC62A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الجهاز الهضمي - 5,6 في المائة</w:t>
            </w:r>
          </w:p>
          <w:p w14:paraId="7F60C4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الغدد الصماء والأمراض التغذوية والاستقلابية - (بما في ذلك داء السكري) - 5,1 في المائة</w:t>
            </w:r>
          </w:p>
          <w:p w14:paraId="3E4C564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الجهاز العصبي - 4,7 في المائة</w:t>
            </w:r>
          </w:p>
          <w:p w14:paraId="119765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الجهاز التناسلي البولي - 3,2 في المائة</w:t>
            </w:r>
          </w:p>
          <w:p w14:paraId="782BE1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إصابات معينة وأمراض طفيلية (بما في ذلك الإيدز) - 1,9 في المائة</w:t>
            </w:r>
          </w:p>
          <w:p w14:paraId="467E40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أسباب غير معرفة بشكل كافٍ وأسباب غير معروفة للوفاة - 1,5 في المائة</w:t>
            </w:r>
          </w:p>
        </w:tc>
      </w:tr>
      <w:tr w:rsidR="007B5A24" w:rsidRPr="00564B9D" w14:paraId="35EE6ED9" w14:textId="77777777" w:rsidTr="00804944">
        <w:trPr>
          <w:trHeight w:val="240"/>
        </w:trPr>
        <w:tc>
          <w:tcPr>
            <w:tcW w:w="3970" w:type="dxa"/>
            <w:shd w:val="clear" w:color="auto" w:fill="auto"/>
          </w:tcPr>
          <w:p w14:paraId="6A9BF22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262" w:type="dxa"/>
            <w:shd w:val="clear" w:color="auto" w:fill="auto"/>
          </w:tcPr>
          <w:p w14:paraId="7BA6D7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96 في المائة (2011)</w:t>
            </w:r>
          </w:p>
          <w:p w14:paraId="4A9EAA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75 في المائة (2011)</w:t>
            </w:r>
          </w:p>
          <w:p w14:paraId="43F418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ملاحظة: تتضمن الأرقام المتعلقة بالسكان الطلاب الذين يلتحقون بمؤسسات تعليمية في الخارج في حين أن معدلات الالتحاق تستثنيهم.</w:t>
            </w:r>
          </w:p>
          <w:p w14:paraId="065CECA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النسبة المئوية لا تشمل الطلاب في المواقع التعليمية (البرامج التعليمية خارج النظامين العام والخاص المنشأين رسمياً).</w:t>
            </w:r>
          </w:p>
        </w:tc>
      </w:tr>
      <w:tr w:rsidR="007B5A24" w:rsidRPr="00564B9D" w14:paraId="4F2189CD" w14:textId="77777777" w:rsidTr="00804944">
        <w:trPr>
          <w:trHeight w:val="240"/>
        </w:trPr>
        <w:tc>
          <w:tcPr>
            <w:tcW w:w="3970" w:type="dxa"/>
            <w:shd w:val="clear" w:color="auto" w:fill="auto"/>
          </w:tcPr>
          <w:p w14:paraId="171F41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معدلات الحضور والتسرب في التعليم الابتدائي والثانوي</w:t>
            </w:r>
          </w:p>
        </w:tc>
        <w:tc>
          <w:tcPr>
            <w:tcW w:w="3262" w:type="dxa"/>
            <w:shd w:val="clear" w:color="auto" w:fill="auto"/>
          </w:tcPr>
          <w:p w14:paraId="25231D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2970318" w14:textId="77777777" w:rsidTr="00804944">
        <w:trPr>
          <w:trHeight w:val="240"/>
        </w:trPr>
        <w:tc>
          <w:tcPr>
            <w:tcW w:w="3970" w:type="dxa"/>
            <w:shd w:val="clear" w:color="auto" w:fill="auto"/>
          </w:tcPr>
          <w:p w14:paraId="54B05F4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3262" w:type="dxa"/>
            <w:shd w:val="clear" w:color="auto" w:fill="auto"/>
          </w:tcPr>
          <w:p w14:paraId="0D431C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1:7 (2011)</w:t>
            </w:r>
          </w:p>
        </w:tc>
      </w:tr>
      <w:tr w:rsidR="007B5A24" w:rsidRPr="00564B9D" w14:paraId="67733E26" w14:textId="77777777" w:rsidTr="00804944">
        <w:trPr>
          <w:trHeight w:val="240"/>
        </w:trPr>
        <w:tc>
          <w:tcPr>
            <w:tcW w:w="3970" w:type="dxa"/>
            <w:shd w:val="clear" w:color="auto" w:fill="auto"/>
          </w:tcPr>
          <w:p w14:paraId="565EA5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3262" w:type="dxa"/>
            <w:shd w:val="clear" w:color="auto" w:fill="auto"/>
          </w:tcPr>
          <w:p w14:paraId="0805F4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98 في المائة (تقديرات عام 2003)</w:t>
            </w:r>
          </w:p>
        </w:tc>
      </w:tr>
      <w:tr w:rsidR="007B5A24" w:rsidRPr="00564B9D" w14:paraId="1BE4544F" w14:textId="77777777" w:rsidTr="00804944">
        <w:trPr>
          <w:trHeight w:val="240"/>
        </w:trPr>
        <w:tc>
          <w:tcPr>
            <w:tcW w:w="3970" w:type="dxa"/>
            <w:shd w:val="clear" w:color="auto" w:fill="auto"/>
          </w:tcPr>
          <w:p w14:paraId="4B241F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البطالة</w:t>
            </w:r>
          </w:p>
        </w:tc>
        <w:tc>
          <w:tcPr>
            <w:tcW w:w="3262" w:type="dxa"/>
            <w:shd w:val="clear" w:color="auto" w:fill="auto"/>
          </w:tcPr>
          <w:p w14:paraId="43D6A0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 في المائة (2012)</w:t>
            </w:r>
          </w:p>
        </w:tc>
      </w:tr>
      <w:tr w:rsidR="007B5A24" w:rsidRPr="00564B9D" w14:paraId="4E808F6B" w14:textId="77777777" w:rsidTr="00804944">
        <w:trPr>
          <w:trHeight w:val="240"/>
        </w:trPr>
        <w:tc>
          <w:tcPr>
            <w:tcW w:w="3970" w:type="dxa"/>
            <w:shd w:val="clear" w:color="auto" w:fill="auto"/>
          </w:tcPr>
          <w:p w14:paraId="218321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3262" w:type="dxa"/>
            <w:shd w:val="clear" w:color="auto" w:fill="auto"/>
          </w:tcPr>
          <w:p w14:paraId="3E9AE5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الزراعة وصيد الأسماك - 2 في المائة</w:t>
            </w:r>
          </w:p>
          <w:p w14:paraId="575B8D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خدمات الأعمال التجارية - 10 في المائة</w:t>
            </w:r>
          </w:p>
          <w:p w14:paraId="6E51ED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البناء </w:t>
            </w:r>
            <w:r w:rsidRPr="00564B9D">
              <w:rPr>
                <w:sz w:val="20"/>
                <w:szCs w:val="20"/>
                <w:rtl/>
              </w:rPr>
              <w:t>-</w:t>
            </w:r>
            <w:r w:rsidRPr="00564B9D">
              <w:rPr>
                <w:rFonts w:hint="cs"/>
                <w:sz w:val="20"/>
                <w:szCs w:val="20"/>
                <w:rtl/>
              </w:rPr>
              <w:t xml:space="preserve"> 6 في المائة</w:t>
            </w:r>
          </w:p>
          <w:p w14:paraId="581BD4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التعليم والصحة والعمل الاجتماعي - 11 في المائة</w:t>
            </w:r>
          </w:p>
          <w:p w14:paraId="3EBF3F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الكهرباء والغاز والمياه - 1 في المائة</w:t>
            </w:r>
          </w:p>
          <w:p w14:paraId="4A06E1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الوساطة المالية - 7 في المائة</w:t>
            </w:r>
          </w:p>
          <w:p w14:paraId="050E1F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الفنادق </w:t>
            </w:r>
            <w:r w:rsidRPr="00564B9D">
              <w:rPr>
                <w:sz w:val="20"/>
                <w:szCs w:val="20"/>
                <w:rtl/>
              </w:rPr>
              <w:t>-</w:t>
            </w:r>
            <w:r w:rsidRPr="00564B9D">
              <w:rPr>
                <w:rFonts w:hint="cs"/>
                <w:sz w:val="20"/>
                <w:szCs w:val="20"/>
                <w:rtl/>
              </w:rPr>
              <w:t xml:space="preserve"> 7 في المائة</w:t>
            </w:r>
          </w:p>
          <w:p w14:paraId="09E0C19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النشاط التجاري الدولي - 11 في المائة</w:t>
            </w:r>
          </w:p>
          <w:p w14:paraId="0E6F0C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الصناعة </w:t>
            </w:r>
            <w:r w:rsidRPr="00564B9D">
              <w:rPr>
                <w:sz w:val="20"/>
                <w:szCs w:val="20"/>
                <w:rtl/>
              </w:rPr>
              <w:t>-</w:t>
            </w:r>
            <w:r w:rsidRPr="00564B9D">
              <w:rPr>
                <w:rFonts w:hint="cs"/>
                <w:sz w:val="20"/>
                <w:szCs w:val="20"/>
                <w:rtl/>
              </w:rPr>
              <w:t xml:space="preserve"> 2 في المائة</w:t>
            </w:r>
          </w:p>
          <w:p w14:paraId="554FC8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خدمات مجتمعية وشخصية أخرى - 6 في المائة</w:t>
            </w:r>
          </w:p>
          <w:p w14:paraId="70D9041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الإدارة العامة - 12 في المائة</w:t>
            </w:r>
          </w:p>
          <w:p w14:paraId="50800A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الخدمات العقارية وخدمات التأجير - 1 في المائة</w:t>
            </w:r>
          </w:p>
          <w:p w14:paraId="5B21B5A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المطاعم والمقاهي والحانات - 6 في المائة</w:t>
            </w:r>
          </w:p>
          <w:p w14:paraId="374216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النقل والاتصالات - 6 في المائة</w:t>
            </w:r>
          </w:p>
          <w:p w14:paraId="7D555A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التجارة بالجملة وبالتجزئة وخدمات الإصلاح - 12 في المائة </w:t>
            </w:r>
          </w:p>
        </w:tc>
      </w:tr>
      <w:tr w:rsidR="007B5A24" w:rsidRPr="00564B9D" w14:paraId="6D9E9178" w14:textId="77777777" w:rsidTr="00804944">
        <w:trPr>
          <w:trHeight w:val="240"/>
        </w:trPr>
        <w:tc>
          <w:tcPr>
            <w:tcW w:w="3970" w:type="dxa"/>
            <w:shd w:val="clear" w:color="auto" w:fill="auto"/>
          </w:tcPr>
          <w:p w14:paraId="350AE9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المشاركة في العمل</w:t>
            </w:r>
          </w:p>
        </w:tc>
        <w:tc>
          <w:tcPr>
            <w:tcW w:w="3262" w:type="dxa"/>
            <w:shd w:val="clear" w:color="auto" w:fill="auto"/>
          </w:tcPr>
          <w:p w14:paraId="7EB7D62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76 في المائة </w:t>
            </w:r>
          </w:p>
        </w:tc>
      </w:tr>
      <w:tr w:rsidR="007B5A24" w:rsidRPr="00564B9D" w14:paraId="1E60CB43" w14:textId="77777777" w:rsidTr="00804944">
        <w:trPr>
          <w:trHeight w:val="240"/>
        </w:trPr>
        <w:tc>
          <w:tcPr>
            <w:tcW w:w="3970" w:type="dxa"/>
            <w:shd w:val="clear" w:color="auto" w:fill="auto"/>
          </w:tcPr>
          <w:p w14:paraId="773F8E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262" w:type="dxa"/>
            <w:shd w:val="clear" w:color="auto" w:fill="auto"/>
          </w:tcPr>
          <w:p w14:paraId="5C4D591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806B830" w14:textId="77777777" w:rsidTr="00804944">
        <w:trPr>
          <w:trHeight w:val="240"/>
        </w:trPr>
        <w:tc>
          <w:tcPr>
            <w:tcW w:w="3970" w:type="dxa"/>
            <w:shd w:val="clear" w:color="auto" w:fill="auto"/>
          </w:tcPr>
          <w:p w14:paraId="02628A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نصيب الفرد من الدخل</w:t>
            </w:r>
          </w:p>
        </w:tc>
        <w:tc>
          <w:tcPr>
            <w:tcW w:w="3262" w:type="dxa"/>
            <w:shd w:val="clear" w:color="auto" w:fill="auto"/>
          </w:tcPr>
          <w:p w14:paraId="196378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564</w:t>
            </w:r>
            <w:r w:rsidRPr="00564B9D">
              <w:rPr>
                <w:sz w:val="20"/>
                <w:szCs w:val="20"/>
                <w:rtl/>
              </w:rPr>
              <w:t> </w:t>
            </w:r>
            <w:r w:rsidRPr="00564B9D">
              <w:rPr>
                <w:rFonts w:hint="cs"/>
                <w:sz w:val="20"/>
                <w:szCs w:val="20"/>
                <w:rtl/>
              </w:rPr>
              <w:t>54 دولاراً أمريكياً (2010)</w:t>
            </w:r>
          </w:p>
        </w:tc>
      </w:tr>
      <w:tr w:rsidR="007B5A24" w:rsidRPr="00564B9D" w14:paraId="4BA012DD" w14:textId="77777777" w:rsidTr="00804944">
        <w:trPr>
          <w:trHeight w:val="240"/>
        </w:trPr>
        <w:tc>
          <w:tcPr>
            <w:tcW w:w="3970" w:type="dxa"/>
            <w:shd w:val="clear" w:color="auto" w:fill="auto"/>
          </w:tcPr>
          <w:p w14:paraId="54D4BF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بالبلايين </w:t>
            </w:r>
          </w:p>
        </w:tc>
        <w:tc>
          <w:tcPr>
            <w:tcW w:w="3262" w:type="dxa"/>
            <w:shd w:val="clear" w:color="auto" w:fill="auto"/>
          </w:tcPr>
          <w:p w14:paraId="00BF0A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5,5 دولارات أمريكية (2012)</w:t>
            </w:r>
          </w:p>
          <w:p w14:paraId="3BFF48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نصيب الفرد من الناتج المحلي الإجمالي: 381</w:t>
            </w:r>
            <w:r w:rsidRPr="00564B9D">
              <w:rPr>
                <w:sz w:val="20"/>
                <w:szCs w:val="20"/>
                <w:rtl/>
              </w:rPr>
              <w:t> </w:t>
            </w:r>
            <w:r w:rsidRPr="00564B9D">
              <w:rPr>
                <w:rFonts w:hint="cs"/>
                <w:sz w:val="20"/>
                <w:szCs w:val="20"/>
                <w:rtl/>
              </w:rPr>
              <w:t>84 دولاراً أمريكياً (2012)</w:t>
            </w:r>
          </w:p>
        </w:tc>
      </w:tr>
      <w:tr w:rsidR="007B5A24" w:rsidRPr="00564B9D" w14:paraId="316BA978" w14:textId="77777777" w:rsidTr="00804944">
        <w:trPr>
          <w:trHeight w:val="240"/>
        </w:trPr>
        <w:tc>
          <w:tcPr>
            <w:tcW w:w="3970" w:type="dxa"/>
            <w:shd w:val="clear" w:color="auto" w:fill="auto"/>
          </w:tcPr>
          <w:p w14:paraId="57007E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3262" w:type="dxa"/>
            <w:shd w:val="clear" w:color="auto" w:fill="auto"/>
          </w:tcPr>
          <w:p w14:paraId="48FD1D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w:t>
            </w:r>
            <w:r w:rsidRPr="00564B9D">
              <w:rPr>
                <w:rFonts w:hint="cs"/>
                <w:sz w:val="20"/>
                <w:szCs w:val="20"/>
                <w:rtl/>
              </w:rPr>
              <w:t xml:space="preserve">1,4 في المائة </w:t>
            </w:r>
          </w:p>
        </w:tc>
      </w:tr>
      <w:tr w:rsidR="007B5A24" w:rsidRPr="00564B9D" w14:paraId="362ADB4F" w14:textId="77777777" w:rsidTr="00804944">
        <w:trPr>
          <w:trHeight w:val="240"/>
        </w:trPr>
        <w:tc>
          <w:tcPr>
            <w:tcW w:w="3970" w:type="dxa"/>
            <w:shd w:val="clear" w:color="auto" w:fill="auto"/>
          </w:tcPr>
          <w:p w14:paraId="0A511C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 بالبلايين</w:t>
            </w:r>
          </w:p>
        </w:tc>
        <w:tc>
          <w:tcPr>
            <w:tcW w:w="3262" w:type="dxa"/>
            <w:shd w:val="clear" w:color="auto" w:fill="auto"/>
          </w:tcPr>
          <w:p w14:paraId="64AF5A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6,8 دولارات أمريكية </w:t>
            </w:r>
          </w:p>
        </w:tc>
      </w:tr>
      <w:tr w:rsidR="007B5A24" w:rsidRPr="00564B9D" w14:paraId="6E22B8A8" w14:textId="77777777" w:rsidTr="00804944">
        <w:trPr>
          <w:trHeight w:val="240"/>
        </w:trPr>
        <w:tc>
          <w:tcPr>
            <w:tcW w:w="3970" w:type="dxa"/>
            <w:shd w:val="clear" w:color="auto" w:fill="auto"/>
          </w:tcPr>
          <w:p w14:paraId="252C35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مؤشر أسعار الاستهلاك (المتوسط لفترة 12 شهراً من تموز/يوليه إلى تموز/يوليه)</w:t>
            </w:r>
          </w:p>
        </w:tc>
        <w:tc>
          <w:tcPr>
            <w:tcW w:w="3262" w:type="dxa"/>
            <w:shd w:val="clear" w:color="auto" w:fill="auto"/>
          </w:tcPr>
          <w:p w14:paraId="2C12F3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1,8 في المائة (تموز/يوليه 2013)</w:t>
            </w:r>
          </w:p>
        </w:tc>
      </w:tr>
      <w:tr w:rsidR="007B5A24" w:rsidRPr="00564B9D" w14:paraId="2B0DA01D" w14:textId="77777777" w:rsidTr="00804944">
        <w:trPr>
          <w:trHeight w:val="240"/>
        </w:trPr>
        <w:tc>
          <w:tcPr>
            <w:tcW w:w="3970" w:type="dxa"/>
            <w:shd w:val="clear" w:color="auto" w:fill="auto"/>
          </w:tcPr>
          <w:p w14:paraId="4512EE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الإنفاق الاجتماعي (مثل الطعام والإسكان والصحة والتعليم والضمان الاجتماعي ونحو ذلك) كنسبة من مجموع النفقات والناتج المحلي الإجمالي </w:t>
            </w:r>
          </w:p>
        </w:tc>
        <w:tc>
          <w:tcPr>
            <w:tcW w:w="3262" w:type="dxa"/>
            <w:shd w:val="clear" w:color="auto" w:fill="auto"/>
          </w:tcPr>
          <w:p w14:paraId="0255A7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5012532" w14:textId="77777777" w:rsidTr="00804944">
        <w:trPr>
          <w:trHeight w:val="240"/>
        </w:trPr>
        <w:tc>
          <w:tcPr>
            <w:tcW w:w="3970" w:type="dxa"/>
            <w:shd w:val="clear" w:color="auto" w:fill="auto"/>
          </w:tcPr>
          <w:p w14:paraId="44C448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الديون العامة الخارجية والمحلية </w:t>
            </w:r>
          </w:p>
        </w:tc>
        <w:tc>
          <w:tcPr>
            <w:tcW w:w="3262" w:type="dxa"/>
            <w:shd w:val="clear" w:color="auto" w:fill="auto"/>
          </w:tcPr>
          <w:p w14:paraId="3917E6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E35F8B3" w14:textId="77777777" w:rsidTr="00804944">
        <w:trPr>
          <w:trHeight w:val="240"/>
        </w:trPr>
        <w:tc>
          <w:tcPr>
            <w:tcW w:w="3970" w:type="dxa"/>
            <w:tcBorders>
              <w:bottom w:val="single" w:sz="12" w:space="0" w:color="auto"/>
            </w:tcBorders>
            <w:shd w:val="clear" w:color="auto" w:fill="auto"/>
          </w:tcPr>
          <w:p w14:paraId="77FCD8B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نسبة المساعدة الدولية المقدمة نسبة إلى ميزانية الدولة بحسب القطاع ونسبة إلى الدخل القومي الإجمالي</w:t>
            </w:r>
          </w:p>
        </w:tc>
        <w:tc>
          <w:tcPr>
            <w:tcW w:w="3262" w:type="dxa"/>
            <w:tcBorders>
              <w:bottom w:val="single" w:sz="12" w:space="0" w:color="auto"/>
            </w:tcBorders>
            <w:shd w:val="clear" w:color="auto" w:fill="auto"/>
          </w:tcPr>
          <w:p w14:paraId="3A13A1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1792BB34"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691"/>
        <w:gridCol w:w="3701"/>
      </w:tblGrid>
      <w:tr w:rsidR="007B5A24" w:rsidRPr="00564B9D" w14:paraId="598FA948" w14:textId="77777777" w:rsidTr="00804944">
        <w:trPr>
          <w:trHeight w:val="240"/>
          <w:tblHeader/>
        </w:trPr>
        <w:tc>
          <w:tcPr>
            <w:tcW w:w="7246" w:type="dxa"/>
            <w:gridSpan w:val="2"/>
            <w:tcBorders>
              <w:top w:val="single" w:sz="4" w:space="0" w:color="auto"/>
              <w:bottom w:val="single" w:sz="12" w:space="0" w:color="auto"/>
            </w:tcBorders>
            <w:shd w:val="clear" w:color="auto" w:fill="auto"/>
            <w:vAlign w:val="bottom"/>
          </w:tcPr>
          <w:p w14:paraId="73247B00"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lastRenderedPageBreak/>
              <w:t xml:space="preserve">المؤشرات المتعلقة بالنظام السياسي </w:t>
            </w:r>
          </w:p>
        </w:tc>
      </w:tr>
      <w:tr w:rsidR="007B5A24" w:rsidRPr="00564B9D" w14:paraId="2A2B87C0" w14:textId="77777777" w:rsidTr="00804944">
        <w:trPr>
          <w:trHeight w:val="240"/>
        </w:trPr>
        <w:tc>
          <w:tcPr>
            <w:tcW w:w="4050" w:type="dxa"/>
            <w:tcBorders>
              <w:top w:val="single" w:sz="12" w:space="0" w:color="auto"/>
            </w:tcBorders>
            <w:shd w:val="clear" w:color="auto" w:fill="auto"/>
          </w:tcPr>
          <w:p w14:paraId="775E19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الصعيد الوطني</w:t>
            </w:r>
          </w:p>
        </w:tc>
        <w:tc>
          <w:tcPr>
            <w:tcW w:w="3196" w:type="dxa"/>
            <w:tcBorders>
              <w:top w:val="single" w:sz="12" w:space="0" w:color="auto"/>
            </w:tcBorders>
            <w:shd w:val="clear" w:color="auto" w:fill="auto"/>
          </w:tcPr>
          <w:p w14:paraId="700FD3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w:t>
            </w:r>
          </w:p>
        </w:tc>
      </w:tr>
      <w:tr w:rsidR="007B5A24" w:rsidRPr="00564B9D" w14:paraId="18B1226C" w14:textId="77777777" w:rsidTr="00804944">
        <w:trPr>
          <w:trHeight w:val="240"/>
        </w:trPr>
        <w:tc>
          <w:tcPr>
            <w:tcW w:w="4050" w:type="dxa"/>
            <w:shd w:val="clear" w:color="auto" w:fill="auto"/>
          </w:tcPr>
          <w:p w14:paraId="63038D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المؤهلين للتصويت </w:t>
            </w:r>
          </w:p>
        </w:tc>
        <w:tc>
          <w:tcPr>
            <w:tcW w:w="3196" w:type="dxa"/>
            <w:shd w:val="clear" w:color="auto" w:fill="auto"/>
          </w:tcPr>
          <w:p w14:paraId="1A6466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67,6 في المائة</w:t>
            </w:r>
          </w:p>
        </w:tc>
      </w:tr>
      <w:tr w:rsidR="007B5A24" w:rsidRPr="00564B9D" w14:paraId="69456AB9" w14:textId="77777777" w:rsidTr="00804944">
        <w:trPr>
          <w:trHeight w:val="240"/>
        </w:trPr>
        <w:tc>
          <w:tcPr>
            <w:tcW w:w="4050" w:type="dxa"/>
            <w:shd w:val="clear" w:color="auto" w:fill="auto"/>
          </w:tcPr>
          <w:p w14:paraId="5E823A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3196" w:type="dxa"/>
            <w:shd w:val="clear" w:color="auto" w:fill="auto"/>
          </w:tcPr>
          <w:p w14:paraId="451247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576EC306" w14:textId="77777777" w:rsidTr="00804944">
        <w:trPr>
          <w:trHeight w:val="240"/>
        </w:trPr>
        <w:tc>
          <w:tcPr>
            <w:tcW w:w="4050" w:type="dxa"/>
            <w:shd w:val="clear" w:color="auto" w:fill="auto"/>
          </w:tcPr>
          <w:p w14:paraId="271C25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3196" w:type="dxa"/>
            <w:shd w:val="clear" w:color="auto" w:fill="auto"/>
          </w:tcPr>
          <w:p w14:paraId="7DDE62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الشكوى الرئيسية منذ الانتخابات العامة لعام 2003 هي عدم الدقة في تسجيل الأصوات في الدوائر الانتخابية</w:t>
            </w:r>
          </w:p>
        </w:tc>
      </w:tr>
      <w:tr w:rsidR="007B5A24" w:rsidRPr="00564B9D" w14:paraId="42ECB03C" w14:textId="77777777" w:rsidTr="00804944">
        <w:trPr>
          <w:trHeight w:val="240"/>
        </w:trPr>
        <w:tc>
          <w:tcPr>
            <w:tcW w:w="4050" w:type="dxa"/>
            <w:shd w:val="clear" w:color="auto" w:fill="auto"/>
          </w:tcPr>
          <w:p w14:paraId="4F3C91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196" w:type="dxa"/>
            <w:shd w:val="clear" w:color="auto" w:fill="auto"/>
          </w:tcPr>
          <w:p w14:paraId="61B6F5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تغطية تامة؛ ثلاث وسائط إعلامية مطبوعة وإلكترونية/صوتية رئيسية يملكها القطاع الخاص </w:t>
            </w:r>
          </w:p>
        </w:tc>
      </w:tr>
      <w:tr w:rsidR="007B5A24" w:rsidRPr="00564B9D" w14:paraId="6697AAFE" w14:textId="77777777" w:rsidTr="00804944">
        <w:trPr>
          <w:trHeight w:val="240"/>
        </w:trPr>
        <w:tc>
          <w:tcPr>
            <w:tcW w:w="4050" w:type="dxa"/>
            <w:shd w:val="clear" w:color="auto" w:fill="auto"/>
          </w:tcPr>
          <w:p w14:paraId="0D31C8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المنظمات غير الحكومية المعترف بها </w:t>
            </w:r>
          </w:p>
        </w:tc>
        <w:tc>
          <w:tcPr>
            <w:tcW w:w="3196" w:type="dxa"/>
            <w:shd w:val="clear" w:color="auto" w:fill="auto"/>
          </w:tcPr>
          <w:p w14:paraId="49F567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42E3657" w14:textId="77777777" w:rsidTr="00804944">
        <w:trPr>
          <w:trHeight w:val="240"/>
        </w:trPr>
        <w:tc>
          <w:tcPr>
            <w:tcW w:w="4050" w:type="dxa"/>
            <w:shd w:val="clear" w:color="auto" w:fill="auto"/>
          </w:tcPr>
          <w:p w14:paraId="6387CD3B" w14:textId="28BB925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المقاعد التشريعية بحسب الحزب</w:t>
            </w:r>
          </w:p>
        </w:tc>
        <w:tc>
          <w:tcPr>
            <w:tcW w:w="3196" w:type="dxa"/>
            <w:shd w:val="clear" w:color="auto" w:fill="auto"/>
          </w:tcPr>
          <w:p w14:paraId="6BD92D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تحالف برمودا الموحدة: 19</w:t>
            </w:r>
          </w:p>
          <w:p w14:paraId="05A1EC5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حزب العمال التقدمي: 16</w:t>
            </w:r>
          </w:p>
          <w:p w14:paraId="2FF3B9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(حزب المستقلين: 1) </w:t>
            </w:r>
          </w:p>
        </w:tc>
      </w:tr>
      <w:tr w:rsidR="007B5A24" w:rsidRPr="00564B9D" w14:paraId="355FA62B" w14:textId="77777777" w:rsidTr="00804944">
        <w:trPr>
          <w:trHeight w:val="240"/>
        </w:trPr>
        <w:tc>
          <w:tcPr>
            <w:tcW w:w="4050" w:type="dxa"/>
            <w:shd w:val="clear" w:color="auto" w:fill="auto"/>
          </w:tcPr>
          <w:p w14:paraId="6BE786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في البرلمان </w:t>
            </w:r>
          </w:p>
        </w:tc>
        <w:tc>
          <w:tcPr>
            <w:tcW w:w="3196" w:type="dxa"/>
            <w:shd w:val="clear" w:color="auto" w:fill="auto"/>
          </w:tcPr>
          <w:p w14:paraId="2C1B7B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36 عضواً 8 منهم من النساء؛ 22 في المائة</w:t>
            </w:r>
          </w:p>
        </w:tc>
      </w:tr>
      <w:tr w:rsidR="007B5A24" w:rsidRPr="00564B9D" w14:paraId="5D97C35E" w14:textId="77777777" w:rsidTr="00804944">
        <w:trPr>
          <w:trHeight w:val="240"/>
        </w:trPr>
        <w:tc>
          <w:tcPr>
            <w:tcW w:w="4050" w:type="dxa"/>
            <w:shd w:val="clear" w:color="auto" w:fill="auto"/>
          </w:tcPr>
          <w:p w14:paraId="317680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الانتخابات الوطنية ودون الوطنية التي أجريت في حدود الجدول الزمني الذي ينص عليه القانون </w:t>
            </w:r>
          </w:p>
        </w:tc>
        <w:tc>
          <w:tcPr>
            <w:tcW w:w="3196" w:type="dxa"/>
            <w:shd w:val="clear" w:color="auto" w:fill="auto"/>
          </w:tcPr>
          <w:p w14:paraId="2A21612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تجري الانتخابات الوطنية كل 4 إلى 5 سنوات بحسب الدستور. وتجرى الانتخابات الفرعية بمجرد بروز شواغر. وتجري انتخابات البلديات كل ثلاث سنوات تقويمية. </w:t>
            </w:r>
          </w:p>
        </w:tc>
      </w:tr>
      <w:tr w:rsidR="007B5A24" w:rsidRPr="00564B9D" w14:paraId="1914F0CB" w14:textId="77777777" w:rsidTr="00804944">
        <w:trPr>
          <w:trHeight w:val="240"/>
        </w:trPr>
        <w:tc>
          <w:tcPr>
            <w:tcW w:w="4050" w:type="dxa"/>
            <w:tcBorders>
              <w:bottom w:val="single" w:sz="12" w:space="0" w:color="auto"/>
            </w:tcBorders>
            <w:shd w:val="clear" w:color="auto" w:fill="auto"/>
          </w:tcPr>
          <w:p w14:paraId="222ED6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متوسط عدد الناخبين الفعليين في الانتخابات الوطنية ودون الوطنية بحسب الوحدة الإدارية </w:t>
            </w:r>
          </w:p>
        </w:tc>
        <w:tc>
          <w:tcPr>
            <w:tcW w:w="3196" w:type="dxa"/>
            <w:tcBorders>
              <w:bottom w:val="single" w:sz="12" w:space="0" w:color="auto"/>
            </w:tcBorders>
            <w:shd w:val="clear" w:color="auto" w:fill="auto"/>
          </w:tcPr>
          <w:p w14:paraId="79EA8E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الانتخابات العامة، يبلغ متوسط عدد الناخبين 75 في المائة (2012: 87 في المائة)</w:t>
            </w:r>
          </w:p>
          <w:p w14:paraId="36709B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في الانتخابات الفرعية، يبلغ متوسط عدد الناخبين 35 في المائة</w:t>
            </w:r>
          </w:p>
        </w:tc>
      </w:tr>
    </w:tbl>
    <w:p w14:paraId="53666ADF"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684"/>
        <w:gridCol w:w="3708"/>
      </w:tblGrid>
      <w:tr w:rsidR="007B5A24" w:rsidRPr="00564B9D" w14:paraId="05AB7749" w14:textId="77777777" w:rsidTr="00804944">
        <w:trPr>
          <w:trHeight w:val="240"/>
          <w:tblHeader/>
        </w:trPr>
        <w:tc>
          <w:tcPr>
            <w:tcW w:w="7213" w:type="dxa"/>
            <w:gridSpan w:val="2"/>
            <w:tcBorders>
              <w:top w:val="single" w:sz="4" w:space="0" w:color="auto"/>
              <w:bottom w:val="single" w:sz="12" w:space="0" w:color="auto"/>
            </w:tcBorders>
            <w:shd w:val="clear" w:color="auto" w:fill="auto"/>
            <w:vAlign w:val="bottom"/>
          </w:tcPr>
          <w:p w14:paraId="1B1EBFA9"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62659940" w14:textId="77777777" w:rsidTr="00804944">
        <w:tblPrEx>
          <w:tblLook w:val="0000" w:firstRow="0" w:lastRow="0" w:firstColumn="0" w:lastColumn="0" w:noHBand="0" w:noVBand="0"/>
        </w:tblPrEx>
        <w:trPr>
          <w:trHeight w:val="240"/>
        </w:trPr>
        <w:tc>
          <w:tcPr>
            <w:tcW w:w="4026" w:type="dxa"/>
            <w:tcBorders>
              <w:top w:val="single" w:sz="12" w:space="0" w:color="auto"/>
            </w:tcBorders>
            <w:shd w:val="clear" w:color="auto" w:fill="auto"/>
          </w:tcPr>
          <w:p w14:paraId="1E0BEA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حالات الموت العنيف والجرائم المهددة للحياة المبلغ عنها لكل 000</w:t>
            </w:r>
            <w:r w:rsidRPr="00564B9D">
              <w:rPr>
                <w:sz w:val="20"/>
                <w:szCs w:val="20"/>
                <w:rtl/>
              </w:rPr>
              <w:t> </w:t>
            </w:r>
            <w:r w:rsidRPr="00564B9D">
              <w:rPr>
                <w:rFonts w:hint="cs"/>
                <w:sz w:val="20"/>
                <w:szCs w:val="20"/>
                <w:rtl/>
              </w:rPr>
              <w:t>100 شخص</w:t>
            </w:r>
          </w:p>
        </w:tc>
        <w:tc>
          <w:tcPr>
            <w:tcW w:w="3187" w:type="dxa"/>
            <w:tcBorders>
              <w:top w:val="single" w:sz="12" w:space="0" w:color="auto"/>
            </w:tcBorders>
            <w:shd w:val="clear" w:color="auto" w:fill="auto"/>
          </w:tcPr>
          <w:p w14:paraId="4A315A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119,9</w:t>
            </w:r>
          </w:p>
        </w:tc>
      </w:tr>
      <w:tr w:rsidR="007B5A24" w:rsidRPr="00564B9D" w14:paraId="7A7B3637" w14:textId="77777777" w:rsidTr="00804944">
        <w:tblPrEx>
          <w:tblLook w:val="0000" w:firstRow="0" w:lastRow="0" w:firstColumn="0" w:lastColumn="0" w:noHBand="0" w:noVBand="0"/>
        </w:tblPrEx>
        <w:trPr>
          <w:trHeight w:val="240"/>
        </w:trPr>
        <w:tc>
          <w:tcPr>
            <w:tcW w:w="4026" w:type="dxa"/>
            <w:shd w:val="clear" w:color="auto" w:fill="auto"/>
          </w:tcPr>
          <w:p w14:paraId="6EB50D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rFonts w:hint="cs"/>
                <w:sz w:val="20"/>
                <w:szCs w:val="20"/>
                <w:rtl/>
              </w:rPr>
            </w:pPr>
            <w:r w:rsidRPr="00564B9D">
              <w:rPr>
                <w:rFonts w:hint="cs"/>
                <w:sz w:val="20"/>
                <w:szCs w:val="20"/>
                <w:rtl/>
              </w:rPr>
              <w:t>عدد ومعدل الأشخاص (لكل 000</w:t>
            </w:r>
            <w:r w:rsidRPr="00564B9D">
              <w:rPr>
                <w:sz w:val="20"/>
                <w:szCs w:val="20"/>
                <w:rtl/>
              </w:rPr>
              <w:t> </w:t>
            </w:r>
            <w:r w:rsidRPr="00564B9D">
              <w:rPr>
                <w:rFonts w:hint="cs"/>
                <w:sz w:val="20"/>
                <w:szCs w:val="20"/>
                <w:rtl/>
              </w:rPr>
              <w:t>100 شخص) الذين تم توقيفهم/تقديمهم إلى القضاء/إدانتهم/إصدار أحكام ضدهم/حبسهم لارتكابهم جرائم عنف أو غير ذلك من الجرائم الخطيرة (مثل القتل والسرقة والاعتداء والاتجار غير المشروع)</w:t>
            </w:r>
          </w:p>
        </w:tc>
        <w:tc>
          <w:tcPr>
            <w:tcW w:w="3187" w:type="dxa"/>
            <w:shd w:val="clear" w:color="auto" w:fill="auto"/>
          </w:tcPr>
          <w:p w14:paraId="32DF84B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قتل - 29 (44,6)</w:t>
            </w:r>
          </w:p>
          <w:p w14:paraId="43F2EAB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القتل غير العمد - 3 (4,6)</w:t>
            </w:r>
          </w:p>
          <w:p w14:paraId="592476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اعتداءات خطرة - 64 (98,4)</w:t>
            </w:r>
          </w:p>
          <w:p w14:paraId="66EE99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اعتداءات أخرى - 215 (330,5)</w:t>
            </w:r>
          </w:p>
          <w:p w14:paraId="6A7EB7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سرقة </w:t>
            </w:r>
            <w:r w:rsidRPr="00564B9D">
              <w:rPr>
                <w:sz w:val="20"/>
                <w:szCs w:val="20"/>
                <w:rtl/>
              </w:rPr>
              <w:t>-</w:t>
            </w:r>
            <w:r w:rsidRPr="00564B9D">
              <w:rPr>
                <w:rFonts w:hint="cs"/>
                <w:sz w:val="20"/>
                <w:szCs w:val="20"/>
                <w:rtl/>
              </w:rPr>
              <w:t xml:space="preserve"> 52 (79,9)</w:t>
            </w:r>
          </w:p>
          <w:p w14:paraId="1A6077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جرائم ضد الأطفال - 12 (18,4)</w:t>
            </w:r>
          </w:p>
          <w:p w14:paraId="01DF9C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جرائم بالأسلحة النارية - 33 (50,7)</w:t>
            </w:r>
          </w:p>
        </w:tc>
      </w:tr>
      <w:tr w:rsidR="007B5A24" w:rsidRPr="00564B9D" w14:paraId="092B9600" w14:textId="77777777" w:rsidTr="00804944">
        <w:tblPrEx>
          <w:tblLook w:val="0000" w:firstRow="0" w:lastRow="0" w:firstColumn="0" w:lastColumn="0" w:noHBand="0" w:noVBand="0"/>
        </w:tblPrEx>
        <w:trPr>
          <w:trHeight w:val="240"/>
        </w:trPr>
        <w:tc>
          <w:tcPr>
            <w:tcW w:w="4026" w:type="dxa"/>
            <w:shd w:val="clear" w:color="auto" w:fill="auto"/>
          </w:tcPr>
          <w:p w14:paraId="63DBE7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عدد حالات العنف بدافع الجنس المبلغ عنها (مثل الاغتصاب، وتشويه الأعضاء الجنسية عند الإناث، وجرائم الشرف، والاعتداء بالأحماض). </w:t>
            </w:r>
          </w:p>
        </w:tc>
        <w:tc>
          <w:tcPr>
            <w:tcW w:w="3187" w:type="dxa"/>
            <w:shd w:val="clear" w:color="auto" w:fill="auto"/>
          </w:tcPr>
          <w:p w14:paraId="06586B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BF8F0AB" w14:textId="77777777" w:rsidTr="00804944">
        <w:tblPrEx>
          <w:tblLook w:val="0000" w:firstRow="0" w:lastRow="0" w:firstColumn="0" w:lastColumn="0" w:noHBand="0" w:noVBand="0"/>
        </w:tblPrEx>
        <w:trPr>
          <w:trHeight w:val="240"/>
        </w:trPr>
        <w:tc>
          <w:tcPr>
            <w:tcW w:w="4026" w:type="dxa"/>
            <w:shd w:val="clear" w:color="auto" w:fill="auto"/>
          </w:tcPr>
          <w:p w14:paraId="682636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المدة الزمنية القصوى للاحتجاز السابق للمحاكمة (الحبس الاحتياطي)</w:t>
            </w:r>
          </w:p>
        </w:tc>
        <w:tc>
          <w:tcPr>
            <w:tcW w:w="3187" w:type="dxa"/>
            <w:shd w:val="clear" w:color="auto" w:fill="auto"/>
          </w:tcPr>
          <w:p w14:paraId="1CFCDE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98A14F7" w14:textId="77777777" w:rsidTr="00804944">
        <w:tblPrEx>
          <w:tblLook w:val="0000" w:firstRow="0" w:lastRow="0" w:firstColumn="0" w:lastColumn="0" w:noHBand="0" w:noVBand="0"/>
        </w:tblPrEx>
        <w:trPr>
          <w:trHeight w:val="240"/>
        </w:trPr>
        <w:tc>
          <w:tcPr>
            <w:tcW w:w="4026" w:type="dxa"/>
            <w:shd w:val="clear" w:color="auto" w:fill="auto"/>
          </w:tcPr>
          <w:p w14:paraId="08358F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المساجين وتوزيعهم بحسب نوع الجريمة وطول مدة الحكم </w:t>
            </w:r>
          </w:p>
        </w:tc>
        <w:tc>
          <w:tcPr>
            <w:tcW w:w="3187" w:type="dxa"/>
            <w:shd w:val="clear" w:color="auto" w:fill="auto"/>
          </w:tcPr>
          <w:p w14:paraId="09E0A0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8724536" w14:textId="77777777" w:rsidTr="00804944">
        <w:tblPrEx>
          <w:tblLook w:val="0000" w:firstRow="0" w:lastRow="0" w:firstColumn="0" w:lastColumn="0" w:noHBand="0" w:noVBand="0"/>
        </w:tblPrEx>
        <w:trPr>
          <w:trHeight w:val="240"/>
        </w:trPr>
        <w:tc>
          <w:tcPr>
            <w:tcW w:w="4026" w:type="dxa"/>
            <w:shd w:val="clear" w:color="auto" w:fill="auto"/>
          </w:tcPr>
          <w:p w14:paraId="115307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حالات الوفاة في السجن </w:t>
            </w:r>
          </w:p>
        </w:tc>
        <w:tc>
          <w:tcPr>
            <w:tcW w:w="3187" w:type="dxa"/>
            <w:shd w:val="clear" w:color="auto" w:fill="auto"/>
          </w:tcPr>
          <w:p w14:paraId="39421D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9CCBC4A" w14:textId="77777777" w:rsidTr="00804944">
        <w:tblPrEx>
          <w:tblLook w:val="0000" w:firstRow="0" w:lastRow="0" w:firstColumn="0" w:lastColumn="0" w:noHBand="0" w:noVBand="0"/>
        </w:tblPrEx>
        <w:trPr>
          <w:trHeight w:val="240"/>
        </w:trPr>
        <w:tc>
          <w:tcPr>
            <w:tcW w:w="4026" w:type="dxa"/>
            <w:shd w:val="clear" w:color="auto" w:fill="auto"/>
          </w:tcPr>
          <w:p w14:paraId="12D60B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الأشخاص الذين تطبق عليهم عقوبة الإعدام في السنة</w:t>
            </w:r>
          </w:p>
        </w:tc>
        <w:tc>
          <w:tcPr>
            <w:tcW w:w="3187" w:type="dxa"/>
            <w:shd w:val="clear" w:color="auto" w:fill="auto"/>
          </w:tcPr>
          <w:p w14:paraId="388AA4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0F24CF7" w14:textId="77777777" w:rsidTr="00804944">
        <w:tblPrEx>
          <w:tblLook w:val="0000" w:firstRow="0" w:lastRow="0" w:firstColumn="0" w:lastColumn="0" w:noHBand="0" w:noVBand="0"/>
        </w:tblPrEx>
        <w:trPr>
          <w:trHeight w:val="240"/>
        </w:trPr>
        <w:tc>
          <w:tcPr>
            <w:tcW w:w="4026" w:type="dxa"/>
            <w:shd w:val="clear" w:color="auto" w:fill="auto"/>
          </w:tcPr>
          <w:p w14:paraId="7E6038D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متوسط القضايا المتراكمة للقاضي الواحد عند مستويات مختلفة من النظام القضائي</w:t>
            </w:r>
          </w:p>
        </w:tc>
        <w:tc>
          <w:tcPr>
            <w:tcW w:w="3187" w:type="dxa"/>
            <w:shd w:val="clear" w:color="auto" w:fill="auto"/>
          </w:tcPr>
          <w:p w14:paraId="4C70DD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9AFA565" w14:textId="77777777" w:rsidTr="00804944">
        <w:tblPrEx>
          <w:tblLook w:val="0000" w:firstRow="0" w:lastRow="0" w:firstColumn="0" w:lastColumn="0" w:noHBand="0" w:noVBand="0"/>
        </w:tblPrEx>
        <w:trPr>
          <w:trHeight w:val="240"/>
        </w:trPr>
        <w:tc>
          <w:tcPr>
            <w:tcW w:w="4026" w:type="dxa"/>
            <w:shd w:val="clear" w:color="auto" w:fill="auto"/>
          </w:tcPr>
          <w:p w14:paraId="0A7F68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رجال الشرطة/الأمن لكل 000</w:t>
            </w:r>
            <w:r w:rsidRPr="00564B9D">
              <w:rPr>
                <w:sz w:val="20"/>
                <w:szCs w:val="20"/>
                <w:rtl/>
              </w:rPr>
              <w:t> </w:t>
            </w:r>
            <w:r w:rsidRPr="00564B9D">
              <w:rPr>
                <w:rFonts w:hint="cs"/>
                <w:sz w:val="20"/>
                <w:szCs w:val="20"/>
                <w:rtl/>
              </w:rPr>
              <w:t xml:space="preserve">100 شخص </w:t>
            </w:r>
          </w:p>
        </w:tc>
        <w:tc>
          <w:tcPr>
            <w:tcW w:w="3187" w:type="dxa"/>
            <w:shd w:val="clear" w:color="auto" w:fill="auto"/>
          </w:tcPr>
          <w:p w14:paraId="54D5655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386</w:t>
            </w:r>
            <w:r w:rsidRPr="00564B9D">
              <w:rPr>
                <w:sz w:val="20"/>
                <w:szCs w:val="20"/>
                <w:rtl/>
              </w:rPr>
              <w:t> </w:t>
            </w:r>
            <w:r w:rsidRPr="00564B9D">
              <w:rPr>
                <w:rFonts w:hint="cs"/>
                <w:sz w:val="20"/>
                <w:szCs w:val="20"/>
                <w:rtl/>
              </w:rPr>
              <w:t>1/000</w:t>
            </w:r>
            <w:r w:rsidRPr="00564B9D">
              <w:rPr>
                <w:sz w:val="20"/>
                <w:szCs w:val="20"/>
                <w:rtl/>
              </w:rPr>
              <w:t> </w:t>
            </w:r>
            <w:r w:rsidRPr="00564B9D">
              <w:rPr>
                <w:rFonts w:hint="cs"/>
                <w:sz w:val="20"/>
                <w:szCs w:val="20"/>
                <w:rtl/>
              </w:rPr>
              <w:t>100 (2011)</w:t>
            </w:r>
          </w:p>
          <w:p w14:paraId="199D11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ضباط الشرطة: 331</w:t>
            </w:r>
          </w:p>
          <w:p w14:paraId="39B6ED0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ضباط الأمن: 566</w:t>
            </w:r>
          </w:p>
        </w:tc>
      </w:tr>
      <w:tr w:rsidR="007B5A24" w:rsidRPr="00564B9D" w14:paraId="12E384FF" w14:textId="77777777" w:rsidTr="00804944">
        <w:tblPrEx>
          <w:tblLook w:val="0000" w:firstRow="0" w:lastRow="0" w:firstColumn="0" w:lastColumn="0" w:noHBand="0" w:noVBand="0"/>
        </w:tblPrEx>
        <w:trPr>
          <w:trHeight w:val="240"/>
        </w:trPr>
        <w:tc>
          <w:tcPr>
            <w:tcW w:w="4026" w:type="dxa"/>
            <w:shd w:val="clear" w:color="auto" w:fill="auto"/>
          </w:tcPr>
          <w:p w14:paraId="2268DF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عدد المدعين العامين والقضاة لكل 000</w:t>
            </w:r>
            <w:r w:rsidRPr="00564B9D">
              <w:rPr>
                <w:sz w:val="20"/>
                <w:szCs w:val="20"/>
                <w:rtl/>
              </w:rPr>
              <w:t> </w:t>
            </w:r>
            <w:r w:rsidRPr="00564B9D">
              <w:rPr>
                <w:rFonts w:hint="cs"/>
                <w:sz w:val="20"/>
                <w:szCs w:val="20"/>
                <w:rtl/>
              </w:rPr>
              <w:t>100 شخص</w:t>
            </w:r>
          </w:p>
        </w:tc>
        <w:tc>
          <w:tcPr>
            <w:tcW w:w="3187" w:type="dxa"/>
            <w:shd w:val="clear" w:color="auto" w:fill="auto"/>
          </w:tcPr>
          <w:p w14:paraId="2C56A4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7131F51" w14:textId="77777777" w:rsidTr="00804944">
        <w:tblPrEx>
          <w:tblLook w:val="0000" w:firstRow="0" w:lastRow="0" w:firstColumn="0" w:lastColumn="0" w:noHBand="0" w:noVBand="0"/>
        </w:tblPrEx>
        <w:trPr>
          <w:trHeight w:val="240"/>
        </w:trPr>
        <w:tc>
          <w:tcPr>
            <w:tcW w:w="4026" w:type="dxa"/>
            <w:shd w:val="clear" w:color="auto" w:fill="auto"/>
          </w:tcPr>
          <w:p w14:paraId="3D71D9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الحصة من النفقات العامة على جهاز الشرطة/الأمن والجهاز القضائي</w:t>
            </w:r>
          </w:p>
        </w:tc>
        <w:tc>
          <w:tcPr>
            <w:tcW w:w="3187" w:type="dxa"/>
            <w:shd w:val="clear" w:color="auto" w:fill="auto"/>
          </w:tcPr>
          <w:p w14:paraId="53B378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33BF08E" w14:textId="77777777" w:rsidTr="00804944">
        <w:tblPrEx>
          <w:tblLook w:val="0000" w:firstRow="0" w:lastRow="0" w:firstColumn="0" w:lastColumn="0" w:noHBand="0" w:noVBand="0"/>
        </w:tblPrEx>
        <w:trPr>
          <w:trHeight w:val="240"/>
        </w:trPr>
        <w:tc>
          <w:tcPr>
            <w:tcW w:w="4026" w:type="dxa"/>
            <w:shd w:val="clear" w:color="auto" w:fill="auto"/>
          </w:tcPr>
          <w:p w14:paraId="23A51D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الأشخاص الذين يتلقون مساعدة قضائية من بين المتهمين والمعتقلين الذين يتقدمون بطلبها </w:t>
            </w:r>
          </w:p>
        </w:tc>
        <w:tc>
          <w:tcPr>
            <w:tcW w:w="3187" w:type="dxa"/>
            <w:shd w:val="clear" w:color="auto" w:fill="auto"/>
          </w:tcPr>
          <w:p w14:paraId="1074FD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3022B00" w14:textId="77777777" w:rsidTr="00804944">
        <w:tblPrEx>
          <w:tblLook w:val="0000" w:firstRow="0" w:lastRow="0" w:firstColumn="0" w:lastColumn="0" w:noHBand="0" w:noVBand="0"/>
        </w:tblPrEx>
        <w:trPr>
          <w:trHeight w:val="240"/>
        </w:trPr>
        <w:tc>
          <w:tcPr>
            <w:tcW w:w="4026" w:type="dxa"/>
            <w:tcBorders>
              <w:bottom w:val="single" w:sz="12" w:space="0" w:color="auto"/>
            </w:tcBorders>
            <w:shd w:val="clear" w:color="auto" w:fill="auto"/>
          </w:tcPr>
          <w:p w14:paraId="5D887F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الضحايا الذين تم تعويضهم بعد صدور الحكم القضائي، بحسب نوع الجريمة. </w:t>
            </w:r>
          </w:p>
        </w:tc>
        <w:tc>
          <w:tcPr>
            <w:tcW w:w="3187" w:type="dxa"/>
            <w:tcBorders>
              <w:bottom w:val="single" w:sz="12" w:space="0" w:color="auto"/>
            </w:tcBorders>
            <w:shd w:val="clear" w:color="auto" w:fill="auto"/>
          </w:tcPr>
          <w:p w14:paraId="589624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553847D6" w14:textId="77777777" w:rsidR="00494AE4" w:rsidRPr="00564B9D" w:rsidRDefault="00494AE4" w:rsidP="00494AE4">
      <w:pPr>
        <w:pStyle w:val="H1GA"/>
        <w:rPr>
          <w:rtl/>
        </w:rPr>
      </w:pPr>
      <w:r w:rsidRPr="00564B9D">
        <w:rPr>
          <w:rtl/>
        </w:rPr>
        <w:tab/>
      </w:r>
      <w:r w:rsidRPr="00564B9D">
        <w:rPr>
          <w:rFonts w:hint="cs"/>
          <w:rtl/>
        </w:rPr>
        <w:t xml:space="preserve"> </w:t>
      </w:r>
      <w:bookmarkStart w:id="102" w:name="_Toc123044128"/>
      <w:bookmarkStart w:id="103" w:name="_Toc123044351"/>
      <w:bookmarkStart w:id="104" w:name="_Toc123044612"/>
      <w:bookmarkStart w:id="105" w:name="_Toc123044874"/>
      <w:r w:rsidRPr="00564B9D">
        <w:rPr>
          <w:rFonts w:hint="cs"/>
          <w:rtl/>
        </w:rPr>
        <w:t>باء-</w:t>
      </w:r>
      <w:r w:rsidRPr="00564B9D">
        <w:rPr>
          <w:rtl/>
        </w:rPr>
        <w:tab/>
      </w:r>
      <w:r w:rsidRPr="00564B9D">
        <w:rPr>
          <w:rFonts w:hint="cs"/>
          <w:rtl/>
        </w:rPr>
        <w:t>الهيكل الدستوري والسياسي والقانوني</w:t>
      </w:r>
      <w:bookmarkEnd w:id="102"/>
      <w:bookmarkEnd w:id="103"/>
      <w:bookmarkEnd w:id="104"/>
      <w:bookmarkEnd w:id="105"/>
    </w:p>
    <w:p w14:paraId="6B28B65B" w14:textId="77777777" w:rsidR="00494AE4" w:rsidRPr="00564B9D" w:rsidRDefault="00494AE4" w:rsidP="00494AE4">
      <w:pPr>
        <w:pStyle w:val="SingleTxtGA"/>
        <w:rPr>
          <w:rtl/>
        </w:rPr>
      </w:pPr>
      <w:r w:rsidRPr="00564B9D">
        <w:rPr>
          <w:rFonts w:hint="cs"/>
          <w:rtl/>
        </w:rPr>
        <w:t>63</w:t>
      </w:r>
      <w:r w:rsidRPr="00564B9D">
        <w:rPr>
          <w:rtl/>
        </w:rPr>
        <w:t>-</w:t>
      </w:r>
      <w:r w:rsidRPr="00564B9D">
        <w:rPr>
          <w:rtl/>
        </w:rPr>
        <w:tab/>
      </w:r>
      <w:r w:rsidRPr="00564B9D">
        <w:rPr>
          <w:rFonts w:hint="cs"/>
          <w:rtl/>
        </w:rPr>
        <w:t>اعتُمد دستور برمودا عام 1967</w:t>
      </w:r>
      <w:r w:rsidRPr="00564B9D">
        <w:rPr>
          <w:vertAlign w:val="superscript"/>
          <w:rtl/>
        </w:rPr>
        <w:t>(</w:t>
      </w:r>
      <w:r w:rsidRPr="00564B9D">
        <w:rPr>
          <w:rStyle w:val="FootnoteReference"/>
          <w:rFonts w:cs="Simplified Arabic"/>
          <w:b w:val="0"/>
          <w:sz w:val="22"/>
          <w:szCs w:val="22"/>
          <w:rtl/>
          <w:lang w:val="en-US"/>
        </w:rPr>
        <w:footnoteReference w:id="229"/>
      </w:r>
      <w:r w:rsidRPr="00564B9D">
        <w:rPr>
          <w:vertAlign w:val="superscript"/>
          <w:rtl/>
        </w:rPr>
        <w:t>)</w:t>
      </w:r>
      <w:r w:rsidRPr="00564B9D">
        <w:rPr>
          <w:rtl/>
        </w:rPr>
        <w:t xml:space="preserve"> </w:t>
      </w:r>
      <w:r w:rsidRPr="00564B9D">
        <w:rPr>
          <w:rFonts w:hint="cs"/>
          <w:rtl/>
        </w:rPr>
        <w:t>وتم تعديله في الأعوام 1973</w:t>
      </w:r>
      <w:r w:rsidRPr="00564B9D">
        <w:rPr>
          <w:vertAlign w:val="superscript"/>
          <w:rtl/>
        </w:rPr>
        <w:t>(</w:t>
      </w:r>
      <w:r w:rsidRPr="00564B9D">
        <w:rPr>
          <w:rStyle w:val="FootnoteReference"/>
          <w:rFonts w:cs="Simplified Arabic"/>
          <w:b w:val="0"/>
          <w:sz w:val="22"/>
          <w:szCs w:val="22"/>
          <w:rtl/>
          <w:lang w:val="en-US"/>
        </w:rPr>
        <w:footnoteReference w:id="230"/>
      </w:r>
      <w:r w:rsidRPr="00564B9D">
        <w:rPr>
          <w:vertAlign w:val="superscript"/>
          <w:rtl/>
        </w:rPr>
        <w:t>)</w:t>
      </w:r>
      <w:r w:rsidRPr="00564B9D">
        <w:rPr>
          <w:rtl/>
        </w:rPr>
        <w:t xml:space="preserve"> </w:t>
      </w:r>
      <w:r w:rsidRPr="00564B9D">
        <w:rPr>
          <w:rFonts w:hint="cs"/>
          <w:rtl/>
        </w:rPr>
        <w:t>و1979</w:t>
      </w:r>
      <w:r w:rsidRPr="00564B9D">
        <w:rPr>
          <w:vertAlign w:val="superscript"/>
          <w:rtl/>
        </w:rPr>
        <w:t>(</w:t>
      </w:r>
      <w:r w:rsidRPr="00564B9D">
        <w:rPr>
          <w:rStyle w:val="FootnoteReference"/>
          <w:rFonts w:cs="Simplified Arabic"/>
          <w:b w:val="0"/>
          <w:sz w:val="22"/>
          <w:szCs w:val="22"/>
          <w:rtl/>
          <w:lang w:val="en-US"/>
        </w:rPr>
        <w:footnoteReference w:id="231"/>
      </w:r>
      <w:r w:rsidRPr="00564B9D">
        <w:rPr>
          <w:vertAlign w:val="superscript"/>
          <w:rtl/>
        </w:rPr>
        <w:t>)</w:t>
      </w:r>
      <w:r w:rsidRPr="00564B9D">
        <w:rPr>
          <w:rtl/>
        </w:rPr>
        <w:t xml:space="preserve"> </w:t>
      </w:r>
      <w:r w:rsidRPr="00564B9D">
        <w:rPr>
          <w:rFonts w:hint="cs"/>
          <w:rtl/>
        </w:rPr>
        <w:t>و1989</w:t>
      </w:r>
      <w:r w:rsidRPr="00564B9D">
        <w:rPr>
          <w:vertAlign w:val="superscript"/>
          <w:rtl/>
        </w:rPr>
        <w:t>(</w:t>
      </w:r>
      <w:r w:rsidRPr="00564B9D">
        <w:rPr>
          <w:rStyle w:val="FootnoteReference"/>
          <w:rFonts w:cs="Simplified Arabic"/>
          <w:b w:val="0"/>
          <w:sz w:val="22"/>
          <w:szCs w:val="22"/>
          <w:rtl/>
          <w:lang w:val="en-US"/>
        </w:rPr>
        <w:footnoteReference w:id="232"/>
      </w:r>
      <w:r w:rsidRPr="00564B9D">
        <w:rPr>
          <w:vertAlign w:val="superscript"/>
          <w:rtl/>
        </w:rPr>
        <w:t>)</w:t>
      </w:r>
      <w:r w:rsidRPr="00564B9D">
        <w:rPr>
          <w:rtl/>
        </w:rPr>
        <w:t xml:space="preserve"> </w:t>
      </w:r>
      <w:r w:rsidRPr="00564B9D">
        <w:rPr>
          <w:rFonts w:hint="cs"/>
          <w:rtl/>
        </w:rPr>
        <w:t>و2001</w:t>
      </w:r>
      <w:r w:rsidRPr="00564B9D">
        <w:rPr>
          <w:vertAlign w:val="superscript"/>
          <w:rtl/>
        </w:rPr>
        <w:t>(</w:t>
      </w:r>
      <w:r w:rsidRPr="00564B9D">
        <w:rPr>
          <w:rStyle w:val="FootnoteReference"/>
          <w:rFonts w:cs="Simplified Arabic"/>
          <w:b w:val="0"/>
          <w:sz w:val="22"/>
          <w:szCs w:val="22"/>
          <w:rtl/>
          <w:lang w:val="en-US"/>
        </w:rPr>
        <w:footnoteReference w:id="233"/>
      </w:r>
      <w:r w:rsidRPr="00564B9D">
        <w:rPr>
          <w:vertAlign w:val="superscript"/>
          <w:rtl/>
        </w:rPr>
        <w:t>)</w:t>
      </w:r>
      <w:r w:rsidRPr="00564B9D">
        <w:rPr>
          <w:rtl/>
        </w:rPr>
        <w:t xml:space="preserve"> </w:t>
      </w:r>
      <w:r w:rsidRPr="00564B9D">
        <w:rPr>
          <w:rFonts w:hint="cs"/>
          <w:rtl/>
        </w:rPr>
        <w:t>و2003</w:t>
      </w:r>
      <w:r w:rsidRPr="00564B9D">
        <w:rPr>
          <w:vertAlign w:val="superscript"/>
          <w:rtl/>
        </w:rPr>
        <w:t>(</w:t>
      </w:r>
      <w:r w:rsidRPr="00564B9D">
        <w:rPr>
          <w:rStyle w:val="FootnoteReference"/>
          <w:rFonts w:cs="Simplified Arabic"/>
          <w:b w:val="0"/>
          <w:sz w:val="22"/>
          <w:szCs w:val="22"/>
          <w:rtl/>
          <w:lang w:val="en-US"/>
        </w:rPr>
        <w:footnoteReference w:id="234"/>
      </w:r>
      <w:r w:rsidRPr="00564B9D">
        <w:rPr>
          <w:vertAlign w:val="superscript"/>
          <w:rtl/>
        </w:rPr>
        <w:t>)</w:t>
      </w:r>
      <w:r w:rsidRPr="00564B9D">
        <w:rPr>
          <w:rFonts w:hint="cs"/>
          <w:rtl/>
        </w:rPr>
        <w:t>.</w:t>
      </w:r>
    </w:p>
    <w:p w14:paraId="13E8A431" w14:textId="77777777" w:rsidR="00494AE4" w:rsidRPr="00564B9D" w:rsidRDefault="00494AE4" w:rsidP="00494AE4">
      <w:pPr>
        <w:pStyle w:val="H23GA"/>
        <w:rPr>
          <w:rtl/>
        </w:rPr>
      </w:pPr>
      <w:r w:rsidRPr="00564B9D">
        <w:rPr>
          <w:rtl/>
        </w:rPr>
        <w:tab/>
      </w:r>
      <w:r w:rsidRPr="00564B9D">
        <w:rPr>
          <w:rtl/>
        </w:rPr>
        <w:tab/>
      </w:r>
      <w:r w:rsidRPr="00564B9D">
        <w:rPr>
          <w:rFonts w:hint="cs"/>
          <w:rtl/>
        </w:rPr>
        <w:t>البرلمان</w:t>
      </w:r>
    </w:p>
    <w:p w14:paraId="5EEFAB43" w14:textId="2EBF810A" w:rsidR="00494AE4" w:rsidRPr="00564B9D" w:rsidRDefault="00494AE4" w:rsidP="00494AE4">
      <w:pPr>
        <w:pStyle w:val="SingleTxtGA"/>
        <w:rPr>
          <w:rtl/>
        </w:rPr>
      </w:pPr>
      <w:r w:rsidRPr="00564B9D">
        <w:rPr>
          <w:rFonts w:hint="cs"/>
          <w:rtl/>
        </w:rPr>
        <w:t>64</w:t>
      </w:r>
      <w:r w:rsidRPr="00564B9D">
        <w:rPr>
          <w:rtl/>
        </w:rPr>
        <w:t>-</w:t>
      </w:r>
      <w:r w:rsidRPr="00564B9D">
        <w:rPr>
          <w:rtl/>
        </w:rPr>
        <w:tab/>
      </w:r>
      <w:r w:rsidRPr="00564B9D">
        <w:rPr>
          <w:rFonts w:hint="cs"/>
          <w:rtl/>
        </w:rPr>
        <w:t>برمودا هي إقليم من الأقاليم البريطانية</w:t>
      </w:r>
      <w:r w:rsidRPr="00564B9D">
        <w:rPr>
          <w:rtl/>
        </w:rPr>
        <w:t xml:space="preserve"> </w:t>
      </w:r>
      <w:r w:rsidRPr="00564B9D">
        <w:rPr>
          <w:rFonts w:hint="cs"/>
          <w:rtl/>
        </w:rPr>
        <w:t>ولديها نظام حكم برلماني. ويتألف مجلس النواب فيها من</w:t>
      </w:r>
      <w:r w:rsidR="00777024" w:rsidRPr="00564B9D">
        <w:rPr>
          <w:rFonts w:hint="eastAsia"/>
          <w:rtl/>
        </w:rPr>
        <w:t> </w:t>
      </w:r>
      <w:r w:rsidRPr="00564B9D">
        <w:rPr>
          <w:rFonts w:hint="cs"/>
          <w:rtl/>
        </w:rPr>
        <w:t>36 عضواً ينتخبون بالاقتراع العام. وينتخب المجلس رئيساً ونائباً للرئيس لولاية مدتها خمس سنوات ما لم يُحلّ قبل ذلك. وتقسم برمودا إلى 36 دائرة انتخابية يمثل كل منها عضوٌ واحدٌ في مجلس النواب. وبموجب دستور برمودا، تعين لجنة معنية بحدود الدوائر الانتخابية كل سبع سنوات لدراسة حدود الدوائر الانتخابية، ولمراجعتها عند الضرورة.</w:t>
      </w:r>
    </w:p>
    <w:p w14:paraId="2B8A23C6" w14:textId="77777777" w:rsidR="00494AE4" w:rsidRPr="00564B9D" w:rsidRDefault="00494AE4" w:rsidP="00494AE4">
      <w:pPr>
        <w:pStyle w:val="SingleTxtGA"/>
        <w:rPr>
          <w:rtl/>
        </w:rPr>
      </w:pPr>
      <w:r w:rsidRPr="00564B9D">
        <w:rPr>
          <w:rFonts w:hint="cs"/>
          <w:rtl/>
        </w:rPr>
        <w:t>65</w:t>
      </w:r>
      <w:r w:rsidRPr="00564B9D">
        <w:rPr>
          <w:rtl/>
        </w:rPr>
        <w:t>-</w:t>
      </w:r>
      <w:r w:rsidRPr="00564B9D">
        <w:rPr>
          <w:rtl/>
        </w:rPr>
        <w:tab/>
      </w:r>
      <w:r w:rsidRPr="00564B9D">
        <w:rPr>
          <w:rFonts w:hint="cs"/>
          <w:rtl/>
        </w:rPr>
        <w:t>ويتألف مجلس الشيوخ من 11 عضواً يعينهم سعادة الحاكم. ويتم انتخاب خمسة من أعضاء مجلس الشيوخ بناء على توصية من رئيس الوزراء ويمثلون الحزب الحاكم. ويُعين ثلاثة أعضاء بناء على توصية من زعيم المعارضة ويمثلون حزب المعارضة الرسمي. ويعين الأعضاء الثلاثة الباقون من مجلس الشيوخ بوصفهم مستقلين. وينتخب مجلس الشيوخ بكامل هيئته رئيساً ونائباً للرئيس من بين الأعضاء المستقلين لمجلس الشيوخ.</w:t>
      </w:r>
    </w:p>
    <w:p w14:paraId="6D8B3520" w14:textId="77777777" w:rsidR="00494AE4" w:rsidRPr="00564B9D" w:rsidRDefault="00494AE4" w:rsidP="00494AE4">
      <w:pPr>
        <w:pStyle w:val="H23GA"/>
        <w:rPr>
          <w:rtl/>
        </w:rPr>
      </w:pPr>
      <w:r w:rsidRPr="00564B9D">
        <w:rPr>
          <w:rtl/>
        </w:rPr>
        <w:tab/>
      </w:r>
      <w:r w:rsidRPr="00564B9D">
        <w:rPr>
          <w:rtl/>
        </w:rPr>
        <w:tab/>
      </w:r>
      <w:r w:rsidRPr="00564B9D">
        <w:rPr>
          <w:rFonts w:hint="cs"/>
          <w:rtl/>
        </w:rPr>
        <w:t>الحكومة</w:t>
      </w:r>
    </w:p>
    <w:p w14:paraId="1081F06F" w14:textId="2C0CA279" w:rsidR="00494AE4" w:rsidRPr="00564B9D" w:rsidRDefault="00494AE4" w:rsidP="00494AE4">
      <w:pPr>
        <w:pStyle w:val="SingleTxtGA"/>
        <w:rPr>
          <w:rtl/>
        </w:rPr>
      </w:pPr>
      <w:r w:rsidRPr="00564B9D">
        <w:rPr>
          <w:rFonts w:hint="cs"/>
          <w:rtl/>
        </w:rPr>
        <w:t>66</w:t>
      </w:r>
      <w:r w:rsidRPr="00564B9D">
        <w:rPr>
          <w:rtl/>
        </w:rPr>
        <w:t>-</w:t>
      </w:r>
      <w:r w:rsidRPr="00564B9D">
        <w:rPr>
          <w:rtl/>
        </w:rPr>
        <w:tab/>
      </w:r>
      <w:r w:rsidRPr="00564B9D">
        <w:rPr>
          <w:rFonts w:hint="cs"/>
          <w:rtl/>
        </w:rPr>
        <w:t>تتألف حكومة برمودا من حاكم ونائب للحاكم ومجلس وزراء ورئيس لمجلس الوزراء. ويعين</w:t>
      </w:r>
      <w:r w:rsidR="00777024" w:rsidRPr="00564B9D">
        <w:rPr>
          <w:rFonts w:hint="eastAsia"/>
          <w:rtl/>
        </w:rPr>
        <w:t> </w:t>
      </w:r>
      <w:r w:rsidRPr="00564B9D">
        <w:rPr>
          <w:rFonts w:hint="cs"/>
          <w:rtl/>
        </w:rPr>
        <w:t>العاهل وحكومة المملكة المتحدة الحاكم بعد التشاور مع رئيس الوزراء. ورئيس الوزراء هو الذي</w:t>
      </w:r>
      <w:r w:rsidR="00777024" w:rsidRPr="00564B9D">
        <w:rPr>
          <w:rFonts w:hint="eastAsia"/>
          <w:rtl/>
        </w:rPr>
        <w:t> </w:t>
      </w:r>
      <w:r w:rsidRPr="00564B9D">
        <w:rPr>
          <w:rFonts w:hint="cs"/>
          <w:rtl/>
        </w:rPr>
        <w:t>يحظى بثقة غالبية أعضاء مجلس النواب ويرأس مجلس الوزراء الذي لا يزيد عدد أعضاء الهيئة التشريعية فيه على 14 عضواً. ويكون الحاكم مسؤولاً عن شؤون الدفاع والشؤون الخارجية والأمن الداخلي وجهاز الشرطة.</w:t>
      </w:r>
    </w:p>
    <w:p w14:paraId="63F183B3"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الجهاز القضائي وإقامة العدل</w:t>
      </w:r>
    </w:p>
    <w:p w14:paraId="43565EC4" w14:textId="77777777" w:rsidR="00494AE4" w:rsidRPr="00564B9D" w:rsidRDefault="00494AE4" w:rsidP="00494AE4">
      <w:pPr>
        <w:pStyle w:val="SingleTxtGA"/>
        <w:rPr>
          <w:rtl/>
        </w:rPr>
      </w:pPr>
      <w:r w:rsidRPr="00564B9D">
        <w:rPr>
          <w:rFonts w:hint="cs"/>
          <w:rtl/>
        </w:rPr>
        <w:t>67</w:t>
      </w:r>
      <w:r w:rsidRPr="00564B9D">
        <w:rPr>
          <w:rtl/>
        </w:rPr>
        <w:t>-</w:t>
      </w:r>
      <w:r w:rsidRPr="00564B9D">
        <w:rPr>
          <w:rtl/>
        </w:rPr>
        <w:tab/>
      </w:r>
      <w:r w:rsidRPr="00564B9D">
        <w:rPr>
          <w:rFonts w:hint="cs"/>
          <w:rtl/>
        </w:rPr>
        <w:t>يرتكز قانون برمودا ونظامها القانوني على القانون العام الإنكليزي، والقانون التشريعي الإنكليزي (النافذ منذ عام 1612)، وقوانين برلمان برمودا التي أُقرت منذ ذلك الوقت. ويعتبر الجهاز القضائي هيئة منفصلة ومستقلة عن الحكومة ولا ينتخب أعضاؤها، بل يُعينون بناء على مشورة رئيس القضاة. وبموجب دستور برمودا، يُعيّن رئيس القضاة من قبل الحاكم الذي يتصرف بناء على المشاورات التي يجريها مع رئيس الوزراء الذي يجب أن يكون قد قام أولاً باستشارة زعيم المعارضة. وتوجد في برمودا ثلاث محاكم وهي، المحكمة الجزئية ومحكمة التمييز ومحكمة الاستئناف.</w:t>
      </w:r>
    </w:p>
    <w:p w14:paraId="637E5EE4" w14:textId="77777777" w:rsidR="00494AE4" w:rsidRPr="00564B9D" w:rsidRDefault="00494AE4" w:rsidP="00494AE4">
      <w:pPr>
        <w:pStyle w:val="HChGA"/>
        <w:rPr>
          <w:rtl/>
        </w:rPr>
      </w:pPr>
      <w:r w:rsidRPr="00564B9D">
        <w:rPr>
          <w:rtl/>
        </w:rPr>
        <w:tab/>
      </w:r>
      <w:bookmarkStart w:id="106" w:name="_Toc123044129"/>
      <w:bookmarkStart w:id="107" w:name="_Toc123044352"/>
      <w:bookmarkStart w:id="108" w:name="_Toc123044613"/>
      <w:bookmarkStart w:id="109" w:name="_Toc123044875"/>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106"/>
      <w:bookmarkEnd w:id="107"/>
      <w:bookmarkEnd w:id="108"/>
      <w:bookmarkEnd w:id="109"/>
    </w:p>
    <w:p w14:paraId="020B3AEE" w14:textId="77777777" w:rsidR="00494AE4" w:rsidRPr="00564B9D" w:rsidRDefault="00494AE4" w:rsidP="00494AE4">
      <w:pPr>
        <w:pStyle w:val="H1GA"/>
        <w:rPr>
          <w:rtl/>
        </w:rPr>
      </w:pPr>
      <w:r w:rsidRPr="00564B9D">
        <w:rPr>
          <w:rtl/>
        </w:rPr>
        <w:tab/>
      </w:r>
      <w:bookmarkStart w:id="110" w:name="_Toc123044130"/>
      <w:bookmarkStart w:id="111" w:name="_Toc123044353"/>
      <w:bookmarkStart w:id="112" w:name="_Toc123044614"/>
      <w:bookmarkStart w:id="113" w:name="_Toc123044876"/>
      <w:r w:rsidRPr="00564B9D">
        <w:rPr>
          <w:rtl/>
        </w:rPr>
        <w:t>ألف-</w:t>
      </w:r>
      <w:r w:rsidRPr="00564B9D">
        <w:rPr>
          <w:rtl/>
        </w:rPr>
        <w:tab/>
      </w:r>
      <w:r w:rsidRPr="00564B9D">
        <w:rPr>
          <w:rFonts w:hint="cs"/>
          <w:rtl/>
        </w:rPr>
        <w:t>قبول معايير حقوق الإنسان الدولية</w:t>
      </w:r>
      <w:bookmarkEnd w:id="110"/>
      <w:bookmarkEnd w:id="111"/>
      <w:bookmarkEnd w:id="112"/>
      <w:bookmarkEnd w:id="113"/>
    </w:p>
    <w:p w14:paraId="03E077BC" w14:textId="77777777" w:rsidR="00494AE4" w:rsidRPr="00564B9D" w:rsidRDefault="00494AE4" w:rsidP="00494AE4">
      <w:pPr>
        <w:pStyle w:val="SingleTxtGA"/>
        <w:rPr>
          <w:rtl/>
        </w:rPr>
      </w:pPr>
      <w:r w:rsidRPr="00564B9D">
        <w:rPr>
          <w:rFonts w:hint="cs"/>
          <w:rtl/>
        </w:rPr>
        <w:t>68</w:t>
      </w:r>
      <w:r w:rsidRPr="00564B9D">
        <w:rPr>
          <w:rtl/>
        </w:rPr>
        <w:t>-</w:t>
      </w:r>
      <w:r w:rsidRPr="00564B9D">
        <w:rPr>
          <w:rtl/>
        </w:rPr>
        <w:tab/>
        <w:t xml:space="preserve">تم </w:t>
      </w:r>
      <w:r w:rsidRPr="00564B9D">
        <w:rPr>
          <w:rFonts w:hint="cs"/>
          <w:rtl/>
        </w:rPr>
        <w:t xml:space="preserve">توسيع نطاق </w:t>
      </w:r>
      <w:r w:rsidRPr="00564B9D">
        <w:rPr>
          <w:rtl/>
        </w:rPr>
        <w:t>الصكوك الدولية الرئيسية التالية لتشمل برمودا.</w:t>
      </w:r>
    </w:p>
    <w:p w14:paraId="555E0E69"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145BBBF0"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مناهضة التعذيب وغيره من ضروب المعاملة أو العقوبة القاسية أو اللاإنسانية أو المهينة؛ اتفاقية حقوق الطفل.</w:t>
      </w:r>
    </w:p>
    <w:p w14:paraId="1E459CAA"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6F97DB41"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الاتفاقية المتعلقة بوضع الأشخاص العديمي الجنسية؛ الاتفاقية المتصلة بخفض حالات انعدام الجنسية؛ نظام روما الأساسي للمحكمة الجنائية الدولية.</w:t>
      </w:r>
    </w:p>
    <w:p w14:paraId="2FC340FA" w14:textId="77777777" w:rsidR="00494AE4" w:rsidRPr="00564B9D" w:rsidRDefault="00494AE4" w:rsidP="00494AE4">
      <w:pPr>
        <w:pStyle w:val="H23GA"/>
      </w:pPr>
      <w:r w:rsidRPr="00564B9D">
        <w:rPr>
          <w:rtl/>
        </w:rPr>
        <w:tab/>
      </w:r>
      <w:r w:rsidRPr="00564B9D">
        <w:rPr>
          <w:rtl/>
        </w:rPr>
        <w:tab/>
      </w:r>
      <w:r w:rsidRPr="00564B9D">
        <w:rPr>
          <w:rFonts w:hint="cs"/>
          <w:rtl/>
        </w:rPr>
        <w:t>اتفاقيات منظمة العمل الدولية</w:t>
      </w:r>
    </w:p>
    <w:p w14:paraId="70A0941A" w14:textId="77777777" w:rsidR="00494AE4" w:rsidRPr="00564B9D" w:rsidRDefault="00494AE4" w:rsidP="00494AE4">
      <w:pPr>
        <w:pStyle w:val="Bullet1GA"/>
        <w:numPr>
          <w:ilvl w:val="0"/>
          <w:numId w:val="14"/>
        </w:numPr>
        <w:tabs>
          <w:tab w:val="clear" w:pos="1361"/>
          <w:tab w:val="num" w:pos="1475"/>
        </w:tabs>
        <w:ind w:left="1985" w:hanging="545"/>
      </w:pPr>
      <w:r w:rsidRPr="00564B9D">
        <w:t>C029</w:t>
      </w:r>
      <w:r w:rsidRPr="00564B9D">
        <w:rPr>
          <w:rFonts w:hint="cs"/>
          <w:rtl/>
        </w:rPr>
        <w:t xml:space="preserve"> - اتفاقية العمل الجبري؛ </w:t>
      </w:r>
      <w:r w:rsidRPr="00564B9D">
        <w:t>C081</w:t>
      </w:r>
      <w:r w:rsidRPr="00564B9D">
        <w:rPr>
          <w:rFonts w:hint="cs"/>
          <w:rtl/>
        </w:rPr>
        <w:t xml:space="preserve"> - الاتفاقية بشأن تفتيش العمل؛ </w:t>
      </w: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xml:space="preserve"> - اتفاقية الضمان الاجتماعي (المعايير الدنيا)؛ </w:t>
      </w:r>
      <w:r w:rsidRPr="00564B9D">
        <w:t>C105</w:t>
      </w:r>
      <w:r w:rsidRPr="00564B9D">
        <w:rPr>
          <w:rFonts w:hint="eastAsia"/>
          <w:rtl/>
        </w:rPr>
        <w:t xml:space="preserve"> </w:t>
      </w:r>
      <w:r w:rsidRPr="00564B9D">
        <w:rPr>
          <w:rFonts w:hint="cs"/>
          <w:rtl/>
        </w:rPr>
        <w:t xml:space="preserve">- اتفاقية إلغاء العمل الجبري؛ </w:t>
      </w:r>
      <w:r w:rsidRPr="00564B9D">
        <w:t>C182</w:t>
      </w:r>
      <w:r w:rsidRPr="00564B9D">
        <w:rPr>
          <w:rFonts w:hint="cs"/>
          <w:rtl/>
        </w:rPr>
        <w:t xml:space="preserve"> - الاتفاقية بشأن حظر أسوأ أشكال عمل</w:t>
      </w:r>
      <w:r w:rsidRPr="00564B9D">
        <w:rPr>
          <w:rFonts w:hint="eastAsia"/>
          <w:rtl/>
        </w:rPr>
        <w:t xml:space="preserve"> </w:t>
      </w:r>
      <w:r w:rsidRPr="00564B9D">
        <w:rPr>
          <w:rFonts w:hint="cs"/>
          <w:rtl/>
        </w:rPr>
        <w:t>الأطفال.</w:t>
      </w:r>
    </w:p>
    <w:p w14:paraId="5B5EAF1E" w14:textId="77777777" w:rsidR="00494AE4" w:rsidRPr="00564B9D" w:rsidRDefault="00494AE4" w:rsidP="00494AE4">
      <w:pPr>
        <w:pStyle w:val="H23GA"/>
      </w:pPr>
      <w:r w:rsidRPr="00564B9D">
        <w:rPr>
          <w:rtl/>
        </w:rPr>
        <w:tab/>
      </w:r>
      <w:r w:rsidRPr="00564B9D">
        <w:rPr>
          <w:rtl/>
        </w:rPr>
        <w:tab/>
      </w:r>
      <w:r w:rsidRPr="00564B9D">
        <w:rPr>
          <w:rFonts w:hint="cs"/>
          <w:rtl/>
        </w:rPr>
        <w:t>اتفاقيات مؤتمر لاهاي بشأن القانون الدولي الخاص</w:t>
      </w:r>
    </w:p>
    <w:p w14:paraId="5A70ED89"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الاتفاقية المتعلقة بالاعتراف بالطلاق والانفصال القانوي؛ الاتفاقية المتعلقة بالجوانب المدنية للاختطاف الدولي للأطفال.</w:t>
      </w:r>
    </w:p>
    <w:p w14:paraId="3955803B"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ومعاهدات أخرى بشأن القانون الإنساني الدولي</w:t>
      </w:r>
    </w:p>
    <w:p w14:paraId="20251AA6"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4A7C0328"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الصكوك الإقليمية لحقوق الإنسان</w:t>
      </w:r>
    </w:p>
    <w:p w14:paraId="1291FFDC"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061144BC" w14:textId="77777777" w:rsidR="00494AE4" w:rsidRPr="00564B9D" w:rsidRDefault="00494AE4" w:rsidP="00494AE4">
      <w:pPr>
        <w:pStyle w:val="H1GA"/>
        <w:rPr>
          <w:rtl/>
        </w:rPr>
      </w:pPr>
      <w:r w:rsidRPr="00564B9D">
        <w:rPr>
          <w:rtl/>
        </w:rPr>
        <w:tab/>
      </w:r>
      <w:bookmarkStart w:id="114" w:name="_Toc123044131"/>
      <w:bookmarkStart w:id="115" w:name="_Toc123044354"/>
      <w:bookmarkStart w:id="116" w:name="_Toc123044615"/>
      <w:bookmarkStart w:id="117" w:name="_Toc123044877"/>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114"/>
      <w:bookmarkEnd w:id="115"/>
      <w:bookmarkEnd w:id="116"/>
      <w:bookmarkEnd w:id="117"/>
    </w:p>
    <w:p w14:paraId="5F86A168" w14:textId="77777777" w:rsidR="00494AE4" w:rsidRPr="00564B9D" w:rsidRDefault="00494AE4" w:rsidP="00494AE4">
      <w:pPr>
        <w:pStyle w:val="SingleTxtGA"/>
        <w:rPr>
          <w:rtl/>
        </w:rPr>
      </w:pPr>
      <w:r w:rsidRPr="00564B9D">
        <w:rPr>
          <w:rFonts w:hint="cs"/>
          <w:rtl/>
        </w:rPr>
        <w:t>69</w:t>
      </w:r>
      <w:r w:rsidRPr="00564B9D">
        <w:rPr>
          <w:rtl/>
        </w:rPr>
        <w:t>-</w:t>
      </w:r>
      <w:r w:rsidRPr="00564B9D">
        <w:rPr>
          <w:rtl/>
        </w:rPr>
        <w:tab/>
      </w:r>
      <w:r w:rsidRPr="00564B9D">
        <w:rPr>
          <w:rFonts w:hint="cs"/>
          <w:rtl/>
        </w:rPr>
        <w:t>يتضمن دستور برمودا أحكاماً محددة تتصل بحماية حقوق الأفراد وحرياتهم الأساسية</w:t>
      </w:r>
      <w:r w:rsidRPr="00564B9D">
        <w:rPr>
          <w:rtl/>
        </w:rPr>
        <w:t>.</w:t>
      </w:r>
    </w:p>
    <w:p w14:paraId="4AEB0D10" w14:textId="77777777" w:rsidR="00494AE4" w:rsidRPr="00564B9D" w:rsidRDefault="00494AE4" w:rsidP="00494AE4">
      <w:pPr>
        <w:pStyle w:val="SingleTxtGA"/>
        <w:rPr>
          <w:rtl/>
        </w:rPr>
      </w:pPr>
      <w:r w:rsidRPr="00564B9D">
        <w:rPr>
          <w:rFonts w:hint="cs"/>
          <w:rtl/>
        </w:rPr>
        <w:t>70</w:t>
      </w:r>
      <w:r w:rsidRPr="00564B9D">
        <w:rPr>
          <w:rtl/>
        </w:rPr>
        <w:t>-</w:t>
      </w:r>
      <w:r w:rsidRPr="00564B9D">
        <w:rPr>
          <w:rtl/>
        </w:rPr>
        <w:tab/>
      </w:r>
      <w:r w:rsidRPr="00564B9D">
        <w:rPr>
          <w:rFonts w:hint="cs"/>
          <w:rtl/>
        </w:rPr>
        <w:t>علاوة على ذلك، ثمة هناك عدة صكوك قانونية وغير قانونية توجّه المبادرات المتعلقة بحقوق الإنسان في برمودا، وهي: قانون حقوق الإنسان لعام 1981</w:t>
      </w:r>
      <w:r w:rsidRPr="00564B9D">
        <w:rPr>
          <w:vertAlign w:val="superscript"/>
          <w:rtl/>
        </w:rPr>
        <w:t>(</w:t>
      </w:r>
      <w:r w:rsidRPr="00564B9D">
        <w:rPr>
          <w:rStyle w:val="FootnoteReference"/>
          <w:rFonts w:cs="Simplified Arabic"/>
          <w:b w:val="0"/>
          <w:sz w:val="22"/>
          <w:szCs w:val="22"/>
          <w:rtl/>
          <w:lang w:val="en-US"/>
        </w:rPr>
        <w:footnoteReference w:id="235"/>
      </w:r>
      <w:r w:rsidRPr="00564B9D">
        <w:rPr>
          <w:vertAlign w:val="superscript"/>
          <w:rtl/>
        </w:rPr>
        <w:t>)</w:t>
      </w:r>
      <w:r w:rsidRPr="00564B9D">
        <w:rPr>
          <w:rFonts w:hint="cs"/>
          <w:rtl/>
        </w:rPr>
        <w:t>، الذي عُدّل في الأعوام 1995 و1998 و2000 و2006؛ وقانون الاستخدام لعام 2000 الذي يغطي جوانب حماية الاستخدام (ممارسات القوى العاملة غير التمييزية)؛ ومراجعة لاتفاقية القضاء على جميع أشكال التمييز ضد المرأة (التي لم يتم توسيع نطاقها لتشمل برمودا) التي حثت على استعراض جميع أنظمة برمودا الأساسية من أجل تحديد المجالات التي قد يكون فيها القانون تمييزياً على أساس الجنس؛ ومدونة الممارسة الطوعية لعام 1997 لإلغاء جميع أشكال التمييز العنصري وتشجيع المساواة في فرص الاستخدام؛ ومدونة السلوك لمفوضي حقوق الإنسان، وهي وثيقة داخلية تفيد كدليل وأداة مرجعية وتدريبية؛ وقانون لجنة التحقيق لعام 1935 الذي يوجه إجراءات لجان التحقيق المعينة للتصدي لمسائل تحمل طابعاً عاماً.</w:t>
      </w:r>
    </w:p>
    <w:p w14:paraId="36610970" w14:textId="77777777" w:rsidR="00494AE4" w:rsidRPr="00564B9D" w:rsidRDefault="00494AE4" w:rsidP="00494AE4">
      <w:pPr>
        <w:pStyle w:val="SingleTxtGA"/>
        <w:rPr>
          <w:rtl/>
        </w:rPr>
      </w:pPr>
      <w:r w:rsidRPr="00564B9D">
        <w:rPr>
          <w:rFonts w:hint="cs"/>
          <w:rtl/>
        </w:rPr>
        <w:t>71</w:t>
      </w:r>
      <w:r w:rsidRPr="00564B9D">
        <w:rPr>
          <w:rtl/>
        </w:rPr>
        <w:t>-</w:t>
      </w:r>
      <w:r w:rsidRPr="00564B9D">
        <w:rPr>
          <w:rtl/>
        </w:rPr>
        <w:tab/>
      </w:r>
      <w:r w:rsidRPr="00564B9D">
        <w:rPr>
          <w:rFonts w:hint="cs"/>
          <w:rtl/>
        </w:rPr>
        <w:t>علاوة على ذلك، أُدخل العديد من التعديلات الهامة، وهي تشمل: قانون تعديل الأعباء غير المعقولة (حقوق الإنسان) لعام 2011 الذي يقدم الحماية الضرورية للأشخاص ذوي الإعاقة؛ وقانون تعديل هيكل ووظيفة حقوق الإنسان لعام 2012 لتحسين الكفاءة والفعالية؛ وقانون تعديل حقوق الإنسان لعام 2013 الذي يمنح الحماية على أساس الميول الجنسية في جميع المجالات والأعمار فيما يتعلق بالبضائع والمرافق والخدمات في مسعى من جانبه لتوسيع نطاق حماية حقوق الإنسان في برمودا.</w:t>
      </w:r>
    </w:p>
    <w:p w14:paraId="43B3D35F" w14:textId="77777777" w:rsidR="00494AE4" w:rsidRPr="00564B9D" w:rsidRDefault="00494AE4" w:rsidP="00494AE4">
      <w:pPr>
        <w:pStyle w:val="H1GA"/>
        <w:rPr>
          <w:rtl/>
        </w:rPr>
      </w:pPr>
      <w:r w:rsidRPr="00564B9D">
        <w:rPr>
          <w:rtl/>
        </w:rPr>
        <w:tab/>
      </w:r>
      <w:bookmarkStart w:id="118" w:name="_Toc123044132"/>
      <w:bookmarkStart w:id="119" w:name="_Toc123044355"/>
      <w:bookmarkStart w:id="120" w:name="_Toc123044616"/>
      <w:bookmarkStart w:id="121" w:name="_Toc123044878"/>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118"/>
      <w:bookmarkEnd w:id="119"/>
      <w:bookmarkEnd w:id="120"/>
      <w:bookmarkEnd w:id="121"/>
    </w:p>
    <w:p w14:paraId="64C0BA80" w14:textId="77777777" w:rsidR="00494AE4" w:rsidRPr="00564B9D" w:rsidRDefault="00494AE4" w:rsidP="00494AE4">
      <w:pPr>
        <w:pStyle w:val="SingleTxtGA"/>
        <w:rPr>
          <w:rtl/>
        </w:rPr>
      </w:pPr>
      <w:r w:rsidRPr="00564B9D">
        <w:rPr>
          <w:rFonts w:hint="cs"/>
          <w:rtl/>
        </w:rPr>
        <w:t>72</w:t>
      </w:r>
      <w:r w:rsidRPr="00564B9D">
        <w:rPr>
          <w:rtl/>
        </w:rPr>
        <w:t>-</w:t>
      </w:r>
      <w:r w:rsidRPr="00564B9D">
        <w:rPr>
          <w:rtl/>
        </w:rPr>
        <w:tab/>
      </w:r>
      <w:r w:rsidRPr="00564B9D">
        <w:rPr>
          <w:rFonts w:hint="cs"/>
          <w:rtl/>
        </w:rPr>
        <w:t>في حزيران/يونيه 2010، نقلت الحكومة وظائف اللجنة المعنية بالوحدة والمساواة بين الجماعات العرقية إلى لجنة حقوق الإنسان</w:t>
      </w:r>
      <w:r w:rsidRPr="00564B9D">
        <w:rPr>
          <w:vertAlign w:val="superscript"/>
          <w:rtl/>
        </w:rPr>
        <w:t>(</w:t>
      </w:r>
      <w:r w:rsidRPr="00564B9D">
        <w:rPr>
          <w:rStyle w:val="FootnoteReference"/>
          <w:rFonts w:cs="Simplified Arabic"/>
          <w:b w:val="0"/>
          <w:sz w:val="22"/>
          <w:szCs w:val="22"/>
          <w:rtl/>
          <w:lang w:val="en-US"/>
        </w:rPr>
        <w:footnoteReference w:id="236"/>
      </w:r>
      <w:r w:rsidRPr="00564B9D">
        <w:rPr>
          <w:vertAlign w:val="superscript"/>
          <w:rtl/>
        </w:rPr>
        <w:t>)</w:t>
      </w:r>
      <w:r w:rsidRPr="00564B9D">
        <w:rPr>
          <w:rFonts w:hint="cs"/>
          <w:rtl/>
        </w:rPr>
        <w:t xml:space="preserve"> التي تركز عملها الآن على ثلاثة مجالات رئيسية هي: توفير السبل الفعالة وفي الوقت المناسب لتسوية الشكاوى الفردية؛ وتعزيز المعرفة بحقوق الإنسان في برمودا وتشجيع الناس على اتباع مبادئ المساواة؛ والإسهام في التخفيف من العوائق التي تعترض المساواة في الاستخدام والحصول على الخدمات.</w:t>
      </w:r>
    </w:p>
    <w:p w14:paraId="50BFBC48" w14:textId="77777777" w:rsidR="00494AE4" w:rsidRPr="00564B9D" w:rsidRDefault="00494AE4" w:rsidP="00494AE4">
      <w:pPr>
        <w:pStyle w:val="HChGA"/>
        <w:rPr>
          <w:rtl/>
        </w:rPr>
      </w:pPr>
      <w:r w:rsidRPr="00564B9D">
        <w:rPr>
          <w:rtl/>
        </w:rPr>
        <w:tab/>
      </w:r>
      <w:bookmarkStart w:id="122" w:name="_Toc123044133"/>
      <w:bookmarkStart w:id="123" w:name="_Toc123044356"/>
      <w:bookmarkStart w:id="124" w:name="_Toc123044617"/>
      <w:bookmarkStart w:id="125" w:name="_Toc123044879"/>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122"/>
      <w:bookmarkEnd w:id="123"/>
      <w:bookmarkEnd w:id="124"/>
      <w:bookmarkEnd w:id="125"/>
    </w:p>
    <w:p w14:paraId="66A6F2B1" w14:textId="77777777" w:rsidR="00494AE4" w:rsidRPr="00564B9D" w:rsidRDefault="00494AE4" w:rsidP="00494AE4">
      <w:pPr>
        <w:pStyle w:val="SingleTxtGA"/>
        <w:rPr>
          <w:rtl/>
        </w:rPr>
      </w:pPr>
      <w:r w:rsidRPr="00564B9D">
        <w:rPr>
          <w:rFonts w:hint="cs"/>
          <w:rtl/>
        </w:rPr>
        <w:t>73</w:t>
      </w:r>
      <w:r w:rsidRPr="00564B9D">
        <w:rPr>
          <w:rtl/>
        </w:rPr>
        <w:t>-</w:t>
      </w:r>
      <w:r w:rsidRPr="00564B9D">
        <w:rPr>
          <w:rtl/>
        </w:rPr>
        <w:tab/>
      </w:r>
      <w:r w:rsidRPr="00564B9D">
        <w:rPr>
          <w:rFonts w:hint="cs"/>
          <w:rtl/>
        </w:rPr>
        <w:t>يعتبر قانون حقوق الإنسان لعام 1981 (بصورته المعدلة) الأداة القانونية الرئيسية لمكافحة التمييز القائم على أسس مختلفة. وتتمتع لجنة حقوق الإنسان بسلطات قانونية للتحقيق في الشكاوى بشأن انتهاكات القانون، بما في ذلك الادعاءات بوجود تمييز. وإذا لم تتمكن اللجنة من تسوية أسباب الشكوى، يحيل المسؤول التنفيذي الشكوى إلى هيئة قضائية. ويمكن استئناف قرار الهيئة القضائية أمام محكمة التمييز ومن ثم أمام محكمة الاستئناف وبعد ذلك أمام اللجنة القضائية للمجلس الملكي الخاص في لندن.</w:t>
      </w:r>
    </w:p>
    <w:p w14:paraId="2DB956A7" w14:textId="77777777" w:rsidR="00494AE4" w:rsidRPr="00564B9D" w:rsidRDefault="00494AE4" w:rsidP="00494AE4">
      <w:pPr>
        <w:pStyle w:val="SingleTxtGA"/>
        <w:rPr>
          <w:rtl/>
        </w:rPr>
      </w:pPr>
      <w:r w:rsidRPr="00564B9D">
        <w:rPr>
          <w:rFonts w:hint="cs"/>
          <w:rtl/>
        </w:rPr>
        <w:lastRenderedPageBreak/>
        <w:t>74</w:t>
      </w:r>
      <w:r w:rsidRPr="00564B9D">
        <w:rPr>
          <w:rtl/>
        </w:rPr>
        <w:t>-</w:t>
      </w:r>
      <w:r w:rsidRPr="00564B9D">
        <w:rPr>
          <w:rtl/>
        </w:rPr>
        <w:tab/>
      </w:r>
      <w:r w:rsidRPr="00564B9D">
        <w:rPr>
          <w:rFonts w:hint="cs"/>
          <w:rtl/>
        </w:rPr>
        <w:t>واعتمدت حكومة برمودا "سياسة وطنية بشأن الإعاقات" وعُينت "لجنة وطنية استشارية معنية بتيسير الوصول إلى الخدمات" للإشراف عليها.</w:t>
      </w:r>
    </w:p>
    <w:p w14:paraId="3A3E2327" w14:textId="77777777" w:rsidR="00494AE4" w:rsidRPr="00564B9D" w:rsidRDefault="00494AE4" w:rsidP="00494AE4">
      <w:pPr>
        <w:pStyle w:val="HChGA"/>
        <w:rPr>
          <w:rtl/>
        </w:rPr>
      </w:pPr>
      <w:r w:rsidRPr="00564B9D">
        <w:rPr>
          <w:rtl/>
        </w:rPr>
        <w:tab/>
      </w:r>
      <w:r w:rsidRPr="00564B9D">
        <w:rPr>
          <w:rtl/>
        </w:rPr>
        <w:tab/>
      </w:r>
      <w:bookmarkStart w:id="126" w:name="_Toc123044134"/>
      <w:bookmarkStart w:id="127" w:name="_Toc123044357"/>
      <w:bookmarkStart w:id="128" w:name="_Toc123044618"/>
      <w:bookmarkStart w:id="129" w:name="_Toc123044880"/>
      <w:r w:rsidRPr="00564B9D">
        <w:rPr>
          <w:rFonts w:hint="cs"/>
          <w:rtl/>
        </w:rPr>
        <w:t>جزر كايمان</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37"/>
      </w:r>
      <w:r w:rsidRPr="00564B9D">
        <w:rPr>
          <w:b w:val="0"/>
          <w:bCs w:val="0"/>
          <w:sz w:val="22"/>
          <w:szCs w:val="22"/>
          <w:vertAlign w:val="superscript"/>
          <w:rtl/>
        </w:rPr>
        <w:t>)</w:t>
      </w:r>
      <w:bookmarkEnd w:id="126"/>
      <w:bookmarkEnd w:id="127"/>
      <w:bookmarkEnd w:id="128"/>
      <w:bookmarkEnd w:id="129"/>
      <w:r w:rsidRPr="00564B9D">
        <w:rPr>
          <w:rFonts w:hint="cs"/>
          <w:rtl/>
        </w:rPr>
        <w:t xml:space="preserve"> </w:t>
      </w:r>
    </w:p>
    <w:p w14:paraId="7CD76AE0" w14:textId="77777777" w:rsidR="00494AE4" w:rsidRPr="00564B9D" w:rsidRDefault="00494AE4" w:rsidP="00494AE4">
      <w:pPr>
        <w:pStyle w:val="HChGA"/>
        <w:rPr>
          <w:rtl/>
        </w:rPr>
      </w:pPr>
      <w:r w:rsidRPr="00564B9D">
        <w:rPr>
          <w:rtl/>
        </w:rPr>
        <w:tab/>
      </w:r>
      <w:bookmarkStart w:id="130" w:name="_Toc123044135"/>
      <w:bookmarkStart w:id="131" w:name="_Toc123044358"/>
      <w:bookmarkStart w:id="132" w:name="_Toc123044619"/>
      <w:bookmarkStart w:id="133" w:name="_Toc123044881"/>
      <w:r w:rsidRPr="00564B9D">
        <w:rPr>
          <w:rFonts w:hint="cs"/>
          <w:rtl/>
        </w:rPr>
        <w:t>أولاً</w:t>
      </w:r>
      <w:r w:rsidRPr="00564B9D">
        <w:rPr>
          <w:rtl/>
        </w:rPr>
        <w:t>-</w:t>
      </w:r>
      <w:r w:rsidRPr="00564B9D">
        <w:rPr>
          <w:rtl/>
        </w:rPr>
        <w:tab/>
      </w:r>
      <w:r w:rsidRPr="00564B9D">
        <w:rPr>
          <w:rFonts w:hint="cs"/>
          <w:rtl/>
        </w:rPr>
        <w:t>معلومات عامة</w:t>
      </w:r>
      <w:bookmarkEnd w:id="130"/>
      <w:bookmarkEnd w:id="131"/>
      <w:bookmarkEnd w:id="132"/>
      <w:bookmarkEnd w:id="133"/>
    </w:p>
    <w:p w14:paraId="6F2C202A" w14:textId="77777777" w:rsidR="00494AE4" w:rsidRPr="00564B9D" w:rsidRDefault="00494AE4" w:rsidP="00494AE4">
      <w:pPr>
        <w:pStyle w:val="H1GA"/>
        <w:rPr>
          <w:rtl/>
        </w:rPr>
      </w:pPr>
      <w:r w:rsidRPr="00564B9D">
        <w:rPr>
          <w:rtl/>
        </w:rPr>
        <w:tab/>
      </w:r>
      <w:bookmarkStart w:id="134" w:name="_Toc123044136"/>
      <w:bookmarkStart w:id="135" w:name="_Toc123044359"/>
      <w:bookmarkStart w:id="136" w:name="_Toc123044620"/>
      <w:bookmarkStart w:id="137" w:name="_Toc123044882"/>
      <w:r w:rsidRPr="00564B9D">
        <w:rPr>
          <w:rtl/>
        </w:rPr>
        <w:t>ألف-</w:t>
      </w:r>
      <w:r w:rsidRPr="00564B9D">
        <w:rPr>
          <w:rtl/>
        </w:rPr>
        <w:tab/>
        <w:t>الخصائص الديمغرافية والاقتصادية والاجتماعية والثقافية</w:t>
      </w:r>
      <w:bookmarkEnd w:id="134"/>
      <w:bookmarkEnd w:id="135"/>
      <w:bookmarkEnd w:id="136"/>
      <w:bookmarkEnd w:id="137"/>
      <w:r w:rsidRPr="00564B9D">
        <w:rPr>
          <w:rFonts w:hint="cs"/>
          <w:rtl/>
        </w:rPr>
        <w:t xml:space="preserve"> </w:t>
      </w:r>
    </w:p>
    <w:tbl>
      <w:tblPr>
        <w:bidiVisual/>
        <w:tblW w:w="8392" w:type="dxa"/>
        <w:tblInd w:w="1247" w:type="dxa"/>
        <w:tblLayout w:type="fixed"/>
        <w:tblCellMar>
          <w:right w:w="113" w:type="dxa"/>
        </w:tblCellMar>
        <w:tblLook w:val="01E0" w:firstRow="1" w:lastRow="1" w:firstColumn="1" w:lastColumn="1" w:noHBand="0" w:noVBand="0"/>
      </w:tblPr>
      <w:tblGrid>
        <w:gridCol w:w="6003"/>
        <w:gridCol w:w="2389"/>
      </w:tblGrid>
      <w:tr w:rsidR="007B5A24" w:rsidRPr="00564B9D" w14:paraId="07888DA8" w14:textId="77777777" w:rsidTr="00804944">
        <w:trPr>
          <w:trHeight w:val="240"/>
          <w:tblHeader/>
        </w:trPr>
        <w:tc>
          <w:tcPr>
            <w:tcW w:w="7304" w:type="dxa"/>
            <w:gridSpan w:val="2"/>
            <w:tcBorders>
              <w:top w:val="single" w:sz="4" w:space="0" w:color="auto"/>
              <w:bottom w:val="single" w:sz="12" w:space="0" w:color="auto"/>
            </w:tcBorders>
            <w:shd w:val="clear" w:color="auto" w:fill="auto"/>
            <w:vAlign w:val="bottom"/>
          </w:tcPr>
          <w:p w14:paraId="0ADAD0CA"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 xml:space="preserve">المؤشرات الديمغرافية </w:t>
            </w:r>
          </w:p>
        </w:tc>
      </w:tr>
      <w:tr w:rsidR="007B5A24" w:rsidRPr="00564B9D" w14:paraId="172BD4E0" w14:textId="77777777" w:rsidTr="00804944">
        <w:trPr>
          <w:trHeight w:val="240"/>
        </w:trPr>
        <w:tc>
          <w:tcPr>
            <w:tcW w:w="5225" w:type="dxa"/>
            <w:tcBorders>
              <w:top w:val="single" w:sz="12" w:space="0" w:color="auto"/>
            </w:tcBorders>
            <w:shd w:val="clear" w:color="auto" w:fill="auto"/>
          </w:tcPr>
          <w:p w14:paraId="1CAF295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حجم السكان </w:t>
            </w:r>
          </w:p>
        </w:tc>
        <w:tc>
          <w:tcPr>
            <w:tcW w:w="2079" w:type="dxa"/>
            <w:tcBorders>
              <w:top w:val="single" w:sz="12" w:space="0" w:color="auto"/>
            </w:tcBorders>
            <w:shd w:val="clear" w:color="auto" w:fill="auto"/>
          </w:tcPr>
          <w:p w14:paraId="06D0E69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914</w:t>
            </w:r>
            <w:r w:rsidRPr="00564B9D">
              <w:rPr>
                <w:sz w:val="20"/>
                <w:szCs w:val="20"/>
                <w:rtl/>
              </w:rPr>
              <w:t> </w:t>
            </w:r>
            <w:r w:rsidRPr="00564B9D">
              <w:rPr>
                <w:rFonts w:hint="cs"/>
                <w:sz w:val="20"/>
                <w:szCs w:val="20"/>
                <w:rtl/>
              </w:rPr>
              <w:t>69 (2019)</w:t>
            </w:r>
          </w:p>
        </w:tc>
      </w:tr>
      <w:tr w:rsidR="007B5A24" w:rsidRPr="00564B9D" w14:paraId="06D72F9E" w14:textId="77777777" w:rsidTr="00804944">
        <w:trPr>
          <w:trHeight w:val="240"/>
        </w:trPr>
        <w:tc>
          <w:tcPr>
            <w:tcW w:w="5225" w:type="dxa"/>
            <w:shd w:val="clear" w:color="auto" w:fill="auto"/>
          </w:tcPr>
          <w:p w14:paraId="079265E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معدل النمو السكاني </w:t>
            </w:r>
          </w:p>
        </w:tc>
        <w:tc>
          <w:tcPr>
            <w:tcW w:w="2079" w:type="dxa"/>
            <w:shd w:val="clear" w:color="auto" w:fill="auto"/>
          </w:tcPr>
          <w:p w14:paraId="165CF2B1"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6,2 في المائة </w:t>
            </w:r>
          </w:p>
        </w:tc>
      </w:tr>
      <w:tr w:rsidR="007B5A24" w:rsidRPr="00564B9D" w14:paraId="6672E686" w14:textId="77777777" w:rsidTr="00804944">
        <w:trPr>
          <w:trHeight w:val="240"/>
        </w:trPr>
        <w:tc>
          <w:tcPr>
            <w:tcW w:w="5225" w:type="dxa"/>
            <w:shd w:val="clear" w:color="auto" w:fill="auto"/>
          </w:tcPr>
          <w:p w14:paraId="084A8689"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2079" w:type="dxa"/>
            <w:shd w:val="clear" w:color="auto" w:fill="auto"/>
          </w:tcPr>
          <w:p w14:paraId="2E17E9D9"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264,7</w:t>
            </w:r>
          </w:p>
        </w:tc>
      </w:tr>
      <w:tr w:rsidR="007B5A24" w:rsidRPr="00564B9D" w14:paraId="4518CF15" w14:textId="77777777" w:rsidTr="00804944">
        <w:trPr>
          <w:trHeight w:val="240"/>
        </w:trPr>
        <w:tc>
          <w:tcPr>
            <w:tcW w:w="5225" w:type="dxa"/>
            <w:shd w:val="clear" w:color="auto" w:fill="auto"/>
          </w:tcPr>
          <w:p w14:paraId="6102817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توزيع السكان بحسب اللغة الأم</w:t>
            </w:r>
          </w:p>
        </w:tc>
        <w:tc>
          <w:tcPr>
            <w:tcW w:w="2079" w:type="dxa"/>
            <w:shd w:val="clear" w:color="auto" w:fill="auto"/>
          </w:tcPr>
          <w:p w14:paraId="382D837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11DE27F6" w14:textId="77777777" w:rsidTr="00804944">
        <w:trPr>
          <w:trHeight w:val="240"/>
        </w:trPr>
        <w:tc>
          <w:tcPr>
            <w:tcW w:w="5225" w:type="dxa"/>
            <w:shd w:val="clear" w:color="auto" w:fill="auto"/>
          </w:tcPr>
          <w:p w14:paraId="63CD3F9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توزيع السكان بحسب الديانة </w:t>
            </w:r>
          </w:p>
        </w:tc>
        <w:tc>
          <w:tcPr>
            <w:tcW w:w="2079" w:type="dxa"/>
            <w:shd w:val="clear" w:color="auto" w:fill="auto"/>
          </w:tcPr>
          <w:p w14:paraId="540D00A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36DB8ABA" w14:textId="77777777" w:rsidTr="00804944">
        <w:trPr>
          <w:trHeight w:val="240"/>
        </w:trPr>
        <w:tc>
          <w:tcPr>
            <w:tcW w:w="5225" w:type="dxa"/>
            <w:shd w:val="clear" w:color="auto" w:fill="auto"/>
          </w:tcPr>
          <w:p w14:paraId="12AFCB6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توزيع السكان بحسب الفئات الإثنية</w:t>
            </w:r>
          </w:p>
        </w:tc>
        <w:tc>
          <w:tcPr>
            <w:tcW w:w="2079" w:type="dxa"/>
            <w:shd w:val="clear" w:color="auto" w:fill="auto"/>
          </w:tcPr>
          <w:p w14:paraId="7D1C043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096A7F64" w14:textId="77777777" w:rsidTr="00804944">
        <w:trPr>
          <w:trHeight w:val="240"/>
        </w:trPr>
        <w:tc>
          <w:tcPr>
            <w:tcW w:w="5225" w:type="dxa"/>
            <w:shd w:val="clear" w:color="auto" w:fill="auto"/>
          </w:tcPr>
          <w:p w14:paraId="1F65D11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التركيب العمري للسكان </w:t>
            </w:r>
          </w:p>
        </w:tc>
        <w:tc>
          <w:tcPr>
            <w:tcW w:w="2079" w:type="dxa"/>
            <w:shd w:val="clear" w:color="auto" w:fill="auto"/>
          </w:tcPr>
          <w:p w14:paraId="20126EA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المجموع:</w:t>
            </w:r>
            <w:r w:rsidRPr="00564B9D">
              <w:rPr>
                <w:sz w:val="20"/>
                <w:szCs w:val="20"/>
                <w:rtl/>
              </w:rPr>
              <w:tab/>
            </w:r>
            <w:r w:rsidRPr="00564B9D">
              <w:rPr>
                <w:rFonts w:hint="cs"/>
                <w:sz w:val="20"/>
                <w:szCs w:val="20"/>
                <w:rtl/>
              </w:rPr>
              <w:t>914</w:t>
            </w:r>
            <w:r w:rsidRPr="00564B9D">
              <w:rPr>
                <w:sz w:val="20"/>
                <w:szCs w:val="20"/>
                <w:rtl/>
              </w:rPr>
              <w:t> </w:t>
            </w:r>
            <w:r w:rsidRPr="00564B9D">
              <w:rPr>
                <w:rFonts w:hint="cs"/>
                <w:sz w:val="20"/>
                <w:szCs w:val="20"/>
                <w:rtl/>
              </w:rPr>
              <w:t>69</w:t>
            </w:r>
          </w:p>
          <w:p w14:paraId="7E2C426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0</w:t>
            </w:r>
            <w:r w:rsidRPr="00564B9D">
              <w:rPr>
                <w:sz w:val="20"/>
                <w:szCs w:val="20"/>
                <w:rtl/>
              </w:rPr>
              <w:t>-</w:t>
            </w:r>
            <w:r w:rsidRPr="00564B9D">
              <w:rPr>
                <w:rFonts w:hint="cs"/>
                <w:sz w:val="20"/>
                <w:szCs w:val="20"/>
                <w:rtl/>
              </w:rPr>
              <w:t>14:</w:t>
            </w:r>
            <w:r w:rsidRPr="00564B9D">
              <w:rPr>
                <w:sz w:val="20"/>
                <w:szCs w:val="20"/>
                <w:rtl/>
              </w:rPr>
              <w:tab/>
            </w:r>
            <w:r w:rsidRPr="00564B9D">
              <w:rPr>
                <w:rFonts w:hint="cs"/>
                <w:sz w:val="20"/>
                <w:szCs w:val="20"/>
                <w:rtl/>
              </w:rPr>
              <w:t>652</w:t>
            </w:r>
            <w:r w:rsidRPr="00564B9D">
              <w:rPr>
                <w:sz w:val="20"/>
                <w:szCs w:val="20"/>
                <w:rtl/>
              </w:rPr>
              <w:t> </w:t>
            </w:r>
            <w:r w:rsidRPr="00564B9D">
              <w:rPr>
                <w:rFonts w:hint="cs"/>
                <w:sz w:val="20"/>
                <w:szCs w:val="20"/>
                <w:rtl/>
              </w:rPr>
              <w:t>10</w:t>
            </w:r>
          </w:p>
          <w:p w14:paraId="02FC50A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15</w:t>
            </w:r>
            <w:r w:rsidRPr="00564B9D">
              <w:rPr>
                <w:sz w:val="20"/>
                <w:szCs w:val="20"/>
                <w:rtl/>
              </w:rPr>
              <w:t>-</w:t>
            </w:r>
            <w:r w:rsidRPr="00564B9D">
              <w:rPr>
                <w:rFonts w:hint="cs"/>
                <w:sz w:val="20"/>
                <w:szCs w:val="20"/>
                <w:rtl/>
              </w:rPr>
              <w:t>24:</w:t>
            </w:r>
            <w:r w:rsidRPr="00564B9D">
              <w:rPr>
                <w:sz w:val="20"/>
                <w:szCs w:val="20"/>
                <w:rtl/>
              </w:rPr>
              <w:tab/>
            </w:r>
            <w:r w:rsidRPr="00564B9D">
              <w:rPr>
                <w:rFonts w:hint="cs"/>
                <w:sz w:val="20"/>
                <w:szCs w:val="20"/>
                <w:rtl/>
              </w:rPr>
              <w:t>250</w:t>
            </w:r>
            <w:r w:rsidRPr="00564B9D">
              <w:rPr>
                <w:sz w:val="20"/>
                <w:szCs w:val="20"/>
                <w:rtl/>
              </w:rPr>
              <w:t> </w:t>
            </w:r>
            <w:r w:rsidRPr="00564B9D">
              <w:rPr>
                <w:rFonts w:hint="cs"/>
                <w:sz w:val="20"/>
                <w:szCs w:val="20"/>
                <w:rtl/>
              </w:rPr>
              <w:t>6</w:t>
            </w:r>
          </w:p>
          <w:p w14:paraId="24AF95A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25</w:t>
            </w:r>
            <w:r w:rsidRPr="00564B9D">
              <w:rPr>
                <w:sz w:val="20"/>
                <w:szCs w:val="20"/>
                <w:rtl/>
              </w:rPr>
              <w:t>-</w:t>
            </w:r>
            <w:r w:rsidRPr="00564B9D">
              <w:rPr>
                <w:rFonts w:hint="cs"/>
                <w:sz w:val="20"/>
                <w:szCs w:val="20"/>
                <w:rtl/>
              </w:rPr>
              <w:t>34:</w:t>
            </w:r>
            <w:r w:rsidRPr="00564B9D">
              <w:rPr>
                <w:sz w:val="20"/>
                <w:szCs w:val="20"/>
                <w:rtl/>
              </w:rPr>
              <w:tab/>
            </w:r>
            <w:r w:rsidRPr="00564B9D">
              <w:rPr>
                <w:rFonts w:hint="cs"/>
                <w:sz w:val="20"/>
                <w:szCs w:val="20"/>
                <w:rtl/>
              </w:rPr>
              <w:t>877</w:t>
            </w:r>
            <w:r w:rsidRPr="00564B9D">
              <w:rPr>
                <w:sz w:val="20"/>
                <w:szCs w:val="20"/>
                <w:rtl/>
              </w:rPr>
              <w:t> </w:t>
            </w:r>
            <w:r w:rsidRPr="00564B9D">
              <w:rPr>
                <w:rFonts w:hint="cs"/>
                <w:sz w:val="20"/>
                <w:szCs w:val="20"/>
                <w:rtl/>
              </w:rPr>
              <w:t>11</w:t>
            </w:r>
          </w:p>
          <w:p w14:paraId="7F0CDFD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35</w:t>
            </w:r>
            <w:r w:rsidRPr="00564B9D">
              <w:rPr>
                <w:sz w:val="20"/>
                <w:szCs w:val="20"/>
                <w:rtl/>
              </w:rPr>
              <w:t>-</w:t>
            </w:r>
            <w:r w:rsidRPr="00564B9D">
              <w:rPr>
                <w:rFonts w:hint="cs"/>
                <w:sz w:val="20"/>
                <w:szCs w:val="20"/>
                <w:rtl/>
              </w:rPr>
              <w:t>44:</w:t>
            </w:r>
            <w:r w:rsidRPr="00564B9D">
              <w:rPr>
                <w:sz w:val="20"/>
                <w:szCs w:val="20"/>
                <w:rtl/>
              </w:rPr>
              <w:tab/>
            </w:r>
            <w:r w:rsidRPr="00564B9D">
              <w:rPr>
                <w:rFonts w:hint="cs"/>
                <w:sz w:val="20"/>
                <w:szCs w:val="20"/>
                <w:rtl/>
              </w:rPr>
              <w:t>921</w:t>
            </w:r>
            <w:r w:rsidRPr="00564B9D">
              <w:rPr>
                <w:sz w:val="20"/>
                <w:szCs w:val="20"/>
                <w:rtl/>
              </w:rPr>
              <w:t> </w:t>
            </w:r>
            <w:r w:rsidRPr="00564B9D">
              <w:rPr>
                <w:rFonts w:hint="cs"/>
                <w:sz w:val="20"/>
                <w:szCs w:val="20"/>
                <w:rtl/>
              </w:rPr>
              <w:t>13</w:t>
            </w:r>
          </w:p>
          <w:p w14:paraId="2BF51AF8"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45</w:t>
            </w:r>
            <w:r w:rsidRPr="00564B9D">
              <w:rPr>
                <w:sz w:val="20"/>
                <w:szCs w:val="20"/>
                <w:rtl/>
              </w:rPr>
              <w:t>-</w:t>
            </w:r>
            <w:r w:rsidRPr="00564B9D">
              <w:rPr>
                <w:rFonts w:hint="cs"/>
                <w:sz w:val="20"/>
                <w:szCs w:val="20"/>
                <w:rtl/>
              </w:rPr>
              <w:t>54:</w:t>
            </w:r>
            <w:r w:rsidRPr="00564B9D">
              <w:rPr>
                <w:sz w:val="20"/>
                <w:szCs w:val="20"/>
                <w:rtl/>
              </w:rPr>
              <w:tab/>
            </w:r>
            <w:r w:rsidRPr="00564B9D">
              <w:rPr>
                <w:rFonts w:hint="cs"/>
                <w:sz w:val="20"/>
                <w:szCs w:val="20"/>
                <w:rtl/>
              </w:rPr>
              <w:t>782</w:t>
            </w:r>
            <w:r w:rsidRPr="00564B9D">
              <w:rPr>
                <w:sz w:val="20"/>
                <w:szCs w:val="20"/>
                <w:rtl/>
              </w:rPr>
              <w:t> </w:t>
            </w:r>
            <w:r w:rsidRPr="00564B9D">
              <w:rPr>
                <w:rFonts w:hint="cs"/>
                <w:sz w:val="20"/>
                <w:szCs w:val="20"/>
                <w:rtl/>
              </w:rPr>
              <w:t>12</w:t>
            </w:r>
          </w:p>
          <w:p w14:paraId="75187555"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55</w:t>
            </w:r>
            <w:r w:rsidRPr="00564B9D">
              <w:rPr>
                <w:sz w:val="20"/>
                <w:szCs w:val="20"/>
                <w:rtl/>
              </w:rPr>
              <w:t>-</w:t>
            </w:r>
            <w:r w:rsidRPr="00564B9D">
              <w:rPr>
                <w:rFonts w:hint="cs"/>
                <w:sz w:val="20"/>
                <w:szCs w:val="20"/>
                <w:rtl/>
              </w:rPr>
              <w:t>64:</w:t>
            </w:r>
            <w:r w:rsidRPr="00564B9D">
              <w:rPr>
                <w:sz w:val="20"/>
                <w:szCs w:val="20"/>
                <w:rtl/>
              </w:rPr>
              <w:tab/>
            </w:r>
            <w:r w:rsidRPr="00564B9D">
              <w:rPr>
                <w:rFonts w:hint="cs"/>
                <w:sz w:val="20"/>
                <w:szCs w:val="20"/>
                <w:rtl/>
              </w:rPr>
              <w:t>269</w:t>
            </w:r>
            <w:r w:rsidRPr="00564B9D">
              <w:rPr>
                <w:sz w:val="20"/>
                <w:szCs w:val="20"/>
                <w:rtl/>
              </w:rPr>
              <w:t> </w:t>
            </w:r>
            <w:r w:rsidRPr="00564B9D">
              <w:rPr>
                <w:rFonts w:hint="cs"/>
                <w:sz w:val="20"/>
                <w:szCs w:val="20"/>
                <w:rtl/>
              </w:rPr>
              <w:t>8</w:t>
            </w:r>
          </w:p>
          <w:p w14:paraId="465A2488"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65+:</w:t>
            </w:r>
            <w:r w:rsidRPr="00564B9D">
              <w:rPr>
                <w:sz w:val="20"/>
                <w:szCs w:val="20"/>
                <w:rtl/>
              </w:rPr>
              <w:tab/>
            </w:r>
            <w:r w:rsidRPr="00564B9D">
              <w:rPr>
                <w:rFonts w:hint="cs"/>
                <w:sz w:val="20"/>
                <w:szCs w:val="20"/>
                <w:rtl/>
              </w:rPr>
              <w:t>552</w:t>
            </w:r>
            <w:r w:rsidRPr="00564B9D">
              <w:rPr>
                <w:sz w:val="20"/>
                <w:szCs w:val="20"/>
                <w:rtl/>
              </w:rPr>
              <w:t> </w:t>
            </w:r>
            <w:r w:rsidRPr="00564B9D">
              <w:rPr>
                <w:rFonts w:hint="cs"/>
                <w:sz w:val="20"/>
                <w:szCs w:val="20"/>
                <w:rtl/>
              </w:rPr>
              <w:t>5</w:t>
            </w:r>
          </w:p>
          <w:p w14:paraId="0B38498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عمر غير محدد: 610</w:t>
            </w:r>
          </w:p>
        </w:tc>
      </w:tr>
      <w:tr w:rsidR="007B5A24" w:rsidRPr="00564B9D" w14:paraId="68CF6A16" w14:textId="77777777" w:rsidTr="00804944">
        <w:trPr>
          <w:trHeight w:val="240"/>
        </w:trPr>
        <w:tc>
          <w:tcPr>
            <w:tcW w:w="5225" w:type="dxa"/>
            <w:shd w:val="clear" w:color="auto" w:fill="auto"/>
          </w:tcPr>
          <w:p w14:paraId="55A5D8A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2079" w:type="dxa"/>
            <w:shd w:val="clear" w:color="auto" w:fill="auto"/>
          </w:tcPr>
          <w:p w14:paraId="5675306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15,2 في المائة </w:t>
            </w:r>
          </w:p>
        </w:tc>
      </w:tr>
      <w:tr w:rsidR="007B5A24" w:rsidRPr="00564B9D" w14:paraId="13DBC87F" w14:textId="77777777" w:rsidTr="00804944">
        <w:trPr>
          <w:trHeight w:val="240"/>
        </w:trPr>
        <w:tc>
          <w:tcPr>
            <w:tcW w:w="5225" w:type="dxa"/>
            <w:shd w:val="clear" w:color="auto" w:fill="auto"/>
          </w:tcPr>
          <w:p w14:paraId="7825B97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2079" w:type="dxa"/>
            <w:shd w:val="clear" w:color="auto" w:fill="auto"/>
          </w:tcPr>
          <w:p w14:paraId="5A47E9A8"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7,9 في المائة</w:t>
            </w:r>
          </w:p>
        </w:tc>
      </w:tr>
      <w:tr w:rsidR="007B5A24" w:rsidRPr="00564B9D" w14:paraId="606A7C7C" w14:textId="77777777" w:rsidTr="00804944">
        <w:trPr>
          <w:trHeight w:val="240"/>
        </w:trPr>
        <w:tc>
          <w:tcPr>
            <w:tcW w:w="5225" w:type="dxa"/>
            <w:shd w:val="clear" w:color="auto" w:fill="auto"/>
          </w:tcPr>
          <w:p w14:paraId="71A76A4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2079" w:type="dxa"/>
            <w:shd w:val="clear" w:color="auto" w:fill="auto"/>
          </w:tcPr>
          <w:p w14:paraId="3EA5243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10</w:t>
            </w:r>
          </w:p>
        </w:tc>
      </w:tr>
      <w:tr w:rsidR="007B5A24" w:rsidRPr="00564B9D" w14:paraId="430A0C4E" w14:textId="77777777" w:rsidTr="00804944">
        <w:trPr>
          <w:trHeight w:val="240"/>
        </w:trPr>
        <w:tc>
          <w:tcPr>
            <w:tcW w:w="5225" w:type="dxa"/>
            <w:shd w:val="clear" w:color="auto" w:fill="auto"/>
          </w:tcPr>
          <w:p w14:paraId="70369795"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2079" w:type="dxa"/>
            <w:shd w:val="clear" w:color="auto" w:fill="auto"/>
          </w:tcPr>
          <w:p w14:paraId="7962169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7,6 (2019) </w:t>
            </w:r>
          </w:p>
        </w:tc>
      </w:tr>
      <w:tr w:rsidR="007B5A24" w:rsidRPr="00564B9D" w14:paraId="2DE5406B" w14:textId="77777777" w:rsidTr="00804944">
        <w:trPr>
          <w:trHeight w:val="240"/>
        </w:trPr>
        <w:tc>
          <w:tcPr>
            <w:tcW w:w="5225" w:type="dxa"/>
            <w:shd w:val="clear" w:color="auto" w:fill="auto"/>
          </w:tcPr>
          <w:p w14:paraId="7386D7A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2079" w:type="dxa"/>
            <w:shd w:val="clear" w:color="auto" w:fill="auto"/>
          </w:tcPr>
          <w:p w14:paraId="170B771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3</w:t>
            </w:r>
          </w:p>
        </w:tc>
      </w:tr>
      <w:tr w:rsidR="007B5A24" w:rsidRPr="00564B9D" w14:paraId="645F64D0" w14:textId="77777777" w:rsidTr="00804944">
        <w:trPr>
          <w:trHeight w:val="240"/>
        </w:trPr>
        <w:tc>
          <w:tcPr>
            <w:tcW w:w="5225" w:type="dxa"/>
            <w:shd w:val="clear" w:color="auto" w:fill="auto"/>
          </w:tcPr>
          <w:p w14:paraId="4EE51B2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ذكور</w:t>
            </w:r>
          </w:p>
        </w:tc>
        <w:tc>
          <w:tcPr>
            <w:tcW w:w="2079" w:type="dxa"/>
            <w:shd w:val="clear" w:color="auto" w:fill="auto"/>
          </w:tcPr>
          <w:p w14:paraId="464F1ED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2,1</w:t>
            </w:r>
          </w:p>
        </w:tc>
      </w:tr>
      <w:tr w:rsidR="007B5A24" w:rsidRPr="00564B9D" w14:paraId="6A5659F2" w14:textId="77777777" w:rsidTr="00804944">
        <w:trPr>
          <w:trHeight w:val="240"/>
        </w:trPr>
        <w:tc>
          <w:tcPr>
            <w:tcW w:w="5225" w:type="dxa"/>
            <w:shd w:val="clear" w:color="auto" w:fill="auto"/>
          </w:tcPr>
          <w:p w14:paraId="3AAB74A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إناث</w:t>
            </w:r>
          </w:p>
        </w:tc>
        <w:tc>
          <w:tcPr>
            <w:tcW w:w="2079" w:type="dxa"/>
            <w:shd w:val="clear" w:color="auto" w:fill="auto"/>
          </w:tcPr>
          <w:p w14:paraId="5EA7E70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1,5 </w:t>
            </w:r>
          </w:p>
        </w:tc>
      </w:tr>
      <w:tr w:rsidR="007B5A24" w:rsidRPr="00564B9D" w14:paraId="600E7F4E" w14:textId="77777777" w:rsidTr="00804944">
        <w:trPr>
          <w:trHeight w:val="240"/>
        </w:trPr>
        <w:tc>
          <w:tcPr>
            <w:tcW w:w="5225" w:type="dxa"/>
            <w:shd w:val="clear" w:color="auto" w:fill="auto"/>
          </w:tcPr>
          <w:p w14:paraId="0DC57C6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العمر المتوقع عند الولادة </w:t>
            </w:r>
          </w:p>
        </w:tc>
        <w:tc>
          <w:tcPr>
            <w:tcW w:w="2079" w:type="dxa"/>
            <w:shd w:val="clear" w:color="auto" w:fill="auto"/>
          </w:tcPr>
          <w:p w14:paraId="6C42F71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82,3</w:t>
            </w:r>
          </w:p>
        </w:tc>
      </w:tr>
      <w:tr w:rsidR="007B5A24" w:rsidRPr="00564B9D" w14:paraId="75AF7864" w14:textId="77777777" w:rsidTr="00804944">
        <w:trPr>
          <w:trHeight w:val="240"/>
        </w:trPr>
        <w:tc>
          <w:tcPr>
            <w:tcW w:w="5225" w:type="dxa"/>
            <w:shd w:val="clear" w:color="auto" w:fill="auto"/>
          </w:tcPr>
          <w:p w14:paraId="2736ABA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رجال</w:t>
            </w:r>
          </w:p>
        </w:tc>
        <w:tc>
          <w:tcPr>
            <w:tcW w:w="2079" w:type="dxa"/>
            <w:shd w:val="clear" w:color="auto" w:fill="auto"/>
          </w:tcPr>
          <w:p w14:paraId="7764EB9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79,8</w:t>
            </w:r>
          </w:p>
        </w:tc>
      </w:tr>
      <w:tr w:rsidR="007B5A24" w:rsidRPr="00564B9D" w14:paraId="3A09634C" w14:textId="77777777" w:rsidTr="00804944">
        <w:trPr>
          <w:trHeight w:val="240"/>
        </w:trPr>
        <w:tc>
          <w:tcPr>
            <w:tcW w:w="5225" w:type="dxa"/>
            <w:shd w:val="clear" w:color="auto" w:fill="auto"/>
          </w:tcPr>
          <w:p w14:paraId="67AA817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نساء </w:t>
            </w:r>
          </w:p>
        </w:tc>
        <w:tc>
          <w:tcPr>
            <w:tcW w:w="2079" w:type="dxa"/>
            <w:shd w:val="clear" w:color="auto" w:fill="auto"/>
          </w:tcPr>
          <w:p w14:paraId="1336D801"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84,7</w:t>
            </w:r>
          </w:p>
        </w:tc>
      </w:tr>
      <w:tr w:rsidR="007B5A24" w:rsidRPr="00564B9D" w14:paraId="48F5CC0B" w14:textId="77777777" w:rsidTr="00804944">
        <w:trPr>
          <w:trHeight w:val="240"/>
        </w:trPr>
        <w:tc>
          <w:tcPr>
            <w:tcW w:w="5225" w:type="dxa"/>
            <w:shd w:val="clear" w:color="auto" w:fill="auto"/>
          </w:tcPr>
          <w:p w14:paraId="153338A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2079" w:type="dxa"/>
            <w:shd w:val="clear" w:color="auto" w:fill="auto"/>
          </w:tcPr>
          <w:p w14:paraId="6910EA3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47D09A3B" w14:textId="77777777" w:rsidTr="00804944">
        <w:trPr>
          <w:trHeight w:val="240"/>
        </w:trPr>
        <w:tc>
          <w:tcPr>
            <w:tcW w:w="5225" w:type="dxa"/>
            <w:shd w:val="clear" w:color="auto" w:fill="auto"/>
          </w:tcPr>
          <w:p w14:paraId="18A1A53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متوسط حجم الأسرة المعيشية</w:t>
            </w:r>
          </w:p>
        </w:tc>
        <w:tc>
          <w:tcPr>
            <w:tcW w:w="2079" w:type="dxa"/>
            <w:shd w:val="clear" w:color="auto" w:fill="auto"/>
          </w:tcPr>
          <w:p w14:paraId="0C4B824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2,4</w:t>
            </w:r>
          </w:p>
        </w:tc>
      </w:tr>
      <w:tr w:rsidR="007B5A24" w:rsidRPr="00564B9D" w14:paraId="74CD0D6D" w14:textId="77777777" w:rsidTr="00804944">
        <w:trPr>
          <w:trHeight w:val="240"/>
        </w:trPr>
        <w:tc>
          <w:tcPr>
            <w:tcW w:w="5225" w:type="dxa"/>
            <w:tcBorders>
              <w:bottom w:val="single" w:sz="12" w:space="0" w:color="auto"/>
            </w:tcBorders>
            <w:shd w:val="clear" w:color="auto" w:fill="auto"/>
          </w:tcPr>
          <w:p w14:paraId="28B9A021"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نسبة الأسر المعيشية الوحيدة العائل</w:t>
            </w:r>
          </w:p>
        </w:tc>
        <w:tc>
          <w:tcPr>
            <w:tcW w:w="2079" w:type="dxa"/>
            <w:tcBorders>
              <w:bottom w:val="single" w:sz="12" w:space="0" w:color="auto"/>
            </w:tcBorders>
            <w:shd w:val="clear" w:color="auto" w:fill="auto"/>
          </w:tcPr>
          <w:p w14:paraId="7440CB88"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bl>
    <w:p w14:paraId="7988F386" w14:textId="77777777" w:rsidR="00494AE4" w:rsidRPr="00564B9D" w:rsidRDefault="00494AE4" w:rsidP="00777024">
      <w:pPr>
        <w:pStyle w:val="SingleTxtGA"/>
        <w:spacing w:line="20" w:lineRule="exact"/>
        <w:rPr>
          <w:sz w:val="2"/>
          <w:szCs w:val="2"/>
          <w:rtl/>
        </w:rPr>
      </w:pPr>
    </w:p>
    <w:tbl>
      <w:tblPr>
        <w:bidiVisual/>
        <w:tblW w:w="8392" w:type="dxa"/>
        <w:tblInd w:w="1247" w:type="dxa"/>
        <w:tblLayout w:type="fixed"/>
        <w:tblCellMar>
          <w:right w:w="113" w:type="dxa"/>
        </w:tblCellMar>
        <w:tblLook w:val="01E0" w:firstRow="1" w:lastRow="1" w:firstColumn="1" w:lastColumn="1" w:noHBand="0" w:noVBand="0"/>
      </w:tblPr>
      <w:tblGrid>
        <w:gridCol w:w="4951"/>
        <w:gridCol w:w="3441"/>
      </w:tblGrid>
      <w:tr w:rsidR="007B5A24" w:rsidRPr="00564B9D" w14:paraId="3235D494" w14:textId="77777777" w:rsidTr="00804944">
        <w:trPr>
          <w:trHeight w:val="240"/>
          <w:tblHeader/>
        </w:trPr>
        <w:tc>
          <w:tcPr>
            <w:tcW w:w="7162" w:type="dxa"/>
            <w:gridSpan w:val="2"/>
            <w:tcBorders>
              <w:top w:val="single" w:sz="4" w:space="0" w:color="auto"/>
              <w:bottom w:val="single" w:sz="12" w:space="0" w:color="auto"/>
            </w:tcBorders>
            <w:shd w:val="clear" w:color="auto" w:fill="auto"/>
            <w:vAlign w:val="bottom"/>
          </w:tcPr>
          <w:p w14:paraId="15F34F4C"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lastRenderedPageBreak/>
              <w:t>المؤشرات الاجتماعية والاقتصادية والثقافية</w:t>
            </w:r>
          </w:p>
        </w:tc>
      </w:tr>
      <w:tr w:rsidR="007B5A24" w:rsidRPr="00564B9D" w14:paraId="2F491C72" w14:textId="77777777" w:rsidTr="00804944">
        <w:trPr>
          <w:trHeight w:val="240"/>
        </w:trPr>
        <w:tc>
          <w:tcPr>
            <w:tcW w:w="4225" w:type="dxa"/>
            <w:tcBorders>
              <w:top w:val="single" w:sz="12" w:space="0" w:color="auto"/>
            </w:tcBorders>
            <w:shd w:val="clear" w:color="auto" w:fill="auto"/>
          </w:tcPr>
          <w:p w14:paraId="5628ED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2937" w:type="dxa"/>
            <w:tcBorders>
              <w:top w:val="single" w:sz="12" w:space="0" w:color="auto"/>
            </w:tcBorders>
            <w:shd w:val="clear" w:color="auto" w:fill="auto"/>
          </w:tcPr>
          <w:p w14:paraId="7B2E5ED6"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514"/>
              </w:tabs>
              <w:spacing w:before="40" w:after="40" w:line="280" w:lineRule="exact"/>
              <w:ind w:left="0" w:right="0"/>
              <w:rPr>
                <w:sz w:val="20"/>
                <w:szCs w:val="20"/>
                <w:rtl/>
              </w:rPr>
            </w:pPr>
            <w:r w:rsidRPr="00564B9D">
              <w:rPr>
                <w:rFonts w:hint="cs"/>
                <w:sz w:val="20"/>
                <w:szCs w:val="20"/>
                <w:rtl/>
              </w:rPr>
              <w:t>الغذاء</w:t>
            </w:r>
            <w:r w:rsidRPr="00564B9D">
              <w:rPr>
                <w:sz w:val="20"/>
                <w:szCs w:val="20"/>
                <w:rtl/>
              </w:rPr>
              <w:tab/>
            </w:r>
            <w:r w:rsidRPr="00564B9D">
              <w:rPr>
                <w:rFonts w:hint="cs"/>
                <w:sz w:val="20"/>
                <w:szCs w:val="20"/>
                <w:rtl/>
              </w:rPr>
              <w:t xml:space="preserve">- </w:t>
            </w:r>
            <w:r w:rsidRPr="00564B9D">
              <w:rPr>
                <w:sz w:val="20"/>
                <w:szCs w:val="20"/>
                <w:rtl/>
              </w:rPr>
              <w:tab/>
            </w:r>
            <w:r w:rsidRPr="00564B9D">
              <w:rPr>
                <w:rFonts w:hint="cs"/>
                <w:sz w:val="20"/>
                <w:szCs w:val="20"/>
                <w:rtl/>
              </w:rPr>
              <w:t>66,1 في الألف</w:t>
            </w:r>
          </w:p>
          <w:p w14:paraId="3CF93A6B"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514"/>
              </w:tabs>
              <w:spacing w:before="40" w:after="40" w:line="280" w:lineRule="exact"/>
              <w:ind w:left="0" w:right="0"/>
              <w:rPr>
                <w:sz w:val="20"/>
                <w:szCs w:val="20"/>
                <w:rtl/>
              </w:rPr>
            </w:pPr>
            <w:r w:rsidRPr="00564B9D">
              <w:rPr>
                <w:rFonts w:hint="cs"/>
                <w:sz w:val="20"/>
                <w:szCs w:val="20"/>
                <w:rtl/>
              </w:rPr>
              <w:t>الإسكان</w:t>
            </w:r>
            <w:r w:rsidRPr="00564B9D">
              <w:rPr>
                <w:sz w:val="20"/>
                <w:szCs w:val="20"/>
                <w:rtl/>
              </w:rPr>
              <w:tab/>
              <w:t>-</w:t>
            </w:r>
            <w:r w:rsidRPr="00564B9D">
              <w:rPr>
                <w:sz w:val="20"/>
                <w:szCs w:val="20"/>
                <w:rtl/>
              </w:rPr>
              <w:tab/>
            </w:r>
            <w:r w:rsidRPr="00564B9D">
              <w:rPr>
                <w:rFonts w:hint="cs"/>
                <w:sz w:val="20"/>
                <w:szCs w:val="20"/>
                <w:rtl/>
              </w:rPr>
              <w:t>334,5 في الألف</w:t>
            </w:r>
          </w:p>
          <w:p w14:paraId="4042EC52"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514"/>
              </w:tabs>
              <w:spacing w:before="40" w:after="40" w:line="280" w:lineRule="exact"/>
              <w:ind w:left="0" w:right="0"/>
              <w:rPr>
                <w:sz w:val="20"/>
                <w:szCs w:val="20"/>
                <w:rtl/>
              </w:rPr>
            </w:pPr>
            <w:r w:rsidRPr="00564B9D">
              <w:rPr>
                <w:rFonts w:hint="cs"/>
                <w:sz w:val="20"/>
                <w:szCs w:val="20"/>
                <w:rtl/>
              </w:rPr>
              <w:t>الصحة</w:t>
            </w:r>
            <w:r w:rsidRPr="00564B9D">
              <w:rPr>
                <w:sz w:val="20"/>
                <w:szCs w:val="20"/>
                <w:rtl/>
              </w:rPr>
              <w:tab/>
              <w:t>-</w:t>
            </w:r>
            <w:r w:rsidRPr="00564B9D">
              <w:rPr>
                <w:sz w:val="20"/>
                <w:szCs w:val="20"/>
                <w:rtl/>
              </w:rPr>
              <w:tab/>
            </w:r>
            <w:r w:rsidRPr="00564B9D">
              <w:rPr>
                <w:rFonts w:hint="cs"/>
                <w:sz w:val="20"/>
                <w:szCs w:val="20"/>
                <w:rtl/>
              </w:rPr>
              <w:t>20,9 في الألف</w:t>
            </w:r>
          </w:p>
          <w:p w14:paraId="6270CA46"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514"/>
              </w:tabs>
              <w:spacing w:before="40" w:after="40" w:line="280" w:lineRule="exact"/>
              <w:ind w:left="0" w:right="0"/>
              <w:rPr>
                <w:sz w:val="20"/>
                <w:szCs w:val="20"/>
                <w:rtl/>
              </w:rPr>
            </w:pPr>
            <w:r w:rsidRPr="00564B9D">
              <w:rPr>
                <w:rFonts w:hint="cs"/>
                <w:sz w:val="20"/>
                <w:szCs w:val="20"/>
                <w:rtl/>
              </w:rPr>
              <w:t>التعليم</w:t>
            </w:r>
            <w:r w:rsidRPr="00564B9D">
              <w:rPr>
                <w:sz w:val="20"/>
                <w:szCs w:val="20"/>
                <w:rtl/>
              </w:rPr>
              <w:tab/>
              <w:t>-</w:t>
            </w:r>
            <w:r w:rsidRPr="00564B9D">
              <w:rPr>
                <w:sz w:val="20"/>
                <w:szCs w:val="20"/>
                <w:rtl/>
              </w:rPr>
              <w:tab/>
            </w:r>
            <w:r w:rsidRPr="00564B9D">
              <w:rPr>
                <w:rFonts w:hint="cs"/>
                <w:sz w:val="20"/>
                <w:szCs w:val="20"/>
                <w:rtl/>
              </w:rPr>
              <w:t>38,2 في الألف</w:t>
            </w:r>
          </w:p>
          <w:p w14:paraId="1C0CBA0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فترة الأساس المرجعية = أيلول/سبتمبر 2016</w:t>
            </w:r>
          </w:p>
        </w:tc>
      </w:tr>
      <w:tr w:rsidR="007B5A24" w:rsidRPr="00564B9D" w14:paraId="2AAABCB9" w14:textId="77777777" w:rsidTr="00804944">
        <w:trPr>
          <w:trHeight w:val="240"/>
        </w:trPr>
        <w:tc>
          <w:tcPr>
            <w:tcW w:w="4225" w:type="dxa"/>
            <w:shd w:val="clear" w:color="auto" w:fill="auto"/>
          </w:tcPr>
          <w:p w14:paraId="22D517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2937" w:type="dxa"/>
            <w:shd w:val="clear" w:color="auto" w:fill="auto"/>
          </w:tcPr>
          <w:p w14:paraId="6404E3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2446C60" w14:textId="77777777" w:rsidTr="00804944">
        <w:trPr>
          <w:trHeight w:val="240"/>
        </w:trPr>
        <w:tc>
          <w:tcPr>
            <w:tcW w:w="4225" w:type="dxa"/>
            <w:shd w:val="clear" w:color="auto" w:fill="auto"/>
          </w:tcPr>
          <w:p w14:paraId="7316C2F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2937" w:type="dxa"/>
            <w:shd w:val="clear" w:color="auto" w:fill="auto"/>
          </w:tcPr>
          <w:p w14:paraId="4B41B1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0FD9167" w14:textId="77777777" w:rsidTr="00804944">
        <w:trPr>
          <w:trHeight w:val="240"/>
        </w:trPr>
        <w:tc>
          <w:tcPr>
            <w:tcW w:w="4225" w:type="dxa"/>
            <w:shd w:val="clear" w:color="auto" w:fill="auto"/>
          </w:tcPr>
          <w:p w14:paraId="05FE5A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2937" w:type="dxa"/>
            <w:shd w:val="clear" w:color="auto" w:fill="auto"/>
          </w:tcPr>
          <w:p w14:paraId="09E92A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2015 جيني = 0,3779</w:t>
            </w:r>
          </w:p>
        </w:tc>
      </w:tr>
      <w:tr w:rsidR="007B5A24" w:rsidRPr="00564B9D" w14:paraId="65CB4CF0" w14:textId="77777777" w:rsidTr="00804944">
        <w:trPr>
          <w:trHeight w:val="240"/>
        </w:trPr>
        <w:tc>
          <w:tcPr>
            <w:tcW w:w="4225" w:type="dxa"/>
            <w:shd w:val="clear" w:color="auto" w:fill="auto"/>
          </w:tcPr>
          <w:p w14:paraId="2ABFED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2937" w:type="dxa"/>
            <w:shd w:val="clear" w:color="auto" w:fill="auto"/>
          </w:tcPr>
          <w:p w14:paraId="201522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00A2295" w14:textId="77777777" w:rsidTr="00804944">
        <w:trPr>
          <w:trHeight w:val="240"/>
        </w:trPr>
        <w:tc>
          <w:tcPr>
            <w:tcW w:w="4225" w:type="dxa"/>
            <w:shd w:val="clear" w:color="auto" w:fill="auto"/>
          </w:tcPr>
          <w:p w14:paraId="435384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2937" w:type="dxa"/>
            <w:shd w:val="clear" w:color="auto" w:fill="auto"/>
          </w:tcPr>
          <w:p w14:paraId="7602AF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2011 - 5,1</w:t>
            </w:r>
          </w:p>
        </w:tc>
      </w:tr>
      <w:tr w:rsidR="007B5A24" w:rsidRPr="00564B9D" w14:paraId="17669E82" w14:textId="77777777" w:rsidTr="00804944">
        <w:trPr>
          <w:trHeight w:val="240"/>
        </w:trPr>
        <w:tc>
          <w:tcPr>
            <w:tcW w:w="4225" w:type="dxa"/>
            <w:shd w:val="clear" w:color="auto" w:fill="auto"/>
          </w:tcPr>
          <w:p w14:paraId="7FDDA38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اللاتي في سن الحمل ويستخدمن وسائل منع الحمل أو اللاتي يستخدم شركاؤهن وسائل منع الحمل </w:t>
            </w:r>
          </w:p>
        </w:tc>
        <w:tc>
          <w:tcPr>
            <w:tcW w:w="2937" w:type="dxa"/>
            <w:shd w:val="clear" w:color="auto" w:fill="auto"/>
          </w:tcPr>
          <w:p w14:paraId="74D7D72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7BC2D77" w14:textId="77777777" w:rsidTr="00804944">
        <w:trPr>
          <w:trHeight w:val="240"/>
        </w:trPr>
        <w:tc>
          <w:tcPr>
            <w:tcW w:w="4225" w:type="dxa"/>
            <w:shd w:val="clear" w:color="auto" w:fill="auto"/>
          </w:tcPr>
          <w:p w14:paraId="56DBAD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2937" w:type="dxa"/>
            <w:shd w:val="clear" w:color="auto" w:fill="auto"/>
          </w:tcPr>
          <w:p w14:paraId="44AA63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468A035" w14:textId="77777777" w:rsidTr="00804944">
        <w:trPr>
          <w:trHeight w:val="240"/>
        </w:trPr>
        <w:tc>
          <w:tcPr>
            <w:tcW w:w="4225" w:type="dxa"/>
            <w:shd w:val="clear" w:color="auto" w:fill="auto"/>
          </w:tcPr>
          <w:p w14:paraId="6929073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2937" w:type="dxa"/>
            <w:shd w:val="clear" w:color="auto" w:fill="auto"/>
          </w:tcPr>
          <w:p w14:paraId="6607CD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C1CC5B3" w14:textId="77777777" w:rsidTr="00804944">
        <w:trPr>
          <w:trHeight w:val="240"/>
        </w:trPr>
        <w:tc>
          <w:tcPr>
            <w:tcW w:w="4225" w:type="dxa"/>
            <w:shd w:val="clear" w:color="auto" w:fill="auto"/>
          </w:tcPr>
          <w:p w14:paraId="4CD701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2937" w:type="dxa"/>
            <w:shd w:val="clear" w:color="auto" w:fill="auto"/>
          </w:tcPr>
          <w:p w14:paraId="6F69E2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196BF76" w14:textId="77777777" w:rsidTr="00804944">
        <w:trPr>
          <w:trHeight w:val="240"/>
        </w:trPr>
        <w:tc>
          <w:tcPr>
            <w:tcW w:w="4225" w:type="dxa"/>
            <w:shd w:val="clear" w:color="auto" w:fill="auto"/>
          </w:tcPr>
          <w:p w14:paraId="06D930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2937" w:type="dxa"/>
            <w:shd w:val="clear" w:color="auto" w:fill="auto"/>
          </w:tcPr>
          <w:p w14:paraId="5521D6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rFonts w:hint="cs"/>
                <w:sz w:val="20"/>
                <w:szCs w:val="20"/>
                <w:rtl/>
              </w:rPr>
              <w:t>1-</w:t>
            </w:r>
            <w:r w:rsidRPr="00564B9D">
              <w:rPr>
                <w:sz w:val="20"/>
                <w:szCs w:val="20"/>
                <w:rtl/>
              </w:rPr>
              <w:tab/>
            </w:r>
            <w:r w:rsidRPr="00564B9D">
              <w:rPr>
                <w:rFonts w:hint="cs"/>
                <w:sz w:val="20"/>
                <w:szCs w:val="20"/>
                <w:rtl/>
              </w:rPr>
              <w:t>أمراض الجهاز الدموي</w:t>
            </w:r>
          </w:p>
          <w:p w14:paraId="0E3291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rFonts w:hint="cs"/>
                <w:sz w:val="20"/>
                <w:szCs w:val="20"/>
                <w:rtl/>
              </w:rPr>
              <w:t>2</w:t>
            </w:r>
            <w:r w:rsidRPr="00564B9D">
              <w:rPr>
                <w:sz w:val="20"/>
                <w:szCs w:val="20"/>
                <w:rtl/>
              </w:rPr>
              <w:t>-</w:t>
            </w:r>
            <w:r w:rsidRPr="00564B9D">
              <w:rPr>
                <w:sz w:val="20"/>
                <w:szCs w:val="20"/>
                <w:rtl/>
              </w:rPr>
              <w:tab/>
            </w:r>
            <w:r w:rsidRPr="00564B9D">
              <w:rPr>
                <w:rFonts w:hint="cs"/>
                <w:sz w:val="20"/>
                <w:szCs w:val="20"/>
                <w:rtl/>
              </w:rPr>
              <w:t>الأورام الخبيثة</w:t>
            </w:r>
          </w:p>
          <w:p w14:paraId="45127C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rFonts w:hint="cs"/>
                <w:sz w:val="20"/>
                <w:szCs w:val="20"/>
                <w:rtl/>
              </w:rPr>
              <w:t>3</w:t>
            </w:r>
            <w:r w:rsidRPr="00564B9D">
              <w:rPr>
                <w:sz w:val="20"/>
                <w:szCs w:val="20"/>
                <w:rtl/>
              </w:rPr>
              <w:t>-</w:t>
            </w:r>
            <w:r w:rsidRPr="00564B9D">
              <w:rPr>
                <w:sz w:val="20"/>
                <w:szCs w:val="20"/>
                <w:rtl/>
              </w:rPr>
              <w:tab/>
              <w:t>أمراض الغدد الصماء والتغذية والتمثيل الغذائي</w:t>
            </w:r>
          </w:p>
          <w:p w14:paraId="713CB4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rFonts w:hint="cs"/>
                <w:sz w:val="20"/>
                <w:szCs w:val="20"/>
                <w:rtl/>
              </w:rPr>
              <w:t>4</w:t>
            </w:r>
            <w:r w:rsidRPr="00564B9D">
              <w:rPr>
                <w:sz w:val="20"/>
                <w:szCs w:val="20"/>
                <w:rtl/>
              </w:rPr>
              <w:t>-</w:t>
            </w:r>
            <w:r w:rsidRPr="00564B9D">
              <w:rPr>
                <w:sz w:val="20"/>
                <w:szCs w:val="20"/>
                <w:rtl/>
              </w:rPr>
              <w:tab/>
            </w:r>
            <w:r w:rsidRPr="00564B9D">
              <w:rPr>
                <w:rFonts w:hint="cs"/>
                <w:sz w:val="20"/>
                <w:szCs w:val="20"/>
                <w:rtl/>
              </w:rPr>
              <w:t>أسباب خارجية</w:t>
            </w:r>
          </w:p>
          <w:p w14:paraId="40E638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rFonts w:hint="cs"/>
                <w:sz w:val="20"/>
                <w:szCs w:val="20"/>
                <w:rtl/>
              </w:rPr>
              <w:t>5</w:t>
            </w:r>
            <w:r w:rsidRPr="00564B9D">
              <w:rPr>
                <w:sz w:val="20"/>
                <w:szCs w:val="20"/>
                <w:rtl/>
              </w:rPr>
              <w:t>-</w:t>
            </w:r>
            <w:r w:rsidRPr="00564B9D">
              <w:rPr>
                <w:sz w:val="20"/>
                <w:szCs w:val="20"/>
                <w:rtl/>
              </w:rPr>
              <w:tab/>
            </w:r>
            <w:r w:rsidRPr="00564B9D">
              <w:rPr>
                <w:rFonts w:hint="cs"/>
                <w:sz w:val="20"/>
                <w:szCs w:val="20"/>
                <w:rtl/>
              </w:rPr>
              <w:t>أمراض الجهاز التنفسي</w:t>
            </w:r>
          </w:p>
          <w:p w14:paraId="5B0D57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rFonts w:hint="cs"/>
                <w:sz w:val="20"/>
                <w:szCs w:val="20"/>
                <w:rtl/>
              </w:rPr>
              <w:t>6</w:t>
            </w:r>
            <w:r w:rsidRPr="00564B9D">
              <w:rPr>
                <w:sz w:val="20"/>
                <w:szCs w:val="20"/>
                <w:rtl/>
              </w:rPr>
              <w:t>-</w:t>
            </w:r>
            <w:r w:rsidRPr="00564B9D">
              <w:rPr>
                <w:sz w:val="20"/>
                <w:szCs w:val="20"/>
                <w:rtl/>
              </w:rPr>
              <w:tab/>
            </w:r>
            <w:r w:rsidRPr="00564B9D">
              <w:rPr>
                <w:rFonts w:hint="cs"/>
                <w:sz w:val="20"/>
                <w:szCs w:val="20"/>
                <w:rtl/>
              </w:rPr>
              <w:t>أمراض الجهاز العصبي</w:t>
            </w:r>
          </w:p>
          <w:p w14:paraId="29D9EC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sz w:val="20"/>
                <w:szCs w:val="20"/>
                <w:rtl/>
              </w:rPr>
              <w:t>7-</w:t>
            </w:r>
            <w:r w:rsidRPr="00564B9D">
              <w:rPr>
                <w:sz w:val="20"/>
                <w:szCs w:val="20"/>
                <w:rtl/>
              </w:rPr>
              <w:tab/>
              <w:t>الأمراض المعدية والطفيلية</w:t>
            </w:r>
          </w:p>
          <w:p w14:paraId="28473D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sz w:val="20"/>
                <w:szCs w:val="20"/>
                <w:rtl/>
              </w:rPr>
              <w:t>8-</w:t>
            </w:r>
            <w:r w:rsidRPr="00564B9D">
              <w:rPr>
                <w:sz w:val="20"/>
                <w:szCs w:val="20"/>
                <w:rtl/>
              </w:rPr>
              <w:tab/>
              <w:t>أمراض الجهاز الهضمي</w:t>
            </w:r>
          </w:p>
          <w:p w14:paraId="500434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sz w:val="20"/>
                <w:szCs w:val="20"/>
                <w:rtl/>
              </w:rPr>
              <w:t>9-</w:t>
            </w:r>
            <w:r w:rsidRPr="00564B9D">
              <w:rPr>
                <w:sz w:val="20"/>
                <w:szCs w:val="20"/>
                <w:rtl/>
              </w:rPr>
              <w:tab/>
              <w:t>أمراض الجهاز البولي التناسلي</w:t>
            </w:r>
          </w:p>
          <w:p w14:paraId="4C6E7E8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30" w:right="0" w:hanging="430"/>
              <w:rPr>
                <w:sz w:val="20"/>
                <w:szCs w:val="20"/>
                <w:rtl/>
              </w:rPr>
            </w:pPr>
            <w:r w:rsidRPr="00564B9D">
              <w:rPr>
                <w:sz w:val="20"/>
                <w:szCs w:val="20"/>
                <w:rtl/>
              </w:rPr>
              <w:t>10-</w:t>
            </w:r>
            <w:r w:rsidRPr="00564B9D">
              <w:rPr>
                <w:sz w:val="20"/>
                <w:szCs w:val="20"/>
                <w:rtl/>
              </w:rPr>
              <w:tab/>
              <w:t>شروط معينة تنشأ في الفترة المحيطة بالولادة</w:t>
            </w:r>
          </w:p>
          <w:p w14:paraId="45F8B72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كما في عام </w:t>
            </w:r>
            <w:r w:rsidRPr="00564B9D">
              <w:rPr>
                <w:sz w:val="20"/>
                <w:szCs w:val="20"/>
                <w:rtl/>
              </w:rPr>
              <w:t>2018</w:t>
            </w:r>
          </w:p>
        </w:tc>
      </w:tr>
      <w:tr w:rsidR="007B5A24" w:rsidRPr="00564B9D" w14:paraId="041EA433" w14:textId="77777777" w:rsidTr="00804944">
        <w:trPr>
          <w:trHeight w:val="240"/>
        </w:trPr>
        <w:tc>
          <w:tcPr>
            <w:tcW w:w="4225" w:type="dxa"/>
            <w:shd w:val="clear" w:color="auto" w:fill="auto"/>
          </w:tcPr>
          <w:p w14:paraId="3F3BF4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2937" w:type="dxa"/>
            <w:shd w:val="clear" w:color="auto" w:fill="auto"/>
          </w:tcPr>
          <w:p w14:paraId="7A1EA14B" w14:textId="5B2CD833"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من 5 إلى </w:t>
            </w:r>
            <w:r w:rsidR="00D166C2" w:rsidRPr="00564B9D">
              <w:rPr>
                <w:rFonts w:hint="cs"/>
                <w:sz w:val="20"/>
                <w:szCs w:val="20"/>
                <w:rtl/>
              </w:rPr>
              <w:t xml:space="preserve">17 </w:t>
            </w:r>
            <w:r w:rsidRPr="00564B9D">
              <w:rPr>
                <w:rFonts w:hint="cs"/>
                <w:sz w:val="20"/>
                <w:szCs w:val="20"/>
                <w:rtl/>
              </w:rPr>
              <w:t>سنة - 92 في المائة (2019)</w:t>
            </w:r>
          </w:p>
        </w:tc>
      </w:tr>
      <w:tr w:rsidR="007B5A24" w:rsidRPr="00564B9D" w14:paraId="063D7F69" w14:textId="77777777" w:rsidTr="00804944">
        <w:trPr>
          <w:trHeight w:val="240"/>
        </w:trPr>
        <w:tc>
          <w:tcPr>
            <w:tcW w:w="4225" w:type="dxa"/>
            <w:shd w:val="clear" w:color="auto" w:fill="auto"/>
          </w:tcPr>
          <w:p w14:paraId="268DE6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2937" w:type="dxa"/>
            <w:shd w:val="clear" w:color="auto" w:fill="auto"/>
          </w:tcPr>
          <w:p w14:paraId="2CBDBE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178E660" w14:textId="77777777" w:rsidTr="00804944">
        <w:trPr>
          <w:trHeight w:val="240"/>
        </w:trPr>
        <w:tc>
          <w:tcPr>
            <w:tcW w:w="4225" w:type="dxa"/>
            <w:shd w:val="clear" w:color="auto" w:fill="auto"/>
          </w:tcPr>
          <w:p w14:paraId="004D8F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2937" w:type="dxa"/>
            <w:shd w:val="clear" w:color="auto" w:fill="auto"/>
          </w:tcPr>
          <w:p w14:paraId="3A8314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المدارس الحكومية: 13,1</w:t>
            </w:r>
          </w:p>
          <w:p w14:paraId="51C945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جميع المدارس: 12,6</w:t>
            </w:r>
          </w:p>
        </w:tc>
      </w:tr>
      <w:tr w:rsidR="007B5A24" w:rsidRPr="00564B9D" w14:paraId="67E26A0F" w14:textId="77777777" w:rsidTr="00804944">
        <w:trPr>
          <w:trHeight w:val="240"/>
        </w:trPr>
        <w:tc>
          <w:tcPr>
            <w:tcW w:w="4225" w:type="dxa"/>
            <w:shd w:val="clear" w:color="auto" w:fill="auto"/>
          </w:tcPr>
          <w:p w14:paraId="062AB5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الإمام بالقراءة والكتابة بين البالغين</w:t>
            </w:r>
          </w:p>
        </w:tc>
        <w:tc>
          <w:tcPr>
            <w:tcW w:w="2937" w:type="dxa"/>
            <w:shd w:val="clear" w:color="auto" w:fill="auto"/>
          </w:tcPr>
          <w:p w14:paraId="2F8DA43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7C71986" w14:textId="77777777" w:rsidTr="00804944">
        <w:trPr>
          <w:trHeight w:val="240"/>
        </w:trPr>
        <w:tc>
          <w:tcPr>
            <w:tcW w:w="4225" w:type="dxa"/>
            <w:shd w:val="clear" w:color="auto" w:fill="auto"/>
          </w:tcPr>
          <w:p w14:paraId="740BC0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2937" w:type="dxa"/>
            <w:shd w:val="clear" w:color="auto" w:fill="auto"/>
          </w:tcPr>
          <w:p w14:paraId="01E8B7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3,5 في المائة</w:t>
            </w:r>
          </w:p>
        </w:tc>
      </w:tr>
      <w:tr w:rsidR="007B5A24" w:rsidRPr="00564B9D" w14:paraId="02D1B039" w14:textId="77777777" w:rsidTr="00804944">
        <w:trPr>
          <w:trHeight w:val="240"/>
        </w:trPr>
        <w:tc>
          <w:tcPr>
            <w:tcW w:w="4225" w:type="dxa"/>
            <w:shd w:val="clear" w:color="auto" w:fill="auto"/>
          </w:tcPr>
          <w:p w14:paraId="0C2B19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2937" w:type="dxa"/>
            <w:shd w:val="clear" w:color="auto" w:fill="auto"/>
          </w:tcPr>
          <w:p w14:paraId="6C6BE8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CF7AC74" w14:textId="77777777" w:rsidTr="00804944">
        <w:trPr>
          <w:trHeight w:val="240"/>
        </w:trPr>
        <w:tc>
          <w:tcPr>
            <w:tcW w:w="4225" w:type="dxa"/>
            <w:shd w:val="clear" w:color="auto" w:fill="auto"/>
          </w:tcPr>
          <w:p w14:paraId="41621B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معدلات المشاركة في العمل </w:t>
            </w:r>
          </w:p>
        </w:tc>
        <w:tc>
          <w:tcPr>
            <w:tcW w:w="2937" w:type="dxa"/>
            <w:shd w:val="clear" w:color="auto" w:fill="auto"/>
          </w:tcPr>
          <w:p w14:paraId="6BD532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82,8 في المائة </w:t>
            </w:r>
          </w:p>
        </w:tc>
      </w:tr>
      <w:tr w:rsidR="007B5A24" w:rsidRPr="00564B9D" w14:paraId="452C838A" w14:textId="77777777" w:rsidTr="00804944">
        <w:trPr>
          <w:trHeight w:val="240"/>
        </w:trPr>
        <w:tc>
          <w:tcPr>
            <w:tcW w:w="4225" w:type="dxa"/>
            <w:shd w:val="clear" w:color="auto" w:fill="auto"/>
          </w:tcPr>
          <w:p w14:paraId="749FE1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2937" w:type="dxa"/>
            <w:shd w:val="clear" w:color="auto" w:fill="auto"/>
          </w:tcPr>
          <w:p w14:paraId="3494A2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E5D084E" w14:textId="77777777" w:rsidTr="00804944">
        <w:trPr>
          <w:trHeight w:val="240"/>
        </w:trPr>
        <w:tc>
          <w:tcPr>
            <w:tcW w:w="4225" w:type="dxa"/>
            <w:shd w:val="clear" w:color="auto" w:fill="auto"/>
          </w:tcPr>
          <w:p w14:paraId="57BF25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2937" w:type="dxa"/>
            <w:shd w:val="clear" w:color="auto" w:fill="auto"/>
          </w:tcPr>
          <w:p w14:paraId="5B029D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693,8</w:t>
            </w:r>
            <w:r w:rsidRPr="00564B9D">
              <w:rPr>
                <w:sz w:val="20"/>
                <w:szCs w:val="20"/>
                <w:rtl/>
              </w:rPr>
              <w:t> </w:t>
            </w:r>
            <w:r w:rsidRPr="00564B9D">
              <w:rPr>
                <w:rFonts w:hint="cs"/>
                <w:sz w:val="20"/>
                <w:szCs w:val="20"/>
                <w:rtl/>
              </w:rPr>
              <w:t>73 دولار كايماني (تقديرات عام 2019)</w:t>
            </w:r>
          </w:p>
        </w:tc>
      </w:tr>
      <w:tr w:rsidR="007B5A24" w:rsidRPr="00564B9D" w14:paraId="33702EC3" w14:textId="77777777" w:rsidTr="00804944">
        <w:trPr>
          <w:trHeight w:val="240"/>
        </w:trPr>
        <w:tc>
          <w:tcPr>
            <w:tcW w:w="4225" w:type="dxa"/>
            <w:shd w:val="clear" w:color="auto" w:fill="auto"/>
          </w:tcPr>
          <w:p w14:paraId="22145F4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الناتج المحلي الإجمالي بالبلايين</w:t>
            </w:r>
          </w:p>
        </w:tc>
        <w:tc>
          <w:tcPr>
            <w:tcW w:w="2937" w:type="dxa"/>
            <w:shd w:val="clear" w:color="auto" w:fill="auto"/>
          </w:tcPr>
          <w:p w14:paraId="02989A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4,48 دولار كايماني</w:t>
            </w:r>
          </w:p>
        </w:tc>
      </w:tr>
      <w:tr w:rsidR="007B5A24" w:rsidRPr="00564B9D" w14:paraId="348150B1" w14:textId="77777777" w:rsidTr="00804944">
        <w:trPr>
          <w:trHeight w:val="240"/>
        </w:trPr>
        <w:tc>
          <w:tcPr>
            <w:tcW w:w="4225" w:type="dxa"/>
            <w:shd w:val="clear" w:color="auto" w:fill="auto"/>
          </w:tcPr>
          <w:p w14:paraId="71BEAB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2937" w:type="dxa"/>
            <w:shd w:val="clear" w:color="auto" w:fill="auto"/>
          </w:tcPr>
          <w:p w14:paraId="3AC1B6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3,2 في المائة</w:t>
            </w:r>
          </w:p>
        </w:tc>
      </w:tr>
      <w:tr w:rsidR="007B5A24" w:rsidRPr="00564B9D" w14:paraId="3FEA3C5C" w14:textId="77777777" w:rsidTr="00804944">
        <w:trPr>
          <w:trHeight w:val="240"/>
        </w:trPr>
        <w:tc>
          <w:tcPr>
            <w:tcW w:w="4225" w:type="dxa"/>
            <w:shd w:val="clear" w:color="auto" w:fill="auto"/>
          </w:tcPr>
          <w:p w14:paraId="600153E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lastRenderedPageBreak/>
              <w:t>الدخل القومي الإجمالي بالبلايين</w:t>
            </w:r>
          </w:p>
        </w:tc>
        <w:tc>
          <w:tcPr>
            <w:tcW w:w="2937" w:type="dxa"/>
            <w:shd w:val="clear" w:color="auto" w:fill="auto"/>
          </w:tcPr>
          <w:p w14:paraId="2DFC378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0AEAAE9C" w14:textId="77777777" w:rsidTr="00804944">
        <w:trPr>
          <w:trHeight w:val="240"/>
        </w:trPr>
        <w:tc>
          <w:tcPr>
            <w:tcW w:w="4225" w:type="dxa"/>
            <w:shd w:val="clear" w:color="auto" w:fill="auto"/>
          </w:tcPr>
          <w:p w14:paraId="181A6FD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مؤشر أسعار الاستهلاك (نيسان/أبريل - حزيران/يونيه 2020)</w:t>
            </w:r>
          </w:p>
        </w:tc>
        <w:tc>
          <w:tcPr>
            <w:tcW w:w="2937" w:type="dxa"/>
            <w:shd w:val="clear" w:color="auto" w:fill="auto"/>
          </w:tcPr>
          <w:p w14:paraId="49422DF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(أيلول/سبتمبر 2016 = 100) 110,4</w:t>
            </w:r>
          </w:p>
        </w:tc>
      </w:tr>
      <w:tr w:rsidR="007B5A24" w:rsidRPr="00564B9D" w14:paraId="7D464148" w14:textId="77777777" w:rsidTr="00804944">
        <w:trPr>
          <w:trHeight w:val="240"/>
        </w:trPr>
        <w:tc>
          <w:tcPr>
            <w:tcW w:w="4225" w:type="dxa"/>
            <w:shd w:val="clear" w:color="auto" w:fill="auto"/>
          </w:tcPr>
          <w:p w14:paraId="6839418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2937" w:type="dxa"/>
            <w:shd w:val="clear" w:color="auto" w:fill="auto"/>
          </w:tcPr>
          <w:p w14:paraId="7793D459"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4F4D2798" w14:textId="77777777" w:rsidTr="00804944">
        <w:trPr>
          <w:trHeight w:val="240"/>
        </w:trPr>
        <w:tc>
          <w:tcPr>
            <w:tcW w:w="4225" w:type="dxa"/>
            <w:shd w:val="clear" w:color="auto" w:fill="auto"/>
          </w:tcPr>
          <w:p w14:paraId="0B43572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الديون العامة الخارجية والمحلية</w:t>
            </w:r>
          </w:p>
        </w:tc>
        <w:tc>
          <w:tcPr>
            <w:tcW w:w="2937" w:type="dxa"/>
            <w:shd w:val="clear" w:color="auto" w:fill="auto"/>
          </w:tcPr>
          <w:p w14:paraId="3174221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284,4 مليون دولار كايماني (الحكومة المركزية فقط)</w:t>
            </w:r>
          </w:p>
        </w:tc>
      </w:tr>
      <w:tr w:rsidR="007B5A24" w:rsidRPr="00564B9D" w14:paraId="578A98C1" w14:textId="77777777" w:rsidTr="00804944">
        <w:trPr>
          <w:trHeight w:val="240"/>
        </w:trPr>
        <w:tc>
          <w:tcPr>
            <w:tcW w:w="4225" w:type="dxa"/>
            <w:tcBorders>
              <w:bottom w:val="single" w:sz="12" w:space="0" w:color="auto"/>
            </w:tcBorders>
            <w:shd w:val="clear" w:color="auto" w:fill="auto"/>
          </w:tcPr>
          <w:p w14:paraId="5DF4DE7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نسبة المساعدة الدولية المقدمة نسبة إلى ميزانية الدولة بحسب القطاع ونسبة إلى الدخل القومي الإجمالي</w:t>
            </w:r>
          </w:p>
        </w:tc>
        <w:tc>
          <w:tcPr>
            <w:tcW w:w="2937" w:type="dxa"/>
            <w:tcBorders>
              <w:bottom w:val="single" w:sz="12" w:space="0" w:color="auto"/>
            </w:tcBorders>
            <w:shd w:val="clear" w:color="auto" w:fill="auto"/>
          </w:tcPr>
          <w:p w14:paraId="16084D4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bl>
    <w:p w14:paraId="7B1301C5" w14:textId="77777777" w:rsidR="00494AE4" w:rsidRPr="00564B9D" w:rsidRDefault="00494AE4" w:rsidP="00777024">
      <w:pPr>
        <w:pStyle w:val="SingleTxtGA"/>
        <w:spacing w:before="30" w:after="30"/>
        <w:rPr>
          <w:rtl/>
        </w:rPr>
      </w:pPr>
    </w:p>
    <w:tbl>
      <w:tblPr>
        <w:bidiVisual/>
        <w:tblW w:w="8392" w:type="dxa"/>
        <w:tblInd w:w="1247" w:type="dxa"/>
        <w:tblLayout w:type="fixed"/>
        <w:tblCellMar>
          <w:right w:w="113" w:type="dxa"/>
        </w:tblCellMar>
        <w:tblLook w:val="01E0" w:firstRow="1" w:lastRow="1" w:firstColumn="1" w:lastColumn="1" w:noHBand="0" w:noVBand="0"/>
      </w:tblPr>
      <w:tblGrid>
        <w:gridCol w:w="4951"/>
        <w:gridCol w:w="3441"/>
      </w:tblGrid>
      <w:tr w:rsidR="007B5A24" w:rsidRPr="00564B9D" w14:paraId="324E2DF4" w14:textId="77777777" w:rsidTr="00804944">
        <w:trPr>
          <w:trHeight w:val="240"/>
          <w:tblHeader/>
        </w:trPr>
        <w:tc>
          <w:tcPr>
            <w:tcW w:w="7148" w:type="dxa"/>
            <w:gridSpan w:val="2"/>
            <w:tcBorders>
              <w:top w:val="single" w:sz="4" w:space="0" w:color="auto"/>
              <w:bottom w:val="single" w:sz="12" w:space="0" w:color="auto"/>
            </w:tcBorders>
            <w:shd w:val="clear" w:color="auto" w:fill="auto"/>
            <w:vAlign w:val="bottom"/>
          </w:tcPr>
          <w:p w14:paraId="2337E4B8" w14:textId="77777777" w:rsidR="00494AE4" w:rsidRPr="00564B9D" w:rsidRDefault="00494AE4" w:rsidP="00777024">
            <w:pPr>
              <w:pStyle w:val="SingleTxtGA"/>
              <w:keepNext/>
              <w:tabs>
                <w:tab w:val="clear" w:pos="1928"/>
                <w:tab w:val="clear" w:pos="2608"/>
                <w:tab w:val="clear" w:pos="3289"/>
                <w:tab w:val="clear" w:pos="3969"/>
                <w:tab w:val="clear" w:pos="4649"/>
                <w:tab w:val="clear" w:pos="5330"/>
              </w:tabs>
              <w:spacing w:before="30" w:after="3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3FF3E467" w14:textId="77777777" w:rsidTr="00804944">
        <w:trPr>
          <w:trHeight w:val="240"/>
        </w:trPr>
        <w:tc>
          <w:tcPr>
            <w:tcW w:w="4217" w:type="dxa"/>
            <w:tcBorders>
              <w:top w:val="single" w:sz="12" w:space="0" w:color="auto"/>
            </w:tcBorders>
            <w:shd w:val="clear" w:color="auto" w:fill="auto"/>
          </w:tcPr>
          <w:p w14:paraId="7C45AB9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عدد الأحزاب السياسية المعترف بها على الصعيد الوطني</w:t>
            </w:r>
          </w:p>
        </w:tc>
        <w:tc>
          <w:tcPr>
            <w:tcW w:w="2931" w:type="dxa"/>
            <w:tcBorders>
              <w:top w:val="single" w:sz="12" w:space="0" w:color="auto"/>
            </w:tcBorders>
            <w:shd w:val="clear" w:color="auto" w:fill="auto"/>
          </w:tcPr>
          <w:p w14:paraId="17D4209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(3) الحزب الديمقراطي الموحد، الحركة التقدمية الشعبية، حزب المستقلين </w:t>
            </w:r>
          </w:p>
        </w:tc>
      </w:tr>
      <w:tr w:rsidR="007B5A24" w:rsidRPr="00564B9D" w14:paraId="09F932ED" w14:textId="77777777" w:rsidTr="00804944">
        <w:trPr>
          <w:trHeight w:val="240"/>
        </w:trPr>
        <w:tc>
          <w:tcPr>
            <w:tcW w:w="4217" w:type="dxa"/>
            <w:shd w:val="clear" w:color="auto" w:fill="auto"/>
          </w:tcPr>
          <w:p w14:paraId="0A8E143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نسبة السكان المؤهلين للتصويت </w:t>
            </w:r>
          </w:p>
        </w:tc>
        <w:tc>
          <w:tcPr>
            <w:tcW w:w="2931" w:type="dxa"/>
            <w:shd w:val="clear" w:color="auto" w:fill="auto"/>
          </w:tcPr>
          <w:p w14:paraId="07A96E4D"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30 في المائة </w:t>
            </w:r>
          </w:p>
        </w:tc>
      </w:tr>
      <w:tr w:rsidR="007B5A24" w:rsidRPr="00564B9D" w14:paraId="6CEFE36D" w14:textId="77777777" w:rsidTr="00804944">
        <w:trPr>
          <w:trHeight w:val="240"/>
        </w:trPr>
        <w:tc>
          <w:tcPr>
            <w:tcW w:w="4217" w:type="dxa"/>
            <w:shd w:val="clear" w:color="auto" w:fill="auto"/>
          </w:tcPr>
          <w:p w14:paraId="3823755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2931" w:type="dxa"/>
            <w:shd w:val="clear" w:color="auto" w:fill="auto"/>
          </w:tcPr>
          <w:p w14:paraId="4359F3E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صفر</w:t>
            </w:r>
          </w:p>
        </w:tc>
      </w:tr>
      <w:tr w:rsidR="007B5A24" w:rsidRPr="00564B9D" w14:paraId="20243D66" w14:textId="77777777" w:rsidTr="00804944">
        <w:trPr>
          <w:trHeight w:val="240"/>
        </w:trPr>
        <w:tc>
          <w:tcPr>
            <w:tcW w:w="4217" w:type="dxa"/>
            <w:shd w:val="clear" w:color="auto" w:fill="auto"/>
          </w:tcPr>
          <w:p w14:paraId="49F4B10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2931" w:type="dxa"/>
            <w:shd w:val="clear" w:color="auto" w:fill="auto"/>
          </w:tcPr>
          <w:p w14:paraId="4B37362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6F87247F" w14:textId="77777777" w:rsidTr="00804944">
        <w:trPr>
          <w:trHeight w:val="240"/>
        </w:trPr>
        <w:tc>
          <w:tcPr>
            <w:tcW w:w="4217" w:type="dxa"/>
            <w:shd w:val="clear" w:color="auto" w:fill="auto"/>
          </w:tcPr>
          <w:p w14:paraId="29542861"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2931" w:type="dxa"/>
            <w:shd w:val="clear" w:color="auto" w:fill="auto"/>
          </w:tcPr>
          <w:p w14:paraId="1C9DDF2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35764219" w14:textId="77777777" w:rsidTr="00804944">
        <w:trPr>
          <w:trHeight w:val="240"/>
        </w:trPr>
        <w:tc>
          <w:tcPr>
            <w:tcW w:w="4217" w:type="dxa"/>
            <w:shd w:val="clear" w:color="auto" w:fill="auto"/>
          </w:tcPr>
          <w:p w14:paraId="2E901EF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عدد المنظمات غير الحكومية المعترف بها </w:t>
            </w:r>
          </w:p>
        </w:tc>
        <w:tc>
          <w:tcPr>
            <w:tcW w:w="2931" w:type="dxa"/>
            <w:shd w:val="clear" w:color="auto" w:fill="auto"/>
          </w:tcPr>
          <w:p w14:paraId="6A00A2E6"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لم تتوفر المعلومات بعد</w:t>
            </w:r>
          </w:p>
        </w:tc>
      </w:tr>
      <w:tr w:rsidR="007B5A24" w:rsidRPr="00564B9D" w14:paraId="1AF4EA03" w14:textId="77777777" w:rsidTr="00804944">
        <w:trPr>
          <w:trHeight w:val="240"/>
        </w:trPr>
        <w:tc>
          <w:tcPr>
            <w:tcW w:w="4217" w:type="dxa"/>
            <w:shd w:val="clear" w:color="auto" w:fill="auto"/>
          </w:tcPr>
          <w:p w14:paraId="14D28C2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توزيع المقاعد التشريعية بحسب الحزب </w:t>
            </w:r>
          </w:p>
        </w:tc>
        <w:tc>
          <w:tcPr>
            <w:tcW w:w="2931" w:type="dxa"/>
            <w:shd w:val="clear" w:color="auto" w:fill="auto"/>
          </w:tcPr>
          <w:p w14:paraId="6C58850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الحركة التقدمية الشعبية - 6، الحزب</w:t>
            </w:r>
            <w:r w:rsidRPr="00564B9D">
              <w:rPr>
                <w:rFonts w:hint="eastAsia"/>
                <w:sz w:val="20"/>
                <w:szCs w:val="20"/>
                <w:rtl/>
              </w:rPr>
              <w:t xml:space="preserve"> </w:t>
            </w:r>
            <w:r w:rsidRPr="00564B9D">
              <w:rPr>
                <w:rFonts w:hint="cs"/>
                <w:sz w:val="20"/>
                <w:szCs w:val="20"/>
                <w:rtl/>
              </w:rPr>
              <w:t>الديمقراطي الموحد - 3، حزب المستقلين - 8 (2017)</w:t>
            </w:r>
          </w:p>
        </w:tc>
      </w:tr>
      <w:tr w:rsidR="007B5A24" w:rsidRPr="00564B9D" w14:paraId="0AEE2DCE" w14:textId="77777777" w:rsidTr="00804944">
        <w:trPr>
          <w:trHeight w:val="240"/>
        </w:trPr>
        <w:tc>
          <w:tcPr>
            <w:tcW w:w="4217" w:type="dxa"/>
            <w:shd w:val="clear" w:color="auto" w:fill="auto"/>
          </w:tcPr>
          <w:p w14:paraId="40C24809"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النسبة المئوية للنساء في البرلمان </w:t>
            </w:r>
          </w:p>
        </w:tc>
        <w:tc>
          <w:tcPr>
            <w:tcW w:w="2931" w:type="dxa"/>
            <w:shd w:val="clear" w:color="auto" w:fill="auto"/>
          </w:tcPr>
          <w:p w14:paraId="78525E07"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16 في المائة (19 عضواً منهم 3 نساء)</w:t>
            </w:r>
          </w:p>
        </w:tc>
      </w:tr>
      <w:tr w:rsidR="007B5A24" w:rsidRPr="00564B9D" w14:paraId="00802DD8" w14:textId="77777777" w:rsidTr="00804944">
        <w:trPr>
          <w:trHeight w:val="240"/>
        </w:trPr>
        <w:tc>
          <w:tcPr>
            <w:tcW w:w="4217" w:type="dxa"/>
            <w:shd w:val="clear" w:color="auto" w:fill="auto"/>
          </w:tcPr>
          <w:p w14:paraId="6E5FE3A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نسبة الانتخابات الوطنية ودون الوطنية التي أجريت في حدود الجدول الزمني الذي ينص عليه القانون </w:t>
            </w:r>
          </w:p>
        </w:tc>
        <w:tc>
          <w:tcPr>
            <w:tcW w:w="2931" w:type="dxa"/>
            <w:shd w:val="clear" w:color="auto" w:fill="auto"/>
          </w:tcPr>
          <w:p w14:paraId="6FADFAEC"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100 في المائة </w:t>
            </w:r>
          </w:p>
        </w:tc>
      </w:tr>
      <w:tr w:rsidR="007B5A24" w:rsidRPr="00564B9D" w14:paraId="52DF5AF7" w14:textId="77777777" w:rsidTr="00804944">
        <w:trPr>
          <w:trHeight w:val="240"/>
        </w:trPr>
        <w:tc>
          <w:tcPr>
            <w:tcW w:w="4217" w:type="dxa"/>
            <w:tcBorders>
              <w:bottom w:val="single" w:sz="12" w:space="0" w:color="auto"/>
            </w:tcBorders>
            <w:shd w:val="clear" w:color="auto" w:fill="auto"/>
          </w:tcPr>
          <w:p w14:paraId="506B5F8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متوسط عدد الناخبين الفعليين في الانتخابات الوطنية ودون الوطنية بحسب الوحدة الإدارية </w:t>
            </w:r>
          </w:p>
        </w:tc>
        <w:tc>
          <w:tcPr>
            <w:tcW w:w="2931" w:type="dxa"/>
            <w:tcBorders>
              <w:bottom w:val="single" w:sz="12" w:space="0" w:color="auto"/>
            </w:tcBorders>
            <w:shd w:val="clear" w:color="auto" w:fill="auto"/>
          </w:tcPr>
          <w:p w14:paraId="423DAB3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 xml:space="preserve">74,1 في المائة </w:t>
            </w:r>
          </w:p>
        </w:tc>
      </w:tr>
    </w:tbl>
    <w:p w14:paraId="5DB18FB8" w14:textId="77777777" w:rsidR="00494AE4" w:rsidRPr="00564B9D" w:rsidRDefault="00494AE4" w:rsidP="00777024">
      <w:pPr>
        <w:pStyle w:val="SingleTxtGA"/>
        <w:spacing w:before="30" w:after="30"/>
        <w:rPr>
          <w:rtl/>
        </w:rPr>
      </w:pPr>
    </w:p>
    <w:tbl>
      <w:tblPr>
        <w:bidiVisual/>
        <w:tblW w:w="8392" w:type="dxa"/>
        <w:tblInd w:w="1247" w:type="dxa"/>
        <w:tblCellMar>
          <w:right w:w="113" w:type="dxa"/>
        </w:tblCellMar>
        <w:tblLook w:val="01E0" w:firstRow="1" w:lastRow="1" w:firstColumn="1" w:lastColumn="1" w:noHBand="0" w:noVBand="0"/>
      </w:tblPr>
      <w:tblGrid>
        <w:gridCol w:w="4323"/>
        <w:gridCol w:w="1833"/>
        <w:gridCol w:w="759"/>
        <w:gridCol w:w="1477"/>
      </w:tblGrid>
      <w:tr w:rsidR="007B5A24" w:rsidRPr="00564B9D" w14:paraId="51B7E44A" w14:textId="77777777" w:rsidTr="00804944">
        <w:trPr>
          <w:trHeight w:val="240"/>
          <w:tblHeader/>
        </w:trPr>
        <w:tc>
          <w:tcPr>
            <w:tcW w:w="7738" w:type="dxa"/>
            <w:gridSpan w:val="4"/>
            <w:tcBorders>
              <w:top w:val="single" w:sz="4" w:space="0" w:color="auto"/>
              <w:bottom w:val="single" w:sz="12" w:space="0" w:color="auto"/>
            </w:tcBorders>
            <w:shd w:val="clear" w:color="auto" w:fill="auto"/>
            <w:vAlign w:val="bottom"/>
          </w:tcPr>
          <w:p w14:paraId="7FE36573" w14:textId="77777777" w:rsidR="00494AE4" w:rsidRPr="00564B9D" w:rsidRDefault="00494AE4" w:rsidP="00777024">
            <w:pPr>
              <w:pStyle w:val="SingleTxtGA"/>
              <w:keepNext/>
              <w:tabs>
                <w:tab w:val="clear" w:pos="1928"/>
                <w:tab w:val="clear" w:pos="2608"/>
                <w:tab w:val="clear" w:pos="3289"/>
                <w:tab w:val="clear" w:pos="3969"/>
                <w:tab w:val="clear" w:pos="4649"/>
                <w:tab w:val="clear" w:pos="5330"/>
              </w:tabs>
              <w:spacing w:before="30" w:after="3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73BBA229" w14:textId="77777777" w:rsidTr="00804944">
        <w:tblPrEx>
          <w:tblLook w:val="0000" w:firstRow="0" w:lastRow="0" w:firstColumn="0" w:lastColumn="0" w:noHBand="0" w:noVBand="0"/>
        </w:tblPrEx>
        <w:trPr>
          <w:trHeight w:val="240"/>
        </w:trPr>
        <w:tc>
          <w:tcPr>
            <w:tcW w:w="3986" w:type="dxa"/>
            <w:tcBorders>
              <w:top w:val="single" w:sz="12" w:space="0" w:color="auto"/>
            </w:tcBorders>
            <w:shd w:val="clear" w:color="auto" w:fill="auto"/>
          </w:tcPr>
          <w:p w14:paraId="16BDB9EF"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حالات الموت العنيف والجرائم المهددة للحياة المبلغ عنها لكل 000</w:t>
            </w:r>
            <w:r w:rsidRPr="00564B9D">
              <w:rPr>
                <w:sz w:val="20"/>
                <w:szCs w:val="20"/>
                <w:rtl/>
              </w:rPr>
              <w:t> </w:t>
            </w:r>
            <w:r w:rsidRPr="00564B9D">
              <w:rPr>
                <w:rFonts w:hint="cs"/>
                <w:sz w:val="20"/>
                <w:szCs w:val="20"/>
                <w:rtl/>
              </w:rPr>
              <w:t>100 من السكان</w:t>
            </w:r>
          </w:p>
        </w:tc>
        <w:tc>
          <w:tcPr>
            <w:tcW w:w="3752" w:type="dxa"/>
            <w:gridSpan w:val="3"/>
            <w:tcBorders>
              <w:top w:val="single" w:sz="12" w:space="0" w:color="auto"/>
            </w:tcBorders>
            <w:shd w:val="clear" w:color="auto" w:fill="auto"/>
          </w:tcPr>
          <w:p w14:paraId="0792D181"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2019</w:t>
            </w:r>
          </w:p>
          <w:p w14:paraId="267C06E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جرائم القتل - 1</w:t>
            </w:r>
          </w:p>
          <w:p w14:paraId="7F207E03"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sz w:val="20"/>
                <w:szCs w:val="20"/>
                <w:rtl/>
              </w:rPr>
              <w:t>محاولة القتل</w:t>
            </w:r>
            <w:r w:rsidRPr="00564B9D">
              <w:rPr>
                <w:rFonts w:hint="cs"/>
                <w:sz w:val="20"/>
                <w:szCs w:val="20"/>
                <w:rtl/>
              </w:rPr>
              <w:t xml:space="preserve"> - 5,7</w:t>
            </w:r>
          </w:p>
          <w:p w14:paraId="1C8F339A"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sz w:val="20"/>
                <w:szCs w:val="20"/>
                <w:rtl/>
              </w:rPr>
              <w:t>القتل غير العمد</w:t>
            </w:r>
            <w:r w:rsidRPr="00564B9D">
              <w:rPr>
                <w:rFonts w:hint="cs"/>
                <w:sz w:val="20"/>
                <w:szCs w:val="20"/>
                <w:rtl/>
              </w:rPr>
              <w:t xml:space="preserve"> 2,9</w:t>
            </w:r>
          </w:p>
          <w:p w14:paraId="3CBB4DD2"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sz w:val="20"/>
                <w:szCs w:val="20"/>
                <w:rtl/>
              </w:rPr>
              <w:t xml:space="preserve">الاعتداء </w:t>
            </w:r>
            <w:r w:rsidRPr="00564B9D">
              <w:rPr>
                <w:rFonts w:hint="cs"/>
                <w:sz w:val="20"/>
                <w:szCs w:val="20"/>
                <w:rtl/>
              </w:rPr>
              <w:t>58,6</w:t>
            </w:r>
          </w:p>
          <w:p w14:paraId="78A557F0"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الإصابة بجروح 5,72</w:t>
            </w:r>
          </w:p>
          <w:p w14:paraId="7A2B8C8B"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sz w:val="20"/>
                <w:szCs w:val="20"/>
                <w:rtl/>
              </w:rPr>
              <w:t>عنف خطير</w:t>
            </w:r>
            <w:r w:rsidRPr="00564B9D">
              <w:rPr>
                <w:rFonts w:hint="cs"/>
                <w:sz w:val="20"/>
                <w:szCs w:val="20"/>
                <w:rtl/>
              </w:rPr>
              <w:t xml:space="preserve"> 74,4</w:t>
            </w:r>
          </w:p>
        </w:tc>
      </w:tr>
      <w:tr w:rsidR="007B5A24" w:rsidRPr="00564B9D" w14:paraId="179A2B45" w14:textId="77777777" w:rsidTr="00804944">
        <w:tblPrEx>
          <w:tblLook w:val="0000" w:firstRow="0" w:lastRow="0" w:firstColumn="0" w:lastColumn="0" w:noHBand="0" w:noVBand="0"/>
        </w:tblPrEx>
        <w:trPr>
          <w:trHeight w:val="240"/>
        </w:trPr>
        <w:tc>
          <w:tcPr>
            <w:tcW w:w="3986" w:type="dxa"/>
            <w:shd w:val="clear" w:color="auto" w:fill="auto"/>
          </w:tcPr>
          <w:p w14:paraId="0048EDDE"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Pr>
            </w:pPr>
            <w:r w:rsidRPr="00564B9D">
              <w:rPr>
                <w:rFonts w:hint="cs"/>
                <w:sz w:val="20"/>
                <w:szCs w:val="20"/>
                <w:rtl/>
              </w:rPr>
              <w:t>عدد ومعدل الأشخاص (لكل 000</w:t>
            </w:r>
            <w:r w:rsidRPr="00564B9D">
              <w:rPr>
                <w:sz w:val="20"/>
                <w:szCs w:val="20"/>
                <w:rtl/>
              </w:rPr>
              <w:t> </w:t>
            </w:r>
            <w:r w:rsidRPr="00564B9D">
              <w:rPr>
                <w:rFonts w:hint="cs"/>
                <w:sz w:val="20"/>
                <w:szCs w:val="20"/>
                <w:rtl/>
              </w:rPr>
              <w:t>100 شخص) الذين تم توقيفهم/تقديمهم إلى القضاء/إدانتهم/إصدار أحكام ضدهم/حبسهم لارتكابهم جرائم عنف أو غير ذلك من الجرائم الخطيرة (مثل القتل والسرقة والاعتداء والاتجار غير المشروع)</w:t>
            </w:r>
          </w:p>
        </w:tc>
        <w:tc>
          <w:tcPr>
            <w:tcW w:w="3752" w:type="dxa"/>
            <w:gridSpan w:val="3"/>
            <w:shd w:val="clear" w:color="auto" w:fill="auto"/>
          </w:tcPr>
          <w:p w14:paraId="08DA1194" w14:textId="77777777" w:rsidR="00494AE4" w:rsidRPr="00564B9D" w:rsidRDefault="00494AE4" w:rsidP="00777024">
            <w:pPr>
              <w:pStyle w:val="SingleTxtGA"/>
              <w:tabs>
                <w:tab w:val="clear" w:pos="1928"/>
                <w:tab w:val="clear" w:pos="2608"/>
                <w:tab w:val="clear" w:pos="3289"/>
                <w:tab w:val="clear" w:pos="3969"/>
                <w:tab w:val="clear" w:pos="4649"/>
                <w:tab w:val="clear" w:pos="5330"/>
              </w:tabs>
              <w:spacing w:before="30" w:after="30" w:line="280" w:lineRule="exact"/>
              <w:ind w:left="0" w:right="0"/>
              <w:rPr>
                <w:sz w:val="20"/>
                <w:szCs w:val="20"/>
                <w:rtl/>
              </w:rPr>
            </w:pPr>
            <w:r w:rsidRPr="00564B9D">
              <w:rPr>
                <w:rFonts w:hint="cs"/>
                <w:sz w:val="20"/>
                <w:szCs w:val="20"/>
                <w:rtl/>
              </w:rPr>
              <w:t>2019</w:t>
            </w:r>
          </w:p>
          <w:p w14:paraId="30E10986" w14:textId="1E4AD699" w:rsidR="00494AE4" w:rsidRPr="00564B9D" w:rsidRDefault="00494AE4" w:rsidP="00777024">
            <w:pPr>
              <w:pStyle w:val="SingleTxtGA"/>
              <w:tabs>
                <w:tab w:val="clear" w:pos="1928"/>
                <w:tab w:val="clear" w:pos="2608"/>
                <w:tab w:val="clear" w:pos="3289"/>
                <w:tab w:val="clear" w:pos="3969"/>
                <w:tab w:val="clear" w:pos="4649"/>
                <w:tab w:val="clear" w:pos="5330"/>
                <w:tab w:val="left" w:pos="2485"/>
              </w:tabs>
              <w:spacing w:before="30" w:after="30" w:line="280" w:lineRule="exact"/>
              <w:ind w:left="0" w:right="0"/>
              <w:rPr>
                <w:sz w:val="20"/>
                <w:szCs w:val="20"/>
                <w:rtl/>
              </w:rPr>
            </w:pPr>
            <w:r w:rsidRPr="00564B9D">
              <w:rPr>
                <w:sz w:val="20"/>
                <w:szCs w:val="20"/>
                <w:rtl/>
              </w:rPr>
              <w:t>السطو</w:t>
            </w:r>
            <w:r w:rsidR="00D166C2" w:rsidRPr="00564B9D">
              <w:rPr>
                <w:sz w:val="20"/>
                <w:szCs w:val="20"/>
                <w:rtl/>
              </w:rPr>
              <w:tab/>
            </w:r>
            <w:r w:rsidRPr="00564B9D">
              <w:rPr>
                <w:sz w:val="20"/>
                <w:szCs w:val="20"/>
                <w:rtl/>
              </w:rPr>
              <w:t>377,6</w:t>
            </w:r>
          </w:p>
          <w:p w14:paraId="443728B8" w14:textId="73A0D460" w:rsidR="00494AE4" w:rsidRPr="00564B9D" w:rsidRDefault="00494AE4" w:rsidP="00777024">
            <w:pPr>
              <w:pStyle w:val="SingleTxtGA"/>
              <w:tabs>
                <w:tab w:val="clear" w:pos="1928"/>
                <w:tab w:val="clear" w:pos="2608"/>
                <w:tab w:val="clear" w:pos="3289"/>
                <w:tab w:val="clear" w:pos="3969"/>
                <w:tab w:val="clear" w:pos="4649"/>
                <w:tab w:val="clear" w:pos="5330"/>
                <w:tab w:val="left" w:pos="2485"/>
              </w:tabs>
              <w:spacing w:before="30" w:after="30" w:line="280" w:lineRule="exact"/>
              <w:ind w:left="0" w:right="0"/>
              <w:rPr>
                <w:sz w:val="20"/>
                <w:szCs w:val="20"/>
                <w:rtl/>
              </w:rPr>
            </w:pPr>
            <w:r w:rsidRPr="00564B9D">
              <w:rPr>
                <w:sz w:val="20"/>
                <w:szCs w:val="20"/>
                <w:rtl/>
              </w:rPr>
              <w:t>السرقة</w:t>
            </w:r>
            <w:r w:rsidR="00D166C2" w:rsidRPr="00564B9D">
              <w:rPr>
                <w:sz w:val="20"/>
                <w:szCs w:val="20"/>
                <w:rtl/>
              </w:rPr>
              <w:tab/>
            </w:r>
            <w:r w:rsidRPr="00564B9D">
              <w:rPr>
                <w:sz w:val="20"/>
                <w:szCs w:val="20"/>
                <w:rtl/>
              </w:rPr>
              <w:t>44,3</w:t>
            </w:r>
          </w:p>
          <w:p w14:paraId="1321FDA4" w14:textId="37AA2E90" w:rsidR="00494AE4" w:rsidRPr="00564B9D" w:rsidRDefault="00494AE4" w:rsidP="00777024">
            <w:pPr>
              <w:pStyle w:val="SingleTxtGA"/>
              <w:tabs>
                <w:tab w:val="clear" w:pos="1928"/>
                <w:tab w:val="clear" w:pos="2608"/>
                <w:tab w:val="clear" w:pos="3289"/>
                <w:tab w:val="clear" w:pos="3969"/>
                <w:tab w:val="clear" w:pos="4649"/>
                <w:tab w:val="clear" w:pos="5330"/>
                <w:tab w:val="left" w:pos="2485"/>
              </w:tabs>
              <w:spacing w:before="30" w:after="30" w:line="280" w:lineRule="exact"/>
              <w:ind w:left="0" w:right="0"/>
              <w:rPr>
                <w:sz w:val="20"/>
                <w:szCs w:val="20"/>
                <w:rtl/>
              </w:rPr>
            </w:pPr>
            <w:r w:rsidRPr="00564B9D">
              <w:rPr>
                <w:sz w:val="20"/>
                <w:szCs w:val="20"/>
                <w:rtl/>
              </w:rPr>
              <w:t>التعدي الجنائي</w:t>
            </w:r>
            <w:r w:rsidR="00D166C2" w:rsidRPr="00564B9D">
              <w:rPr>
                <w:sz w:val="20"/>
                <w:szCs w:val="20"/>
                <w:rtl/>
              </w:rPr>
              <w:tab/>
            </w:r>
            <w:r w:rsidRPr="00564B9D">
              <w:rPr>
                <w:sz w:val="20"/>
                <w:szCs w:val="20"/>
                <w:rtl/>
              </w:rPr>
              <w:t>154,5</w:t>
            </w:r>
          </w:p>
          <w:p w14:paraId="1A0C2FD5" w14:textId="3D7CBDD7" w:rsidR="00494AE4" w:rsidRPr="00564B9D" w:rsidRDefault="00494AE4" w:rsidP="00777024">
            <w:pPr>
              <w:pStyle w:val="SingleTxtGA"/>
              <w:tabs>
                <w:tab w:val="clear" w:pos="1928"/>
                <w:tab w:val="clear" w:pos="2608"/>
                <w:tab w:val="clear" w:pos="3289"/>
                <w:tab w:val="clear" w:pos="3969"/>
                <w:tab w:val="clear" w:pos="4649"/>
                <w:tab w:val="clear" w:pos="5330"/>
                <w:tab w:val="left" w:pos="2485"/>
              </w:tabs>
              <w:spacing w:before="30" w:after="30" w:line="280" w:lineRule="exact"/>
              <w:ind w:left="0" w:right="0"/>
              <w:rPr>
                <w:sz w:val="20"/>
                <w:szCs w:val="20"/>
                <w:rtl/>
              </w:rPr>
            </w:pPr>
            <w:r w:rsidRPr="00564B9D">
              <w:rPr>
                <w:sz w:val="20"/>
                <w:szCs w:val="20"/>
                <w:rtl/>
              </w:rPr>
              <w:t>السرقة</w:t>
            </w:r>
            <w:r w:rsidR="00D166C2" w:rsidRPr="00564B9D">
              <w:rPr>
                <w:sz w:val="20"/>
                <w:szCs w:val="20"/>
                <w:rtl/>
              </w:rPr>
              <w:tab/>
            </w:r>
            <w:r w:rsidRPr="00564B9D">
              <w:rPr>
                <w:sz w:val="20"/>
                <w:szCs w:val="20"/>
                <w:rtl/>
              </w:rPr>
              <w:t>200 </w:t>
            </w:r>
            <w:r w:rsidRPr="00564B9D">
              <w:rPr>
                <w:rFonts w:hint="cs"/>
                <w:sz w:val="20"/>
                <w:szCs w:val="20"/>
                <w:rtl/>
              </w:rPr>
              <w:t>1</w:t>
            </w:r>
          </w:p>
          <w:p w14:paraId="6093BB25" w14:textId="0C7E685E" w:rsidR="00494AE4" w:rsidRPr="00564B9D" w:rsidRDefault="00494AE4" w:rsidP="00777024">
            <w:pPr>
              <w:pStyle w:val="SingleTxtGA"/>
              <w:tabs>
                <w:tab w:val="clear" w:pos="1928"/>
                <w:tab w:val="clear" w:pos="2608"/>
                <w:tab w:val="clear" w:pos="3289"/>
                <w:tab w:val="clear" w:pos="3969"/>
                <w:tab w:val="clear" w:pos="4649"/>
                <w:tab w:val="clear" w:pos="5330"/>
                <w:tab w:val="left" w:pos="2485"/>
              </w:tabs>
              <w:spacing w:before="30" w:after="30" w:line="280" w:lineRule="exact"/>
              <w:ind w:left="0" w:right="0"/>
              <w:rPr>
                <w:sz w:val="20"/>
                <w:szCs w:val="20"/>
                <w:rtl/>
              </w:rPr>
            </w:pPr>
            <w:r w:rsidRPr="00564B9D">
              <w:rPr>
                <w:rFonts w:hint="cs"/>
                <w:sz w:val="20"/>
                <w:szCs w:val="20"/>
                <w:rtl/>
              </w:rPr>
              <w:t>التآمر للقيام ب</w:t>
            </w:r>
            <w:r w:rsidRPr="00564B9D">
              <w:rPr>
                <w:sz w:val="20"/>
                <w:szCs w:val="20"/>
                <w:rtl/>
              </w:rPr>
              <w:t>سرقة</w:t>
            </w:r>
            <w:r w:rsidR="00D166C2" w:rsidRPr="00564B9D">
              <w:rPr>
                <w:sz w:val="20"/>
                <w:szCs w:val="20"/>
                <w:rtl/>
              </w:rPr>
              <w:tab/>
            </w:r>
            <w:r w:rsidRPr="00564B9D">
              <w:rPr>
                <w:sz w:val="20"/>
                <w:szCs w:val="20"/>
                <w:rtl/>
              </w:rPr>
              <w:t>0</w:t>
            </w:r>
          </w:p>
          <w:p w14:paraId="1E7F6032" w14:textId="25A1111D" w:rsidR="00494AE4" w:rsidRPr="00564B9D" w:rsidRDefault="00494AE4" w:rsidP="00777024">
            <w:pPr>
              <w:pStyle w:val="SingleTxtGA"/>
              <w:tabs>
                <w:tab w:val="clear" w:pos="1928"/>
                <w:tab w:val="clear" w:pos="2608"/>
                <w:tab w:val="clear" w:pos="3289"/>
                <w:tab w:val="clear" w:pos="3969"/>
                <w:tab w:val="clear" w:pos="4649"/>
                <w:tab w:val="clear" w:pos="5330"/>
                <w:tab w:val="left" w:pos="2485"/>
              </w:tabs>
              <w:spacing w:before="30" w:after="30" w:line="280" w:lineRule="exact"/>
              <w:ind w:left="0" w:right="0"/>
              <w:rPr>
                <w:sz w:val="20"/>
                <w:szCs w:val="20"/>
              </w:rPr>
            </w:pPr>
            <w:r w:rsidRPr="00564B9D">
              <w:rPr>
                <w:rFonts w:hint="cs"/>
                <w:sz w:val="20"/>
                <w:szCs w:val="20"/>
                <w:rtl/>
              </w:rPr>
              <w:t xml:space="preserve">مجموع </w:t>
            </w:r>
            <w:r w:rsidRPr="00564B9D">
              <w:rPr>
                <w:sz w:val="20"/>
                <w:szCs w:val="20"/>
                <w:rtl/>
              </w:rPr>
              <w:t>جرائم الاستحواذ</w:t>
            </w:r>
            <w:r w:rsidR="00D166C2" w:rsidRPr="00564B9D">
              <w:rPr>
                <w:sz w:val="20"/>
                <w:szCs w:val="20"/>
                <w:rtl/>
              </w:rPr>
              <w:tab/>
            </w:r>
            <w:r w:rsidRPr="00564B9D">
              <w:rPr>
                <w:sz w:val="20"/>
                <w:szCs w:val="20"/>
                <w:rtl/>
              </w:rPr>
              <w:t>776,5 </w:t>
            </w:r>
            <w:r w:rsidRPr="00564B9D">
              <w:rPr>
                <w:rFonts w:hint="cs"/>
                <w:sz w:val="20"/>
                <w:szCs w:val="20"/>
                <w:rtl/>
              </w:rPr>
              <w:t>1</w:t>
            </w:r>
          </w:p>
        </w:tc>
      </w:tr>
      <w:tr w:rsidR="007B5A24" w:rsidRPr="00564B9D" w14:paraId="69950EF7" w14:textId="77777777" w:rsidTr="00804944">
        <w:tblPrEx>
          <w:tblLook w:val="0000" w:firstRow="0" w:lastRow="0" w:firstColumn="0" w:lastColumn="0" w:noHBand="0" w:noVBand="0"/>
        </w:tblPrEx>
        <w:trPr>
          <w:trHeight w:val="240"/>
        </w:trPr>
        <w:tc>
          <w:tcPr>
            <w:tcW w:w="3986" w:type="dxa"/>
            <w:shd w:val="clear" w:color="auto" w:fill="auto"/>
          </w:tcPr>
          <w:p w14:paraId="107AA6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عدد حالات العنف بدافع الجنس المبلغ عنها (مثل الاغتصاب، وتشويه الأعضاء الجنسية عند الإناث، وجرائم الشرف، والاعتداء بالأحماض)</w:t>
            </w:r>
          </w:p>
        </w:tc>
        <w:tc>
          <w:tcPr>
            <w:tcW w:w="3752" w:type="dxa"/>
            <w:gridSpan w:val="3"/>
            <w:shd w:val="clear" w:color="auto" w:fill="auto"/>
          </w:tcPr>
          <w:p w14:paraId="4C3FF1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2019</w:t>
            </w:r>
          </w:p>
          <w:p w14:paraId="4C16D926" w14:textId="47E2980F"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tl/>
              </w:rPr>
            </w:pPr>
            <w:r w:rsidRPr="00564B9D">
              <w:rPr>
                <w:rFonts w:hint="cs"/>
                <w:sz w:val="20"/>
                <w:szCs w:val="20"/>
                <w:rtl/>
              </w:rPr>
              <w:t>ا</w:t>
            </w:r>
            <w:r w:rsidRPr="00564B9D">
              <w:rPr>
                <w:sz w:val="20"/>
                <w:szCs w:val="20"/>
                <w:rtl/>
              </w:rPr>
              <w:t>غتصاب</w:t>
            </w:r>
            <w:r w:rsidR="00D166C2" w:rsidRPr="00564B9D">
              <w:rPr>
                <w:sz w:val="20"/>
                <w:szCs w:val="20"/>
                <w:rtl/>
              </w:rPr>
              <w:tab/>
            </w:r>
            <w:r w:rsidRPr="00564B9D">
              <w:rPr>
                <w:rFonts w:hint="cs"/>
                <w:sz w:val="20"/>
                <w:szCs w:val="20"/>
                <w:rtl/>
              </w:rPr>
              <w:t>14,3</w:t>
            </w:r>
          </w:p>
          <w:p w14:paraId="239569C9" w14:textId="4ECA884E"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tl/>
              </w:rPr>
            </w:pPr>
            <w:r w:rsidRPr="00564B9D">
              <w:rPr>
                <w:sz w:val="20"/>
                <w:szCs w:val="20"/>
                <w:rtl/>
              </w:rPr>
              <w:t>محاولة اغتصاب</w:t>
            </w:r>
            <w:r w:rsidR="00D166C2" w:rsidRPr="00564B9D">
              <w:rPr>
                <w:sz w:val="20"/>
                <w:szCs w:val="20"/>
                <w:rtl/>
              </w:rPr>
              <w:tab/>
            </w:r>
            <w:r w:rsidRPr="00564B9D">
              <w:rPr>
                <w:rFonts w:hint="cs"/>
                <w:sz w:val="20"/>
                <w:szCs w:val="20"/>
                <w:rtl/>
              </w:rPr>
              <w:t>4,3</w:t>
            </w:r>
          </w:p>
          <w:p w14:paraId="36081BD6" w14:textId="762534A4"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tl/>
              </w:rPr>
            </w:pPr>
            <w:r w:rsidRPr="00564B9D">
              <w:rPr>
                <w:sz w:val="20"/>
                <w:szCs w:val="20"/>
                <w:rtl/>
              </w:rPr>
              <w:t>هتك عرض فتاة تحت سن 16</w:t>
            </w:r>
            <w:r w:rsidR="00D166C2" w:rsidRPr="00564B9D">
              <w:rPr>
                <w:sz w:val="20"/>
                <w:szCs w:val="20"/>
                <w:rtl/>
              </w:rPr>
              <w:tab/>
            </w:r>
            <w:r w:rsidRPr="00564B9D">
              <w:rPr>
                <w:rFonts w:hint="cs"/>
                <w:sz w:val="20"/>
                <w:szCs w:val="20"/>
                <w:rtl/>
              </w:rPr>
              <w:t>8,6</w:t>
            </w:r>
          </w:p>
          <w:p w14:paraId="7020B615" w14:textId="11E9A93B"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tl/>
              </w:rPr>
            </w:pPr>
            <w:r w:rsidRPr="00564B9D">
              <w:rPr>
                <w:sz w:val="20"/>
                <w:szCs w:val="20"/>
                <w:rtl/>
              </w:rPr>
              <w:t>هتك عرض فتاة تحت سن 12</w:t>
            </w:r>
            <w:r w:rsidR="00D166C2" w:rsidRPr="00564B9D">
              <w:rPr>
                <w:sz w:val="20"/>
                <w:szCs w:val="20"/>
                <w:rtl/>
              </w:rPr>
              <w:tab/>
            </w:r>
            <w:r w:rsidRPr="00564B9D">
              <w:rPr>
                <w:rFonts w:hint="cs"/>
                <w:sz w:val="20"/>
                <w:szCs w:val="20"/>
                <w:rtl/>
              </w:rPr>
              <w:t>5,7</w:t>
            </w:r>
          </w:p>
          <w:p w14:paraId="31F63F90" w14:textId="50689068"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tl/>
              </w:rPr>
            </w:pPr>
            <w:r w:rsidRPr="00564B9D">
              <w:rPr>
                <w:rFonts w:hint="cs"/>
                <w:sz w:val="20"/>
                <w:szCs w:val="20"/>
                <w:rtl/>
              </w:rPr>
              <w:t>اعتداء هتك عرض</w:t>
            </w:r>
            <w:r w:rsidR="00D166C2" w:rsidRPr="00564B9D">
              <w:rPr>
                <w:sz w:val="20"/>
                <w:szCs w:val="20"/>
                <w:rtl/>
              </w:rPr>
              <w:tab/>
            </w:r>
            <w:r w:rsidRPr="00564B9D">
              <w:rPr>
                <w:rFonts w:hint="cs"/>
                <w:sz w:val="20"/>
                <w:szCs w:val="20"/>
                <w:rtl/>
              </w:rPr>
              <w:t>0</w:t>
            </w:r>
          </w:p>
          <w:p w14:paraId="4EF13B92" w14:textId="732AD39C"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tl/>
              </w:rPr>
            </w:pPr>
            <w:r w:rsidRPr="00564B9D">
              <w:rPr>
                <w:rFonts w:hint="cs"/>
                <w:sz w:val="20"/>
                <w:szCs w:val="20"/>
                <w:rtl/>
              </w:rPr>
              <w:t>اعتداء هتك عرض انثى</w:t>
            </w:r>
            <w:r w:rsidR="00D166C2" w:rsidRPr="00564B9D">
              <w:rPr>
                <w:sz w:val="20"/>
                <w:szCs w:val="20"/>
                <w:rtl/>
              </w:rPr>
              <w:tab/>
            </w:r>
            <w:r w:rsidRPr="00564B9D">
              <w:rPr>
                <w:rFonts w:hint="cs"/>
                <w:sz w:val="20"/>
                <w:szCs w:val="20"/>
                <w:rtl/>
              </w:rPr>
              <w:t>65,8</w:t>
            </w:r>
          </w:p>
          <w:p w14:paraId="17873C17" w14:textId="5348A280"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tl/>
              </w:rPr>
            </w:pPr>
            <w:r w:rsidRPr="00564B9D">
              <w:rPr>
                <w:rFonts w:hint="cs"/>
                <w:sz w:val="20"/>
                <w:szCs w:val="20"/>
                <w:rtl/>
              </w:rPr>
              <w:t>اعتداء هتك عرض ذكر</w:t>
            </w:r>
            <w:r w:rsidR="00D166C2" w:rsidRPr="00564B9D">
              <w:rPr>
                <w:sz w:val="20"/>
                <w:szCs w:val="20"/>
                <w:rtl/>
              </w:rPr>
              <w:tab/>
            </w:r>
            <w:r w:rsidRPr="00564B9D">
              <w:rPr>
                <w:rFonts w:hint="cs"/>
                <w:sz w:val="20"/>
                <w:szCs w:val="20"/>
                <w:rtl/>
              </w:rPr>
              <w:t>1,4</w:t>
            </w:r>
          </w:p>
          <w:p w14:paraId="3A18EEFC" w14:textId="19CD06ED" w:rsidR="00494AE4" w:rsidRPr="00564B9D" w:rsidRDefault="00494AE4" w:rsidP="00D166C2">
            <w:pPr>
              <w:pStyle w:val="SingleTxtGA"/>
              <w:tabs>
                <w:tab w:val="clear" w:pos="1928"/>
                <w:tab w:val="clear" w:pos="2608"/>
                <w:tab w:val="clear" w:pos="3289"/>
                <w:tab w:val="clear" w:pos="3969"/>
                <w:tab w:val="clear" w:pos="4649"/>
                <w:tab w:val="clear" w:pos="5330"/>
                <w:tab w:val="left" w:pos="2480"/>
              </w:tabs>
              <w:spacing w:before="40" w:after="40" w:line="280" w:lineRule="exact"/>
              <w:ind w:left="0" w:right="0"/>
              <w:rPr>
                <w:sz w:val="20"/>
                <w:szCs w:val="20"/>
              </w:rPr>
            </w:pPr>
            <w:r w:rsidRPr="00564B9D">
              <w:rPr>
                <w:rFonts w:hint="cs"/>
                <w:sz w:val="20"/>
                <w:szCs w:val="20"/>
                <w:rtl/>
              </w:rPr>
              <w:t>اعتداء هتك عرض صبي</w:t>
            </w:r>
            <w:r w:rsidR="00D166C2" w:rsidRPr="00564B9D">
              <w:rPr>
                <w:sz w:val="20"/>
                <w:szCs w:val="20"/>
                <w:rtl/>
              </w:rPr>
              <w:tab/>
            </w:r>
            <w:r w:rsidRPr="00564B9D">
              <w:rPr>
                <w:rFonts w:hint="cs"/>
                <w:sz w:val="20"/>
                <w:szCs w:val="20"/>
                <w:rtl/>
              </w:rPr>
              <w:t>7,2</w:t>
            </w:r>
          </w:p>
        </w:tc>
      </w:tr>
      <w:tr w:rsidR="007B5A24" w:rsidRPr="00564B9D" w14:paraId="2CA454C1" w14:textId="77777777" w:rsidTr="00804944">
        <w:tblPrEx>
          <w:tblLook w:val="0000" w:firstRow="0" w:lastRow="0" w:firstColumn="0" w:lastColumn="0" w:noHBand="0" w:noVBand="0"/>
        </w:tblPrEx>
        <w:trPr>
          <w:trHeight w:val="240"/>
        </w:trPr>
        <w:tc>
          <w:tcPr>
            <w:tcW w:w="3986" w:type="dxa"/>
            <w:shd w:val="clear" w:color="auto" w:fill="auto"/>
          </w:tcPr>
          <w:p w14:paraId="166BF6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المدة الزمنية القصوى للاحتجاز السابق للمحاكمة (الحبس الاحتياطي)</w:t>
            </w:r>
          </w:p>
        </w:tc>
        <w:tc>
          <w:tcPr>
            <w:tcW w:w="3752" w:type="dxa"/>
            <w:gridSpan w:val="3"/>
            <w:shd w:val="clear" w:color="auto" w:fill="auto"/>
          </w:tcPr>
          <w:p w14:paraId="46D3750E" w14:textId="626F0520"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ذكور 325,</w:t>
            </w:r>
            <w:r w:rsidR="004D7844" w:rsidRPr="00564B9D">
              <w:rPr>
                <w:rFonts w:hint="cs"/>
                <w:sz w:val="20"/>
                <w:szCs w:val="20"/>
                <w:rtl/>
              </w:rPr>
              <w:t xml:space="preserve">34 </w:t>
            </w:r>
            <w:r w:rsidRPr="00564B9D">
              <w:rPr>
                <w:rFonts w:hint="cs"/>
                <w:sz w:val="20"/>
                <w:szCs w:val="20"/>
                <w:rtl/>
              </w:rPr>
              <w:t>يوماً</w:t>
            </w:r>
          </w:p>
          <w:p w14:paraId="393E78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 76,41 يوماً</w:t>
            </w:r>
          </w:p>
        </w:tc>
      </w:tr>
      <w:tr w:rsidR="007B5A24" w:rsidRPr="00564B9D" w14:paraId="3A29879D" w14:textId="77777777" w:rsidTr="00804944">
        <w:tblPrEx>
          <w:tblLook w:val="0000" w:firstRow="0" w:lastRow="0" w:firstColumn="0" w:lastColumn="0" w:noHBand="0" w:noVBand="0"/>
        </w:tblPrEx>
        <w:trPr>
          <w:trHeight w:val="47"/>
        </w:trPr>
        <w:tc>
          <w:tcPr>
            <w:tcW w:w="3986" w:type="dxa"/>
            <w:shd w:val="clear" w:color="auto" w:fill="auto"/>
          </w:tcPr>
          <w:p w14:paraId="375430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1690" w:type="dxa"/>
            <w:shd w:val="clear" w:color="auto" w:fill="auto"/>
          </w:tcPr>
          <w:p w14:paraId="33C913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المساجين بحسب طول مدة الحكم</w:t>
            </w:r>
          </w:p>
        </w:tc>
        <w:tc>
          <w:tcPr>
            <w:tcW w:w="2062" w:type="dxa"/>
            <w:gridSpan w:val="2"/>
            <w:shd w:val="clear" w:color="auto" w:fill="auto"/>
          </w:tcPr>
          <w:p w14:paraId="440977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المجاميع</w:t>
            </w:r>
          </w:p>
        </w:tc>
      </w:tr>
      <w:tr w:rsidR="007B5A24" w:rsidRPr="00564B9D" w14:paraId="5D753C4B" w14:textId="77777777" w:rsidTr="00804944">
        <w:tblPrEx>
          <w:tblLook w:val="0000" w:firstRow="0" w:lastRow="0" w:firstColumn="0" w:lastColumn="0" w:noHBand="0" w:noVBand="0"/>
        </w:tblPrEx>
        <w:trPr>
          <w:trHeight w:val="46"/>
        </w:trPr>
        <w:tc>
          <w:tcPr>
            <w:tcW w:w="3986" w:type="dxa"/>
            <w:shd w:val="clear" w:color="auto" w:fill="auto"/>
          </w:tcPr>
          <w:p w14:paraId="664473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c>
          <w:tcPr>
            <w:tcW w:w="1690" w:type="dxa"/>
            <w:shd w:val="clear" w:color="auto" w:fill="auto"/>
          </w:tcPr>
          <w:p w14:paraId="6B21B41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السجن لمدة تصل إلى سنة واحدة</w:t>
            </w:r>
          </w:p>
        </w:tc>
        <w:tc>
          <w:tcPr>
            <w:tcW w:w="700" w:type="dxa"/>
            <w:shd w:val="clear" w:color="auto" w:fill="auto"/>
          </w:tcPr>
          <w:p w14:paraId="07064BF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5</w:t>
            </w:r>
          </w:p>
        </w:tc>
        <w:tc>
          <w:tcPr>
            <w:tcW w:w="1362" w:type="dxa"/>
            <w:shd w:val="clear" w:color="auto" w:fill="auto"/>
          </w:tcPr>
          <w:p w14:paraId="179C2CF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3,4</w:t>
            </w:r>
            <w:r w:rsidRPr="00564B9D">
              <w:rPr>
                <w:sz w:val="20"/>
                <w:szCs w:val="20"/>
                <w:rtl/>
              </w:rPr>
              <w:t xml:space="preserve"> في المائة</w:t>
            </w:r>
          </w:p>
        </w:tc>
      </w:tr>
      <w:tr w:rsidR="007B5A24" w:rsidRPr="00564B9D" w14:paraId="208FD855" w14:textId="77777777" w:rsidTr="00804944">
        <w:tblPrEx>
          <w:tblLook w:val="0000" w:firstRow="0" w:lastRow="0" w:firstColumn="0" w:lastColumn="0" w:noHBand="0" w:noVBand="0"/>
        </w:tblPrEx>
        <w:trPr>
          <w:trHeight w:val="46"/>
        </w:trPr>
        <w:tc>
          <w:tcPr>
            <w:tcW w:w="3986" w:type="dxa"/>
            <w:shd w:val="clear" w:color="auto" w:fill="auto"/>
          </w:tcPr>
          <w:p w14:paraId="7596F7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c>
          <w:tcPr>
            <w:tcW w:w="1690" w:type="dxa"/>
            <w:shd w:val="clear" w:color="auto" w:fill="auto"/>
          </w:tcPr>
          <w:p w14:paraId="3B94F2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 إلى 3 سنوات</w:t>
            </w:r>
          </w:p>
        </w:tc>
        <w:tc>
          <w:tcPr>
            <w:tcW w:w="700" w:type="dxa"/>
            <w:shd w:val="clear" w:color="auto" w:fill="auto"/>
          </w:tcPr>
          <w:p w14:paraId="5C14F1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21</w:t>
            </w:r>
          </w:p>
        </w:tc>
        <w:tc>
          <w:tcPr>
            <w:tcW w:w="1362" w:type="dxa"/>
            <w:shd w:val="clear" w:color="auto" w:fill="auto"/>
          </w:tcPr>
          <w:p w14:paraId="2A9491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14,3</w:t>
            </w:r>
            <w:r w:rsidRPr="00564B9D">
              <w:rPr>
                <w:sz w:val="20"/>
                <w:szCs w:val="20"/>
                <w:rtl/>
              </w:rPr>
              <w:t xml:space="preserve"> في المائة</w:t>
            </w:r>
          </w:p>
        </w:tc>
      </w:tr>
      <w:tr w:rsidR="007B5A24" w:rsidRPr="00564B9D" w14:paraId="484BAFAD" w14:textId="77777777" w:rsidTr="00804944">
        <w:tblPrEx>
          <w:tblLook w:val="0000" w:firstRow="0" w:lastRow="0" w:firstColumn="0" w:lastColumn="0" w:noHBand="0" w:noVBand="0"/>
        </w:tblPrEx>
        <w:trPr>
          <w:trHeight w:val="46"/>
        </w:trPr>
        <w:tc>
          <w:tcPr>
            <w:tcW w:w="3986" w:type="dxa"/>
            <w:shd w:val="clear" w:color="auto" w:fill="auto"/>
          </w:tcPr>
          <w:p w14:paraId="496B03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c>
          <w:tcPr>
            <w:tcW w:w="1690" w:type="dxa"/>
            <w:shd w:val="clear" w:color="auto" w:fill="auto"/>
          </w:tcPr>
          <w:p w14:paraId="2979ED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3+ إلى 5 سنوات</w:t>
            </w:r>
          </w:p>
        </w:tc>
        <w:tc>
          <w:tcPr>
            <w:tcW w:w="700" w:type="dxa"/>
            <w:shd w:val="clear" w:color="auto" w:fill="auto"/>
          </w:tcPr>
          <w:p w14:paraId="459A25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27</w:t>
            </w:r>
          </w:p>
        </w:tc>
        <w:tc>
          <w:tcPr>
            <w:tcW w:w="1362" w:type="dxa"/>
            <w:shd w:val="clear" w:color="auto" w:fill="auto"/>
          </w:tcPr>
          <w:p w14:paraId="459A37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18,4 في المائة</w:t>
            </w:r>
          </w:p>
        </w:tc>
      </w:tr>
      <w:tr w:rsidR="007B5A24" w:rsidRPr="00564B9D" w14:paraId="24D63A82" w14:textId="77777777" w:rsidTr="00804944">
        <w:tblPrEx>
          <w:tblLook w:val="0000" w:firstRow="0" w:lastRow="0" w:firstColumn="0" w:lastColumn="0" w:noHBand="0" w:noVBand="0"/>
        </w:tblPrEx>
        <w:trPr>
          <w:trHeight w:val="46"/>
        </w:trPr>
        <w:tc>
          <w:tcPr>
            <w:tcW w:w="3986" w:type="dxa"/>
            <w:shd w:val="clear" w:color="auto" w:fill="auto"/>
          </w:tcPr>
          <w:p w14:paraId="1A9F4A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c>
          <w:tcPr>
            <w:tcW w:w="1690" w:type="dxa"/>
            <w:shd w:val="clear" w:color="auto" w:fill="auto"/>
          </w:tcPr>
          <w:p w14:paraId="6BEAA1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من 5+ إلى 10 سنوات</w:t>
            </w:r>
          </w:p>
        </w:tc>
        <w:tc>
          <w:tcPr>
            <w:tcW w:w="700" w:type="dxa"/>
            <w:shd w:val="clear" w:color="auto" w:fill="auto"/>
          </w:tcPr>
          <w:p w14:paraId="2342DE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46</w:t>
            </w:r>
          </w:p>
        </w:tc>
        <w:tc>
          <w:tcPr>
            <w:tcW w:w="1362" w:type="dxa"/>
            <w:shd w:val="clear" w:color="auto" w:fill="auto"/>
          </w:tcPr>
          <w:p w14:paraId="576A51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31,3 في المائة</w:t>
            </w:r>
          </w:p>
        </w:tc>
      </w:tr>
      <w:tr w:rsidR="007B5A24" w:rsidRPr="00564B9D" w14:paraId="723C3CE1" w14:textId="77777777" w:rsidTr="00804944">
        <w:tblPrEx>
          <w:tblLook w:val="0000" w:firstRow="0" w:lastRow="0" w:firstColumn="0" w:lastColumn="0" w:noHBand="0" w:noVBand="0"/>
        </w:tblPrEx>
        <w:trPr>
          <w:trHeight w:val="46"/>
        </w:trPr>
        <w:tc>
          <w:tcPr>
            <w:tcW w:w="3986" w:type="dxa"/>
            <w:shd w:val="clear" w:color="auto" w:fill="auto"/>
          </w:tcPr>
          <w:p w14:paraId="498F4A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c>
          <w:tcPr>
            <w:tcW w:w="1690" w:type="dxa"/>
            <w:shd w:val="clear" w:color="auto" w:fill="auto"/>
          </w:tcPr>
          <w:p w14:paraId="1921FA83" w14:textId="58248C58"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أكثر من 10 </w:t>
            </w:r>
            <w:r w:rsidR="004D7844" w:rsidRPr="00564B9D">
              <w:rPr>
                <w:rFonts w:hint="cs"/>
                <w:sz w:val="20"/>
                <w:szCs w:val="20"/>
                <w:rtl/>
              </w:rPr>
              <w:t>أعوام</w:t>
            </w:r>
          </w:p>
        </w:tc>
        <w:tc>
          <w:tcPr>
            <w:tcW w:w="700" w:type="dxa"/>
            <w:shd w:val="clear" w:color="auto" w:fill="auto"/>
          </w:tcPr>
          <w:p w14:paraId="4794303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32</w:t>
            </w:r>
          </w:p>
        </w:tc>
        <w:tc>
          <w:tcPr>
            <w:tcW w:w="1362" w:type="dxa"/>
            <w:shd w:val="clear" w:color="auto" w:fill="auto"/>
          </w:tcPr>
          <w:p w14:paraId="1B0A39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21,8 في المائة</w:t>
            </w:r>
          </w:p>
        </w:tc>
      </w:tr>
      <w:tr w:rsidR="007B5A24" w:rsidRPr="00564B9D" w14:paraId="7EB6A9D2" w14:textId="77777777" w:rsidTr="00804944">
        <w:tblPrEx>
          <w:tblLook w:val="0000" w:firstRow="0" w:lastRow="0" w:firstColumn="0" w:lastColumn="0" w:noHBand="0" w:noVBand="0"/>
        </w:tblPrEx>
        <w:trPr>
          <w:trHeight w:val="46"/>
        </w:trPr>
        <w:tc>
          <w:tcPr>
            <w:tcW w:w="3986" w:type="dxa"/>
            <w:shd w:val="clear" w:color="auto" w:fill="auto"/>
          </w:tcPr>
          <w:p w14:paraId="0BF87F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c>
          <w:tcPr>
            <w:tcW w:w="1690" w:type="dxa"/>
            <w:shd w:val="clear" w:color="auto" w:fill="auto"/>
          </w:tcPr>
          <w:p w14:paraId="5746AD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سجن مؤبد</w:t>
            </w:r>
          </w:p>
        </w:tc>
        <w:tc>
          <w:tcPr>
            <w:tcW w:w="700" w:type="dxa"/>
            <w:shd w:val="clear" w:color="auto" w:fill="auto"/>
          </w:tcPr>
          <w:p w14:paraId="4D843E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16</w:t>
            </w:r>
          </w:p>
        </w:tc>
        <w:tc>
          <w:tcPr>
            <w:tcW w:w="1362" w:type="dxa"/>
            <w:shd w:val="clear" w:color="auto" w:fill="auto"/>
          </w:tcPr>
          <w:p w14:paraId="654E0F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10,9 في المائة</w:t>
            </w:r>
          </w:p>
        </w:tc>
      </w:tr>
      <w:tr w:rsidR="007B5A24" w:rsidRPr="00564B9D" w14:paraId="15FE6E0E" w14:textId="77777777" w:rsidTr="00804944">
        <w:tblPrEx>
          <w:tblLook w:val="0000" w:firstRow="0" w:lastRow="0" w:firstColumn="0" w:lastColumn="0" w:noHBand="0" w:noVBand="0"/>
        </w:tblPrEx>
        <w:trPr>
          <w:trHeight w:val="46"/>
        </w:trPr>
        <w:tc>
          <w:tcPr>
            <w:tcW w:w="3986" w:type="dxa"/>
            <w:shd w:val="clear" w:color="auto" w:fill="auto"/>
          </w:tcPr>
          <w:p w14:paraId="409DE0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c>
          <w:tcPr>
            <w:tcW w:w="1690" w:type="dxa"/>
            <w:shd w:val="clear" w:color="auto" w:fill="auto"/>
          </w:tcPr>
          <w:p w14:paraId="03AE77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المجموع</w:t>
            </w:r>
          </w:p>
        </w:tc>
        <w:tc>
          <w:tcPr>
            <w:tcW w:w="700" w:type="dxa"/>
            <w:shd w:val="clear" w:color="auto" w:fill="auto"/>
          </w:tcPr>
          <w:p w14:paraId="57393E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147</w:t>
            </w:r>
          </w:p>
        </w:tc>
        <w:tc>
          <w:tcPr>
            <w:tcW w:w="1362" w:type="dxa"/>
            <w:shd w:val="clear" w:color="auto" w:fill="auto"/>
          </w:tcPr>
          <w:p w14:paraId="4A28B0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100 في المائة</w:t>
            </w:r>
          </w:p>
        </w:tc>
      </w:tr>
      <w:tr w:rsidR="007B5A24" w:rsidRPr="00564B9D" w14:paraId="54864C21" w14:textId="77777777" w:rsidTr="00804944">
        <w:tblPrEx>
          <w:tblLook w:val="0000" w:firstRow="0" w:lastRow="0" w:firstColumn="0" w:lastColumn="0" w:noHBand="0" w:noVBand="0"/>
        </w:tblPrEx>
        <w:trPr>
          <w:trHeight w:val="240"/>
        </w:trPr>
        <w:tc>
          <w:tcPr>
            <w:tcW w:w="3986" w:type="dxa"/>
            <w:shd w:val="clear" w:color="auto" w:fill="auto"/>
          </w:tcPr>
          <w:p w14:paraId="5CD0CA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حالات الوفاة في السجن </w:t>
            </w:r>
          </w:p>
        </w:tc>
        <w:tc>
          <w:tcPr>
            <w:tcW w:w="3752" w:type="dxa"/>
            <w:gridSpan w:val="3"/>
            <w:shd w:val="clear" w:color="auto" w:fill="auto"/>
          </w:tcPr>
          <w:p w14:paraId="50FB52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72860E36" w14:textId="77777777" w:rsidTr="00804944">
        <w:tblPrEx>
          <w:tblLook w:val="0000" w:firstRow="0" w:lastRow="0" w:firstColumn="0" w:lastColumn="0" w:noHBand="0" w:noVBand="0"/>
        </w:tblPrEx>
        <w:trPr>
          <w:trHeight w:val="240"/>
        </w:trPr>
        <w:tc>
          <w:tcPr>
            <w:tcW w:w="3986" w:type="dxa"/>
            <w:shd w:val="clear" w:color="auto" w:fill="auto"/>
          </w:tcPr>
          <w:p w14:paraId="3F235E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الأشخاص الذين تطبق عليهم عقوبة الإعدام في السنة</w:t>
            </w:r>
          </w:p>
        </w:tc>
        <w:tc>
          <w:tcPr>
            <w:tcW w:w="3752" w:type="dxa"/>
            <w:gridSpan w:val="3"/>
            <w:shd w:val="clear" w:color="auto" w:fill="auto"/>
          </w:tcPr>
          <w:p w14:paraId="4AE5F2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4CC27306" w14:textId="77777777" w:rsidTr="00804944">
        <w:tblPrEx>
          <w:tblLook w:val="0000" w:firstRow="0" w:lastRow="0" w:firstColumn="0" w:lastColumn="0" w:noHBand="0" w:noVBand="0"/>
        </w:tblPrEx>
        <w:trPr>
          <w:trHeight w:val="240"/>
        </w:trPr>
        <w:tc>
          <w:tcPr>
            <w:tcW w:w="3986" w:type="dxa"/>
            <w:shd w:val="clear" w:color="auto" w:fill="auto"/>
          </w:tcPr>
          <w:p w14:paraId="1BDC18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متوسط القضايا المتراكمة للقاضي الواحد عند مستويات مختلفة من النظام القضائي</w:t>
            </w:r>
          </w:p>
        </w:tc>
        <w:tc>
          <w:tcPr>
            <w:tcW w:w="3752" w:type="dxa"/>
            <w:gridSpan w:val="3"/>
            <w:shd w:val="clear" w:color="auto" w:fill="auto"/>
          </w:tcPr>
          <w:p w14:paraId="65B786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828C7CC" w14:textId="77777777" w:rsidTr="00804944">
        <w:tblPrEx>
          <w:tblLook w:val="0000" w:firstRow="0" w:lastRow="0" w:firstColumn="0" w:lastColumn="0" w:noHBand="0" w:noVBand="0"/>
        </w:tblPrEx>
        <w:trPr>
          <w:trHeight w:val="240"/>
        </w:trPr>
        <w:tc>
          <w:tcPr>
            <w:tcW w:w="3986" w:type="dxa"/>
            <w:shd w:val="clear" w:color="auto" w:fill="auto"/>
          </w:tcPr>
          <w:p w14:paraId="5AC382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رجال الشرطة/الأمن لكل 000</w:t>
            </w:r>
            <w:r w:rsidRPr="00564B9D">
              <w:rPr>
                <w:sz w:val="20"/>
                <w:szCs w:val="20"/>
                <w:rtl/>
              </w:rPr>
              <w:t> </w:t>
            </w:r>
            <w:r w:rsidRPr="00564B9D">
              <w:rPr>
                <w:rFonts w:hint="cs"/>
                <w:sz w:val="20"/>
                <w:szCs w:val="20"/>
                <w:rtl/>
              </w:rPr>
              <w:t xml:space="preserve">100 شخص </w:t>
            </w:r>
          </w:p>
        </w:tc>
        <w:tc>
          <w:tcPr>
            <w:tcW w:w="3752" w:type="dxa"/>
            <w:gridSpan w:val="3"/>
            <w:shd w:val="clear" w:color="auto" w:fill="auto"/>
          </w:tcPr>
          <w:p w14:paraId="1967A4C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في عام 2019، كان هناك ما يقرب من 733 من أفراد الشرطة/الأمن لكل </w:t>
            </w:r>
            <w:r w:rsidRPr="00564B9D">
              <w:rPr>
                <w:rFonts w:hint="cs"/>
                <w:sz w:val="20"/>
                <w:szCs w:val="20"/>
                <w:rtl/>
              </w:rPr>
              <w:t>000</w:t>
            </w:r>
            <w:r w:rsidRPr="00564B9D">
              <w:rPr>
                <w:sz w:val="20"/>
                <w:szCs w:val="20"/>
                <w:rtl/>
              </w:rPr>
              <w:t> 100 نسمة</w:t>
            </w:r>
          </w:p>
        </w:tc>
      </w:tr>
      <w:tr w:rsidR="007B5A24" w:rsidRPr="00564B9D" w14:paraId="6C5CE69E" w14:textId="77777777" w:rsidTr="00804944">
        <w:tblPrEx>
          <w:tblLook w:val="0000" w:firstRow="0" w:lastRow="0" w:firstColumn="0" w:lastColumn="0" w:noHBand="0" w:noVBand="0"/>
        </w:tblPrEx>
        <w:trPr>
          <w:trHeight w:val="240"/>
        </w:trPr>
        <w:tc>
          <w:tcPr>
            <w:tcW w:w="3986" w:type="dxa"/>
            <w:shd w:val="clear" w:color="auto" w:fill="auto"/>
          </w:tcPr>
          <w:p w14:paraId="0F85B9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المدعين العامين والقضاة لكل 000</w:t>
            </w:r>
            <w:r w:rsidRPr="00564B9D">
              <w:rPr>
                <w:sz w:val="20"/>
                <w:szCs w:val="20"/>
                <w:rtl/>
              </w:rPr>
              <w:t> </w:t>
            </w:r>
            <w:r w:rsidRPr="00564B9D">
              <w:rPr>
                <w:rFonts w:hint="cs"/>
                <w:sz w:val="20"/>
                <w:szCs w:val="20"/>
                <w:rtl/>
              </w:rPr>
              <w:t>100 شخص</w:t>
            </w:r>
          </w:p>
        </w:tc>
        <w:tc>
          <w:tcPr>
            <w:tcW w:w="3752" w:type="dxa"/>
            <w:gridSpan w:val="3"/>
            <w:shd w:val="clear" w:color="auto" w:fill="auto"/>
          </w:tcPr>
          <w:p w14:paraId="1832B5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1755360" w14:textId="77777777" w:rsidTr="00804944">
        <w:tblPrEx>
          <w:tblLook w:val="0000" w:firstRow="0" w:lastRow="0" w:firstColumn="0" w:lastColumn="0" w:noHBand="0" w:noVBand="0"/>
        </w:tblPrEx>
        <w:trPr>
          <w:trHeight w:val="240"/>
        </w:trPr>
        <w:tc>
          <w:tcPr>
            <w:tcW w:w="3986" w:type="dxa"/>
            <w:shd w:val="clear" w:color="auto" w:fill="auto"/>
          </w:tcPr>
          <w:p w14:paraId="43083D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الحصة من النفقات العامة على جهاز الشرطة/الأمن والجهاز القضائي</w:t>
            </w:r>
          </w:p>
        </w:tc>
        <w:tc>
          <w:tcPr>
            <w:tcW w:w="3752" w:type="dxa"/>
            <w:gridSpan w:val="3"/>
            <w:shd w:val="clear" w:color="auto" w:fill="auto"/>
          </w:tcPr>
          <w:p w14:paraId="2E3990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70BC903" w14:textId="77777777" w:rsidTr="00804944">
        <w:tblPrEx>
          <w:tblLook w:val="0000" w:firstRow="0" w:lastRow="0" w:firstColumn="0" w:lastColumn="0" w:noHBand="0" w:noVBand="0"/>
        </w:tblPrEx>
        <w:trPr>
          <w:trHeight w:val="240"/>
        </w:trPr>
        <w:tc>
          <w:tcPr>
            <w:tcW w:w="3986" w:type="dxa"/>
            <w:shd w:val="clear" w:color="auto" w:fill="auto"/>
          </w:tcPr>
          <w:p w14:paraId="3D0C85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الأشخاص الذين يتلقون مساعدة قضائية من بين المتهمين والمعتقلين الذين يتقدمون بطلبها </w:t>
            </w:r>
          </w:p>
        </w:tc>
        <w:tc>
          <w:tcPr>
            <w:tcW w:w="3752" w:type="dxa"/>
            <w:gridSpan w:val="3"/>
            <w:shd w:val="clear" w:color="auto" w:fill="auto"/>
          </w:tcPr>
          <w:p w14:paraId="246D7A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39FA281" w14:textId="77777777" w:rsidTr="00804944">
        <w:tblPrEx>
          <w:tblLook w:val="0000" w:firstRow="0" w:lastRow="0" w:firstColumn="0" w:lastColumn="0" w:noHBand="0" w:noVBand="0"/>
        </w:tblPrEx>
        <w:trPr>
          <w:trHeight w:val="240"/>
        </w:trPr>
        <w:tc>
          <w:tcPr>
            <w:tcW w:w="3986" w:type="dxa"/>
            <w:tcBorders>
              <w:bottom w:val="single" w:sz="12" w:space="0" w:color="auto"/>
            </w:tcBorders>
            <w:shd w:val="clear" w:color="auto" w:fill="auto"/>
          </w:tcPr>
          <w:p w14:paraId="3A2B2BB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الضحايا الذين تم تعويضهم بعد صدور الحكم القضائي، بحسب نوع</w:t>
            </w:r>
            <w:r w:rsidRPr="00564B9D">
              <w:rPr>
                <w:rFonts w:hint="eastAsia"/>
                <w:sz w:val="20"/>
                <w:szCs w:val="20"/>
                <w:rtl/>
              </w:rPr>
              <w:t xml:space="preserve"> </w:t>
            </w:r>
            <w:r w:rsidRPr="00564B9D">
              <w:rPr>
                <w:rFonts w:hint="cs"/>
                <w:sz w:val="20"/>
                <w:szCs w:val="20"/>
                <w:rtl/>
              </w:rPr>
              <w:t xml:space="preserve">الجريمة. </w:t>
            </w:r>
          </w:p>
        </w:tc>
        <w:tc>
          <w:tcPr>
            <w:tcW w:w="3752" w:type="dxa"/>
            <w:gridSpan w:val="3"/>
            <w:tcBorders>
              <w:bottom w:val="single" w:sz="12" w:space="0" w:color="auto"/>
            </w:tcBorders>
            <w:shd w:val="clear" w:color="auto" w:fill="auto"/>
          </w:tcPr>
          <w:p w14:paraId="2538EB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6E29FDD6" w14:textId="77777777" w:rsidR="00494AE4" w:rsidRPr="00564B9D" w:rsidRDefault="00494AE4" w:rsidP="00494AE4">
      <w:pPr>
        <w:pStyle w:val="H1GA"/>
        <w:rPr>
          <w:rtl/>
        </w:rPr>
      </w:pPr>
      <w:r w:rsidRPr="00564B9D">
        <w:rPr>
          <w:rtl/>
        </w:rPr>
        <w:lastRenderedPageBreak/>
        <w:tab/>
      </w:r>
      <w:bookmarkStart w:id="138" w:name="_Toc123044137"/>
      <w:bookmarkStart w:id="139" w:name="_Toc123044360"/>
      <w:bookmarkStart w:id="140" w:name="_Toc123044621"/>
      <w:bookmarkStart w:id="141" w:name="_Toc123044883"/>
      <w:r w:rsidRPr="00564B9D">
        <w:rPr>
          <w:rFonts w:hint="cs"/>
          <w:rtl/>
        </w:rPr>
        <w:t>باء-</w:t>
      </w:r>
      <w:r w:rsidRPr="00564B9D">
        <w:rPr>
          <w:rtl/>
        </w:rPr>
        <w:tab/>
      </w:r>
      <w:r w:rsidRPr="00564B9D">
        <w:rPr>
          <w:rFonts w:hint="cs"/>
          <w:rtl/>
        </w:rPr>
        <w:t>الهيكل الدستوري والسياسي والقانوني</w:t>
      </w:r>
      <w:bookmarkEnd w:id="138"/>
      <w:bookmarkEnd w:id="139"/>
      <w:bookmarkEnd w:id="140"/>
      <w:bookmarkEnd w:id="141"/>
    </w:p>
    <w:p w14:paraId="5BFBE5D0" w14:textId="77777777" w:rsidR="00494AE4" w:rsidRPr="00564B9D" w:rsidRDefault="00494AE4" w:rsidP="00494AE4">
      <w:pPr>
        <w:pStyle w:val="SingleTxtGA"/>
        <w:rPr>
          <w:rtl/>
        </w:rPr>
      </w:pPr>
      <w:r w:rsidRPr="00564B9D">
        <w:rPr>
          <w:rFonts w:hint="cs"/>
          <w:rtl/>
        </w:rPr>
        <w:t>75</w:t>
      </w:r>
      <w:r w:rsidRPr="00564B9D">
        <w:rPr>
          <w:rtl/>
        </w:rPr>
        <w:t>-</w:t>
      </w:r>
      <w:r w:rsidRPr="00564B9D">
        <w:rPr>
          <w:rtl/>
        </w:rPr>
        <w:tab/>
      </w:r>
      <w:r w:rsidRPr="00564B9D">
        <w:rPr>
          <w:rFonts w:hint="cs"/>
          <w:rtl/>
        </w:rPr>
        <w:t>دخل دستور جديد لجزر كايمان</w:t>
      </w:r>
      <w:r w:rsidRPr="00564B9D">
        <w:rPr>
          <w:vertAlign w:val="superscript"/>
          <w:rtl/>
        </w:rPr>
        <w:t>(</w:t>
      </w:r>
      <w:r w:rsidRPr="00564B9D">
        <w:rPr>
          <w:rStyle w:val="FootnoteReference"/>
          <w:rFonts w:cs="Simplified Arabic"/>
          <w:b w:val="0"/>
          <w:sz w:val="22"/>
          <w:szCs w:val="22"/>
          <w:rtl/>
          <w:lang w:val="en-US"/>
        </w:rPr>
        <w:footnoteReference w:id="238"/>
      </w:r>
      <w:r w:rsidRPr="00564B9D">
        <w:rPr>
          <w:vertAlign w:val="superscript"/>
          <w:rtl/>
        </w:rPr>
        <w:t>)</w:t>
      </w:r>
      <w:r w:rsidRPr="00564B9D">
        <w:rPr>
          <w:rFonts w:hint="cs"/>
          <w:rtl/>
        </w:rPr>
        <w:t xml:space="preserve"> حيّز النفاذ في تشرين الثاني/نوفمبر 2009 من خلال القانون الدستوري لجزر كايمان لعام 2009</w:t>
      </w:r>
      <w:r w:rsidRPr="00564B9D">
        <w:rPr>
          <w:vertAlign w:val="superscript"/>
          <w:rtl/>
        </w:rPr>
        <w:t>(</w:t>
      </w:r>
      <w:r w:rsidRPr="00564B9D">
        <w:rPr>
          <w:rStyle w:val="FootnoteReference"/>
          <w:rFonts w:cs="Simplified Arabic"/>
          <w:b w:val="0"/>
          <w:sz w:val="22"/>
          <w:szCs w:val="22"/>
          <w:rtl/>
          <w:lang w:val="en-US"/>
        </w:rPr>
        <w:footnoteReference w:id="239"/>
      </w:r>
      <w:r w:rsidRPr="00564B9D">
        <w:rPr>
          <w:vertAlign w:val="superscript"/>
          <w:rtl/>
        </w:rPr>
        <w:t>)</w:t>
      </w:r>
      <w:r w:rsidRPr="00564B9D">
        <w:rPr>
          <w:rFonts w:hint="cs"/>
          <w:rtl/>
        </w:rPr>
        <w:t>.</w:t>
      </w:r>
      <w:r w:rsidRPr="00564B9D">
        <w:rPr>
          <w:rtl/>
        </w:rPr>
        <w:t xml:space="preserve"> </w:t>
      </w:r>
      <w:r w:rsidRPr="00564B9D">
        <w:rPr>
          <w:rFonts w:hint="cs"/>
          <w:rtl/>
        </w:rPr>
        <w:t>وعُدل</w:t>
      </w:r>
      <w:r w:rsidRPr="00564B9D">
        <w:rPr>
          <w:rtl/>
        </w:rPr>
        <w:t xml:space="preserve"> الدستور بموجب مرسوم (</w:t>
      </w:r>
      <w:r w:rsidRPr="00564B9D">
        <w:rPr>
          <w:rFonts w:hint="cs"/>
          <w:rtl/>
        </w:rPr>
        <w:t>التعديل</w:t>
      </w:r>
      <w:r w:rsidRPr="00564B9D">
        <w:rPr>
          <w:rtl/>
        </w:rPr>
        <w:t xml:space="preserve">) </w:t>
      </w:r>
      <w:r w:rsidRPr="00564B9D">
        <w:rPr>
          <w:rFonts w:hint="cs"/>
          <w:rtl/>
        </w:rPr>
        <w:t>ال</w:t>
      </w:r>
      <w:r w:rsidRPr="00564B9D">
        <w:rPr>
          <w:rtl/>
        </w:rPr>
        <w:t>دستور</w:t>
      </w:r>
      <w:r w:rsidRPr="00564B9D">
        <w:rPr>
          <w:rFonts w:hint="cs"/>
          <w:rtl/>
        </w:rPr>
        <w:t>ي</w:t>
      </w:r>
      <w:r w:rsidRPr="00564B9D">
        <w:rPr>
          <w:rtl/>
        </w:rPr>
        <w:t xml:space="preserve"> </w:t>
      </w:r>
      <w:r w:rsidRPr="00564B9D">
        <w:rPr>
          <w:rFonts w:hint="cs"/>
          <w:rtl/>
        </w:rPr>
        <w:t>ل</w:t>
      </w:r>
      <w:r w:rsidRPr="00564B9D">
        <w:rPr>
          <w:rtl/>
        </w:rPr>
        <w:t xml:space="preserve">جزر كايمان لعام 2016 </w:t>
      </w:r>
      <w:r w:rsidRPr="00564B9D">
        <w:rPr>
          <w:rFonts w:hint="cs"/>
          <w:rtl/>
        </w:rPr>
        <w:t>و</w:t>
      </w:r>
      <w:r w:rsidRPr="00564B9D">
        <w:rPr>
          <w:rtl/>
        </w:rPr>
        <w:t>بموجب مرسوم (</w:t>
      </w:r>
      <w:r w:rsidRPr="00564B9D">
        <w:rPr>
          <w:rFonts w:hint="cs"/>
          <w:rtl/>
        </w:rPr>
        <w:t>التعديل</w:t>
      </w:r>
      <w:r w:rsidRPr="00564B9D">
        <w:rPr>
          <w:rtl/>
        </w:rPr>
        <w:t xml:space="preserve">) </w:t>
      </w:r>
      <w:r w:rsidRPr="00564B9D">
        <w:rPr>
          <w:rFonts w:hint="cs"/>
          <w:rtl/>
        </w:rPr>
        <w:t>ال</w:t>
      </w:r>
      <w:r w:rsidRPr="00564B9D">
        <w:rPr>
          <w:rtl/>
        </w:rPr>
        <w:t>دستور</w:t>
      </w:r>
      <w:r w:rsidRPr="00564B9D">
        <w:rPr>
          <w:rFonts w:hint="cs"/>
          <w:rtl/>
        </w:rPr>
        <w:t>ي</w:t>
      </w:r>
      <w:r w:rsidRPr="00564B9D">
        <w:rPr>
          <w:rtl/>
        </w:rPr>
        <w:t xml:space="preserve"> </w:t>
      </w:r>
      <w:r w:rsidRPr="00564B9D">
        <w:rPr>
          <w:rFonts w:hint="cs"/>
          <w:rtl/>
        </w:rPr>
        <w:t>ل</w:t>
      </w:r>
      <w:r w:rsidRPr="00564B9D">
        <w:rPr>
          <w:rtl/>
        </w:rPr>
        <w:t xml:space="preserve">جزر كايمان لعام 2020. </w:t>
      </w:r>
    </w:p>
    <w:p w14:paraId="69AC4C21" w14:textId="77777777" w:rsidR="00494AE4" w:rsidRPr="00564B9D" w:rsidRDefault="00494AE4" w:rsidP="00494AE4">
      <w:pPr>
        <w:pStyle w:val="H23GA"/>
        <w:rPr>
          <w:rtl/>
        </w:rPr>
      </w:pPr>
      <w:r w:rsidRPr="00564B9D">
        <w:rPr>
          <w:rtl/>
        </w:rPr>
        <w:tab/>
      </w:r>
      <w:r w:rsidRPr="00564B9D">
        <w:rPr>
          <w:rtl/>
        </w:rPr>
        <w:tab/>
        <w:t>البرلمان</w:t>
      </w:r>
      <w:r w:rsidRPr="00564B9D">
        <w:rPr>
          <w:b w:val="0"/>
          <w:bCs w:val="0"/>
          <w:vertAlign w:val="superscript"/>
          <w:rtl/>
        </w:rPr>
        <w:t>(</w:t>
      </w:r>
      <w:r w:rsidRPr="00564B9D">
        <w:rPr>
          <w:rStyle w:val="FootnoteReference"/>
          <w:rFonts w:cs="Simplified Arabic"/>
          <w:bCs w:val="0"/>
          <w:sz w:val="22"/>
          <w:szCs w:val="22"/>
          <w:rtl/>
          <w:lang w:val="en-US"/>
        </w:rPr>
        <w:footnoteReference w:id="240"/>
      </w:r>
      <w:r w:rsidRPr="00564B9D">
        <w:rPr>
          <w:b w:val="0"/>
          <w:bCs w:val="0"/>
          <w:vertAlign w:val="superscript"/>
          <w:rtl/>
        </w:rPr>
        <w:t>)</w:t>
      </w:r>
      <w:r w:rsidRPr="00564B9D">
        <w:rPr>
          <w:rtl/>
        </w:rPr>
        <w:t xml:space="preserve"> </w:t>
      </w:r>
    </w:p>
    <w:p w14:paraId="77D24309" w14:textId="77777777" w:rsidR="00494AE4" w:rsidRPr="00564B9D" w:rsidRDefault="00494AE4" w:rsidP="00494AE4">
      <w:pPr>
        <w:pStyle w:val="SingleTxtGA"/>
      </w:pPr>
      <w:r w:rsidRPr="00564B9D">
        <w:rPr>
          <w:rFonts w:hint="cs"/>
          <w:rtl/>
        </w:rPr>
        <w:t>76</w:t>
      </w:r>
      <w:r w:rsidRPr="00564B9D">
        <w:rPr>
          <w:rtl/>
        </w:rPr>
        <w:t>-</w:t>
      </w:r>
      <w:r w:rsidRPr="00564B9D">
        <w:rPr>
          <w:rtl/>
        </w:rPr>
        <w:tab/>
      </w:r>
      <w:r w:rsidRPr="00564B9D">
        <w:rPr>
          <w:rFonts w:hint="cs"/>
          <w:rtl/>
        </w:rPr>
        <w:t>يمثل الأعضاء المنتخبون حالياً للبرلمان والبالغ عددهم 19 عضواً مناطق انتخابية ذات عضو واحد</w:t>
      </w:r>
      <w:r w:rsidRPr="00564B9D">
        <w:rPr>
          <w:rtl/>
        </w:rPr>
        <w:t xml:space="preserve">. </w:t>
      </w:r>
      <w:r w:rsidRPr="00564B9D">
        <w:rPr>
          <w:rFonts w:hint="cs"/>
          <w:rtl/>
        </w:rPr>
        <w:t xml:space="preserve">وهناك </w:t>
      </w:r>
      <w:r w:rsidRPr="00564B9D">
        <w:rPr>
          <w:rtl/>
        </w:rPr>
        <w:t xml:space="preserve">سبع عشرة دائرة انتخابية ذات عضو واحد في </w:t>
      </w:r>
      <w:r w:rsidRPr="00564B9D">
        <w:rPr>
          <w:rFonts w:hint="cs"/>
          <w:rtl/>
        </w:rPr>
        <w:t>غ</w:t>
      </w:r>
      <w:r w:rsidRPr="00564B9D">
        <w:rPr>
          <w:rtl/>
        </w:rPr>
        <w:t>راند كايمان، بينما توجد الدائرتان المتبقيتان في كايمان براك وليتل كايمان</w:t>
      </w:r>
      <w:r w:rsidRPr="00564B9D">
        <w:rPr>
          <w:rFonts w:hint="cs"/>
          <w:rtl/>
        </w:rPr>
        <w:t>.</w:t>
      </w:r>
    </w:p>
    <w:p w14:paraId="58629E6A" w14:textId="77777777" w:rsidR="00494AE4" w:rsidRPr="00564B9D" w:rsidRDefault="00494AE4" w:rsidP="00494AE4">
      <w:pPr>
        <w:pStyle w:val="SingleTxtGA"/>
        <w:rPr>
          <w:rtl/>
        </w:rPr>
      </w:pPr>
      <w:r w:rsidRPr="00564B9D">
        <w:rPr>
          <w:rFonts w:hint="cs"/>
          <w:rtl/>
        </w:rPr>
        <w:t>77</w:t>
      </w:r>
      <w:r w:rsidRPr="00564B9D">
        <w:rPr>
          <w:rtl/>
        </w:rPr>
        <w:t>-</w:t>
      </w:r>
      <w:r w:rsidRPr="00564B9D">
        <w:rPr>
          <w:rtl/>
        </w:rPr>
        <w:tab/>
      </w:r>
      <w:r w:rsidRPr="00564B9D">
        <w:rPr>
          <w:rFonts w:hint="cs"/>
          <w:rtl/>
        </w:rPr>
        <w:t>ويجب على الحاكم أن يحل البرلمان بعد مضي أربع سنوات على أول اجتماعٍ له، ما لم يكن قد حلت في وقت سابق، على أن تُجرى الانتخابات العامة في غضون شهرين من حل الجمعية.</w:t>
      </w:r>
    </w:p>
    <w:p w14:paraId="5A6422F2"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p>
    <w:p w14:paraId="4E9D80F8" w14:textId="77777777" w:rsidR="00494AE4" w:rsidRPr="00564B9D" w:rsidRDefault="00494AE4" w:rsidP="00494AE4">
      <w:pPr>
        <w:pStyle w:val="SingleTxtGA"/>
        <w:rPr>
          <w:rtl/>
        </w:rPr>
      </w:pPr>
      <w:r w:rsidRPr="00564B9D">
        <w:rPr>
          <w:rFonts w:hint="cs"/>
          <w:rtl/>
        </w:rPr>
        <w:t>78</w:t>
      </w:r>
      <w:r w:rsidRPr="00564B9D">
        <w:rPr>
          <w:rtl/>
        </w:rPr>
        <w:t>-</w:t>
      </w:r>
      <w:r w:rsidRPr="00564B9D">
        <w:rPr>
          <w:rtl/>
        </w:rPr>
        <w:tab/>
      </w:r>
      <w:r w:rsidRPr="00564B9D">
        <w:rPr>
          <w:rFonts w:hint="cs"/>
          <w:rtl/>
        </w:rPr>
        <w:t>يرأس مجلس الوزراء الحاكم الذي تعينه حكومة المملكة المتحدة، والذي يجب التماس مشورته إلا في مسائل الدفاع والشؤون الخارجية والأمن الداخلي والشرطة والخدمة المدنية. وفي </w:t>
      </w:r>
      <w:r w:rsidRPr="00564B9D">
        <w:rPr>
          <w:rtl/>
        </w:rPr>
        <w:t>حال غياب الحاكم عن أي اجتماع لمجلس الوزراء، يترأس رئيس الوزراء</w:t>
      </w:r>
      <w:r w:rsidRPr="00564B9D">
        <w:rPr>
          <w:rFonts w:hint="cs"/>
          <w:rtl/>
        </w:rPr>
        <w:t xml:space="preserve"> </w:t>
      </w:r>
      <w:r w:rsidRPr="00564B9D">
        <w:rPr>
          <w:rtl/>
        </w:rPr>
        <w:t>مجلس الوزراء. كما </w:t>
      </w:r>
      <w:r w:rsidRPr="00564B9D">
        <w:rPr>
          <w:rFonts w:hint="cs"/>
          <w:rtl/>
        </w:rPr>
        <w:t>يعين الحاكم أعضاء الجهاز القضائي ويشرف على أمور الخدمة المدنية.</w:t>
      </w:r>
    </w:p>
    <w:p w14:paraId="0B6988E2" w14:textId="77777777" w:rsidR="00494AE4" w:rsidRPr="00564B9D" w:rsidRDefault="00494AE4" w:rsidP="00494AE4">
      <w:pPr>
        <w:pStyle w:val="SingleTxtGA"/>
        <w:rPr>
          <w:rtl/>
        </w:rPr>
      </w:pPr>
      <w:r w:rsidRPr="00564B9D">
        <w:rPr>
          <w:rFonts w:hint="cs"/>
          <w:rtl/>
        </w:rPr>
        <w:t>79</w:t>
      </w:r>
      <w:r w:rsidRPr="00564B9D">
        <w:rPr>
          <w:rtl/>
        </w:rPr>
        <w:t>-</w:t>
      </w:r>
      <w:r w:rsidRPr="00564B9D">
        <w:rPr>
          <w:rtl/>
        </w:rPr>
        <w:tab/>
      </w:r>
      <w:r w:rsidRPr="00564B9D">
        <w:rPr>
          <w:rFonts w:hint="cs"/>
          <w:rtl/>
        </w:rPr>
        <w:t xml:space="preserve">ويتألف مجلس الوزراء من عضوين رسميين وسبعة وزراء؛ </w:t>
      </w:r>
      <w:r w:rsidRPr="00564B9D">
        <w:rPr>
          <w:rtl/>
        </w:rPr>
        <w:t>أحدهم نائب رئيس الوزراء</w:t>
      </w:r>
      <w:r w:rsidRPr="00564B9D">
        <w:rPr>
          <w:rFonts w:hint="cs"/>
          <w:rtl/>
        </w:rPr>
        <w:t xml:space="preserve">. والعضوان الرسميان هما نائب الحاكم والنائب العام. </w:t>
      </w:r>
      <w:r w:rsidRPr="00564B9D">
        <w:rPr>
          <w:rtl/>
        </w:rPr>
        <w:t xml:space="preserve">يتم تعيين نائب الحاكم من قبل الحاكم وفقاً لتعليمات </w:t>
      </w:r>
      <w:r w:rsidRPr="00564B9D">
        <w:rPr>
          <w:rFonts w:hint="cs"/>
          <w:rtl/>
        </w:rPr>
        <w:t>صاحب ال</w:t>
      </w:r>
      <w:r w:rsidRPr="00564B9D">
        <w:rPr>
          <w:rtl/>
        </w:rPr>
        <w:t xml:space="preserve">جلالة، بينما يتم تعيين النائب العام من قبل الحاكم وفقاً لنصيحة </w:t>
      </w:r>
      <w:r w:rsidRPr="00564B9D">
        <w:rPr>
          <w:rFonts w:hint="cs"/>
          <w:rtl/>
        </w:rPr>
        <w:t>لجنة</w:t>
      </w:r>
      <w:r w:rsidRPr="00564B9D">
        <w:rPr>
          <w:rtl/>
        </w:rPr>
        <w:t xml:space="preserve"> الخدمات القضائية والقانونية</w:t>
      </w:r>
      <w:r w:rsidRPr="00564B9D">
        <w:rPr>
          <w:rFonts w:hint="cs"/>
          <w:rtl/>
        </w:rPr>
        <w:t>. و</w:t>
      </w:r>
      <w:r w:rsidRPr="00564B9D">
        <w:rPr>
          <w:rtl/>
        </w:rPr>
        <w:t>نائب الحاكم والمدعي العام هم أيضاً بحكم منصبهم</w:t>
      </w:r>
      <w:r w:rsidRPr="00564B9D">
        <w:rPr>
          <w:rFonts w:hint="cs"/>
          <w:rtl/>
        </w:rPr>
        <w:t>ا</w:t>
      </w:r>
      <w:r w:rsidRPr="00564B9D">
        <w:rPr>
          <w:rtl/>
        </w:rPr>
        <w:t xml:space="preserve"> </w:t>
      </w:r>
      <w:r w:rsidRPr="00564B9D">
        <w:rPr>
          <w:rFonts w:hint="cs"/>
          <w:rtl/>
        </w:rPr>
        <w:t>عضوان</w:t>
      </w:r>
      <w:r w:rsidRPr="00564B9D">
        <w:rPr>
          <w:rtl/>
        </w:rPr>
        <w:t xml:space="preserve"> في البرلمان</w:t>
      </w:r>
      <w:r w:rsidRPr="00564B9D">
        <w:rPr>
          <w:rFonts w:hint="cs"/>
          <w:rtl/>
        </w:rPr>
        <w:t xml:space="preserve"> لا </w:t>
      </w:r>
      <w:r w:rsidRPr="00564B9D">
        <w:rPr>
          <w:rtl/>
        </w:rPr>
        <w:t>يحق لهم التصويت</w:t>
      </w:r>
      <w:r w:rsidRPr="00564B9D">
        <w:rPr>
          <w:rFonts w:hint="cs"/>
          <w:rtl/>
        </w:rPr>
        <w:t>. كما </w:t>
      </w:r>
      <w:r w:rsidRPr="00564B9D">
        <w:rPr>
          <w:rtl/>
        </w:rPr>
        <w:t>يعين الحاكم الوزراء السبعة المتبقين بناءً على مشورة رئيس الوزراء. كما </w:t>
      </w:r>
      <w:r w:rsidRPr="00564B9D">
        <w:rPr>
          <w:rFonts w:hint="cs"/>
          <w:rtl/>
        </w:rPr>
        <w:t xml:space="preserve">يوزع الحاكم </w:t>
      </w:r>
      <w:r w:rsidRPr="00564B9D">
        <w:rPr>
          <w:rtl/>
        </w:rPr>
        <w:t xml:space="preserve">حقائب المسؤوليات على الوزراء بناء على </w:t>
      </w:r>
      <w:r w:rsidRPr="00564B9D">
        <w:rPr>
          <w:rFonts w:hint="cs"/>
          <w:rtl/>
        </w:rPr>
        <w:t>مشورة</w:t>
      </w:r>
      <w:r w:rsidRPr="00564B9D">
        <w:rPr>
          <w:rtl/>
        </w:rPr>
        <w:t xml:space="preserve"> رئيس الوزراء</w:t>
      </w:r>
      <w:r w:rsidRPr="00564B9D">
        <w:rPr>
          <w:rFonts w:hint="cs"/>
          <w:rtl/>
        </w:rPr>
        <w:t>. وبموجب مبدأ المسؤولية الجماعية، يعتبر جميع الأعضاء ملزمين بتقديم الدعم في الجمعية لأي من التدابير التي يوافق عليها مجلس الوزراء.</w:t>
      </w:r>
    </w:p>
    <w:p w14:paraId="6AB4F0F5" w14:textId="77777777" w:rsidR="00494AE4" w:rsidRPr="00564B9D" w:rsidRDefault="00494AE4" w:rsidP="00494AE4">
      <w:pPr>
        <w:pStyle w:val="SingleTxtGA"/>
        <w:rPr>
          <w:rtl/>
        </w:rPr>
      </w:pPr>
      <w:r w:rsidRPr="00564B9D">
        <w:rPr>
          <w:rFonts w:hint="cs"/>
          <w:rtl/>
        </w:rPr>
        <w:t>80</w:t>
      </w:r>
      <w:r w:rsidRPr="00564B9D">
        <w:rPr>
          <w:rtl/>
        </w:rPr>
        <w:t>-</w:t>
      </w:r>
      <w:r w:rsidRPr="00564B9D">
        <w:rPr>
          <w:rtl/>
        </w:rPr>
        <w:tab/>
      </w:r>
      <w:r w:rsidRPr="00564B9D">
        <w:rPr>
          <w:rFonts w:hint="cs"/>
          <w:rtl/>
        </w:rPr>
        <w:t xml:space="preserve">وتضطلع بأعمال الحكومة قرابة 80 من الإدارات والأقسام والوحدات، ينضم إليها عدد من المجالس والسلطات التشريعية التي تُقام لأغراض محددة، من قبيل </w:t>
      </w:r>
      <w:r w:rsidRPr="00564B9D">
        <w:rPr>
          <w:rtl/>
        </w:rPr>
        <w:t>هيئة الموانئ</w:t>
      </w:r>
      <w:r w:rsidRPr="00564B9D">
        <w:rPr>
          <w:rFonts w:hint="cs"/>
          <w:rtl/>
        </w:rPr>
        <w:t>، وهيئة الطيران المدني، ومجلس الهجرة، وهيئة إدارة المياه، ومجلس محافظي الكليات الجامعية، والهيئة الوطنية للمعاشات التقاعدية، ولجنة التأمينات الصحية.</w:t>
      </w:r>
    </w:p>
    <w:p w14:paraId="3A8CE350"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r w:rsidRPr="00564B9D">
        <w:rPr>
          <w:b w:val="0"/>
          <w:bCs w:val="0"/>
          <w:vertAlign w:val="superscript"/>
          <w:rtl/>
        </w:rPr>
        <w:t>(</w:t>
      </w:r>
      <w:r w:rsidRPr="00564B9D">
        <w:rPr>
          <w:rStyle w:val="FootnoteReference"/>
          <w:rFonts w:cs="Simplified Arabic"/>
          <w:bCs w:val="0"/>
          <w:sz w:val="22"/>
          <w:szCs w:val="22"/>
          <w:rtl/>
          <w:lang w:val="en-US"/>
        </w:rPr>
        <w:footnoteReference w:id="241"/>
      </w:r>
      <w:r w:rsidRPr="00564B9D">
        <w:rPr>
          <w:b w:val="0"/>
          <w:bCs w:val="0"/>
          <w:vertAlign w:val="superscript"/>
          <w:rtl/>
        </w:rPr>
        <w:t>)</w:t>
      </w:r>
      <w:r w:rsidRPr="00564B9D">
        <w:rPr>
          <w:rFonts w:hint="cs"/>
          <w:rtl/>
        </w:rPr>
        <w:t xml:space="preserve"> </w:t>
      </w:r>
    </w:p>
    <w:p w14:paraId="49F934A7" w14:textId="77777777" w:rsidR="00494AE4" w:rsidRPr="00564B9D" w:rsidRDefault="00494AE4" w:rsidP="00494AE4">
      <w:pPr>
        <w:pStyle w:val="SingleTxtGA"/>
      </w:pPr>
      <w:r w:rsidRPr="00564B9D">
        <w:rPr>
          <w:rFonts w:hint="cs"/>
          <w:rtl/>
        </w:rPr>
        <w:t>81</w:t>
      </w:r>
      <w:r w:rsidRPr="00564B9D">
        <w:rPr>
          <w:rtl/>
        </w:rPr>
        <w:t>-</w:t>
      </w:r>
      <w:r w:rsidRPr="00564B9D">
        <w:rPr>
          <w:rtl/>
        </w:rPr>
        <w:tab/>
      </w:r>
      <w:r w:rsidRPr="00564B9D">
        <w:rPr>
          <w:rFonts w:hint="cs"/>
          <w:rtl/>
        </w:rPr>
        <w:t xml:space="preserve">ويوجد لدى جزر كايمان رئيس للقضاة، وخمسة قضاة يعملون بشكل متفرغ، وثلاثة قضاة يعملون على أساس غير متفرغ، وخمسة من قضاة المحاكم الجزئية، وأكثر من 210 من قضاة الصلح. </w:t>
      </w:r>
      <w:r w:rsidRPr="00564B9D">
        <w:rPr>
          <w:rFonts w:hint="cs"/>
          <w:rtl/>
        </w:rPr>
        <w:lastRenderedPageBreak/>
        <w:t xml:space="preserve">ويعين الحاكم قضاة المحاكم الجزئية والقضاة ورئيس القضاة بناءً على مشورة لجنة الخدمات القضائية والقانونية، وهي هيئة أنشئت بموجب دستور عام 2009. </w:t>
      </w:r>
    </w:p>
    <w:p w14:paraId="7865B42B" w14:textId="77777777" w:rsidR="00494AE4" w:rsidRPr="00564B9D" w:rsidRDefault="00494AE4" w:rsidP="00494AE4">
      <w:pPr>
        <w:pStyle w:val="SingleTxtGA"/>
        <w:rPr>
          <w:rtl/>
        </w:rPr>
      </w:pPr>
      <w:r w:rsidRPr="00564B9D">
        <w:rPr>
          <w:rFonts w:hint="cs"/>
          <w:rtl/>
        </w:rPr>
        <w:t>82</w:t>
      </w:r>
      <w:r w:rsidRPr="00564B9D">
        <w:rPr>
          <w:rtl/>
        </w:rPr>
        <w:t>-</w:t>
      </w:r>
      <w:r w:rsidRPr="00564B9D">
        <w:rPr>
          <w:rtl/>
        </w:rPr>
        <w:tab/>
      </w:r>
      <w:r w:rsidRPr="00564B9D">
        <w:rPr>
          <w:rFonts w:hint="cs"/>
          <w:rtl/>
        </w:rPr>
        <w:t xml:space="preserve">وتدار العدالة في جزر كايمان على ثلاثة مستويات - في محكمة القضاء المستعجل (بما في ذلك محاكم الشباب والأحداث والأسرة ومحاكم إعادة التأهيل من المخدرات </w:t>
      </w:r>
      <w:r w:rsidRPr="00564B9D">
        <w:rPr>
          <w:rtl/>
        </w:rPr>
        <w:t>والعنف المنزلي ومحكمة الصحة العقلية</w:t>
      </w:r>
      <w:r w:rsidRPr="00564B9D">
        <w:rPr>
          <w:rFonts w:hint="cs"/>
          <w:rtl/>
        </w:rPr>
        <w:t>)، والمحكمة الكبرى ومحكمة الاستئناف. ولدى محكمة الأحداث ولاية قضائية عامة لمحاكمة جميع الأفعال الجرمية المستعجلة التي يرتكبها أحداث تقل أعمارهم عن 17 سنة. و</w:t>
      </w:r>
      <w:r w:rsidRPr="00564B9D">
        <w:rPr>
          <w:rtl/>
        </w:rPr>
        <w:t xml:space="preserve">للمحكمة الجزئية اختصاص مدني وجنائي. </w:t>
      </w:r>
      <w:r w:rsidRPr="00564B9D">
        <w:rPr>
          <w:rFonts w:hint="cs"/>
          <w:rtl/>
        </w:rPr>
        <w:t>وتجري تحقيقات قاضي الوفيات في محكمة القضاء المستعجل حيث يجتمع قاضٍ من قضاة المحكمة الجزئية مع هيئة محلفين بوصفه قاضي التحقيق في جزر كايمان. وتُحال دعاوى الاستئناف من محكمة القضاء المستعجل إلى المحكمة الكبرى. وتعتبر المحكمة الكبرى محكمة تدوينية عليا وتدير القانون العام وقانون المساواة الخاص بإنكلترا، فضلاً عن القوانين التي تُسنَّ وتطبق محلياً. وفي تشرين الثاني/نوفمبر 2009، افتتحت شعبة مخصصة للخدمات المالية لدى المحكمة الكبرى. وتُحال دعاوى الاستئناف من المحكمة الكبرى إلى محكمة استئناف جزر كايمان، التي تتألف من رئيس للمحكمة وما لا يقل عن اثنين من قضاة الاستئناف. وتُحال دعاوى الاستئناف الأخرى، في أوضاع معينة، إلى اللجنة القضائية للمجلس الملكي الخاص في لندن.</w:t>
      </w:r>
    </w:p>
    <w:p w14:paraId="70BDDD17" w14:textId="77777777" w:rsidR="00494AE4" w:rsidRPr="00564B9D" w:rsidRDefault="00494AE4" w:rsidP="00494AE4">
      <w:pPr>
        <w:pStyle w:val="HChGA"/>
        <w:rPr>
          <w:rtl/>
        </w:rPr>
      </w:pPr>
      <w:r w:rsidRPr="00564B9D">
        <w:rPr>
          <w:rtl/>
        </w:rPr>
        <w:tab/>
      </w:r>
      <w:bookmarkStart w:id="142" w:name="_Toc123044138"/>
      <w:bookmarkStart w:id="143" w:name="_Toc123044361"/>
      <w:bookmarkStart w:id="144" w:name="_Toc123044622"/>
      <w:bookmarkStart w:id="145" w:name="_Toc123044884"/>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142"/>
      <w:bookmarkEnd w:id="143"/>
      <w:bookmarkEnd w:id="144"/>
      <w:bookmarkEnd w:id="145"/>
    </w:p>
    <w:p w14:paraId="3ED7A4C8" w14:textId="77777777" w:rsidR="00494AE4" w:rsidRPr="00564B9D" w:rsidRDefault="00494AE4" w:rsidP="00494AE4">
      <w:pPr>
        <w:pStyle w:val="H1GA"/>
        <w:rPr>
          <w:rtl/>
        </w:rPr>
      </w:pPr>
      <w:r w:rsidRPr="00564B9D">
        <w:rPr>
          <w:rtl/>
        </w:rPr>
        <w:tab/>
      </w:r>
      <w:bookmarkStart w:id="146" w:name="_Toc123044139"/>
      <w:bookmarkStart w:id="147" w:name="_Toc123044362"/>
      <w:bookmarkStart w:id="148" w:name="_Toc123044623"/>
      <w:bookmarkStart w:id="149" w:name="_Toc123044885"/>
      <w:r w:rsidRPr="00564B9D">
        <w:rPr>
          <w:rtl/>
        </w:rPr>
        <w:t>ألف-</w:t>
      </w:r>
      <w:r w:rsidRPr="00564B9D">
        <w:rPr>
          <w:rtl/>
        </w:rPr>
        <w:tab/>
      </w:r>
      <w:r w:rsidRPr="00564B9D">
        <w:rPr>
          <w:rFonts w:hint="cs"/>
          <w:rtl/>
        </w:rPr>
        <w:t>قبول معايير حقوق الإنسان الدولية</w:t>
      </w:r>
      <w:bookmarkEnd w:id="146"/>
      <w:bookmarkEnd w:id="147"/>
      <w:bookmarkEnd w:id="148"/>
      <w:bookmarkEnd w:id="149"/>
    </w:p>
    <w:p w14:paraId="71D95602" w14:textId="77777777" w:rsidR="00494AE4" w:rsidRPr="00564B9D" w:rsidRDefault="00494AE4" w:rsidP="00494AE4">
      <w:pPr>
        <w:pStyle w:val="SingleTxtGA"/>
        <w:rPr>
          <w:rtl/>
        </w:rPr>
      </w:pPr>
      <w:r w:rsidRPr="00564B9D">
        <w:rPr>
          <w:rFonts w:hint="cs"/>
          <w:rtl/>
        </w:rPr>
        <w:t>83</w:t>
      </w:r>
      <w:r w:rsidRPr="00564B9D">
        <w:rPr>
          <w:rtl/>
        </w:rPr>
        <w:t>-</w:t>
      </w:r>
      <w:r w:rsidRPr="00564B9D">
        <w:rPr>
          <w:rtl/>
        </w:rPr>
        <w:tab/>
      </w:r>
      <w:r w:rsidRPr="00564B9D">
        <w:rPr>
          <w:rFonts w:hint="cs"/>
          <w:rtl/>
        </w:rPr>
        <w:t>تم توسيع نطاق الصكوك الدولية الرئيسية التالية لتشمل جزر كايمان</w:t>
      </w:r>
      <w:r w:rsidRPr="00564B9D">
        <w:rPr>
          <w:rtl/>
        </w:rPr>
        <w:t>.</w:t>
      </w:r>
    </w:p>
    <w:p w14:paraId="39C58443"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696FC9C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مناهضة التعذيب وغيره من ضروب المعاملة أو العقوبة القاسية أو اللاإنسانية أو المهينة؛ اتفاقية حقوق الطفل؛</w:t>
      </w:r>
      <w:r w:rsidRPr="00564B9D">
        <w:rPr>
          <w:rtl/>
        </w:rPr>
        <w:t xml:space="preserve"> اتفاقية القضاء على جميع أشكال التمييز ضد المرأة</w:t>
      </w:r>
      <w:r w:rsidRPr="00564B9D">
        <w:rPr>
          <w:rFonts w:hint="cs"/>
          <w:rtl/>
        </w:rPr>
        <w:t>.</w:t>
      </w:r>
    </w:p>
    <w:p w14:paraId="009D4738"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2CC1D3FC"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المتعلقة بوضع اللاجئين (وبروتوكولها لعام 1967)؛ الاتفاقية بشأن خفض حالات انعدام الجنسية؛ نظام روما الأساسي للمحكمة الجنائية الدولية؛ اتفاقية الأمم المتحدة لمكافحة الجريمة المنظمة عبر الوطنية؛</w:t>
      </w:r>
      <w:r w:rsidRPr="00564B9D">
        <w:rPr>
          <w:rtl/>
        </w:rPr>
        <w:t xml:space="preserve"> اتفاقية الرضا بالزواج، والحد الأدنى لسن الزواج، وتسجيل</w:t>
      </w:r>
      <w:r w:rsidRPr="00564B9D">
        <w:rPr>
          <w:rFonts w:hint="cs"/>
          <w:rtl/>
        </w:rPr>
        <w:t> </w:t>
      </w:r>
      <w:r w:rsidRPr="00564B9D">
        <w:rPr>
          <w:rtl/>
        </w:rPr>
        <w:t xml:space="preserve">عقود الزواج؛ البروتوكول المعدل لاتفاقية الرق الموقع في جنيف </w:t>
      </w:r>
      <w:r w:rsidRPr="00564B9D">
        <w:rPr>
          <w:rFonts w:hint="cs"/>
          <w:rtl/>
        </w:rPr>
        <w:t>يوم</w:t>
      </w:r>
      <w:r w:rsidRPr="00564B9D">
        <w:rPr>
          <w:rtl/>
        </w:rPr>
        <w:t xml:space="preserve"> 25 </w:t>
      </w:r>
      <w:r w:rsidRPr="00564B9D">
        <w:rPr>
          <w:rFonts w:hint="cs"/>
          <w:rtl/>
        </w:rPr>
        <w:t>أيلول/</w:t>
      </w:r>
      <w:r w:rsidRPr="00564B9D">
        <w:rPr>
          <w:rtl/>
        </w:rPr>
        <w:t>سبتمبر 1926؛ الاتفاقية التكميلية لإبطال الرق وتجارة الرقيق والأعراف والممارسات الشبيهة بالرق.</w:t>
      </w:r>
    </w:p>
    <w:p w14:paraId="22EE3D92"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العمل الدولية</w:t>
      </w:r>
    </w:p>
    <w:p w14:paraId="28BCD2E9"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C098</w:t>
      </w:r>
      <w:r w:rsidRPr="00564B9D">
        <w:rPr>
          <w:rFonts w:hint="cs"/>
          <w:rtl/>
        </w:rPr>
        <w:t xml:space="preserve"> - الاتفاقية الخاصة بحق التنظيم والمفاوضة الجماعية؛ </w:t>
      </w:r>
      <w:r w:rsidRPr="00564B9D">
        <w:t>C029</w:t>
      </w:r>
      <w:r w:rsidRPr="00564B9D">
        <w:rPr>
          <w:rtl/>
        </w:rPr>
        <w:t xml:space="preserve">- اتفاقية العمل الجبري؛ </w:t>
      </w:r>
      <w:r w:rsidRPr="00564B9D">
        <w:t>C105</w:t>
      </w:r>
      <w:r w:rsidRPr="00564B9D">
        <w:rPr>
          <w:rtl/>
        </w:rPr>
        <w:t xml:space="preserve"> - اتفاقية إلغاء العمل الجبري [</w:t>
      </w:r>
      <w:r w:rsidRPr="00564B9D">
        <w:rPr>
          <w:i/>
          <w:iCs/>
          <w:rtl/>
        </w:rPr>
        <w:t xml:space="preserve">مقصورة على اتفاقيات منظمة العمل الدولية الأساسية </w:t>
      </w:r>
      <w:r w:rsidRPr="00564B9D">
        <w:rPr>
          <w:rFonts w:hint="cs"/>
          <w:i/>
          <w:iCs/>
          <w:rtl/>
        </w:rPr>
        <w:t>وحدها</w:t>
      </w:r>
      <w:r w:rsidRPr="00564B9D">
        <w:rPr>
          <w:rtl/>
        </w:rPr>
        <w:t>].</w:t>
      </w:r>
    </w:p>
    <w:p w14:paraId="6EF3EDB3"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اتفاقيات منظمة الأمم المتحدة للتربية والعلوم والثقافة (اليونسكو)</w:t>
      </w:r>
    </w:p>
    <w:p w14:paraId="1EF2E54D"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مكافحة التمييز في مجال التعليم.</w:t>
      </w:r>
    </w:p>
    <w:p w14:paraId="6753812E"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098FA31F"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بشأن بالجوانب المدنية لاختطاف الأطفال على الصعيد الدولي.</w:t>
      </w:r>
    </w:p>
    <w:p w14:paraId="667194D5"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ومعاهدات أخرى بشأن القانون الإنساني الدولي</w:t>
      </w:r>
    </w:p>
    <w:p w14:paraId="2E678E8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55D411D5"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لحقوق الإنسان</w:t>
      </w:r>
    </w:p>
    <w:p w14:paraId="43BD0014"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44B8E817" w14:textId="77777777" w:rsidR="00494AE4" w:rsidRPr="00564B9D" w:rsidRDefault="00494AE4" w:rsidP="00494AE4">
      <w:pPr>
        <w:pStyle w:val="H1GA"/>
        <w:rPr>
          <w:rtl/>
        </w:rPr>
      </w:pPr>
      <w:r w:rsidRPr="00564B9D">
        <w:rPr>
          <w:rtl/>
        </w:rPr>
        <w:tab/>
      </w:r>
      <w:bookmarkStart w:id="150" w:name="_Toc123044140"/>
      <w:bookmarkStart w:id="151" w:name="_Toc123044363"/>
      <w:bookmarkStart w:id="152" w:name="_Toc123044624"/>
      <w:bookmarkStart w:id="153" w:name="_Toc123044886"/>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150"/>
      <w:bookmarkEnd w:id="151"/>
      <w:bookmarkEnd w:id="152"/>
      <w:bookmarkEnd w:id="153"/>
    </w:p>
    <w:p w14:paraId="04AC989F" w14:textId="77777777" w:rsidR="00494AE4" w:rsidRPr="00564B9D" w:rsidRDefault="00494AE4" w:rsidP="00494AE4">
      <w:pPr>
        <w:pStyle w:val="SingleTxtGA"/>
        <w:rPr>
          <w:rtl/>
        </w:rPr>
      </w:pPr>
      <w:r w:rsidRPr="00564B9D">
        <w:rPr>
          <w:rFonts w:hint="cs"/>
          <w:rtl/>
        </w:rPr>
        <w:t>84</w:t>
      </w:r>
      <w:r w:rsidRPr="00564B9D">
        <w:rPr>
          <w:rtl/>
        </w:rPr>
        <w:t>-</w:t>
      </w:r>
      <w:r w:rsidRPr="00564B9D">
        <w:rPr>
          <w:rtl/>
        </w:rPr>
        <w:tab/>
      </w:r>
      <w:r w:rsidRPr="00564B9D">
        <w:rPr>
          <w:rFonts w:hint="cs"/>
          <w:rtl/>
        </w:rPr>
        <w:t>يقضي الجزء الأول ("شرعة الحقوق والحريات والمسؤوليات") من الجدول 2 من القانون الدستوري لجزر كايمان لعام 2009 بحماية حقوق الإنسان.</w:t>
      </w:r>
    </w:p>
    <w:p w14:paraId="6C67AC34" w14:textId="77777777" w:rsidR="00494AE4" w:rsidRPr="00564B9D" w:rsidRDefault="00494AE4" w:rsidP="00494AE4">
      <w:pPr>
        <w:pStyle w:val="H1GA"/>
        <w:rPr>
          <w:rtl/>
        </w:rPr>
      </w:pPr>
      <w:r w:rsidRPr="00564B9D">
        <w:rPr>
          <w:rtl/>
        </w:rPr>
        <w:tab/>
      </w:r>
      <w:bookmarkStart w:id="154" w:name="_Toc123044141"/>
      <w:bookmarkStart w:id="155" w:name="_Toc123044364"/>
      <w:bookmarkStart w:id="156" w:name="_Toc123044625"/>
      <w:bookmarkStart w:id="157" w:name="_Toc123044887"/>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154"/>
      <w:bookmarkEnd w:id="155"/>
      <w:bookmarkEnd w:id="156"/>
      <w:bookmarkEnd w:id="157"/>
    </w:p>
    <w:p w14:paraId="604639AE" w14:textId="77777777" w:rsidR="00494AE4" w:rsidRPr="00564B9D" w:rsidRDefault="00494AE4" w:rsidP="00494AE4">
      <w:pPr>
        <w:pStyle w:val="SingleTxtGA"/>
        <w:rPr>
          <w:rtl/>
        </w:rPr>
      </w:pPr>
      <w:r w:rsidRPr="00564B9D">
        <w:rPr>
          <w:rFonts w:hint="cs"/>
          <w:rtl/>
        </w:rPr>
        <w:t>85</w:t>
      </w:r>
      <w:r w:rsidRPr="00564B9D">
        <w:rPr>
          <w:rtl/>
        </w:rPr>
        <w:t>-</w:t>
      </w:r>
      <w:r w:rsidRPr="00564B9D">
        <w:rPr>
          <w:rtl/>
        </w:rPr>
        <w:tab/>
      </w:r>
      <w:r w:rsidRPr="00564B9D">
        <w:rPr>
          <w:rFonts w:hint="cs"/>
          <w:rtl/>
        </w:rPr>
        <w:t>أنشئت لجنة حقوق الإنسان</w:t>
      </w:r>
      <w:r w:rsidRPr="00564B9D">
        <w:rPr>
          <w:vertAlign w:val="superscript"/>
          <w:rtl/>
        </w:rPr>
        <w:t>(</w:t>
      </w:r>
      <w:r w:rsidRPr="00564B9D">
        <w:rPr>
          <w:rStyle w:val="FootnoteReference"/>
          <w:rFonts w:cs="Simplified Arabic"/>
          <w:b w:val="0"/>
          <w:sz w:val="22"/>
          <w:szCs w:val="22"/>
          <w:rtl/>
          <w:lang w:val="en-US"/>
        </w:rPr>
        <w:footnoteReference w:id="242"/>
      </w:r>
      <w:r w:rsidRPr="00564B9D">
        <w:rPr>
          <w:vertAlign w:val="superscript"/>
          <w:rtl/>
        </w:rPr>
        <w:t>)</w:t>
      </w:r>
      <w:r w:rsidRPr="00564B9D">
        <w:rPr>
          <w:rFonts w:hint="cs"/>
          <w:rtl/>
        </w:rPr>
        <w:t xml:space="preserve"> بموجب دستور جزر كايمان من أجل تعزيز فهم حقوق الإنسان في جزر كايمان ومراعاتها.</w:t>
      </w:r>
    </w:p>
    <w:p w14:paraId="011FAC8B" w14:textId="77777777" w:rsidR="00494AE4" w:rsidRPr="00564B9D" w:rsidRDefault="00494AE4" w:rsidP="00494AE4">
      <w:pPr>
        <w:pStyle w:val="HChGA"/>
        <w:rPr>
          <w:rtl/>
        </w:rPr>
      </w:pPr>
      <w:r w:rsidRPr="00564B9D">
        <w:rPr>
          <w:rtl/>
        </w:rPr>
        <w:tab/>
      </w:r>
      <w:bookmarkStart w:id="158" w:name="_Toc123044142"/>
      <w:bookmarkStart w:id="159" w:name="_Toc123044365"/>
      <w:bookmarkStart w:id="160" w:name="_Toc123044626"/>
      <w:bookmarkStart w:id="161" w:name="_Toc123044888"/>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158"/>
      <w:bookmarkEnd w:id="159"/>
      <w:bookmarkEnd w:id="160"/>
      <w:bookmarkEnd w:id="161"/>
    </w:p>
    <w:p w14:paraId="372B0C4A" w14:textId="77777777" w:rsidR="00494AE4" w:rsidRPr="00564B9D" w:rsidRDefault="00494AE4" w:rsidP="00494AE4">
      <w:pPr>
        <w:pStyle w:val="SingleTxtGA"/>
        <w:rPr>
          <w:rtl/>
        </w:rPr>
      </w:pPr>
      <w:r w:rsidRPr="00564B9D">
        <w:rPr>
          <w:rFonts w:hint="cs"/>
          <w:rtl/>
        </w:rPr>
        <w:t>86</w:t>
      </w:r>
      <w:r w:rsidRPr="00564B9D">
        <w:rPr>
          <w:rtl/>
        </w:rPr>
        <w:t>-</w:t>
      </w:r>
      <w:r w:rsidRPr="00564B9D">
        <w:rPr>
          <w:rtl/>
        </w:rPr>
        <w:tab/>
      </w:r>
      <w:r w:rsidRPr="00564B9D">
        <w:rPr>
          <w:rFonts w:hint="cs"/>
          <w:rtl/>
        </w:rPr>
        <w:t>ترد في الجزء الأول ("شرعة الحقوق والحريات والمسؤوليات") من الجدول 2 من القانون الدستوري لجزر كايمان لعام 2009 أحكام محددة بشأن المساواة ومكافحة التمييز. وتتمتع لجنة حقوق الإنسان بسلطات تشريعية للتحقيق في الشكاوى بشأن انتهاكات حقوق الإنسان، أي بما في ذلك الشكاوى المتعلقة بالتمييز. و</w:t>
      </w:r>
      <w:r w:rsidRPr="00564B9D">
        <w:rPr>
          <w:rtl/>
        </w:rPr>
        <w:t>إضافة إلى ذلك، يسعى قانون المساواة بين الجنسين لعام 2011 وقانون كبار السن لعام 2017 وقانون الإعاقة (سولومون ويبستر) لعام 2016 إلى ضمان عدم التمييز.</w:t>
      </w:r>
    </w:p>
    <w:p w14:paraId="09834AC7" w14:textId="77777777" w:rsidR="00494AE4" w:rsidRPr="00564B9D" w:rsidRDefault="00494AE4" w:rsidP="00494AE4">
      <w:pPr>
        <w:pStyle w:val="HChGA"/>
        <w:rPr>
          <w:rtl/>
        </w:rPr>
      </w:pPr>
      <w:r w:rsidRPr="00564B9D">
        <w:rPr>
          <w:rtl/>
        </w:rPr>
        <w:lastRenderedPageBreak/>
        <w:tab/>
      </w:r>
      <w:r w:rsidRPr="00564B9D">
        <w:rPr>
          <w:rtl/>
        </w:rPr>
        <w:tab/>
      </w:r>
      <w:bookmarkStart w:id="162" w:name="_Toc123044143"/>
      <w:bookmarkStart w:id="163" w:name="_Toc123044366"/>
      <w:bookmarkStart w:id="164" w:name="_Toc123044627"/>
      <w:bookmarkStart w:id="165" w:name="_Toc123044889"/>
      <w:r w:rsidRPr="00564B9D">
        <w:rPr>
          <w:rFonts w:hint="cs"/>
          <w:rtl/>
        </w:rPr>
        <w:t>جزر فوكلاند</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43"/>
      </w:r>
      <w:r w:rsidRPr="00564B9D">
        <w:rPr>
          <w:b w:val="0"/>
          <w:bCs w:val="0"/>
          <w:sz w:val="22"/>
          <w:szCs w:val="22"/>
          <w:vertAlign w:val="superscript"/>
          <w:rtl/>
        </w:rPr>
        <w:t>)</w:t>
      </w:r>
      <w:bookmarkEnd w:id="162"/>
      <w:bookmarkEnd w:id="163"/>
      <w:bookmarkEnd w:id="164"/>
      <w:bookmarkEnd w:id="165"/>
      <w:r w:rsidRPr="00564B9D">
        <w:rPr>
          <w:rFonts w:hint="cs"/>
          <w:rtl/>
        </w:rPr>
        <w:t xml:space="preserve"> </w:t>
      </w:r>
    </w:p>
    <w:p w14:paraId="0CD875B5" w14:textId="77777777" w:rsidR="00494AE4" w:rsidRPr="00564B9D" w:rsidRDefault="00494AE4" w:rsidP="00494AE4">
      <w:pPr>
        <w:pStyle w:val="HChGA"/>
        <w:rPr>
          <w:rtl/>
        </w:rPr>
      </w:pPr>
      <w:r w:rsidRPr="00564B9D">
        <w:rPr>
          <w:rtl/>
        </w:rPr>
        <w:tab/>
      </w:r>
      <w:bookmarkStart w:id="166" w:name="_Toc123044144"/>
      <w:bookmarkStart w:id="167" w:name="_Toc123044367"/>
      <w:bookmarkStart w:id="168" w:name="_Toc123044628"/>
      <w:bookmarkStart w:id="169" w:name="_Toc123044890"/>
      <w:r w:rsidRPr="00564B9D">
        <w:rPr>
          <w:rFonts w:hint="cs"/>
          <w:rtl/>
        </w:rPr>
        <w:t>أولاً</w:t>
      </w:r>
      <w:r w:rsidRPr="00564B9D">
        <w:rPr>
          <w:rtl/>
        </w:rPr>
        <w:t>-</w:t>
      </w:r>
      <w:r w:rsidRPr="00564B9D">
        <w:rPr>
          <w:rtl/>
        </w:rPr>
        <w:tab/>
      </w:r>
      <w:r w:rsidRPr="00564B9D">
        <w:rPr>
          <w:rFonts w:hint="cs"/>
          <w:rtl/>
        </w:rPr>
        <w:t>معلومات عامة</w:t>
      </w:r>
      <w:bookmarkEnd w:id="166"/>
      <w:bookmarkEnd w:id="167"/>
      <w:bookmarkEnd w:id="168"/>
      <w:bookmarkEnd w:id="169"/>
    </w:p>
    <w:p w14:paraId="67286A2E" w14:textId="77777777" w:rsidR="00494AE4" w:rsidRPr="00564B9D" w:rsidRDefault="00494AE4" w:rsidP="00494AE4">
      <w:pPr>
        <w:pStyle w:val="H1GA"/>
        <w:rPr>
          <w:rtl/>
        </w:rPr>
      </w:pPr>
      <w:r w:rsidRPr="00564B9D">
        <w:rPr>
          <w:rtl/>
        </w:rPr>
        <w:tab/>
      </w:r>
      <w:bookmarkStart w:id="170" w:name="_Toc123044145"/>
      <w:bookmarkStart w:id="171" w:name="_Toc123044368"/>
      <w:bookmarkStart w:id="172" w:name="_Toc123044629"/>
      <w:bookmarkStart w:id="173" w:name="_Toc123044891"/>
      <w:r w:rsidRPr="00564B9D">
        <w:rPr>
          <w:rtl/>
        </w:rPr>
        <w:t>ألف-</w:t>
      </w:r>
      <w:r w:rsidRPr="00564B9D">
        <w:rPr>
          <w:rtl/>
        </w:rPr>
        <w:tab/>
        <w:t>الخصائص الديمغرافية والاقتصادية والاجتماعية والثقافية</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44"/>
      </w:r>
      <w:r w:rsidRPr="00564B9D">
        <w:rPr>
          <w:b w:val="0"/>
          <w:bCs w:val="0"/>
          <w:sz w:val="22"/>
          <w:szCs w:val="22"/>
          <w:vertAlign w:val="superscript"/>
          <w:rtl/>
        </w:rPr>
        <w:t>)</w:t>
      </w:r>
      <w:bookmarkEnd w:id="170"/>
      <w:bookmarkEnd w:id="171"/>
      <w:bookmarkEnd w:id="172"/>
      <w:bookmarkEnd w:id="173"/>
      <w:r w:rsidRPr="00564B9D">
        <w:rPr>
          <w:rtl/>
        </w:rPr>
        <w:t xml:space="preserve"> </w:t>
      </w:r>
    </w:p>
    <w:tbl>
      <w:tblPr>
        <w:bidiVisual/>
        <w:tblW w:w="8392" w:type="dxa"/>
        <w:tblInd w:w="1247" w:type="dxa"/>
        <w:tblLayout w:type="fixed"/>
        <w:tblCellMar>
          <w:right w:w="113" w:type="dxa"/>
        </w:tblCellMar>
        <w:tblLook w:val="01E0" w:firstRow="1" w:lastRow="1" w:firstColumn="1" w:lastColumn="1" w:noHBand="0" w:noVBand="0"/>
      </w:tblPr>
      <w:tblGrid>
        <w:gridCol w:w="5005"/>
        <w:gridCol w:w="3387"/>
      </w:tblGrid>
      <w:tr w:rsidR="007B5A24" w:rsidRPr="00564B9D" w14:paraId="504A7029" w14:textId="77777777" w:rsidTr="00804944">
        <w:trPr>
          <w:trHeight w:val="240"/>
          <w:tblHeader/>
        </w:trPr>
        <w:tc>
          <w:tcPr>
            <w:tcW w:w="7218" w:type="dxa"/>
            <w:gridSpan w:val="2"/>
            <w:tcBorders>
              <w:top w:val="single" w:sz="4" w:space="0" w:color="auto"/>
              <w:bottom w:val="single" w:sz="12" w:space="0" w:color="auto"/>
            </w:tcBorders>
            <w:shd w:val="clear" w:color="auto" w:fill="auto"/>
            <w:vAlign w:val="bottom"/>
          </w:tcPr>
          <w:p w14:paraId="147E6737"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 xml:space="preserve">المؤشرات الديمغرافية </w:t>
            </w:r>
          </w:p>
        </w:tc>
      </w:tr>
      <w:tr w:rsidR="007B5A24" w:rsidRPr="00564B9D" w14:paraId="13B1D737" w14:textId="77777777" w:rsidTr="00804944">
        <w:trPr>
          <w:trHeight w:val="240"/>
        </w:trPr>
        <w:tc>
          <w:tcPr>
            <w:tcW w:w="4305" w:type="dxa"/>
            <w:tcBorders>
              <w:top w:val="single" w:sz="12" w:space="0" w:color="auto"/>
            </w:tcBorders>
            <w:shd w:val="clear" w:color="auto" w:fill="auto"/>
          </w:tcPr>
          <w:p w14:paraId="52BDC4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2913" w:type="dxa"/>
            <w:tcBorders>
              <w:top w:val="single" w:sz="12" w:space="0" w:color="auto"/>
            </w:tcBorders>
            <w:shd w:val="clear" w:color="auto" w:fill="auto"/>
          </w:tcPr>
          <w:p w14:paraId="551B4EF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841</w:t>
            </w:r>
            <w:r w:rsidRPr="00564B9D">
              <w:rPr>
                <w:sz w:val="20"/>
                <w:szCs w:val="20"/>
                <w:rtl/>
              </w:rPr>
              <w:t> </w:t>
            </w:r>
            <w:r w:rsidRPr="00564B9D">
              <w:rPr>
                <w:rFonts w:hint="cs"/>
                <w:sz w:val="20"/>
                <w:szCs w:val="20"/>
                <w:rtl/>
              </w:rPr>
              <w:t>2</w:t>
            </w:r>
            <w:r w:rsidRPr="00564B9D">
              <w:rPr>
                <w:sz w:val="20"/>
                <w:szCs w:val="20"/>
                <w:vertAlign w:val="superscript"/>
                <w:rtl/>
              </w:rPr>
              <w:t>(</w:t>
            </w:r>
            <w:r w:rsidRPr="00564B9D">
              <w:rPr>
                <w:rStyle w:val="FootnoteReference"/>
                <w:rFonts w:cs="Simplified Arabic"/>
                <w:b w:val="0"/>
                <w:sz w:val="20"/>
                <w:szCs w:val="20"/>
                <w:rtl/>
                <w:lang w:val="en-US"/>
              </w:rPr>
              <w:footnoteReference w:id="245"/>
            </w:r>
            <w:r w:rsidRPr="00564B9D">
              <w:rPr>
                <w:sz w:val="20"/>
                <w:szCs w:val="20"/>
                <w:vertAlign w:val="superscript"/>
                <w:rtl/>
              </w:rPr>
              <w:t>)</w:t>
            </w:r>
            <w:r w:rsidRPr="00564B9D">
              <w:rPr>
                <w:sz w:val="20"/>
                <w:szCs w:val="20"/>
                <w:rtl/>
              </w:rPr>
              <w:t xml:space="preserve"> </w:t>
            </w:r>
          </w:p>
        </w:tc>
      </w:tr>
      <w:tr w:rsidR="007B5A24" w:rsidRPr="00564B9D" w14:paraId="254F884C" w14:textId="77777777" w:rsidTr="00804944">
        <w:trPr>
          <w:trHeight w:val="240"/>
        </w:trPr>
        <w:tc>
          <w:tcPr>
            <w:tcW w:w="4305" w:type="dxa"/>
            <w:shd w:val="clear" w:color="auto" w:fill="auto"/>
          </w:tcPr>
          <w:p w14:paraId="289A1F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2913" w:type="dxa"/>
            <w:shd w:val="clear" w:color="auto" w:fill="auto"/>
          </w:tcPr>
          <w:p w14:paraId="3BAE35B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3,7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246"/>
            </w:r>
            <w:r w:rsidRPr="00564B9D">
              <w:rPr>
                <w:sz w:val="20"/>
                <w:szCs w:val="20"/>
                <w:vertAlign w:val="superscript"/>
                <w:rtl/>
              </w:rPr>
              <w:t>)</w:t>
            </w:r>
            <w:r w:rsidRPr="00564B9D">
              <w:rPr>
                <w:rFonts w:hint="cs"/>
                <w:sz w:val="20"/>
                <w:szCs w:val="20"/>
                <w:rtl/>
              </w:rPr>
              <w:t xml:space="preserve"> </w:t>
            </w:r>
          </w:p>
        </w:tc>
      </w:tr>
      <w:tr w:rsidR="007B5A24" w:rsidRPr="00564B9D" w14:paraId="3DE902FD" w14:textId="77777777" w:rsidTr="00804944">
        <w:trPr>
          <w:trHeight w:val="240"/>
        </w:trPr>
        <w:tc>
          <w:tcPr>
            <w:tcW w:w="4305" w:type="dxa"/>
            <w:shd w:val="clear" w:color="auto" w:fill="auto"/>
          </w:tcPr>
          <w:p w14:paraId="772C84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2913" w:type="dxa"/>
            <w:shd w:val="clear" w:color="auto" w:fill="auto"/>
          </w:tcPr>
          <w:p w14:paraId="01EEB6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0,23 </w:t>
            </w:r>
          </w:p>
        </w:tc>
      </w:tr>
      <w:tr w:rsidR="007B5A24" w:rsidRPr="00564B9D" w14:paraId="5AB7084E" w14:textId="77777777" w:rsidTr="00804944">
        <w:trPr>
          <w:trHeight w:val="240"/>
        </w:trPr>
        <w:tc>
          <w:tcPr>
            <w:tcW w:w="4305" w:type="dxa"/>
            <w:shd w:val="clear" w:color="auto" w:fill="auto"/>
          </w:tcPr>
          <w:p w14:paraId="2F24762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2913" w:type="dxa"/>
            <w:shd w:val="clear" w:color="auto" w:fill="auto"/>
          </w:tcPr>
          <w:p w14:paraId="24D6C4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السكان الناطقون باللغة الإنكليزية بوصفها اللغة الأم: 84,5 في المائة</w:t>
            </w:r>
          </w:p>
          <w:p w14:paraId="5E3CB9F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السكان الناطقون بلغة ثانية: 17,5 في المائة (59 في المائة منهم ناطقون باللغة الإسبانية كلغة ثانية)</w:t>
            </w:r>
          </w:p>
        </w:tc>
      </w:tr>
      <w:tr w:rsidR="007B5A24" w:rsidRPr="00564B9D" w14:paraId="176FF458" w14:textId="77777777" w:rsidTr="00804944">
        <w:trPr>
          <w:trHeight w:val="240"/>
        </w:trPr>
        <w:tc>
          <w:tcPr>
            <w:tcW w:w="4305" w:type="dxa"/>
            <w:shd w:val="clear" w:color="auto" w:fill="auto"/>
          </w:tcPr>
          <w:p w14:paraId="3AC66E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الديانة</w:t>
            </w:r>
            <w:r w:rsidRPr="00564B9D">
              <w:rPr>
                <w:sz w:val="20"/>
                <w:szCs w:val="20"/>
                <w:vertAlign w:val="superscript"/>
                <w:rtl/>
              </w:rPr>
              <w:t>(</w:t>
            </w:r>
            <w:r w:rsidRPr="00564B9D">
              <w:rPr>
                <w:rStyle w:val="FootnoteReference"/>
                <w:rFonts w:cs="Simplified Arabic"/>
                <w:b w:val="0"/>
                <w:sz w:val="20"/>
                <w:szCs w:val="20"/>
                <w:rtl/>
                <w:lang w:val="en-US"/>
              </w:rPr>
              <w:footnoteReference w:id="247"/>
            </w:r>
            <w:r w:rsidRPr="00564B9D">
              <w:rPr>
                <w:sz w:val="20"/>
                <w:szCs w:val="20"/>
                <w:vertAlign w:val="superscript"/>
                <w:rtl/>
              </w:rPr>
              <w:t>)</w:t>
            </w:r>
            <w:r w:rsidRPr="00564B9D">
              <w:rPr>
                <w:rFonts w:hint="cs"/>
                <w:sz w:val="20"/>
                <w:szCs w:val="20"/>
                <w:rtl/>
              </w:rPr>
              <w:t xml:space="preserve"> </w:t>
            </w:r>
          </w:p>
        </w:tc>
        <w:tc>
          <w:tcPr>
            <w:tcW w:w="2913" w:type="dxa"/>
            <w:shd w:val="clear" w:color="auto" w:fill="auto"/>
          </w:tcPr>
          <w:p w14:paraId="6987407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المناطق الريفية: 54 في المائة هم من المسيحيين؛ 46 في المائة بدون ديانة؛ 0,2 في المائة يعتنقون ديانات أخرى.</w:t>
            </w:r>
          </w:p>
          <w:p w14:paraId="04C1BC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المناطق الحضرية: 60 في المائة هم من المسيحيين؛ 38 في المائة بدون ديانة؛ 2 في المائة يعتنقون ديانات أخرى.</w:t>
            </w:r>
          </w:p>
        </w:tc>
      </w:tr>
      <w:tr w:rsidR="007B5A24" w:rsidRPr="00564B9D" w14:paraId="590FD2CE" w14:textId="77777777" w:rsidTr="00804944">
        <w:trPr>
          <w:trHeight w:val="240"/>
        </w:trPr>
        <w:tc>
          <w:tcPr>
            <w:tcW w:w="4305" w:type="dxa"/>
            <w:shd w:val="clear" w:color="auto" w:fill="auto"/>
          </w:tcPr>
          <w:p w14:paraId="3CFD8F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الفئات الإثنية</w:t>
            </w:r>
            <w:r w:rsidRPr="00564B9D">
              <w:rPr>
                <w:sz w:val="20"/>
                <w:szCs w:val="20"/>
                <w:vertAlign w:val="superscript"/>
                <w:rtl/>
              </w:rPr>
              <w:t>(</w:t>
            </w:r>
            <w:r w:rsidRPr="00564B9D">
              <w:rPr>
                <w:rStyle w:val="FootnoteReference"/>
                <w:rFonts w:cs="Simplified Arabic"/>
                <w:b w:val="0"/>
                <w:sz w:val="20"/>
                <w:szCs w:val="20"/>
                <w:rtl/>
                <w:lang w:val="en-US"/>
              </w:rPr>
              <w:footnoteReference w:id="248"/>
            </w:r>
            <w:r w:rsidRPr="00564B9D">
              <w:rPr>
                <w:sz w:val="20"/>
                <w:szCs w:val="20"/>
                <w:vertAlign w:val="superscript"/>
                <w:rtl/>
              </w:rPr>
              <w:t>)</w:t>
            </w:r>
            <w:r w:rsidRPr="00564B9D">
              <w:rPr>
                <w:rFonts w:hint="cs"/>
                <w:sz w:val="20"/>
                <w:szCs w:val="20"/>
                <w:rtl/>
              </w:rPr>
              <w:t xml:space="preserve"> </w:t>
            </w:r>
          </w:p>
        </w:tc>
        <w:tc>
          <w:tcPr>
            <w:tcW w:w="2913" w:type="dxa"/>
            <w:shd w:val="clear" w:color="auto" w:fill="auto"/>
          </w:tcPr>
          <w:p w14:paraId="6689A3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المناطق الريفية:</w:t>
            </w:r>
          </w:p>
          <w:p w14:paraId="494C36EB" w14:textId="091F6B2F"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سكان جزر فوكلاند:</w:t>
            </w:r>
            <w:r w:rsidR="004D7844" w:rsidRPr="00564B9D">
              <w:rPr>
                <w:sz w:val="20"/>
                <w:szCs w:val="20"/>
                <w:rtl/>
              </w:rPr>
              <w:tab/>
            </w:r>
            <w:r w:rsidRPr="00564B9D">
              <w:rPr>
                <w:rFonts w:hint="cs"/>
                <w:sz w:val="20"/>
                <w:szCs w:val="20"/>
                <w:rtl/>
              </w:rPr>
              <w:t>71 في المائة</w:t>
            </w:r>
          </w:p>
          <w:p w14:paraId="0BE3A7F2" w14:textId="0690FF23"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بريطانيون:</w:t>
            </w:r>
            <w:r w:rsidR="004D7844" w:rsidRPr="00564B9D">
              <w:rPr>
                <w:sz w:val="20"/>
                <w:szCs w:val="20"/>
                <w:rtl/>
              </w:rPr>
              <w:tab/>
            </w:r>
            <w:r w:rsidR="004D7844" w:rsidRPr="00564B9D">
              <w:rPr>
                <w:rFonts w:hint="cs"/>
                <w:sz w:val="20"/>
                <w:szCs w:val="20"/>
                <w:rtl/>
              </w:rPr>
              <w:t xml:space="preserve">16 </w:t>
            </w:r>
            <w:r w:rsidRPr="00564B9D">
              <w:rPr>
                <w:rFonts w:hint="cs"/>
                <w:sz w:val="20"/>
                <w:szCs w:val="20"/>
                <w:rtl/>
              </w:rPr>
              <w:t>في المائة</w:t>
            </w:r>
          </w:p>
          <w:p w14:paraId="37AEA8D6" w14:textId="78FEB768"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شيلي:</w:t>
            </w:r>
            <w:r w:rsidR="004D7844" w:rsidRPr="00564B9D">
              <w:rPr>
                <w:sz w:val="20"/>
                <w:szCs w:val="20"/>
                <w:rtl/>
              </w:rPr>
              <w:tab/>
            </w:r>
            <w:r w:rsidRPr="00564B9D">
              <w:rPr>
                <w:rFonts w:hint="cs"/>
                <w:sz w:val="20"/>
                <w:szCs w:val="20"/>
                <w:rtl/>
              </w:rPr>
              <w:t>7 في المائة</w:t>
            </w:r>
          </w:p>
          <w:p w14:paraId="428FDCE1" w14:textId="48164D5E"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سانت هيلانة:</w:t>
            </w:r>
            <w:r w:rsidR="004D7844" w:rsidRPr="00564B9D">
              <w:rPr>
                <w:sz w:val="20"/>
                <w:szCs w:val="20"/>
                <w:rtl/>
              </w:rPr>
              <w:tab/>
            </w:r>
            <w:r w:rsidRPr="00564B9D">
              <w:rPr>
                <w:rFonts w:hint="cs"/>
                <w:sz w:val="20"/>
                <w:szCs w:val="20"/>
                <w:rtl/>
              </w:rPr>
              <w:t>0,5 في المائة</w:t>
            </w:r>
          </w:p>
          <w:p w14:paraId="241973FD" w14:textId="7569B3BF"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فئات أخرى:</w:t>
            </w:r>
            <w:r w:rsidR="004D7844" w:rsidRPr="00564B9D">
              <w:rPr>
                <w:sz w:val="20"/>
                <w:szCs w:val="20"/>
                <w:rtl/>
              </w:rPr>
              <w:tab/>
            </w:r>
            <w:r w:rsidRPr="00564B9D">
              <w:rPr>
                <w:rFonts w:hint="cs"/>
                <w:sz w:val="20"/>
                <w:szCs w:val="20"/>
                <w:rtl/>
              </w:rPr>
              <w:t>5 في المائة</w:t>
            </w:r>
          </w:p>
          <w:p w14:paraId="7F8378FD" w14:textId="77777777"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المناطق الحضرية:</w:t>
            </w:r>
          </w:p>
          <w:p w14:paraId="71C57812" w14:textId="69A54732"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سكان جزر فوكلاند:</w:t>
            </w:r>
            <w:r w:rsidR="004D7844" w:rsidRPr="00564B9D">
              <w:rPr>
                <w:sz w:val="20"/>
                <w:szCs w:val="20"/>
                <w:rtl/>
              </w:rPr>
              <w:tab/>
            </w:r>
            <w:r w:rsidRPr="00564B9D">
              <w:rPr>
                <w:rFonts w:hint="cs"/>
                <w:sz w:val="20"/>
                <w:szCs w:val="20"/>
                <w:rtl/>
              </w:rPr>
              <w:t>61 في المائة</w:t>
            </w:r>
          </w:p>
          <w:p w14:paraId="3F9C359D" w14:textId="6851A7CA"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بريطانيون:</w:t>
            </w:r>
            <w:r w:rsidR="004D7844" w:rsidRPr="00564B9D">
              <w:rPr>
                <w:sz w:val="20"/>
                <w:szCs w:val="20"/>
                <w:rtl/>
              </w:rPr>
              <w:tab/>
            </w:r>
            <w:r w:rsidRPr="00564B9D">
              <w:rPr>
                <w:rFonts w:hint="cs"/>
                <w:sz w:val="20"/>
                <w:szCs w:val="20"/>
                <w:rtl/>
              </w:rPr>
              <w:t>22 في المائة</w:t>
            </w:r>
          </w:p>
          <w:p w14:paraId="66C1913D" w14:textId="2F583DFA"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سانت هيلانة:</w:t>
            </w:r>
            <w:r w:rsidR="004D7844" w:rsidRPr="00564B9D">
              <w:rPr>
                <w:sz w:val="20"/>
                <w:szCs w:val="20"/>
                <w:rtl/>
              </w:rPr>
              <w:tab/>
            </w:r>
            <w:r w:rsidRPr="00564B9D">
              <w:rPr>
                <w:rFonts w:hint="cs"/>
                <w:sz w:val="20"/>
                <w:szCs w:val="20"/>
                <w:rtl/>
              </w:rPr>
              <w:t>4 في المائة</w:t>
            </w:r>
          </w:p>
          <w:p w14:paraId="2AEDBCC2" w14:textId="45B2BBB1"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شيلي:</w:t>
            </w:r>
            <w:r w:rsidR="004D7844" w:rsidRPr="00564B9D">
              <w:rPr>
                <w:sz w:val="20"/>
                <w:szCs w:val="20"/>
                <w:rtl/>
              </w:rPr>
              <w:tab/>
            </w:r>
            <w:r w:rsidRPr="00564B9D">
              <w:rPr>
                <w:rFonts w:hint="cs"/>
                <w:sz w:val="20"/>
                <w:szCs w:val="20"/>
                <w:rtl/>
              </w:rPr>
              <w:t>4 في المائة</w:t>
            </w:r>
          </w:p>
          <w:p w14:paraId="2DDED7F6" w14:textId="028B2F30"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Pr>
            </w:pPr>
            <w:r w:rsidRPr="00564B9D">
              <w:rPr>
                <w:rFonts w:hint="cs"/>
                <w:sz w:val="20"/>
                <w:szCs w:val="20"/>
                <w:rtl/>
              </w:rPr>
              <w:t>فئات أخرى:</w:t>
            </w:r>
            <w:r w:rsidR="004D7844" w:rsidRPr="00564B9D">
              <w:rPr>
                <w:sz w:val="20"/>
                <w:szCs w:val="20"/>
                <w:rtl/>
              </w:rPr>
              <w:tab/>
            </w:r>
            <w:r w:rsidRPr="00564B9D">
              <w:rPr>
                <w:rFonts w:hint="cs"/>
                <w:sz w:val="20"/>
                <w:szCs w:val="20"/>
                <w:rtl/>
              </w:rPr>
              <w:t>10 في المائة</w:t>
            </w:r>
          </w:p>
        </w:tc>
      </w:tr>
      <w:tr w:rsidR="007B5A24" w:rsidRPr="00564B9D" w14:paraId="0CAEDE24" w14:textId="77777777" w:rsidTr="00804944">
        <w:trPr>
          <w:trHeight w:val="240"/>
        </w:trPr>
        <w:tc>
          <w:tcPr>
            <w:tcW w:w="4305" w:type="dxa"/>
            <w:shd w:val="clear" w:color="auto" w:fill="auto"/>
          </w:tcPr>
          <w:p w14:paraId="4F170B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التركيب العمري للسكان </w:t>
            </w:r>
          </w:p>
        </w:tc>
        <w:tc>
          <w:tcPr>
            <w:tcW w:w="2913" w:type="dxa"/>
            <w:shd w:val="clear" w:color="auto" w:fill="auto"/>
          </w:tcPr>
          <w:p w14:paraId="423008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أقل من 15 سنة: 18 في المائة</w:t>
            </w:r>
          </w:p>
          <w:p w14:paraId="47C74042" w14:textId="37F2278F"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15 إلى أقل من 30:</w:t>
            </w:r>
            <w:r w:rsidR="004D7844" w:rsidRPr="00564B9D">
              <w:rPr>
                <w:sz w:val="20"/>
                <w:szCs w:val="20"/>
                <w:rtl/>
              </w:rPr>
              <w:tab/>
            </w:r>
            <w:r w:rsidRPr="00564B9D">
              <w:rPr>
                <w:rFonts w:hint="cs"/>
                <w:sz w:val="20"/>
                <w:szCs w:val="20"/>
                <w:rtl/>
              </w:rPr>
              <w:t>16 في المائة</w:t>
            </w:r>
          </w:p>
          <w:p w14:paraId="41F8F9EB" w14:textId="5AF796D6"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30 إلى أقل من 45:</w:t>
            </w:r>
            <w:r w:rsidR="004D7844" w:rsidRPr="00564B9D">
              <w:rPr>
                <w:sz w:val="20"/>
                <w:szCs w:val="20"/>
                <w:rtl/>
              </w:rPr>
              <w:tab/>
            </w:r>
            <w:r w:rsidRPr="00564B9D">
              <w:rPr>
                <w:rFonts w:hint="cs"/>
                <w:sz w:val="20"/>
                <w:szCs w:val="20"/>
                <w:rtl/>
              </w:rPr>
              <w:t>26 في المائة</w:t>
            </w:r>
          </w:p>
          <w:p w14:paraId="07989354" w14:textId="485C0990"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45 إلى أقل من 60:</w:t>
            </w:r>
            <w:r w:rsidR="004D7844" w:rsidRPr="00564B9D">
              <w:rPr>
                <w:sz w:val="20"/>
                <w:szCs w:val="20"/>
                <w:rtl/>
              </w:rPr>
              <w:tab/>
            </w:r>
            <w:r w:rsidRPr="00564B9D">
              <w:rPr>
                <w:rFonts w:hint="cs"/>
                <w:sz w:val="20"/>
                <w:szCs w:val="20"/>
                <w:rtl/>
              </w:rPr>
              <w:t>24 في المائة</w:t>
            </w:r>
          </w:p>
          <w:p w14:paraId="0358A0A9" w14:textId="0F0137A0"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tl/>
              </w:rPr>
            </w:pPr>
            <w:r w:rsidRPr="00564B9D">
              <w:rPr>
                <w:rFonts w:hint="cs"/>
                <w:sz w:val="20"/>
                <w:szCs w:val="20"/>
                <w:rtl/>
              </w:rPr>
              <w:t>من 60 إلى أقل من 75:</w:t>
            </w:r>
            <w:r w:rsidR="004D7844" w:rsidRPr="00564B9D">
              <w:rPr>
                <w:sz w:val="20"/>
                <w:szCs w:val="20"/>
                <w:rtl/>
              </w:rPr>
              <w:tab/>
            </w:r>
            <w:r w:rsidRPr="00564B9D">
              <w:rPr>
                <w:rFonts w:hint="cs"/>
                <w:sz w:val="20"/>
                <w:szCs w:val="20"/>
                <w:rtl/>
              </w:rPr>
              <w:t>12 في المائة</w:t>
            </w:r>
          </w:p>
          <w:p w14:paraId="7A182E23" w14:textId="1FF04AE7" w:rsidR="00494AE4" w:rsidRPr="00564B9D" w:rsidRDefault="00494AE4" w:rsidP="004D7844">
            <w:pPr>
              <w:pStyle w:val="SingleTxtGA"/>
              <w:tabs>
                <w:tab w:val="clear" w:pos="1928"/>
                <w:tab w:val="clear" w:pos="2608"/>
                <w:tab w:val="clear" w:pos="3289"/>
                <w:tab w:val="clear" w:pos="3969"/>
                <w:tab w:val="clear" w:pos="4649"/>
                <w:tab w:val="clear" w:pos="5330"/>
                <w:tab w:val="left" w:pos="1857"/>
              </w:tabs>
              <w:spacing w:before="40" w:after="40" w:line="280" w:lineRule="exact"/>
              <w:ind w:left="0" w:right="0"/>
              <w:rPr>
                <w:sz w:val="20"/>
                <w:szCs w:val="20"/>
              </w:rPr>
            </w:pPr>
            <w:r w:rsidRPr="00564B9D">
              <w:rPr>
                <w:rFonts w:hint="cs"/>
                <w:sz w:val="20"/>
                <w:szCs w:val="20"/>
                <w:rtl/>
              </w:rPr>
              <w:t>75 فما فوق:</w:t>
            </w:r>
            <w:r w:rsidR="004D7844" w:rsidRPr="00564B9D">
              <w:rPr>
                <w:sz w:val="20"/>
                <w:szCs w:val="20"/>
                <w:rtl/>
              </w:rPr>
              <w:tab/>
            </w:r>
            <w:r w:rsidRPr="00564B9D">
              <w:rPr>
                <w:rFonts w:hint="cs"/>
                <w:sz w:val="20"/>
                <w:szCs w:val="20"/>
                <w:rtl/>
              </w:rPr>
              <w:t xml:space="preserve">4 في المائة </w:t>
            </w:r>
          </w:p>
        </w:tc>
      </w:tr>
      <w:tr w:rsidR="007B5A24" w:rsidRPr="00564B9D" w14:paraId="2A47C871" w14:textId="77777777" w:rsidTr="00804944">
        <w:trPr>
          <w:trHeight w:val="240"/>
        </w:trPr>
        <w:tc>
          <w:tcPr>
            <w:tcW w:w="4305" w:type="dxa"/>
            <w:shd w:val="clear" w:color="auto" w:fill="auto"/>
          </w:tcPr>
          <w:p w14:paraId="2B8CD4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2913" w:type="dxa"/>
            <w:shd w:val="clear" w:color="auto" w:fill="auto"/>
          </w:tcPr>
          <w:p w14:paraId="54BE79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18 في المائة</w:t>
            </w:r>
          </w:p>
        </w:tc>
      </w:tr>
      <w:tr w:rsidR="007B5A24" w:rsidRPr="00564B9D" w14:paraId="31C0F726" w14:textId="77777777" w:rsidTr="00804944">
        <w:trPr>
          <w:trHeight w:val="240"/>
        </w:trPr>
        <w:tc>
          <w:tcPr>
            <w:tcW w:w="4305" w:type="dxa"/>
            <w:shd w:val="clear" w:color="auto" w:fill="auto"/>
          </w:tcPr>
          <w:p w14:paraId="1EE15F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2913" w:type="dxa"/>
            <w:shd w:val="clear" w:color="auto" w:fill="auto"/>
          </w:tcPr>
          <w:p w14:paraId="471CAA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11 في المائة</w:t>
            </w:r>
          </w:p>
        </w:tc>
      </w:tr>
      <w:tr w:rsidR="007B5A24" w:rsidRPr="00564B9D" w14:paraId="4DAA88B2" w14:textId="77777777" w:rsidTr="00804944">
        <w:trPr>
          <w:trHeight w:val="240"/>
        </w:trPr>
        <w:tc>
          <w:tcPr>
            <w:tcW w:w="4305" w:type="dxa"/>
            <w:shd w:val="clear" w:color="auto" w:fill="auto"/>
          </w:tcPr>
          <w:p w14:paraId="52D631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r w:rsidRPr="00564B9D">
              <w:rPr>
                <w:sz w:val="20"/>
                <w:szCs w:val="20"/>
                <w:vertAlign w:val="superscript"/>
                <w:rtl/>
              </w:rPr>
              <w:t>(</w:t>
            </w:r>
            <w:r w:rsidRPr="00564B9D">
              <w:rPr>
                <w:rStyle w:val="FootnoteReference"/>
                <w:rFonts w:cs="Simplified Arabic"/>
                <w:b w:val="0"/>
                <w:sz w:val="20"/>
                <w:szCs w:val="20"/>
                <w:rtl/>
                <w:lang w:val="en-US"/>
              </w:rPr>
              <w:footnoteReference w:id="249"/>
            </w:r>
            <w:r w:rsidRPr="00564B9D">
              <w:rPr>
                <w:sz w:val="20"/>
                <w:szCs w:val="20"/>
                <w:vertAlign w:val="superscript"/>
                <w:rtl/>
              </w:rPr>
              <w:t>)</w:t>
            </w:r>
            <w:r w:rsidRPr="00564B9D">
              <w:rPr>
                <w:sz w:val="20"/>
                <w:szCs w:val="20"/>
                <w:rtl/>
              </w:rPr>
              <w:t xml:space="preserve"> </w:t>
            </w:r>
          </w:p>
        </w:tc>
        <w:tc>
          <w:tcPr>
            <w:tcW w:w="2913" w:type="dxa"/>
            <w:shd w:val="clear" w:color="auto" w:fill="auto"/>
          </w:tcPr>
          <w:p w14:paraId="7E2ADE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12,5</w:t>
            </w:r>
          </w:p>
        </w:tc>
      </w:tr>
      <w:tr w:rsidR="007B5A24" w:rsidRPr="00564B9D" w14:paraId="5ECA3268" w14:textId="77777777" w:rsidTr="00804944">
        <w:trPr>
          <w:trHeight w:val="240"/>
        </w:trPr>
        <w:tc>
          <w:tcPr>
            <w:tcW w:w="4305" w:type="dxa"/>
            <w:shd w:val="clear" w:color="auto" w:fill="auto"/>
          </w:tcPr>
          <w:p w14:paraId="224AEA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r w:rsidRPr="00564B9D">
              <w:rPr>
                <w:sz w:val="20"/>
                <w:szCs w:val="20"/>
                <w:vertAlign w:val="superscript"/>
                <w:rtl/>
              </w:rPr>
              <w:t>(</w:t>
            </w:r>
            <w:r w:rsidRPr="00564B9D">
              <w:rPr>
                <w:rStyle w:val="FootnoteReference"/>
                <w:rFonts w:cs="Simplified Arabic"/>
                <w:b w:val="0"/>
                <w:sz w:val="20"/>
                <w:szCs w:val="20"/>
                <w:rtl/>
                <w:lang w:val="en-US"/>
              </w:rPr>
              <w:footnoteReference w:id="250"/>
            </w:r>
            <w:r w:rsidRPr="00564B9D">
              <w:rPr>
                <w:sz w:val="20"/>
                <w:szCs w:val="20"/>
                <w:vertAlign w:val="superscript"/>
                <w:rtl/>
              </w:rPr>
              <w:t>)</w:t>
            </w:r>
            <w:r w:rsidRPr="00564B9D">
              <w:rPr>
                <w:rFonts w:hint="cs"/>
                <w:sz w:val="20"/>
                <w:szCs w:val="20"/>
                <w:rtl/>
              </w:rPr>
              <w:t xml:space="preserve"> </w:t>
            </w:r>
          </w:p>
        </w:tc>
        <w:tc>
          <w:tcPr>
            <w:tcW w:w="2913" w:type="dxa"/>
            <w:shd w:val="clear" w:color="auto" w:fill="auto"/>
          </w:tcPr>
          <w:p w14:paraId="2F22A2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أقل من 0,1</w:t>
            </w:r>
          </w:p>
        </w:tc>
      </w:tr>
      <w:tr w:rsidR="007B5A24" w:rsidRPr="00564B9D" w14:paraId="6D62F2EB" w14:textId="77777777" w:rsidTr="00804944">
        <w:trPr>
          <w:trHeight w:val="240"/>
        </w:trPr>
        <w:tc>
          <w:tcPr>
            <w:tcW w:w="4305" w:type="dxa"/>
            <w:shd w:val="clear" w:color="auto" w:fill="auto"/>
          </w:tcPr>
          <w:p w14:paraId="0DFCA2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r w:rsidRPr="00564B9D">
              <w:rPr>
                <w:sz w:val="20"/>
                <w:szCs w:val="20"/>
                <w:vertAlign w:val="superscript"/>
                <w:rtl/>
              </w:rPr>
              <w:t>(</w:t>
            </w:r>
            <w:r w:rsidRPr="00564B9D">
              <w:rPr>
                <w:rStyle w:val="FootnoteReference"/>
                <w:rFonts w:cs="Simplified Arabic"/>
                <w:b w:val="0"/>
                <w:sz w:val="20"/>
                <w:szCs w:val="20"/>
                <w:rtl/>
                <w:lang w:val="en-US"/>
              </w:rPr>
              <w:footnoteReference w:id="251"/>
            </w:r>
            <w:r w:rsidRPr="00564B9D">
              <w:rPr>
                <w:sz w:val="20"/>
                <w:szCs w:val="20"/>
                <w:vertAlign w:val="superscript"/>
                <w:rtl/>
              </w:rPr>
              <w:t>)</w:t>
            </w:r>
            <w:r w:rsidRPr="00564B9D">
              <w:rPr>
                <w:rFonts w:hint="cs"/>
                <w:sz w:val="20"/>
                <w:szCs w:val="20"/>
                <w:rtl/>
              </w:rPr>
              <w:t xml:space="preserve"> </w:t>
            </w:r>
          </w:p>
        </w:tc>
        <w:tc>
          <w:tcPr>
            <w:tcW w:w="2913" w:type="dxa"/>
            <w:shd w:val="clear" w:color="auto" w:fill="auto"/>
          </w:tcPr>
          <w:p w14:paraId="2FEE8B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6,9</w:t>
            </w:r>
          </w:p>
        </w:tc>
      </w:tr>
      <w:tr w:rsidR="007B5A24" w:rsidRPr="00564B9D" w14:paraId="30D86521" w14:textId="77777777" w:rsidTr="00804944">
        <w:trPr>
          <w:trHeight w:val="240"/>
        </w:trPr>
        <w:tc>
          <w:tcPr>
            <w:tcW w:w="4305" w:type="dxa"/>
            <w:shd w:val="clear" w:color="auto" w:fill="auto"/>
          </w:tcPr>
          <w:p w14:paraId="080E1B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w:t>
            </w:r>
          </w:p>
        </w:tc>
        <w:tc>
          <w:tcPr>
            <w:tcW w:w="2913" w:type="dxa"/>
            <w:shd w:val="clear" w:color="auto" w:fill="auto"/>
          </w:tcPr>
          <w:p w14:paraId="203F20C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4 في السنة </w:t>
            </w:r>
          </w:p>
        </w:tc>
      </w:tr>
      <w:tr w:rsidR="007B5A24" w:rsidRPr="00564B9D" w14:paraId="2DE26749" w14:textId="77777777" w:rsidTr="00804944">
        <w:trPr>
          <w:trHeight w:val="240"/>
        </w:trPr>
        <w:tc>
          <w:tcPr>
            <w:tcW w:w="4305" w:type="dxa"/>
            <w:shd w:val="clear" w:color="auto" w:fill="auto"/>
          </w:tcPr>
          <w:p w14:paraId="78AC74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2913" w:type="dxa"/>
            <w:shd w:val="clear" w:color="auto" w:fill="auto"/>
          </w:tcPr>
          <w:p w14:paraId="0B0730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1,5 في السنة</w:t>
            </w:r>
          </w:p>
        </w:tc>
      </w:tr>
      <w:tr w:rsidR="007B5A24" w:rsidRPr="00564B9D" w14:paraId="68439BC7" w14:textId="77777777" w:rsidTr="00804944">
        <w:trPr>
          <w:trHeight w:val="240"/>
        </w:trPr>
        <w:tc>
          <w:tcPr>
            <w:tcW w:w="4305" w:type="dxa"/>
            <w:shd w:val="clear" w:color="auto" w:fill="auto"/>
          </w:tcPr>
          <w:p w14:paraId="61A135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2913" w:type="dxa"/>
            <w:shd w:val="clear" w:color="auto" w:fill="auto"/>
          </w:tcPr>
          <w:p w14:paraId="00917B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p>
        </w:tc>
      </w:tr>
      <w:tr w:rsidR="007B5A24" w:rsidRPr="00564B9D" w14:paraId="1E3C801D" w14:textId="77777777" w:rsidTr="00804944">
        <w:trPr>
          <w:trHeight w:val="240"/>
        </w:trPr>
        <w:tc>
          <w:tcPr>
            <w:tcW w:w="4305" w:type="dxa"/>
            <w:shd w:val="clear" w:color="auto" w:fill="auto"/>
          </w:tcPr>
          <w:p w14:paraId="04BC17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رجال</w:t>
            </w:r>
          </w:p>
        </w:tc>
        <w:tc>
          <w:tcPr>
            <w:tcW w:w="2913" w:type="dxa"/>
            <w:shd w:val="clear" w:color="auto" w:fill="auto"/>
          </w:tcPr>
          <w:p w14:paraId="3ECB74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73</w:t>
            </w:r>
          </w:p>
        </w:tc>
      </w:tr>
      <w:tr w:rsidR="007B5A24" w:rsidRPr="00564B9D" w14:paraId="49A65C22" w14:textId="77777777" w:rsidTr="00804944">
        <w:trPr>
          <w:trHeight w:val="240"/>
        </w:trPr>
        <w:tc>
          <w:tcPr>
            <w:tcW w:w="4305" w:type="dxa"/>
            <w:shd w:val="clear" w:color="auto" w:fill="auto"/>
          </w:tcPr>
          <w:p w14:paraId="120B87F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نساء </w:t>
            </w:r>
          </w:p>
        </w:tc>
        <w:tc>
          <w:tcPr>
            <w:tcW w:w="2913" w:type="dxa"/>
            <w:shd w:val="clear" w:color="auto" w:fill="auto"/>
          </w:tcPr>
          <w:p w14:paraId="5F6BE7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81</w:t>
            </w:r>
          </w:p>
        </w:tc>
      </w:tr>
      <w:tr w:rsidR="007B5A24" w:rsidRPr="00564B9D" w14:paraId="3456AAD6" w14:textId="77777777" w:rsidTr="00804944">
        <w:trPr>
          <w:trHeight w:val="240"/>
        </w:trPr>
        <w:tc>
          <w:tcPr>
            <w:tcW w:w="4305" w:type="dxa"/>
            <w:shd w:val="clear" w:color="auto" w:fill="auto"/>
          </w:tcPr>
          <w:p w14:paraId="0E2964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2913" w:type="dxa"/>
            <w:shd w:val="clear" w:color="auto" w:fill="auto"/>
          </w:tcPr>
          <w:p w14:paraId="650964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1,56</w:t>
            </w:r>
          </w:p>
        </w:tc>
      </w:tr>
      <w:tr w:rsidR="007B5A24" w:rsidRPr="00564B9D" w14:paraId="6BE2E160" w14:textId="77777777" w:rsidTr="00804944">
        <w:trPr>
          <w:trHeight w:val="240"/>
        </w:trPr>
        <w:tc>
          <w:tcPr>
            <w:tcW w:w="4305" w:type="dxa"/>
            <w:shd w:val="clear" w:color="auto" w:fill="auto"/>
          </w:tcPr>
          <w:p w14:paraId="7BE49C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2913" w:type="dxa"/>
            <w:shd w:val="clear" w:color="auto" w:fill="auto"/>
          </w:tcPr>
          <w:p w14:paraId="0C491C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2,7</w:t>
            </w:r>
          </w:p>
        </w:tc>
      </w:tr>
      <w:tr w:rsidR="007B5A24" w:rsidRPr="00564B9D" w14:paraId="39C1D1E0" w14:textId="77777777" w:rsidTr="00804944">
        <w:trPr>
          <w:trHeight w:val="240"/>
        </w:trPr>
        <w:tc>
          <w:tcPr>
            <w:tcW w:w="4305" w:type="dxa"/>
            <w:tcBorders>
              <w:bottom w:val="single" w:sz="12" w:space="0" w:color="auto"/>
            </w:tcBorders>
            <w:shd w:val="clear" w:color="auto" w:fill="auto"/>
          </w:tcPr>
          <w:p w14:paraId="79ED183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2913" w:type="dxa"/>
            <w:tcBorders>
              <w:bottom w:val="single" w:sz="12" w:space="0" w:color="auto"/>
            </w:tcBorders>
            <w:shd w:val="clear" w:color="auto" w:fill="auto"/>
          </w:tcPr>
          <w:p w14:paraId="17C69EA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8 في المائة </w:t>
            </w:r>
          </w:p>
        </w:tc>
      </w:tr>
    </w:tbl>
    <w:p w14:paraId="5B9D4A5A"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970"/>
        <w:gridCol w:w="3422"/>
      </w:tblGrid>
      <w:tr w:rsidR="007B5A24" w:rsidRPr="00564B9D" w14:paraId="21A5E549" w14:textId="77777777" w:rsidTr="00804944">
        <w:trPr>
          <w:trHeight w:val="240"/>
          <w:tblHeader/>
        </w:trPr>
        <w:tc>
          <w:tcPr>
            <w:tcW w:w="7224" w:type="dxa"/>
            <w:gridSpan w:val="2"/>
            <w:tcBorders>
              <w:top w:val="single" w:sz="4" w:space="0" w:color="auto"/>
              <w:bottom w:val="single" w:sz="12" w:space="0" w:color="auto"/>
            </w:tcBorders>
            <w:shd w:val="clear" w:color="auto" w:fill="auto"/>
            <w:vAlign w:val="bottom"/>
          </w:tcPr>
          <w:p w14:paraId="3C3A3F94"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7CF705E2" w14:textId="77777777" w:rsidTr="00804944">
        <w:trPr>
          <w:trHeight w:val="240"/>
        </w:trPr>
        <w:tc>
          <w:tcPr>
            <w:tcW w:w="4278" w:type="dxa"/>
            <w:tcBorders>
              <w:top w:val="single" w:sz="12" w:space="0" w:color="auto"/>
            </w:tcBorders>
            <w:shd w:val="clear" w:color="auto" w:fill="auto"/>
          </w:tcPr>
          <w:p w14:paraId="7459F7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r w:rsidRPr="00564B9D">
              <w:rPr>
                <w:sz w:val="20"/>
                <w:szCs w:val="20"/>
                <w:vertAlign w:val="superscript"/>
                <w:rtl/>
              </w:rPr>
              <w:t>(</w:t>
            </w:r>
            <w:r w:rsidRPr="00564B9D">
              <w:rPr>
                <w:rStyle w:val="FootnoteReference"/>
                <w:rFonts w:cs="Simplified Arabic"/>
                <w:b w:val="0"/>
                <w:sz w:val="20"/>
                <w:szCs w:val="20"/>
                <w:rtl/>
                <w:lang w:val="en-US"/>
              </w:rPr>
              <w:footnoteReference w:id="252"/>
            </w:r>
            <w:r w:rsidRPr="00564B9D">
              <w:rPr>
                <w:sz w:val="20"/>
                <w:szCs w:val="20"/>
                <w:vertAlign w:val="superscript"/>
                <w:rtl/>
              </w:rPr>
              <w:t>)</w:t>
            </w:r>
            <w:r w:rsidRPr="00564B9D">
              <w:rPr>
                <w:rFonts w:hint="cs"/>
                <w:sz w:val="20"/>
                <w:szCs w:val="20"/>
                <w:rtl/>
              </w:rPr>
              <w:t xml:space="preserve"> </w:t>
            </w:r>
          </w:p>
        </w:tc>
        <w:tc>
          <w:tcPr>
            <w:tcW w:w="2946" w:type="dxa"/>
            <w:tcBorders>
              <w:top w:val="single" w:sz="12" w:space="0" w:color="auto"/>
            </w:tcBorders>
            <w:shd w:val="clear" w:color="auto" w:fill="auto"/>
          </w:tcPr>
          <w:p w14:paraId="3A6BD1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الطعام والمشروبات غير الكحولية: 17,3 في المائة</w:t>
            </w:r>
          </w:p>
          <w:p w14:paraId="554AAA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المشروبات الكحولية والتبغ: 2,8 في المائة</w:t>
            </w:r>
          </w:p>
          <w:p w14:paraId="2C7738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الملابس والأحذية: 2,1 في المائة</w:t>
            </w:r>
          </w:p>
          <w:p w14:paraId="74CA3F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الإسكان والوقود والطاقة: 33 في المائة</w:t>
            </w:r>
          </w:p>
          <w:p w14:paraId="0E0336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بضائع وخدمات الأسرة المعيشية: 4,2 في المائة</w:t>
            </w:r>
          </w:p>
          <w:p w14:paraId="2C5AFA5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الصحة: 0,5 في المائة</w:t>
            </w:r>
          </w:p>
          <w:p w14:paraId="3941E2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النقل: 10,2 في المائة</w:t>
            </w:r>
          </w:p>
          <w:p w14:paraId="2F8AB4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الاتصالات: 4,3 في المائة</w:t>
            </w:r>
          </w:p>
          <w:p w14:paraId="774B4F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الترفيه والثقافة: 10,7 في المائة</w:t>
            </w:r>
          </w:p>
          <w:p w14:paraId="1F420A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التعليم: 0,1 في المائة</w:t>
            </w:r>
          </w:p>
          <w:p w14:paraId="43A60A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المطاعم والفنادق: 5,1 في المائة</w:t>
            </w:r>
          </w:p>
          <w:p w14:paraId="53FD40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بضائع وخدمات متنوعة: 8,6 في المائة</w:t>
            </w:r>
          </w:p>
          <w:p w14:paraId="359A56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بنود الإنفاق الأخرى: 1,0 في المائة</w:t>
            </w:r>
          </w:p>
        </w:tc>
      </w:tr>
      <w:tr w:rsidR="007B5A24" w:rsidRPr="00564B9D" w14:paraId="672EBE4B" w14:textId="77777777" w:rsidTr="00804944">
        <w:trPr>
          <w:trHeight w:val="240"/>
        </w:trPr>
        <w:tc>
          <w:tcPr>
            <w:tcW w:w="4278" w:type="dxa"/>
            <w:shd w:val="clear" w:color="auto" w:fill="auto"/>
          </w:tcPr>
          <w:p w14:paraId="2BA9A4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نسبة السكان الذين يعيشون تحت خط الفقر الوطني</w:t>
            </w:r>
          </w:p>
        </w:tc>
        <w:tc>
          <w:tcPr>
            <w:tcW w:w="2946" w:type="dxa"/>
            <w:shd w:val="clear" w:color="auto" w:fill="auto"/>
          </w:tcPr>
          <w:p w14:paraId="2624A7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لا يوجد خط فقر رسمي في جزر فوكلاند. وفي ميزانية 2019/</w:t>
            </w:r>
            <w:r w:rsidRPr="00564B9D">
              <w:rPr>
                <w:rFonts w:hint="cs"/>
                <w:sz w:val="20"/>
                <w:szCs w:val="20"/>
                <w:rtl/>
              </w:rPr>
              <w:t>2020</w:t>
            </w:r>
            <w:r w:rsidRPr="00564B9D">
              <w:rPr>
                <w:sz w:val="20"/>
                <w:szCs w:val="20"/>
                <w:rtl/>
              </w:rPr>
              <w:t>، ر</w:t>
            </w:r>
            <w:r w:rsidRPr="00564B9D">
              <w:rPr>
                <w:rFonts w:hint="cs"/>
                <w:sz w:val="20"/>
                <w:szCs w:val="20"/>
                <w:rtl/>
              </w:rPr>
              <w:t>ُ</w:t>
            </w:r>
            <w:r w:rsidRPr="00564B9D">
              <w:rPr>
                <w:sz w:val="20"/>
                <w:szCs w:val="20"/>
                <w:rtl/>
              </w:rPr>
              <w:t xml:space="preserve">فع الحد الأدنى للأجور لجعله يتماشى مع </w:t>
            </w:r>
            <w:r w:rsidRPr="00564B9D">
              <w:rPr>
                <w:rFonts w:hint="cs"/>
                <w:sz w:val="20"/>
                <w:szCs w:val="20"/>
                <w:rtl/>
              </w:rPr>
              <w:t>ال</w:t>
            </w:r>
            <w:r w:rsidRPr="00564B9D">
              <w:rPr>
                <w:sz w:val="20"/>
                <w:szCs w:val="20"/>
                <w:rtl/>
              </w:rPr>
              <w:t xml:space="preserve">أجر </w:t>
            </w:r>
            <w:r w:rsidRPr="00564B9D">
              <w:rPr>
                <w:rFonts w:hint="cs"/>
                <w:sz w:val="20"/>
                <w:szCs w:val="20"/>
                <w:rtl/>
              </w:rPr>
              <w:t>الكافي للم</w:t>
            </w:r>
            <w:r w:rsidRPr="00564B9D">
              <w:rPr>
                <w:sz w:val="20"/>
                <w:szCs w:val="20"/>
                <w:rtl/>
              </w:rPr>
              <w:t xml:space="preserve">عيشة. </w:t>
            </w:r>
            <w:r w:rsidRPr="00564B9D">
              <w:rPr>
                <w:rFonts w:hint="cs"/>
                <w:sz w:val="20"/>
                <w:szCs w:val="20"/>
                <w:rtl/>
              </w:rPr>
              <w:t>و</w:t>
            </w:r>
            <w:r w:rsidRPr="00564B9D">
              <w:rPr>
                <w:sz w:val="20"/>
                <w:szCs w:val="20"/>
                <w:rtl/>
              </w:rPr>
              <w:t xml:space="preserve">يمثل </w:t>
            </w:r>
            <w:r w:rsidRPr="00564B9D">
              <w:rPr>
                <w:rFonts w:hint="cs"/>
                <w:sz w:val="20"/>
                <w:szCs w:val="20"/>
                <w:rtl/>
              </w:rPr>
              <w:t>ذلك</w:t>
            </w:r>
            <w:r w:rsidRPr="00564B9D">
              <w:rPr>
                <w:sz w:val="20"/>
                <w:szCs w:val="20"/>
                <w:rtl/>
              </w:rPr>
              <w:t xml:space="preserve"> زيادة بنسبة 5,4</w:t>
            </w:r>
            <w:r w:rsidRPr="00564B9D">
              <w:rPr>
                <w:rFonts w:hint="cs"/>
                <w:sz w:val="20"/>
                <w:szCs w:val="20"/>
                <w:rtl/>
              </w:rPr>
              <w:t xml:space="preserve"> في المائة</w:t>
            </w:r>
            <w:r w:rsidRPr="00564B9D">
              <w:rPr>
                <w:sz w:val="20"/>
                <w:szCs w:val="20"/>
                <w:rtl/>
              </w:rPr>
              <w:t xml:space="preserve"> عن مستويات الحد الأدنى للأجور 2018/</w:t>
            </w:r>
            <w:r w:rsidRPr="00564B9D">
              <w:rPr>
                <w:rFonts w:hint="cs"/>
                <w:sz w:val="20"/>
                <w:szCs w:val="20"/>
                <w:rtl/>
              </w:rPr>
              <w:t>2019</w:t>
            </w:r>
            <w:r w:rsidRPr="00564B9D">
              <w:rPr>
                <w:sz w:val="20"/>
                <w:szCs w:val="20"/>
                <w:rtl/>
              </w:rPr>
              <w:t xml:space="preserve"> </w:t>
            </w:r>
            <w:r w:rsidRPr="00564B9D">
              <w:rPr>
                <w:rFonts w:hint="cs"/>
                <w:sz w:val="20"/>
                <w:szCs w:val="20"/>
                <w:rtl/>
              </w:rPr>
              <w:t>من</w:t>
            </w:r>
            <w:r w:rsidRPr="00564B9D">
              <w:rPr>
                <w:sz w:val="20"/>
                <w:szCs w:val="20"/>
                <w:rtl/>
              </w:rPr>
              <w:t xml:space="preserve"> 6,67 جنيهات إسترلينية للساعة إلى 7,03 جنيهات إسترلينية. وفي ميزانية 2020/</w:t>
            </w:r>
            <w:r w:rsidRPr="00564B9D">
              <w:rPr>
                <w:rFonts w:hint="cs"/>
                <w:sz w:val="20"/>
                <w:szCs w:val="20"/>
                <w:rtl/>
              </w:rPr>
              <w:t>2021</w:t>
            </w:r>
            <w:r w:rsidRPr="00564B9D">
              <w:rPr>
                <w:sz w:val="20"/>
                <w:szCs w:val="20"/>
                <w:rtl/>
              </w:rPr>
              <w:t>، ر</w:t>
            </w:r>
            <w:r w:rsidRPr="00564B9D">
              <w:rPr>
                <w:rFonts w:hint="cs"/>
                <w:sz w:val="20"/>
                <w:szCs w:val="20"/>
                <w:rtl/>
              </w:rPr>
              <w:t>ُ</w:t>
            </w:r>
            <w:r w:rsidRPr="00564B9D">
              <w:rPr>
                <w:sz w:val="20"/>
                <w:szCs w:val="20"/>
                <w:rtl/>
              </w:rPr>
              <w:t xml:space="preserve">فع الحد الأدنى للأجور </w:t>
            </w:r>
            <w:r w:rsidRPr="00564B9D">
              <w:rPr>
                <w:rFonts w:hint="cs"/>
                <w:sz w:val="20"/>
                <w:szCs w:val="20"/>
                <w:rtl/>
              </w:rPr>
              <w:t>و</w:t>
            </w:r>
            <w:r w:rsidRPr="00564B9D">
              <w:rPr>
                <w:sz w:val="20"/>
                <w:szCs w:val="20"/>
                <w:rtl/>
              </w:rPr>
              <w:t xml:space="preserve">الحد الأدنى </w:t>
            </w:r>
            <w:r w:rsidRPr="00564B9D">
              <w:rPr>
                <w:rFonts w:hint="cs"/>
                <w:sz w:val="20"/>
                <w:szCs w:val="20"/>
                <w:rtl/>
              </w:rPr>
              <w:t>ال</w:t>
            </w:r>
            <w:r w:rsidRPr="00564B9D">
              <w:rPr>
                <w:sz w:val="20"/>
                <w:szCs w:val="20"/>
                <w:rtl/>
              </w:rPr>
              <w:t xml:space="preserve">أجر </w:t>
            </w:r>
            <w:r w:rsidRPr="00564B9D">
              <w:rPr>
                <w:rFonts w:hint="cs"/>
                <w:sz w:val="20"/>
                <w:szCs w:val="20"/>
                <w:rtl/>
              </w:rPr>
              <w:t>الكافي للم</w:t>
            </w:r>
            <w:r w:rsidRPr="00564B9D">
              <w:rPr>
                <w:sz w:val="20"/>
                <w:szCs w:val="20"/>
                <w:rtl/>
              </w:rPr>
              <w:t>عيشة بنسبة 1,5</w:t>
            </w:r>
            <w:r w:rsidRPr="00564B9D">
              <w:rPr>
                <w:rFonts w:hint="cs"/>
                <w:sz w:val="20"/>
                <w:szCs w:val="20"/>
                <w:rtl/>
              </w:rPr>
              <w:t xml:space="preserve"> في المائة</w:t>
            </w:r>
            <w:r w:rsidRPr="00564B9D">
              <w:rPr>
                <w:sz w:val="20"/>
                <w:szCs w:val="20"/>
                <w:rtl/>
              </w:rPr>
              <w:t xml:space="preserve"> إلى 7,13 جنيهات إسترلينية في الساعة.</w:t>
            </w:r>
          </w:p>
        </w:tc>
      </w:tr>
      <w:tr w:rsidR="007B5A24" w:rsidRPr="00564B9D" w14:paraId="49E8C8AF" w14:textId="77777777" w:rsidTr="00804944">
        <w:trPr>
          <w:trHeight w:val="240"/>
        </w:trPr>
        <w:tc>
          <w:tcPr>
            <w:tcW w:w="4278" w:type="dxa"/>
            <w:shd w:val="clear" w:color="auto" w:fill="auto"/>
          </w:tcPr>
          <w:p w14:paraId="074725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2946" w:type="dxa"/>
            <w:shd w:val="clear" w:color="auto" w:fill="auto"/>
          </w:tcPr>
          <w:p w14:paraId="4F7B57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6C0BD5B5" w14:textId="77777777" w:rsidTr="00804944">
        <w:trPr>
          <w:trHeight w:val="240"/>
        </w:trPr>
        <w:tc>
          <w:tcPr>
            <w:tcW w:w="4278" w:type="dxa"/>
            <w:shd w:val="clear" w:color="auto" w:fill="auto"/>
          </w:tcPr>
          <w:p w14:paraId="0267B4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معامل جيني (المتصل بتوزيع الدخل)</w:t>
            </w:r>
            <w:r w:rsidRPr="00564B9D">
              <w:rPr>
                <w:sz w:val="20"/>
                <w:szCs w:val="20"/>
                <w:vertAlign w:val="superscript"/>
                <w:rtl/>
              </w:rPr>
              <w:t>(</w:t>
            </w:r>
            <w:r w:rsidRPr="00564B9D">
              <w:rPr>
                <w:rStyle w:val="FootnoteReference"/>
                <w:rFonts w:cs="Simplified Arabic"/>
                <w:b w:val="0"/>
                <w:sz w:val="20"/>
                <w:szCs w:val="20"/>
                <w:rtl/>
                <w:lang w:val="en-US"/>
              </w:rPr>
              <w:footnoteReference w:id="253"/>
            </w:r>
            <w:r w:rsidRPr="00564B9D">
              <w:rPr>
                <w:sz w:val="20"/>
                <w:szCs w:val="20"/>
                <w:vertAlign w:val="superscript"/>
                <w:rtl/>
              </w:rPr>
              <w:t>)</w:t>
            </w:r>
            <w:r w:rsidRPr="00564B9D">
              <w:rPr>
                <w:sz w:val="20"/>
                <w:szCs w:val="20"/>
                <w:rtl/>
              </w:rPr>
              <w:t xml:space="preserve"> </w:t>
            </w:r>
          </w:p>
        </w:tc>
        <w:tc>
          <w:tcPr>
            <w:tcW w:w="2946" w:type="dxa"/>
            <w:shd w:val="clear" w:color="auto" w:fill="auto"/>
          </w:tcPr>
          <w:p w14:paraId="5F76CF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0,38</w:t>
            </w:r>
          </w:p>
        </w:tc>
      </w:tr>
      <w:tr w:rsidR="007B5A24" w:rsidRPr="00564B9D" w14:paraId="60C9B063" w14:textId="77777777" w:rsidTr="00804944">
        <w:trPr>
          <w:trHeight w:val="240"/>
        </w:trPr>
        <w:tc>
          <w:tcPr>
            <w:tcW w:w="4278" w:type="dxa"/>
            <w:shd w:val="clear" w:color="auto" w:fill="auto"/>
          </w:tcPr>
          <w:p w14:paraId="1D1268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2946" w:type="dxa"/>
            <w:shd w:val="clear" w:color="auto" w:fill="auto"/>
          </w:tcPr>
          <w:p w14:paraId="662CD3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3D80428D" w14:textId="77777777" w:rsidTr="00804944">
        <w:trPr>
          <w:trHeight w:val="240"/>
        </w:trPr>
        <w:tc>
          <w:tcPr>
            <w:tcW w:w="4278" w:type="dxa"/>
            <w:shd w:val="clear" w:color="auto" w:fill="auto"/>
          </w:tcPr>
          <w:p w14:paraId="3480A8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2946" w:type="dxa"/>
            <w:shd w:val="clear" w:color="auto" w:fill="auto"/>
          </w:tcPr>
          <w:p w14:paraId="46D2A4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الأمهات: صفر</w:t>
            </w:r>
          </w:p>
          <w:p w14:paraId="19F3EA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الرضّع - أقل من 0,1</w:t>
            </w:r>
          </w:p>
        </w:tc>
      </w:tr>
      <w:tr w:rsidR="007B5A24" w:rsidRPr="00564B9D" w14:paraId="37D09597" w14:textId="77777777" w:rsidTr="00804944">
        <w:trPr>
          <w:trHeight w:val="240"/>
        </w:trPr>
        <w:tc>
          <w:tcPr>
            <w:tcW w:w="4278" w:type="dxa"/>
            <w:shd w:val="clear" w:color="auto" w:fill="auto"/>
          </w:tcPr>
          <w:p w14:paraId="7C85ED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اللاتي في سن الحمل ويستخدمن وسائل منع الحمل أو اللاتي يستخدم شركاؤهن وسائل منع الحمل </w:t>
            </w:r>
          </w:p>
        </w:tc>
        <w:tc>
          <w:tcPr>
            <w:tcW w:w="2946" w:type="dxa"/>
            <w:shd w:val="clear" w:color="auto" w:fill="auto"/>
          </w:tcPr>
          <w:p w14:paraId="38F205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غير معروفة </w:t>
            </w:r>
          </w:p>
        </w:tc>
      </w:tr>
      <w:tr w:rsidR="007B5A24" w:rsidRPr="00564B9D" w14:paraId="4D78EC5C" w14:textId="77777777" w:rsidTr="00804944">
        <w:trPr>
          <w:trHeight w:val="240"/>
        </w:trPr>
        <w:tc>
          <w:tcPr>
            <w:tcW w:w="4278" w:type="dxa"/>
            <w:shd w:val="clear" w:color="auto" w:fill="auto"/>
          </w:tcPr>
          <w:p w14:paraId="5807903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2946" w:type="dxa"/>
            <w:shd w:val="clear" w:color="auto" w:fill="auto"/>
          </w:tcPr>
          <w:p w14:paraId="3535012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329BD41C" w14:textId="77777777" w:rsidTr="00804944">
        <w:trPr>
          <w:trHeight w:val="240"/>
        </w:trPr>
        <w:tc>
          <w:tcPr>
            <w:tcW w:w="4278" w:type="dxa"/>
            <w:shd w:val="clear" w:color="auto" w:fill="auto"/>
          </w:tcPr>
          <w:p w14:paraId="3310670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2946" w:type="dxa"/>
            <w:shd w:val="clear" w:color="auto" w:fill="auto"/>
          </w:tcPr>
          <w:p w14:paraId="174E51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 نسبة معروفة</w:t>
            </w:r>
          </w:p>
        </w:tc>
      </w:tr>
      <w:tr w:rsidR="007B5A24" w:rsidRPr="00564B9D" w14:paraId="580FD5DA" w14:textId="77777777" w:rsidTr="00804944">
        <w:trPr>
          <w:trHeight w:val="240"/>
        </w:trPr>
        <w:tc>
          <w:tcPr>
            <w:tcW w:w="4278" w:type="dxa"/>
            <w:shd w:val="clear" w:color="auto" w:fill="auto"/>
          </w:tcPr>
          <w:p w14:paraId="1F25050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2946" w:type="dxa"/>
            <w:shd w:val="clear" w:color="auto" w:fill="auto"/>
          </w:tcPr>
          <w:p w14:paraId="6A3D87C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داء الانسداد الرئوي المزمن: 5 في المائة (نسبة تقديرية)</w:t>
            </w:r>
          </w:p>
          <w:p w14:paraId="558E88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داء السكري: 5 في المائة (نسبة تقديرية)</w:t>
            </w:r>
          </w:p>
        </w:tc>
      </w:tr>
      <w:tr w:rsidR="007B5A24" w:rsidRPr="00564B9D" w14:paraId="0D6E15D4" w14:textId="77777777" w:rsidTr="00804944">
        <w:trPr>
          <w:trHeight w:val="240"/>
        </w:trPr>
        <w:tc>
          <w:tcPr>
            <w:tcW w:w="4278" w:type="dxa"/>
            <w:shd w:val="clear" w:color="auto" w:fill="auto"/>
          </w:tcPr>
          <w:p w14:paraId="728BEA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2946" w:type="dxa"/>
            <w:shd w:val="clear" w:color="auto" w:fill="auto"/>
          </w:tcPr>
          <w:p w14:paraId="7CBF90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الرئة</w:t>
            </w:r>
          </w:p>
          <w:p w14:paraId="5C18B1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الأمعاء</w:t>
            </w:r>
          </w:p>
          <w:p w14:paraId="3A6DFE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الثدي</w:t>
            </w:r>
          </w:p>
          <w:p w14:paraId="28D8B3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المرض القلبي الوعائي</w:t>
            </w:r>
          </w:p>
          <w:p w14:paraId="1C763E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الشيخوخة</w:t>
            </w:r>
          </w:p>
          <w:p w14:paraId="7F42C0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إنتان دموي</w:t>
            </w:r>
          </w:p>
          <w:p w14:paraId="3EE8D5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داء السكري من النوع 2</w:t>
            </w:r>
          </w:p>
          <w:p w14:paraId="055064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مرض الكلى المزمن</w:t>
            </w:r>
          </w:p>
          <w:p w14:paraId="781C36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انصمام رئوي</w:t>
            </w:r>
          </w:p>
          <w:p w14:paraId="6D73C5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سرطان الجهاز الهضمي العلوي </w:t>
            </w:r>
          </w:p>
        </w:tc>
      </w:tr>
      <w:tr w:rsidR="007B5A24" w:rsidRPr="00564B9D" w14:paraId="41D281D7" w14:textId="77777777" w:rsidTr="00804944">
        <w:trPr>
          <w:trHeight w:val="240"/>
        </w:trPr>
        <w:tc>
          <w:tcPr>
            <w:tcW w:w="4278" w:type="dxa"/>
            <w:shd w:val="clear" w:color="auto" w:fill="auto"/>
          </w:tcPr>
          <w:p w14:paraId="53481F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2946" w:type="dxa"/>
            <w:shd w:val="clear" w:color="auto" w:fill="auto"/>
          </w:tcPr>
          <w:p w14:paraId="10F27D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w:t>
            </w:r>
          </w:p>
        </w:tc>
      </w:tr>
      <w:tr w:rsidR="007B5A24" w:rsidRPr="00564B9D" w14:paraId="75AF7236" w14:textId="77777777" w:rsidTr="00804944">
        <w:trPr>
          <w:trHeight w:val="240"/>
        </w:trPr>
        <w:tc>
          <w:tcPr>
            <w:tcW w:w="4278" w:type="dxa"/>
            <w:shd w:val="clear" w:color="auto" w:fill="auto"/>
          </w:tcPr>
          <w:p w14:paraId="43CBDB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2946" w:type="dxa"/>
            <w:shd w:val="clear" w:color="auto" w:fill="auto"/>
          </w:tcPr>
          <w:p w14:paraId="7EB7CCD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صفر في المائة تسرب (ابتدائي وثانوي)</w:t>
            </w:r>
          </w:p>
          <w:p w14:paraId="6C3984F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الحضور: 98,6 في المائة (ابتدائي)؛ 98 في المائة (ثانوي)</w:t>
            </w:r>
          </w:p>
        </w:tc>
      </w:tr>
      <w:tr w:rsidR="007B5A24" w:rsidRPr="00564B9D" w14:paraId="2A3D961D" w14:textId="77777777" w:rsidTr="00804944">
        <w:trPr>
          <w:trHeight w:val="240"/>
        </w:trPr>
        <w:tc>
          <w:tcPr>
            <w:tcW w:w="4278" w:type="dxa"/>
            <w:shd w:val="clear" w:color="auto" w:fill="auto"/>
          </w:tcPr>
          <w:p w14:paraId="66BD8A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2946" w:type="dxa"/>
            <w:shd w:val="clear" w:color="auto" w:fill="auto"/>
          </w:tcPr>
          <w:p w14:paraId="107798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ابتدائي: 24:1</w:t>
            </w:r>
          </w:p>
          <w:p w14:paraId="57105F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ثانوي: 13:1</w:t>
            </w:r>
          </w:p>
        </w:tc>
      </w:tr>
      <w:tr w:rsidR="007B5A24" w:rsidRPr="00564B9D" w14:paraId="05B6AA95" w14:textId="77777777" w:rsidTr="00804944">
        <w:trPr>
          <w:trHeight w:val="240"/>
        </w:trPr>
        <w:tc>
          <w:tcPr>
            <w:tcW w:w="4278" w:type="dxa"/>
            <w:shd w:val="clear" w:color="auto" w:fill="auto"/>
          </w:tcPr>
          <w:p w14:paraId="17B4B0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الإمام بالقراءة والكتابة بين البالغين</w:t>
            </w:r>
          </w:p>
        </w:tc>
        <w:tc>
          <w:tcPr>
            <w:tcW w:w="2946" w:type="dxa"/>
            <w:shd w:val="clear" w:color="auto" w:fill="auto"/>
          </w:tcPr>
          <w:p w14:paraId="09D684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w:t>
            </w:r>
          </w:p>
        </w:tc>
      </w:tr>
      <w:tr w:rsidR="007B5A24" w:rsidRPr="00564B9D" w14:paraId="6936F528" w14:textId="77777777" w:rsidTr="00804944">
        <w:trPr>
          <w:trHeight w:val="240"/>
        </w:trPr>
        <w:tc>
          <w:tcPr>
            <w:tcW w:w="4278" w:type="dxa"/>
            <w:shd w:val="clear" w:color="auto" w:fill="auto"/>
          </w:tcPr>
          <w:p w14:paraId="4BBABC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2946" w:type="dxa"/>
            <w:shd w:val="clear" w:color="auto" w:fill="auto"/>
          </w:tcPr>
          <w:p w14:paraId="55EC66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أقل من 1 في المائة</w:t>
            </w:r>
          </w:p>
        </w:tc>
      </w:tr>
      <w:tr w:rsidR="007B5A24" w:rsidRPr="00564B9D" w14:paraId="756D043A" w14:textId="77777777" w:rsidTr="00804944">
        <w:trPr>
          <w:trHeight w:val="240"/>
        </w:trPr>
        <w:tc>
          <w:tcPr>
            <w:tcW w:w="4278" w:type="dxa"/>
            <w:shd w:val="clear" w:color="auto" w:fill="auto"/>
          </w:tcPr>
          <w:p w14:paraId="7C6801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العمالة حسب القطاعات الرئيسية للنشاط الاقتصادي، بما في ذلك القطاعات الرسمية وغير الرسمية</w:t>
            </w:r>
            <w:r w:rsidRPr="00564B9D">
              <w:rPr>
                <w:sz w:val="20"/>
                <w:szCs w:val="20"/>
                <w:vertAlign w:val="superscript"/>
                <w:rtl/>
              </w:rPr>
              <w:t>(</w:t>
            </w:r>
            <w:r w:rsidRPr="00564B9D">
              <w:rPr>
                <w:rStyle w:val="FootnoteReference"/>
                <w:rFonts w:cs="Simplified Arabic"/>
                <w:b w:val="0"/>
                <w:sz w:val="20"/>
                <w:szCs w:val="20"/>
                <w:rtl/>
                <w:lang w:val="en-US"/>
              </w:rPr>
              <w:footnoteReference w:id="254"/>
            </w:r>
            <w:r w:rsidRPr="00564B9D">
              <w:rPr>
                <w:sz w:val="20"/>
                <w:szCs w:val="20"/>
                <w:vertAlign w:val="superscript"/>
                <w:rtl/>
              </w:rPr>
              <w:t>)</w:t>
            </w:r>
            <w:r w:rsidRPr="00564B9D">
              <w:rPr>
                <w:rFonts w:hint="cs"/>
                <w:sz w:val="20"/>
                <w:szCs w:val="20"/>
                <w:rtl/>
              </w:rPr>
              <w:t xml:space="preserve"> </w:t>
            </w:r>
          </w:p>
        </w:tc>
        <w:tc>
          <w:tcPr>
            <w:tcW w:w="2946" w:type="dxa"/>
            <w:shd w:val="clear" w:color="auto" w:fill="auto"/>
          </w:tcPr>
          <w:p w14:paraId="3D013E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الخدمة العامة: 24 في المائة</w:t>
            </w:r>
          </w:p>
          <w:p w14:paraId="73C7FF7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الزراعة: 10 في المائة</w:t>
            </w:r>
          </w:p>
          <w:p w14:paraId="5AA0ED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التجارة بالجملة وبالتجزئة: 10 في المائة</w:t>
            </w:r>
          </w:p>
          <w:p w14:paraId="6AD721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خدمات الضيافة (الفنادق والمطاعم والحانات إلخ): 4 في المائة</w:t>
            </w:r>
          </w:p>
          <w:p w14:paraId="5A1D0D7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البناء: 13 في المائة</w:t>
            </w:r>
          </w:p>
          <w:p w14:paraId="279ADC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النقل والتخزين: 5 في المائة</w:t>
            </w:r>
          </w:p>
          <w:p w14:paraId="7AF904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الإدارة وأنشطة خدمات الدعم: 0,3 في المائة</w:t>
            </w:r>
          </w:p>
          <w:p w14:paraId="3E1BDBC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الخدمات المجتمعية والاجتماعية والشخصية: 3 في المائة</w:t>
            </w:r>
          </w:p>
          <w:p w14:paraId="4DCA4D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الكهرباء والماء والغاز: 2 في المائة</w:t>
            </w:r>
          </w:p>
          <w:p w14:paraId="651BB2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صيد الأسماك: 3 في المائة</w:t>
            </w:r>
          </w:p>
          <w:p w14:paraId="729A82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القطاع المالي: 2 في المائة</w:t>
            </w:r>
          </w:p>
          <w:p w14:paraId="2C9611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الخدمات التجارية: 11 في المائة</w:t>
            </w:r>
          </w:p>
          <w:p w14:paraId="1422C1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السياحة: 4 في المائة</w:t>
            </w:r>
          </w:p>
          <w:p w14:paraId="1460F9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التعدين واقتلاع الحجارة (بما في ذلك التنقيب عن النفط والغاز): 0,7 في المائة</w:t>
            </w:r>
          </w:p>
          <w:p w14:paraId="674DD9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أنشطة احترافية وعلمية وتقنية: 4 في المائة</w:t>
            </w:r>
          </w:p>
          <w:p w14:paraId="3097930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المعلومات والاتصالات: 2 في المائة</w:t>
            </w:r>
          </w:p>
          <w:p w14:paraId="41F15F9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التأمين: 0,2 في المائة</w:t>
            </w:r>
          </w:p>
          <w:p w14:paraId="63EE20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العقارات: 0,2 في المائة</w:t>
            </w:r>
          </w:p>
          <w:p w14:paraId="417290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مجالات أخرى: 0,9 في المائة</w:t>
            </w:r>
          </w:p>
          <w:p w14:paraId="6323F4A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الفنون والتسلية والترفيه: 0,8 في المائة</w:t>
            </w:r>
          </w:p>
        </w:tc>
      </w:tr>
      <w:tr w:rsidR="007B5A24" w:rsidRPr="00564B9D" w14:paraId="71A9C6D1" w14:textId="77777777" w:rsidTr="00804944">
        <w:trPr>
          <w:trHeight w:val="240"/>
        </w:trPr>
        <w:tc>
          <w:tcPr>
            <w:tcW w:w="4278" w:type="dxa"/>
            <w:shd w:val="clear" w:color="auto" w:fill="auto"/>
          </w:tcPr>
          <w:p w14:paraId="72481E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2946" w:type="dxa"/>
            <w:shd w:val="clear" w:color="auto" w:fill="auto"/>
          </w:tcPr>
          <w:p w14:paraId="53BF6C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89 في المائة</w:t>
            </w:r>
          </w:p>
        </w:tc>
      </w:tr>
      <w:tr w:rsidR="007B5A24" w:rsidRPr="00564B9D" w14:paraId="04874F32" w14:textId="77777777" w:rsidTr="00804944">
        <w:trPr>
          <w:trHeight w:val="240"/>
        </w:trPr>
        <w:tc>
          <w:tcPr>
            <w:tcW w:w="4278" w:type="dxa"/>
            <w:shd w:val="clear" w:color="auto" w:fill="auto"/>
          </w:tcPr>
          <w:p w14:paraId="193D36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2946" w:type="dxa"/>
            <w:shd w:val="clear" w:color="auto" w:fill="auto"/>
          </w:tcPr>
          <w:p w14:paraId="5C6AB3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2,9 في المائة</w:t>
            </w:r>
          </w:p>
        </w:tc>
      </w:tr>
      <w:tr w:rsidR="007B5A24" w:rsidRPr="00564B9D" w14:paraId="60E992FD" w14:textId="77777777" w:rsidTr="00804944">
        <w:trPr>
          <w:trHeight w:val="240"/>
        </w:trPr>
        <w:tc>
          <w:tcPr>
            <w:tcW w:w="4278" w:type="dxa"/>
            <w:shd w:val="clear" w:color="auto" w:fill="auto"/>
          </w:tcPr>
          <w:p w14:paraId="55F5EE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نصيب الفرد من الدخل</w:t>
            </w:r>
            <w:r w:rsidRPr="00564B9D">
              <w:rPr>
                <w:sz w:val="20"/>
                <w:szCs w:val="20"/>
                <w:vertAlign w:val="superscript"/>
                <w:rtl/>
              </w:rPr>
              <w:t>(</w:t>
            </w:r>
            <w:r w:rsidRPr="00564B9D">
              <w:rPr>
                <w:rStyle w:val="FootnoteReference"/>
                <w:rFonts w:cs="Simplified Arabic"/>
                <w:b w:val="0"/>
                <w:sz w:val="20"/>
                <w:szCs w:val="20"/>
                <w:rtl/>
                <w:lang w:val="en-US"/>
              </w:rPr>
              <w:footnoteReference w:id="255"/>
            </w:r>
            <w:r w:rsidRPr="00564B9D">
              <w:rPr>
                <w:sz w:val="20"/>
                <w:szCs w:val="20"/>
                <w:vertAlign w:val="superscript"/>
                <w:rtl/>
              </w:rPr>
              <w:t>)</w:t>
            </w:r>
            <w:r w:rsidRPr="00564B9D">
              <w:rPr>
                <w:rFonts w:hint="cs"/>
                <w:sz w:val="20"/>
                <w:szCs w:val="20"/>
                <w:rtl/>
              </w:rPr>
              <w:t xml:space="preserve"> </w:t>
            </w:r>
          </w:p>
        </w:tc>
        <w:tc>
          <w:tcPr>
            <w:tcW w:w="2946" w:type="dxa"/>
            <w:shd w:val="clear" w:color="auto" w:fill="auto"/>
          </w:tcPr>
          <w:p w14:paraId="56D267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600</w:t>
            </w:r>
            <w:r w:rsidRPr="00564B9D">
              <w:rPr>
                <w:sz w:val="20"/>
                <w:szCs w:val="20"/>
                <w:rtl/>
              </w:rPr>
              <w:t> </w:t>
            </w:r>
            <w:r w:rsidRPr="00564B9D">
              <w:rPr>
                <w:rFonts w:hint="cs"/>
                <w:sz w:val="20"/>
                <w:szCs w:val="20"/>
                <w:rtl/>
              </w:rPr>
              <w:t>93 جنيه استرليني (الناتج المحلي الإجمالي)؛ 900</w:t>
            </w:r>
            <w:r w:rsidRPr="00564B9D">
              <w:rPr>
                <w:sz w:val="20"/>
                <w:szCs w:val="20"/>
                <w:rtl/>
              </w:rPr>
              <w:t> </w:t>
            </w:r>
            <w:r w:rsidRPr="00564B9D">
              <w:rPr>
                <w:rFonts w:hint="cs"/>
                <w:sz w:val="20"/>
                <w:szCs w:val="20"/>
                <w:rtl/>
              </w:rPr>
              <w:t>56 جنيه استرليني (الدخل القومي الإجمالي)</w:t>
            </w:r>
          </w:p>
        </w:tc>
      </w:tr>
      <w:tr w:rsidR="007B5A24" w:rsidRPr="00564B9D" w14:paraId="76E8165E" w14:textId="77777777" w:rsidTr="00804944">
        <w:trPr>
          <w:trHeight w:val="240"/>
        </w:trPr>
        <w:tc>
          <w:tcPr>
            <w:tcW w:w="4278" w:type="dxa"/>
            <w:shd w:val="clear" w:color="auto" w:fill="auto"/>
          </w:tcPr>
          <w:p w14:paraId="7BB8CDF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الناتج المحلي الإجمالي بالبلايين</w:t>
            </w:r>
          </w:p>
        </w:tc>
        <w:tc>
          <w:tcPr>
            <w:tcW w:w="2946" w:type="dxa"/>
            <w:shd w:val="clear" w:color="auto" w:fill="auto"/>
          </w:tcPr>
          <w:p w14:paraId="7BC2B00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283,4 مليون جنيه استرليني (تقديرات مؤقتة لعام 2016)</w:t>
            </w:r>
          </w:p>
        </w:tc>
      </w:tr>
      <w:tr w:rsidR="007B5A24" w:rsidRPr="00564B9D" w14:paraId="01D3D271" w14:textId="77777777" w:rsidTr="00804944">
        <w:trPr>
          <w:trHeight w:val="240"/>
        </w:trPr>
        <w:tc>
          <w:tcPr>
            <w:tcW w:w="4278" w:type="dxa"/>
            <w:shd w:val="clear" w:color="auto" w:fill="auto"/>
          </w:tcPr>
          <w:p w14:paraId="40AF10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2946" w:type="dxa"/>
            <w:shd w:val="clear" w:color="auto" w:fill="auto"/>
          </w:tcPr>
          <w:p w14:paraId="172858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4,2 في المائة من نمو الناتج المحلي الإجمالي (المتوسط للفترة 2007-2016)</w:t>
            </w:r>
          </w:p>
        </w:tc>
      </w:tr>
      <w:tr w:rsidR="007B5A24" w:rsidRPr="00564B9D" w14:paraId="05D0CD01" w14:textId="77777777" w:rsidTr="00804944">
        <w:trPr>
          <w:trHeight w:val="240"/>
        </w:trPr>
        <w:tc>
          <w:tcPr>
            <w:tcW w:w="4278" w:type="dxa"/>
            <w:shd w:val="clear" w:color="auto" w:fill="auto"/>
          </w:tcPr>
          <w:p w14:paraId="363CF1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 بالبلايين</w:t>
            </w:r>
          </w:p>
        </w:tc>
        <w:tc>
          <w:tcPr>
            <w:tcW w:w="2946" w:type="dxa"/>
            <w:shd w:val="clear" w:color="auto" w:fill="auto"/>
          </w:tcPr>
          <w:p w14:paraId="5B19BF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172,9 مليون جنيه استرليني</w:t>
            </w:r>
          </w:p>
        </w:tc>
      </w:tr>
      <w:tr w:rsidR="007B5A24" w:rsidRPr="00564B9D" w14:paraId="7ECF22D5" w14:textId="77777777" w:rsidTr="00804944">
        <w:trPr>
          <w:trHeight w:val="240"/>
        </w:trPr>
        <w:tc>
          <w:tcPr>
            <w:tcW w:w="4278" w:type="dxa"/>
            <w:shd w:val="clear" w:color="auto" w:fill="auto"/>
          </w:tcPr>
          <w:p w14:paraId="365559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p>
        </w:tc>
        <w:tc>
          <w:tcPr>
            <w:tcW w:w="2946" w:type="dxa"/>
            <w:shd w:val="clear" w:color="auto" w:fill="auto"/>
          </w:tcPr>
          <w:p w14:paraId="034948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لا يُحسب مؤشر أسعار الاستهلاك في جزر فوكلاند</w:t>
            </w:r>
          </w:p>
          <w:p w14:paraId="2D7F11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مؤشر أسعار التجزئة = 104,301</w:t>
            </w:r>
            <w:r w:rsidRPr="00564B9D">
              <w:rPr>
                <w:sz w:val="20"/>
                <w:szCs w:val="20"/>
                <w:vertAlign w:val="superscript"/>
                <w:rtl/>
              </w:rPr>
              <w:t>(</w:t>
            </w:r>
            <w:r w:rsidRPr="00564B9D">
              <w:rPr>
                <w:rStyle w:val="FootnoteReference"/>
                <w:rFonts w:cs="Simplified Arabic"/>
                <w:b w:val="0"/>
                <w:sz w:val="20"/>
                <w:szCs w:val="20"/>
                <w:rtl/>
                <w:lang w:val="en-US"/>
              </w:rPr>
              <w:footnoteReference w:id="256"/>
            </w:r>
            <w:r w:rsidRPr="00564B9D">
              <w:rPr>
                <w:sz w:val="20"/>
                <w:szCs w:val="20"/>
                <w:vertAlign w:val="superscript"/>
                <w:rtl/>
              </w:rPr>
              <w:t>)</w:t>
            </w:r>
            <w:r w:rsidRPr="00564B9D">
              <w:rPr>
                <w:sz w:val="20"/>
                <w:szCs w:val="20"/>
                <w:rtl/>
              </w:rPr>
              <w:t xml:space="preserve"> </w:t>
            </w:r>
          </w:p>
        </w:tc>
      </w:tr>
      <w:tr w:rsidR="007B5A24" w:rsidRPr="00564B9D" w14:paraId="15676B15" w14:textId="77777777" w:rsidTr="00804944">
        <w:trPr>
          <w:trHeight w:val="240"/>
        </w:trPr>
        <w:tc>
          <w:tcPr>
            <w:tcW w:w="4278" w:type="dxa"/>
            <w:shd w:val="clear" w:color="auto" w:fill="auto"/>
          </w:tcPr>
          <w:p w14:paraId="6B7833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2946" w:type="dxa"/>
            <w:shd w:val="clear" w:color="auto" w:fill="auto"/>
          </w:tcPr>
          <w:p w14:paraId="7D51F6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الاستثمار الرأسمالي: 22,9 مليون جنيه إسترليني</w:t>
            </w:r>
          </w:p>
          <w:p w14:paraId="4C6F98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بما في ذلك التحويلات الاجتماعية. التحويل إلى صناديق التقاعد: 4,2 مليون جنيه إسترليني</w:t>
            </w:r>
          </w:p>
          <w:p w14:paraId="7038F1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الإنفاق على الصحة والإسكان والتعليم: 25,8 مليون جنيه إسترليني</w:t>
            </w:r>
          </w:p>
          <w:p w14:paraId="5397DD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المجموع لعام 2020/</w:t>
            </w:r>
            <w:r w:rsidRPr="00564B9D">
              <w:rPr>
                <w:rFonts w:hint="cs"/>
                <w:sz w:val="20"/>
                <w:szCs w:val="20"/>
                <w:rtl/>
              </w:rPr>
              <w:t>2021</w:t>
            </w:r>
            <w:r w:rsidRPr="00564B9D">
              <w:rPr>
                <w:sz w:val="20"/>
                <w:szCs w:val="20"/>
                <w:rtl/>
              </w:rPr>
              <w:t>: 51,1 مليون جنيه إسترليني</w:t>
            </w:r>
          </w:p>
          <w:p w14:paraId="040A2CD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تقريبا. 18 في المائة الناتج المحلي الإجمالي، 48 في المائة من إجمالي جدول الموازنة</w:t>
            </w:r>
          </w:p>
        </w:tc>
      </w:tr>
      <w:tr w:rsidR="007B5A24" w:rsidRPr="00564B9D" w14:paraId="1E14FD5E" w14:textId="77777777" w:rsidTr="00804944">
        <w:trPr>
          <w:trHeight w:val="240"/>
        </w:trPr>
        <w:tc>
          <w:tcPr>
            <w:tcW w:w="4278" w:type="dxa"/>
            <w:shd w:val="clear" w:color="auto" w:fill="auto"/>
          </w:tcPr>
          <w:p w14:paraId="3B83CD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الديون العامة الخارجية والمحلية</w:t>
            </w:r>
          </w:p>
        </w:tc>
        <w:tc>
          <w:tcPr>
            <w:tcW w:w="2946" w:type="dxa"/>
            <w:shd w:val="clear" w:color="auto" w:fill="auto"/>
          </w:tcPr>
          <w:p w14:paraId="4A7C4FF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في المائة</w:t>
            </w:r>
          </w:p>
        </w:tc>
      </w:tr>
      <w:tr w:rsidR="007B5A24" w:rsidRPr="00564B9D" w14:paraId="32B304DF" w14:textId="77777777" w:rsidTr="00804944">
        <w:trPr>
          <w:trHeight w:val="240"/>
        </w:trPr>
        <w:tc>
          <w:tcPr>
            <w:tcW w:w="4278" w:type="dxa"/>
            <w:tcBorders>
              <w:bottom w:val="single" w:sz="12" w:space="0" w:color="auto"/>
            </w:tcBorders>
            <w:shd w:val="clear" w:color="auto" w:fill="auto"/>
          </w:tcPr>
          <w:p w14:paraId="2648C6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إلى ميزانية الدولة بحسب القطاع ونسبة إلى الدخل القومي الإجمالي</w:t>
            </w:r>
          </w:p>
        </w:tc>
        <w:tc>
          <w:tcPr>
            <w:tcW w:w="2946" w:type="dxa"/>
            <w:tcBorders>
              <w:bottom w:val="single" w:sz="12" w:space="0" w:color="auto"/>
            </w:tcBorders>
            <w:shd w:val="clear" w:color="auto" w:fill="auto"/>
          </w:tcPr>
          <w:p w14:paraId="510472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الرسمية إلى الدولة معدومة، غير أن الحكومة تحتفظ بصندوق للإغاثة في حالات الطوارئ الذي يمكن منه تقديم هبات مخصصة.</w:t>
            </w:r>
          </w:p>
        </w:tc>
      </w:tr>
    </w:tbl>
    <w:p w14:paraId="18CE9FAD"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231"/>
        <w:gridCol w:w="4161"/>
      </w:tblGrid>
      <w:tr w:rsidR="007B5A24" w:rsidRPr="00564B9D" w14:paraId="5ED7A6C6" w14:textId="77777777" w:rsidTr="00804944">
        <w:trPr>
          <w:trHeight w:val="240"/>
          <w:tblHeader/>
        </w:trPr>
        <w:tc>
          <w:tcPr>
            <w:tcW w:w="7204" w:type="dxa"/>
            <w:gridSpan w:val="2"/>
            <w:tcBorders>
              <w:top w:val="single" w:sz="4" w:space="0" w:color="auto"/>
              <w:bottom w:val="single" w:sz="12" w:space="0" w:color="auto"/>
            </w:tcBorders>
            <w:shd w:val="clear" w:color="auto" w:fill="auto"/>
            <w:vAlign w:val="bottom"/>
          </w:tcPr>
          <w:p w14:paraId="49D08052"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1C715E43" w14:textId="77777777" w:rsidTr="00804944">
        <w:trPr>
          <w:trHeight w:val="240"/>
        </w:trPr>
        <w:tc>
          <w:tcPr>
            <w:tcW w:w="3632" w:type="dxa"/>
            <w:tcBorders>
              <w:top w:val="single" w:sz="12" w:space="0" w:color="auto"/>
            </w:tcBorders>
            <w:shd w:val="clear" w:color="auto" w:fill="auto"/>
          </w:tcPr>
          <w:p w14:paraId="1225E3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الصعيد الوطني</w:t>
            </w:r>
          </w:p>
        </w:tc>
        <w:tc>
          <w:tcPr>
            <w:tcW w:w="3572" w:type="dxa"/>
            <w:tcBorders>
              <w:top w:val="single" w:sz="12" w:space="0" w:color="auto"/>
            </w:tcBorders>
            <w:shd w:val="clear" w:color="auto" w:fill="auto"/>
          </w:tcPr>
          <w:p w14:paraId="529E42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لا توجد أحزاب سياسية</w:t>
            </w:r>
          </w:p>
        </w:tc>
      </w:tr>
      <w:tr w:rsidR="007B5A24" w:rsidRPr="00564B9D" w14:paraId="23E15975" w14:textId="77777777" w:rsidTr="00804944">
        <w:trPr>
          <w:trHeight w:val="240"/>
        </w:trPr>
        <w:tc>
          <w:tcPr>
            <w:tcW w:w="3632" w:type="dxa"/>
            <w:shd w:val="clear" w:color="auto" w:fill="auto"/>
          </w:tcPr>
          <w:p w14:paraId="443A01A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المؤهلين للتصويت </w:t>
            </w:r>
          </w:p>
        </w:tc>
        <w:tc>
          <w:tcPr>
            <w:tcW w:w="3572" w:type="dxa"/>
            <w:shd w:val="clear" w:color="auto" w:fill="auto"/>
          </w:tcPr>
          <w:p w14:paraId="005DA7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68 في المائة من السكان في سن الانتخاب مؤهلين للتصويت</w:t>
            </w:r>
          </w:p>
        </w:tc>
      </w:tr>
      <w:tr w:rsidR="007B5A24" w:rsidRPr="00564B9D" w14:paraId="0473456E" w14:textId="77777777" w:rsidTr="00804944">
        <w:trPr>
          <w:trHeight w:val="240"/>
        </w:trPr>
        <w:tc>
          <w:tcPr>
            <w:tcW w:w="3632" w:type="dxa"/>
            <w:shd w:val="clear" w:color="auto" w:fill="auto"/>
          </w:tcPr>
          <w:p w14:paraId="1731A7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3572" w:type="dxa"/>
            <w:shd w:val="clear" w:color="auto" w:fill="auto"/>
          </w:tcPr>
          <w:p w14:paraId="66EF46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0 في المائة </w:t>
            </w:r>
          </w:p>
        </w:tc>
      </w:tr>
      <w:tr w:rsidR="007B5A24" w:rsidRPr="00564B9D" w14:paraId="0A632D41" w14:textId="77777777" w:rsidTr="00804944">
        <w:trPr>
          <w:trHeight w:val="240"/>
        </w:trPr>
        <w:tc>
          <w:tcPr>
            <w:tcW w:w="3632" w:type="dxa"/>
            <w:shd w:val="clear" w:color="auto" w:fill="auto"/>
          </w:tcPr>
          <w:p w14:paraId="553B40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3572" w:type="dxa"/>
            <w:shd w:val="clear" w:color="auto" w:fill="auto"/>
          </w:tcPr>
          <w:p w14:paraId="5D185A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73B01975" w14:textId="77777777" w:rsidTr="00804944">
        <w:trPr>
          <w:trHeight w:val="240"/>
        </w:trPr>
        <w:tc>
          <w:tcPr>
            <w:tcW w:w="3632" w:type="dxa"/>
            <w:shd w:val="clear" w:color="auto" w:fill="auto"/>
          </w:tcPr>
          <w:p w14:paraId="19CBBCF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وتوزيع ملكية القنوات الإعلامية الرئيسية (إلكترونية، مطبوعة، سمعية ونحو ذلك)</w:t>
            </w:r>
          </w:p>
        </w:tc>
        <w:tc>
          <w:tcPr>
            <w:tcW w:w="3572" w:type="dxa"/>
            <w:shd w:val="clear" w:color="auto" w:fill="auto"/>
          </w:tcPr>
          <w:p w14:paraId="381D9C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التلفزيون - القنوات </w:t>
            </w:r>
            <w:r w:rsidRPr="00564B9D">
              <w:rPr>
                <w:sz w:val="20"/>
                <w:szCs w:val="20"/>
              </w:rPr>
              <w:t>BBC1</w:t>
            </w:r>
            <w:r w:rsidRPr="00564B9D">
              <w:rPr>
                <w:rFonts w:hint="cs"/>
                <w:sz w:val="20"/>
                <w:szCs w:val="20"/>
                <w:rtl/>
              </w:rPr>
              <w:t xml:space="preserve"> و</w:t>
            </w:r>
            <w:r w:rsidRPr="00564B9D">
              <w:rPr>
                <w:sz w:val="20"/>
                <w:szCs w:val="20"/>
              </w:rPr>
              <w:t>BBC2</w:t>
            </w:r>
            <w:r w:rsidRPr="00564B9D">
              <w:rPr>
                <w:rFonts w:hint="cs"/>
                <w:sz w:val="20"/>
                <w:szCs w:val="20"/>
                <w:rtl/>
              </w:rPr>
              <w:t xml:space="preserve"> و</w:t>
            </w:r>
            <w:r w:rsidRPr="00564B9D">
              <w:rPr>
                <w:sz w:val="20"/>
                <w:szCs w:val="20"/>
              </w:rPr>
              <w:t>ITV</w:t>
            </w:r>
            <w:r w:rsidRPr="00564B9D">
              <w:rPr>
                <w:rFonts w:hint="cs"/>
                <w:sz w:val="20"/>
                <w:szCs w:val="20"/>
                <w:rtl/>
              </w:rPr>
              <w:t xml:space="preserve"> والقناة 14 والهيئة الإذاعية الإضافية للقوات البريطانية وسكاي نيوز متاحة مجاناً في جميع أنحاء جزر فوكلاند</w:t>
            </w:r>
            <w:r w:rsidRPr="00564B9D">
              <w:rPr>
                <w:sz w:val="20"/>
                <w:szCs w:val="20"/>
                <w:rtl/>
              </w:rPr>
              <w:t xml:space="preserve"> </w:t>
            </w:r>
            <w:r w:rsidRPr="00564B9D">
              <w:rPr>
                <w:rFonts w:hint="cs"/>
                <w:sz w:val="20"/>
                <w:szCs w:val="20"/>
                <w:rtl/>
              </w:rPr>
              <w:t>(جميعها من خلال الهيئة الإذاعية للقوات البريطانية؛ مدعومة من حكومة جزر فوكلاند).</w:t>
            </w:r>
          </w:p>
          <w:p w14:paraId="630FD111" w14:textId="5F0CF7C0"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خدمة تلفزيون</w:t>
            </w:r>
            <w:r w:rsidR="00D70082" w:rsidRPr="00564B9D">
              <w:rPr>
                <w:rFonts w:hint="cs"/>
                <w:sz w:val="20"/>
                <w:szCs w:val="20"/>
                <w:rtl/>
              </w:rPr>
              <w:t>ي</w:t>
            </w:r>
            <w:r w:rsidRPr="00564B9D">
              <w:rPr>
                <w:rFonts w:hint="cs"/>
                <w:sz w:val="20"/>
                <w:szCs w:val="20"/>
                <w:rtl/>
              </w:rPr>
              <w:t xml:space="preserve">ة مدفوعة تتاح من شركة </w:t>
            </w:r>
            <w:r w:rsidRPr="00564B9D">
              <w:rPr>
                <w:sz w:val="20"/>
                <w:szCs w:val="20"/>
              </w:rPr>
              <w:t>KTV</w:t>
            </w:r>
            <w:r w:rsidRPr="00564B9D">
              <w:rPr>
                <w:sz w:val="20"/>
                <w:szCs w:val="20"/>
                <w:rtl/>
              </w:rPr>
              <w:t xml:space="preserve"> </w:t>
            </w:r>
            <w:r w:rsidRPr="00564B9D">
              <w:rPr>
                <w:rFonts w:hint="cs"/>
                <w:sz w:val="20"/>
                <w:szCs w:val="20"/>
                <w:rtl/>
              </w:rPr>
              <w:t>المحدودة؛</w:t>
            </w:r>
            <w:r w:rsidRPr="00564B9D">
              <w:rPr>
                <w:sz w:val="20"/>
                <w:szCs w:val="20"/>
                <w:rtl/>
              </w:rPr>
              <w:t xml:space="preserve"> </w:t>
            </w:r>
            <w:r w:rsidRPr="00564B9D">
              <w:rPr>
                <w:rFonts w:hint="cs"/>
                <w:sz w:val="20"/>
                <w:szCs w:val="20"/>
                <w:rtl/>
              </w:rPr>
              <w:t>وهي شركة مسجلة في جزر فوكلاند</w:t>
            </w:r>
            <w:r w:rsidRPr="00564B9D">
              <w:rPr>
                <w:sz w:val="20"/>
                <w:szCs w:val="20"/>
                <w:rtl/>
              </w:rPr>
              <w:t xml:space="preserve"> </w:t>
            </w:r>
            <w:r w:rsidRPr="00564B9D">
              <w:rPr>
                <w:rFonts w:hint="cs"/>
                <w:sz w:val="20"/>
                <w:szCs w:val="20"/>
                <w:rtl/>
              </w:rPr>
              <w:t>(تعيد إلى حد كبير بث القنوات الساتلية الأمريكية الجنوبية/الدولية).</w:t>
            </w:r>
          </w:p>
          <w:p w14:paraId="70D452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الراديو - خدمة راديو جزر فوكلاند، قنوات الخدمة الإذاعية للقوات البريطانية، وخدمة </w:t>
            </w:r>
            <w:r w:rsidRPr="00564B9D">
              <w:rPr>
                <w:sz w:val="20"/>
                <w:szCs w:val="20"/>
              </w:rPr>
              <w:t>BBC</w:t>
            </w:r>
            <w:r w:rsidRPr="00564B9D">
              <w:rPr>
                <w:rFonts w:hint="cs"/>
                <w:sz w:val="20"/>
                <w:szCs w:val="20"/>
                <w:rtl/>
              </w:rPr>
              <w:t xml:space="preserve"> العالمية - متاحة في جميع أنحاء جزر فوكلاند.</w:t>
            </w:r>
          </w:p>
          <w:p w14:paraId="1C7052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المطبوعات - بنجوين نيوز (متاحة أيضاً إلكترونياً).</w:t>
            </w:r>
          </w:p>
          <w:p w14:paraId="1C2933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تشغّل هيئة إذاعة جزر فوكلاند وبنجوين نيوز من قبل صندوق مستقل لوسائل الإعلام.</w:t>
            </w:r>
          </w:p>
        </w:tc>
      </w:tr>
      <w:tr w:rsidR="007B5A24" w:rsidRPr="00564B9D" w14:paraId="229CC295" w14:textId="77777777" w:rsidTr="00804944">
        <w:trPr>
          <w:trHeight w:val="240"/>
        </w:trPr>
        <w:tc>
          <w:tcPr>
            <w:tcW w:w="3632" w:type="dxa"/>
            <w:shd w:val="clear" w:color="auto" w:fill="auto"/>
          </w:tcPr>
          <w:p w14:paraId="45CDA4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المنظمات غير الحكومية المعترف بها </w:t>
            </w:r>
          </w:p>
        </w:tc>
        <w:tc>
          <w:tcPr>
            <w:tcW w:w="3572" w:type="dxa"/>
            <w:shd w:val="clear" w:color="auto" w:fill="auto"/>
          </w:tcPr>
          <w:p w14:paraId="7D362E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أقل من 5</w:t>
            </w:r>
          </w:p>
        </w:tc>
      </w:tr>
      <w:tr w:rsidR="007B5A24" w:rsidRPr="00564B9D" w14:paraId="3EBB4A4C" w14:textId="77777777" w:rsidTr="00804944">
        <w:trPr>
          <w:trHeight w:val="240"/>
        </w:trPr>
        <w:tc>
          <w:tcPr>
            <w:tcW w:w="3632" w:type="dxa"/>
            <w:shd w:val="clear" w:color="auto" w:fill="auto"/>
          </w:tcPr>
          <w:p w14:paraId="72E195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المقاعد التشريعية بحسب الحزب </w:t>
            </w:r>
          </w:p>
        </w:tc>
        <w:tc>
          <w:tcPr>
            <w:tcW w:w="3572" w:type="dxa"/>
            <w:shd w:val="clear" w:color="auto" w:fill="auto"/>
          </w:tcPr>
          <w:p w14:paraId="532147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توجد أحزاب سياسية</w:t>
            </w:r>
          </w:p>
        </w:tc>
      </w:tr>
      <w:tr w:rsidR="007B5A24" w:rsidRPr="00564B9D" w14:paraId="541D5994" w14:textId="77777777" w:rsidTr="00804944">
        <w:trPr>
          <w:trHeight w:val="240"/>
        </w:trPr>
        <w:tc>
          <w:tcPr>
            <w:tcW w:w="3632" w:type="dxa"/>
            <w:shd w:val="clear" w:color="auto" w:fill="auto"/>
          </w:tcPr>
          <w:p w14:paraId="321E10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في البرلمان </w:t>
            </w:r>
          </w:p>
        </w:tc>
        <w:tc>
          <w:tcPr>
            <w:tcW w:w="3572" w:type="dxa"/>
            <w:shd w:val="clear" w:color="auto" w:fill="auto"/>
          </w:tcPr>
          <w:p w14:paraId="465C0AF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25 في المائة </w:t>
            </w:r>
          </w:p>
        </w:tc>
      </w:tr>
      <w:tr w:rsidR="007B5A24" w:rsidRPr="00564B9D" w14:paraId="7B9DF2A5" w14:textId="77777777" w:rsidTr="00804944">
        <w:trPr>
          <w:trHeight w:val="240"/>
        </w:trPr>
        <w:tc>
          <w:tcPr>
            <w:tcW w:w="3632" w:type="dxa"/>
            <w:shd w:val="clear" w:color="auto" w:fill="auto"/>
          </w:tcPr>
          <w:p w14:paraId="050277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الانتخابات الوطنية ودون الوطنية التي أجريت في حدود الجدول الزمني الذي ينص عليه القانون </w:t>
            </w:r>
          </w:p>
        </w:tc>
        <w:tc>
          <w:tcPr>
            <w:tcW w:w="3572" w:type="dxa"/>
            <w:shd w:val="clear" w:color="auto" w:fill="auto"/>
          </w:tcPr>
          <w:p w14:paraId="4AA6C9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w:t>
            </w:r>
          </w:p>
        </w:tc>
      </w:tr>
      <w:tr w:rsidR="007B5A24" w:rsidRPr="00564B9D" w14:paraId="371C8F45" w14:textId="77777777" w:rsidTr="00804944">
        <w:trPr>
          <w:trHeight w:val="240"/>
        </w:trPr>
        <w:tc>
          <w:tcPr>
            <w:tcW w:w="3632" w:type="dxa"/>
            <w:tcBorders>
              <w:bottom w:val="single" w:sz="12" w:space="0" w:color="auto"/>
            </w:tcBorders>
            <w:shd w:val="clear" w:color="auto" w:fill="auto"/>
          </w:tcPr>
          <w:p w14:paraId="7572AA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متوسط عدد الناخبين الفعليين في الانتخابات الوطنية ودون الوطنية بحسب الوحدة الإدارية </w:t>
            </w:r>
          </w:p>
        </w:tc>
        <w:tc>
          <w:tcPr>
            <w:tcW w:w="3572" w:type="dxa"/>
            <w:tcBorders>
              <w:bottom w:val="single" w:sz="12" w:space="0" w:color="auto"/>
            </w:tcBorders>
            <w:shd w:val="clear" w:color="auto" w:fill="auto"/>
          </w:tcPr>
          <w:p w14:paraId="4B0FC5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85 في المائة في الانتخابات العامة الأخيرة (تشرين الثاني/نوفمبر 2017).</w:t>
            </w:r>
          </w:p>
        </w:tc>
      </w:tr>
    </w:tbl>
    <w:p w14:paraId="5DB11A3D"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231"/>
        <w:gridCol w:w="4161"/>
      </w:tblGrid>
      <w:tr w:rsidR="007B5A24" w:rsidRPr="00564B9D" w14:paraId="6E08AA22" w14:textId="77777777" w:rsidTr="00804944">
        <w:trPr>
          <w:trHeight w:val="240"/>
          <w:tblHeader/>
        </w:trPr>
        <w:tc>
          <w:tcPr>
            <w:tcW w:w="7208" w:type="dxa"/>
            <w:gridSpan w:val="2"/>
            <w:tcBorders>
              <w:top w:val="single" w:sz="4" w:space="0" w:color="auto"/>
              <w:bottom w:val="single" w:sz="12" w:space="0" w:color="auto"/>
            </w:tcBorders>
            <w:vAlign w:val="bottom"/>
          </w:tcPr>
          <w:p w14:paraId="6E487DA2"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04E3BBBB" w14:textId="77777777" w:rsidTr="00804944">
        <w:trPr>
          <w:trHeight w:val="240"/>
        </w:trPr>
        <w:tc>
          <w:tcPr>
            <w:tcW w:w="3634" w:type="dxa"/>
            <w:tcBorders>
              <w:top w:val="single" w:sz="12" w:space="0" w:color="auto"/>
            </w:tcBorders>
          </w:tcPr>
          <w:p w14:paraId="5D73C4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الموت العنيف والجرائم المهددة للحياة المبلغ عنها لكل </w:t>
            </w:r>
            <w:r w:rsidRPr="00564B9D">
              <w:rPr>
                <w:rFonts w:hint="cs"/>
                <w:sz w:val="20"/>
                <w:szCs w:val="20"/>
                <w:rtl/>
              </w:rPr>
              <w:t>000</w:t>
            </w:r>
            <w:r w:rsidRPr="00564B9D">
              <w:rPr>
                <w:sz w:val="20"/>
                <w:szCs w:val="20"/>
                <w:rtl/>
              </w:rPr>
              <w:t> </w:t>
            </w:r>
            <w:r w:rsidRPr="00564B9D">
              <w:rPr>
                <w:rFonts w:hint="cs"/>
                <w:sz w:val="20"/>
                <w:szCs w:val="20"/>
                <w:rtl/>
              </w:rPr>
              <w:t>1</w:t>
            </w:r>
            <w:r w:rsidRPr="00564B9D">
              <w:rPr>
                <w:sz w:val="20"/>
                <w:szCs w:val="20"/>
                <w:rtl/>
              </w:rPr>
              <w:t xml:space="preserve"> </w:t>
            </w:r>
            <w:r w:rsidRPr="00564B9D">
              <w:rPr>
                <w:rFonts w:hint="cs"/>
                <w:sz w:val="20"/>
                <w:szCs w:val="20"/>
                <w:rtl/>
              </w:rPr>
              <w:t>شخص</w:t>
            </w:r>
          </w:p>
        </w:tc>
        <w:tc>
          <w:tcPr>
            <w:tcW w:w="3574" w:type="dxa"/>
            <w:tcBorders>
              <w:top w:val="single" w:sz="12" w:space="0" w:color="auto"/>
            </w:tcBorders>
          </w:tcPr>
          <w:p w14:paraId="3D58709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لا يوجد</w:t>
            </w:r>
          </w:p>
        </w:tc>
      </w:tr>
      <w:tr w:rsidR="007B5A24" w:rsidRPr="00564B9D" w14:paraId="27451C6D" w14:textId="77777777" w:rsidTr="00804944">
        <w:trPr>
          <w:trHeight w:val="240"/>
        </w:trPr>
        <w:tc>
          <w:tcPr>
            <w:tcW w:w="3634" w:type="dxa"/>
          </w:tcPr>
          <w:p w14:paraId="2FA59F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w:t>
            </w:r>
            <w:r w:rsidRPr="00564B9D">
              <w:rPr>
                <w:rFonts w:hint="cs"/>
                <w:sz w:val="20"/>
                <w:szCs w:val="20"/>
                <w:rtl/>
              </w:rPr>
              <w:t xml:space="preserve">1 </w:t>
            </w:r>
            <w:r w:rsidRPr="00564B9D">
              <w:rPr>
                <w:sz w:val="20"/>
                <w:szCs w:val="20"/>
                <w:rtl/>
              </w:rPr>
              <w:t xml:space="preserve">شخص) الذين تم توقيفهم/تقديمهم إلى القضاء/إدانتهم/إصدار أحكام ضدهم/حبسهم </w:t>
            </w:r>
            <w:r w:rsidRPr="00564B9D">
              <w:rPr>
                <w:sz w:val="20"/>
                <w:szCs w:val="20"/>
                <w:rtl/>
              </w:rPr>
              <w:lastRenderedPageBreak/>
              <w:t>لارتكابهم جرائم عنف أو غير ذلك من الجرائم الخطيرة (مثل القتل والسرقة والاعتداء و</w:t>
            </w:r>
            <w:r w:rsidRPr="00564B9D">
              <w:rPr>
                <w:rFonts w:hint="cs"/>
                <w:sz w:val="20"/>
                <w:szCs w:val="20"/>
                <w:rtl/>
              </w:rPr>
              <w:t>الا</w:t>
            </w:r>
            <w:r w:rsidRPr="00564B9D">
              <w:rPr>
                <w:sz w:val="20"/>
                <w:szCs w:val="20"/>
                <w:rtl/>
              </w:rPr>
              <w:t>تجار غير المشروع)</w:t>
            </w:r>
          </w:p>
        </w:tc>
        <w:tc>
          <w:tcPr>
            <w:tcW w:w="3574" w:type="dxa"/>
          </w:tcPr>
          <w:p w14:paraId="7FF2E4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 xml:space="preserve">للقضايا التي بدأت منذ 1 </w:t>
            </w:r>
            <w:r w:rsidRPr="00564B9D">
              <w:rPr>
                <w:rFonts w:hint="cs"/>
                <w:sz w:val="20"/>
                <w:szCs w:val="20"/>
                <w:rtl/>
              </w:rPr>
              <w:t>كانون الثاني/</w:t>
            </w:r>
            <w:r w:rsidRPr="00564B9D">
              <w:rPr>
                <w:sz w:val="20"/>
                <w:szCs w:val="20"/>
                <w:rtl/>
              </w:rPr>
              <w:t>يناير 2020</w:t>
            </w:r>
          </w:p>
          <w:p w14:paraId="243724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16</w:t>
            </w:r>
            <w:r w:rsidRPr="00564B9D">
              <w:rPr>
                <w:rFonts w:hint="cs"/>
                <w:sz w:val="20"/>
                <w:szCs w:val="20"/>
                <w:rtl/>
              </w:rPr>
              <w:t xml:space="preserve"> </w:t>
            </w:r>
            <w:r w:rsidRPr="00564B9D">
              <w:rPr>
                <w:sz w:val="20"/>
                <w:szCs w:val="20"/>
                <w:rtl/>
              </w:rPr>
              <w:t xml:space="preserve">قضية تنطوي على جرائم ضد شخص (نطاق الاعتداء الشائع </w:t>
            </w:r>
            <w:r w:rsidRPr="00564B9D">
              <w:rPr>
                <w:rFonts w:hint="cs"/>
                <w:sz w:val="20"/>
                <w:szCs w:val="20"/>
                <w:rtl/>
              </w:rPr>
              <w:t>إلى جرائم</w:t>
            </w:r>
            <w:r w:rsidRPr="00564B9D">
              <w:rPr>
                <w:sz w:val="20"/>
                <w:szCs w:val="20"/>
                <w:rtl/>
              </w:rPr>
              <w:t xml:space="preserve"> الاضطراب العنيف).</w:t>
            </w:r>
          </w:p>
          <w:p w14:paraId="728AD6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أسفرت 15 قضية عن إدانة وصدور أحكام، ومن بين </w:t>
            </w:r>
            <w:r w:rsidRPr="00564B9D">
              <w:rPr>
                <w:rFonts w:hint="cs"/>
                <w:sz w:val="20"/>
                <w:szCs w:val="20"/>
                <w:rtl/>
              </w:rPr>
              <w:t>هذه القضايا</w:t>
            </w:r>
            <w:r w:rsidRPr="00564B9D">
              <w:rPr>
                <w:sz w:val="20"/>
                <w:szCs w:val="20"/>
                <w:rtl/>
              </w:rPr>
              <w:t xml:space="preserve"> الـ 15، هناك 4 أشخاص </w:t>
            </w:r>
            <w:r w:rsidRPr="00564B9D">
              <w:rPr>
                <w:rFonts w:hint="cs"/>
                <w:sz w:val="20"/>
                <w:szCs w:val="20"/>
                <w:rtl/>
              </w:rPr>
              <w:t>قضوا</w:t>
            </w:r>
            <w:r w:rsidRPr="00564B9D">
              <w:rPr>
                <w:sz w:val="20"/>
                <w:szCs w:val="20"/>
                <w:rtl/>
              </w:rPr>
              <w:t>/يقضون عقوبات سجن فورية.</w:t>
            </w:r>
          </w:p>
          <w:p w14:paraId="535803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قضية واحدة</w:t>
            </w:r>
            <w:r w:rsidRPr="00564B9D">
              <w:rPr>
                <w:sz w:val="20"/>
                <w:szCs w:val="20"/>
                <w:rtl/>
              </w:rPr>
              <w:t xml:space="preserve"> نتج عنها حكم بالبراءة.</w:t>
            </w:r>
          </w:p>
          <w:p w14:paraId="728098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5</w:t>
            </w:r>
            <w:r w:rsidRPr="00564B9D">
              <w:rPr>
                <w:rFonts w:hint="cs"/>
                <w:sz w:val="20"/>
                <w:szCs w:val="20"/>
                <w:rtl/>
              </w:rPr>
              <w:t xml:space="preserve"> </w:t>
            </w:r>
            <w:r w:rsidRPr="00564B9D">
              <w:rPr>
                <w:sz w:val="20"/>
                <w:szCs w:val="20"/>
                <w:rtl/>
              </w:rPr>
              <w:t xml:space="preserve">قضايا تنطوي على جرائم جنسية (صور </w:t>
            </w:r>
            <w:r w:rsidRPr="00564B9D">
              <w:rPr>
                <w:rFonts w:hint="cs"/>
                <w:sz w:val="20"/>
                <w:szCs w:val="20"/>
                <w:rtl/>
              </w:rPr>
              <w:t>خلاعية</w:t>
            </w:r>
            <w:r w:rsidRPr="00564B9D">
              <w:rPr>
                <w:sz w:val="20"/>
                <w:szCs w:val="20"/>
                <w:rtl/>
              </w:rPr>
              <w:t>/اعتداء غير لائق/لمس جنسي)</w:t>
            </w:r>
          </w:p>
          <w:p w14:paraId="4A7748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أسفرت جميع القضايا عن الإدانة والحكم. (بدأت </w:t>
            </w:r>
            <w:r w:rsidRPr="00564B9D">
              <w:rPr>
                <w:rFonts w:hint="cs"/>
                <w:sz w:val="20"/>
                <w:szCs w:val="20"/>
                <w:rtl/>
              </w:rPr>
              <w:t>قضية ال</w:t>
            </w:r>
            <w:r w:rsidRPr="00564B9D">
              <w:rPr>
                <w:sz w:val="20"/>
                <w:szCs w:val="20"/>
                <w:rtl/>
              </w:rPr>
              <w:t xml:space="preserve">براءة في وقت سابق من هذا العام في 2018، لذلك لم يتم احتسابها ضمن هذه الإحصائيات). ومن بين هذه </w:t>
            </w:r>
            <w:r w:rsidRPr="00564B9D">
              <w:rPr>
                <w:rFonts w:hint="cs"/>
                <w:sz w:val="20"/>
                <w:szCs w:val="20"/>
                <w:rtl/>
              </w:rPr>
              <w:t>القضايا</w:t>
            </w:r>
            <w:r w:rsidRPr="00564B9D">
              <w:rPr>
                <w:sz w:val="20"/>
                <w:szCs w:val="20"/>
                <w:rtl/>
              </w:rPr>
              <w:t xml:space="preserve"> الخمس، نتج عن ثلاث </w:t>
            </w:r>
            <w:r w:rsidRPr="00564B9D">
              <w:rPr>
                <w:rFonts w:hint="cs"/>
                <w:sz w:val="20"/>
                <w:szCs w:val="20"/>
                <w:rtl/>
              </w:rPr>
              <w:t xml:space="preserve">منها </w:t>
            </w:r>
            <w:r w:rsidRPr="00564B9D">
              <w:rPr>
                <w:sz w:val="20"/>
                <w:szCs w:val="20"/>
                <w:rtl/>
              </w:rPr>
              <w:t>أحكام بالسجن الفوري.</w:t>
            </w:r>
          </w:p>
          <w:p w14:paraId="5D320F16" w14:textId="26E31C4F"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منذ 1 </w:t>
            </w:r>
            <w:r w:rsidRPr="00564B9D">
              <w:rPr>
                <w:rFonts w:hint="cs"/>
                <w:sz w:val="20"/>
                <w:szCs w:val="20"/>
                <w:rtl/>
              </w:rPr>
              <w:t>كانون الثاني/</w:t>
            </w:r>
            <w:r w:rsidRPr="00564B9D">
              <w:rPr>
                <w:sz w:val="20"/>
                <w:szCs w:val="20"/>
                <w:rtl/>
              </w:rPr>
              <w:t xml:space="preserve">يناير 2020، تم البدء في 59 قضية جنائية. </w:t>
            </w:r>
            <w:r w:rsidRPr="00564B9D">
              <w:rPr>
                <w:rFonts w:hint="cs"/>
                <w:sz w:val="20"/>
                <w:szCs w:val="20"/>
                <w:rtl/>
              </w:rPr>
              <w:t>و</w:t>
            </w:r>
            <w:r w:rsidRPr="00564B9D">
              <w:rPr>
                <w:sz w:val="20"/>
                <w:szCs w:val="20"/>
                <w:rtl/>
              </w:rPr>
              <w:t xml:space="preserve">تغطي القضايا المتبقية التي لم يتم احتسابها قضايا المرور على الطرق وجرائم عدم الأمانة (السرقة والاحتيال عن طريق </w:t>
            </w:r>
            <w:r w:rsidRPr="00564B9D">
              <w:rPr>
                <w:rFonts w:hint="cs"/>
                <w:sz w:val="20"/>
                <w:szCs w:val="20"/>
                <w:rtl/>
              </w:rPr>
              <w:t>إسا</w:t>
            </w:r>
            <w:r w:rsidR="00D70082" w:rsidRPr="00564B9D">
              <w:rPr>
                <w:rFonts w:hint="cs"/>
                <w:sz w:val="20"/>
                <w:szCs w:val="20"/>
                <w:rtl/>
              </w:rPr>
              <w:t>ء</w:t>
            </w:r>
            <w:r w:rsidRPr="00564B9D">
              <w:rPr>
                <w:rFonts w:hint="cs"/>
                <w:sz w:val="20"/>
                <w:szCs w:val="20"/>
                <w:rtl/>
              </w:rPr>
              <w:t>ة تمثيل</w:t>
            </w:r>
            <w:r w:rsidRPr="00564B9D">
              <w:rPr>
                <w:sz w:val="20"/>
                <w:szCs w:val="20"/>
                <w:rtl/>
              </w:rPr>
              <w:t xml:space="preserve"> (القيمة أقل من 500 جنيه إسترليني)) والنظام العام (السلوك غير المنضبط </w:t>
            </w:r>
            <w:r w:rsidRPr="00564B9D">
              <w:rPr>
                <w:rFonts w:hint="cs"/>
                <w:sz w:val="20"/>
                <w:szCs w:val="20"/>
                <w:rtl/>
              </w:rPr>
              <w:t>في حالة سكر</w:t>
            </w:r>
            <w:r w:rsidRPr="00564B9D">
              <w:rPr>
                <w:sz w:val="20"/>
                <w:szCs w:val="20"/>
                <w:rtl/>
              </w:rPr>
              <w:t xml:space="preserve"> وما إلى ذلك).</w:t>
            </w:r>
          </w:p>
          <w:p w14:paraId="647994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لم يتم البدء في </w:t>
            </w:r>
            <w:r w:rsidRPr="00564B9D">
              <w:rPr>
                <w:rFonts w:hint="cs"/>
                <w:sz w:val="20"/>
                <w:szCs w:val="20"/>
                <w:rtl/>
              </w:rPr>
              <w:t xml:space="preserve">جرائم بدون </w:t>
            </w:r>
            <w:r w:rsidRPr="00564B9D">
              <w:rPr>
                <w:sz w:val="20"/>
                <w:szCs w:val="20"/>
                <w:rtl/>
              </w:rPr>
              <w:t xml:space="preserve">توجيه الاتهام منذ 1 </w:t>
            </w:r>
            <w:r w:rsidRPr="00564B9D">
              <w:rPr>
                <w:rFonts w:hint="cs"/>
                <w:sz w:val="20"/>
                <w:szCs w:val="20"/>
                <w:rtl/>
              </w:rPr>
              <w:t>كانون الثاني/</w:t>
            </w:r>
            <w:r w:rsidRPr="00564B9D">
              <w:rPr>
                <w:sz w:val="20"/>
                <w:szCs w:val="20"/>
                <w:rtl/>
              </w:rPr>
              <w:t>يناير 2020.</w:t>
            </w:r>
          </w:p>
        </w:tc>
      </w:tr>
      <w:tr w:rsidR="007B5A24" w:rsidRPr="00564B9D" w14:paraId="052BF888" w14:textId="77777777" w:rsidTr="00804944">
        <w:trPr>
          <w:trHeight w:val="240"/>
        </w:trPr>
        <w:tc>
          <w:tcPr>
            <w:tcW w:w="3634" w:type="dxa"/>
          </w:tcPr>
          <w:p w14:paraId="216039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 xml:space="preserve">عدد حالات العنف بدافع الجنس المبلغ عنها (مثل الاغتصاب، وتشويه الأعضاء الجنسية عند الإناث، وجرائم الشرف، والاعتداء بالأحماض). </w:t>
            </w:r>
          </w:p>
        </w:tc>
        <w:tc>
          <w:tcPr>
            <w:tcW w:w="3574" w:type="dxa"/>
          </w:tcPr>
          <w:p w14:paraId="1767D390" w14:textId="02D7BDA6" w:rsidR="00494AE4" w:rsidRPr="00564B9D" w:rsidRDefault="00494AE4" w:rsidP="00E24C1D">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45 في عام 2019</w:t>
            </w:r>
          </w:p>
        </w:tc>
      </w:tr>
      <w:tr w:rsidR="007B5A24" w:rsidRPr="00564B9D" w14:paraId="37D56FE9" w14:textId="77777777" w:rsidTr="00804944">
        <w:trPr>
          <w:trHeight w:val="240"/>
        </w:trPr>
        <w:tc>
          <w:tcPr>
            <w:tcW w:w="3634" w:type="dxa"/>
          </w:tcPr>
          <w:p w14:paraId="02EA3C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المدة الزمنية القصوى للاحتجاز السابق للمحاكمة (الحبس الاحتياطي)</w:t>
            </w:r>
          </w:p>
        </w:tc>
        <w:tc>
          <w:tcPr>
            <w:tcW w:w="3574" w:type="dxa"/>
          </w:tcPr>
          <w:p w14:paraId="6F15F1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في عام 20</w:t>
            </w:r>
            <w:r w:rsidRPr="00564B9D">
              <w:rPr>
                <w:rFonts w:hint="cs"/>
                <w:sz w:val="20"/>
                <w:szCs w:val="20"/>
                <w:rtl/>
              </w:rPr>
              <w:t>20</w:t>
            </w:r>
            <w:r w:rsidRPr="00564B9D">
              <w:rPr>
                <w:sz w:val="20"/>
                <w:szCs w:val="20"/>
                <w:rtl/>
              </w:rPr>
              <w:t>:</w:t>
            </w:r>
            <w:r w:rsidRPr="00564B9D">
              <w:rPr>
                <w:rFonts w:hint="cs"/>
                <w:sz w:val="20"/>
                <w:szCs w:val="20"/>
                <w:rtl/>
              </w:rPr>
              <w:t xml:space="preserve"> كانت فترة</w:t>
            </w:r>
            <w:r w:rsidRPr="00564B9D">
              <w:rPr>
                <w:sz w:val="20"/>
                <w:szCs w:val="20"/>
                <w:rtl/>
              </w:rPr>
              <w:t xml:space="preserve"> </w:t>
            </w:r>
            <w:r w:rsidRPr="00564B9D">
              <w:rPr>
                <w:rFonts w:hint="cs"/>
                <w:sz w:val="20"/>
                <w:szCs w:val="20"/>
                <w:rtl/>
              </w:rPr>
              <w:t>7 أيام هي الفترة الأقصى لحالات الحجز الاحتياطي</w:t>
            </w:r>
            <w:r w:rsidRPr="00564B9D">
              <w:rPr>
                <w:sz w:val="20"/>
                <w:szCs w:val="20"/>
                <w:rtl/>
              </w:rPr>
              <w:t xml:space="preserve"> </w:t>
            </w:r>
            <w:r w:rsidRPr="00564B9D">
              <w:rPr>
                <w:rFonts w:hint="cs"/>
                <w:sz w:val="20"/>
                <w:szCs w:val="20"/>
                <w:rtl/>
              </w:rPr>
              <w:t>السابق للإدانة</w:t>
            </w:r>
          </w:p>
        </w:tc>
      </w:tr>
      <w:tr w:rsidR="007B5A24" w:rsidRPr="00564B9D" w14:paraId="67431766" w14:textId="77777777" w:rsidTr="00804944">
        <w:trPr>
          <w:trHeight w:val="240"/>
        </w:trPr>
        <w:tc>
          <w:tcPr>
            <w:tcW w:w="3634" w:type="dxa"/>
          </w:tcPr>
          <w:p w14:paraId="1232FC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3574" w:type="dxa"/>
          </w:tcPr>
          <w:p w14:paraId="4913B0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w:t>
            </w:r>
            <w:r w:rsidRPr="00564B9D">
              <w:rPr>
                <w:sz w:val="20"/>
                <w:szCs w:val="20"/>
                <w:rtl/>
              </w:rPr>
              <w:t xml:space="preserve"> 3 </w:t>
            </w:r>
            <w:r w:rsidRPr="00564B9D">
              <w:rPr>
                <w:rFonts w:hint="cs"/>
                <w:sz w:val="20"/>
                <w:szCs w:val="20"/>
                <w:rtl/>
              </w:rPr>
              <w:t>كانون الأول/</w:t>
            </w:r>
            <w:r w:rsidRPr="00564B9D">
              <w:rPr>
                <w:sz w:val="20"/>
                <w:szCs w:val="20"/>
                <w:rtl/>
              </w:rPr>
              <w:t>ديسمبر 2020، كان هناك 13 سجيناً.</w:t>
            </w:r>
          </w:p>
          <w:p w14:paraId="135474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w:t>
            </w:r>
            <w:r w:rsidRPr="00564B9D">
              <w:rPr>
                <w:sz w:val="20"/>
                <w:szCs w:val="20"/>
                <w:rtl/>
              </w:rPr>
              <w:t xml:space="preserve"> حسب</w:t>
            </w:r>
            <w:r w:rsidRPr="00564B9D">
              <w:rPr>
                <w:rFonts w:hint="cs"/>
                <w:sz w:val="20"/>
                <w:szCs w:val="20"/>
                <w:rtl/>
              </w:rPr>
              <w:t xml:space="preserve"> نوع</w:t>
            </w:r>
            <w:r w:rsidRPr="00564B9D">
              <w:rPr>
                <w:sz w:val="20"/>
                <w:szCs w:val="20"/>
                <w:rtl/>
              </w:rPr>
              <w:t xml:space="preserve"> الجريمة:</w:t>
            </w:r>
          </w:p>
          <w:p w14:paraId="2A0168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الإساءة الجنسية: 9</w:t>
            </w:r>
          </w:p>
          <w:p w14:paraId="131030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الإجرام العنيف: 3</w:t>
            </w:r>
          </w:p>
          <w:p w14:paraId="6F2E32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حيازة/توريد المخدرات: 1</w:t>
            </w:r>
          </w:p>
          <w:p w14:paraId="5A4C5C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w:t>
            </w:r>
            <w:r w:rsidRPr="00564B9D">
              <w:rPr>
                <w:sz w:val="20"/>
                <w:szCs w:val="20"/>
                <w:rtl/>
              </w:rPr>
              <w:t xml:space="preserve"> حسب طول </w:t>
            </w:r>
            <w:r w:rsidRPr="00564B9D">
              <w:rPr>
                <w:rFonts w:hint="cs"/>
                <w:sz w:val="20"/>
                <w:szCs w:val="20"/>
                <w:rtl/>
              </w:rPr>
              <w:t>مدة الحكم</w:t>
            </w:r>
            <w:r w:rsidRPr="00564B9D">
              <w:rPr>
                <w:sz w:val="20"/>
                <w:szCs w:val="20"/>
                <w:rtl/>
              </w:rPr>
              <w:t>:</w:t>
            </w:r>
          </w:p>
          <w:p w14:paraId="3E748C2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12</w:t>
            </w:r>
            <w:r w:rsidRPr="00564B9D">
              <w:rPr>
                <w:rFonts w:hint="cs"/>
                <w:sz w:val="20"/>
                <w:szCs w:val="20"/>
                <w:rtl/>
              </w:rPr>
              <w:t xml:space="preserve"> </w:t>
            </w:r>
            <w:r w:rsidRPr="00564B9D">
              <w:rPr>
                <w:sz w:val="20"/>
                <w:szCs w:val="20"/>
                <w:rtl/>
              </w:rPr>
              <w:t>شهراً أو أقل: 3</w:t>
            </w:r>
          </w:p>
          <w:p w14:paraId="1832AD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1-2</w:t>
            </w:r>
            <w:r w:rsidRPr="00564B9D">
              <w:rPr>
                <w:rFonts w:hint="cs"/>
                <w:sz w:val="20"/>
                <w:szCs w:val="20"/>
                <w:rtl/>
              </w:rPr>
              <w:t xml:space="preserve"> </w:t>
            </w:r>
            <w:r w:rsidRPr="00564B9D">
              <w:rPr>
                <w:sz w:val="20"/>
                <w:szCs w:val="20"/>
                <w:rtl/>
              </w:rPr>
              <w:t>سنة: 3</w:t>
            </w:r>
          </w:p>
          <w:p w14:paraId="6B3CE3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4-5</w:t>
            </w:r>
            <w:r w:rsidRPr="00564B9D">
              <w:rPr>
                <w:rFonts w:hint="cs"/>
                <w:sz w:val="20"/>
                <w:szCs w:val="20"/>
                <w:rtl/>
              </w:rPr>
              <w:t xml:space="preserve"> </w:t>
            </w:r>
            <w:r w:rsidRPr="00564B9D">
              <w:rPr>
                <w:sz w:val="20"/>
                <w:szCs w:val="20"/>
                <w:rtl/>
              </w:rPr>
              <w:t>سنوات: 3</w:t>
            </w:r>
          </w:p>
          <w:p w14:paraId="1A0078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7</w:t>
            </w:r>
            <w:r w:rsidRPr="00564B9D">
              <w:rPr>
                <w:rFonts w:hint="cs"/>
                <w:sz w:val="20"/>
                <w:szCs w:val="20"/>
                <w:rtl/>
              </w:rPr>
              <w:t xml:space="preserve"> </w:t>
            </w:r>
            <w:r w:rsidRPr="00564B9D">
              <w:rPr>
                <w:sz w:val="20"/>
                <w:szCs w:val="20"/>
                <w:rtl/>
              </w:rPr>
              <w:t>سنوات: 1</w:t>
            </w:r>
          </w:p>
          <w:p w14:paraId="1F234C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8</w:t>
            </w:r>
            <w:r w:rsidRPr="00564B9D">
              <w:rPr>
                <w:rFonts w:hint="cs"/>
                <w:sz w:val="20"/>
                <w:szCs w:val="20"/>
                <w:rtl/>
              </w:rPr>
              <w:t xml:space="preserve"> </w:t>
            </w:r>
            <w:r w:rsidRPr="00564B9D">
              <w:rPr>
                <w:sz w:val="20"/>
                <w:szCs w:val="20"/>
                <w:rtl/>
              </w:rPr>
              <w:t>سنوات و8 أشهر: 1</w:t>
            </w:r>
          </w:p>
          <w:p w14:paraId="2829BD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9</w:t>
            </w:r>
            <w:r w:rsidRPr="00564B9D">
              <w:rPr>
                <w:rFonts w:hint="cs"/>
                <w:sz w:val="20"/>
                <w:szCs w:val="20"/>
                <w:rtl/>
              </w:rPr>
              <w:t xml:space="preserve"> </w:t>
            </w:r>
            <w:r w:rsidRPr="00564B9D">
              <w:rPr>
                <w:sz w:val="20"/>
                <w:szCs w:val="20"/>
                <w:rtl/>
              </w:rPr>
              <w:t>سنوات و9 أشهر: 1</w:t>
            </w:r>
          </w:p>
          <w:p w14:paraId="64673A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10</w:t>
            </w:r>
            <w:r w:rsidRPr="00564B9D">
              <w:rPr>
                <w:rFonts w:hint="cs"/>
                <w:sz w:val="20"/>
                <w:szCs w:val="20"/>
                <w:rtl/>
              </w:rPr>
              <w:t xml:space="preserve"> </w:t>
            </w:r>
            <w:r w:rsidRPr="00564B9D">
              <w:rPr>
                <w:sz w:val="20"/>
                <w:szCs w:val="20"/>
                <w:rtl/>
              </w:rPr>
              <w:t>سنوات: 1</w:t>
            </w:r>
          </w:p>
        </w:tc>
      </w:tr>
      <w:tr w:rsidR="007B5A24" w:rsidRPr="00564B9D" w14:paraId="355730C1" w14:textId="77777777" w:rsidTr="00804944">
        <w:trPr>
          <w:trHeight w:val="240"/>
        </w:trPr>
        <w:tc>
          <w:tcPr>
            <w:tcW w:w="3634" w:type="dxa"/>
          </w:tcPr>
          <w:p w14:paraId="13E59D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3574" w:type="dxa"/>
          </w:tcPr>
          <w:p w14:paraId="6AD2D5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لا توجد</w:t>
            </w:r>
          </w:p>
        </w:tc>
      </w:tr>
      <w:tr w:rsidR="007B5A24" w:rsidRPr="00564B9D" w14:paraId="3DF7DC9B" w14:textId="77777777" w:rsidTr="00804944">
        <w:trPr>
          <w:trHeight w:val="240"/>
        </w:trPr>
        <w:tc>
          <w:tcPr>
            <w:tcW w:w="3634" w:type="dxa"/>
          </w:tcPr>
          <w:p w14:paraId="6CF62E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257"/>
            </w:r>
            <w:r w:rsidRPr="00564B9D">
              <w:rPr>
                <w:sz w:val="20"/>
                <w:szCs w:val="20"/>
                <w:vertAlign w:val="superscript"/>
                <w:rtl/>
              </w:rPr>
              <w:t>)</w:t>
            </w:r>
            <w:r w:rsidRPr="00564B9D">
              <w:rPr>
                <w:sz w:val="20"/>
                <w:szCs w:val="20"/>
                <w:rtl/>
              </w:rPr>
              <w:t xml:space="preserve"> </w:t>
            </w:r>
          </w:p>
        </w:tc>
        <w:tc>
          <w:tcPr>
            <w:tcW w:w="3574" w:type="dxa"/>
          </w:tcPr>
          <w:p w14:paraId="3B5B70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صفر</w:t>
            </w:r>
          </w:p>
        </w:tc>
      </w:tr>
      <w:tr w:rsidR="007B5A24" w:rsidRPr="00564B9D" w14:paraId="54046F70" w14:textId="77777777" w:rsidTr="00804944">
        <w:trPr>
          <w:trHeight w:val="240"/>
        </w:trPr>
        <w:tc>
          <w:tcPr>
            <w:tcW w:w="3634" w:type="dxa"/>
          </w:tcPr>
          <w:p w14:paraId="68D6F4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574" w:type="dxa"/>
          </w:tcPr>
          <w:p w14:paraId="1975B7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لا </w:t>
            </w:r>
            <w:r w:rsidRPr="00564B9D">
              <w:rPr>
                <w:rFonts w:hint="cs"/>
                <w:sz w:val="20"/>
                <w:szCs w:val="20"/>
                <w:rtl/>
              </w:rPr>
              <w:t>توجد قضايا</w:t>
            </w:r>
            <w:r w:rsidRPr="00564B9D">
              <w:rPr>
                <w:sz w:val="20"/>
                <w:szCs w:val="20"/>
                <w:rtl/>
              </w:rPr>
              <w:t xml:space="preserve"> متراكمة </w:t>
            </w:r>
            <w:r w:rsidRPr="00564B9D">
              <w:rPr>
                <w:rFonts w:hint="cs"/>
                <w:sz w:val="20"/>
                <w:szCs w:val="20"/>
                <w:rtl/>
              </w:rPr>
              <w:t>- لا توجد قضايا تنتظر المثول أمام القضاء، جميع القضايا جارية</w:t>
            </w:r>
          </w:p>
        </w:tc>
      </w:tr>
      <w:tr w:rsidR="007B5A24" w:rsidRPr="00564B9D" w14:paraId="4B390380" w14:textId="77777777" w:rsidTr="00804944">
        <w:trPr>
          <w:trHeight w:val="240"/>
        </w:trPr>
        <w:tc>
          <w:tcPr>
            <w:tcW w:w="3634" w:type="dxa"/>
          </w:tcPr>
          <w:p w14:paraId="4933FD5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عدد رجال الشرطة/الأمن لكل 000 </w:t>
            </w:r>
            <w:r w:rsidRPr="00564B9D">
              <w:rPr>
                <w:rFonts w:hint="cs"/>
                <w:sz w:val="20"/>
                <w:szCs w:val="20"/>
                <w:rtl/>
              </w:rPr>
              <w:t>1</w:t>
            </w:r>
            <w:r w:rsidRPr="00564B9D">
              <w:rPr>
                <w:sz w:val="20"/>
                <w:szCs w:val="20"/>
                <w:rtl/>
              </w:rPr>
              <w:t xml:space="preserve"> شخص </w:t>
            </w:r>
          </w:p>
        </w:tc>
        <w:tc>
          <w:tcPr>
            <w:tcW w:w="3574" w:type="dxa"/>
          </w:tcPr>
          <w:p w14:paraId="6A8A00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7,2</w:t>
            </w:r>
            <w:r w:rsidRPr="00564B9D">
              <w:rPr>
                <w:sz w:val="20"/>
                <w:szCs w:val="20"/>
                <w:rtl/>
              </w:rPr>
              <w:t xml:space="preserve"> (</w:t>
            </w:r>
            <w:r w:rsidRPr="00564B9D">
              <w:rPr>
                <w:rFonts w:hint="cs"/>
                <w:sz w:val="20"/>
                <w:szCs w:val="20"/>
                <w:rtl/>
              </w:rPr>
              <w:t>ب</w:t>
            </w:r>
            <w:r w:rsidRPr="00564B9D">
              <w:rPr>
                <w:sz w:val="20"/>
                <w:szCs w:val="20"/>
                <w:rtl/>
              </w:rPr>
              <w:t>ما في ذلك ضباط شرطة الاحتياط)</w:t>
            </w:r>
          </w:p>
        </w:tc>
      </w:tr>
      <w:tr w:rsidR="007B5A24" w:rsidRPr="00564B9D" w14:paraId="189D710A" w14:textId="77777777" w:rsidTr="00804944">
        <w:trPr>
          <w:trHeight w:val="240"/>
        </w:trPr>
        <w:tc>
          <w:tcPr>
            <w:tcW w:w="3634" w:type="dxa"/>
          </w:tcPr>
          <w:p w14:paraId="6548145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w:t>
            </w:r>
            <w:r w:rsidRPr="00564B9D">
              <w:rPr>
                <w:rFonts w:hint="cs"/>
                <w:sz w:val="20"/>
                <w:szCs w:val="20"/>
                <w:rtl/>
              </w:rPr>
              <w:t xml:space="preserve">1 </w:t>
            </w:r>
            <w:r w:rsidRPr="00564B9D">
              <w:rPr>
                <w:sz w:val="20"/>
                <w:szCs w:val="20"/>
                <w:rtl/>
              </w:rPr>
              <w:t>شخص</w:t>
            </w:r>
          </w:p>
        </w:tc>
        <w:tc>
          <w:tcPr>
            <w:tcW w:w="3574" w:type="dxa"/>
          </w:tcPr>
          <w:p w14:paraId="194091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مدعون عامون: 0,</w:t>
            </w:r>
            <w:r w:rsidRPr="00564B9D">
              <w:rPr>
                <w:rFonts w:hint="cs"/>
                <w:sz w:val="20"/>
                <w:szCs w:val="20"/>
                <w:rtl/>
              </w:rPr>
              <w:t>3</w:t>
            </w:r>
          </w:p>
          <w:p w14:paraId="5D12954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قضاة</w:t>
            </w:r>
            <w:r w:rsidRPr="00564B9D">
              <w:rPr>
                <w:rFonts w:hint="cs"/>
                <w:sz w:val="20"/>
                <w:szCs w:val="20"/>
                <w:rtl/>
              </w:rPr>
              <w:t>: 4,7</w:t>
            </w:r>
          </w:p>
          <w:p w14:paraId="2CF4C27F"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قضاة صلح: 4,1</w:t>
            </w:r>
          </w:p>
          <w:p w14:paraId="44D63A7C"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قاضي مقيم 0,3</w:t>
            </w:r>
          </w:p>
          <w:p w14:paraId="698E714C"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قاضي غير مقيم: 0,3</w:t>
            </w:r>
          </w:p>
        </w:tc>
      </w:tr>
      <w:tr w:rsidR="007B5A24" w:rsidRPr="00564B9D" w14:paraId="16B7E046" w14:textId="77777777" w:rsidTr="00804944">
        <w:trPr>
          <w:trHeight w:val="240"/>
        </w:trPr>
        <w:tc>
          <w:tcPr>
            <w:tcW w:w="3634" w:type="dxa"/>
          </w:tcPr>
          <w:p w14:paraId="6B064C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3574" w:type="dxa"/>
          </w:tcPr>
          <w:p w14:paraId="6BBEED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2,</w:t>
            </w:r>
            <w:r w:rsidRPr="00564B9D">
              <w:rPr>
                <w:rFonts w:hint="cs"/>
                <w:sz w:val="20"/>
                <w:szCs w:val="20"/>
                <w:rtl/>
              </w:rPr>
              <w:t>7</w:t>
            </w:r>
            <w:r w:rsidRPr="00564B9D">
              <w:rPr>
                <w:sz w:val="20"/>
                <w:szCs w:val="20"/>
                <w:rtl/>
              </w:rPr>
              <w:t xml:space="preserve"> في المائة </w:t>
            </w:r>
          </w:p>
        </w:tc>
      </w:tr>
      <w:tr w:rsidR="007B5A24" w:rsidRPr="00564B9D" w14:paraId="3A70B6EA" w14:textId="77777777" w:rsidTr="00804944">
        <w:trPr>
          <w:trHeight w:val="240"/>
        </w:trPr>
        <w:tc>
          <w:tcPr>
            <w:tcW w:w="3634" w:type="dxa"/>
          </w:tcPr>
          <w:p w14:paraId="27239E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3574" w:type="dxa"/>
          </w:tcPr>
          <w:p w14:paraId="1C8BCE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في عام 2020: تم استلام 64 طلباً للدفع بموجب نظام المشورة والمساعدة الجنائية والموافقة عليها للدفع منذ 1 </w:t>
            </w:r>
            <w:r w:rsidRPr="00564B9D">
              <w:rPr>
                <w:rFonts w:hint="cs"/>
                <w:sz w:val="20"/>
                <w:szCs w:val="20"/>
                <w:rtl/>
              </w:rPr>
              <w:t>كانون الثاني/</w:t>
            </w:r>
            <w:r w:rsidRPr="00564B9D">
              <w:rPr>
                <w:sz w:val="20"/>
                <w:szCs w:val="20"/>
                <w:rtl/>
              </w:rPr>
              <w:t>يناير 2020</w:t>
            </w:r>
            <w:r w:rsidRPr="00564B9D">
              <w:rPr>
                <w:sz w:val="20"/>
                <w:szCs w:val="20"/>
                <w:vertAlign w:val="superscript"/>
                <w:rtl/>
              </w:rPr>
              <w:t>(</w:t>
            </w:r>
            <w:r w:rsidRPr="00564B9D">
              <w:rPr>
                <w:rStyle w:val="FootnoteReference"/>
                <w:rFonts w:cs="Simplified Arabic"/>
                <w:b w:val="0"/>
                <w:sz w:val="20"/>
                <w:szCs w:val="20"/>
                <w:rtl/>
                <w:lang w:val="en-US"/>
              </w:rPr>
              <w:footnoteReference w:id="258"/>
            </w:r>
            <w:r w:rsidRPr="00564B9D">
              <w:rPr>
                <w:sz w:val="20"/>
                <w:szCs w:val="20"/>
                <w:vertAlign w:val="superscript"/>
                <w:rtl/>
              </w:rPr>
              <w:t>)</w:t>
            </w:r>
            <w:r w:rsidRPr="00564B9D">
              <w:rPr>
                <w:sz w:val="20"/>
                <w:szCs w:val="20"/>
                <w:rtl/>
              </w:rPr>
              <w:t xml:space="preserve">. </w:t>
            </w:r>
            <w:r w:rsidRPr="00564B9D">
              <w:rPr>
                <w:rFonts w:hint="cs"/>
                <w:sz w:val="20"/>
                <w:szCs w:val="20"/>
                <w:rtl/>
              </w:rPr>
              <w:t>و</w:t>
            </w:r>
            <w:r w:rsidRPr="00564B9D">
              <w:rPr>
                <w:sz w:val="20"/>
                <w:szCs w:val="20"/>
                <w:rtl/>
              </w:rPr>
              <w:t xml:space="preserve">المشورة القانونية الأولية المجانية متاحة لجميع المتهمين والمحتجزين. بعد ذلك يعني أن المساعدة القانونية المختبرة متاحة </w:t>
            </w:r>
            <w:r w:rsidRPr="00564B9D">
              <w:rPr>
                <w:rFonts w:hint="cs"/>
                <w:sz w:val="20"/>
                <w:szCs w:val="20"/>
                <w:rtl/>
              </w:rPr>
              <w:t>سواء لل</w:t>
            </w:r>
            <w:r w:rsidRPr="00564B9D">
              <w:rPr>
                <w:sz w:val="20"/>
                <w:szCs w:val="20"/>
                <w:rtl/>
              </w:rPr>
              <w:t>مشورة أو التمثيل.</w:t>
            </w:r>
          </w:p>
        </w:tc>
      </w:tr>
      <w:tr w:rsidR="007B5A24" w:rsidRPr="00564B9D" w14:paraId="45116DD7" w14:textId="77777777" w:rsidTr="00804944">
        <w:trPr>
          <w:trHeight w:val="240"/>
        </w:trPr>
        <w:tc>
          <w:tcPr>
            <w:tcW w:w="3634" w:type="dxa"/>
            <w:tcBorders>
              <w:bottom w:val="single" w:sz="12" w:space="0" w:color="auto"/>
            </w:tcBorders>
          </w:tcPr>
          <w:p w14:paraId="1125F5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نسبة الضحايا الذين تم تعويضهم بعد صدور الحكم القضائي، بحسب نوع الجريمة</w:t>
            </w:r>
          </w:p>
        </w:tc>
        <w:tc>
          <w:tcPr>
            <w:tcW w:w="3574" w:type="dxa"/>
            <w:tcBorders>
              <w:bottom w:val="single" w:sz="12" w:space="0" w:color="auto"/>
            </w:tcBorders>
          </w:tcPr>
          <w:p w14:paraId="7845BF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السرقة: 50 في المائة (</w:t>
            </w:r>
            <w:r w:rsidRPr="00564B9D">
              <w:rPr>
                <w:rFonts w:hint="cs"/>
                <w:sz w:val="20"/>
                <w:szCs w:val="20"/>
                <w:rtl/>
              </w:rPr>
              <w:t>قضية</w:t>
            </w:r>
            <w:r w:rsidRPr="00564B9D">
              <w:rPr>
                <w:sz w:val="20"/>
                <w:szCs w:val="20"/>
                <w:rtl/>
              </w:rPr>
              <w:t xml:space="preserve"> واحدة من 2)</w:t>
            </w:r>
          </w:p>
          <w:p w14:paraId="26E392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الاعتداء الشائع: 13 في المائة (</w:t>
            </w:r>
            <w:r w:rsidRPr="00564B9D">
              <w:rPr>
                <w:rFonts w:hint="cs"/>
                <w:sz w:val="20"/>
                <w:szCs w:val="20"/>
                <w:rtl/>
              </w:rPr>
              <w:t>قضية</w:t>
            </w:r>
            <w:r w:rsidRPr="00564B9D">
              <w:rPr>
                <w:sz w:val="20"/>
                <w:szCs w:val="20"/>
                <w:rtl/>
              </w:rPr>
              <w:t xml:space="preserve"> واحدة من 8)</w:t>
            </w:r>
          </w:p>
          <w:p w14:paraId="037ACB7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إيذاء بدني فعلي: 66 في المائة (قضيتان </w:t>
            </w:r>
            <w:r w:rsidRPr="00564B9D">
              <w:rPr>
                <w:sz w:val="20"/>
                <w:szCs w:val="20"/>
                <w:rtl/>
              </w:rPr>
              <w:t>من 3)</w:t>
            </w:r>
          </w:p>
          <w:p w14:paraId="18DCB20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الاحتيال: 50 في المائة (</w:t>
            </w:r>
            <w:r w:rsidRPr="00564B9D">
              <w:rPr>
                <w:rFonts w:hint="cs"/>
                <w:sz w:val="20"/>
                <w:szCs w:val="20"/>
                <w:rtl/>
              </w:rPr>
              <w:t>قضية</w:t>
            </w:r>
            <w:r w:rsidRPr="00564B9D">
              <w:rPr>
                <w:sz w:val="20"/>
                <w:szCs w:val="20"/>
                <w:rtl/>
              </w:rPr>
              <w:t xml:space="preserve"> واحدة من 2)</w:t>
            </w:r>
          </w:p>
          <w:p w14:paraId="65A6A4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وصدرت أحكام</w:t>
            </w:r>
            <w:r w:rsidRPr="00564B9D">
              <w:rPr>
                <w:rFonts w:hint="cs"/>
                <w:sz w:val="20"/>
                <w:szCs w:val="20"/>
                <w:rtl/>
              </w:rPr>
              <w:t xml:space="preserve"> فورية</w:t>
            </w:r>
            <w:r w:rsidRPr="00564B9D">
              <w:rPr>
                <w:sz w:val="20"/>
                <w:szCs w:val="20"/>
                <w:rtl/>
              </w:rPr>
              <w:t xml:space="preserve"> مقيدة للحرية في قضايا أخرى حكم عليها.</w:t>
            </w:r>
          </w:p>
        </w:tc>
      </w:tr>
    </w:tbl>
    <w:p w14:paraId="48AF99DC" w14:textId="77777777" w:rsidR="00494AE4" w:rsidRPr="00564B9D" w:rsidRDefault="00494AE4" w:rsidP="00494AE4">
      <w:pPr>
        <w:pStyle w:val="H1GA"/>
        <w:rPr>
          <w:rtl/>
        </w:rPr>
      </w:pPr>
      <w:r w:rsidRPr="00564B9D">
        <w:rPr>
          <w:rtl/>
        </w:rPr>
        <w:tab/>
      </w:r>
      <w:r w:rsidRPr="00564B9D">
        <w:rPr>
          <w:rFonts w:hint="cs"/>
          <w:rtl/>
        </w:rPr>
        <w:t xml:space="preserve"> </w:t>
      </w:r>
      <w:bookmarkStart w:id="174" w:name="_Toc123044146"/>
      <w:bookmarkStart w:id="175" w:name="_Toc123044369"/>
      <w:bookmarkStart w:id="176" w:name="_Toc123044630"/>
      <w:bookmarkStart w:id="177" w:name="_Toc123044892"/>
      <w:r w:rsidRPr="00564B9D">
        <w:rPr>
          <w:rFonts w:hint="cs"/>
          <w:rtl/>
        </w:rPr>
        <w:t>باء-</w:t>
      </w:r>
      <w:r w:rsidRPr="00564B9D">
        <w:rPr>
          <w:rtl/>
        </w:rPr>
        <w:tab/>
      </w:r>
      <w:r w:rsidRPr="00564B9D">
        <w:rPr>
          <w:rFonts w:hint="cs"/>
          <w:rtl/>
        </w:rPr>
        <w:t>الهيكل الدستوري والسياسي والقانوني</w:t>
      </w:r>
      <w:bookmarkEnd w:id="174"/>
      <w:bookmarkEnd w:id="175"/>
      <w:bookmarkEnd w:id="176"/>
      <w:bookmarkEnd w:id="177"/>
    </w:p>
    <w:p w14:paraId="13AE7513" w14:textId="77777777" w:rsidR="00494AE4" w:rsidRPr="00564B9D" w:rsidRDefault="00494AE4" w:rsidP="00494AE4">
      <w:pPr>
        <w:pStyle w:val="SingleTxtGA"/>
        <w:rPr>
          <w:rtl/>
        </w:rPr>
      </w:pPr>
      <w:r w:rsidRPr="00564B9D">
        <w:rPr>
          <w:rFonts w:hint="cs"/>
          <w:rtl/>
        </w:rPr>
        <w:t>87</w:t>
      </w:r>
      <w:r w:rsidRPr="00564B9D">
        <w:rPr>
          <w:rtl/>
        </w:rPr>
        <w:t>-</w:t>
      </w:r>
      <w:r w:rsidRPr="00564B9D">
        <w:rPr>
          <w:rtl/>
        </w:rPr>
        <w:tab/>
        <w:t xml:space="preserve">تتمتع جزر فوكلاند بقدر كبير من الحكم الذاتي الداخلي </w:t>
      </w:r>
      <w:r w:rsidRPr="00564B9D">
        <w:rPr>
          <w:rFonts w:hint="cs"/>
          <w:rtl/>
        </w:rPr>
        <w:t>وي</w:t>
      </w:r>
      <w:r w:rsidRPr="00564B9D">
        <w:rPr>
          <w:rtl/>
        </w:rPr>
        <w:t xml:space="preserve">عمل </w:t>
      </w:r>
      <w:r w:rsidRPr="00564B9D">
        <w:rPr>
          <w:rFonts w:hint="cs"/>
          <w:rtl/>
        </w:rPr>
        <w:t>القانون</w:t>
      </w:r>
      <w:r w:rsidRPr="00564B9D">
        <w:rPr>
          <w:rtl/>
        </w:rPr>
        <w:t xml:space="preserve"> </w:t>
      </w:r>
      <w:r w:rsidRPr="00564B9D">
        <w:rPr>
          <w:rFonts w:hint="cs"/>
          <w:rtl/>
        </w:rPr>
        <w:t>ال</w:t>
      </w:r>
      <w:r w:rsidRPr="00564B9D">
        <w:rPr>
          <w:rtl/>
        </w:rPr>
        <w:t>دستور</w:t>
      </w:r>
      <w:r w:rsidRPr="00564B9D">
        <w:rPr>
          <w:rFonts w:hint="cs"/>
          <w:rtl/>
        </w:rPr>
        <w:t>ي</w:t>
      </w:r>
      <w:r w:rsidRPr="00564B9D">
        <w:rPr>
          <w:rtl/>
        </w:rPr>
        <w:t xml:space="preserve"> </w:t>
      </w:r>
      <w:r w:rsidRPr="00564B9D">
        <w:rPr>
          <w:rFonts w:hint="cs"/>
          <w:rtl/>
        </w:rPr>
        <w:t>ل</w:t>
      </w:r>
      <w:r w:rsidRPr="00564B9D">
        <w:rPr>
          <w:rtl/>
        </w:rPr>
        <w:t>جزر فوكلاند لعام 2008</w:t>
      </w:r>
      <w:r w:rsidRPr="00564B9D">
        <w:rPr>
          <w:vertAlign w:val="superscript"/>
          <w:rtl/>
        </w:rPr>
        <w:t>(</w:t>
      </w:r>
      <w:r w:rsidRPr="00564B9D">
        <w:rPr>
          <w:rStyle w:val="FootnoteReference"/>
          <w:rFonts w:cs="Simplified Arabic"/>
          <w:b w:val="0"/>
          <w:sz w:val="22"/>
          <w:szCs w:val="22"/>
          <w:rtl/>
          <w:lang w:val="en-US"/>
        </w:rPr>
        <w:footnoteReference w:id="259"/>
      </w:r>
      <w:r w:rsidRPr="00564B9D">
        <w:rPr>
          <w:vertAlign w:val="superscript"/>
          <w:rtl/>
        </w:rPr>
        <w:t>)</w:t>
      </w:r>
      <w:r w:rsidRPr="00564B9D">
        <w:rPr>
          <w:rtl/>
        </w:rPr>
        <w:t xml:space="preserve"> على زيادة تعزيز هذا الوضع.</w:t>
      </w:r>
    </w:p>
    <w:p w14:paraId="26CE1FD0" w14:textId="77777777" w:rsidR="00494AE4" w:rsidRPr="00564B9D" w:rsidRDefault="00494AE4" w:rsidP="00494AE4">
      <w:pPr>
        <w:pStyle w:val="H23GA"/>
        <w:rPr>
          <w:rtl/>
        </w:rPr>
      </w:pPr>
      <w:r w:rsidRPr="00564B9D">
        <w:rPr>
          <w:rtl/>
        </w:rPr>
        <w:tab/>
      </w:r>
      <w:r w:rsidRPr="00564B9D">
        <w:rPr>
          <w:rtl/>
        </w:rPr>
        <w:tab/>
      </w:r>
      <w:r w:rsidRPr="00564B9D">
        <w:rPr>
          <w:rFonts w:hint="cs"/>
          <w:rtl/>
        </w:rPr>
        <w:t>الجمعية التشريعية</w:t>
      </w:r>
      <w:r w:rsidRPr="00564B9D">
        <w:rPr>
          <w:b w:val="0"/>
          <w:bCs w:val="0"/>
          <w:vertAlign w:val="superscript"/>
          <w:rtl/>
        </w:rPr>
        <w:t>(</w:t>
      </w:r>
      <w:r w:rsidRPr="00564B9D">
        <w:rPr>
          <w:rStyle w:val="FootnoteReference"/>
          <w:rFonts w:cs="Simplified Arabic"/>
          <w:bCs w:val="0"/>
          <w:sz w:val="22"/>
          <w:szCs w:val="22"/>
          <w:rtl/>
          <w:lang w:val="en-US"/>
        </w:rPr>
        <w:footnoteReference w:id="260"/>
      </w:r>
      <w:r w:rsidRPr="00564B9D">
        <w:rPr>
          <w:b w:val="0"/>
          <w:bCs w:val="0"/>
          <w:vertAlign w:val="superscript"/>
          <w:rtl/>
        </w:rPr>
        <w:t>)</w:t>
      </w:r>
      <w:r w:rsidRPr="00564B9D">
        <w:rPr>
          <w:rFonts w:hint="cs"/>
          <w:rtl/>
        </w:rPr>
        <w:t xml:space="preserve"> </w:t>
      </w:r>
    </w:p>
    <w:p w14:paraId="4CA73418" w14:textId="77777777" w:rsidR="00494AE4" w:rsidRPr="00564B9D" w:rsidRDefault="00494AE4" w:rsidP="00494AE4">
      <w:pPr>
        <w:pStyle w:val="SingleTxtGA"/>
        <w:rPr>
          <w:rtl/>
        </w:rPr>
      </w:pPr>
      <w:r w:rsidRPr="00564B9D">
        <w:rPr>
          <w:rFonts w:hint="cs"/>
          <w:rtl/>
        </w:rPr>
        <w:t>88</w:t>
      </w:r>
      <w:r w:rsidRPr="00564B9D">
        <w:rPr>
          <w:rtl/>
        </w:rPr>
        <w:t>-</w:t>
      </w:r>
      <w:r w:rsidRPr="00564B9D">
        <w:rPr>
          <w:rtl/>
        </w:rPr>
        <w:tab/>
      </w:r>
      <w:r w:rsidRPr="00564B9D">
        <w:rPr>
          <w:rFonts w:hint="cs"/>
          <w:rtl/>
        </w:rPr>
        <w:t xml:space="preserve">يوجد في </w:t>
      </w:r>
      <w:r w:rsidRPr="00564B9D">
        <w:rPr>
          <w:rtl/>
        </w:rPr>
        <w:t>جزر فوكلاند جمعية تشريعية مؤلفة من ثمانية أعضاء منتخبين و</w:t>
      </w:r>
      <w:r w:rsidRPr="00564B9D">
        <w:rPr>
          <w:rFonts w:hint="cs"/>
          <w:rtl/>
        </w:rPr>
        <w:t xml:space="preserve">رئيس </w:t>
      </w:r>
      <w:r w:rsidRPr="00564B9D">
        <w:rPr>
          <w:rtl/>
        </w:rPr>
        <w:t>و</w:t>
      </w:r>
      <w:r w:rsidRPr="00564B9D">
        <w:rPr>
          <w:rFonts w:hint="cs"/>
          <w:rtl/>
        </w:rPr>
        <w:t>تتضمن</w:t>
      </w:r>
      <w:r w:rsidRPr="00564B9D">
        <w:rPr>
          <w:rtl/>
        </w:rPr>
        <w:t xml:space="preserve"> عضو</w:t>
      </w:r>
      <w:r w:rsidRPr="00564B9D">
        <w:rPr>
          <w:rFonts w:hint="cs"/>
          <w:rtl/>
        </w:rPr>
        <w:t>ي</w:t>
      </w:r>
      <w:r w:rsidRPr="00564B9D">
        <w:rPr>
          <w:rtl/>
        </w:rPr>
        <w:t>ن يحضر</w:t>
      </w:r>
      <w:r w:rsidRPr="00564B9D">
        <w:rPr>
          <w:rFonts w:hint="cs"/>
          <w:rtl/>
        </w:rPr>
        <w:t>ا</w:t>
      </w:r>
      <w:r w:rsidRPr="00564B9D">
        <w:rPr>
          <w:rtl/>
        </w:rPr>
        <w:t>ن اجتماعاتها "بحكم منصب</w:t>
      </w:r>
      <w:r w:rsidRPr="00564B9D">
        <w:rPr>
          <w:rFonts w:hint="cs"/>
          <w:rtl/>
        </w:rPr>
        <w:t>هما</w:t>
      </w:r>
      <w:r w:rsidRPr="00564B9D">
        <w:rPr>
          <w:rtl/>
        </w:rPr>
        <w:t>" وهما كبير المسؤولين التنفيذيين ووزير المالية. كما يحق لرئيس القوات البريطانية في جزر جنوب الأطل</w:t>
      </w:r>
      <w:r w:rsidRPr="00564B9D">
        <w:rPr>
          <w:rFonts w:hint="cs"/>
          <w:rtl/>
        </w:rPr>
        <w:t>سي</w:t>
      </w:r>
      <w:r w:rsidRPr="00564B9D">
        <w:rPr>
          <w:rtl/>
        </w:rPr>
        <w:t xml:space="preserve"> والنائب العام حضور اجتماعات الجمعية والتطرق إلى أي موضوع. وتعقد اجتماعات الجمعية التشريعية مرتين في الشهر، ويحق </w:t>
      </w:r>
      <w:r w:rsidRPr="00564B9D">
        <w:rPr>
          <w:rFonts w:hint="cs"/>
          <w:rtl/>
        </w:rPr>
        <w:t>لها</w:t>
      </w:r>
      <w:r w:rsidRPr="00564B9D">
        <w:rPr>
          <w:rtl/>
        </w:rPr>
        <w:t xml:space="preserve"> </w:t>
      </w:r>
      <w:r w:rsidRPr="00564B9D">
        <w:rPr>
          <w:rFonts w:hint="cs"/>
          <w:rtl/>
        </w:rPr>
        <w:t>إقرار</w:t>
      </w:r>
      <w:r w:rsidRPr="00564B9D">
        <w:rPr>
          <w:rtl/>
        </w:rPr>
        <w:t xml:space="preserve"> التشريعات لخدمة السلام في جزر فوكلاند والنظام والحكم ال</w:t>
      </w:r>
      <w:r w:rsidRPr="00564B9D">
        <w:rPr>
          <w:rFonts w:hint="cs"/>
          <w:rtl/>
        </w:rPr>
        <w:t>سد</w:t>
      </w:r>
      <w:r w:rsidRPr="00564B9D">
        <w:rPr>
          <w:rtl/>
        </w:rPr>
        <w:t xml:space="preserve">يد في جزر فوكلاند على أن يخضع ذلك لموافقة </w:t>
      </w:r>
      <w:r w:rsidRPr="00564B9D">
        <w:rPr>
          <w:rFonts w:hint="cs"/>
          <w:rtl/>
        </w:rPr>
        <w:t>وزير الخارجية</w:t>
      </w:r>
      <w:r w:rsidRPr="00564B9D">
        <w:rPr>
          <w:rtl/>
        </w:rPr>
        <w:t xml:space="preserve"> الذي يعمل با</w:t>
      </w:r>
      <w:r w:rsidRPr="00564B9D">
        <w:rPr>
          <w:rFonts w:hint="cs"/>
          <w:rtl/>
        </w:rPr>
        <w:t>لنيابة</w:t>
      </w:r>
      <w:r w:rsidRPr="00564B9D">
        <w:rPr>
          <w:rtl/>
        </w:rPr>
        <w:t xml:space="preserve"> عن </w:t>
      </w:r>
      <w:r w:rsidRPr="00564B9D">
        <w:rPr>
          <w:rFonts w:hint="cs"/>
          <w:rtl/>
        </w:rPr>
        <w:t>العاهل</w:t>
      </w:r>
      <w:r w:rsidRPr="00564B9D">
        <w:rPr>
          <w:rtl/>
        </w:rPr>
        <w:t xml:space="preserve"> (</w:t>
      </w:r>
      <w:r w:rsidRPr="00564B9D">
        <w:rPr>
          <w:rFonts w:hint="cs"/>
          <w:rtl/>
        </w:rPr>
        <w:t>الذي</w:t>
      </w:r>
      <w:r w:rsidRPr="00564B9D">
        <w:rPr>
          <w:rtl/>
        </w:rPr>
        <w:t xml:space="preserve"> </w:t>
      </w:r>
      <w:r w:rsidRPr="00564B9D">
        <w:rPr>
          <w:rFonts w:hint="cs"/>
          <w:rtl/>
        </w:rPr>
        <w:t>ي</w:t>
      </w:r>
      <w:r w:rsidRPr="00564B9D">
        <w:rPr>
          <w:rtl/>
        </w:rPr>
        <w:t>عتبر رئيس الدولة).</w:t>
      </w:r>
    </w:p>
    <w:p w14:paraId="45866C23" w14:textId="77777777" w:rsidR="00494AE4" w:rsidRPr="00564B9D" w:rsidRDefault="00494AE4" w:rsidP="00494AE4">
      <w:pPr>
        <w:pStyle w:val="H23GA"/>
        <w:rPr>
          <w:rtl/>
        </w:rPr>
      </w:pPr>
      <w:r w:rsidRPr="00564B9D">
        <w:rPr>
          <w:rtl/>
        </w:rPr>
        <w:tab/>
      </w:r>
      <w:r w:rsidRPr="00564B9D">
        <w:rPr>
          <w:rtl/>
        </w:rPr>
        <w:tab/>
      </w:r>
      <w:r w:rsidRPr="00564B9D">
        <w:rPr>
          <w:rFonts w:hint="cs"/>
          <w:rtl/>
        </w:rPr>
        <w:t>حكومة جزر فوكلاند</w:t>
      </w:r>
      <w:r w:rsidRPr="00564B9D">
        <w:rPr>
          <w:b w:val="0"/>
          <w:bCs w:val="0"/>
          <w:vertAlign w:val="superscript"/>
          <w:rtl/>
        </w:rPr>
        <w:t>(</w:t>
      </w:r>
      <w:r w:rsidRPr="00564B9D">
        <w:rPr>
          <w:rStyle w:val="FootnoteReference"/>
          <w:rFonts w:cs="Simplified Arabic"/>
          <w:bCs w:val="0"/>
          <w:sz w:val="22"/>
          <w:szCs w:val="22"/>
          <w:rtl/>
          <w:lang w:val="en-US"/>
        </w:rPr>
        <w:footnoteReference w:id="261"/>
      </w:r>
      <w:r w:rsidRPr="00564B9D">
        <w:rPr>
          <w:b w:val="0"/>
          <w:bCs w:val="0"/>
          <w:vertAlign w:val="superscript"/>
          <w:rtl/>
        </w:rPr>
        <w:t>)</w:t>
      </w:r>
      <w:r w:rsidRPr="00564B9D">
        <w:rPr>
          <w:rFonts w:hint="cs"/>
          <w:rtl/>
        </w:rPr>
        <w:t xml:space="preserve"> </w:t>
      </w:r>
    </w:p>
    <w:p w14:paraId="50EF5860" w14:textId="77777777" w:rsidR="00494AE4" w:rsidRPr="00564B9D" w:rsidRDefault="00494AE4" w:rsidP="00494AE4">
      <w:pPr>
        <w:pStyle w:val="SingleTxtGA"/>
        <w:rPr>
          <w:rtl/>
        </w:rPr>
      </w:pPr>
      <w:r w:rsidRPr="00564B9D">
        <w:rPr>
          <w:rFonts w:hint="cs"/>
          <w:rtl/>
        </w:rPr>
        <w:t>89</w:t>
      </w:r>
      <w:r w:rsidRPr="00564B9D">
        <w:rPr>
          <w:rtl/>
        </w:rPr>
        <w:t>-</w:t>
      </w:r>
      <w:r w:rsidRPr="00564B9D">
        <w:rPr>
          <w:rtl/>
        </w:rPr>
        <w:tab/>
        <w:t xml:space="preserve">المجلس التنفيذي </w:t>
      </w:r>
      <w:r w:rsidRPr="00564B9D">
        <w:rPr>
          <w:rFonts w:hint="cs"/>
          <w:rtl/>
        </w:rPr>
        <w:t xml:space="preserve">هو </w:t>
      </w:r>
      <w:r w:rsidRPr="00564B9D">
        <w:rPr>
          <w:rtl/>
        </w:rPr>
        <w:t xml:space="preserve">الهيئة الحكومية المسؤولة عن وضع السياسات في جزر فوكلاند، ويمارس سلطته التنفيذية </w:t>
      </w:r>
      <w:r w:rsidRPr="00564B9D">
        <w:rPr>
          <w:rFonts w:hint="cs"/>
          <w:rtl/>
        </w:rPr>
        <w:t>عن</w:t>
      </w:r>
      <w:r w:rsidRPr="00564B9D">
        <w:rPr>
          <w:rtl/>
        </w:rPr>
        <w:t xml:space="preserve"> </w:t>
      </w:r>
      <w:r w:rsidRPr="00564B9D">
        <w:rPr>
          <w:rFonts w:hint="cs"/>
          <w:rtl/>
        </w:rPr>
        <w:t>طريق</w:t>
      </w:r>
      <w:r w:rsidRPr="00564B9D">
        <w:rPr>
          <w:rtl/>
        </w:rPr>
        <w:t xml:space="preserve"> </w:t>
      </w:r>
      <w:r w:rsidRPr="00564B9D">
        <w:rPr>
          <w:rFonts w:hint="cs"/>
          <w:rtl/>
        </w:rPr>
        <w:t>تقديم</w:t>
      </w:r>
      <w:r w:rsidRPr="00564B9D">
        <w:rPr>
          <w:rtl/>
        </w:rPr>
        <w:t xml:space="preserve"> المشورة إلى الحاكم الذي يعمل بالن</w:t>
      </w:r>
      <w:r w:rsidRPr="00564B9D">
        <w:rPr>
          <w:rFonts w:hint="cs"/>
          <w:rtl/>
        </w:rPr>
        <w:t>ي</w:t>
      </w:r>
      <w:r w:rsidRPr="00564B9D">
        <w:rPr>
          <w:rtl/>
        </w:rPr>
        <w:t xml:space="preserve">ابة عن </w:t>
      </w:r>
      <w:r w:rsidRPr="00564B9D">
        <w:rPr>
          <w:rFonts w:hint="cs"/>
          <w:rtl/>
        </w:rPr>
        <w:t>العاهل</w:t>
      </w:r>
      <w:r w:rsidRPr="00564B9D">
        <w:rPr>
          <w:rtl/>
        </w:rPr>
        <w:t xml:space="preserve"> ال</w:t>
      </w:r>
      <w:r w:rsidRPr="00564B9D">
        <w:rPr>
          <w:rFonts w:hint="cs"/>
          <w:rtl/>
        </w:rPr>
        <w:t>ذ</w:t>
      </w:r>
      <w:r w:rsidRPr="00564B9D">
        <w:rPr>
          <w:rtl/>
        </w:rPr>
        <w:t xml:space="preserve">ي </w:t>
      </w:r>
      <w:r w:rsidRPr="00564B9D">
        <w:rPr>
          <w:rFonts w:hint="cs"/>
          <w:rtl/>
        </w:rPr>
        <w:t>يُسند</w:t>
      </w:r>
      <w:r w:rsidRPr="00564B9D">
        <w:rPr>
          <w:rtl/>
        </w:rPr>
        <w:t xml:space="preserve"> إليه السلطة </w:t>
      </w:r>
      <w:r w:rsidRPr="00564B9D">
        <w:rPr>
          <w:rtl/>
        </w:rPr>
        <w:lastRenderedPageBreak/>
        <w:t>التنفيذية. وي</w:t>
      </w:r>
      <w:r w:rsidRPr="00564B9D">
        <w:rPr>
          <w:rFonts w:hint="cs"/>
          <w:rtl/>
        </w:rPr>
        <w:t>حدد</w:t>
      </w:r>
      <w:r w:rsidRPr="00564B9D">
        <w:rPr>
          <w:rtl/>
        </w:rPr>
        <w:t xml:space="preserve"> الفصل الخامس م</w:t>
      </w:r>
      <w:r w:rsidRPr="00564B9D">
        <w:rPr>
          <w:rFonts w:hint="cs"/>
          <w:rtl/>
        </w:rPr>
        <w:t xml:space="preserve">ن </w:t>
      </w:r>
      <w:r w:rsidRPr="00564B9D">
        <w:rPr>
          <w:rtl/>
        </w:rPr>
        <w:t xml:space="preserve">جدول </w:t>
      </w:r>
      <w:r w:rsidRPr="00564B9D">
        <w:rPr>
          <w:rFonts w:hint="cs"/>
          <w:rtl/>
        </w:rPr>
        <w:t>القانون</w:t>
      </w:r>
      <w:r w:rsidRPr="00564B9D">
        <w:rPr>
          <w:rtl/>
        </w:rPr>
        <w:t xml:space="preserve"> </w:t>
      </w:r>
      <w:r w:rsidRPr="00564B9D">
        <w:rPr>
          <w:rFonts w:hint="cs"/>
          <w:rtl/>
        </w:rPr>
        <w:t>ال</w:t>
      </w:r>
      <w:r w:rsidRPr="00564B9D">
        <w:rPr>
          <w:rtl/>
        </w:rPr>
        <w:t>دستور</w:t>
      </w:r>
      <w:r w:rsidRPr="00564B9D">
        <w:rPr>
          <w:rFonts w:hint="cs"/>
          <w:rtl/>
        </w:rPr>
        <w:t>ي</w:t>
      </w:r>
      <w:r w:rsidRPr="00564B9D">
        <w:rPr>
          <w:rtl/>
        </w:rPr>
        <w:t xml:space="preserve"> </w:t>
      </w:r>
      <w:r w:rsidRPr="00564B9D">
        <w:rPr>
          <w:rFonts w:hint="cs"/>
          <w:rtl/>
        </w:rPr>
        <w:t>ل</w:t>
      </w:r>
      <w:r w:rsidRPr="00564B9D">
        <w:rPr>
          <w:rtl/>
        </w:rPr>
        <w:t xml:space="preserve">جزر فوكلاند لعام 2008 سلطات المجلس التنفيذي ومهامه وعضويته ومدة </w:t>
      </w:r>
      <w:r w:rsidRPr="00564B9D">
        <w:rPr>
          <w:rFonts w:hint="cs"/>
          <w:rtl/>
        </w:rPr>
        <w:t>ولايته</w:t>
      </w:r>
      <w:r w:rsidRPr="00564B9D">
        <w:rPr>
          <w:rtl/>
        </w:rPr>
        <w:t>. ويمنح الدستور سلطة للحاكم ل</w:t>
      </w:r>
      <w:r w:rsidRPr="00564B9D">
        <w:rPr>
          <w:rFonts w:hint="cs"/>
          <w:rtl/>
        </w:rPr>
        <w:t>أن ي</w:t>
      </w:r>
      <w:r w:rsidRPr="00564B9D">
        <w:rPr>
          <w:rtl/>
        </w:rPr>
        <w:t xml:space="preserve">تصرف </w:t>
      </w:r>
      <w:r w:rsidRPr="00564B9D">
        <w:rPr>
          <w:rFonts w:hint="cs"/>
          <w:rtl/>
        </w:rPr>
        <w:t>خلافاً</w:t>
      </w:r>
      <w:r w:rsidRPr="00564B9D">
        <w:rPr>
          <w:rtl/>
        </w:rPr>
        <w:t xml:space="preserve"> لمشورة المجلس التنفيذي. </w:t>
      </w:r>
      <w:r w:rsidRPr="00564B9D">
        <w:rPr>
          <w:rFonts w:hint="cs"/>
          <w:rtl/>
        </w:rPr>
        <w:t>غير أنه</w:t>
      </w:r>
      <w:r w:rsidRPr="00564B9D">
        <w:rPr>
          <w:rtl/>
        </w:rPr>
        <w:t xml:space="preserve"> إذا </w:t>
      </w:r>
      <w:r w:rsidRPr="00564B9D">
        <w:rPr>
          <w:rFonts w:hint="cs"/>
          <w:rtl/>
        </w:rPr>
        <w:t>فعل ذلك</w:t>
      </w:r>
      <w:r w:rsidRPr="00564B9D">
        <w:rPr>
          <w:rtl/>
        </w:rPr>
        <w:t xml:space="preserve">، </w:t>
      </w:r>
      <w:r w:rsidRPr="00564B9D">
        <w:rPr>
          <w:rFonts w:hint="cs"/>
          <w:rtl/>
        </w:rPr>
        <w:t>يتعين عليه</w:t>
      </w:r>
      <w:r w:rsidRPr="00564B9D">
        <w:rPr>
          <w:rtl/>
        </w:rPr>
        <w:t xml:space="preserve"> إ</w:t>
      </w:r>
      <w:r w:rsidRPr="00564B9D">
        <w:rPr>
          <w:rFonts w:hint="cs"/>
          <w:rtl/>
        </w:rPr>
        <w:t>بلاغ</w:t>
      </w:r>
      <w:r w:rsidRPr="00564B9D">
        <w:rPr>
          <w:rtl/>
        </w:rPr>
        <w:t xml:space="preserve"> حكومة المملكة المتحدة بذلك على الفور، موضحاً الأسباب التي دفعته للقيام بهذا العمل. وتنتخب الجمعية التشريعية كل سنة ثلاثة أعضاء منها لمناصب في المجلس التنفيذي، علماً بأنه يُسمح </w:t>
      </w:r>
      <w:r w:rsidRPr="00564B9D">
        <w:rPr>
          <w:rFonts w:hint="cs"/>
          <w:rtl/>
        </w:rPr>
        <w:t>ب</w:t>
      </w:r>
      <w:r w:rsidRPr="00564B9D">
        <w:rPr>
          <w:rtl/>
        </w:rPr>
        <w:t>إعادة انتخاب</w:t>
      </w:r>
      <w:r w:rsidRPr="00564B9D">
        <w:rPr>
          <w:rFonts w:hint="cs"/>
          <w:rtl/>
        </w:rPr>
        <w:t xml:space="preserve"> أعضاء</w:t>
      </w:r>
      <w:r w:rsidRPr="00564B9D">
        <w:rPr>
          <w:rtl/>
        </w:rPr>
        <w:t xml:space="preserve"> الجمعية التشريعية</w:t>
      </w:r>
      <w:r w:rsidRPr="00564B9D">
        <w:rPr>
          <w:rFonts w:hint="cs"/>
          <w:rtl/>
        </w:rPr>
        <w:t xml:space="preserve"> كلما رغبوا في ذلك</w:t>
      </w:r>
      <w:r w:rsidRPr="00564B9D">
        <w:rPr>
          <w:rtl/>
        </w:rPr>
        <w:t>. ويمكن استبعاد أعضاء الجمعية التشريعية من المجلس التنفيذي بموجب قرار يصدر في الجمعية التشريعية. والمجلس التنفيذي ال</w:t>
      </w:r>
      <w:r w:rsidRPr="00564B9D">
        <w:rPr>
          <w:rFonts w:hint="cs"/>
          <w:rtl/>
        </w:rPr>
        <w:t>ذ</w:t>
      </w:r>
      <w:r w:rsidRPr="00564B9D">
        <w:rPr>
          <w:rtl/>
        </w:rPr>
        <w:t xml:space="preserve">ي </w:t>
      </w:r>
      <w:r w:rsidRPr="00564B9D">
        <w:rPr>
          <w:rFonts w:hint="cs"/>
          <w:rtl/>
        </w:rPr>
        <w:t>ي</w:t>
      </w:r>
      <w:r w:rsidRPr="00564B9D">
        <w:rPr>
          <w:rtl/>
        </w:rPr>
        <w:t>جتمع شهرياً أو أكثر إذا لزم الأمر هو الذي يعد</w:t>
      </w:r>
      <w:r w:rsidRPr="00564B9D">
        <w:rPr>
          <w:rFonts w:hint="cs"/>
          <w:rtl/>
        </w:rPr>
        <w:t>ّ</w:t>
      </w:r>
      <w:r w:rsidRPr="00564B9D">
        <w:rPr>
          <w:rtl/>
        </w:rPr>
        <w:t xml:space="preserve"> السياسات والاستراتيجيات </w:t>
      </w:r>
      <w:r w:rsidRPr="00564B9D">
        <w:rPr>
          <w:rFonts w:hint="cs"/>
          <w:rtl/>
        </w:rPr>
        <w:t>إلى جانب</w:t>
      </w:r>
      <w:r w:rsidRPr="00564B9D">
        <w:rPr>
          <w:rtl/>
        </w:rPr>
        <w:t xml:space="preserve"> قرارات الإدارة العليا. وي</w:t>
      </w:r>
      <w:r w:rsidRPr="00564B9D">
        <w:rPr>
          <w:rFonts w:hint="cs"/>
          <w:rtl/>
        </w:rPr>
        <w:t>تم انتخاب</w:t>
      </w:r>
      <w:r w:rsidRPr="00564B9D">
        <w:rPr>
          <w:rtl/>
        </w:rPr>
        <w:t xml:space="preserve"> جميع أعضاء الجمعية التشريعية بوصفهم مستقلين لعدم وجود أحزاب سياسية وبالتالي عدم وجود معارضة. ويتحمل كل عضو من أعضاء الجمعية التشريعية مسؤولية الاضطلاع بمهام معينة ويعمل بشكل وثيق مع الإدارات المسؤولة عنها.</w:t>
      </w:r>
    </w:p>
    <w:p w14:paraId="091E36AA"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p>
    <w:p w14:paraId="6723DECA" w14:textId="77777777" w:rsidR="00494AE4" w:rsidRPr="00564B9D" w:rsidRDefault="00494AE4" w:rsidP="00494AE4">
      <w:pPr>
        <w:pStyle w:val="SingleTxtGA"/>
        <w:rPr>
          <w:spacing w:val="-2"/>
          <w:rtl/>
        </w:rPr>
      </w:pPr>
      <w:r w:rsidRPr="00564B9D">
        <w:rPr>
          <w:rFonts w:hint="cs"/>
          <w:rtl/>
        </w:rPr>
        <w:t>90</w:t>
      </w:r>
      <w:r w:rsidRPr="00564B9D">
        <w:rPr>
          <w:rtl/>
        </w:rPr>
        <w:t>-</w:t>
      </w:r>
      <w:r w:rsidRPr="00564B9D">
        <w:rPr>
          <w:rtl/>
        </w:rPr>
        <w:tab/>
      </w:r>
      <w:r w:rsidRPr="00564B9D">
        <w:rPr>
          <w:spacing w:val="-2"/>
          <w:rtl/>
        </w:rPr>
        <w:t xml:space="preserve">يتألف الجهاز القضائي من محكمة القضاء المستعجل والمحكمة الجزئية </w:t>
      </w:r>
      <w:r w:rsidRPr="00564B9D">
        <w:rPr>
          <w:rFonts w:hint="cs"/>
          <w:spacing w:val="-2"/>
          <w:rtl/>
        </w:rPr>
        <w:t>و</w:t>
      </w:r>
      <w:r w:rsidRPr="00564B9D">
        <w:rPr>
          <w:spacing w:val="-2"/>
          <w:rtl/>
        </w:rPr>
        <w:t>محكمة التمييز لجز</w:t>
      </w:r>
      <w:r w:rsidRPr="00564B9D">
        <w:rPr>
          <w:rFonts w:hint="cs"/>
          <w:spacing w:val="-2"/>
          <w:rtl/>
        </w:rPr>
        <w:t>ر</w:t>
      </w:r>
      <w:r w:rsidRPr="00564B9D">
        <w:rPr>
          <w:spacing w:val="-2"/>
          <w:rtl/>
        </w:rPr>
        <w:t xml:space="preserve"> فوكلاند</w:t>
      </w:r>
      <w:r w:rsidRPr="00564B9D">
        <w:rPr>
          <w:rFonts w:hint="cs"/>
          <w:spacing w:val="-2"/>
          <w:rtl/>
        </w:rPr>
        <w:t xml:space="preserve"> </w:t>
      </w:r>
      <w:r w:rsidRPr="00564B9D">
        <w:rPr>
          <w:spacing w:val="-2"/>
          <w:rtl/>
        </w:rPr>
        <w:t>ومحكمة الاستئناف</w:t>
      </w:r>
      <w:r w:rsidRPr="00564B9D">
        <w:rPr>
          <w:rFonts w:hint="cs"/>
          <w:spacing w:val="-2"/>
          <w:rtl/>
        </w:rPr>
        <w:t xml:space="preserve"> لجزر فوكلاند</w:t>
      </w:r>
      <w:r w:rsidRPr="00564B9D">
        <w:rPr>
          <w:spacing w:val="-2"/>
          <w:rtl/>
        </w:rPr>
        <w:t>. وتحال دعاوي الاستئناف من محكمة الاستئناف إلى اللجنة القضائية ل</w:t>
      </w:r>
      <w:r w:rsidRPr="00564B9D">
        <w:rPr>
          <w:rFonts w:hint="cs"/>
          <w:spacing w:val="-2"/>
          <w:rtl/>
        </w:rPr>
        <w:t>ل</w:t>
      </w:r>
      <w:r w:rsidRPr="00564B9D">
        <w:rPr>
          <w:spacing w:val="-2"/>
          <w:rtl/>
        </w:rPr>
        <w:t>مجلس الملك</w:t>
      </w:r>
      <w:r w:rsidRPr="00564B9D">
        <w:rPr>
          <w:rFonts w:hint="cs"/>
          <w:spacing w:val="-2"/>
          <w:rtl/>
        </w:rPr>
        <w:t>ي</w:t>
      </w:r>
      <w:r w:rsidRPr="00564B9D">
        <w:rPr>
          <w:spacing w:val="-2"/>
          <w:rtl/>
        </w:rPr>
        <w:t xml:space="preserve"> الخاص في المملكة المتحدة. </w:t>
      </w:r>
      <w:r w:rsidRPr="00564B9D">
        <w:rPr>
          <w:rFonts w:hint="cs"/>
          <w:spacing w:val="-2"/>
          <w:rtl/>
        </w:rPr>
        <w:t xml:space="preserve">ويشبه </w:t>
      </w:r>
      <w:r w:rsidRPr="00564B9D">
        <w:rPr>
          <w:spacing w:val="-2"/>
          <w:rtl/>
        </w:rPr>
        <w:t xml:space="preserve">نظام المحاكم </w:t>
      </w:r>
      <w:r w:rsidRPr="00564B9D">
        <w:rPr>
          <w:rFonts w:hint="cs"/>
          <w:spacing w:val="-2"/>
          <w:rtl/>
        </w:rPr>
        <w:t>ا</w:t>
      </w:r>
      <w:r w:rsidRPr="00564B9D">
        <w:rPr>
          <w:spacing w:val="-2"/>
          <w:rtl/>
        </w:rPr>
        <w:t>لنظام الخاص بإنكلترا وويلز وي</w:t>
      </w:r>
      <w:r w:rsidRPr="00564B9D">
        <w:rPr>
          <w:rFonts w:hint="cs"/>
          <w:spacing w:val="-2"/>
          <w:rtl/>
        </w:rPr>
        <w:t>رد</w:t>
      </w:r>
      <w:r w:rsidRPr="00564B9D">
        <w:rPr>
          <w:spacing w:val="-2"/>
          <w:rtl/>
        </w:rPr>
        <w:t xml:space="preserve"> في الفصل الثامن من</w:t>
      </w:r>
      <w:r w:rsidRPr="00564B9D">
        <w:rPr>
          <w:rFonts w:hint="cs"/>
          <w:spacing w:val="-2"/>
          <w:rtl/>
        </w:rPr>
        <w:t xml:space="preserve"> </w:t>
      </w:r>
      <w:r w:rsidRPr="00564B9D">
        <w:rPr>
          <w:spacing w:val="-2"/>
          <w:rtl/>
        </w:rPr>
        <w:t xml:space="preserve">جدول </w:t>
      </w:r>
      <w:r w:rsidRPr="00564B9D">
        <w:rPr>
          <w:rFonts w:hint="cs"/>
          <w:spacing w:val="-2"/>
          <w:rtl/>
        </w:rPr>
        <w:t>القانون</w:t>
      </w:r>
      <w:r w:rsidRPr="00564B9D">
        <w:rPr>
          <w:spacing w:val="-2"/>
          <w:rtl/>
        </w:rPr>
        <w:t xml:space="preserve"> </w:t>
      </w:r>
      <w:r w:rsidRPr="00564B9D">
        <w:rPr>
          <w:rFonts w:hint="cs"/>
          <w:spacing w:val="-2"/>
          <w:rtl/>
        </w:rPr>
        <w:t>ال</w:t>
      </w:r>
      <w:r w:rsidRPr="00564B9D">
        <w:rPr>
          <w:spacing w:val="-2"/>
          <w:rtl/>
        </w:rPr>
        <w:t>دستور</w:t>
      </w:r>
      <w:r w:rsidRPr="00564B9D">
        <w:rPr>
          <w:rFonts w:hint="cs"/>
          <w:spacing w:val="-2"/>
          <w:rtl/>
        </w:rPr>
        <w:t>ي</w:t>
      </w:r>
      <w:r w:rsidRPr="00564B9D">
        <w:rPr>
          <w:spacing w:val="-2"/>
          <w:rtl/>
        </w:rPr>
        <w:t xml:space="preserve"> </w:t>
      </w:r>
      <w:r w:rsidRPr="00564B9D">
        <w:rPr>
          <w:rFonts w:hint="cs"/>
          <w:spacing w:val="-2"/>
          <w:rtl/>
        </w:rPr>
        <w:t>ل</w:t>
      </w:r>
      <w:r w:rsidRPr="00564B9D">
        <w:rPr>
          <w:spacing w:val="-2"/>
          <w:rtl/>
        </w:rPr>
        <w:t>جزر فوكلاند لعام 2008. و</w:t>
      </w:r>
      <w:r w:rsidRPr="00564B9D">
        <w:rPr>
          <w:rFonts w:hint="cs"/>
          <w:spacing w:val="-2"/>
          <w:rtl/>
        </w:rPr>
        <w:t xml:space="preserve">تختص </w:t>
      </w:r>
      <w:r w:rsidRPr="00564B9D">
        <w:rPr>
          <w:spacing w:val="-2"/>
          <w:rtl/>
        </w:rPr>
        <w:t xml:space="preserve">محكمة التمييز </w:t>
      </w:r>
      <w:r w:rsidRPr="00564B9D">
        <w:rPr>
          <w:rFonts w:hint="cs"/>
          <w:spacing w:val="-2"/>
          <w:rtl/>
        </w:rPr>
        <w:t>بالنظر والفصل في</w:t>
      </w:r>
      <w:r w:rsidRPr="00564B9D">
        <w:rPr>
          <w:spacing w:val="-2"/>
          <w:rtl/>
        </w:rPr>
        <w:t xml:space="preserve"> أي مس</w:t>
      </w:r>
      <w:r w:rsidRPr="00564B9D">
        <w:rPr>
          <w:rFonts w:hint="cs"/>
          <w:spacing w:val="-2"/>
          <w:rtl/>
        </w:rPr>
        <w:t>ألة</w:t>
      </w:r>
      <w:r w:rsidRPr="00564B9D">
        <w:rPr>
          <w:spacing w:val="-2"/>
          <w:rtl/>
        </w:rPr>
        <w:t xml:space="preserve"> مدنية أو جنائية، ويرأسها </w:t>
      </w:r>
      <w:r w:rsidRPr="00564B9D">
        <w:rPr>
          <w:rFonts w:hint="cs"/>
          <w:spacing w:val="-2"/>
          <w:rtl/>
        </w:rPr>
        <w:t>رئيس</w:t>
      </w:r>
      <w:r w:rsidRPr="00564B9D">
        <w:rPr>
          <w:spacing w:val="-2"/>
          <w:rtl/>
        </w:rPr>
        <w:t xml:space="preserve"> القضاة الذي لا يقيم في جزر فوكلاند لكنه يحضر كلما </w:t>
      </w:r>
      <w:r w:rsidRPr="00564B9D">
        <w:rPr>
          <w:rFonts w:hint="cs"/>
          <w:spacing w:val="-2"/>
          <w:rtl/>
        </w:rPr>
        <w:t>دعت</w:t>
      </w:r>
      <w:r w:rsidRPr="00564B9D">
        <w:rPr>
          <w:spacing w:val="-2"/>
          <w:rtl/>
        </w:rPr>
        <w:t xml:space="preserve"> الضرورة لذلك. ويكون </w:t>
      </w:r>
      <w:r w:rsidRPr="00564B9D">
        <w:rPr>
          <w:rFonts w:hint="cs"/>
          <w:spacing w:val="-2"/>
          <w:rtl/>
        </w:rPr>
        <w:t>رئيس</w:t>
      </w:r>
      <w:r w:rsidRPr="00564B9D">
        <w:rPr>
          <w:spacing w:val="-2"/>
          <w:rtl/>
        </w:rPr>
        <w:t xml:space="preserve"> القضاة في العادة قاضياً لدى المحكمة العليا في إنكلترا وويلز، ولمحكمة الاستئناف عادة قضاة استئناف ينتمون إلى محكمة استئناف إنكلترا وويلز. وت</w:t>
      </w:r>
      <w:r w:rsidRPr="00564B9D">
        <w:rPr>
          <w:rFonts w:hint="cs"/>
          <w:spacing w:val="-2"/>
          <w:rtl/>
        </w:rPr>
        <w:t>نعقد</w:t>
      </w:r>
      <w:r w:rsidRPr="00564B9D">
        <w:rPr>
          <w:spacing w:val="-2"/>
          <w:rtl/>
        </w:rPr>
        <w:t xml:space="preserve"> محكمة الاستئناف في لندن حسب الحاجة </w:t>
      </w:r>
      <w:r w:rsidRPr="00564B9D">
        <w:rPr>
          <w:rFonts w:hint="cs"/>
          <w:spacing w:val="-2"/>
          <w:rtl/>
        </w:rPr>
        <w:t xml:space="preserve">وعندما تدعو الضرورة </w:t>
      </w:r>
      <w:r w:rsidRPr="00564B9D">
        <w:rPr>
          <w:spacing w:val="-2"/>
          <w:rtl/>
        </w:rPr>
        <w:t>(</w:t>
      </w:r>
      <w:r w:rsidRPr="00564B9D">
        <w:rPr>
          <w:rFonts w:hint="cs"/>
          <w:spacing w:val="-2"/>
          <w:rtl/>
        </w:rPr>
        <w:t>مع</w:t>
      </w:r>
      <w:r w:rsidRPr="00564B9D">
        <w:rPr>
          <w:spacing w:val="-2"/>
          <w:rtl/>
        </w:rPr>
        <w:t xml:space="preserve"> أن</w:t>
      </w:r>
      <w:r w:rsidRPr="00564B9D">
        <w:rPr>
          <w:rFonts w:hint="cs"/>
          <w:spacing w:val="-2"/>
          <w:rtl/>
        </w:rPr>
        <w:t xml:space="preserve"> هذه المحكمة</w:t>
      </w:r>
      <w:r w:rsidRPr="00564B9D">
        <w:rPr>
          <w:spacing w:val="-2"/>
          <w:rtl/>
        </w:rPr>
        <w:t xml:space="preserve"> لم </w:t>
      </w:r>
      <w:r w:rsidRPr="00564B9D">
        <w:rPr>
          <w:rFonts w:hint="cs"/>
          <w:spacing w:val="-2"/>
          <w:rtl/>
        </w:rPr>
        <w:t>تنظر</w:t>
      </w:r>
      <w:r w:rsidRPr="00564B9D">
        <w:rPr>
          <w:spacing w:val="-2"/>
          <w:rtl/>
        </w:rPr>
        <w:t xml:space="preserve"> </w:t>
      </w:r>
      <w:r w:rsidRPr="00564B9D">
        <w:rPr>
          <w:rFonts w:hint="cs"/>
          <w:spacing w:val="-2"/>
          <w:rtl/>
        </w:rPr>
        <w:t xml:space="preserve">في </w:t>
      </w:r>
      <w:r w:rsidRPr="00564B9D">
        <w:rPr>
          <w:spacing w:val="-2"/>
          <w:rtl/>
        </w:rPr>
        <w:t>أية قض</w:t>
      </w:r>
      <w:r w:rsidRPr="00564B9D">
        <w:rPr>
          <w:rFonts w:hint="cs"/>
          <w:spacing w:val="-2"/>
          <w:rtl/>
        </w:rPr>
        <w:t>ية</w:t>
      </w:r>
      <w:r w:rsidRPr="00564B9D">
        <w:rPr>
          <w:spacing w:val="-2"/>
          <w:rtl/>
        </w:rPr>
        <w:t xml:space="preserve"> لسنوات عدة). ويرأس المحكمة الجزئية كبير قضاة </w:t>
      </w:r>
      <w:r w:rsidRPr="00564B9D">
        <w:rPr>
          <w:rFonts w:hint="cs"/>
          <w:spacing w:val="-2"/>
          <w:rtl/>
        </w:rPr>
        <w:t xml:space="preserve">المحكمة </w:t>
      </w:r>
      <w:r w:rsidRPr="00564B9D">
        <w:rPr>
          <w:spacing w:val="-2"/>
          <w:rtl/>
        </w:rPr>
        <w:t>الجزئي</w:t>
      </w:r>
      <w:r w:rsidRPr="00564B9D">
        <w:rPr>
          <w:rFonts w:hint="cs"/>
          <w:spacing w:val="-2"/>
          <w:rtl/>
        </w:rPr>
        <w:t>ة</w:t>
      </w:r>
      <w:r w:rsidRPr="00564B9D">
        <w:rPr>
          <w:spacing w:val="-2"/>
          <w:rtl/>
        </w:rPr>
        <w:t xml:space="preserve"> المقيم الذي يعينه الحاكم، ويكون </w:t>
      </w:r>
      <w:r w:rsidRPr="00564B9D">
        <w:rPr>
          <w:rFonts w:hint="cs"/>
          <w:spacing w:val="-2"/>
          <w:rtl/>
        </w:rPr>
        <w:t>دائماً</w:t>
      </w:r>
      <w:r w:rsidRPr="00564B9D">
        <w:rPr>
          <w:spacing w:val="-2"/>
          <w:rtl/>
        </w:rPr>
        <w:t xml:space="preserve"> محا</w:t>
      </w:r>
      <w:r w:rsidRPr="00564B9D">
        <w:rPr>
          <w:rFonts w:hint="cs"/>
          <w:spacing w:val="-2"/>
          <w:rtl/>
        </w:rPr>
        <w:t>مياً</w:t>
      </w:r>
      <w:r w:rsidRPr="00564B9D">
        <w:rPr>
          <w:spacing w:val="-2"/>
          <w:rtl/>
        </w:rPr>
        <w:t xml:space="preserve"> مرافعا</w:t>
      </w:r>
      <w:r w:rsidRPr="00564B9D">
        <w:rPr>
          <w:rFonts w:hint="cs"/>
          <w:spacing w:val="-2"/>
          <w:rtl/>
        </w:rPr>
        <w:t>ً</w:t>
      </w:r>
      <w:r w:rsidRPr="00564B9D">
        <w:rPr>
          <w:spacing w:val="-2"/>
          <w:rtl/>
        </w:rPr>
        <w:t xml:space="preserve"> لديه خبرة لا تقل عن عشر سنوات وغالباً ما يكون قاضياً با</w:t>
      </w:r>
      <w:r w:rsidRPr="00564B9D">
        <w:rPr>
          <w:rFonts w:hint="cs"/>
          <w:spacing w:val="-2"/>
          <w:rtl/>
        </w:rPr>
        <w:t>لنيابة</w:t>
      </w:r>
      <w:r w:rsidRPr="00564B9D">
        <w:rPr>
          <w:spacing w:val="-2"/>
          <w:rtl/>
        </w:rPr>
        <w:t xml:space="preserve"> </w:t>
      </w:r>
      <w:r w:rsidRPr="00564B9D">
        <w:rPr>
          <w:rFonts w:hint="cs"/>
          <w:spacing w:val="-2"/>
          <w:rtl/>
        </w:rPr>
        <w:t>استناداً إلى</w:t>
      </w:r>
      <w:r w:rsidRPr="00564B9D">
        <w:rPr>
          <w:spacing w:val="-2"/>
          <w:rtl/>
        </w:rPr>
        <w:t xml:space="preserve"> الولاية القضائية لإنكلترا وويلز.</w:t>
      </w:r>
      <w:r w:rsidRPr="00564B9D">
        <w:rPr>
          <w:rFonts w:hint="cs"/>
          <w:spacing w:val="-2"/>
          <w:rtl/>
        </w:rPr>
        <w:t xml:space="preserve"> </w:t>
      </w:r>
      <w:r w:rsidRPr="00564B9D">
        <w:rPr>
          <w:spacing w:val="-2"/>
          <w:rtl/>
        </w:rPr>
        <w:t xml:space="preserve">وتتألف محكمة القضاء المستعجل من فريق من قضاة الصلح </w:t>
      </w:r>
      <w:r w:rsidRPr="00564B9D">
        <w:rPr>
          <w:rFonts w:hint="cs"/>
          <w:spacing w:val="-2"/>
          <w:rtl/>
        </w:rPr>
        <w:t>غير الحاصلين على</w:t>
      </w:r>
      <w:r w:rsidRPr="00564B9D">
        <w:rPr>
          <w:spacing w:val="-2"/>
          <w:rtl/>
        </w:rPr>
        <w:t xml:space="preserve"> مؤهلات قانونية لكن</w:t>
      </w:r>
      <w:r w:rsidRPr="00564B9D">
        <w:rPr>
          <w:rFonts w:hint="cs"/>
          <w:spacing w:val="-2"/>
          <w:rtl/>
        </w:rPr>
        <w:t xml:space="preserve"> يُشهد لهم بأنهم</w:t>
      </w:r>
      <w:r w:rsidRPr="00564B9D">
        <w:rPr>
          <w:spacing w:val="-2"/>
          <w:rtl/>
        </w:rPr>
        <w:t xml:space="preserve"> "أعضاء صالحين في المجتمع". وت</w:t>
      </w:r>
      <w:r w:rsidRPr="00564B9D">
        <w:rPr>
          <w:rFonts w:hint="cs"/>
          <w:spacing w:val="-2"/>
          <w:rtl/>
        </w:rPr>
        <w:t>نظر</w:t>
      </w:r>
      <w:r w:rsidRPr="00564B9D">
        <w:rPr>
          <w:spacing w:val="-2"/>
          <w:rtl/>
        </w:rPr>
        <w:t xml:space="preserve"> محكمة القضاء المستعجل </w:t>
      </w:r>
      <w:r w:rsidRPr="00564B9D">
        <w:rPr>
          <w:rFonts w:hint="cs"/>
          <w:spacing w:val="-2"/>
          <w:rtl/>
        </w:rPr>
        <w:t>في</w:t>
      </w:r>
      <w:r w:rsidRPr="00564B9D">
        <w:rPr>
          <w:spacing w:val="-2"/>
          <w:rtl/>
        </w:rPr>
        <w:t xml:space="preserve"> أبسط القضايا الجنائية (أو تعقد جلساتها حين لا يكون كبير قضاة </w:t>
      </w:r>
      <w:r w:rsidRPr="00564B9D">
        <w:rPr>
          <w:rFonts w:hint="cs"/>
          <w:spacing w:val="-2"/>
          <w:rtl/>
        </w:rPr>
        <w:t xml:space="preserve">المحكمة </w:t>
      </w:r>
      <w:r w:rsidRPr="00564B9D">
        <w:rPr>
          <w:spacing w:val="-2"/>
          <w:rtl/>
        </w:rPr>
        <w:t>الجزئي</w:t>
      </w:r>
      <w:r w:rsidRPr="00564B9D">
        <w:rPr>
          <w:rFonts w:hint="cs"/>
          <w:spacing w:val="-2"/>
          <w:rtl/>
        </w:rPr>
        <w:t>ة</w:t>
      </w:r>
      <w:r w:rsidRPr="00564B9D">
        <w:rPr>
          <w:spacing w:val="-2"/>
          <w:rtl/>
        </w:rPr>
        <w:t xml:space="preserve"> موجوداً في جزر فوكلاند) كما يمكن لقضاة الصلح العمل كقضاة ل</w:t>
      </w:r>
      <w:r w:rsidRPr="00564B9D">
        <w:rPr>
          <w:rFonts w:hint="cs"/>
          <w:spacing w:val="-2"/>
          <w:rtl/>
        </w:rPr>
        <w:t>منح</w:t>
      </w:r>
      <w:r w:rsidRPr="00564B9D">
        <w:rPr>
          <w:spacing w:val="-2"/>
          <w:rtl/>
        </w:rPr>
        <w:t xml:space="preserve"> التراخيص فيما يتعلق بترخيص المشروبات الروحية.</w:t>
      </w:r>
    </w:p>
    <w:p w14:paraId="6626CCB6" w14:textId="77777777" w:rsidR="00494AE4" w:rsidRPr="00564B9D" w:rsidRDefault="00494AE4" w:rsidP="00494AE4">
      <w:pPr>
        <w:pStyle w:val="HChGA"/>
        <w:rPr>
          <w:rtl/>
        </w:rPr>
      </w:pPr>
      <w:r w:rsidRPr="00564B9D">
        <w:rPr>
          <w:rtl/>
        </w:rPr>
        <w:tab/>
      </w:r>
      <w:bookmarkStart w:id="178" w:name="_Toc123044147"/>
      <w:bookmarkStart w:id="179" w:name="_Toc123044370"/>
      <w:bookmarkStart w:id="180" w:name="_Toc123044631"/>
      <w:bookmarkStart w:id="181" w:name="_Toc123044893"/>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178"/>
      <w:bookmarkEnd w:id="179"/>
      <w:bookmarkEnd w:id="180"/>
      <w:bookmarkEnd w:id="181"/>
    </w:p>
    <w:p w14:paraId="79886071" w14:textId="77777777" w:rsidR="00494AE4" w:rsidRPr="00564B9D" w:rsidRDefault="00494AE4" w:rsidP="00494AE4">
      <w:pPr>
        <w:pStyle w:val="H1GA"/>
        <w:rPr>
          <w:rtl/>
        </w:rPr>
      </w:pPr>
      <w:r w:rsidRPr="00564B9D">
        <w:rPr>
          <w:rtl/>
        </w:rPr>
        <w:tab/>
      </w:r>
      <w:bookmarkStart w:id="182" w:name="_Toc123044148"/>
      <w:bookmarkStart w:id="183" w:name="_Toc123044371"/>
      <w:bookmarkStart w:id="184" w:name="_Toc123044632"/>
      <w:bookmarkStart w:id="185" w:name="_Toc123044894"/>
      <w:r w:rsidRPr="00564B9D">
        <w:rPr>
          <w:rtl/>
        </w:rPr>
        <w:t>ألف-</w:t>
      </w:r>
      <w:r w:rsidRPr="00564B9D">
        <w:rPr>
          <w:rtl/>
        </w:rPr>
        <w:tab/>
      </w:r>
      <w:r w:rsidRPr="00564B9D">
        <w:rPr>
          <w:rFonts w:hint="cs"/>
          <w:rtl/>
        </w:rPr>
        <w:t>قبول معايير حقوق الإنسان الدولية</w:t>
      </w:r>
      <w:bookmarkEnd w:id="182"/>
      <w:bookmarkEnd w:id="183"/>
      <w:bookmarkEnd w:id="184"/>
      <w:bookmarkEnd w:id="185"/>
    </w:p>
    <w:p w14:paraId="7FE8D8B1" w14:textId="77777777" w:rsidR="00494AE4" w:rsidRPr="00564B9D" w:rsidRDefault="00494AE4" w:rsidP="00494AE4">
      <w:pPr>
        <w:pStyle w:val="SingleTxtGA"/>
        <w:rPr>
          <w:rtl/>
        </w:rPr>
      </w:pPr>
      <w:r w:rsidRPr="00564B9D">
        <w:rPr>
          <w:rFonts w:hint="cs"/>
          <w:rtl/>
        </w:rPr>
        <w:t>91</w:t>
      </w:r>
      <w:r w:rsidRPr="00564B9D">
        <w:rPr>
          <w:rtl/>
        </w:rPr>
        <w:t>-</w:t>
      </w:r>
      <w:r w:rsidRPr="00564B9D">
        <w:rPr>
          <w:rtl/>
        </w:rPr>
        <w:tab/>
      </w:r>
      <w:r w:rsidRPr="00564B9D">
        <w:rPr>
          <w:rFonts w:hint="cs"/>
          <w:rtl/>
        </w:rPr>
        <w:t>تم توسيع نطاق الصكوك الدولية الرئيسية التالية لتشمل جزر فوكلاند.</w:t>
      </w:r>
    </w:p>
    <w:p w14:paraId="22CDF211"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51CC4214"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 xml:space="preserve">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w:t>
      </w:r>
      <w:r w:rsidRPr="00564B9D">
        <w:rPr>
          <w:rtl/>
        </w:rPr>
        <w:t>اتفاقية القضاء على جميع أشكال ال</w:t>
      </w:r>
      <w:r w:rsidRPr="00564B9D">
        <w:rPr>
          <w:rFonts w:hint="cs"/>
          <w:rtl/>
        </w:rPr>
        <w:t>تمييز</w:t>
      </w:r>
      <w:r w:rsidRPr="00564B9D">
        <w:rPr>
          <w:rtl/>
        </w:rPr>
        <w:t xml:space="preserve"> ضد المرأة؛</w:t>
      </w:r>
      <w:r w:rsidRPr="00564B9D">
        <w:rPr>
          <w:rFonts w:hint="cs"/>
          <w:rtl/>
        </w:rPr>
        <w:t xml:space="preserve"> </w:t>
      </w:r>
      <w:r w:rsidRPr="00564B9D">
        <w:rPr>
          <w:rtl/>
        </w:rPr>
        <w:t>البروتوكول الاختياري الملحق باتفاقية القضاء على جميع أشكال ال</w:t>
      </w:r>
      <w:r w:rsidRPr="00564B9D">
        <w:rPr>
          <w:rFonts w:hint="cs"/>
          <w:rtl/>
        </w:rPr>
        <w:t>تمييز</w:t>
      </w:r>
      <w:r w:rsidRPr="00564B9D">
        <w:rPr>
          <w:rtl/>
        </w:rPr>
        <w:t xml:space="preserve"> ضد المرأة؛ </w:t>
      </w:r>
      <w:r w:rsidRPr="00564B9D">
        <w:rPr>
          <w:rFonts w:hint="cs"/>
          <w:rtl/>
        </w:rPr>
        <w:t>اتفاقية مناهضة التعذيب</w:t>
      </w:r>
      <w:r w:rsidRPr="00564B9D">
        <w:rPr>
          <w:rFonts w:hint="eastAsia"/>
          <w:rtl/>
        </w:rPr>
        <w:t xml:space="preserve"> </w:t>
      </w:r>
      <w:r w:rsidRPr="00564B9D">
        <w:rPr>
          <w:rFonts w:hint="cs"/>
          <w:rtl/>
        </w:rPr>
        <w:t>وغيره من ضروب المعاملة أو العقوبة القاسية أو اللاإنسانية أو المهينة؛ اتفاقية حقوق الطفل.</w:t>
      </w:r>
    </w:p>
    <w:p w14:paraId="240FD32E"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اتفاقيات حقوق الإنسان الأخرى وذات الصلة التابعة للأمم المتحدة</w:t>
      </w:r>
    </w:p>
    <w:p w14:paraId="0E25645B"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xml:space="preserve"> الاتفاقية المتعلقة بوضع اللاجئين (وبروتوكولها لعام 1967)؛ الاتفاقية المتعلقة بوضع الأشخاص العديمي الجنسية</w:t>
      </w:r>
      <w:r w:rsidRPr="00564B9D">
        <w:rPr>
          <w:rtl/>
        </w:rPr>
        <w:t xml:space="preserve">؛ </w:t>
      </w:r>
      <w:r w:rsidRPr="00564B9D">
        <w:rPr>
          <w:rFonts w:hint="cs"/>
          <w:rtl/>
        </w:rPr>
        <w:t>الاتفاقية بشأن خفض حالات انعدام الجنسية؛ نظام روما الأساسي للمحكمة الجنائية الدولية؛ اتفاقية الأمم المتحدة لمكافحة الجريمة المنظمة عبر الوطنية.</w:t>
      </w:r>
    </w:p>
    <w:p w14:paraId="4B87A5F7"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العمل الدولية</w:t>
      </w:r>
    </w:p>
    <w:p w14:paraId="2DF6C355"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C029</w:t>
      </w:r>
      <w:r w:rsidRPr="00564B9D">
        <w:rPr>
          <w:rFonts w:hint="cs"/>
          <w:rtl/>
        </w:rPr>
        <w:t xml:space="preserve"> - اتفاقية العمل الجبري؛ </w:t>
      </w: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C098</w:t>
      </w:r>
      <w:r w:rsidRPr="00564B9D">
        <w:rPr>
          <w:rFonts w:hint="cs"/>
          <w:rtl/>
        </w:rPr>
        <w:t xml:space="preserve"> - الاتفاقية الخاصة بحق التنظيم والمفاوضة الجماعية؛ </w:t>
      </w:r>
      <w:r w:rsidRPr="00564B9D">
        <w:t>C100</w:t>
      </w:r>
      <w:r w:rsidRPr="00564B9D">
        <w:rPr>
          <w:rFonts w:hint="cs"/>
          <w:rtl/>
        </w:rPr>
        <w:t xml:space="preserve"> - اتفاقية المساواة في الأجر؛ </w:t>
      </w:r>
      <w:r w:rsidRPr="00564B9D">
        <w:t>C102</w:t>
      </w:r>
      <w:r w:rsidRPr="00564B9D">
        <w:rPr>
          <w:rFonts w:hint="cs"/>
          <w:rtl/>
        </w:rPr>
        <w:t xml:space="preserve"> - اتفاقية الضمان الاجتماعي (المعايير الدنيا)؛ </w:t>
      </w:r>
      <w:r w:rsidRPr="00564B9D">
        <w:t>C105</w:t>
      </w:r>
      <w:r w:rsidRPr="00564B9D">
        <w:rPr>
          <w:rFonts w:hint="cs"/>
          <w:rtl/>
        </w:rPr>
        <w:t xml:space="preserve"> - اتفاقية إلغاء العمل الجبري؛ </w:t>
      </w:r>
      <w:r w:rsidRPr="00564B9D">
        <w:t>C111</w:t>
      </w:r>
      <w:r w:rsidRPr="00564B9D">
        <w:rPr>
          <w:rFonts w:hint="cs"/>
          <w:rtl/>
        </w:rPr>
        <w:t xml:space="preserve"> - الاتفاقية بشأن التمييز (في الاستخدام والمهنة)؛ </w:t>
      </w:r>
      <w:r w:rsidRPr="00564B9D">
        <w:t>C138</w:t>
      </w:r>
      <w:r w:rsidRPr="00564B9D">
        <w:rPr>
          <w:rFonts w:hint="cs"/>
          <w:rtl/>
        </w:rPr>
        <w:t xml:space="preserve"> - الاتفاقية بشأن الحد الأدنى لسن الاستخدام؛ </w:t>
      </w:r>
      <w:r w:rsidRPr="00564B9D">
        <w:t>C182</w:t>
      </w:r>
      <w:r w:rsidRPr="00564B9D">
        <w:rPr>
          <w:rFonts w:hint="cs"/>
          <w:rtl/>
        </w:rPr>
        <w:t xml:space="preserve"> - الاتفاقية بشأن حظر أسوأ أشكال عمل الأطفال.</w:t>
      </w:r>
    </w:p>
    <w:p w14:paraId="6EB05C1B"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الأمم المتحدة للتربية والعلوم والثقافة (اليونسكو)</w:t>
      </w:r>
    </w:p>
    <w:p w14:paraId="7ECA7BE7"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مكافحة التمييز في مجال التعليم.</w:t>
      </w:r>
    </w:p>
    <w:p w14:paraId="3900561D"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5CF4607D"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بشأن الجوانب المدنية لاختطاف الأطفال على الصعيد الدولي.</w:t>
      </w:r>
    </w:p>
    <w:p w14:paraId="26267FF7"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ومعاهدات أخرى بشأن القانون الإنساني الدولي</w:t>
      </w:r>
    </w:p>
    <w:p w14:paraId="2E07F76E"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02AC027E"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لحقوق الإنسان</w:t>
      </w:r>
    </w:p>
    <w:p w14:paraId="1BE852D9"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4FB0F7E1" w14:textId="77777777" w:rsidR="00494AE4" w:rsidRPr="00564B9D" w:rsidRDefault="00494AE4" w:rsidP="00494AE4">
      <w:pPr>
        <w:pStyle w:val="H1GA"/>
        <w:rPr>
          <w:rtl/>
        </w:rPr>
      </w:pPr>
      <w:r w:rsidRPr="00564B9D">
        <w:rPr>
          <w:rtl/>
        </w:rPr>
        <w:tab/>
      </w:r>
      <w:bookmarkStart w:id="186" w:name="_Toc123044149"/>
      <w:bookmarkStart w:id="187" w:name="_Toc123044372"/>
      <w:bookmarkStart w:id="188" w:name="_Toc123044633"/>
      <w:bookmarkStart w:id="189" w:name="_Toc123044895"/>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186"/>
      <w:bookmarkEnd w:id="187"/>
      <w:bookmarkEnd w:id="188"/>
      <w:bookmarkEnd w:id="189"/>
    </w:p>
    <w:p w14:paraId="532249E1" w14:textId="77777777" w:rsidR="00494AE4" w:rsidRPr="00564B9D" w:rsidRDefault="00494AE4" w:rsidP="00494AE4">
      <w:pPr>
        <w:pStyle w:val="SingleTxtGA"/>
        <w:rPr>
          <w:rtl/>
        </w:rPr>
      </w:pPr>
      <w:r w:rsidRPr="00564B9D">
        <w:rPr>
          <w:rFonts w:hint="cs"/>
          <w:rtl/>
        </w:rPr>
        <w:t>92</w:t>
      </w:r>
      <w:r w:rsidRPr="00564B9D">
        <w:rPr>
          <w:rtl/>
        </w:rPr>
        <w:t>-</w:t>
      </w:r>
      <w:r w:rsidRPr="00564B9D">
        <w:rPr>
          <w:rtl/>
        </w:rPr>
        <w:tab/>
        <w:t xml:space="preserve">وضعت التشريعات التالية موضع التنفيذ في جزر فوكلاند: </w:t>
      </w:r>
      <w:r w:rsidRPr="00564B9D">
        <w:rPr>
          <w:rFonts w:hint="cs"/>
          <w:rtl/>
        </w:rPr>
        <w:t>القانون</w:t>
      </w:r>
      <w:r w:rsidRPr="00564B9D">
        <w:rPr>
          <w:rtl/>
        </w:rPr>
        <w:t xml:space="preserve"> </w:t>
      </w:r>
      <w:r w:rsidRPr="00564B9D">
        <w:rPr>
          <w:rFonts w:hint="cs"/>
          <w:rtl/>
        </w:rPr>
        <w:t>ال</w:t>
      </w:r>
      <w:r w:rsidRPr="00564B9D">
        <w:rPr>
          <w:rtl/>
        </w:rPr>
        <w:t>دستور</w:t>
      </w:r>
      <w:r w:rsidRPr="00564B9D">
        <w:rPr>
          <w:rFonts w:hint="cs"/>
          <w:rtl/>
        </w:rPr>
        <w:t>ي</w:t>
      </w:r>
      <w:r w:rsidRPr="00564B9D">
        <w:rPr>
          <w:rtl/>
        </w:rPr>
        <w:t xml:space="preserve"> </w:t>
      </w:r>
      <w:r w:rsidRPr="00564B9D">
        <w:rPr>
          <w:rFonts w:hint="cs"/>
          <w:rtl/>
        </w:rPr>
        <w:t>ل</w:t>
      </w:r>
      <w:r w:rsidRPr="00564B9D">
        <w:rPr>
          <w:rtl/>
        </w:rPr>
        <w:t xml:space="preserve">جزر فوكلاند لعام 2008؛ </w:t>
      </w:r>
      <w:r w:rsidRPr="00564B9D">
        <w:rPr>
          <w:rFonts w:hint="cs"/>
          <w:rtl/>
        </w:rPr>
        <w:t>و</w:t>
      </w:r>
      <w:r w:rsidRPr="00564B9D">
        <w:rPr>
          <w:rtl/>
        </w:rPr>
        <w:t xml:space="preserve">قانون </w:t>
      </w:r>
      <w:r w:rsidRPr="00564B9D">
        <w:rPr>
          <w:rFonts w:hint="cs"/>
          <w:rtl/>
        </w:rPr>
        <w:t>المساواة في حقوق العمل (شرعة الحقوق)</w:t>
      </w:r>
      <w:r w:rsidRPr="00564B9D">
        <w:rPr>
          <w:rtl/>
        </w:rPr>
        <w:t xml:space="preserve"> لعام 1998؛ </w:t>
      </w:r>
      <w:r w:rsidRPr="00564B9D">
        <w:rPr>
          <w:rFonts w:hint="cs"/>
          <w:rtl/>
        </w:rPr>
        <w:t>و</w:t>
      </w:r>
      <w:r w:rsidRPr="00564B9D">
        <w:rPr>
          <w:rtl/>
        </w:rPr>
        <w:t>قانون</w:t>
      </w:r>
      <w:r w:rsidRPr="00564B9D">
        <w:rPr>
          <w:rFonts w:hint="cs"/>
          <w:rtl/>
        </w:rPr>
        <w:t xml:space="preserve"> مكافحة </w:t>
      </w:r>
      <w:r w:rsidRPr="00564B9D">
        <w:rPr>
          <w:rtl/>
        </w:rPr>
        <w:t xml:space="preserve">التمييز </w:t>
      </w:r>
      <w:r w:rsidRPr="00564B9D">
        <w:rPr>
          <w:rFonts w:hint="cs"/>
          <w:rtl/>
        </w:rPr>
        <w:t xml:space="preserve">على أساس </w:t>
      </w:r>
      <w:r w:rsidRPr="00564B9D">
        <w:rPr>
          <w:rtl/>
        </w:rPr>
        <w:t>الجنس</w:t>
      </w:r>
      <w:r w:rsidRPr="00564B9D">
        <w:rPr>
          <w:rFonts w:hint="cs"/>
          <w:rtl/>
        </w:rPr>
        <w:t xml:space="preserve"> لعام </w:t>
      </w:r>
      <w:r w:rsidRPr="00564B9D">
        <w:rPr>
          <w:rtl/>
        </w:rPr>
        <w:t xml:space="preserve">1998؛ </w:t>
      </w:r>
      <w:r w:rsidRPr="00564B9D">
        <w:rPr>
          <w:rFonts w:hint="cs"/>
          <w:rtl/>
        </w:rPr>
        <w:t>و</w:t>
      </w:r>
      <w:r w:rsidRPr="00564B9D">
        <w:rPr>
          <w:rtl/>
        </w:rPr>
        <w:t xml:space="preserve">قانون العلاقات </w:t>
      </w:r>
      <w:r w:rsidRPr="00564B9D">
        <w:rPr>
          <w:rFonts w:hint="cs"/>
          <w:rtl/>
        </w:rPr>
        <w:t>بين الأ</w:t>
      </w:r>
      <w:r w:rsidRPr="00564B9D">
        <w:rPr>
          <w:rtl/>
        </w:rPr>
        <w:t>عر</w:t>
      </w:r>
      <w:r w:rsidRPr="00564B9D">
        <w:rPr>
          <w:rFonts w:hint="cs"/>
          <w:rtl/>
        </w:rPr>
        <w:t>ا</w:t>
      </w:r>
      <w:r w:rsidRPr="00564B9D">
        <w:rPr>
          <w:rtl/>
        </w:rPr>
        <w:t>ق</w:t>
      </w:r>
      <w:r w:rsidRPr="00564B9D">
        <w:rPr>
          <w:rFonts w:hint="cs"/>
          <w:rtl/>
        </w:rPr>
        <w:t xml:space="preserve"> لعام </w:t>
      </w:r>
      <w:r w:rsidRPr="00564B9D">
        <w:rPr>
          <w:rtl/>
        </w:rPr>
        <w:t xml:space="preserve">1994؛ </w:t>
      </w:r>
      <w:r w:rsidRPr="00564B9D">
        <w:rPr>
          <w:rFonts w:hint="cs"/>
          <w:rtl/>
        </w:rPr>
        <w:t>و</w:t>
      </w:r>
      <w:r w:rsidRPr="00564B9D">
        <w:rPr>
          <w:rtl/>
        </w:rPr>
        <w:t xml:space="preserve">قانون </w:t>
      </w:r>
      <w:r w:rsidRPr="00564B9D">
        <w:rPr>
          <w:rFonts w:hint="cs"/>
          <w:rtl/>
        </w:rPr>
        <w:t xml:space="preserve">حظر </w:t>
      </w:r>
      <w:r w:rsidRPr="00564B9D">
        <w:rPr>
          <w:rtl/>
        </w:rPr>
        <w:t>عمل الأطفال</w:t>
      </w:r>
      <w:r w:rsidRPr="00564B9D">
        <w:rPr>
          <w:rFonts w:hint="cs"/>
          <w:rtl/>
        </w:rPr>
        <w:t xml:space="preserve"> لعام </w:t>
      </w:r>
      <w:r w:rsidRPr="00564B9D">
        <w:rPr>
          <w:rtl/>
        </w:rPr>
        <w:t xml:space="preserve">1966؛ </w:t>
      </w:r>
      <w:r w:rsidRPr="00564B9D">
        <w:rPr>
          <w:rFonts w:hint="cs"/>
          <w:rtl/>
        </w:rPr>
        <w:t>و</w:t>
      </w:r>
      <w:r w:rsidRPr="00564B9D">
        <w:rPr>
          <w:rtl/>
        </w:rPr>
        <w:t>قانون الحد الأدنى للأجور</w:t>
      </w:r>
      <w:r w:rsidRPr="00564B9D">
        <w:rPr>
          <w:rFonts w:hint="cs"/>
          <w:rtl/>
        </w:rPr>
        <w:t xml:space="preserve"> لعام </w:t>
      </w:r>
      <w:r w:rsidRPr="00564B9D">
        <w:rPr>
          <w:rtl/>
        </w:rPr>
        <w:t>2013</w:t>
      </w:r>
      <w:r w:rsidRPr="00564B9D">
        <w:rPr>
          <w:rFonts w:hint="cs"/>
          <w:rtl/>
        </w:rPr>
        <w:t>.</w:t>
      </w:r>
      <w:r w:rsidRPr="00564B9D">
        <w:rPr>
          <w:rtl/>
        </w:rPr>
        <w:t xml:space="preserve"> </w:t>
      </w:r>
    </w:p>
    <w:p w14:paraId="65792017" w14:textId="77777777" w:rsidR="00494AE4" w:rsidRPr="00564B9D" w:rsidRDefault="00494AE4" w:rsidP="00494AE4">
      <w:pPr>
        <w:pStyle w:val="SingleTxtGA"/>
        <w:rPr>
          <w:rtl/>
        </w:rPr>
      </w:pPr>
      <w:r w:rsidRPr="00564B9D">
        <w:rPr>
          <w:rFonts w:hint="cs"/>
          <w:rtl/>
        </w:rPr>
        <w:t>93</w:t>
      </w:r>
      <w:r w:rsidRPr="00564B9D">
        <w:rPr>
          <w:rtl/>
        </w:rPr>
        <w:t>-</w:t>
      </w:r>
      <w:r w:rsidRPr="00564B9D">
        <w:rPr>
          <w:rtl/>
        </w:rPr>
        <w:tab/>
        <w:t xml:space="preserve">وحقوق الإنسان محمية أيضاً من خلال سرعة وفعالية التحقيق في الأعمال الجنائية ومقاضاتها، ولا سيما الجرائم </w:t>
      </w:r>
      <w:r w:rsidRPr="00564B9D">
        <w:rPr>
          <w:rFonts w:hint="cs"/>
          <w:rtl/>
        </w:rPr>
        <w:t xml:space="preserve">العنصرية الشديدة الخطورة </w:t>
      </w:r>
      <w:r w:rsidRPr="00564B9D">
        <w:rPr>
          <w:rtl/>
        </w:rPr>
        <w:t>والاعتداء الجنسي على الكبار والأطفال</w:t>
      </w:r>
      <w:r w:rsidRPr="00564B9D">
        <w:rPr>
          <w:rFonts w:hint="cs"/>
          <w:rtl/>
        </w:rPr>
        <w:t>.</w:t>
      </w:r>
    </w:p>
    <w:p w14:paraId="72D10D03" w14:textId="77777777" w:rsidR="00494AE4" w:rsidRPr="00564B9D" w:rsidRDefault="00494AE4" w:rsidP="00494AE4">
      <w:pPr>
        <w:pStyle w:val="H1GA"/>
        <w:rPr>
          <w:rtl/>
        </w:rPr>
      </w:pPr>
      <w:r w:rsidRPr="00564B9D">
        <w:rPr>
          <w:rtl/>
        </w:rPr>
        <w:lastRenderedPageBreak/>
        <w:tab/>
      </w:r>
      <w:bookmarkStart w:id="190" w:name="_Toc123044150"/>
      <w:bookmarkStart w:id="191" w:name="_Toc123044373"/>
      <w:bookmarkStart w:id="192" w:name="_Toc123044634"/>
      <w:bookmarkStart w:id="193" w:name="_Toc123044896"/>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190"/>
      <w:bookmarkEnd w:id="191"/>
      <w:bookmarkEnd w:id="192"/>
      <w:bookmarkEnd w:id="193"/>
    </w:p>
    <w:p w14:paraId="58ED1331" w14:textId="77777777" w:rsidR="00494AE4" w:rsidRPr="00564B9D" w:rsidRDefault="00494AE4" w:rsidP="00494AE4">
      <w:pPr>
        <w:pStyle w:val="SingleTxtGA"/>
        <w:rPr>
          <w:rtl/>
        </w:rPr>
      </w:pPr>
      <w:r w:rsidRPr="00564B9D">
        <w:rPr>
          <w:rFonts w:hint="cs"/>
          <w:rtl/>
        </w:rPr>
        <w:t>94</w:t>
      </w:r>
      <w:r w:rsidRPr="00564B9D">
        <w:rPr>
          <w:rtl/>
        </w:rPr>
        <w:t>-</w:t>
      </w:r>
      <w:r w:rsidRPr="00564B9D">
        <w:rPr>
          <w:rtl/>
        </w:rPr>
        <w:tab/>
        <w:t xml:space="preserve">تشارك جزر فوكلاند في جميع برامج حقوق الإنسان التي تعدها حكومة المملكة المتحدة </w:t>
      </w:r>
      <w:r w:rsidRPr="00564B9D">
        <w:rPr>
          <w:rFonts w:hint="cs"/>
          <w:rtl/>
        </w:rPr>
        <w:t>ل</w:t>
      </w:r>
      <w:r w:rsidRPr="00564B9D">
        <w:rPr>
          <w:rtl/>
        </w:rPr>
        <w:t xml:space="preserve">لأقاليم البريطانية </w:t>
      </w:r>
      <w:r w:rsidRPr="00564B9D">
        <w:rPr>
          <w:rFonts w:hint="cs"/>
          <w:rtl/>
        </w:rPr>
        <w:t>في</w:t>
      </w:r>
      <w:r w:rsidRPr="00564B9D">
        <w:rPr>
          <w:rtl/>
        </w:rPr>
        <w:t xml:space="preserve">ما وراء البحار. وفي عامي 2010 و2011، </w:t>
      </w:r>
      <w:r w:rsidRPr="00564B9D">
        <w:rPr>
          <w:rFonts w:hint="cs"/>
          <w:rtl/>
        </w:rPr>
        <w:t>تحدث</w:t>
      </w:r>
      <w:r w:rsidRPr="00564B9D">
        <w:rPr>
          <w:rtl/>
        </w:rPr>
        <w:t xml:space="preserve"> أكاديميون زائرون من مؤسسة الكومنولث لحقوق الإنسان عن حقوق الإنسان أمام أكثر 200 شخص، بهدف زيادة الوعي العام بالصكوك الدولية لحقوق الإنسان، وتجهيز مجموعات المجتمع المدني وموظفي الحكومات ب</w:t>
      </w:r>
      <w:r w:rsidRPr="00564B9D">
        <w:rPr>
          <w:rFonts w:hint="cs"/>
          <w:rtl/>
        </w:rPr>
        <w:t>ال</w:t>
      </w:r>
      <w:r w:rsidRPr="00564B9D">
        <w:rPr>
          <w:rtl/>
        </w:rPr>
        <w:t xml:space="preserve">سبل </w:t>
      </w:r>
      <w:r w:rsidRPr="00564B9D">
        <w:rPr>
          <w:rFonts w:hint="cs"/>
          <w:rtl/>
        </w:rPr>
        <w:t xml:space="preserve">التي تمكنهم من التصدي بشكل أفضل </w:t>
      </w:r>
      <w:r w:rsidRPr="00564B9D">
        <w:rPr>
          <w:rtl/>
        </w:rPr>
        <w:t>لقضايا حقوق الإنسان</w:t>
      </w:r>
      <w:r w:rsidRPr="00564B9D">
        <w:rPr>
          <w:rFonts w:hint="cs"/>
          <w:rtl/>
        </w:rPr>
        <w:t>.</w:t>
      </w:r>
    </w:p>
    <w:p w14:paraId="1A06163F" w14:textId="77777777" w:rsidR="00494AE4" w:rsidRPr="00564B9D" w:rsidRDefault="00494AE4" w:rsidP="00494AE4">
      <w:pPr>
        <w:pStyle w:val="SingleTxtGA"/>
        <w:rPr>
          <w:rtl/>
        </w:rPr>
      </w:pPr>
      <w:r w:rsidRPr="00564B9D">
        <w:rPr>
          <w:rFonts w:hint="cs"/>
          <w:rtl/>
        </w:rPr>
        <w:t>95</w:t>
      </w:r>
      <w:r w:rsidRPr="00564B9D">
        <w:rPr>
          <w:rtl/>
        </w:rPr>
        <w:t>-</w:t>
      </w:r>
      <w:r w:rsidRPr="00564B9D">
        <w:rPr>
          <w:rtl/>
        </w:rPr>
        <w:tab/>
        <w:t>ويتضمن الإطار المتعلق ب</w:t>
      </w:r>
      <w:r w:rsidRPr="00564B9D">
        <w:rPr>
          <w:rFonts w:hint="cs"/>
          <w:rtl/>
        </w:rPr>
        <w:t xml:space="preserve">تعزيز </w:t>
      </w:r>
      <w:r w:rsidRPr="00564B9D">
        <w:rPr>
          <w:rtl/>
        </w:rPr>
        <w:t xml:space="preserve">حقوق الإنسان القيام في عام 2011 </w:t>
      </w:r>
      <w:r w:rsidRPr="00564B9D">
        <w:rPr>
          <w:rFonts w:hint="cs"/>
          <w:rtl/>
        </w:rPr>
        <w:t>ب</w:t>
      </w:r>
      <w:r w:rsidRPr="00564B9D">
        <w:rPr>
          <w:rtl/>
        </w:rPr>
        <w:t>تشكيل منظمة مستقلة للمجتمع المدني ت</w:t>
      </w:r>
      <w:r w:rsidRPr="00564B9D">
        <w:rPr>
          <w:rFonts w:hint="cs"/>
          <w:rtl/>
        </w:rPr>
        <w:t>دعى</w:t>
      </w:r>
      <w:r w:rsidRPr="00564B9D">
        <w:rPr>
          <w:rtl/>
        </w:rPr>
        <w:t xml:space="preserve"> مجموعة حقوق الإنسان في جزر فوكلاند من أجل تعزيز حقوق الإنسان في المجتمع المحلي؛ واعتماد حكومة فوكلاند لخطة </w:t>
      </w:r>
      <w:r w:rsidRPr="00564B9D">
        <w:rPr>
          <w:rFonts w:hint="cs"/>
          <w:rtl/>
        </w:rPr>
        <w:t>ال</w:t>
      </w:r>
      <w:r w:rsidRPr="00564B9D">
        <w:rPr>
          <w:rtl/>
        </w:rPr>
        <w:t>عمل بشأن حقوق الإنسان</w:t>
      </w:r>
      <w:r w:rsidRPr="00564B9D">
        <w:rPr>
          <w:rFonts w:hint="cs"/>
          <w:rtl/>
        </w:rPr>
        <w:t xml:space="preserve"> لعام </w:t>
      </w:r>
      <w:r w:rsidRPr="00564B9D">
        <w:rPr>
          <w:rtl/>
        </w:rPr>
        <w:t xml:space="preserve">2012؛ وشراء أدبيات حقوق الإنسان من أجل مكتبات المجتمع المحلي؛ وإصدار ونشر ملصقات ومنشورات تتعلق بحقوق الإنسان؛ وتقوية برنامج </w:t>
      </w:r>
      <w:r w:rsidRPr="00564B9D">
        <w:rPr>
          <w:rFonts w:hint="cs"/>
          <w:rtl/>
        </w:rPr>
        <w:t xml:space="preserve">التثقيف </w:t>
      </w:r>
      <w:r w:rsidRPr="00564B9D">
        <w:rPr>
          <w:rtl/>
        </w:rPr>
        <w:t>الشخصي والاجتماعي والصحي في المدارس الابتدائية والثانوية</w:t>
      </w:r>
      <w:r w:rsidRPr="00564B9D">
        <w:rPr>
          <w:rFonts w:hint="cs"/>
          <w:rtl/>
        </w:rPr>
        <w:t>.</w:t>
      </w:r>
    </w:p>
    <w:p w14:paraId="76902163" w14:textId="77777777" w:rsidR="00494AE4" w:rsidRPr="00564B9D" w:rsidRDefault="00494AE4" w:rsidP="00494AE4">
      <w:pPr>
        <w:pStyle w:val="HChGA"/>
        <w:rPr>
          <w:rtl/>
        </w:rPr>
      </w:pPr>
      <w:r w:rsidRPr="00564B9D">
        <w:rPr>
          <w:rtl/>
        </w:rPr>
        <w:tab/>
      </w:r>
      <w:bookmarkStart w:id="194" w:name="_Toc123044151"/>
      <w:bookmarkStart w:id="195" w:name="_Toc123044374"/>
      <w:bookmarkStart w:id="196" w:name="_Toc123044635"/>
      <w:bookmarkStart w:id="197" w:name="_Toc123044897"/>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194"/>
      <w:bookmarkEnd w:id="195"/>
      <w:bookmarkEnd w:id="196"/>
      <w:bookmarkEnd w:id="197"/>
    </w:p>
    <w:p w14:paraId="125DBD24" w14:textId="77777777" w:rsidR="00494AE4" w:rsidRPr="00564B9D" w:rsidRDefault="00494AE4" w:rsidP="00494AE4">
      <w:pPr>
        <w:pStyle w:val="SingleTxtGA"/>
        <w:rPr>
          <w:rtl/>
        </w:rPr>
      </w:pPr>
      <w:r w:rsidRPr="00564B9D">
        <w:rPr>
          <w:rFonts w:hint="cs"/>
          <w:rtl/>
        </w:rPr>
        <w:t>96</w:t>
      </w:r>
      <w:r w:rsidRPr="00564B9D">
        <w:rPr>
          <w:rtl/>
        </w:rPr>
        <w:t>-</w:t>
      </w:r>
      <w:r w:rsidRPr="00564B9D">
        <w:rPr>
          <w:rtl/>
        </w:rPr>
        <w:tab/>
        <w:t>يستند الفصل الأول من</w:t>
      </w:r>
      <w:r w:rsidRPr="00564B9D">
        <w:rPr>
          <w:rFonts w:hint="cs"/>
          <w:rtl/>
        </w:rPr>
        <w:t xml:space="preserve"> </w:t>
      </w:r>
      <w:r w:rsidRPr="00564B9D">
        <w:rPr>
          <w:rtl/>
        </w:rPr>
        <w:t xml:space="preserve">جدول </w:t>
      </w:r>
      <w:r w:rsidRPr="00564B9D">
        <w:rPr>
          <w:rFonts w:hint="cs"/>
          <w:rtl/>
        </w:rPr>
        <w:t>القانون</w:t>
      </w:r>
      <w:r w:rsidRPr="00564B9D">
        <w:rPr>
          <w:rtl/>
        </w:rPr>
        <w:t xml:space="preserve"> </w:t>
      </w:r>
      <w:r w:rsidRPr="00564B9D">
        <w:rPr>
          <w:rFonts w:hint="cs"/>
          <w:rtl/>
        </w:rPr>
        <w:t>ال</w:t>
      </w:r>
      <w:r w:rsidRPr="00564B9D">
        <w:rPr>
          <w:rtl/>
        </w:rPr>
        <w:t>دستور</w:t>
      </w:r>
      <w:r w:rsidRPr="00564B9D">
        <w:rPr>
          <w:rFonts w:hint="cs"/>
          <w:rtl/>
        </w:rPr>
        <w:t>ي</w:t>
      </w:r>
      <w:r w:rsidRPr="00564B9D">
        <w:rPr>
          <w:rtl/>
        </w:rPr>
        <w:t xml:space="preserve"> </w:t>
      </w:r>
      <w:r w:rsidRPr="00564B9D">
        <w:rPr>
          <w:rFonts w:hint="cs"/>
          <w:rtl/>
        </w:rPr>
        <w:t>ل</w:t>
      </w:r>
      <w:r w:rsidRPr="00564B9D">
        <w:rPr>
          <w:rtl/>
        </w:rPr>
        <w:t>جزر فوكلاند</w:t>
      </w:r>
      <w:r w:rsidRPr="00564B9D">
        <w:rPr>
          <w:rFonts w:hint="cs"/>
          <w:rtl/>
        </w:rPr>
        <w:t xml:space="preserve"> لعام </w:t>
      </w:r>
      <w:r w:rsidRPr="00564B9D">
        <w:rPr>
          <w:rtl/>
        </w:rPr>
        <w:t xml:space="preserve">2008 إلى الاتفاقية الأوروبية لحماية حقوق الإنسان والحريات الأساسية. فلكل شخص في جزر فوكلاند الحق في الحصول على حقوق </w:t>
      </w:r>
      <w:r w:rsidRPr="00564B9D">
        <w:rPr>
          <w:rFonts w:hint="cs"/>
          <w:rtl/>
        </w:rPr>
        <w:t xml:space="preserve">الفرد </w:t>
      </w:r>
      <w:r w:rsidRPr="00564B9D">
        <w:rPr>
          <w:rtl/>
        </w:rPr>
        <w:t>وحريات</w:t>
      </w:r>
      <w:r w:rsidRPr="00564B9D">
        <w:rPr>
          <w:rFonts w:hint="cs"/>
          <w:rtl/>
        </w:rPr>
        <w:t>ه</w:t>
      </w:r>
      <w:r w:rsidRPr="00564B9D">
        <w:rPr>
          <w:rtl/>
        </w:rPr>
        <w:t xml:space="preserve"> الأساسية دون أي تمييز على أساس الجنس أو الميول الجنسية أو العرق أو اللون أو اللغة أو الدين</w:t>
      </w:r>
      <w:r w:rsidRPr="00564B9D">
        <w:rPr>
          <w:rFonts w:hint="cs"/>
          <w:rtl/>
        </w:rPr>
        <w:t>،</w:t>
      </w:r>
      <w:r w:rsidRPr="00564B9D">
        <w:rPr>
          <w:rtl/>
        </w:rPr>
        <w:t xml:space="preserve"> أو ال</w:t>
      </w:r>
      <w:r w:rsidRPr="00564B9D">
        <w:rPr>
          <w:rFonts w:hint="cs"/>
          <w:rtl/>
        </w:rPr>
        <w:t>آراء،</w:t>
      </w:r>
      <w:r w:rsidRPr="00564B9D">
        <w:rPr>
          <w:rtl/>
        </w:rPr>
        <w:t xml:space="preserve"> سياسي</w:t>
      </w:r>
      <w:r w:rsidRPr="00564B9D">
        <w:rPr>
          <w:rFonts w:hint="cs"/>
          <w:rtl/>
        </w:rPr>
        <w:t>ة كانت أم غير سياسية، أو </w:t>
      </w:r>
      <w:r w:rsidRPr="00564B9D">
        <w:rPr>
          <w:rtl/>
        </w:rPr>
        <w:t>الأصل ال</w:t>
      </w:r>
      <w:r w:rsidRPr="00564B9D">
        <w:rPr>
          <w:rFonts w:hint="cs"/>
          <w:rtl/>
        </w:rPr>
        <w:t>وطني</w:t>
      </w:r>
      <w:r w:rsidRPr="00564B9D">
        <w:rPr>
          <w:rtl/>
        </w:rPr>
        <w:t xml:space="preserve"> أو الاجتماعي، أو الانتماء إلى أقلية وطنية، أو الملكية</w:t>
      </w:r>
      <w:r w:rsidRPr="00564B9D">
        <w:rPr>
          <w:rFonts w:hint="cs"/>
          <w:rtl/>
        </w:rPr>
        <w:t>،</w:t>
      </w:r>
      <w:r w:rsidRPr="00564B9D">
        <w:rPr>
          <w:rtl/>
        </w:rPr>
        <w:t xml:space="preserve"> أو </w:t>
      </w:r>
      <w:r w:rsidRPr="00564B9D">
        <w:rPr>
          <w:rFonts w:hint="cs"/>
          <w:rtl/>
        </w:rPr>
        <w:t>المولد أو أي وضع آخر.</w:t>
      </w:r>
    </w:p>
    <w:p w14:paraId="312DD064" w14:textId="77777777" w:rsidR="00494AE4" w:rsidRPr="00564B9D" w:rsidRDefault="00494AE4" w:rsidP="00494AE4">
      <w:pPr>
        <w:pStyle w:val="SingleTxtGA"/>
        <w:rPr>
          <w:rtl/>
        </w:rPr>
      </w:pPr>
      <w:r w:rsidRPr="00564B9D">
        <w:rPr>
          <w:rFonts w:hint="cs"/>
          <w:rtl/>
        </w:rPr>
        <w:t>97</w:t>
      </w:r>
      <w:r w:rsidRPr="00564B9D">
        <w:rPr>
          <w:rtl/>
        </w:rPr>
        <w:t>-</w:t>
      </w:r>
      <w:r w:rsidRPr="00564B9D">
        <w:rPr>
          <w:rtl/>
        </w:rPr>
        <w:tab/>
      </w:r>
      <w:r w:rsidRPr="00564B9D">
        <w:rPr>
          <w:rFonts w:hint="cs"/>
          <w:rtl/>
        </w:rPr>
        <w:t>و</w:t>
      </w:r>
      <w:r w:rsidRPr="00564B9D">
        <w:rPr>
          <w:rtl/>
        </w:rPr>
        <w:t>يجوز لأي شخص يد</w:t>
      </w:r>
      <w:r w:rsidRPr="00564B9D">
        <w:rPr>
          <w:rFonts w:hint="cs"/>
          <w:rtl/>
        </w:rPr>
        <w:t>ّ</w:t>
      </w:r>
      <w:r w:rsidRPr="00564B9D">
        <w:rPr>
          <w:rtl/>
        </w:rPr>
        <w:t>ع</w:t>
      </w:r>
      <w:r w:rsidRPr="00564B9D">
        <w:rPr>
          <w:rFonts w:hint="cs"/>
          <w:rtl/>
        </w:rPr>
        <w:t>ي</w:t>
      </w:r>
      <w:r w:rsidRPr="00564B9D">
        <w:rPr>
          <w:rtl/>
        </w:rPr>
        <w:t xml:space="preserve"> أن أياً من أحكام الفصل الأول للدستور قد </w:t>
      </w:r>
      <w:r w:rsidRPr="00564B9D">
        <w:rPr>
          <w:rFonts w:hint="cs"/>
          <w:rtl/>
        </w:rPr>
        <w:t>انتهك</w:t>
      </w:r>
      <w:r w:rsidRPr="00564B9D">
        <w:rPr>
          <w:rtl/>
        </w:rPr>
        <w:t xml:space="preserve"> أو </w:t>
      </w:r>
      <w:r w:rsidRPr="00564B9D">
        <w:rPr>
          <w:rFonts w:hint="cs"/>
          <w:rtl/>
        </w:rPr>
        <w:t>ي</w:t>
      </w:r>
      <w:r w:rsidRPr="00564B9D">
        <w:rPr>
          <w:rtl/>
        </w:rPr>
        <w:t>جري</w:t>
      </w:r>
      <w:r w:rsidRPr="00564B9D">
        <w:rPr>
          <w:rFonts w:hint="cs"/>
          <w:rtl/>
        </w:rPr>
        <w:t xml:space="preserve"> انتهاكه</w:t>
      </w:r>
      <w:r w:rsidRPr="00564B9D">
        <w:rPr>
          <w:rtl/>
        </w:rPr>
        <w:t xml:space="preserve"> أو يحتمل </w:t>
      </w:r>
      <w:r w:rsidRPr="00564B9D">
        <w:rPr>
          <w:rFonts w:hint="cs"/>
          <w:rtl/>
        </w:rPr>
        <w:t>انتهاكه</w:t>
      </w:r>
      <w:r w:rsidRPr="00564B9D">
        <w:rPr>
          <w:rtl/>
        </w:rPr>
        <w:t xml:space="preserve"> </w:t>
      </w:r>
      <w:r w:rsidRPr="00564B9D">
        <w:rPr>
          <w:rFonts w:hint="cs"/>
          <w:rtl/>
        </w:rPr>
        <w:t>ضد</w:t>
      </w:r>
      <w:r w:rsidRPr="00564B9D">
        <w:rPr>
          <w:rtl/>
        </w:rPr>
        <w:t xml:space="preserve"> شخصه </w:t>
      </w:r>
      <w:r w:rsidRPr="00564B9D">
        <w:rPr>
          <w:rFonts w:hint="cs"/>
          <w:rtl/>
        </w:rPr>
        <w:t>الاحتكام مباشرة إلى المحكمة العليا في جزر فوكلاند لالتماس إنصافه</w:t>
      </w:r>
      <w:r w:rsidRPr="00564B9D">
        <w:rPr>
          <w:rtl/>
        </w:rPr>
        <w:t xml:space="preserve">. وإذا ما نشأت في </w:t>
      </w:r>
      <w:r w:rsidRPr="00564B9D">
        <w:rPr>
          <w:rFonts w:hint="cs"/>
          <w:rtl/>
        </w:rPr>
        <w:t>أي دعاوى</w:t>
      </w:r>
      <w:r w:rsidRPr="00564B9D">
        <w:rPr>
          <w:rtl/>
        </w:rPr>
        <w:t xml:space="preserve"> </w:t>
      </w:r>
      <w:r w:rsidRPr="00564B9D">
        <w:rPr>
          <w:rFonts w:hint="cs"/>
          <w:rtl/>
        </w:rPr>
        <w:t xml:space="preserve">في </w:t>
      </w:r>
      <w:r w:rsidRPr="00564B9D">
        <w:rPr>
          <w:rtl/>
        </w:rPr>
        <w:t xml:space="preserve">محكمة </w:t>
      </w:r>
      <w:r w:rsidRPr="00564B9D">
        <w:rPr>
          <w:rFonts w:hint="cs"/>
          <w:rtl/>
        </w:rPr>
        <w:t>دنيا</w:t>
      </w:r>
      <w:r w:rsidRPr="00564B9D">
        <w:rPr>
          <w:rtl/>
        </w:rPr>
        <w:t xml:space="preserve"> مسألة تخالف أحكام الفصل الأول من الدستور، يجوز للمحكمة </w:t>
      </w:r>
      <w:r w:rsidRPr="00564B9D">
        <w:rPr>
          <w:rFonts w:hint="cs"/>
          <w:rtl/>
        </w:rPr>
        <w:t xml:space="preserve">وينبغي لها </w:t>
      </w:r>
      <w:r w:rsidRPr="00564B9D">
        <w:rPr>
          <w:rtl/>
        </w:rPr>
        <w:t xml:space="preserve">إحالة المسألة إلى المحكمة العليا بناء على طلب أي شخص </w:t>
      </w:r>
      <w:r w:rsidRPr="00564B9D">
        <w:rPr>
          <w:rFonts w:hint="cs"/>
          <w:rtl/>
        </w:rPr>
        <w:t>طرف في الدعوى.</w:t>
      </w:r>
      <w:r w:rsidRPr="00564B9D">
        <w:rPr>
          <w:rtl/>
        </w:rPr>
        <w:t xml:space="preserve"> و</w:t>
      </w:r>
      <w:r w:rsidRPr="00564B9D">
        <w:rPr>
          <w:rFonts w:hint="cs"/>
          <w:rtl/>
        </w:rPr>
        <w:t xml:space="preserve">يعتبر </w:t>
      </w:r>
      <w:r w:rsidRPr="00564B9D">
        <w:rPr>
          <w:rtl/>
        </w:rPr>
        <w:t>الحق في الطعن في أي قضية ت</w:t>
      </w:r>
      <w:r w:rsidRPr="00564B9D">
        <w:rPr>
          <w:rFonts w:hint="cs"/>
          <w:rtl/>
        </w:rPr>
        <w:t>تعلق</w:t>
      </w:r>
      <w:r w:rsidRPr="00564B9D">
        <w:rPr>
          <w:rtl/>
        </w:rPr>
        <w:t xml:space="preserve"> </w:t>
      </w:r>
      <w:r w:rsidRPr="00564B9D">
        <w:rPr>
          <w:rFonts w:hint="cs"/>
          <w:rtl/>
        </w:rPr>
        <w:t>ب</w:t>
      </w:r>
      <w:r w:rsidRPr="00564B9D">
        <w:rPr>
          <w:rtl/>
        </w:rPr>
        <w:t xml:space="preserve">الفصل الأول من الدستور </w:t>
      </w:r>
      <w:r w:rsidRPr="00564B9D">
        <w:rPr>
          <w:rFonts w:hint="cs"/>
          <w:rtl/>
        </w:rPr>
        <w:t xml:space="preserve">حقاً قانونياً </w:t>
      </w:r>
      <w:r w:rsidRPr="00564B9D">
        <w:rPr>
          <w:rtl/>
        </w:rPr>
        <w:t xml:space="preserve">لدى </w:t>
      </w:r>
      <w:r w:rsidRPr="00564B9D">
        <w:rPr>
          <w:rFonts w:hint="cs"/>
          <w:rtl/>
        </w:rPr>
        <w:t>ال</w:t>
      </w:r>
      <w:r w:rsidRPr="00564B9D">
        <w:rPr>
          <w:rtl/>
        </w:rPr>
        <w:t>محاكم الاستئنافية (محكمة الاستئناف واللجنة القضائية ل</w:t>
      </w:r>
      <w:r w:rsidRPr="00564B9D">
        <w:rPr>
          <w:rFonts w:hint="cs"/>
          <w:rtl/>
        </w:rPr>
        <w:t>ل</w:t>
      </w:r>
      <w:r w:rsidRPr="00564B9D">
        <w:rPr>
          <w:rtl/>
        </w:rPr>
        <w:t>مجلس الملك</w:t>
      </w:r>
      <w:r w:rsidRPr="00564B9D">
        <w:rPr>
          <w:rFonts w:hint="cs"/>
          <w:rtl/>
        </w:rPr>
        <w:t>ي</w:t>
      </w:r>
      <w:r w:rsidRPr="00564B9D">
        <w:rPr>
          <w:rtl/>
        </w:rPr>
        <w:t xml:space="preserve"> الخاص) إلا في الحالة التي ت</w:t>
      </w:r>
      <w:r w:rsidRPr="00564B9D">
        <w:rPr>
          <w:rFonts w:hint="cs"/>
          <w:rtl/>
        </w:rPr>
        <w:t>رفض</w:t>
      </w:r>
      <w:r w:rsidRPr="00564B9D">
        <w:rPr>
          <w:rtl/>
        </w:rPr>
        <w:t xml:space="preserve"> فيها المحكمة العليا طلب</w:t>
      </w:r>
      <w:r w:rsidRPr="00564B9D">
        <w:rPr>
          <w:rFonts w:hint="cs"/>
          <w:rtl/>
        </w:rPr>
        <w:t>اً</w:t>
      </w:r>
      <w:r w:rsidRPr="00564B9D">
        <w:rPr>
          <w:rtl/>
        </w:rPr>
        <w:t xml:space="preserve"> على أساس كونه </w:t>
      </w:r>
      <w:r w:rsidRPr="00564B9D">
        <w:rPr>
          <w:rFonts w:hint="cs"/>
          <w:rtl/>
        </w:rPr>
        <w:t>عديم الجدوى أو مفتعلاً.</w:t>
      </w:r>
    </w:p>
    <w:p w14:paraId="45A05CA7" w14:textId="77777777" w:rsidR="00494AE4" w:rsidRPr="00564B9D" w:rsidRDefault="00494AE4" w:rsidP="00494AE4">
      <w:pPr>
        <w:pStyle w:val="SingleTxtGA"/>
        <w:rPr>
          <w:rtl/>
        </w:rPr>
      </w:pPr>
      <w:r w:rsidRPr="00564B9D">
        <w:rPr>
          <w:rFonts w:hint="cs"/>
          <w:rtl/>
        </w:rPr>
        <w:t>98</w:t>
      </w:r>
      <w:r w:rsidRPr="00564B9D">
        <w:rPr>
          <w:rtl/>
        </w:rPr>
        <w:t>-</w:t>
      </w:r>
      <w:r w:rsidRPr="00564B9D">
        <w:rPr>
          <w:rtl/>
        </w:rPr>
        <w:tab/>
      </w:r>
      <w:r w:rsidRPr="00564B9D">
        <w:rPr>
          <w:rFonts w:hint="cs"/>
          <w:rtl/>
        </w:rPr>
        <w:t>وعند</w:t>
      </w:r>
      <w:r w:rsidRPr="00564B9D">
        <w:rPr>
          <w:rtl/>
        </w:rPr>
        <w:t xml:space="preserve"> </w:t>
      </w:r>
      <w:r w:rsidRPr="00564B9D">
        <w:rPr>
          <w:rFonts w:hint="cs"/>
          <w:rtl/>
        </w:rPr>
        <w:t>تحديد</w:t>
      </w:r>
      <w:r w:rsidRPr="00564B9D">
        <w:rPr>
          <w:rtl/>
        </w:rPr>
        <w:t xml:space="preserve"> أي مسألة </w:t>
      </w:r>
      <w:r w:rsidRPr="00564B9D">
        <w:rPr>
          <w:rFonts w:hint="cs"/>
          <w:rtl/>
        </w:rPr>
        <w:t>تنشأ فيما يتعلق</w:t>
      </w:r>
      <w:r w:rsidRPr="00564B9D">
        <w:rPr>
          <w:rtl/>
        </w:rPr>
        <w:t xml:space="preserve"> </w:t>
      </w:r>
      <w:r w:rsidRPr="00564B9D">
        <w:rPr>
          <w:rFonts w:hint="cs"/>
          <w:rtl/>
        </w:rPr>
        <w:t>ب</w:t>
      </w:r>
      <w:r w:rsidRPr="00564B9D">
        <w:rPr>
          <w:rtl/>
        </w:rPr>
        <w:t>تفسير أو تطبيق أي من أحكام الفصل الأول من الدستور، ي</w:t>
      </w:r>
      <w:r w:rsidRPr="00564B9D">
        <w:rPr>
          <w:rFonts w:hint="cs"/>
          <w:rtl/>
        </w:rPr>
        <w:t>جب</w:t>
      </w:r>
      <w:r w:rsidRPr="00564B9D">
        <w:rPr>
          <w:rtl/>
        </w:rPr>
        <w:t xml:space="preserve"> </w:t>
      </w:r>
      <w:r w:rsidRPr="00564B9D">
        <w:rPr>
          <w:rFonts w:hint="cs"/>
          <w:rtl/>
        </w:rPr>
        <w:t>على كل محكمة أن</w:t>
      </w:r>
      <w:r w:rsidRPr="00564B9D">
        <w:rPr>
          <w:rtl/>
        </w:rPr>
        <w:t xml:space="preserve"> </w:t>
      </w:r>
      <w:r w:rsidRPr="00564B9D">
        <w:rPr>
          <w:rFonts w:hint="cs"/>
          <w:rtl/>
        </w:rPr>
        <w:t>تأخذ في الاعتبار</w:t>
      </w:r>
      <w:r w:rsidRPr="00564B9D">
        <w:rPr>
          <w:rtl/>
        </w:rPr>
        <w:t xml:space="preserve"> الآراء أو القرارات ذات الصلة للجنة الأوروبية لحقوق الإنسان ولجنة الوزراء لمجلس أوروبا، وأي من الاجتهادات القضائية</w:t>
      </w:r>
      <w:r w:rsidRPr="00564B9D">
        <w:rPr>
          <w:rFonts w:hint="cs"/>
          <w:rtl/>
        </w:rPr>
        <w:t xml:space="preserve"> ذات الصلة</w:t>
      </w:r>
      <w:r w:rsidRPr="00564B9D">
        <w:rPr>
          <w:rtl/>
        </w:rPr>
        <w:t xml:space="preserve"> للمحكمة الأوروبية لحقوق الإنسان والمحاكم العليا في المملكة المتحدة</w:t>
      </w:r>
      <w:r w:rsidRPr="00564B9D">
        <w:rPr>
          <w:rFonts w:hint="cs"/>
          <w:rtl/>
        </w:rPr>
        <w:t>.</w:t>
      </w:r>
    </w:p>
    <w:p w14:paraId="340F41B8" w14:textId="77777777" w:rsidR="00494AE4" w:rsidRPr="00564B9D" w:rsidRDefault="00494AE4" w:rsidP="00494AE4">
      <w:pPr>
        <w:pStyle w:val="SingleTxtGA"/>
        <w:rPr>
          <w:rtl/>
        </w:rPr>
      </w:pPr>
      <w:r w:rsidRPr="00564B9D">
        <w:rPr>
          <w:rFonts w:hint="cs"/>
          <w:rtl/>
        </w:rPr>
        <w:t>99</w:t>
      </w:r>
      <w:r w:rsidRPr="00564B9D">
        <w:rPr>
          <w:rtl/>
        </w:rPr>
        <w:t>-</w:t>
      </w:r>
      <w:r w:rsidRPr="00564B9D">
        <w:rPr>
          <w:rtl/>
        </w:rPr>
        <w:tab/>
        <w:t xml:space="preserve">وبالإضافة إلى هذه </w:t>
      </w:r>
      <w:r w:rsidRPr="00564B9D">
        <w:rPr>
          <w:rFonts w:hint="cs"/>
          <w:rtl/>
        </w:rPr>
        <w:t>الحمايات</w:t>
      </w:r>
      <w:r w:rsidRPr="00564B9D">
        <w:rPr>
          <w:rtl/>
        </w:rPr>
        <w:t xml:space="preserve"> الدستورية المحددة، يمكن حماية حقوق الإنسان وإنفاذ الأحكام التشريعية من خلال سبل الانتصاف </w:t>
      </w:r>
      <w:r w:rsidRPr="00564B9D">
        <w:rPr>
          <w:rFonts w:hint="cs"/>
          <w:rtl/>
        </w:rPr>
        <w:t>القضائية المعتادة.</w:t>
      </w:r>
    </w:p>
    <w:p w14:paraId="4858FB85" w14:textId="77777777" w:rsidR="00494AE4" w:rsidRPr="00564B9D" w:rsidRDefault="00494AE4" w:rsidP="00494AE4">
      <w:pPr>
        <w:pStyle w:val="HChGA"/>
        <w:rPr>
          <w:rtl/>
        </w:rPr>
      </w:pPr>
      <w:r w:rsidRPr="00564B9D">
        <w:rPr>
          <w:rtl/>
        </w:rPr>
        <w:lastRenderedPageBreak/>
        <w:tab/>
      </w:r>
      <w:r w:rsidRPr="00564B9D">
        <w:rPr>
          <w:rtl/>
        </w:rPr>
        <w:tab/>
      </w:r>
      <w:bookmarkStart w:id="198" w:name="_Toc123044152"/>
      <w:bookmarkStart w:id="199" w:name="_Toc123044375"/>
      <w:bookmarkStart w:id="200" w:name="_Toc123044636"/>
      <w:bookmarkStart w:id="201" w:name="_Toc123044898"/>
      <w:r w:rsidRPr="00564B9D">
        <w:rPr>
          <w:rFonts w:hint="cs"/>
          <w:rtl/>
        </w:rPr>
        <w:t>جبل طارق</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62"/>
      </w:r>
      <w:r w:rsidRPr="00564B9D">
        <w:rPr>
          <w:b w:val="0"/>
          <w:bCs w:val="0"/>
          <w:sz w:val="22"/>
          <w:szCs w:val="22"/>
          <w:vertAlign w:val="superscript"/>
          <w:rtl/>
        </w:rPr>
        <w:t>)</w:t>
      </w:r>
      <w:bookmarkEnd w:id="198"/>
      <w:bookmarkEnd w:id="199"/>
      <w:bookmarkEnd w:id="200"/>
      <w:bookmarkEnd w:id="201"/>
      <w:r w:rsidRPr="00564B9D">
        <w:rPr>
          <w:rFonts w:hint="cs"/>
          <w:rtl/>
        </w:rPr>
        <w:t xml:space="preserve"> </w:t>
      </w:r>
    </w:p>
    <w:p w14:paraId="18B608B1" w14:textId="77777777" w:rsidR="00494AE4" w:rsidRPr="00564B9D" w:rsidRDefault="00494AE4" w:rsidP="00494AE4">
      <w:pPr>
        <w:pStyle w:val="HChGA"/>
        <w:rPr>
          <w:rtl/>
        </w:rPr>
      </w:pPr>
      <w:r w:rsidRPr="00564B9D">
        <w:rPr>
          <w:rtl/>
        </w:rPr>
        <w:tab/>
      </w:r>
      <w:bookmarkStart w:id="202" w:name="_Toc123044153"/>
      <w:bookmarkStart w:id="203" w:name="_Toc123044376"/>
      <w:bookmarkStart w:id="204" w:name="_Toc123044637"/>
      <w:bookmarkStart w:id="205" w:name="_Toc123044899"/>
      <w:r w:rsidRPr="00564B9D">
        <w:rPr>
          <w:rFonts w:hint="cs"/>
          <w:rtl/>
        </w:rPr>
        <w:t>أولاً</w:t>
      </w:r>
      <w:r w:rsidRPr="00564B9D">
        <w:rPr>
          <w:rtl/>
        </w:rPr>
        <w:t>-</w:t>
      </w:r>
      <w:r w:rsidRPr="00564B9D">
        <w:rPr>
          <w:rtl/>
        </w:rPr>
        <w:tab/>
      </w:r>
      <w:r w:rsidRPr="00564B9D">
        <w:rPr>
          <w:rFonts w:hint="cs"/>
          <w:rtl/>
        </w:rPr>
        <w:t>معلومات عامة</w:t>
      </w:r>
      <w:bookmarkEnd w:id="202"/>
      <w:bookmarkEnd w:id="203"/>
      <w:bookmarkEnd w:id="204"/>
      <w:bookmarkEnd w:id="205"/>
    </w:p>
    <w:p w14:paraId="1A782CF2" w14:textId="77777777" w:rsidR="00494AE4" w:rsidRPr="00564B9D" w:rsidRDefault="00494AE4" w:rsidP="00494AE4">
      <w:pPr>
        <w:pStyle w:val="H1GA"/>
        <w:rPr>
          <w:rtl/>
        </w:rPr>
      </w:pPr>
      <w:r w:rsidRPr="00564B9D">
        <w:rPr>
          <w:rtl/>
        </w:rPr>
        <w:tab/>
      </w:r>
      <w:bookmarkStart w:id="206" w:name="_Toc123044154"/>
      <w:bookmarkStart w:id="207" w:name="_Toc123044377"/>
      <w:bookmarkStart w:id="208" w:name="_Toc123044638"/>
      <w:bookmarkStart w:id="209" w:name="_Toc123044900"/>
      <w:r w:rsidRPr="00564B9D">
        <w:rPr>
          <w:rtl/>
        </w:rPr>
        <w:t>ألف-</w:t>
      </w:r>
      <w:r w:rsidRPr="00564B9D">
        <w:rPr>
          <w:rtl/>
        </w:rPr>
        <w:tab/>
        <w:t>الخصائص الديمغرافية والاقتصادية والاجتماعية والثقافية</w:t>
      </w:r>
      <w:bookmarkEnd w:id="206"/>
      <w:bookmarkEnd w:id="207"/>
      <w:bookmarkEnd w:id="208"/>
      <w:bookmarkEnd w:id="209"/>
    </w:p>
    <w:tbl>
      <w:tblPr>
        <w:bidiVisual/>
        <w:tblW w:w="8392" w:type="dxa"/>
        <w:tblInd w:w="1247" w:type="dxa"/>
        <w:tblLayout w:type="fixed"/>
        <w:tblCellMar>
          <w:right w:w="113" w:type="dxa"/>
        </w:tblCellMar>
        <w:tblLook w:val="01E0" w:firstRow="1" w:lastRow="1" w:firstColumn="1" w:lastColumn="1" w:noHBand="0" w:noVBand="0"/>
      </w:tblPr>
      <w:tblGrid>
        <w:gridCol w:w="5196"/>
        <w:gridCol w:w="3196"/>
      </w:tblGrid>
      <w:tr w:rsidR="007B5A24" w:rsidRPr="00564B9D" w14:paraId="148B9ED5" w14:textId="77777777" w:rsidTr="00804944">
        <w:trPr>
          <w:trHeight w:val="240"/>
          <w:tblHeader/>
        </w:trPr>
        <w:tc>
          <w:tcPr>
            <w:tcW w:w="7285" w:type="dxa"/>
            <w:gridSpan w:val="2"/>
            <w:tcBorders>
              <w:top w:val="single" w:sz="4" w:space="0" w:color="auto"/>
              <w:bottom w:val="single" w:sz="12" w:space="0" w:color="auto"/>
            </w:tcBorders>
            <w:shd w:val="clear" w:color="auto" w:fill="auto"/>
            <w:vAlign w:val="bottom"/>
          </w:tcPr>
          <w:p w14:paraId="0F60EDB3"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 xml:space="preserve">المؤشرات الديمغرافية </w:t>
            </w:r>
          </w:p>
        </w:tc>
      </w:tr>
      <w:tr w:rsidR="007B5A24" w:rsidRPr="00564B9D" w14:paraId="37284F4C" w14:textId="77777777" w:rsidTr="00804944">
        <w:trPr>
          <w:trHeight w:val="240"/>
        </w:trPr>
        <w:tc>
          <w:tcPr>
            <w:tcW w:w="4511" w:type="dxa"/>
            <w:tcBorders>
              <w:top w:val="single" w:sz="12" w:space="0" w:color="auto"/>
            </w:tcBorders>
            <w:shd w:val="clear" w:color="auto" w:fill="auto"/>
          </w:tcPr>
          <w:p w14:paraId="4B590A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2774" w:type="dxa"/>
            <w:tcBorders>
              <w:top w:val="single" w:sz="12" w:space="0" w:color="auto"/>
            </w:tcBorders>
            <w:shd w:val="clear" w:color="auto" w:fill="auto"/>
          </w:tcPr>
          <w:p w14:paraId="31FC4D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bookmarkStart w:id="210" w:name="_Hlk123131672"/>
            <w:r w:rsidRPr="00564B9D">
              <w:rPr>
                <w:rFonts w:hint="cs"/>
                <w:sz w:val="20"/>
                <w:szCs w:val="20"/>
                <w:rtl/>
              </w:rPr>
              <w:t>003</w:t>
            </w:r>
            <w:r w:rsidRPr="00564B9D">
              <w:rPr>
                <w:sz w:val="20"/>
                <w:szCs w:val="20"/>
                <w:rtl/>
              </w:rPr>
              <w:t> </w:t>
            </w:r>
            <w:r w:rsidRPr="00564B9D">
              <w:rPr>
                <w:rFonts w:hint="cs"/>
                <w:sz w:val="20"/>
                <w:szCs w:val="20"/>
                <w:rtl/>
              </w:rPr>
              <w:t>34 (2016)</w:t>
            </w:r>
            <w:bookmarkEnd w:id="210"/>
          </w:p>
        </w:tc>
      </w:tr>
      <w:tr w:rsidR="007B5A24" w:rsidRPr="00564B9D" w14:paraId="7558AA73" w14:textId="77777777" w:rsidTr="00804944">
        <w:trPr>
          <w:trHeight w:val="240"/>
        </w:trPr>
        <w:tc>
          <w:tcPr>
            <w:tcW w:w="4511" w:type="dxa"/>
            <w:shd w:val="clear" w:color="auto" w:fill="auto"/>
          </w:tcPr>
          <w:p w14:paraId="2076DB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2774" w:type="dxa"/>
            <w:shd w:val="clear" w:color="auto" w:fill="auto"/>
          </w:tcPr>
          <w:p w14:paraId="0AD701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616</w:t>
            </w:r>
            <w:r w:rsidRPr="00564B9D">
              <w:rPr>
                <w:sz w:val="20"/>
                <w:szCs w:val="20"/>
                <w:rtl/>
              </w:rPr>
              <w:t> </w:t>
            </w:r>
            <w:r w:rsidRPr="00564B9D">
              <w:rPr>
                <w:rFonts w:hint="cs"/>
                <w:sz w:val="20"/>
                <w:szCs w:val="20"/>
                <w:rtl/>
              </w:rPr>
              <w:t>4</w:t>
            </w:r>
          </w:p>
        </w:tc>
      </w:tr>
      <w:tr w:rsidR="007B5A24" w:rsidRPr="00564B9D" w14:paraId="0E937E42" w14:textId="77777777" w:rsidTr="00804944">
        <w:trPr>
          <w:trHeight w:val="240"/>
        </w:trPr>
        <w:tc>
          <w:tcPr>
            <w:tcW w:w="4511" w:type="dxa"/>
            <w:shd w:val="clear" w:color="auto" w:fill="auto"/>
          </w:tcPr>
          <w:p w14:paraId="658FFD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2774" w:type="dxa"/>
            <w:shd w:val="clear" w:color="auto" w:fill="auto"/>
          </w:tcPr>
          <w:p w14:paraId="6003D8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231</w:t>
            </w:r>
            <w:r w:rsidRPr="00564B9D">
              <w:rPr>
                <w:sz w:val="20"/>
                <w:szCs w:val="20"/>
                <w:rtl/>
              </w:rPr>
              <w:t> </w:t>
            </w:r>
            <w:r w:rsidRPr="00564B9D">
              <w:rPr>
                <w:rFonts w:hint="cs"/>
                <w:sz w:val="20"/>
                <w:szCs w:val="20"/>
                <w:rtl/>
              </w:rPr>
              <w:t>5 (2016)</w:t>
            </w:r>
          </w:p>
        </w:tc>
      </w:tr>
      <w:tr w:rsidR="007B5A24" w:rsidRPr="00564B9D" w14:paraId="62D0361E" w14:textId="77777777" w:rsidTr="00804944">
        <w:trPr>
          <w:trHeight w:val="240"/>
        </w:trPr>
        <w:tc>
          <w:tcPr>
            <w:tcW w:w="4511" w:type="dxa"/>
            <w:shd w:val="clear" w:color="auto" w:fill="auto"/>
          </w:tcPr>
          <w:p w14:paraId="4B5F72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2774" w:type="dxa"/>
            <w:shd w:val="clear" w:color="auto" w:fill="auto"/>
          </w:tcPr>
          <w:p w14:paraId="27BB98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6C45D02" w14:textId="77777777" w:rsidTr="00804944">
        <w:trPr>
          <w:trHeight w:val="240"/>
        </w:trPr>
        <w:tc>
          <w:tcPr>
            <w:tcW w:w="4511" w:type="dxa"/>
            <w:shd w:val="clear" w:color="auto" w:fill="auto"/>
          </w:tcPr>
          <w:p w14:paraId="68B908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2774" w:type="dxa"/>
            <w:shd w:val="clear" w:color="auto" w:fill="auto"/>
          </w:tcPr>
          <w:p w14:paraId="1D7684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B878D5E" w14:textId="77777777" w:rsidTr="00804944">
        <w:trPr>
          <w:trHeight w:val="240"/>
        </w:trPr>
        <w:tc>
          <w:tcPr>
            <w:tcW w:w="4511" w:type="dxa"/>
            <w:shd w:val="clear" w:color="auto" w:fill="auto"/>
          </w:tcPr>
          <w:p w14:paraId="163114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الفئات الإثنية</w:t>
            </w:r>
          </w:p>
        </w:tc>
        <w:tc>
          <w:tcPr>
            <w:tcW w:w="2774" w:type="dxa"/>
            <w:shd w:val="clear" w:color="auto" w:fill="auto"/>
          </w:tcPr>
          <w:p w14:paraId="73DE203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EDED69B" w14:textId="77777777" w:rsidTr="00804944">
        <w:trPr>
          <w:trHeight w:val="240"/>
        </w:trPr>
        <w:tc>
          <w:tcPr>
            <w:tcW w:w="4511" w:type="dxa"/>
            <w:shd w:val="clear" w:color="auto" w:fill="auto"/>
          </w:tcPr>
          <w:p w14:paraId="0A4714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التركيب العمري للسكان </w:t>
            </w:r>
          </w:p>
        </w:tc>
        <w:tc>
          <w:tcPr>
            <w:tcW w:w="2774" w:type="dxa"/>
            <w:shd w:val="clear" w:color="auto" w:fill="auto"/>
          </w:tcPr>
          <w:p w14:paraId="63E8A7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(التعداد السكاني لعام 2012)</w:t>
            </w:r>
          </w:p>
          <w:p w14:paraId="6F5C2E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0</w:t>
            </w:r>
            <w:r w:rsidRPr="00564B9D">
              <w:rPr>
                <w:sz w:val="20"/>
                <w:szCs w:val="20"/>
                <w:rtl/>
              </w:rPr>
              <w:t>-</w:t>
            </w:r>
            <w:r w:rsidRPr="00564B9D">
              <w:rPr>
                <w:rFonts w:hint="cs"/>
                <w:sz w:val="20"/>
                <w:szCs w:val="20"/>
                <w:rtl/>
              </w:rPr>
              <w:t>14: 18,1 في المائة</w:t>
            </w:r>
          </w:p>
          <w:p w14:paraId="3E6FD8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15</w:t>
            </w:r>
            <w:r w:rsidRPr="00564B9D">
              <w:rPr>
                <w:sz w:val="20"/>
                <w:szCs w:val="20"/>
                <w:rtl/>
              </w:rPr>
              <w:t>-</w:t>
            </w:r>
            <w:r w:rsidRPr="00564B9D">
              <w:rPr>
                <w:rFonts w:hint="cs"/>
                <w:sz w:val="20"/>
                <w:szCs w:val="20"/>
                <w:rtl/>
              </w:rPr>
              <w:t>64: 65,6 في المائة</w:t>
            </w:r>
          </w:p>
          <w:p w14:paraId="63E40D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65 سنة فما فوق: 16,3 في المائة</w:t>
            </w:r>
          </w:p>
        </w:tc>
      </w:tr>
      <w:tr w:rsidR="007B5A24" w:rsidRPr="00564B9D" w14:paraId="4C29BDAC" w14:textId="77777777" w:rsidTr="00804944">
        <w:trPr>
          <w:trHeight w:val="240"/>
        </w:trPr>
        <w:tc>
          <w:tcPr>
            <w:tcW w:w="4511" w:type="dxa"/>
            <w:shd w:val="clear" w:color="auto" w:fill="auto"/>
          </w:tcPr>
          <w:p w14:paraId="05DBC2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2774" w:type="dxa"/>
            <w:shd w:val="clear" w:color="auto" w:fill="auto"/>
          </w:tcPr>
          <w:p w14:paraId="5ABE28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18,4 في المائة (التعداد السكاني لعام 2012)</w:t>
            </w:r>
          </w:p>
        </w:tc>
      </w:tr>
      <w:tr w:rsidR="007B5A24" w:rsidRPr="00564B9D" w14:paraId="502287E8" w14:textId="77777777" w:rsidTr="00804944">
        <w:trPr>
          <w:trHeight w:val="240"/>
        </w:trPr>
        <w:tc>
          <w:tcPr>
            <w:tcW w:w="4511" w:type="dxa"/>
            <w:shd w:val="clear" w:color="auto" w:fill="auto"/>
          </w:tcPr>
          <w:p w14:paraId="785E3BC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2774" w:type="dxa"/>
            <w:shd w:val="clear" w:color="auto" w:fill="auto"/>
          </w:tcPr>
          <w:p w14:paraId="52277E3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16,3 في المائة (التعداد السكاني لعام 2012)</w:t>
            </w:r>
          </w:p>
        </w:tc>
      </w:tr>
      <w:tr w:rsidR="007B5A24" w:rsidRPr="00564B9D" w14:paraId="46E7CCFB" w14:textId="77777777" w:rsidTr="00804944">
        <w:trPr>
          <w:trHeight w:val="240"/>
        </w:trPr>
        <w:tc>
          <w:tcPr>
            <w:tcW w:w="4511" w:type="dxa"/>
            <w:shd w:val="clear" w:color="auto" w:fill="auto"/>
          </w:tcPr>
          <w:p w14:paraId="57C4AD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2774" w:type="dxa"/>
            <w:shd w:val="clear" w:color="auto" w:fill="auto"/>
          </w:tcPr>
          <w:p w14:paraId="2F3CB4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12,5 (2016)</w:t>
            </w:r>
          </w:p>
        </w:tc>
      </w:tr>
      <w:tr w:rsidR="007B5A24" w:rsidRPr="00564B9D" w14:paraId="7B76305E" w14:textId="77777777" w:rsidTr="00804944">
        <w:trPr>
          <w:trHeight w:val="240"/>
        </w:trPr>
        <w:tc>
          <w:tcPr>
            <w:tcW w:w="4511" w:type="dxa"/>
            <w:shd w:val="clear" w:color="auto" w:fill="auto"/>
          </w:tcPr>
          <w:p w14:paraId="45AF9C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2774" w:type="dxa"/>
            <w:shd w:val="clear" w:color="auto" w:fill="auto"/>
          </w:tcPr>
          <w:p w14:paraId="7D1DCE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صفر </w:t>
            </w:r>
            <w:r w:rsidRPr="00564B9D">
              <w:rPr>
                <w:sz w:val="20"/>
                <w:szCs w:val="20"/>
                <w:rtl/>
              </w:rPr>
              <w:t>(من عام 2016 حتى يومنا هذا لم تكن هناك وفيات بين الأطفال)</w:t>
            </w:r>
          </w:p>
        </w:tc>
      </w:tr>
      <w:tr w:rsidR="007B5A24" w:rsidRPr="00564B9D" w14:paraId="772ABD28" w14:textId="77777777" w:rsidTr="00804944">
        <w:trPr>
          <w:trHeight w:val="240"/>
        </w:trPr>
        <w:tc>
          <w:tcPr>
            <w:tcW w:w="4511" w:type="dxa"/>
            <w:shd w:val="clear" w:color="auto" w:fill="auto"/>
          </w:tcPr>
          <w:p w14:paraId="002A85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2774" w:type="dxa"/>
            <w:shd w:val="clear" w:color="auto" w:fill="auto"/>
          </w:tcPr>
          <w:p w14:paraId="7A42FE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7,3 (2016)</w:t>
            </w:r>
          </w:p>
        </w:tc>
      </w:tr>
      <w:tr w:rsidR="007B5A24" w:rsidRPr="00564B9D" w14:paraId="1F9F6212" w14:textId="77777777" w:rsidTr="00804944">
        <w:trPr>
          <w:trHeight w:val="240"/>
        </w:trPr>
        <w:tc>
          <w:tcPr>
            <w:tcW w:w="4511" w:type="dxa"/>
            <w:shd w:val="clear" w:color="auto" w:fill="auto"/>
          </w:tcPr>
          <w:p w14:paraId="3DA7A0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2774" w:type="dxa"/>
            <w:shd w:val="clear" w:color="auto" w:fill="auto"/>
          </w:tcPr>
          <w:p w14:paraId="62C0F5B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E038897" w14:textId="77777777" w:rsidTr="00804944">
        <w:trPr>
          <w:trHeight w:val="240"/>
        </w:trPr>
        <w:tc>
          <w:tcPr>
            <w:tcW w:w="4511" w:type="dxa"/>
            <w:shd w:val="clear" w:color="auto" w:fill="auto"/>
          </w:tcPr>
          <w:p w14:paraId="408218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رجال</w:t>
            </w:r>
          </w:p>
        </w:tc>
        <w:tc>
          <w:tcPr>
            <w:tcW w:w="2774" w:type="dxa"/>
            <w:shd w:val="clear" w:color="auto" w:fill="auto"/>
          </w:tcPr>
          <w:p w14:paraId="59EAC1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80,9 (التعداد السكاني لعام 2012)</w:t>
            </w:r>
          </w:p>
        </w:tc>
      </w:tr>
      <w:tr w:rsidR="007B5A24" w:rsidRPr="00564B9D" w14:paraId="35DD9665" w14:textId="77777777" w:rsidTr="00804944">
        <w:trPr>
          <w:trHeight w:val="240"/>
        </w:trPr>
        <w:tc>
          <w:tcPr>
            <w:tcW w:w="4511" w:type="dxa"/>
            <w:shd w:val="clear" w:color="auto" w:fill="auto"/>
          </w:tcPr>
          <w:p w14:paraId="089BDD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نساء </w:t>
            </w:r>
          </w:p>
        </w:tc>
        <w:tc>
          <w:tcPr>
            <w:tcW w:w="2774" w:type="dxa"/>
            <w:shd w:val="clear" w:color="auto" w:fill="auto"/>
          </w:tcPr>
          <w:p w14:paraId="5E888184" w14:textId="3DDDDBB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85,6 </w:t>
            </w:r>
            <w:r w:rsidR="00C54AEA" w:rsidRPr="00564B9D">
              <w:rPr>
                <w:rFonts w:hint="cs"/>
                <w:sz w:val="20"/>
                <w:szCs w:val="20"/>
                <w:rtl/>
              </w:rPr>
              <w:t>(التعداد السكاني لعام 2012)</w:t>
            </w:r>
          </w:p>
        </w:tc>
      </w:tr>
      <w:tr w:rsidR="007B5A24" w:rsidRPr="00564B9D" w14:paraId="02C6FD71" w14:textId="77777777" w:rsidTr="00804944">
        <w:trPr>
          <w:trHeight w:val="240"/>
        </w:trPr>
        <w:tc>
          <w:tcPr>
            <w:tcW w:w="4511" w:type="dxa"/>
            <w:shd w:val="clear" w:color="auto" w:fill="auto"/>
          </w:tcPr>
          <w:p w14:paraId="10DF7A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2774" w:type="dxa"/>
            <w:shd w:val="clear" w:color="auto" w:fill="auto"/>
          </w:tcPr>
          <w:p w14:paraId="687244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2,2 (2007)</w:t>
            </w:r>
          </w:p>
        </w:tc>
      </w:tr>
      <w:tr w:rsidR="007B5A24" w:rsidRPr="00564B9D" w14:paraId="7B78E1B9" w14:textId="77777777" w:rsidTr="00804944">
        <w:trPr>
          <w:trHeight w:val="240"/>
        </w:trPr>
        <w:tc>
          <w:tcPr>
            <w:tcW w:w="4511" w:type="dxa"/>
            <w:shd w:val="clear" w:color="auto" w:fill="auto"/>
          </w:tcPr>
          <w:p w14:paraId="26F580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2774" w:type="dxa"/>
            <w:shd w:val="clear" w:color="auto" w:fill="auto"/>
          </w:tcPr>
          <w:p w14:paraId="3355BE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2,7 (التعداد السكاني لعام 2012)</w:t>
            </w:r>
          </w:p>
        </w:tc>
      </w:tr>
      <w:tr w:rsidR="007B5A24" w:rsidRPr="00564B9D" w14:paraId="50854D8B" w14:textId="77777777" w:rsidTr="00804944">
        <w:trPr>
          <w:trHeight w:val="240"/>
        </w:trPr>
        <w:tc>
          <w:tcPr>
            <w:tcW w:w="4511" w:type="dxa"/>
            <w:tcBorders>
              <w:bottom w:val="single" w:sz="12" w:space="0" w:color="auto"/>
            </w:tcBorders>
            <w:shd w:val="clear" w:color="auto" w:fill="auto"/>
          </w:tcPr>
          <w:p w14:paraId="677878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2774" w:type="dxa"/>
            <w:tcBorders>
              <w:bottom w:val="single" w:sz="12" w:space="0" w:color="auto"/>
            </w:tcBorders>
            <w:shd w:val="clear" w:color="auto" w:fill="auto"/>
          </w:tcPr>
          <w:p w14:paraId="13A588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24FC9C19"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5162"/>
        <w:gridCol w:w="3230"/>
      </w:tblGrid>
      <w:tr w:rsidR="007B5A24" w:rsidRPr="00564B9D" w14:paraId="51A661CC" w14:textId="77777777" w:rsidTr="00804944">
        <w:trPr>
          <w:trHeight w:val="240"/>
          <w:tblHeader/>
        </w:trPr>
        <w:tc>
          <w:tcPr>
            <w:tcW w:w="7288" w:type="dxa"/>
            <w:gridSpan w:val="2"/>
            <w:tcBorders>
              <w:top w:val="single" w:sz="4" w:space="0" w:color="auto"/>
              <w:bottom w:val="single" w:sz="12" w:space="0" w:color="auto"/>
            </w:tcBorders>
            <w:shd w:val="clear" w:color="auto" w:fill="auto"/>
            <w:vAlign w:val="bottom"/>
          </w:tcPr>
          <w:p w14:paraId="09FD335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4CAED3BB" w14:textId="77777777" w:rsidTr="00804944">
        <w:trPr>
          <w:trHeight w:val="240"/>
        </w:trPr>
        <w:tc>
          <w:tcPr>
            <w:tcW w:w="4483" w:type="dxa"/>
            <w:tcBorders>
              <w:top w:val="single" w:sz="12" w:space="0" w:color="auto"/>
            </w:tcBorders>
            <w:shd w:val="clear" w:color="auto" w:fill="auto"/>
          </w:tcPr>
          <w:p w14:paraId="7702B1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2805" w:type="dxa"/>
            <w:tcBorders>
              <w:top w:val="single" w:sz="12" w:space="0" w:color="auto"/>
            </w:tcBorders>
            <w:shd w:val="clear" w:color="auto" w:fill="auto"/>
          </w:tcPr>
          <w:p w14:paraId="3D6E54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1E43C0A" w14:textId="77777777" w:rsidTr="00804944">
        <w:trPr>
          <w:trHeight w:val="240"/>
        </w:trPr>
        <w:tc>
          <w:tcPr>
            <w:tcW w:w="4483" w:type="dxa"/>
            <w:shd w:val="clear" w:color="auto" w:fill="auto"/>
          </w:tcPr>
          <w:p w14:paraId="69FD88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2805" w:type="dxa"/>
            <w:shd w:val="clear" w:color="auto" w:fill="auto"/>
          </w:tcPr>
          <w:p w14:paraId="3E6488E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D029F57" w14:textId="77777777" w:rsidTr="00804944">
        <w:trPr>
          <w:trHeight w:val="240"/>
        </w:trPr>
        <w:tc>
          <w:tcPr>
            <w:tcW w:w="4483" w:type="dxa"/>
            <w:shd w:val="clear" w:color="auto" w:fill="auto"/>
          </w:tcPr>
          <w:p w14:paraId="1BE021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2805" w:type="dxa"/>
            <w:shd w:val="clear" w:color="auto" w:fill="auto"/>
          </w:tcPr>
          <w:p w14:paraId="007AAB1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6631CC9" w14:textId="77777777" w:rsidTr="00804944">
        <w:trPr>
          <w:trHeight w:val="240"/>
        </w:trPr>
        <w:tc>
          <w:tcPr>
            <w:tcW w:w="4483" w:type="dxa"/>
            <w:shd w:val="clear" w:color="auto" w:fill="auto"/>
          </w:tcPr>
          <w:p w14:paraId="68A7D4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2805" w:type="dxa"/>
            <w:shd w:val="clear" w:color="auto" w:fill="auto"/>
          </w:tcPr>
          <w:p w14:paraId="099C90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E4E1A74" w14:textId="77777777" w:rsidTr="00804944">
        <w:trPr>
          <w:trHeight w:val="240"/>
        </w:trPr>
        <w:tc>
          <w:tcPr>
            <w:tcW w:w="4483" w:type="dxa"/>
            <w:shd w:val="clear" w:color="auto" w:fill="auto"/>
          </w:tcPr>
          <w:p w14:paraId="33542C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2805" w:type="dxa"/>
            <w:shd w:val="clear" w:color="auto" w:fill="auto"/>
          </w:tcPr>
          <w:p w14:paraId="3F3C10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FA00CDF" w14:textId="77777777" w:rsidTr="00804944">
        <w:trPr>
          <w:trHeight w:val="240"/>
        </w:trPr>
        <w:tc>
          <w:tcPr>
            <w:tcW w:w="4483" w:type="dxa"/>
            <w:shd w:val="clear" w:color="auto" w:fill="auto"/>
          </w:tcPr>
          <w:p w14:paraId="1559C8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معدلات وفيات الرضّع والأمهات (لكل 000</w:t>
            </w:r>
            <w:r w:rsidRPr="00564B9D">
              <w:rPr>
                <w:sz w:val="20"/>
                <w:szCs w:val="20"/>
                <w:rtl/>
              </w:rPr>
              <w:t> </w:t>
            </w:r>
            <w:r w:rsidRPr="00564B9D">
              <w:rPr>
                <w:rFonts w:hint="cs"/>
                <w:sz w:val="20"/>
                <w:szCs w:val="20"/>
                <w:rtl/>
              </w:rPr>
              <w:t>1 مولود حي)</w:t>
            </w:r>
          </w:p>
        </w:tc>
        <w:tc>
          <w:tcPr>
            <w:tcW w:w="2805" w:type="dxa"/>
            <w:shd w:val="clear" w:color="auto" w:fill="auto"/>
          </w:tcPr>
          <w:p w14:paraId="3070BA1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صفر </w:t>
            </w:r>
            <w:r w:rsidRPr="00564B9D">
              <w:rPr>
                <w:sz w:val="20"/>
                <w:szCs w:val="20"/>
                <w:rtl/>
              </w:rPr>
              <w:t>(من بين جميع الوفيات من عام 2016 حتى يومنا هذا، لم يتم تسجيل وفيات رضع أو أمهات)</w:t>
            </w:r>
          </w:p>
        </w:tc>
      </w:tr>
      <w:tr w:rsidR="007B5A24" w:rsidRPr="00564B9D" w14:paraId="6BD3B0C5" w14:textId="77777777" w:rsidTr="00804944">
        <w:trPr>
          <w:trHeight w:val="240"/>
        </w:trPr>
        <w:tc>
          <w:tcPr>
            <w:tcW w:w="4483" w:type="dxa"/>
            <w:shd w:val="clear" w:color="auto" w:fill="auto"/>
          </w:tcPr>
          <w:p w14:paraId="6A1AC5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2805" w:type="dxa"/>
            <w:shd w:val="clear" w:color="auto" w:fill="auto"/>
          </w:tcPr>
          <w:p w14:paraId="200E9E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D15B298" w14:textId="77777777" w:rsidTr="00804944">
        <w:trPr>
          <w:trHeight w:val="240"/>
        </w:trPr>
        <w:tc>
          <w:tcPr>
            <w:tcW w:w="4483" w:type="dxa"/>
            <w:shd w:val="clear" w:color="auto" w:fill="auto"/>
          </w:tcPr>
          <w:p w14:paraId="33315C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2805" w:type="dxa"/>
            <w:shd w:val="clear" w:color="auto" w:fill="auto"/>
          </w:tcPr>
          <w:p w14:paraId="07AE84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787A6E0" w14:textId="77777777" w:rsidTr="00804944">
        <w:trPr>
          <w:trHeight w:val="240"/>
        </w:trPr>
        <w:tc>
          <w:tcPr>
            <w:tcW w:w="4483" w:type="dxa"/>
            <w:shd w:val="clear" w:color="auto" w:fill="auto"/>
          </w:tcPr>
          <w:p w14:paraId="5471556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2805" w:type="dxa"/>
            <w:shd w:val="clear" w:color="auto" w:fill="auto"/>
          </w:tcPr>
          <w:p w14:paraId="1AE5FE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حالات الإصابة بالإيدز نادرة جداً. تقدر نسبة انتشار فيروس نقص المناعة البشرية بأقل من 0,1 في المائة من السكان.</w:t>
            </w:r>
          </w:p>
          <w:p w14:paraId="0458A3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الأمراض السارية الرئيسية هي إنفلونزا الشتاء (لم يسجل عدد الإصابات)، الأمراض المنقولة بواسطة الأطعمة (في الصيف (حوالى 2,1 حالة لكل 000</w:t>
            </w:r>
            <w:r w:rsidRPr="00564B9D">
              <w:rPr>
                <w:sz w:val="20"/>
                <w:szCs w:val="20"/>
                <w:rtl/>
              </w:rPr>
              <w:t> </w:t>
            </w:r>
            <w:r w:rsidRPr="00564B9D">
              <w:rPr>
                <w:rFonts w:hint="cs"/>
                <w:sz w:val="20"/>
                <w:szCs w:val="20"/>
                <w:rtl/>
              </w:rPr>
              <w:t xml:space="preserve">1 من السكان في السنة) ومرض الإسهال الناتج عن الفيروس العجلي </w:t>
            </w:r>
            <w:r w:rsidRPr="00564B9D">
              <w:rPr>
                <w:sz w:val="20"/>
                <w:szCs w:val="20"/>
              </w:rPr>
              <w:t>(Rotavirus)</w:t>
            </w:r>
            <w:r w:rsidRPr="00564B9D">
              <w:rPr>
                <w:rFonts w:hint="cs"/>
                <w:sz w:val="20"/>
                <w:szCs w:val="20"/>
                <w:rtl/>
              </w:rPr>
              <w:t xml:space="preserve"> (حوالي حالتين لكل 000</w:t>
            </w:r>
            <w:r w:rsidRPr="00564B9D">
              <w:rPr>
                <w:sz w:val="20"/>
                <w:szCs w:val="20"/>
                <w:rtl/>
              </w:rPr>
              <w:t> </w:t>
            </w:r>
            <w:r w:rsidRPr="00564B9D">
              <w:rPr>
                <w:rFonts w:hint="cs"/>
                <w:sz w:val="20"/>
                <w:szCs w:val="20"/>
                <w:rtl/>
              </w:rPr>
              <w:t xml:space="preserve">1 من السكان سنوياً) </w:t>
            </w:r>
          </w:p>
        </w:tc>
      </w:tr>
      <w:tr w:rsidR="007B5A24" w:rsidRPr="00564B9D" w14:paraId="22582E07" w14:textId="77777777" w:rsidTr="00804944">
        <w:trPr>
          <w:trHeight w:val="240"/>
        </w:trPr>
        <w:tc>
          <w:tcPr>
            <w:tcW w:w="4483" w:type="dxa"/>
            <w:shd w:val="clear" w:color="auto" w:fill="auto"/>
          </w:tcPr>
          <w:p w14:paraId="0A19B7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2805" w:type="dxa"/>
            <w:shd w:val="clear" w:color="auto" w:fill="auto"/>
          </w:tcPr>
          <w:p w14:paraId="17AF86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الأمراض السارية السائدة: لا يوجد</w:t>
            </w:r>
          </w:p>
          <w:p w14:paraId="43DA22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يسجل انتشار الأمراض غير السارية لكن نسبته تقدر بأنها ضمن حدود معايير أوروبا الغربية.</w:t>
            </w:r>
          </w:p>
        </w:tc>
      </w:tr>
      <w:tr w:rsidR="007B5A24" w:rsidRPr="00564B9D" w14:paraId="3859E28E" w14:textId="77777777" w:rsidTr="00804944">
        <w:trPr>
          <w:trHeight w:val="240"/>
        </w:trPr>
        <w:tc>
          <w:tcPr>
            <w:tcW w:w="4483" w:type="dxa"/>
            <w:shd w:val="clear" w:color="auto" w:fill="auto"/>
          </w:tcPr>
          <w:p w14:paraId="2BEA80F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2805" w:type="dxa"/>
            <w:shd w:val="clear" w:color="auto" w:fill="auto"/>
          </w:tcPr>
          <w:p w14:paraId="5E621C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التهاب الرئة</w:t>
            </w:r>
          </w:p>
          <w:p w14:paraId="74F04B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الذبحة القلبية/مرض القلب</w:t>
            </w:r>
          </w:p>
          <w:p w14:paraId="419A2F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إنتان</w:t>
            </w:r>
          </w:p>
          <w:p w14:paraId="53157F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التهابات الجهاز التنفسي السفلي الأخرى</w:t>
            </w:r>
          </w:p>
          <w:p w14:paraId="7AD4CB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الرئة</w:t>
            </w:r>
          </w:p>
          <w:p w14:paraId="509809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المعدة</w:t>
            </w:r>
          </w:p>
          <w:p w14:paraId="73A0A6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فشل كلوي</w:t>
            </w:r>
          </w:p>
          <w:p w14:paraId="750FD2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جلطة دماغية</w:t>
            </w:r>
          </w:p>
          <w:p w14:paraId="7B117A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كوفيد-19 (والمضاعفات المرتبطة به)</w:t>
            </w:r>
          </w:p>
          <w:p w14:paraId="688B05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الخرف</w:t>
            </w:r>
          </w:p>
        </w:tc>
      </w:tr>
      <w:tr w:rsidR="007B5A24" w:rsidRPr="00564B9D" w14:paraId="40C70375" w14:textId="77777777" w:rsidTr="00804944">
        <w:trPr>
          <w:trHeight w:val="240"/>
        </w:trPr>
        <w:tc>
          <w:tcPr>
            <w:tcW w:w="4483" w:type="dxa"/>
            <w:shd w:val="clear" w:color="auto" w:fill="auto"/>
          </w:tcPr>
          <w:p w14:paraId="6B5541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2805" w:type="dxa"/>
            <w:shd w:val="clear" w:color="auto" w:fill="auto"/>
          </w:tcPr>
          <w:p w14:paraId="40C42B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100 في المائة </w:t>
            </w:r>
          </w:p>
        </w:tc>
      </w:tr>
      <w:tr w:rsidR="007B5A24" w:rsidRPr="00564B9D" w14:paraId="6072065A" w14:textId="77777777" w:rsidTr="00804944">
        <w:trPr>
          <w:trHeight w:val="240"/>
        </w:trPr>
        <w:tc>
          <w:tcPr>
            <w:tcW w:w="4483" w:type="dxa"/>
            <w:shd w:val="clear" w:color="auto" w:fill="auto"/>
          </w:tcPr>
          <w:p w14:paraId="2DDC6D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2805" w:type="dxa"/>
            <w:shd w:val="clear" w:color="auto" w:fill="auto"/>
          </w:tcPr>
          <w:p w14:paraId="7C5EEB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في المائة حتى السن الدراسي القانوني البالغ 15 سنة</w:t>
            </w:r>
          </w:p>
        </w:tc>
      </w:tr>
      <w:tr w:rsidR="007B5A24" w:rsidRPr="00564B9D" w14:paraId="726E3121" w14:textId="77777777" w:rsidTr="00804944">
        <w:trPr>
          <w:trHeight w:val="240"/>
        </w:trPr>
        <w:tc>
          <w:tcPr>
            <w:tcW w:w="4483" w:type="dxa"/>
            <w:shd w:val="clear" w:color="auto" w:fill="auto"/>
          </w:tcPr>
          <w:p w14:paraId="116A8A3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2805" w:type="dxa"/>
            <w:shd w:val="clear" w:color="auto" w:fill="auto"/>
          </w:tcPr>
          <w:p w14:paraId="3F45C3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14,5 </w:t>
            </w:r>
          </w:p>
        </w:tc>
      </w:tr>
      <w:tr w:rsidR="007B5A24" w:rsidRPr="00564B9D" w14:paraId="12C720BB" w14:textId="77777777" w:rsidTr="00804944">
        <w:trPr>
          <w:trHeight w:val="240"/>
        </w:trPr>
        <w:tc>
          <w:tcPr>
            <w:tcW w:w="4483" w:type="dxa"/>
            <w:shd w:val="clear" w:color="auto" w:fill="auto"/>
          </w:tcPr>
          <w:p w14:paraId="085FA9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2805" w:type="dxa"/>
            <w:shd w:val="clear" w:color="auto" w:fill="auto"/>
          </w:tcPr>
          <w:p w14:paraId="58FD91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تحفظ أية إحصاءات (يفترض أن النسبة تبلغ 100 في المائة)</w:t>
            </w:r>
          </w:p>
        </w:tc>
      </w:tr>
      <w:tr w:rsidR="007B5A24" w:rsidRPr="00564B9D" w14:paraId="2810EF39" w14:textId="77777777" w:rsidTr="00804944">
        <w:trPr>
          <w:trHeight w:val="240"/>
        </w:trPr>
        <w:tc>
          <w:tcPr>
            <w:tcW w:w="4483" w:type="dxa"/>
            <w:shd w:val="clear" w:color="auto" w:fill="auto"/>
          </w:tcPr>
          <w:p w14:paraId="7C3F555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2805" w:type="dxa"/>
            <w:shd w:val="clear" w:color="auto" w:fill="auto"/>
          </w:tcPr>
          <w:p w14:paraId="24BAA9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0,3 في المائة من القوة العاملة الكلية (0,46 في المائة من القوة العاملة المقيمة)</w:t>
            </w:r>
          </w:p>
        </w:tc>
      </w:tr>
      <w:tr w:rsidR="007B5A24" w:rsidRPr="00564B9D" w14:paraId="2EB5D5D9" w14:textId="77777777" w:rsidTr="00804944">
        <w:trPr>
          <w:trHeight w:val="240"/>
        </w:trPr>
        <w:tc>
          <w:tcPr>
            <w:tcW w:w="4483" w:type="dxa"/>
            <w:shd w:val="clear" w:color="auto" w:fill="auto"/>
          </w:tcPr>
          <w:p w14:paraId="2CB617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2805" w:type="dxa"/>
            <w:shd w:val="clear" w:color="auto" w:fill="auto"/>
          </w:tcPr>
          <w:p w14:paraId="60B81E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(2018)</w:t>
            </w:r>
          </w:p>
          <w:p w14:paraId="1276BA44" w14:textId="0342CA3C"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بناء السفن - </w:t>
            </w:r>
            <w:r w:rsidR="00C54AEA" w:rsidRPr="00564B9D">
              <w:rPr>
                <w:rFonts w:hint="cs"/>
                <w:sz w:val="20"/>
                <w:szCs w:val="20"/>
                <w:rtl/>
              </w:rPr>
              <w:t>2</w:t>
            </w:r>
          </w:p>
          <w:p w14:paraId="6FD48B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صناعة أخرى - 237</w:t>
            </w:r>
          </w:p>
          <w:p w14:paraId="47EB702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إمداد الكهرباء والمياه - 260</w:t>
            </w:r>
          </w:p>
          <w:p w14:paraId="2E3B1E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البناء</w:t>
            </w:r>
            <w:r w:rsidRPr="00564B9D">
              <w:rPr>
                <w:rFonts w:hint="cs"/>
                <w:sz w:val="20"/>
                <w:szCs w:val="20"/>
                <w:rtl/>
              </w:rPr>
              <w:t xml:space="preserve"> </w:t>
            </w:r>
            <w:r w:rsidRPr="00564B9D">
              <w:rPr>
                <w:sz w:val="20"/>
                <w:szCs w:val="20"/>
                <w:rtl/>
              </w:rPr>
              <w:t>-</w:t>
            </w:r>
            <w:r w:rsidRPr="00564B9D">
              <w:rPr>
                <w:rFonts w:hint="cs"/>
                <w:sz w:val="20"/>
                <w:szCs w:val="20"/>
                <w:rtl/>
              </w:rPr>
              <w:t xml:space="preserve"> 062 4</w:t>
            </w:r>
          </w:p>
          <w:p w14:paraId="2D0EF3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 xml:space="preserve">تجارة الجملة والتجزئة - </w:t>
            </w:r>
            <w:r w:rsidRPr="00564B9D">
              <w:rPr>
                <w:rFonts w:hint="cs"/>
                <w:sz w:val="20"/>
                <w:szCs w:val="20"/>
                <w:rtl/>
              </w:rPr>
              <w:t>560 3</w:t>
            </w:r>
          </w:p>
          <w:p w14:paraId="318DAF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الفنادق والمطاعم - </w:t>
            </w:r>
            <w:r w:rsidRPr="00564B9D">
              <w:rPr>
                <w:rFonts w:hint="cs"/>
                <w:sz w:val="20"/>
                <w:szCs w:val="20"/>
                <w:rtl/>
              </w:rPr>
              <w:t>122 2</w:t>
            </w:r>
          </w:p>
          <w:p w14:paraId="238CF3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النقل والمواصلات - </w:t>
            </w:r>
            <w:r w:rsidRPr="00564B9D">
              <w:rPr>
                <w:rFonts w:hint="cs"/>
                <w:sz w:val="20"/>
                <w:szCs w:val="20"/>
                <w:rtl/>
              </w:rPr>
              <w:t>848 1</w:t>
            </w:r>
            <w:r w:rsidRPr="00564B9D">
              <w:rPr>
                <w:sz w:val="20"/>
                <w:szCs w:val="20"/>
                <w:rtl/>
              </w:rPr>
              <w:t xml:space="preserve"> وساطة مالية</w:t>
            </w:r>
            <w:r w:rsidRPr="00564B9D">
              <w:rPr>
                <w:rFonts w:hint="cs"/>
                <w:sz w:val="20"/>
                <w:szCs w:val="20"/>
                <w:rtl/>
              </w:rPr>
              <w:t> </w:t>
            </w:r>
            <w:r w:rsidRPr="00564B9D">
              <w:rPr>
                <w:sz w:val="20"/>
                <w:szCs w:val="20"/>
                <w:rtl/>
              </w:rPr>
              <w:t xml:space="preserve">– </w:t>
            </w:r>
            <w:r w:rsidRPr="00564B9D">
              <w:rPr>
                <w:rFonts w:hint="cs"/>
                <w:sz w:val="20"/>
                <w:szCs w:val="20"/>
                <w:rtl/>
              </w:rPr>
              <w:t>273 2</w:t>
            </w:r>
          </w:p>
          <w:p w14:paraId="7171CC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العقارات والأنشطة التجارية – </w:t>
            </w:r>
            <w:r w:rsidRPr="00564B9D">
              <w:rPr>
                <w:rFonts w:hint="cs"/>
                <w:sz w:val="20"/>
                <w:szCs w:val="20"/>
                <w:rtl/>
              </w:rPr>
              <w:t>976 3</w:t>
            </w:r>
          </w:p>
          <w:p w14:paraId="35C7B9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الإدارة العامة والدفاع -</w:t>
            </w:r>
            <w:r w:rsidRPr="00564B9D">
              <w:rPr>
                <w:rFonts w:hint="cs"/>
                <w:sz w:val="20"/>
                <w:szCs w:val="20"/>
                <w:rtl/>
              </w:rPr>
              <w:t>256 2</w:t>
            </w:r>
          </w:p>
          <w:p w14:paraId="4A22BF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التعليم</w:t>
            </w:r>
            <w:r w:rsidRPr="00564B9D">
              <w:rPr>
                <w:rFonts w:hint="cs"/>
                <w:sz w:val="20"/>
                <w:szCs w:val="20"/>
                <w:rtl/>
              </w:rPr>
              <w:t xml:space="preserve"> </w:t>
            </w:r>
            <w:r w:rsidRPr="00564B9D">
              <w:rPr>
                <w:sz w:val="20"/>
                <w:szCs w:val="20"/>
                <w:rtl/>
              </w:rPr>
              <w:t>–</w:t>
            </w:r>
            <w:r w:rsidRPr="00564B9D">
              <w:rPr>
                <w:rFonts w:hint="cs"/>
                <w:sz w:val="20"/>
                <w:szCs w:val="20"/>
                <w:rtl/>
              </w:rPr>
              <w:t xml:space="preserve"> 238 1</w:t>
            </w:r>
          </w:p>
          <w:p w14:paraId="320E17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الصحة والعمل الاجتماعي – </w:t>
            </w:r>
            <w:r w:rsidRPr="00564B9D">
              <w:rPr>
                <w:rFonts w:hint="cs"/>
                <w:sz w:val="20"/>
                <w:szCs w:val="20"/>
                <w:rtl/>
              </w:rPr>
              <w:t>876 2</w:t>
            </w:r>
          </w:p>
          <w:p w14:paraId="07359C32" w14:textId="34550F9A" w:rsidR="00494AE4" w:rsidRPr="00564B9D" w:rsidRDefault="00494AE4" w:rsidP="00C54AEA">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خدمات أخرى – </w:t>
            </w:r>
            <w:r w:rsidRPr="00564B9D">
              <w:rPr>
                <w:rFonts w:hint="cs"/>
                <w:sz w:val="20"/>
                <w:szCs w:val="20"/>
                <w:rtl/>
              </w:rPr>
              <w:t>052 5</w:t>
            </w:r>
          </w:p>
        </w:tc>
      </w:tr>
      <w:tr w:rsidR="007B5A24" w:rsidRPr="00564B9D" w14:paraId="5C0E1AB7" w14:textId="77777777" w:rsidTr="00804944">
        <w:trPr>
          <w:trHeight w:val="240"/>
        </w:trPr>
        <w:tc>
          <w:tcPr>
            <w:tcW w:w="4483" w:type="dxa"/>
            <w:shd w:val="clear" w:color="auto" w:fill="auto"/>
          </w:tcPr>
          <w:p w14:paraId="10D9BB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معدلات المشاركة في العمل </w:t>
            </w:r>
          </w:p>
        </w:tc>
        <w:tc>
          <w:tcPr>
            <w:tcW w:w="2805" w:type="dxa"/>
            <w:shd w:val="clear" w:color="auto" w:fill="auto"/>
          </w:tcPr>
          <w:p w14:paraId="0C02A2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570DD32" w14:textId="77777777" w:rsidTr="00804944">
        <w:trPr>
          <w:trHeight w:val="240"/>
        </w:trPr>
        <w:tc>
          <w:tcPr>
            <w:tcW w:w="4483" w:type="dxa"/>
            <w:shd w:val="clear" w:color="auto" w:fill="auto"/>
          </w:tcPr>
          <w:p w14:paraId="2423BF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2805" w:type="dxa"/>
            <w:shd w:val="clear" w:color="auto" w:fill="auto"/>
          </w:tcPr>
          <w:p w14:paraId="0A6B67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F21B677" w14:textId="77777777" w:rsidTr="00804944">
        <w:trPr>
          <w:trHeight w:val="240"/>
        </w:trPr>
        <w:tc>
          <w:tcPr>
            <w:tcW w:w="4483" w:type="dxa"/>
            <w:shd w:val="clear" w:color="auto" w:fill="auto"/>
          </w:tcPr>
          <w:p w14:paraId="65E2B7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2805" w:type="dxa"/>
            <w:shd w:val="clear" w:color="auto" w:fill="auto"/>
          </w:tcPr>
          <w:p w14:paraId="45B42D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نصيب الفرد من الناتج المحلي الإجمالي: 917</w:t>
            </w:r>
            <w:r w:rsidRPr="00564B9D">
              <w:rPr>
                <w:sz w:val="20"/>
                <w:szCs w:val="20"/>
                <w:rtl/>
              </w:rPr>
              <w:t> </w:t>
            </w:r>
            <w:r w:rsidRPr="00564B9D">
              <w:rPr>
                <w:rFonts w:hint="cs"/>
                <w:sz w:val="20"/>
                <w:szCs w:val="20"/>
                <w:rtl/>
              </w:rPr>
              <w:t>69 جنيهاً استرلينياً (2018-2019)</w:t>
            </w:r>
          </w:p>
          <w:p w14:paraId="2C45DC50" w14:textId="5F9B2F32"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نصيب الفرد من الناتج القومي الإجمالي: 974</w:t>
            </w:r>
            <w:r w:rsidRPr="00564B9D">
              <w:rPr>
                <w:sz w:val="20"/>
                <w:szCs w:val="20"/>
                <w:rtl/>
              </w:rPr>
              <w:t> </w:t>
            </w:r>
            <w:r w:rsidRPr="00564B9D">
              <w:rPr>
                <w:rFonts w:hint="cs"/>
                <w:sz w:val="20"/>
                <w:szCs w:val="20"/>
                <w:rtl/>
              </w:rPr>
              <w:t>50 جنيهاً استرلينياً (</w:t>
            </w:r>
            <w:r w:rsidR="00DF7C00" w:rsidRPr="00564B9D">
              <w:rPr>
                <w:rFonts w:hint="cs"/>
                <w:sz w:val="20"/>
                <w:szCs w:val="20"/>
                <w:rtl/>
              </w:rPr>
              <w:t>2016</w:t>
            </w:r>
            <w:r w:rsidRPr="00564B9D">
              <w:rPr>
                <w:rFonts w:hint="cs"/>
                <w:sz w:val="20"/>
                <w:szCs w:val="20"/>
                <w:rtl/>
              </w:rPr>
              <w:t>-</w:t>
            </w:r>
            <w:r w:rsidR="00DF7C00" w:rsidRPr="00564B9D">
              <w:rPr>
                <w:rFonts w:hint="cs"/>
                <w:sz w:val="20"/>
                <w:szCs w:val="20"/>
                <w:rtl/>
              </w:rPr>
              <w:t>2017</w:t>
            </w:r>
            <w:r w:rsidRPr="00564B9D">
              <w:rPr>
                <w:rFonts w:hint="cs"/>
                <w:sz w:val="20"/>
                <w:szCs w:val="20"/>
                <w:rtl/>
              </w:rPr>
              <w:t>)</w:t>
            </w:r>
          </w:p>
        </w:tc>
      </w:tr>
      <w:tr w:rsidR="007B5A24" w:rsidRPr="00564B9D" w14:paraId="3C63B709" w14:textId="77777777" w:rsidTr="00804944">
        <w:trPr>
          <w:trHeight w:val="240"/>
        </w:trPr>
        <w:tc>
          <w:tcPr>
            <w:tcW w:w="4483" w:type="dxa"/>
            <w:shd w:val="clear" w:color="auto" w:fill="auto"/>
          </w:tcPr>
          <w:p w14:paraId="1B61BF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الناتج المحلي الإجمالي بالبلايين</w:t>
            </w:r>
          </w:p>
        </w:tc>
        <w:tc>
          <w:tcPr>
            <w:tcW w:w="2805" w:type="dxa"/>
            <w:shd w:val="clear" w:color="auto" w:fill="auto"/>
          </w:tcPr>
          <w:p w14:paraId="0FEB756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2,3 جنيه استرليني (تنبؤات 2018/2019)</w:t>
            </w:r>
          </w:p>
          <w:p w14:paraId="570380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2,2 جنيه استرليني (تنبؤات 2017/2018)</w:t>
            </w:r>
          </w:p>
        </w:tc>
      </w:tr>
      <w:tr w:rsidR="007B5A24" w:rsidRPr="00564B9D" w14:paraId="4930521F" w14:textId="77777777" w:rsidTr="00804944">
        <w:trPr>
          <w:trHeight w:val="240"/>
        </w:trPr>
        <w:tc>
          <w:tcPr>
            <w:tcW w:w="4483" w:type="dxa"/>
            <w:shd w:val="clear" w:color="auto" w:fill="auto"/>
          </w:tcPr>
          <w:p w14:paraId="5871A6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2805" w:type="dxa"/>
            <w:shd w:val="clear" w:color="auto" w:fill="auto"/>
          </w:tcPr>
          <w:p w14:paraId="1B0927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5,9 في المائة (2018/2019)</w:t>
            </w:r>
          </w:p>
        </w:tc>
      </w:tr>
      <w:tr w:rsidR="007B5A24" w:rsidRPr="00564B9D" w14:paraId="0C59C991" w14:textId="77777777" w:rsidTr="00804944">
        <w:trPr>
          <w:trHeight w:val="240"/>
        </w:trPr>
        <w:tc>
          <w:tcPr>
            <w:tcW w:w="4483" w:type="dxa"/>
            <w:shd w:val="clear" w:color="auto" w:fill="auto"/>
          </w:tcPr>
          <w:p w14:paraId="5DCB3D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 بالبلايين</w:t>
            </w:r>
          </w:p>
        </w:tc>
        <w:tc>
          <w:tcPr>
            <w:tcW w:w="2805" w:type="dxa"/>
            <w:shd w:val="clear" w:color="auto" w:fill="auto"/>
          </w:tcPr>
          <w:p w14:paraId="58FA10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6CC6EEF" w14:textId="77777777" w:rsidTr="00804944">
        <w:trPr>
          <w:trHeight w:val="240"/>
        </w:trPr>
        <w:tc>
          <w:tcPr>
            <w:tcW w:w="4483" w:type="dxa"/>
            <w:shd w:val="clear" w:color="auto" w:fill="auto"/>
          </w:tcPr>
          <w:p w14:paraId="6B9679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p>
        </w:tc>
        <w:tc>
          <w:tcPr>
            <w:tcW w:w="2805" w:type="dxa"/>
            <w:shd w:val="clear" w:color="auto" w:fill="auto"/>
          </w:tcPr>
          <w:p w14:paraId="06AF86A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0,5 في المائة (تشرين الأول/أكتوبر 2020)</w:t>
            </w:r>
          </w:p>
        </w:tc>
      </w:tr>
      <w:tr w:rsidR="007B5A24" w:rsidRPr="00564B9D" w14:paraId="7A9229EB" w14:textId="77777777" w:rsidTr="00804944">
        <w:trPr>
          <w:trHeight w:val="240"/>
        </w:trPr>
        <w:tc>
          <w:tcPr>
            <w:tcW w:w="4483" w:type="dxa"/>
            <w:shd w:val="clear" w:color="auto" w:fill="auto"/>
          </w:tcPr>
          <w:p w14:paraId="3BC893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2805" w:type="dxa"/>
            <w:shd w:val="clear" w:color="auto" w:fill="auto"/>
          </w:tcPr>
          <w:p w14:paraId="18C5E2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40AE717" w14:textId="77777777" w:rsidTr="00804944">
        <w:trPr>
          <w:trHeight w:val="240"/>
        </w:trPr>
        <w:tc>
          <w:tcPr>
            <w:tcW w:w="4483" w:type="dxa"/>
            <w:shd w:val="clear" w:color="auto" w:fill="auto"/>
          </w:tcPr>
          <w:p w14:paraId="545F1AA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2805" w:type="dxa"/>
            <w:shd w:val="clear" w:color="auto" w:fill="auto"/>
          </w:tcPr>
          <w:p w14:paraId="5F8D48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الدين المحلي يقارب 30 في المائة من الناتج المحلي الإجمالي</w:t>
            </w:r>
          </w:p>
          <w:p w14:paraId="4A23A2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لا يوجد ديون خارجية </w:t>
            </w:r>
          </w:p>
        </w:tc>
      </w:tr>
      <w:tr w:rsidR="007B5A24" w:rsidRPr="00564B9D" w14:paraId="74FE017D" w14:textId="77777777" w:rsidTr="00804944">
        <w:trPr>
          <w:trHeight w:val="240"/>
        </w:trPr>
        <w:tc>
          <w:tcPr>
            <w:tcW w:w="4483" w:type="dxa"/>
            <w:tcBorders>
              <w:bottom w:val="single" w:sz="12" w:space="0" w:color="auto"/>
            </w:tcBorders>
            <w:shd w:val="clear" w:color="auto" w:fill="auto"/>
          </w:tcPr>
          <w:p w14:paraId="4150385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2805" w:type="dxa"/>
            <w:tcBorders>
              <w:bottom w:val="single" w:sz="12" w:space="0" w:color="auto"/>
            </w:tcBorders>
            <w:shd w:val="clear" w:color="auto" w:fill="auto"/>
          </w:tcPr>
          <w:p w14:paraId="3D8D68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صفر </w:t>
            </w:r>
          </w:p>
        </w:tc>
      </w:tr>
    </w:tbl>
    <w:p w14:paraId="4F8C129E"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990"/>
        <w:gridCol w:w="3402"/>
      </w:tblGrid>
      <w:tr w:rsidR="007B5A24" w:rsidRPr="00564B9D" w14:paraId="312491C3" w14:textId="77777777" w:rsidTr="00804944">
        <w:trPr>
          <w:trHeight w:val="240"/>
          <w:tblHeader/>
        </w:trPr>
        <w:tc>
          <w:tcPr>
            <w:tcW w:w="7289" w:type="dxa"/>
            <w:gridSpan w:val="2"/>
            <w:tcBorders>
              <w:top w:val="single" w:sz="4" w:space="0" w:color="auto"/>
              <w:bottom w:val="single" w:sz="12" w:space="0" w:color="auto"/>
            </w:tcBorders>
            <w:shd w:val="clear" w:color="auto" w:fill="auto"/>
            <w:vAlign w:val="bottom"/>
          </w:tcPr>
          <w:p w14:paraId="4BB31B2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6283F934" w14:textId="77777777" w:rsidTr="00804944">
        <w:trPr>
          <w:trHeight w:val="240"/>
        </w:trPr>
        <w:tc>
          <w:tcPr>
            <w:tcW w:w="4334" w:type="dxa"/>
            <w:tcBorders>
              <w:top w:val="single" w:sz="12" w:space="0" w:color="auto"/>
            </w:tcBorders>
            <w:shd w:val="clear" w:color="auto" w:fill="auto"/>
          </w:tcPr>
          <w:p w14:paraId="62F8B8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الصعيد الوطني</w:t>
            </w:r>
          </w:p>
        </w:tc>
        <w:tc>
          <w:tcPr>
            <w:tcW w:w="2955" w:type="dxa"/>
            <w:tcBorders>
              <w:top w:val="single" w:sz="12" w:space="0" w:color="auto"/>
            </w:tcBorders>
            <w:shd w:val="clear" w:color="auto" w:fill="auto"/>
          </w:tcPr>
          <w:p w14:paraId="7AC494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 أحزاب: حزب العمال الاشتراكي لجبل طارق، الحزب الليبرالي لجبل طارق، الحزب الديمقراطي الاجتماعي، معاً لجبل طارق</w:t>
            </w:r>
          </w:p>
        </w:tc>
      </w:tr>
      <w:tr w:rsidR="007B5A24" w:rsidRPr="00564B9D" w14:paraId="57CDFE4C" w14:textId="77777777" w:rsidTr="00804944">
        <w:trPr>
          <w:trHeight w:val="240"/>
        </w:trPr>
        <w:tc>
          <w:tcPr>
            <w:tcW w:w="4334" w:type="dxa"/>
            <w:shd w:val="clear" w:color="auto" w:fill="auto"/>
          </w:tcPr>
          <w:p w14:paraId="7BFC36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المؤهلين للتصويت </w:t>
            </w:r>
          </w:p>
        </w:tc>
        <w:tc>
          <w:tcPr>
            <w:tcW w:w="2955" w:type="dxa"/>
            <w:shd w:val="clear" w:color="auto" w:fill="auto"/>
          </w:tcPr>
          <w:p w14:paraId="15B83B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F230BFB" w14:textId="77777777" w:rsidTr="00804944">
        <w:trPr>
          <w:trHeight w:val="240"/>
        </w:trPr>
        <w:tc>
          <w:tcPr>
            <w:tcW w:w="4334" w:type="dxa"/>
            <w:shd w:val="clear" w:color="auto" w:fill="auto"/>
          </w:tcPr>
          <w:p w14:paraId="14A1A1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2955" w:type="dxa"/>
            <w:shd w:val="clear" w:color="auto" w:fill="auto"/>
          </w:tcPr>
          <w:p w14:paraId="17AC11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توجد</w:t>
            </w:r>
          </w:p>
        </w:tc>
      </w:tr>
      <w:tr w:rsidR="007B5A24" w:rsidRPr="00564B9D" w14:paraId="545E5683" w14:textId="77777777" w:rsidTr="00804944">
        <w:trPr>
          <w:trHeight w:val="240"/>
        </w:trPr>
        <w:tc>
          <w:tcPr>
            <w:tcW w:w="4334" w:type="dxa"/>
            <w:shd w:val="clear" w:color="auto" w:fill="auto"/>
          </w:tcPr>
          <w:p w14:paraId="3E8F64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2955" w:type="dxa"/>
            <w:shd w:val="clear" w:color="auto" w:fill="auto"/>
          </w:tcPr>
          <w:p w14:paraId="1E2033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602AB36E" w14:textId="77777777" w:rsidTr="00804944">
        <w:trPr>
          <w:trHeight w:val="240"/>
        </w:trPr>
        <w:tc>
          <w:tcPr>
            <w:tcW w:w="4334" w:type="dxa"/>
            <w:shd w:val="clear" w:color="auto" w:fill="auto"/>
          </w:tcPr>
          <w:p w14:paraId="4229CB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2955" w:type="dxa"/>
            <w:shd w:val="clear" w:color="auto" w:fill="auto"/>
          </w:tcPr>
          <w:p w14:paraId="587043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تغطية بنسبة 100 في المائة</w:t>
            </w:r>
          </w:p>
          <w:p w14:paraId="65D909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4 وسائط إعلام مطبوعة يملكها القطاع الخاص</w:t>
            </w:r>
          </w:p>
          <w:p w14:paraId="525D4B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راديو وتلفزيون واحد تملكه الدولة، راديو جبل طارق </w:t>
            </w:r>
            <w:r w:rsidRPr="00564B9D">
              <w:rPr>
                <w:sz w:val="20"/>
                <w:szCs w:val="20"/>
              </w:rPr>
              <w:t>BFBS</w:t>
            </w:r>
          </w:p>
        </w:tc>
      </w:tr>
      <w:tr w:rsidR="007B5A24" w:rsidRPr="00564B9D" w14:paraId="26571FE6" w14:textId="77777777" w:rsidTr="00804944">
        <w:trPr>
          <w:trHeight w:val="240"/>
        </w:trPr>
        <w:tc>
          <w:tcPr>
            <w:tcW w:w="4334" w:type="dxa"/>
            <w:shd w:val="clear" w:color="auto" w:fill="auto"/>
          </w:tcPr>
          <w:p w14:paraId="613264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المنظمات غير الحكومية المعترف بها </w:t>
            </w:r>
          </w:p>
        </w:tc>
        <w:tc>
          <w:tcPr>
            <w:tcW w:w="2955" w:type="dxa"/>
            <w:shd w:val="clear" w:color="auto" w:fill="auto"/>
          </w:tcPr>
          <w:p w14:paraId="653E69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غير معروف - لم يحفظ أي سجل</w:t>
            </w:r>
          </w:p>
        </w:tc>
      </w:tr>
      <w:tr w:rsidR="007B5A24" w:rsidRPr="00564B9D" w14:paraId="3D6A8D82" w14:textId="77777777" w:rsidTr="00804944">
        <w:trPr>
          <w:trHeight w:val="240"/>
        </w:trPr>
        <w:tc>
          <w:tcPr>
            <w:tcW w:w="4334" w:type="dxa"/>
            <w:shd w:val="clear" w:color="auto" w:fill="auto"/>
          </w:tcPr>
          <w:p w14:paraId="776F87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توزيع المقاعد التشريعية بحسب الحزب </w:t>
            </w:r>
          </w:p>
        </w:tc>
        <w:tc>
          <w:tcPr>
            <w:tcW w:w="2955" w:type="dxa"/>
            <w:shd w:val="clear" w:color="auto" w:fill="auto"/>
          </w:tcPr>
          <w:p w14:paraId="0CBCAD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حزب العمال الاشتراكي لجبل طارق 7، الحزب الليبرالي 3، الحزب الديموقراطي الاجتماعي 6، معاً لجبل طارق 1</w:t>
            </w:r>
          </w:p>
        </w:tc>
      </w:tr>
      <w:tr w:rsidR="007B5A24" w:rsidRPr="00564B9D" w14:paraId="2ADF2D56" w14:textId="77777777" w:rsidTr="00804944">
        <w:trPr>
          <w:trHeight w:val="240"/>
        </w:trPr>
        <w:tc>
          <w:tcPr>
            <w:tcW w:w="4334" w:type="dxa"/>
            <w:shd w:val="clear" w:color="auto" w:fill="auto"/>
          </w:tcPr>
          <w:p w14:paraId="3BC397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في البرلمان </w:t>
            </w:r>
          </w:p>
        </w:tc>
        <w:tc>
          <w:tcPr>
            <w:tcW w:w="2955" w:type="dxa"/>
            <w:shd w:val="clear" w:color="auto" w:fill="auto"/>
          </w:tcPr>
          <w:p w14:paraId="599B03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11,8 في المائة</w:t>
            </w:r>
          </w:p>
        </w:tc>
      </w:tr>
      <w:tr w:rsidR="007B5A24" w:rsidRPr="00564B9D" w14:paraId="190427DD" w14:textId="77777777" w:rsidTr="00804944">
        <w:trPr>
          <w:trHeight w:val="240"/>
        </w:trPr>
        <w:tc>
          <w:tcPr>
            <w:tcW w:w="4334" w:type="dxa"/>
            <w:shd w:val="clear" w:color="auto" w:fill="auto"/>
          </w:tcPr>
          <w:p w14:paraId="4EDB13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الانتخابات الوطنية ودون الوطنية التي أجريت في حدود الجدول الزمني الذي ينص عليه القانون </w:t>
            </w:r>
          </w:p>
        </w:tc>
        <w:tc>
          <w:tcPr>
            <w:tcW w:w="2955" w:type="dxa"/>
            <w:shd w:val="clear" w:color="auto" w:fill="auto"/>
          </w:tcPr>
          <w:p w14:paraId="458EF9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100 في المائة </w:t>
            </w:r>
          </w:p>
        </w:tc>
      </w:tr>
      <w:tr w:rsidR="007B5A24" w:rsidRPr="00564B9D" w14:paraId="0CE47572" w14:textId="77777777" w:rsidTr="00804944">
        <w:trPr>
          <w:trHeight w:val="240"/>
        </w:trPr>
        <w:tc>
          <w:tcPr>
            <w:tcW w:w="4334" w:type="dxa"/>
            <w:tcBorders>
              <w:bottom w:val="single" w:sz="12" w:space="0" w:color="auto"/>
            </w:tcBorders>
            <w:shd w:val="clear" w:color="auto" w:fill="auto"/>
          </w:tcPr>
          <w:p w14:paraId="4F7A0B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متوسط عدد الناخبين الفعليين في الانتخابات الوطنية ودون الوطنية بحسب الوحدة الإدارية </w:t>
            </w:r>
          </w:p>
        </w:tc>
        <w:tc>
          <w:tcPr>
            <w:tcW w:w="2955" w:type="dxa"/>
            <w:tcBorders>
              <w:bottom w:val="single" w:sz="12" w:space="0" w:color="auto"/>
            </w:tcBorders>
            <w:shd w:val="clear" w:color="auto" w:fill="auto"/>
          </w:tcPr>
          <w:p w14:paraId="1818DD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70 في المائة</w:t>
            </w:r>
          </w:p>
        </w:tc>
      </w:tr>
    </w:tbl>
    <w:p w14:paraId="337A3B5B"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987"/>
        <w:gridCol w:w="3405"/>
      </w:tblGrid>
      <w:tr w:rsidR="007B5A24" w:rsidRPr="00564B9D" w14:paraId="0D25A61B" w14:textId="77777777" w:rsidTr="00804944">
        <w:trPr>
          <w:trHeight w:val="240"/>
          <w:tblHeader/>
        </w:trPr>
        <w:tc>
          <w:tcPr>
            <w:tcW w:w="7317" w:type="dxa"/>
            <w:gridSpan w:val="2"/>
            <w:tcBorders>
              <w:top w:val="single" w:sz="4" w:space="0" w:color="auto"/>
              <w:bottom w:val="single" w:sz="12" w:space="0" w:color="auto"/>
            </w:tcBorders>
            <w:shd w:val="clear" w:color="auto" w:fill="auto"/>
            <w:vAlign w:val="bottom"/>
          </w:tcPr>
          <w:p w14:paraId="7343DA96"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5FD9F17D" w14:textId="77777777" w:rsidTr="00804944">
        <w:tblPrEx>
          <w:tblLook w:val="0000" w:firstRow="0" w:lastRow="0" w:firstColumn="0" w:lastColumn="0" w:noHBand="0" w:noVBand="0"/>
        </w:tblPrEx>
        <w:trPr>
          <w:trHeight w:val="240"/>
        </w:trPr>
        <w:tc>
          <w:tcPr>
            <w:tcW w:w="4348" w:type="dxa"/>
            <w:tcBorders>
              <w:top w:val="single" w:sz="12" w:space="0" w:color="auto"/>
            </w:tcBorders>
            <w:shd w:val="clear" w:color="auto" w:fill="auto"/>
          </w:tcPr>
          <w:p w14:paraId="786205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w:t>
            </w:r>
            <w:r w:rsidRPr="00564B9D">
              <w:rPr>
                <w:rFonts w:hint="cs"/>
                <w:sz w:val="20"/>
                <w:szCs w:val="20"/>
                <w:rtl/>
              </w:rPr>
              <w:t>1</w:t>
            </w:r>
            <w:r w:rsidRPr="00564B9D">
              <w:rPr>
                <w:sz w:val="20"/>
                <w:szCs w:val="20"/>
                <w:rtl/>
              </w:rPr>
              <w:t xml:space="preserve"> من السكان</w:t>
            </w:r>
          </w:p>
        </w:tc>
        <w:tc>
          <w:tcPr>
            <w:tcW w:w="2969" w:type="dxa"/>
            <w:tcBorders>
              <w:top w:val="single" w:sz="12" w:space="0" w:color="auto"/>
            </w:tcBorders>
            <w:shd w:val="clear" w:color="auto" w:fill="auto"/>
          </w:tcPr>
          <w:p w14:paraId="6385081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التسبب بالجروح/ضرر بدني جسيم - (الحض والتواطؤ): 0 (صفر لكل 000</w:t>
            </w:r>
            <w:r w:rsidRPr="00564B9D">
              <w:rPr>
                <w:sz w:val="20"/>
                <w:szCs w:val="20"/>
                <w:rtl/>
              </w:rPr>
              <w:t> </w:t>
            </w:r>
            <w:r w:rsidRPr="00564B9D">
              <w:rPr>
                <w:rFonts w:hint="cs"/>
                <w:sz w:val="20"/>
                <w:szCs w:val="20"/>
                <w:rtl/>
              </w:rPr>
              <w:t>1 شخص)</w:t>
            </w:r>
          </w:p>
          <w:p w14:paraId="019583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التسبب بالجروح/ضرر بدني جسيم: 9 (0,3 لكل 000</w:t>
            </w:r>
            <w:r w:rsidRPr="00564B9D">
              <w:rPr>
                <w:sz w:val="20"/>
                <w:szCs w:val="20"/>
                <w:rtl/>
              </w:rPr>
              <w:t> </w:t>
            </w:r>
            <w:r w:rsidRPr="00564B9D">
              <w:rPr>
                <w:rFonts w:hint="cs"/>
                <w:sz w:val="20"/>
                <w:szCs w:val="20"/>
                <w:rtl/>
              </w:rPr>
              <w:t>1 شخص)</w:t>
            </w:r>
          </w:p>
        </w:tc>
      </w:tr>
      <w:tr w:rsidR="007B5A24" w:rsidRPr="00564B9D" w14:paraId="3EC762E2" w14:textId="77777777" w:rsidTr="00804944">
        <w:tblPrEx>
          <w:tblLook w:val="0000" w:firstRow="0" w:lastRow="0" w:firstColumn="0" w:lastColumn="0" w:noHBand="0" w:noVBand="0"/>
        </w:tblPrEx>
        <w:trPr>
          <w:trHeight w:val="240"/>
        </w:trPr>
        <w:tc>
          <w:tcPr>
            <w:tcW w:w="4348" w:type="dxa"/>
            <w:shd w:val="clear" w:color="auto" w:fill="auto"/>
          </w:tcPr>
          <w:p w14:paraId="471239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w:t>
            </w:r>
            <w:r w:rsidRPr="00564B9D">
              <w:rPr>
                <w:rFonts w:hint="cs"/>
                <w:sz w:val="20"/>
                <w:szCs w:val="20"/>
                <w:rtl/>
              </w:rPr>
              <w:t>1</w:t>
            </w:r>
            <w:r w:rsidRPr="00564B9D">
              <w:rPr>
                <w:sz w:val="20"/>
                <w:szCs w:val="20"/>
                <w:rtl/>
              </w:rPr>
              <w:t xml:space="preserve"> شخص) الذين تم توقيفهم/تقديمهم إلى القضاء/إدانتهم/إصدار أحكام ضدهم/حبسهم لارتكابهم جرائم عنف أو غير ذلك من الجرائم الخطيرة (مثل القتل والسرقة والاعتداء و</w:t>
            </w:r>
            <w:r w:rsidRPr="00564B9D">
              <w:rPr>
                <w:rFonts w:hint="cs"/>
                <w:sz w:val="20"/>
                <w:szCs w:val="20"/>
                <w:rtl/>
              </w:rPr>
              <w:t>الا</w:t>
            </w:r>
            <w:r w:rsidRPr="00564B9D">
              <w:rPr>
                <w:sz w:val="20"/>
                <w:szCs w:val="20"/>
                <w:rtl/>
              </w:rPr>
              <w:t>تجار غير المشروع)</w:t>
            </w:r>
          </w:p>
        </w:tc>
        <w:tc>
          <w:tcPr>
            <w:tcW w:w="2969" w:type="dxa"/>
            <w:shd w:val="clear" w:color="auto" w:fill="auto"/>
          </w:tcPr>
          <w:p w14:paraId="212866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استيراد بضائع محظورة (مخدرات): 13 (0,3 لكل 000</w:t>
            </w:r>
            <w:r w:rsidRPr="00564B9D">
              <w:rPr>
                <w:sz w:val="20"/>
                <w:szCs w:val="20"/>
                <w:rtl/>
              </w:rPr>
              <w:t> </w:t>
            </w:r>
            <w:r w:rsidRPr="00564B9D">
              <w:rPr>
                <w:rFonts w:hint="cs"/>
                <w:sz w:val="20"/>
                <w:szCs w:val="20"/>
                <w:rtl/>
              </w:rPr>
              <w:t>1 شخص)</w:t>
            </w:r>
          </w:p>
          <w:p w14:paraId="25FD0FE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التزويد/العرض بالتزويد (مخدرات): 0 (صفر لكل 000</w:t>
            </w:r>
            <w:r w:rsidRPr="00564B9D">
              <w:rPr>
                <w:sz w:val="20"/>
                <w:szCs w:val="20"/>
                <w:rtl/>
              </w:rPr>
              <w:t> </w:t>
            </w:r>
            <w:r w:rsidRPr="00564B9D">
              <w:rPr>
                <w:rFonts w:hint="cs"/>
                <w:sz w:val="20"/>
                <w:szCs w:val="20"/>
                <w:rtl/>
              </w:rPr>
              <w:t>1 شخص)</w:t>
            </w:r>
          </w:p>
          <w:p w14:paraId="78570E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حيازة (المخدرات) بهدف التزويد بها: 0 (صفر لكل 000</w:t>
            </w:r>
            <w:r w:rsidRPr="00564B9D">
              <w:rPr>
                <w:sz w:val="20"/>
                <w:szCs w:val="20"/>
                <w:rtl/>
              </w:rPr>
              <w:t> </w:t>
            </w:r>
            <w:r w:rsidRPr="00564B9D">
              <w:rPr>
                <w:rFonts w:hint="cs"/>
                <w:sz w:val="20"/>
                <w:szCs w:val="20"/>
                <w:rtl/>
              </w:rPr>
              <w:t>1 شخص)</w:t>
            </w:r>
          </w:p>
        </w:tc>
      </w:tr>
      <w:tr w:rsidR="007B5A24" w:rsidRPr="00564B9D" w14:paraId="179A0D72" w14:textId="77777777" w:rsidTr="00804944">
        <w:tblPrEx>
          <w:tblLook w:val="0000" w:firstRow="0" w:lastRow="0" w:firstColumn="0" w:lastColumn="0" w:noHBand="0" w:noVBand="0"/>
        </w:tblPrEx>
        <w:trPr>
          <w:trHeight w:val="240"/>
        </w:trPr>
        <w:tc>
          <w:tcPr>
            <w:tcW w:w="4348" w:type="dxa"/>
            <w:shd w:val="clear" w:color="auto" w:fill="auto"/>
          </w:tcPr>
          <w:p w14:paraId="02295B3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 xml:space="preserve">(مثل الاغتصاب، وتشويه الأعضاء الجنسية عند الإناث، وجرائم الشرف، والاعتداء بالأحماض). </w:t>
            </w:r>
          </w:p>
        </w:tc>
        <w:tc>
          <w:tcPr>
            <w:tcW w:w="2969" w:type="dxa"/>
            <w:shd w:val="clear" w:color="auto" w:fill="auto"/>
          </w:tcPr>
          <w:p w14:paraId="079DCC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اغتصاب طفل دون سن 13 سنة: 1</w:t>
            </w:r>
          </w:p>
          <w:p w14:paraId="4BAF1A8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محاولة اغتصاب طفل دون سن 13 سنة: 0</w:t>
            </w:r>
          </w:p>
        </w:tc>
      </w:tr>
      <w:tr w:rsidR="007B5A24" w:rsidRPr="00564B9D" w14:paraId="558694EC" w14:textId="77777777" w:rsidTr="00804944">
        <w:tblPrEx>
          <w:tblLook w:val="0000" w:firstRow="0" w:lastRow="0" w:firstColumn="0" w:lastColumn="0" w:noHBand="0" w:noVBand="0"/>
        </w:tblPrEx>
        <w:trPr>
          <w:trHeight w:val="240"/>
        </w:trPr>
        <w:tc>
          <w:tcPr>
            <w:tcW w:w="4348" w:type="dxa"/>
            <w:shd w:val="clear" w:color="auto" w:fill="auto"/>
          </w:tcPr>
          <w:p w14:paraId="0C02997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2969" w:type="dxa"/>
            <w:shd w:val="clear" w:color="auto" w:fill="auto"/>
          </w:tcPr>
          <w:p w14:paraId="5AC750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المدة القصوى: 332 يوماً</w:t>
            </w:r>
          </w:p>
          <w:p w14:paraId="2B72287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المتوسط: 46 يوماً</w:t>
            </w:r>
          </w:p>
        </w:tc>
      </w:tr>
      <w:tr w:rsidR="007B5A24" w:rsidRPr="00564B9D" w14:paraId="55C10FC6" w14:textId="77777777" w:rsidTr="00804944">
        <w:tblPrEx>
          <w:tblLook w:val="0000" w:firstRow="0" w:lastRow="0" w:firstColumn="0" w:lastColumn="0" w:noHBand="0" w:noVBand="0"/>
        </w:tblPrEx>
        <w:trPr>
          <w:trHeight w:val="240"/>
        </w:trPr>
        <w:tc>
          <w:tcPr>
            <w:tcW w:w="4348" w:type="dxa"/>
            <w:shd w:val="clear" w:color="auto" w:fill="auto"/>
          </w:tcPr>
          <w:p w14:paraId="270C17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2969" w:type="dxa"/>
            <w:shd w:val="clear" w:color="auto" w:fill="auto"/>
          </w:tcPr>
          <w:p w14:paraId="15DDF8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من عام 1998 إلى عام 2019: متوسط عدد نزلاء السجون شهرياً بين 42-43. </w:t>
            </w:r>
          </w:p>
          <w:p w14:paraId="7F9768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المتوسط اليومي لنزلاء السجون: 46 نزيلاً (بمن فيهم المحبوسون احتياطياً).</w:t>
            </w:r>
          </w:p>
          <w:p w14:paraId="6E83F7E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نزلاء السجون مع تصنيف الجرائم (بما في ذلك الجرائم المتعددة) اعتباراً من 1 </w:t>
            </w:r>
            <w:r w:rsidRPr="00564B9D">
              <w:rPr>
                <w:rFonts w:hint="cs"/>
                <w:sz w:val="20"/>
                <w:szCs w:val="20"/>
                <w:rtl/>
              </w:rPr>
              <w:t>كانون الثاني/</w:t>
            </w:r>
            <w:r w:rsidRPr="00564B9D">
              <w:rPr>
                <w:sz w:val="20"/>
                <w:szCs w:val="20"/>
                <w:rtl/>
              </w:rPr>
              <w:t xml:space="preserve">يناير 2020-31 </w:t>
            </w:r>
            <w:r w:rsidRPr="00564B9D">
              <w:rPr>
                <w:rFonts w:hint="cs"/>
                <w:sz w:val="20"/>
                <w:szCs w:val="20"/>
                <w:rtl/>
              </w:rPr>
              <w:t>كانون الأول/</w:t>
            </w:r>
            <w:r w:rsidRPr="00564B9D">
              <w:rPr>
                <w:sz w:val="20"/>
                <w:szCs w:val="20"/>
                <w:rtl/>
              </w:rPr>
              <w:t>ديسمبر 2020:</w:t>
            </w:r>
          </w:p>
          <w:p w14:paraId="57C997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المطاردة: 1</w:t>
            </w:r>
          </w:p>
          <w:p w14:paraId="6BBA9A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السرقة: 1</w:t>
            </w:r>
          </w:p>
          <w:p w14:paraId="70CDCC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السطو: 21</w:t>
            </w:r>
          </w:p>
          <w:p w14:paraId="2219CE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تهديدات بالقتل: 1</w:t>
            </w:r>
          </w:p>
          <w:p w14:paraId="53135B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سوء معاملة الحيوانات: 16</w:t>
            </w:r>
          </w:p>
          <w:p w14:paraId="289963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اعتداء: 41</w:t>
            </w:r>
          </w:p>
          <w:p w14:paraId="1F98A9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الدخول غير </w:t>
            </w:r>
            <w:r w:rsidRPr="00564B9D">
              <w:rPr>
                <w:rFonts w:hint="cs"/>
                <w:sz w:val="20"/>
                <w:szCs w:val="20"/>
                <w:rtl/>
              </w:rPr>
              <w:t xml:space="preserve">عن طريق </w:t>
            </w:r>
            <w:r w:rsidRPr="00564B9D">
              <w:rPr>
                <w:sz w:val="20"/>
                <w:szCs w:val="20"/>
                <w:rtl/>
              </w:rPr>
              <w:t>الحدود: 8</w:t>
            </w:r>
          </w:p>
          <w:p w14:paraId="3EB4A80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تتعلق</w:t>
            </w:r>
            <w:r w:rsidRPr="00564B9D">
              <w:rPr>
                <w:sz w:val="20"/>
                <w:szCs w:val="20"/>
                <w:rtl/>
              </w:rPr>
              <w:t xml:space="preserve"> بالجنس: 11</w:t>
            </w:r>
          </w:p>
          <w:p w14:paraId="339FE6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تتعلق بالمخدرات: 45</w:t>
            </w:r>
          </w:p>
          <w:p w14:paraId="1850CB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السرقة: 10</w:t>
            </w:r>
          </w:p>
          <w:p w14:paraId="6E9A60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المحاسبة الكاذبة/الاحتيال: 20</w:t>
            </w:r>
          </w:p>
          <w:p w14:paraId="3366D2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غرامات السداد الافتراضية: 165</w:t>
            </w:r>
          </w:p>
          <w:p w14:paraId="0A9D53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تدمير الممتلكات الخاصة: 18</w:t>
            </w:r>
          </w:p>
          <w:p w14:paraId="50932C3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السلاح الهجومي: 2</w:t>
            </w:r>
          </w:p>
          <w:p w14:paraId="3914EE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خرق قواعد</w:t>
            </w:r>
            <w:r w:rsidRPr="00564B9D">
              <w:rPr>
                <w:rFonts w:hint="cs"/>
                <w:sz w:val="20"/>
                <w:szCs w:val="20"/>
                <w:rtl/>
              </w:rPr>
              <w:t xml:space="preserve"> كوفيد-19:</w:t>
            </w:r>
            <w:r w:rsidRPr="00564B9D">
              <w:rPr>
                <w:sz w:val="20"/>
                <w:szCs w:val="20"/>
                <w:rtl/>
              </w:rPr>
              <w:t xml:space="preserve"> </w:t>
            </w:r>
            <w:r w:rsidRPr="00564B9D">
              <w:rPr>
                <w:rFonts w:hint="cs"/>
                <w:sz w:val="20"/>
                <w:szCs w:val="20"/>
                <w:rtl/>
              </w:rPr>
              <w:t>5</w:t>
            </w:r>
          </w:p>
          <w:p w14:paraId="731877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القيادة تحت تأثير</w:t>
            </w:r>
            <w:r w:rsidRPr="00564B9D">
              <w:rPr>
                <w:rFonts w:hint="cs"/>
                <w:sz w:val="20"/>
                <w:szCs w:val="20"/>
                <w:rtl/>
              </w:rPr>
              <w:t xml:space="preserve"> الكحول</w:t>
            </w:r>
            <w:r w:rsidRPr="00564B9D">
              <w:rPr>
                <w:sz w:val="20"/>
                <w:szCs w:val="20"/>
                <w:rtl/>
              </w:rPr>
              <w:t>: 4</w:t>
            </w:r>
          </w:p>
          <w:p w14:paraId="0C9CCB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الحيازة غير المشروعة للتبغ: 1</w:t>
            </w:r>
          </w:p>
          <w:p w14:paraId="762F1F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المساعدة في الهجرة غير الشرعية: 1</w:t>
            </w:r>
          </w:p>
          <w:p w14:paraId="08CF17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إبطال الإفراج المشروط: 1</w:t>
            </w:r>
          </w:p>
          <w:p w14:paraId="0BBA9D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تخويف الشهود: 2</w:t>
            </w:r>
          </w:p>
          <w:p w14:paraId="1128EB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المحتجزون بموجب مذكرة التوقيف الأوروبية: 9</w:t>
            </w:r>
          </w:p>
          <w:p w14:paraId="69CD08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المحتجزون: 21</w:t>
            </w:r>
          </w:p>
          <w:p w14:paraId="79BC3C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إجمالي عدد السجناء لعام 2020</w:t>
            </w:r>
            <w:r w:rsidRPr="00564B9D">
              <w:rPr>
                <w:rFonts w:hint="cs"/>
                <w:sz w:val="20"/>
                <w:szCs w:val="20"/>
                <w:rtl/>
              </w:rPr>
              <w:t xml:space="preserve"> </w:t>
            </w:r>
            <w:r w:rsidRPr="00564B9D">
              <w:rPr>
                <w:sz w:val="20"/>
                <w:szCs w:val="20"/>
                <w:rtl/>
              </w:rPr>
              <w:t>-</w:t>
            </w:r>
            <w:r w:rsidRPr="00564B9D">
              <w:rPr>
                <w:rFonts w:hint="cs"/>
                <w:sz w:val="20"/>
                <w:szCs w:val="20"/>
                <w:rtl/>
              </w:rPr>
              <w:t xml:space="preserve"> </w:t>
            </w:r>
            <w:r w:rsidRPr="00564B9D">
              <w:rPr>
                <w:sz w:val="20"/>
                <w:szCs w:val="20"/>
                <w:rtl/>
              </w:rPr>
              <w:t>162</w:t>
            </w:r>
          </w:p>
          <w:p w14:paraId="455906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عدد نزلاء السجون في الفترة ما بين 1 كانون الثاني</w:t>
            </w:r>
            <w:r w:rsidRPr="00564B9D">
              <w:rPr>
                <w:rFonts w:hint="cs"/>
                <w:sz w:val="20"/>
                <w:szCs w:val="20"/>
                <w:rtl/>
              </w:rPr>
              <w:t>/</w:t>
            </w:r>
            <w:r w:rsidRPr="00564B9D">
              <w:rPr>
                <w:sz w:val="20"/>
                <w:szCs w:val="20"/>
                <w:rtl/>
              </w:rPr>
              <w:t>يناير و31 كانون الأول</w:t>
            </w:r>
            <w:r w:rsidRPr="00564B9D">
              <w:rPr>
                <w:rFonts w:hint="cs"/>
                <w:sz w:val="20"/>
                <w:szCs w:val="20"/>
                <w:rtl/>
              </w:rPr>
              <w:t>/</w:t>
            </w:r>
            <w:r w:rsidRPr="00564B9D">
              <w:rPr>
                <w:sz w:val="20"/>
                <w:szCs w:val="20"/>
                <w:rtl/>
              </w:rPr>
              <w:t>ديسمبر 2020 - التوزيع حسب طول مدة العقوبة:</w:t>
            </w:r>
          </w:p>
          <w:p w14:paraId="0351E0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أقل من 6 </w:t>
            </w:r>
            <w:r w:rsidRPr="00564B9D">
              <w:rPr>
                <w:rFonts w:hint="cs"/>
                <w:sz w:val="20"/>
                <w:szCs w:val="20"/>
                <w:rtl/>
              </w:rPr>
              <w:t>أشهر</w:t>
            </w:r>
            <w:r w:rsidRPr="00564B9D">
              <w:rPr>
                <w:sz w:val="20"/>
                <w:szCs w:val="20"/>
                <w:rtl/>
              </w:rPr>
              <w:t>: 78</w:t>
            </w:r>
          </w:p>
          <w:p w14:paraId="772715B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أكثر من 6 </w:t>
            </w:r>
            <w:r w:rsidRPr="00564B9D">
              <w:rPr>
                <w:rFonts w:hint="cs"/>
                <w:sz w:val="20"/>
                <w:szCs w:val="20"/>
                <w:rtl/>
              </w:rPr>
              <w:t>أشهر و</w:t>
            </w:r>
            <w:r w:rsidRPr="00564B9D">
              <w:rPr>
                <w:sz w:val="20"/>
                <w:szCs w:val="20"/>
                <w:rtl/>
              </w:rPr>
              <w:t>أقل من 12 شهراً: 45</w:t>
            </w:r>
          </w:p>
          <w:p w14:paraId="3179C9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أكثر من 12 شهراً تحت 4 سنوات: 4</w:t>
            </w:r>
          </w:p>
          <w:p w14:paraId="2826D7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4</w:t>
            </w:r>
            <w:r w:rsidRPr="00564B9D">
              <w:rPr>
                <w:rFonts w:hint="cs"/>
                <w:sz w:val="20"/>
                <w:szCs w:val="20"/>
                <w:rtl/>
              </w:rPr>
              <w:t xml:space="preserve"> </w:t>
            </w:r>
            <w:r w:rsidRPr="00564B9D">
              <w:rPr>
                <w:sz w:val="20"/>
                <w:szCs w:val="20"/>
                <w:rtl/>
              </w:rPr>
              <w:t>سنوات فأكثر: 2</w:t>
            </w:r>
          </w:p>
          <w:p w14:paraId="752CE1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سجن مؤبد</w:t>
            </w:r>
            <w:r w:rsidRPr="00564B9D">
              <w:rPr>
                <w:sz w:val="20"/>
                <w:szCs w:val="20"/>
                <w:rtl/>
              </w:rPr>
              <w:t>: 0</w:t>
            </w:r>
          </w:p>
        </w:tc>
      </w:tr>
      <w:tr w:rsidR="007B5A24" w:rsidRPr="00564B9D" w14:paraId="196536F5" w14:textId="77777777" w:rsidTr="00804944">
        <w:tblPrEx>
          <w:tblLook w:val="0000" w:firstRow="0" w:lastRow="0" w:firstColumn="0" w:lastColumn="0" w:noHBand="0" w:noVBand="0"/>
        </w:tblPrEx>
        <w:trPr>
          <w:trHeight w:val="240"/>
        </w:trPr>
        <w:tc>
          <w:tcPr>
            <w:tcW w:w="4348" w:type="dxa"/>
            <w:shd w:val="clear" w:color="auto" w:fill="auto"/>
          </w:tcPr>
          <w:p w14:paraId="6A86F71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 xml:space="preserve">حالات الوفاة في السجن </w:t>
            </w:r>
          </w:p>
        </w:tc>
        <w:tc>
          <w:tcPr>
            <w:tcW w:w="2969" w:type="dxa"/>
            <w:shd w:val="clear" w:color="auto" w:fill="auto"/>
          </w:tcPr>
          <w:p w14:paraId="56C332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(في 2020)</w:t>
            </w:r>
          </w:p>
        </w:tc>
      </w:tr>
      <w:tr w:rsidR="007B5A24" w:rsidRPr="00564B9D" w14:paraId="7D1D2F70" w14:textId="77777777" w:rsidTr="00804944">
        <w:tblPrEx>
          <w:tblLook w:val="0000" w:firstRow="0" w:lastRow="0" w:firstColumn="0" w:lastColumn="0" w:noHBand="0" w:noVBand="0"/>
        </w:tblPrEx>
        <w:trPr>
          <w:trHeight w:val="240"/>
        </w:trPr>
        <w:tc>
          <w:tcPr>
            <w:tcW w:w="4348" w:type="dxa"/>
            <w:shd w:val="clear" w:color="auto" w:fill="auto"/>
          </w:tcPr>
          <w:p w14:paraId="5AFA1A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263"/>
            </w:r>
            <w:r w:rsidRPr="00564B9D">
              <w:rPr>
                <w:sz w:val="20"/>
                <w:szCs w:val="20"/>
                <w:vertAlign w:val="superscript"/>
                <w:rtl/>
              </w:rPr>
              <w:t>)</w:t>
            </w:r>
            <w:r w:rsidRPr="00564B9D">
              <w:rPr>
                <w:sz w:val="20"/>
                <w:szCs w:val="20"/>
                <w:rtl/>
              </w:rPr>
              <w:t xml:space="preserve"> </w:t>
            </w:r>
          </w:p>
        </w:tc>
        <w:tc>
          <w:tcPr>
            <w:tcW w:w="2969" w:type="dxa"/>
            <w:shd w:val="clear" w:color="auto" w:fill="auto"/>
          </w:tcPr>
          <w:p w14:paraId="47EA28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50549C4C" w14:textId="77777777" w:rsidTr="00804944">
        <w:tblPrEx>
          <w:tblLook w:val="0000" w:firstRow="0" w:lastRow="0" w:firstColumn="0" w:lastColumn="0" w:noHBand="0" w:noVBand="0"/>
        </w:tblPrEx>
        <w:trPr>
          <w:trHeight w:val="240"/>
        </w:trPr>
        <w:tc>
          <w:tcPr>
            <w:tcW w:w="4348" w:type="dxa"/>
            <w:shd w:val="clear" w:color="auto" w:fill="auto"/>
          </w:tcPr>
          <w:p w14:paraId="63B1E0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2969" w:type="dxa"/>
            <w:shd w:val="clear" w:color="auto" w:fill="auto"/>
          </w:tcPr>
          <w:p w14:paraId="39EE84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في المحكمة العليا، لا توجد قضايا متراكمة ولكن هناك تأخيرات في الأمور غير العاجلة نتيجة </w:t>
            </w:r>
            <w:r w:rsidRPr="00564B9D">
              <w:rPr>
                <w:rFonts w:hint="cs"/>
                <w:sz w:val="20"/>
                <w:szCs w:val="20"/>
                <w:rtl/>
              </w:rPr>
              <w:t>لجائحة كوفيد-19</w:t>
            </w:r>
            <w:r w:rsidRPr="00564B9D">
              <w:rPr>
                <w:sz w:val="20"/>
                <w:szCs w:val="20"/>
                <w:rtl/>
              </w:rPr>
              <w:t xml:space="preserve">. </w:t>
            </w:r>
            <w:r w:rsidRPr="00564B9D">
              <w:rPr>
                <w:rFonts w:hint="cs"/>
                <w:sz w:val="20"/>
                <w:szCs w:val="20"/>
                <w:rtl/>
              </w:rPr>
              <w:t>و</w:t>
            </w:r>
            <w:r w:rsidRPr="00564B9D">
              <w:rPr>
                <w:sz w:val="20"/>
                <w:szCs w:val="20"/>
                <w:rtl/>
              </w:rPr>
              <w:t>مدة انتظار المحاكمات في المحكمة العليا في الوقت الحالي هي 3 أشهر.</w:t>
            </w:r>
          </w:p>
          <w:p w14:paraId="0E5790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في المحكمة الجزئية لا </w:t>
            </w:r>
            <w:r w:rsidRPr="00564B9D">
              <w:rPr>
                <w:sz w:val="20"/>
                <w:szCs w:val="20"/>
                <w:rtl/>
              </w:rPr>
              <w:t xml:space="preserve">توجد قضايا متراكمة، لكن المحكمة شهدت تأخيرات طفيفة في المسائل غير العاجلة نتيجة </w:t>
            </w:r>
            <w:r w:rsidRPr="00564B9D">
              <w:rPr>
                <w:rFonts w:hint="cs"/>
                <w:sz w:val="20"/>
                <w:szCs w:val="20"/>
                <w:rtl/>
              </w:rPr>
              <w:t>لجائحة كوفيد-19</w:t>
            </w:r>
            <w:r w:rsidRPr="00564B9D">
              <w:rPr>
                <w:sz w:val="20"/>
                <w:szCs w:val="20"/>
                <w:rtl/>
              </w:rPr>
              <w:t xml:space="preserve">. </w:t>
            </w:r>
            <w:r w:rsidRPr="00564B9D">
              <w:rPr>
                <w:rFonts w:hint="cs"/>
                <w:sz w:val="20"/>
                <w:szCs w:val="20"/>
                <w:rtl/>
              </w:rPr>
              <w:t>و</w:t>
            </w:r>
            <w:r w:rsidRPr="00564B9D">
              <w:rPr>
                <w:sz w:val="20"/>
                <w:szCs w:val="20"/>
                <w:rtl/>
              </w:rPr>
              <w:t xml:space="preserve">تتراوح مدة انتظار </w:t>
            </w:r>
            <w:r w:rsidRPr="00564B9D">
              <w:rPr>
                <w:rFonts w:hint="cs"/>
                <w:sz w:val="20"/>
                <w:szCs w:val="20"/>
                <w:rtl/>
              </w:rPr>
              <w:t>المحاكمات</w:t>
            </w:r>
            <w:r w:rsidRPr="00564B9D">
              <w:rPr>
                <w:sz w:val="20"/>
                <w:szCs w:val="20"/>
                <w:rtl/>
              </w:rPr>
              <w:t xml:space="preserve"> في الوقت الحالي من 10 إلى 12 أسبوعاً.</w:t>
            </w:r>
          </w:p>
        </w:tc>
      </w:tr>
      <w:tr w:rsidR="007B5A24" w:rsidRPr="00564B9D" w14:paraId="46E5271B" w14:textId="77777777" w:rsidTr="00804944">
        <w:tblPrEx>
          <w:tblLook w:val="0000" w:firstRow="0" w:lastRow="0" w:firstColumn="0" w:lastColumn="0" w:noHBand="0" w:noVBand="0"/>
        </w:tblPrEx>
        <w:trPr>
          <w:trHeight w:val="240"/>
        </w:trPr>
        <w:tc>
          <w:tcPr>
            <w:tcW w:w="4348" w:type="dxa"/>
            <w:shd w:val="clear" w:color="auto" w:fill="auto"/>
          </w:tcPr>
          <w:p w14:paraId="58FCFC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رجال الشرطة/الأمن لكل 000 </w:t>
            </w:r>
            <w:r w:rsidRPr="00564B9D">
              <w:rPr>
                <w:rFonts w:hint="cs"/>
                <w:sz w:val="20"/>
                <w:szCs w:val="20"/>
                <w:rtl/>
              </w:rPr>
              <w:t xml:space="preserve">1 </w:t>
            </w:r>
            <w:r w:rsidRPr="00564B9D">
              <w:rPr>
                <w:sz w:val="20"/>
                <w:szCs w:val="20"/>
                <w:rtl/>
              </w:rPr>
              <w:t xml:space="preserve">شخص </w:t>
            </w:r>
          </w:p>
        </w:tc>
        <w:tc>
          <w:tcPr>
            <w:tcW w:w="2969" w:type="dxa"/>
            <w:shd w:val="clear" w:color="auto" w:fill="auto"/>
          </w:tcPr>
          <w:p w14:paraId="7C7771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موظفو دائرة السجون: 67 (1,8 لكل 000</w:t>
            </w:r>
            <w:r w:rsidRPr="00564B9D">
              <w:rPr>
                <w:sz w:val="20"/>
                <w:szCs w:val="20"/>
                <w:rtl/>
              </w:rPr>
              <w:t> </w:t>
            </w:r>
            <w:r w:rsidRPr="00564B9D">
              <w:rPr>
                <w:rFonts w:hint="cs"/>
                <w:sz w:val="20"/>
                <w:szCs w:val="20"/>
                <w:rtl/>
              </w:rPr>
              <w:t>1 شخص).</w:t>
            </w:r>
          </w:p>
          <w:p w14:paraId="0D3F0D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ضباط الشرطة: 260 (8,1 لكل 000</w:t>
            </w:r>
            <w:r w:rsidRPr="00564B9D">
              <w:rPr>
                <w:sz w:val="20"/>
                <w:szCs w:val="20"/>
                <w:rtl/>
              </w:rPr>
              <w:t> </w:t>
            </w:r>
            <w:r w:rsidRPr="00564B9D">
              <w:rPr>
                <w:rFonts w:hint="cs"/>
                <w:sz w:val="20"/>
                <w:szCs w:val="20"/>
                <w:rtl/>
              </w:rPr>
              <w:t>1 شخص)</w:t>
            </w:r>
          </w:p>
        </w:tc>
      </w:tr>
      <w:tr w:rsidR="007B5A24" w:rsidRPr="00564B9D" w14:paraId="3F3818D1" w14:textId="77777777" w:rsidTr="00804944">
        <w:tblPrEx>
          <w:tblLook w:val="0000" w:firstRow="0" w:lastRow="0" w:firstColumn="0" w:lastColumn="0" w:noHBand="0" w:noVBand="0"/>
        </w:tblPrEx>
        <w:trPr>
          <w:trHeight w:val="240"/>
        </w:trPr>
        <w:tc>
          <w:tcPr>
            <w:tcW w:w="4348" w:type="dxa"/>
            <w:shd w:val="clear" w:color="auto" w:fill="auto"/>
          </w:tcPr>
          <w:p w14:paraId="601A20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w:t>
            </w:r>
            <w:r w:rsidRPr="00564B9D">
              <w:rPr>
                <w:rFonts w:hint="cs"/>
                <w:sz w:val="20"/>
                <w:szCs w:val="20"/>
                <w:rtl/>
              </w:rPr>
              <w:t>1</w:t>
            </w:r>
            <w:r w:rsidRPr="00564B9D">
              <w:rPr>
                <w:sz w:val="20"/>
                <w:szCs w:val="20"/>
                <w:rtl/>
              </w:rPr>
              <w:t xml:space="preserve"> شخص</w:t>
            </w:r>
          </w:p>
        </w:tc>
        <w:tc>
          <w:tcPr>
            <w:tcW w:w="2969" w:type="dxa"/>
            <w:shd w:val="clear" w:color="auto" w:fill="auto"/>
          </w:tcPr>
          <w:p w14:paraId="655087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المدعون العامون: 10 (0,3 لكل 000</w:t>
            </w:r>
            <w:r w:rsidRPr="00564B9D">
              <w:rPr>
                <w:sz w:val="20"/>
                <w:szCs w:val="20"/>
                <w:rtl/>
              </w:rPr>
              <w:t> </w:t>
            </w:r>
            <w:r w:rsidRPr="00564B9D">
              <w:rPr>
                <w:rFonts w:hint="cs"/>
                <w:sz w:val="20"/>
                <w:szCs w:val="20"/>
                <w:rtl/>
              </w:rPr>
              <w:t>1 شخص).</w:t>
            </w:r>
          </w:p>
          <w:p w14:paraId="5D5FCC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القضاة: 6 (مقيمون) و5 (غير مقيمين) (0,4 لكل 000</w:t>
            </w:r>
            <w:r w:rsidRPr="00564B9D">
              <w:rPr>
                <w:sz w:val="20"/>
                <w:szCs w:val="20"/>
                <w:rtl/>
              </w:rPr>
              <w:t> </w:t>
            </w:r>
            <w:r w:rsidRPr="00564B9D">
              <w:rPr>
                <w:rFonts w:hint="cs"/>
                <w:sz w:val="20"/>
                <w:szCs w:val="20"/>
                <w:rtl/>
              </w:rPr>
              <w:t>1 شخص).</w:t>
            </w:r>
          </w:p>
        </w:tc>
      </w:tr>
      <w:tr w:rsidR="007B5A24" w:rsidRPr="00564B9D" w14:paraId="2FEAE86E" w14:textId="77777777" w:rsidTr="00804944">
        <w:tblPrEx>
          <w:tblLook w:val="0000" w:firstRow="0" w:lastRow="0" w:firstColumn="0" w:lastColumn="0" w:noHBand="0" w:noVBand="0"/>
        </w:tblPrEx>
        <w:trPr>
          <w:trHeight w:val="240"/>
        </w:trPr>
        <w:tc>
          <w:tcPr>
            <w:tcW w:w="4348" w:type="dxa"/>
            <w:shd w:val="clear" w:color="auto" w:fill="auto"/>
          </w:tcPr>
          <w:p w14:paraId="661CD5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2969" w:type="dxa"/>
            <w:shd w:val="clear" w:color="auto" w:fill="auto"/>
          </w:tcPr>
          <w:p w14:paraId="7B3B60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4 في المائة </w:t>
            </w:r>
          </w:p>
        </w:tc>
      </w:tr>
      <w:tr w:rsidR="007B5A24" w:rsidRPr="00564B9D" w14:paraId="3D175C24" w14:textId="77777777" w:rsidTr="00804944">
        <w:tblPrEx>
          <w:tblLook w:val="0000" w:firstRow="0" w:lastRow="0" w:firstColumn="0" w:lastColumn="0" w:noHBand="0" w:noVBand="0"/>
        </w:tblPrEx>
        <w:trPr>
          <w:trHeight w:val="240"/>
        </w:trPr>
        <w:tc>
          <w:tcPr>
            <w:tcW w:w="4348" w:type="dxa"/>
            <w:shd w:val="clear" w:color="auto" w:fill="auto"/>
          </w:tcPr>
          <w:p w14:paraId="61E398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2969" w:type="dxa"/>
            <w:shd w:val="clear" w:color="auto" w:fill="auto"/>
          </w:tcPr>
          <w:p w14:paraId="734F1CF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33824CA" w14:textId="77777777" w:rsidTr="00804944">
        <w:tblPrEx>
          <w:tblLook w:val="0000" w:firstRow="0" w:lastRow="0" w:firstColumn="0" w:lastColumn="0" w:noHBand="0" w:noVBand="0"/>
        </w:tblPrEx>
        <w:trPr>
          <w:trHeight w:val="240"/>
        </w:trPr>
        <w:tc>
          <w:tcPr>
            <w:tcW w:w="4348" w:type="dxa"/>
            <w:tcBorders>
              <w:bottom w:val="single" w:sz="12" w:space="0" w:color="auto"/>
            </w:tcBorders>
            <w:shd w:val="clear" w:color="auto" w:fill="auto"/>
          </w:tcPr>
          <w:p w14:paraId="4436A9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الضحايا الذين تم تعويضهم بعد صدور الحكم القضائي، بحسب نوع الجريمة. </w:t>
            </w:r>
          </w:p>
        </w:tc>
        <w:tc>
          <w:tcPr>
            <w:tcW w:w="2969" w:type="dxa"/>
            <w:tcBorders>
              <w:bottom w:val="single" w:sz="12" w:space="0" w:color="auto"/>
            </w:tcBorders>
            <w:shd w:val="clear" w:color="auto" w:fill="auto"/>
          </w:tcPr>
          <w:p w14:paraId="00088D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bl>
    <w:p w14:paraId="7BE845BA" w14:textId="77777777" w:rsidR="00494AE4" w:rsidRPr="00564B9D" w:rsidRDefault="00494AE4" w:rsidP="00494AE4">
      <w:pPr>
        <w:pStyle w:val="H1GA"/>
        <w:rPr>
          <w:rtl/>
        </w:rPr>
      </w:pPr>
      <w:r w:rsidRPr="00564B9D">
        <w:rPr>
          <w:rtl/>
        </w:rPr>
        <w:lastRenderedPageBreak/>
        <w:tab/>
      </w:r>
      <w:r w:rsidRPr="00564B9D">
        <w:rPr>
          <w:rFonts w:hint="cs"/>
          <w:rtl/>
        </w:rPr>
        <w:t xml:space="preserve"> </w:t>
      </w:r>
      <w:bookmarkStart w:id="211" w:name="_Toc123044155"/>
      <w:bookmarkStart w:id="212" w:name="_Toc123044378"/>
      <w:bookmarkStart w:id="213" w:name="_Toc123044639"/>
      <w:bookmarkStart w:id="214" w:name="_Toc123044901"/>
      <w:r w:rsidRPr="00564B9D">
        <w:rPr>
          <w:rFonts w:hint="cs"/>
          <w:rtl/>
        </w:rPr>
        <w:t>باء-</w:t>
      </w:r>
      <w:r w:rsidRPr="00564B9D">
        <w:rPr>
          <w:rtl/>
        </w:rPr>
        <w:tab/>
      </w:r>
      <w:r w:rsidRPr="00564B9D">
        <w:rPr>
          <w:rFonts w:hint="cs"/>
          <w:rtl/>
        </w:rPr>
        <w:t>الهيكل الدستوري والسياسي والقانوني</w:t>
      </w:r>
      <w:bookmarkEnd w:id="211"/>
      <w:bookmarkEnd w:id="212"/>
      <w:bookmarkEnd w:id="213"/>
      <w:bookmarkEnd w:id="214"/>
    </w:p>
    <w:p w14:paraId="18C7F113" w14:textId="77777777" w:rsidR="00494AE4" w:rsidRPr="00564B9D" w:rsidRDefault="00494AE4" w:rsidP="00494AE4">
      <w:pPr>
        <w:pStyle w:val="SingleTxtGA"/>
        <w:rPr>
          <w:rtl/>
        </w:rPr>
      </w:pPr>
      <w:r w:rsidRPr="00564B9D">
        <w:rPr>
          <w:rFonts w:hint="cs"/>
          <w:rtl/>
        </w:rPr>
        <w:t>100</w:t>
      </w:r>
      <w:r w:rsidRPr="00564B9D">
        <w:rPr>
          <w:rtl/>
        </w:rPr>
        <w:t>-</w:t>
      </w:r>
      <w:r w:rsidRPr="00564B9D">
        <w:rPr>
          <w:rtl/>
        </w:rPr>
        <w:tab/>
      </w:r>
      <w:r w:rsidRPr="00564B9D">
        <w:rPr>
          <w:rFonts w:hint="cs"/>
          <w:rtl/>
        </w:rPr>
        <w:t>دخل دستور جبل طارق حيز النفاذ في عام 2007 بموجب القانون الدستوري لجبل طارق لعام 2006</w:t>
      </w:r>
      <w:r w:rsidRPr="00564B9D">
        <w:rPr>
          <w:vertAlign w:val="superscript"/>
          <w:rtl/>
        </w:rPr>
        <w:t>(</w:t>
      </w:r>
      <w:r w:rsidRPr="00564B9D">
        <w:rPr>
          <w:rStyle w:val="FootnoteReference"/>
          <w:rFonts w:cs="Simplified Arabic"/>
          <w:b w:val="0"/>
          <w:sz w:val="22"/>
          <w:szCs w:val="22"/>
          <w:rtl/>
          <w:lang w:val="en-US"/>
        </w:rPr>
        <w:footnoteReference w:id="264"/>
      </w:r>
      <w:r w:rsidRPr="00564B9D">
        <w:rPr>
          <w:vertAlign w:val="superscript"/>
          <w:rtl/>
        </w:rPr>
        <w:t>)</w:t>
      </w:r>
      <w:r w:rsidRPr="00564B9D">
        <w:rPr>
          <w:rFonts w:hint="cs"/>
          <w:rtl/>
        </w:rPr>
        <w:t>. و</w:t>
      </w:r>
      <w:r w:rsidRPr="00564B9D">
        <w:rPr>
          <w:rtl/>
        </w:rPr>
        <w:t>بموجب الدستور</w:t>
      </w:r>
      <w:r w:rsidRPr="00564B9D">
        <w:rPr>
          <w:rFonts w:hint="cs"/>
          <w:rtl/>
        </w:rPr>
        <w:t>، تتألف</w:t>
      </w:r>
      <w:r w:rsidRPr="00564B9D">
        <w:rPr>
          <w:rtl/>
        </w:rPr>
        <w:t xml:space="preserve"> حكومة جبل طارق من وزراء جبل طارق المنتخبين والممثلين في مجلس الوزراء، إلى جانب </w:t>
      </w:r>
      <w:r w:rsidRPr="00564B9D">
        <w:rPr>
          <w:rFonts w:hint="cs"/>
          <w:rtl/>
        </w:rPr>
        <w:t>العاهل</w:t>
      </w:r>
      <w:r w:rsidRPr="00564B9D">
        <w:rPr>
          <w:rtl/>
        </w:rPr>
        <w:t>، الذي يمثله الحاكم في جبل طارق.</w:t>
      </w:r>
    </w:p>
    <w:p w14:paraId="49782D29" w14:textId="77777777" w:rsidR="00494AE4" w:rsidRPr="00564B9D" w:rsidRDefault="00494AE4" w:rsidP="00494AE4">
      <w:pPr>
        <w:pStyle w:val="H23GA"/>
        <w:rPr>
          <w:rtl/>
        </w:rPr>
      </w:pPr>
      <w:r w:rsidRPr="00564B9D">
        <w:rPr>
          <w:rtl/>
        </w:rPr>
        <w:tab/>
      </w:r>
      <w:r w:rsidRPr="00564B9D">
        <w:rPr>
          <w:rtl/>
        </w:rPr>
        <w:tab/>
      </w:r>
      <w:r w:rsidRPr="00564B9D">
        <w:rPr>
          <w:rFonts w:hint="cs"/>
          <w:rtl/>
        </w:rPr>
        <w:t>برلمان جبل طارق</w:t>
      </w:r>
      <w:r w:rsidRPr="00564B9D">
        <w:rPr>
          <w:b w:val="0"/>
          <w:bCs w:val="0"/>
          <w:vertAlign w:val="superscript"/>
          <w:rtl/>
        </w:rPr>
        <w:t>(</w:t>
      </w:r>
      <w:r w:rsidRPr="00564B9D">
        <w:rPr>
          <w:rStyle w:val="FootnoteReference"/>
          <w:rFonts w:cs="Simplified Arabic"/>
          <w:bCs w:val="0"/>
          <w:sz w:val="22"/>
          <w:szCs w:val="22"/>
          <w:rtl/>
          <w:lang w:val="en-US"/>
        </w:rPr>
        <w:footnoteReference w:id="265"/>
      </w:r>
      <w:r w:rsidRPr="00564B9D">
        <w:rPr>
          <w:b w:val="0"/>
          <w:bCs w:val="0"/>
          <w:vertAlign w:val="superscript"/>
          <w:rtl/>
        </w:rPr>
        <w:t>)</w:t>
      </w:r>
      <w:r w:rsidRPr="00564B9D">
        <w:rPr>
          <w:rFonts w:hint="cs"/>
          <w:rtl/>
        </w:rPr>
        <w:t xml:space="preserve"> </w:t>
      </w:r>
    </w:p>
    <w:p w14:paraId="22694DC5" w14:textId="77777777" w:rsidR="00494AE4" w:rsidRPr="00564B9D" w:rsidRDefault="00494AE4" w:rsidP="00494AE4">
      <w:pPr>
        <w:pStyle w:val="SingleTxtGA"/>
        <w:rPr>
          <w:rtl/>
        </w:rPr>
      </w:pPr>
      <w:r w:rsidRPr="00564B9D">
        <w:rPr>
          <w:rFonts w:hint="cs"/>
          <w:rtl/>
        </w:rPr>
        <w:t>101</w:t>
      </w:r>
      <w:r w:rsidRPr="00564B9D">
        <w:rPr>
          <w:rtl/>
        </w:rPr>
        <w:t>-</w:t>
      </w:r>
      <w:r w:rsidRPr="00564B9D">
        <w:rPr>
          <w:rtl/>
        </w:rPr>
        <w:tab/>
        <w:t xml:space="preserve">تتألف الهيئة التشريعية لجبل طارق من برلمان جبل طارق والتاج. </w:t>
      </w:r>
      <w:r w:rsidRPr="00564B9D">
        <w:rPr>
          <w:rFonts w:hint="cs"/>
          <w:rtl/>
        </w:rPr>
        <w:t>و</w:t>
      </w:r>
      <w:r w:rsidRPr="00564B9D">
        <w:rPr>
          <w:rtl/>
        </w:rPr>
        <w:t>يتألف برلمان جبل طارق من رئيس مجلس النواب وما لا يقل عن 17 عضواً منتخباً، وله سلطة سن القوانين الخاصة بالسلام والنظام والحكم الرشيد في جبل طارق، والتي تخضع لموافقة الحاكم الذي ينوب عن</w:t>
      </w:r>
      <w:r w:rsidRPr="00564B9D">
        <w:rPr>
          <w:rFonts w:hint="cs"/>
          <w:rtl/>
        </w:rPr>
        <w:t xml:space="preserve"> العاهل.</w:t>
      </w:r>
    </w:p>
    <w:p w14:paraId="3CD94A2B"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p>
    <w:p w14:paraId="76FF3806" w14:textId="77777777" w:rsidR="00494AE4" w:rsidRPr="00564B9D" w:rsidRDefault="00494AE4" w:rsidP="00494AE4">
      <w:pPr>
        <w:pStyle w:val="SingleTxtGA"/>
        <w:rPr>
          <w:rtl/>
        </w:rPr>
      </w:pPr>
      <w:r w:rsidRPr="00564B9D">
        <w:rPr>
          <w:rtl/>
        </w:rPr>
        <w:t>102-</w:t>
      </w:r>
      <w:r w:rsidRPr="00564B9D">
        <w:rPr>
          <w:rtl/>
        </w:rPr>
        <w:tab/>
        <w:t xml:space="preserve">تقع السلطة التنفيذية في جبل طارق في يد </w:t>
      </w:r>
      <w:r w:rsidRPr="00564B9D">
        <w:rPr>
          <w:rFonts w:hint="cs"/>
          <w:rtl/>
        </w:rPr>
        <w:t>العاهل</w:t>
      </w:r>
      <w:r w:rsidRPr="00564B9D">
        <w:rPr>
          <w:rtl/>
        </w:rPr>
        <w:t>، وما لم ينص الدستور على خلاف ذلك، يمكن أن تمارس هذه السلطة من قبل حكومة جبل طارق، إما مباشرة أو من خلال الموظفين العموميين، على النحو المنصوص عليه في الدستور أو أي قانون آخر.</w:t>
      </w:r>
    </w:p>
    <w:p w14:paraId="3815274E" w14:textId="77777777" w:rsidR="00494AE4" w:rsidRPr="00564B9D" w:rsidRDefault="00494AE4" w:rsidP="00494AE4">
      <w:pPr>
        <w:pStyle w:val="SingleTxtGA"/>
        <w:rPr>
          <w:spacing w:val="-2"/>
          <w:rtl/>
        </w:rPr>
      </w:pPr>
      <w:r w:rsidRPr="00564B9D">
        <w:rPr>
          <w:rFonts w:hint="cs"/>
          <w:rtl/>
        </w:rPr>
        <w:t>103</w:t>
      </w:r>
      <w:r w:rsidRPr="00564B9D">
        <w:rPr>
          <w:rtl/>
        </w:rPr>
        <w:t>-</w:t>
      </w:r>
      <w:r w:rsidRPr="00564B9D">
        <w:rPr>
          <w:rtl/>
        </w:rPr>
        <w:tab/>
      </w:r>
      <w:r w:rsidRPr="00564B9D">
        <w:rPr>
          <w:spacing w:val="-2"/>
          <w:rtl/>
        </w:rPr>
        <w:t xml:space="preserve">ينص دستور جبل طارق على مجلس وزراء يتألف من رئيس وزراء يحظى بثقة البرلمان ويعينه الحاكم، وما لا يقل عن أربعة وزراء. </w:t>
      </w:r>
      <w:r w:rsidRPr="00564B9D">
        <w:rPr>
          <w:rFonts w:hint="cs"/>
          <w:spacing w:val="-2"/>
          <w:rtl/>
        </w:rPr>
        <w:t>و</w:t>
      </w:r>
      <w:r w:rsidRPr="00564B9D">
        <w:rPr>
          <w:spacing w:val="-2"/>
          <w:rtl/>
        </w:rPr>
        <w:t xml:space="preserve">حكومة جبل طارق المنتخبة مسؤولة عن جميع الأمور باستثناء تسيير الشؤون الخارجية والدفاع والأمن الداخلي وتعيينات معينة لمناصب عامة تظل بموجب الدستور من مسؤولية الحاكم. </w:t>
      </w:r>
      <w:r w:rsidRPr="00564B9D">
        <w:rPr>
          <w:rFonts w:hint="cs"/>
          <w:spacing w:val="-2"/>
          <w:rtl/>
        </w:rPr>
        <w:t xml:space="preserve">وكان </w:t>
      </w:r>
      <w:r w:rsidRPr="00564B9D">
        <w:rPr>
          <w:spacing w:val="-2"/>
          <w:rtl/>
        </w:rPr>
        <w:t xml:space="preserve">هناك ما مجموعه تسعة وزراء منتخبين في عام 2021، بمن فيهم رئيس </w:t>
      </w:r>
      <w:r w:rsidRPr="00564B9D">
        <w:rPr>
          <w:rFonts w:hint="cs"/>
          <w:spacing w:val="-2"/>
          <w:rtl/>
        </w:rPr>
        <w:t>ال</w:t>
      </w:r>
      <w:r w:rsidRPr="00564B9D">
        <w:rPr>
          <w:spacing w:val="-2"/>
          <w:rtl/>
        </w:rPr>
        <w:t xml:space="preserve">وزراء ونائب رئيس </w:t>
      </w:r>
      <w:r w:rsidRPr="00564B9D">
        <w:rPr>
          <w:rFonts w:hint="cs"/>
          <w:spacing w:val="-2"/>
          <w:rtl/>
        </w:rPr>
        <w:t>ال</w:t>
      </w:r>
      <w:r w:rsidRPr="00564B9D">
        <w:rPr>
          <w:spacing w:val="-2"/>
          <w:rtl/>
        </w:rPr>
        <w:t>وزراء وسبعة وزراء آخرين يغطون مختلف المجالات التي تتحمل حكومة جبل طارق مسؤوليتها.</w:t>
      </w:r>
    </w:p>
    <w:p w14:paraId="1E91AF2F"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r w:rsidRPr="00564B9D">
        <w:rPr>
          <w:b w:val="0"/>
          <w:bCs w:val="0"/>
          <w:vertAlign w:val="superscript"/>
          <w:rtl/>
        </w:rPr>
        <w:t>(</w:t>
      </w:r>
      <w:r w:rsidRPr="00564B9D">
        <w:rPr>
          <w:rStyle w:val="FootnoteReference"/>
          <w:rFonts w:cs="Simplified Arabic"/>
          <w:bCs w:val="0"/>
          <w:sz w:val="22"/>
          <w:szCs w:val="22"/>
          <w:rtl/>
          <w:lang w:val="en-US"/>
        </w:rPr>
        <w:footnoteReference w:id="266"/>
      </w:r>
      <w:r w:rsidRPr="00564B9D">
        <w:rPr>
          <w:b w:val="0"/>
          <w:bCs w:val="0"/>
          <w:vertAlign w:val="superscript"/>
          <w:rtl/>
        </w:rPr>
        <w:t>)</w:t>
      </w:r>
      <w:r w:rsidRPr="00564B9D">
        <w:rPr>
          <w:rFonts w:hint="cs"/>
          <w:rtl/>
        </w:rPr>
        <w:t xml:space="preserve"> </w:t>
      </w:r>
    </w:p>
    <w:p w14:paraId="55FA5B5D" w14:textId="77777777" w:rsidR="00494AE4" w:rsidRPr="00564B9D" w:rsidRDefault="00494AE4" w:rsidP="00494AE4">
      <w:pPr>
        <w:pStyle w:val="SingleTxtGA"/>
        <w:rPr>
          <w:rtl/>
        </w:rPr>
      </w:pPr>
      <w:r w:rsidRPr="00564B9D">
        <w:rPr>
          <w:rFonts w:hint="cs"/>
          <w:rtl/>
        </w:rPr>
        <w:t>104</w:t>
      </w:r>
      <w:r w:rsidRPr="00564B9D">
        <w:rPr>
          <w:rtl/>
        </w:rPr>
        <w:t>-</w:t>
      </w:r>
      <w:r w:rsidRPr="00564B9D">
        <w:rPr>
          <w:rtl/>
        </w:rPr>
        <w:tab/>
      </w:r>
      <w:r w:rsidRPr="00564B9D">
        <w:rPr>
          <w:rFonts w:hint="cs"/>
          <w:rtl/>
        </w:rPr>
        <w:t>يرتكز النظام القضائي في جبل طارق بصورة تامة على النظام الإنكليزي، باستثناء بعض التعديلات الطفيفة التي تُعدّ لازمة نتيجة خصوصياته. وتوجد محكمة جزئية يرأسها قاض براتب أو، في حال غيابه، قضاة غير محترفين. ولدى المحكمة العليا في جبل طارق ولاية قضائية جنائية مماثلة لتلك الخاصة بمحكمة التاج الإنكليزية وولاية قضائية مدنية معادلة لتلك الخاصة بالمحكمة الإنكليزية العليا. كما توجد في جبل طارق محكمة استئناف غير مقيمة لكنها تعقد ثلاث جلسات كل سنة. ويُنتقى قضاة الاستئناف بشكل رئيسي من محكمة الاستئناف الإنكليزية. وتجري المحاكمات الجنائية في المحكمة العليا بوجود هيئة محلفين أما في الدعاوي المدنية فعادة ما يجلس القضاة بمفردهم. وهناك أربعة قضاة يكون أحدهم رئيس القضاة وبالتالي رئيس الجهاز القضائي. وتُحال الطعون من محكمة الاستئناف إلى اللجنة القضائية للمجلس الملكي الخاص في لندن.</w:t>
      </w:r>
    </w:p>
    <w:p w14:paraId="008FEEF5" w14:textId="77777777" w:rsidR="00494AE4" w:rsidRPr="00564B9D" w:rsidRDefault="00494AE4" w:rsidP="00494AE4">
      <w:pPr>
        <w:pStyle w:val="SingleTxtGA"/>
        <w:rPr>
          <w:rtl/>
        </w:rPr>
      </w:pPr>
      <w:r w:rsidRPr="00564B9D">
        <w:rPr>
          <w:rFonts w:hint="cs"/>
          <w:rtl/>
        </w:rPr>
        <w:t>105</w:t>
      </w:r>
      <w:r w:rsidRPr="00564B9D">
        <w:rPr>
          <w:rtl/>
        </w:rPr>
        <w:t>-</w:t>
      </w:r>
      <w:r w:rsidRPr="00564B9D">
        <w:rPr>
          <w:rtl/>
        </w:rPr>
        <w:tab/>
      </w:r>
      <w:r w:rsidRPr="00564B9D">
        <w:rPr>
          <w:rFonts w:hint="cs"/>
          <w:rtl/>
        </w:rPr>
        <w:t>ويشغل رئيس قلم المحكمة العليا المؤهل قانوناً منصب مارشال البحرية. ومحكمة جبل طارق العليا معروفة بمزاولتها لاختصاصها في القضايا البحرية وتحديداً في عالم الشحن على الصعيد الدولي، وتضطلع بقدر كبير من الأعمال.</w:t>
      </w:r>
    </w:p>
    <w:p w14:paraId="2CCEDD42"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المنظمات غير الحكومية</w:t>
      </w:r>
    </w:p>
    <w:p w14:paraId="170B05EC" w14:textId="5BF79C31" w:rsidR="00494AE4" w:rsidRPr="00564B9D" w:rsidRDefault="00494AE4" w:rsidP="00494AE4">
      <w:pPr>
        <w:pStyle w:val="SingleTxtGA"/>
        <w:rPr>
          <w:rtl/>
        </w:rPr>
      </w:pPr>
      <w:r w:rsidRPr="00564B9D">
        <w:rPr>
          <w:rFonts w:hint="cs"/>
          <w:rtl/>
        </w:rPr>
        <w:t>106</w:t>
      </w:r>
      <w:r w:rsidRPr="00564B9D">
        <w:rPr>
          <w:rtl/>
        </w:rPr>
        <w:t>-</w:t>
      </w:r>
      <w:r w:rsidRPr="00564B9D">
        <w:rPr>
          <w:rtl/>
        </w:rPr>
        <w:tab/>
      </w:r>
      <w:r w:rsidRPr="00564B9D">
        <w:rPr>
          <w:rFonts w:hint="cs"/>
          <w:rtl/>
        </w:rPr>
        <w:t xml:space="preserve">يُعترف بالمنظمات غير الحكومية في جبل طارق ويُسمح بتأسيسها وتثمينها. ومن </w:t>
      </w:r>
      <w:r w:rsidR="00777024" w:rsidRPr="00564B9D">
        <w:rPr>
          <w:rFonts w:hint="cs"/>
          <w:rtl/>
        </w:rPr>
        <w:t>المنظمات</w:t>
      </w:r>
      <w:r w:rsidR="00777024" w:rsidRPr="00564B9D">
        <w:rPr>
          <w:rFonts w:hint="eastAsia"/>
          <w:rtl/>
        </w:rPr>
        <w:t> </w:t>
      </w:r>
      <w:r w:rsidRPr="00564B9D">
        <w:rPr>
          <w:rFonts w:hint="cs"/>
          <w:rtl/>
        </w:rPr>
        <w:t>غير الحكومية القائمة في جبل طارق: منظمة العمل من أجل الإسكان؛ ومنظمة الصندوق الاستئماني لحفظ التراث في جبل طارق؛ والجمعية المعنية بالطيور والتاريخ الطبيعي لجبل طارق؛ ومجموعة السلامة البيئية.</w:t>
      </w:r>
    </w:p>
    <w:p w14:paraId="1CEEDEA7" w14:textId="77777777" w:rsidR="00494AE4" w:rsidRPr="00564B9D" w:rsidRDefault="00494AE4" w:rsidP="00494AE4">
      <w:pPr>
        <w:pStyle w:val="HChGA"/>
        <w:rPr>
          <w:rtl/>
        </w:rPr>
      </w:pPr>
      <w:r w:rsidRPr="00564B9D">
        <w:rPr>
          <w:rtl/>
        </w:rPr>
        <w:tab/>
      </w:r>
      <w:bookmarkStart w:id="215" w:name="_Toc123044156"/>
      <w:bookmarkStart w:id="216" w:name="_Toc123044379"/>
      <w:bookmarkStart w:id="217" w:name="_Toc123044640"/>
      <w:bookmarkStart w:id="218" w:name="_Toc123044902"/>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215"/>
      <w:bookmarkEnd w:id="216"/>
      <w:bookmarkEnd w:id="217"/>
      <w:bookmarkEnd w:id="218"/>
    </w:p>
    <w:p w14:paraId="12E0796F" w14:textId="77777777" w:rsidR="00494AE4" w:rsidRPr="00564B9D" w:rsidRDefault="00494AE4" w:rsidP="00494AE4">
      <w:pPr>
        <w:pStyle w:val="H1GA"/>
        <w:rPr>
          <w:rtl/>
        </w:rPr>
      </w:pPr>
      <w:r w:rsidRPr="00564B9D">
        <w:rPr>
          <w:rtl/>
        </w:rPr>
        <w:tab/>
      </w:r>
      <w:bookmarkStart w:id="219" w:name="_Toc123044157"/>
      <w:bookmarkStart w:id="220" w:name="_Toc123044380"/>
      <w:bookmarkStart w:id="221" w:name="_Toc123044641"/>
      <w:bookmarkStart w:id="222" w:name="_Toc123044903"/>
      <w:r w:rsidRPr="00564B9D">
        <w:rPr>
          <w:rtl/>
        </w:rPr>
        <w:t>ألف-</w:t>
      </w:r>
      <w:r w:rsidRPr="00564B9D">
        <w:rPr>
          <w:rtl/>
        </w:rPr>
        <w:tab/>
      </w:r>
      <w:r w:rsidRPr="00564B9D">
        <w:rPr>
          <w:rFonts w:hint="cs"/>
          <w:rtl/>
        </w:rPr>
        <w:t>قبول معايير حقوق الإنسان الدولية</w:t>
      </w:r>
      <w:bookmarkEnd w:id="219"/>
      <w:bookmarkEnd w:id="220"/>
      <w:bookmarkEnd w:id="221"/>
      <w:bookmarkEnd w:id="222"/>
    </w:p>
    <w:p w14:paraId="489F6177" w14:textId="77777777" w:rsidR="00494AE4" w:rsidRPr="00564B9D" w:rsidRDefault="00494AE4" w:rsidP="00494AE4">
      <w:pPr>
        <w:pStyle w:val="SingleTxtGA"/>
        <w:rPr>
          <w:rtl/>
        </w:rPr>
      </w:pPr>
      <w:r w:rsidRPr="00564B9D">
        <w:rPr>
          <w:rFonts w:hint="cs"/>
          <w:rtl/>
        </w:rPr>
        <w:t>107</w:t>
      </w:r>
      <w:r w:rsidRPr="00564B9D">
        <w:rPr>
          <w:rtl/>
        </w:rPr>
        <w:t>-</w:t>
      </w:r>
      <w:r w:rsidRPr="00564B9D">
        <w:rPr>
          <w:rtl/>
        </w:rPr>
        <w:tab/>
      </w:r>
      <w:r w:rsidRPr="00564B9D">
        <w:rPr>
          <w:rFonts w:hint="cs"/>
          <w:rtl/>
        </w:rPr>
        <w:t>تم توسيع نطاق الصكوك الدولية الرئيسية التالية لتشمل جبل طارق.</w:t>
      </w:r>
    </w:p>
    <w:p w14:paraId="256AF506"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1346C0CC"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حقوق الطفل.</w:t>
      </w:r>
    </w:p>
    <w:p w14:paraId="1C5F0EE1"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05CA8D22"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الاتفاقية المتعلقة بوضع الأشخاص العديمي الجنسية؛ الاتفاقية بشأن خفض حالات انعدام الجنسية؛ اتفاقية الأمم المتحدة لمكافحة الجريمة المنظمة عبر الوطنية؛</w:t>
      </w:r>
      <w:r w:rsidRPr="00564B9D">
        <w:rPr>
          <w:rtl/>
        </w:rPr>
        <w:t xml:space="preserve"> اتفاقية الأمم المتحدة لقمع تمويل الإرهاب</w:t>
      </w:r>
      <w:r w:rsidRPr="00564B9D">
        <w:rPr>
          <w:rFonts w:hint="cs"/>
          <w:rtl/>
        </w:rPr>
        <w:t>.</w:t>
      </w:r>
    </w:p>
    <w:p w14:paraId="4694F817"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العمل الدولية</w:t>
      </w:r>
    </w:p>
    <w:p w14:paraId="5BFE60AC" w14:textId="77777777" w:rsidR="00494AE4" w:rsidRPr="00564B9D" w:rsidRDefault="00494AE4" w:rsidP="00494AE4">
      <w:pPr>
        <w:pStyle w:val="Bullet1GA"/>
        <w:numPr>
          <w:ilvl w:val="0"/>
          <w:numId w:val="14"/>
        </w:numPr>
        <w:tabs>
          <w:tab w:val="clear" w:pos="1361"/>
          <w:tab w:val="num" w:pos="1475"/>
        </w:tabs>
        <w:ind w:left="1985" w:hanging="545"/>
      </w:pPr>
      <w:r w:rsidRPr="00564B9D">
        <w:t>C002</w:t>
      </w:r>
      <w:r w:rsidRPr="00564B9D">
        <w:rPr>
          <w:rtl/>
        </w:rPr>
        <w:t xml:space="preserve"> - اتفاقية البطالة لعام 1919؛ </w:t>
      </w:r>
      <w:r w:rsidRPr="00564B9D">
        <w:t>C005</w:t>
      </w:r>
      <w:r w:rsidRPr="00564B9D">
        <w:rPr>
          <w:rtl/>
        </w:rPr>
        <w:t xml:space="preserve"> - اتفاقية الحد الأدنى للسن (الصناعة)؛ </w:t>
      </w:r>
      <w:r w:rsidRPr="00564B9D">
        <w:t>C011</w:t>
      </w:r>
      <w:r w:rsidRPr="00564B9D">
        <w:rPr>
          <w:rtl/>
        </w:rPr>
        <w:t xml:space="preserve"> - اتفاقية حق التجمع (الزراعة) لعام 1921؛ </w:t>
      </w:r>
      <w:r w:rsidRPr="00564B9D">
        <w:t>C012</w:t>
      </w:r>
      <w:r w:rsidRPr="00564B9D">
        <w:rPr>
          <w:rtl/>
        </w:rPr>
        <w:t xml:space="preserve">- اتفاقية تعويض العمال (الزراعة)، 1921؛ </w:t>
      </w:r>
      <w:r w:rsidRPr="00564B9D">
        <w:t>C17</w:t>
      </w:r>
      <w:r w:rsidRPr="00564B9D">
        <w:rPr>
          <w:rtl/>
        </w:rPr>
        <w:t xml:space="preserve"> - اتفاقية تعويض العمال (الحوادث) لعام 1925؛ </w:t>
      </w:r>
      <w:r w:rsidRPr="00564B9D">
        <w:t>C019</w:t>
      </w:r>
      <w:r w:rsidRPr="00564B9D">
        <w:rPr>
          <w:rtl/>
        </w:rPr>
        <w:t xml:space="preserve"> اتفاقية المساواة في المعاملة (التعويض عن الحوادث) لعام 1925؛ </w:t>
      </w:r>
      <w:r w:rsidRPr="00564B9D">
        <w:t>C029</w:t>
      </w:r>
      <w:r w:rsidRPr="00564B9D">
        <w:rPr>
          <w:rtl/>
        </w:rPr>
        <w:t xml:space="preserve"> - اتفاقية العمل الجبري؛ </w:t>
      </w:r>
      <w:r w:rsidRPr="00564B9D">
        <w:t>CO35</w:t>
      </w:r>
      <w:r w:rsidRPr="00564B9D">
        <w:rPr>
          <w:rtl/>
        </w:rPr>
        <w:t xml:space="preserve"> - اتفاقية التأمين على الشيخوخة (الصناعة وما إلى ذلك)؛ </w:t>
      </w:r>
      <w:r w:rsidRPr="00564B9D">
        <w:t>CO39</w:t>
      </w:r>
      <w:r w:rsidRPr="00564B9D">
        <w:rPr>
          <w:rtl/>
        </w:rPr>
        <w:t xml:space="preserve"> - اتفاقية تأمين الناجين (الصناعة وما إلى ذلك)؛ </w:t>
      </w:r>
      <w:r w:rsidRPr="00564B9D">
        <w:t>C042</w:t>
      </w:r>
      <w:r w:rsidRPr="00564B9D">
        <w:rPr>
          <w:rtl/>
        </w:rPr>
        <w:t xml:space="preserve"> - اتفاقية تعويض العمال (الأمراض المهنية) (مراجعة) لعام 1934؛ </w:t>
      </w:r>
      <w:r w:rsidRPr="00564B9D">
        <w:t>C044</w:t>
      </w:r>
      <w:r w:rsidRPr="00564B9D">
        <w:rPr>
          <w:rtl/>
        </w:rPr>
        <w:t xml:space="preserve"> - اتفاقية توفير البطالة؛ </w:t>
      </w:r>
      <w:r w:rsidRPr="00564B9D">
        <w:t>C045</w:t>
      </w:r>
      <w:r w:rsidRPr="00564B9D">
        <w:rPr>
          <w:rtl/>
        </w:rPr>
        <w:t xml:space="preserve"> - اتفاقية العمل تحت سطح الأرض (النساء)؛ </w:t>
      </w:r>
      <w:r w:rsidRPr="00564B9D">
        <w:t>C059</w:t>
      </w:r>
      <w:r w:rsidRPr="00564B9D">
        <w:rPr>
          <w:rtl/>
        </w:rPr>
        <w:t xml:space="preserve"> - اتفاقية الحد الأدنى للسن (الصناعة) لعام 1937 (مراجعة)؛ </w:t>
      </w:r>
      <w:r w:rsidRPr="00564B9D">
        <w:t>C081</w:t>
      </w:r>
      <w:r w:rsidRPr="00564B9D">
        <w:rPr>
          <w:rtl/>
        </w:rPr>
        <w:t xml:space="preserve"> - اتفاقية تفتيش العمل؛ </w:t>
      </w:r>
      <w:r w:rsidRPr="00564B9D">
        <w:t>C087</w:t>
      </w:r>
      <w:r w:rsidRPr="00564B9D">
        <w:rPr>
          <w:rtl/>
        </w:rPr>
        <w:t xml:space="preserve"> - اتفاقية الحرية النقابية وحماية حق التنظيم؛ </w:t>
      </w:r>
      <w:r w:rsidRPr="00564B9D">
        <w:t>C098</w:t>
      </w:r>
      <w:r w:rsidRPr="00564B9D">
        <w:rPr>
          <w:rtl/>
        </w:rPr>
        <w:t xml:space="preserve"> - اتفاقية حق التنظيم والمفاوضة الجماعية؛ </w:t>
      </w:r>
      <w:r w:rsidRPr="00564B9D">
        <w:t>C100</w:t>
      </w:r>
      <w:r w:rsidRPr="00564B9D">
        <w:rPr>
          <w:rtl/>
        </w:rPr>
        <w:t xml:space="preserve"> - اتفاقية المساواة في الأجور؛ </w:t>
      </w:r>
      <w:r w:rsidRPr="00564B9D">
        <w:t>C105</w:t>
      </w:r>
      <w:r w:rsidRPr="00564B9D">
        <w:rPr>
          <w:rtl/>
        </w:rPr>
        <w:t xml:space="preserve"> - اتفاقية إلغاء العمل الجبري؛ </w:t>
      </w:r>
      <w:r w:rsidRPr="00564B9D">
        <w:t>C108</w:t>
      </w:r>
      <w:r w:rsidRPr="00564B9D">
        <w:rPr>
          <w:rtl/>
        </w:rPr>
        <w:t xml:space="preserve"> - اتفاقية وثائق هوية البحارة 1958؛ </w:t>
      </w:r>
      <w:r w:rsidRPr="00564B9D">
        <w:t>C135</w:t>
      </w:r>
      <w:r w:rsidRPr="00564B9D">
        <w:rPr>
          <w:rtl/>
        </w:rPr>
        <w:t xml:space="preserve"> - اتفاقية ممثلي العمال 1971؛ </w:t>
      </w:r>
      <w:r w:rsidRPr="00564B9D">
        <w:t>C142</w:t>
      </w:r>
      <w:r w:rsidRPr="00564B9D">
        <w:rPr>
          <w:rtl/>
        </w:rPr>
        <w:t xml:space="preserve"> - اتفاقية تنمية الموارد البشرية؛ </w:t>
      </w:r>
      <w:r w:rsidRPr="00564B9D">
        <w:t>C150</w:t>
      </w:r>
      <w:r w:rsidRPr="00564B9D">
        <w:rPr>
          <w:rtl/>
        </w:rPr>
        <w:t xml:space="preserve"> - اتفاقية إدارة العمل؛ </w:t>
      </w:r>
      <w:r w:rsidRPr="00564B9D">
        <w:t>C151</w:t>
      </w:r>
      <w:r w:rsidRPr="00564B9D">
        <w:rPr>
          <w:rtl/>
        </w:rPr>
        <w:t xml:space="preserve"> - اتفاقية علاقات العمل (الخدمة العامة)؛ </w:t>
      </w:r>
      <w:r w:rsidRPr="00564B9D">
        <w:t>C160</w:t>
      </w:r>
      <w:r w:rsidRPr="00564B9D">
        <w:rPr>
          <w:rtl/>
        </w:rPr>
        <w:t xml:space="preserve"> - اتفاقية إحصاءات العمل؛ اتفاقية العمل البحري</w:t>
      </w:r>
      <w:r w:rsidRPr="00564B9D">
        <w:rPr>
          <w:rFonts w:hint="cs"/>
          <w:rtl/>
        </w:rPr>
        <w:t xml:space="preserve"> لعام </w:t>
      </w:r>
      <w:r w:rsidRPr="00564B9D">
        <w:rPr>
          <w:rtl/>
        </w:rPr>
        <w:t xml:space="preserve">2006. </w:t>
      </w:r>
    </w:p>
    <w:p w14:paraId="48CF89EA"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اتفاقيات منظمة الأمم المتحدة للتربية والعلوم والثقافة (اليونسكو)</w:t>
      </w:r>
    </w:p>
    <w:p w14:paraId="5CEAB145"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مكافحة التمييز في مجال التعليم.</w:t>
      </w:r>
    </w:p>
    <w:p w14:paraId="329F870C"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2D0CAF2D" w14:textId="5F6E6A54" w:rsidR="00494AE4" w:rsidRPr="00564B9D" w:rsidRDefault="00494AE4" w:rsidP="00494AE4">
      <w:pPr>
        <w:pStyle w:val="Bullet1GA"/>
        <w:numPr>
          <w:ilvl w:val="0"/>
          <w:numId w:val="14"/>
        </w:numPr>
        <w:tabs>
          <w:tab w:val="clear" w:pos="1361"/>
          <w:tab w:val="num" w:pos="1475"/>
        </w:tabs>
        <w:ind w:left="1985" w:hanging="545"/>
        <w:rPr>
          <w:rtl/>
        </w:rPr>
      </w:pPr>
      <w:r w:rsidRPr="00564B9D">
        <w:rPr>
          <w:rtl/>
        </w:rPr>
        <w:t xml:space="preserve">اتفاقية الاعتراف بالطلاق والانفصال القانوني 1970. اتفاقية الاختصاص القضائي والقانون الواجب التطبيق والاعتراف والتنفيذ والتعاون فيما يتعلق بالمسؤولية الأبوية وتدابير حماية الأطفال بتاريخ 19 </w:t>
      </w:r>
      <w:r w:rsidR="00A57056" w:rsidRPr="00564B9D">
        <w:rPr>
          <w:rFonts w:hint="cs"/>
          <w:rtl/>
        </w:rPr>
        <w:t>تشرين الأول/</w:t>
      </w:r>
      <w:r w:rsidRPr="00564B9D">
        <w:rPr>
          <w:rtl/>
        </w:rPr>
        <w:t>أكتوبر 1996، اتفاقية لاهاي بشأن اتفاقيات اختيار المحاكم لعام 2005، اتفاقية الاسترداد الدولي لإعالة الطفل وغيرها. أشكال إعالة الأسرة.</w:t>
      </w:r>
    </w:p>
    <w:p w14:paraId="5AA926B1"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ومعاهدات أخرى بشأن القانون الإنساني الدولي</w:t>
      </w:r>
    </w:p>
    <w:p w14:paraId="263E29DF"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w:t>
      </w:r>
    </w:p>
    <w:p w14:paraId="39D9141F"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لحقوق الإنسان</w:t>
      </w:r>
    </w:p>
    <w:p w14:paraId="57E5C75F"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 الاتفاقية الأوروبية لمناهضة التعذيب وغيره من ضروب المعاملة أو العقوبة القاسية أو اللاإنسانية أو المهينة.</w:t>
      </w:r>
    </w:p>
    <w:p w14:paraId="251E66BF" w14:textId="77777777" w:rsidR="00494AE4" w:rsidRPr="00564B9D" w:rsidRDefault="00494AE4" w:rsidP="00494AE4">
      <w:pPr>
        <w:pStyle w:val="H1GA"/>
        <w:rPr>
          <w:rtl/>
        </w:rPr>
      </w:pPr>
      <w:r w:rsidRPr="00564B9D">
        <w:rPr>
          <w:rtl/>
        </w:rPr>
        <w:tab/>
      </w:r>
      <w:bookmarkStart w:id="223" w:name="_Toc123044158"/>
      <w:bookmarkStart w:id="224" w:name="_Toc123044381"/>
      <w:bookmarkStart w:id="225" w:name="_Toc123044642"/>
      <w:bookmarkStart w:id="226" w:name="_Toc123044904"/>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223"/>
      <w:bookmarkEnd w:id="224"/>
      <w:bookmarkEnd w:id="225"/>
      <w:bookmarkEnd w:id="226"/>
    </w:p>
    <w:p w14:paraId="1A58820F" w14:textId="77777777" w:rsidR="00494AE4" w:rsidRPr="00564B9D" w:rsidRDefault="00494AE4" w:rsidP="00494AE4">
      <w:pPr>
        <w:pStyle w:val="SingleTxtGA"/>
        <w:rPr>
          <w:rtl/>
        </w:rPr>
      </w:pPr>
      <w:r w:rsidRPr="00564B9D">
        <w:rPr>
          <w:rFonts w:hint="cs"/>
          <w:rtl/>
        </w:rPr>
        <w:t>108</w:t>
      </w:r>
      <w:r w:rsidRPr="00564B9D">
        <w:rPr>
          <w:rtl/>
        </w:rPr>
        <w:t>-</w:t>
      </w:r>
      <w:r w:rsidRPr="00564B9D">
        <w:rPr>
          <w:rtl/>
        </w:rPr>
        <w:tab/>
      </w:r>
      <w:r w:rsidRPr="00564B9D">
        <w:rPr>
          <w:rFonts w:hint="cs"/>
          <w:rtl/>
        </w:rPr>
        <w:t>ينص الفصل الأول ("حماية الحقوق والحريات الاساسية") من دستور جبل طارق لعام 2006 على حماية حقوق الإنسان (بما في ذلك مكافحة التمييز) على المستوى التشريعي. وبموجب الفرع 16 من الدستور، يجوز لأي شخص أن يرفع طلباً إلى المحكمة العليا لمساعدته إذا ما ارتأى أن الأحكام الواردة في الفصل الأول قد انتُهكت.</w:t>
      </w:r>
    </w:p>
    <w:p w14:paraId="508236AA" w14:textId="77777777" w:rsidR="00494AE4" w:rsidRPr="00564B9D" w:rsidRDefault="00494AE4" w:rsidP="00494AE4">
      <w:pPr>
        <w:pStyle w:val="H1GA"/>
        <w:rPr>
          <w:rtl/>
        </w:rPr>
      </w:pPr>
      <w:r w:rsidRPr="00564B9D">
        <w:rPr>
          <w:rtl/>
        </w:rPr>
        <w:tab/>
      </w:r>
      <w:bookmarkStart w:id="227" w:name="_Toc123044159"/>
      <w:bookmarkStart w:id="228" w:name="_Toc123044382"/>
      <w:bookmarkStart w:id="229" w:name="_Toc123044643"/>
      <w:bookmarkStart w:id="230" w:name="_Toc123044905"/>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227"/>
      <w:bookmarkEnd w:id="228"/>
      <w:bookmarkEnd w:id="229"/>
      <w:bookmarkEnd w:id="230"/>
    </w:p>
    <w:p w14:paraId="2E7800F5" w14:textId="77777777" w:rsidR="00494AE4" w:rsidRPr="00564B9D" w:rsidRDefault="00494AE4" w:rsidP="00494AE4">
      <w:pPr>
        <w:pStyle w:val="SingleTxtGA"/>
        <w:rPr>
          <w:rtl/>
        </w:rPr>
      </w:pPr>
      <w:r w:rsidRPr="00564B9D">
        <w:rPr>
          <w:rFonts w:hint="cs"/>
          <w:rtl/>
        </w:rPr>
        <w:t>109</w:t>
      </w:r>
      <w:r w:rsidRPr="00564B9D">
        <w:rPr>
          <w:rtl/>
        </w:rPr>
        <w:t>-</w:t>
      </w:r>
      <w:r w:rsidRPr="00564B9D">
        <w:rPr>
          <w:rtl/>
        </w:rPr>
        <w:tab/>
      </w:r>
      <w:r w:rsidRPr="00564B9D">
        <w:rPr>
          <w:rFonts w:hint="cs"/>
          <w:rtl/>
        </w:rPr>
        <w:t xml:space="preserve">انظر الفرع دال. علاوة على ذلك، توجد في جبل طارق جماعات ضغط، غير منتسبة لأحزابٍ سياسية، تعمل على نشر المعلومات وتقدم الدعم بشأن حقوق الإنسان وقضايا مناهضة التمييز. ومن بين هذه الجماعات: </w:t>
      </w:r>
      <w:r w:rsidRPr="00564B9D">
        <w:rPr>
          <w:rtl/>
        </w:rPr>
        <w:t xml:space="preserve">الرابطة النسائية لجبل طارق؛ مجموعة حقوق المساواة؛ مجموعة السلامة البيئية؛ وحركة الإعاقة المحلية في جبل طارق؛ مجموعة صوت جبل طارق؛ الاندماج مع حركة بريطانيا. مكتب استشارات مواطني جبل طارق؛ الاتحاد المدني للطلاب وأولياء الأمور؛ جمعية الرعاية العقلية؛ </w:t>
      </w:r>
      <w:r w:rsidRPr="00564B9D">
        <w:rPr>
          <w:rFonts w:hint="cs"/>
          <w:rtl/>
        </w:rPr>
        <w:t>جمعية لا </w:t>
      </w:r>
      <w:r w:rsidRPr="00564B9D">
        <w:rPr>
          <w:rtl/>
        </w:rPr>
        <w:t xml:space="preserve">مزيد من العار. حركة </w:t>
      </w:r>
      <w:r w:rsidRPr="00564B9D">
        <w:rPr>
          <w:rFonts w:hint="cs"/>
          <w:rtl/>
        </w:rPr>
        <w:t>تأييد</w:t>
      </w:r>
      <w:r w:rsidRPr="00564B9D">
        <w:rPr>
          <w:rtl/>
        </w:rPr>
        <w:t xml:space="preserve"> </w:t>
      </w:r>
      <w:r w:rsidRPr="00564B9D">
        <w:rPr>
          <w:rFonts w:hint="cs"/>
          <w:rtl/>
        </w:rPr>
        <w:t>ا</w:t>
      </w:r>
      <w:r w:rsidRPr="00564B9D">
        <w:rPr>
          <w:rtl/>
        </w:rPr>
        <w:t xml:space="preserve">لاختيار؛ حركة </w:t>
      </w:r>
      <w:r w:rsidRPr="00564B9D">
        <w:rPr>
          <w:rFonts w:hint="cs"/>
          <w:rtl/>
        </w:rPr>
        <w:t>تأييد</w:t>
      </w:r>
      <w:r w:rsidRPr="00564B9D">
        <w:rPr>
          <w:rtl/>
        </w:rPr>
        <w:t xml:space="preserve"> </w:t>
      </w:r>
      <w:r w:rsidRPr="00564B9D">
        <w:rPr>
          <w:rFonts w:hint="cs"/>
          <w:rtl/>
        </w:rPr>
        <w:t>ا</w:t>
      </w:r>
      <w:r w:rsidRPr="00564B9D">
        <w:rPr>
          <w:rtl/>
        </w:rPr>
        <w:t>لحياة. مجموعة دعم عسر القراءة في جبل طارق. مجموعة دعم الوالدين؛ كرامة جبل طارق؛ النساء المحتاجات؛ مساعدة المرأة.</w:t>
      </w:r>
    </w:p>
    <w:p w14:paraId="4CC991BE" w14:textId="77777777" w:rsidR="00494AE4" w:rsidRPr="00564B9D" w:rsidRDefault="00494AE4" w:rsidP="00494AE4">
      <w:pPr>
        <w:pStyle w:val="HChGA"/>
        <w:rPr>
          <w:rtl/>
        </w:rPr>
      </w:pPr>
      <w:r w:rsidRPr="00564B9D">
        <w:rPr>
          <w:rtl/>
        </w:rPr>
        <w:tab/>
      </w:r>
      <w:bookmarkStart w:id="231" w:name="_Toc123044160"/>
      <w:bookmarkStart w:id="232" w:name="_Toc123044383"/>
      <w:bookmarkStart w:id="233" w:name="_Toc123044644"/>
      <w:bookmarkStart w:id="234" w:name="_Toc123044906"/>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231"/>
      <w:bookmarkEnd w:id="232"/>
      <w:bookmarkEnd w:id="233"/>
      <w:bookmarkEnd w:id="234"/>
    </w:p>
    <w:p w14:paraId="6BE8FE96" w14:textId="77777777" w:rsidR="00494AE4" w:rsidRPr="00564B9D" w:rsidRDefault="00494AE4" w:rsidP="00494AE4">
      <w:pPr>
        <w:pStyle w:val="SingleTxtGA"/>
        <w:rPr>
          <w:rtl/>
        </w:rPr>
      </w:pPr>
      <w:r w:rsidRPr="00564B9D">
        <w:rPr>
          <w:rFonts w:hint="cs"/>
          <w:rtl/>
        </w:rPr>
        <w:t>110</w:t>
      </w:r>
      <w:r w:rsidRPr="00564B9D">
        <w:rPr>
          <w:rtl/>
        </w:rPr>
        <w:t>-</w:t>
      </w:r>
      <w:r w:rsidRPr="00564B9D">
        <w:rPr>
          <w:rtl/>
        </w:rPr>
        <w:tab/>
      </w:r>
      <w:r w:rsidRPr="00564B9D">
        <w:rPr>
          <w:rFonts w:hint="cs"/>
          <w:rtl/>
        </w:rPr>
        <w:t>انظر الفرع دال. وتعمل التشريعات الإضافية بشأن مكافحة التمييز، من قبيل قانون تكافؤ الفرص لعام 2006</w:t>
      </w:r>
      <w:r w:rsidRPr="00564B9D">
        <w:rPr>
          <w:vertAlign w:val="superscript"/>
          <w:rtl/>
        </w:rPr>
        <w:t>(</w:t>
      </w:r>
      <w:r w:rsidRPr="00564B9D">
        <w:rPr>
          <w:rStyle w:val="FootnoteReference"/>
          <w:rFonts w:cs="Simplified Arabic"/>
          <w:b w:val="0"/>
          <w:sz w:val="22"/>
          <w:szCs w:val="22"/>
          <w:rtl/>
          <w:lang w:val="en-US"/>
        </w:rPr>
        <w:footnoteReference w:id="267"/>
      </w:r>
      <w:r w:rsidRPr="00564B9D">
        <w:rPr>
          <w:vertAlign w:val="superscript"/>
          <w:rtl/>
        </w:rPr>
        <w:t>)</w:t>
      </w:r>
      <w:r w:rsidRPr="00564B9D">
        <w:rPr>
          <w:rFonts w:hint="cs"/>
          <w:rtl/>
        </w:rPr>
        <w:t>، على تكملة الإطار القانوني لحقوق الإنسان ومناهضة التمييز في جبل طارق.</w:t>
      </w:r>
    </w:p>
    <w:p w14:paraId="647BB527" w14:textId="77777777" w:rsidR="00494AE4" w:rsidRPr="00564B9D" w:rsidRDefault="00494AE4" w:rsidP="00494AE4">
      <w:pPr>
        <w:pStyle w:val="SingleTxtGA"/>
        <w:rPr>
          <w:rtl/>
        </w:rPr>
      </w:pPr>
      <w:r w:rsidRPr="00564B9D">
        <w:rPr>
          <w:rFonts w:hint="cs"/>
          <w:rtl/>
        </w:rPr>
        <w:lastRenderedPageBreak/>
        <w:t>111</w:t>
      </w:r>
      <w:r w:rsidRPr="00564B9D">
        <w:rPr>
          <w:rtl/>
        </w:rPr>
        <w:t>-</w:t>
      </w:r>
      <w:r w:rsidRPr="00564B9D">
        <w:rPr>
          <w:rtl/>
        </w:rPr>
        <w:tab/>
      </w:r>
      <w:r w:rsidRPr="00564B9D">
        <w:rPr>
          <w:rFonts w:hint="cs"/>
          <w:rtl/>
        </w:rPr>
        <w:t>ولا يوجد في جبل طارق أي تمييز ضد القوميات الأخرى فيما يتعلق بحقوق الإنسان أو حقوق العمال. كما يمتثل جبل طارق لأحكام الاتفاقات الثنائية، مثل الاتفاق الثنائي المبرم بين الاتحاد الأوروبي والمغرب فيما يتعلق بحقوق العمال المغاربة في الاتحاد الأوروبي، وكذلك لجميع قوانين الاتحاد الأوروبي المتعلقة بالحقوق داخل الاتحاد الأوروبي للعمال والمواطنين من خارج الاتحاد الأوروبي.</w:t>
      </w:r>
    </w:p>
    <w:p w14:paraId="78E19253" w14:textId="77777777" w:rsidR="00494AE4" w:rsidRPr="00564B9D" w:rsidRDefault="00494AE4" w:rsidP="00494AE4">
      <w:pPr>
        <w:pStyle w:val="SingleTxtGA"/>
        <w:rPr>
          <w:rtl/>
        </w:rPr>
      </w:pPr>
      <w:r w:rsidRPr="00564B9D">
        <w:rPr>
          <w:rtl/>
        </w:rPr>
        <w:t>112-</w:t>
      </w:r>
      <w:r w:rsidRPr="00564B9D">
        <w:rPr>
          <w:rtl/>
        </w:rPr>
        <w:tab/>
      </w:r>
      <w:r w:rsidRPr="00564B9D">
        <w:rPr>
          <w:rFonts w:hint="cs"/>
          <w:rtl/>
        </w:rPr>
        <w:t>وقد خرج</w:t>
      </w:r>
      <w:r w:rsidRPr="00564B9D">
        <w:rPr>
          <w:rtl/>
        </w:rPr>
        <w:t xml:space="preserve"> جبل طارق </w:t>
      </w:r>
      <w:r w:rsidRPr="00564B9D">
        <w:rPr>
          <w:rFonts w:hint="cs"/>
          <w:rtl/>
        </w:rPr>
        <w:t xml:space="preserve">من </w:t>
      </w:r>
      <w:r w:rsidRPr="00564B9D">
        <w:rPr>
          <w:rtl/>
        </w:rPr>
        <w:t>الاتحاد الأوروبي في 31 كانون الثاني/يناير 2020، مع المملكة المتحدة، وانتهت فترة انتقالية في 31 كانون الأول/ديسمبر</w:t>
      </w:r>
      <w:r w:rsidRPr="00564B9D">
        <w:rPr>
          <w:rFonts w:hint="cs"/>
          <w:rtl/>
        </w:rPr>
        <w:t xml:space="preserve"> </w:t>
      </w:r>
      <w:r w:rsidRPr="00564B9D">
        <w:rPr>
          <w:rtl/>
        </w:rPr>
        <w:t xml:space="preserve">2020. وتتمتع حقوق مواطني الاتحاد الأوروبي الذين يعيشون ويعملون في جبل طارق بالحماية الكاملة بموجب اتفاقية الانسحاب بين الاتحاد الأوروبي والمملكة المتحدة، بنفس طريقة حقوق المواطنين البريطانيين، بمن فيهم سكان جبل طارق، الذين عاشوا وعملوا في الاتحاد الأوروبي قبل ذلك التاريخ. </w:t>
      </w:r>
      <w:r w:rsidRPr="00564B9D">
        <w:rPr>
          <w:rFonts w:hint="cs"/>
          <w:rtl/>
        </w:rPr>
        <w:t>و</w:t>
      </w:r>
      <w:r w:rsidRPr="00564B9D">
        <w:rPr>
          <w:rtl/>
        </w:rPr>
        <w:t xml:space="preserve">تم تفعيل اتفاقية الانسحاب بين المملكة المتحدة والاتحاد الأوروبي في جبل طارق بموجب قانون الاتحاد الأوروبي (اتفاق الانسحاب) الذي اعتمده برلمان جبل طارق. </w:t>
      </w:r>
      <w:r w:rsidRPr="00564B9D">
        <w:rPr>
          <w:rFonts w:hint="cs"/>
          <w:rtl/>
        </w:rPr>
        <w:t>وأنشئت</w:t>
      </w:r>
      <w:r w:rsidRPr="00564B9D">
        <w:rPr>
          <w:rtl/>
        </w:rPr>
        <w:t xml:space="preserve"> هيئة مراقبة مستقلة في عام 2020 من أجل </w:t>
      </w:r>
      <w:r w:rsidRPr="00564B9D">
        <w:rPr>
          <w:rFonts w:hint="cs"/>
          <w:rtl/>
        </w:rPr>
        <w:t>استعراض</w:t>
      </w:r>
      <w:r w:rsidRPr="00564B9D">
        <w:rPr>
          <w:rtl/>
        </w:rPr>
        <w:t xml:space="preserve"> التنفيذ الفعال لجوانب حقوق المواطنين في اتفاق الانسحاب في المملكة المتحدة وجبل طارق.</w:t>
      </w:r>
    </w:p>
    <w:p w14:paraId="00B76F58" w14:textId="594263A5" w:rsidR="00494AE4" w:rsidRPr="00564B9D" w:rsidRDefault="00494AE4" w:rsidP="00494AE4">
      <w:pPr>
        <w:pStyle w:val="SingleTxtGA"/>
        <w:rPr>
          <w:rtl/>
        </w:rPr>
      </w:pPr>
      <w:r w:rsidRPr="00564B9D">
        <w:rPr>
          <w:rtl/>
        </w:rPr>
        <w:t>113-</w:t>
      </w:r>
      <w:r w:rsidRPr="00564B9D">
        <w:rPr>
          <w:rtl/>
        </w:rPr>
        <w:tab/>
      </w:r>
      <w:r w:rsidRPr="00564B9D">
        <w:rPr>
          <w:rFonts w:hint="cs"/>
          <w:rtl/>
        </w:rPr>
        <w:t>و</w:t>
      </w:r>
      <w:r w:rsidRPr="00564B9D">
        <w:rPr>
          <w:rtl/>
        </w:rPr>
        <w:t>بموجب قانون الاتحاد الأوروبي (الانسحاب) لعام 2019، انتهت سيادة قانون الاتحاد الأوروبي</w:t>
      </w:r>
      <w:r w:rsidR="00777024" w:rsidRPr="00564B9D">
        <w:rPr>
          <w:rFonts w:hint="cs"/>
          <w:rtl/>
        </w:rPr>
        <w:t> </w:t>
      </w:r>
      <w:r w:rsidRPr="00564B9D">
        <w:rPr>
          <w:rtl/>
        </w:rPr>
        <w:t>في جبل طارق في يوم الخروج، على الرغم من أن جبل طارق احتفظ طوعاً بقانون الاتحاد الأوروبي كجزء من تشريعاته المحلية. لذلك لم تكن هناك تغييرات فيما يتعلق بحقوق العمال الجدد الذين دخلوا سوق العمل في أو بعد 1 كانون الثاني</w:t>
      </w:r>
      <w:r w:rsidRPr="00564B9D">
        <w:rPr>
          <w:rFonts w:hint="cs"/>
          <w:rtl/>
        </w:rPr>
        <w:t>/</w:t>
      </w:r>
      <w:r w:rsidRPr="00564B9D">
        <w:rPr>
          <w:rtl/>
        </w:rPr>
        <w:t xml:space="preserve">يناير 2021، </w:t>
      </w:r>
      <w:r w:rsidRPr="00564B9D">
        <w:rPr>
          <w:rFonts w:hint="cs"/>
          <w:rtl/>
        </w:rPr>
        <w:t>رهناً</w:t>
      </w:r>
      <w:r w:rsidRPr="00564B9D">
        <w:rPr>
          <w:rtl/>
        </w:rPr>
        <w:t xml:space="preserve"> </w:t>
      </w:r>
      <w:r w:rsidRPr="00564B9D">
        <w:rPr>
          <w:rFonts w:hint="cs"/>
          <w:rtl/>
        </w:rPr>
        <w:t>ب</w:t>
      </w:r>
      <w:r w:rsidRPr="00564B9D">
        <w:rPr>
          <w:rtl/>
        </w:rPr>
        <w:t>إبرام اتفاق</w:t>
      </w:r>
      <w:r w:rsidRPr="00564B9D">
        <w:rPr>
          <w:rFonts w:hint="cs"/>
          <w:rtl/>
        </w:rPr>
        <w:t xml:space="preserve"> </w:t>
      </w:r>
      <w:r w:rsidRPr="00564B9D">
        <w:rPr>
          <w:rtl/>
        </w:rPr>
        <w:t xml:space="preserve">بين المملكة المتحدة والاتحاد الأوروبي بشأن علاقة جبل طارق </w:t>
      </w:r>
      <w:r w:rsidRPr="00564B9D">
        <w:rPr>
          <w:rFonts w:hint="cs"/>
          <w:rtl/>
        </w:rPr>
        <w:t>ب</w:t>
      </w:r>
      <w:r w:rsidRPr="00564B9D">
        <w:rPr>
          <w:rtl/>
        </w:rPr>
        <w:t>الاتحاد الأوروبي</w:t>
      </w:r>
      <w:r w:rsidRPr="00564B9D">
        <w:rPr>
          <w:rFonts w:hint="cs"/>
          <w:rtl/>
        </w:rPr>
        <w:t xml:space="preserve"> في المستقبل</w:t>
      </w:r>
      <w:r w:rsidRPr="00564B9D">
        <w:rPr>
          <w:rtl/>
        </w:rPr>
        <w:t>. وهذا يعني أن الإطار القانوني في هذا الوقت يظل كما </w:t>
      </w:r>
      <w:r w:rsidRPr="00564B9D">
        <w:rPr>
          <w:rFonts w:hint="cs"/>
          <w:rtl/>
        </w:rPr>
        <w:t>كان حتى</w:t>
      </w:r>
      <w:r w:rsidRPr="00564B9D">
        <w:rPr>
          <w:rtl/>
        </w:rPr>
        <w:t xml:space="preserve"> </w:t>
      </w:r>
      <w:r w:rsidRPr="00564B9D">
        <w:rPr>
          <w:rFonts w:hint="cs"/>
          <w:rtl/>
        </w:rPr>
        <w:t>حزيران/</w:t>
      </w:r>
      <w:r w:rsidRPr="00564B9D">
        <w:rPr>
          <w:rtl/>
        </w:rPr>
        <w:t>يوني</w:t>
      </w:r>
      <w:r w:rsidRPr="00564B9D">
        <w:rPr>
          <w:rFonts w:hint="cs"/>
          <w:rtl/>
        </w:rPr>
        <w:t>ه</w:t>
      </w:r>
      <w:r w:rsidRPr="00564B9D">
        <w:rPr>
          <w:rtl/>
        </w:rPr>
        <w:t xml:space="preserve"> 2021 على الأقل عندما يُتوقع إبرام المعاهدة الجديدة المقترحة. وفي 31 </w:t>
      </w:r>
      <w:r w:rsidRPr="00564B9D">
        <w:rPr>
          <w:rFonts w:hint="cs"/>
          <w:rtl/>
        </w:rPr>
        <w:t>كانون الأول/</w:t>
      </w:r>
      <w:r w:rsidRPr="00564B9D">
        <w:rPr>
          <w:rtl/>
        </w:rPr>
        <w:t>ديسمبر 2020، أعلن جبل طارق والمملكة المتحدة وإسبانيا عن اتفاق بشأن إطار عمل لتلك المعاهدة الجديدة المقترحة بين المملكة المتحدة والاتحاد الأوروبي والتي تضمنت أحكاماً بشأن حقوق المواطنين.</w:t>
      </w:r>
    </w:p>
    <w:p w14:paraId="183739BE" w14:textId="77777777" w:rsidR="00494AE4" w:rsidRPr="00564B9D" w:rsidRDefault="00494AE4" w:rsidP="00494AE4">
      <w:pPr>
        <w:pStyle w:val="HChGA"/>
        <w:rPr>
          <w:rtl/>
        </w:rPr>
      </w:pPr>
      <w:r w:rsidRPr="00564B9D">
        <w:rPr>
          <w:rtl/>
        </w:rPr>
        <w:tab/>
      </w:r>
      <w:r w:rsidRPr="00564B9D">
        <w:rPr>
          <w:rtl/>
        </w:rPr>
        <w:tab/>
      </w:r>
      <w:bookmarkStart w:id="235" w:name="_Toc123044161"/>
      <w:bookmarkStart w:id="236" w:name="_Toc123044384"/>
      <w:bookmarkStart w:id="237" w:name="_Toc123044645"/>
      <w:bookmarkStart w:id="238" w:name="_Toc123044907"/>
      <w:r w:rsidRPr="00564B9D">
        <w:rPr>
          <w:rFonts w:hint="cs"/>
          <w:rtl/>
        </w:rPr>
        <w:t>مونتسيرات</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68"/>
      </w:r>
      <w:r w:rsidRPr="00564B9D">
        <w:rPr>
          <w:b w:val="0"/>
          <w:bCs w:val="0"/>
          <w:sz w:val="22"/>
          <w:szCs w:val="22"/>
          <w:vertAlign w:val="superscript"/>
          <w:rtl/>
        </w:rPr>
        <w:t>)</w:t>
      </w:r>
      <w:bookmarkEnd w:id="235"/>
      <w:bookmarkEnd w:id="236"/>
      <w:bookmarkEnd w:id="237"/>
      <w:bookmarkEnd w:id="238"/>
      <w:r w:rsidRPr="00564B9D">
        <w:rPr>
          <w:rFonts w:hint="cs"/>
          <w:rtl/>
        </w:rPr>
        <w:t xml:space="preserve"> </w:t>
      </w:r>
    </w:p>
    <w:p w14:paraId="19AEFF66" w14:textId="77777777" w:rsidR="00494AE4" w:rsidRPr="00564B9D" w:rsidRDefault="00494AE4" w:rsidP="00494AE4">
      <w:pPr>
        <w:pStyle w:val="HChGA"/>
        <w:rPr>
          <w:rtl/>
        </w:rPr>
      </w:pPr>
      <w:r w:rsidRPr="00564B9D">
        <w:rPr>
          <w:rtl/>
        </w:rPr>
        <w:tab/>
      </w:r>
      <w:bookmarkStart w:id="239" w:name="_Toc123044162"/>
      <w:bookmarkStart w:id="240" w:name="_Toc123044385"/>
      <w:bookmarkStart w:id="241" w:name="_Toc123044646"/>
      <w:bookmarkStart w:id="242" w:name="_Toc123044908"/>
      <w:r w:rsidRPr="00564B9D">
        <w:rPr>
          <w:rFonts w:hint="cs"/>
          <w:rtl/>
        </w:rPr>
        <w:t>أولاً</w:t>
      </w:r>
      <w:r w:rsidRPr="00564B9D">
        <w:rPr>
          <w:rtl/>
        </w:rPr>
        <w:t>-</w:t>
      </w:r>
      <w:r w:rsidRPr="00564B9D">
        <w:rPr>
          <w:rtl/>
        </w:rPr>
        <w:tab/>
      </w:r>
      <w:r w:rsidRPr="00564B9D">
        <w:rPr>
          <w:rFonts w:hint="cs"/>
          <w:rtl/>
        </w:rPr>
        <w:t>معلومات عامة</w:t>
      </w:r>
      <w:bookmarkEnd w:id="239"/>
      <w:bookmarkEnd w:id="240"/>
      <w:bookmarkEnd w:id="241"/>
      <w:bookmarkEnd w:id="242"/>
    </w:p>
    <w:p w14:paraId="6988B512" w14:textId="77777777" w:rsidR="00494AE4" w:rsidRPr="00564B9D" w:rsidRDefault="00494AE4" w:rsidP="00494AE4">
      <w:pPr>
        <w:pStyle w:val="H1GA"/>
        <w:rPr>
          <w:rtl/>
        </w:rPr>
      </w:pPr>
      <w:r w:rsidRPr="00564B9D">
        <w:rPr>
          <w:rtl/>
        </w:rPr>
        <w:tab/>
      </w:r>
      <w:bookmarkStart w:id="243" w:name="_Toc123044163"/>
      <w:bookmarkStart w:id="244" w:name="_Toc123044386"/>
      <w:bookmarkStart w:id="245" w:name="_Toc123044647"/>
      <w:bookmarkStart w:id="246" w:name="_Toc123044909"/>
      <w:r w:rsidRPr="00564B9D">
        <w:rPr>
          <w:rtl/>
        </w:rPr>
        <w:t>ألف-</w:t>
      </w:r>
      <w:r w:rsidRPr="00564B9D">
        <w:rPr>
          <w:rtl/>
        </w:rPr>
        <w:tab/>
        <w:t>الخصائص الديمغرافية والاقتصادية والاجتماعية والثقافية</w:t>
      </w:r>
      <w:bookmarkEnd w:id="243"/>
      <w:bookmarkEnd w:id="244"/>
      <w:bookmarkEnd w:id="245"/>
      <w:bookmarkEnd w:id="246"/>
    </w:p>
    <w:tbl>
      <w:tblPr>
        <w:tblStyle w:val="TABLEA"/>
        <w:bidiVisual/>
        <w:tblW w:w="8392" w:type="dxa"/>
        <w:jc w:val="left"/>
        <w:tblInd w:w="1247" w:type="dxa"/>
        <w:tblLayout w:type="fixed"/>
        <w:tblLook w:val="04A0" w:firstRow="1" w:lastRow="0" w:firstColumn="1" w:lastColumn="0" w:noHBand="0" w:noVBand="1"/>
      </w:tblPr>
      <w:tblGrid>
        <w:gridCol w:w="4466"/>
        <w:gridCol w:w="3926"/>
      </w:tblGrid>
      <w:tr w:rsidR="007B5A24" w:rsidRPr="00564B9D" w14:paraId="166D2230" w14:textId="77777777" w:rsidTr="00804944">
        <w:trPr>
          <w:cnfStyle w:val="100000000000" w:firstRow="1" w:lastRow="0" w:firstColumn="0" w:lastColumn="0" w:oddVBand="0" w:evenVBand="0" w:oddHBand="0" w:evenHBand="0" w:firstRowFirstColumn="0" w:firstRowLastColumn="0" w:lastRowFirstColumn="0" w:lastRowLastColumn="0"/>
          <w:trHeight w:val="240"/>
          <w:tblHeader/>
          <w:jc w:val="left"/>
        </w:trPr>
        <w:tc>
          <w:tcPr>
            <w:tcW w:w="7284" w:type="dxa"/>
            <w:gridSpan w:val="2"/>
          </w:tcPr>
          <w:p w14:paraId="3C9760E6"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57" w:right="57"/>
              <w:rPr>
                <w:i/>
                <w:iCs/>
                <w:sz w:val="20"/>
                <w:szCs w:val="20"/>
                <w:rtl/>
              </w:rPr>
            </w:pPr>
            <w:r w:rsidRPr="00564B9D">
              <w:rPr>
                <w:rFonts w:hint="cs"/>
                <w:i/>
                <w:iCs/>
                <w:sz w:val="20"/>
                <w:szCs w:val="20"/>
                <w:rtl/>
              </w:rPr>
              <w:t>المؤشرات الديمغرافية</w:t>
            </w:r>
          </w:p>
        </w:tc>
      </w:tr>
      <w:tr w:rsidR="007B5A24" w:rsidRPr="00564B9D" w14:paraId="7BD78126" w14:textId="77777777" w:rsidTr="00804944">
        <w:trPr>
          <w:trHeight w:val="240"/>
          <w:jc w:val="left"/>
        </w:trPr>
        <w:tc>
          <w:tcPr>
            <w:tcW w:w="3876" w:type="dxa"/>
          </w:tcPr>
          <w:p w14:paraId="73C53B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 xml:space="preserve">حجم السكان </w:t>
            </w:r>
          </w:p>
        </w:tc>
        <w:tc>
          <w:tcPr>
            <w:tcW w:w="3408" w:type="dxa"/>
          </w:tcPr>
          <w:p w14:paraId="708CEE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649</w:t>
            </w:r>
            <w:r w:rsidRPr="00564B9D">
              <w:rPr>
                <w:sz w:val="20"/>
                <w:szCs w:val="20"/>
                <w:rtl/>
              </w:rPr>
              <w:t> </w:t>
            </w:r>
            <w:r w:rsidRPr="00564B9D">
              <w:rPr>
                <w:rFonts w:hint="cs"/>
                <w:sz w:val="20"/>
                <w:szCs w:val="20"/>
                <w:rtl/>
              </w:rPr>
              <w:t>4 (2018)</w:t>
            </w:r>
          </w:p>
          <w:p w14:paraId="69A181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ذكور: 306</w:t>
            </w:r>
            <w:r w:rsidRPr="00564B9D">
              <w:rPr>
                <w:sz w:val="20"/>
                <w:szCs w:val="20"/>
                <w:rtl/>
              </w:rPr>
              <w:t> </w:t>
            </w:r>
            <w:r w:rsidRPr="00564B9D">
              <w:rPr>
                <w:rFonts w:hint="cs"/>
                <w:sz w:val="20"/>
                <w:szCs w:val="20"/>
                <w:rtl/>
              </w:rPr>
              <w:t>2</w:t>
            </w:r>
          </w:p>
          <w:p w14:paraId="73F43D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إناث: 343</w:t>
            </w:r>
            <w:r w:rsidRPr="00564B9D">
              <w:rPr>
                <w:sz w:val="20"/>
                <w:szCs w:val="20"/>
                <w:rtl/>
              </w:rPr>
              <w:t> </w:t>
            </w:r>
            <w:r w:rsidRPr="00564B9D">
              <w:rPr>
                <w:rFonts w:hint="cs"/>
                <w:sz w:val="20"/>
                <w:szCs w:val="20"/>
                <w:rtl/>
              </w:rPr>
              <w:t>2</w:t>
            </w:r>
          </w:p>
        </w:tc>
      </w:tr>
      <w:tr w:rsidR="007B5A24" w:rsidRPr="00564B9D" w14:paraId="33D3E4D2" w14:textId="77777777" w:rsidTr="00804944">
        <w:trPr>
          <w:trHeight w:val="240"/>
          <w:jc w:val="left"/>
        </w:trPr>
        <w:tc>
          <w:tcPr>
            <w:tcW w:w="3876" w:type="dxa"/>
          </w:tcPr>
          <w:p w14:paraId="158296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 xml:space="preserve">معدل النمو السكاني </w:t>
            </w:r>
          </w:p>
        </w:tc>
        <w:tc>
          <w:tcPr>
            <w:tcW w:w="3408" w:type="dxa"/>
          </w:tcPr>
          <w:p w14:paraId="4DC905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0,76 (النمو السني من أيار/مايو 2011 إلى أيلول/سبتمبر 2018)</w:t>
            </w:r>
          </w:p>
        </w:tc>
      </w:tr>
      <w:tr w:rsidR="007B5A24" w:rsidRPr="00564B9D" w14:paraId="0A95C03F" w14:textId="77777777" w:rsidTr="00804944">
        <w:trPr>
          <w:trHeight w:val="240"/>
          <w:jc w:val="left"/>
        </w:trPr>
        <w:tc>
          <w:tcPr>
            <w:tcW w:w="3876" w:type="dxa"/>
          </w:tcPr>
          <w:p w14:paraId="62FE13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الكثافة السكانية (عدد الأشخاص في الكيلومتر المربع)</w:t>
            </w:r>
          </w:p>
        </w:tc>
        <w:tc>
          <w:tcPr>
            <w:tcW w:w="3408" w:type="dxa"/>
          </w:tcPr>
          <w:p w14:paraId="4851F0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300 (2018) (استناداً إلى المساحة المسكونة التي تبلغ 30,1 كم مربع)</w:t>
            </w:r>
          </w:p>
        </w:tc>
      </w:tr>
      <w:tr w:rsidR="007B5A24" w:rsidRPr="00564B9D" w14:paraId="01683E33" w14:textId="77777777" w:rsidTr="00804944">
        <w:trPr>
          <w:trHeight w:val="240"/>
          <w:jc w:val="left"/>
        </w:trPr>
        <w:tc>
          <w:tcPr>
            <w:tcW w:w="3876" w:type="dxa"/>
          </w:tcPr>
          <w:p w14:paraId="2DFCF12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توزيع السكان بحسب اللغة الأم</w:t>
            </w:r>
          </w:p>
        </w:tc>
        <w:tc>
          <w:tcPr>
            <w:tcW w:w="3408" w:type="dxa"/>
          </w:tcPr>
          <w:p w14:paraId="5BBD1F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لم تتوفر المعلومات بعد</w:t>
            </w:r>
          </w:p>
        </w:tc>
      </w:tr>
      <w:tr w:rsidR="007B5A24" w:rsidRPr="00564B9D" w14:paraId="195AE0CC" w14:textId="77777777" w:rsidTr="00804944">
        <w:trPr>
          <w:trHeight w:val="240"/>
          <w:jc w:val="left"/>
        </w:trPr>
        <w:tc>
          <w:tcPr>
            <w:tcW w:w="3876" w:type="dxa"/>
          </w:tcPr>
          <w:p w14:paraId="1726EC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lastRenderedPageBreak/>
              <w:t xml:space="preserve">توزيع السكان بحسب الديانة </w:t>
            </w:r>
          </w:p>
        </w:tc>
        <w:tc>
          <w:tcPr>
            <w:tcW w:w="3408" w:type="dxa"/>
          </w:tcPr>
          <w:p w14:paraId="4B3C05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في أيلول/سبتمبر 2018:</w:t>
            </w:r>
          </w:p>
          <w:p w14:paraId="58B467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أتباع الكنيسة الأنجليكانية: 806 (406 ذكور؛ 400 إناث)</w:t>
            </w:r>
          </w:p>
          <w:p w14:paraId="1BF77B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أتباع كنيسة الرب: 305 (136 ذكور؛ 169 إناث)</w:t>
            </w:r>
          </w:p>
          <w:p w14:paraId="005A0C0B" w14:textId="29F1F833"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 xml:space="preserve">أتباع كنيسة المسيح: 21 (9 ذكور؛ </w:t>
            </w:r>
            <w:r w:rsidR="00A57056" w:rsidRPr="00564B9D">
              <w:rPr>
                <w:rFonts w:hint="cs"/>
                <w:sz w:val="20"/>
                <w:szCs w:val="20"/>
                <w:rtl/>
              </w:rPr>
              <w:t xml:space="preserve">12 </w:t>
            </w:r>
            <w:r w:rsidRPr="00564B9D">
              <w:rPr>
                <w:rFonts w:hint="cs"/>
                <w:sz w:val="20"/>
                <w:szCs w:val="20"/>
                <w:rtl/>
              </w:rPr>
              <w:t>إناث)</w:t>
            </w:r>
          </w:p>
          <w:p w14:paraId="198CA6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إنجيليون: 15 (5 ذكور؛ 10 إناث)</w:t>
            </w:r>
          </w:p>
          <w:p w14:paraId="43D8EEA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هندوس: 56 (31 ذكور؛ 25 إناث)</w:t>
            </w:r>
          </w:p>
          <w:p w14:paraId="744748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شهود يهوه: 47 (24 ذكور؛ 23 إناث)</w:t>
            </w:r>
          </w:p>
          <w:p w14:paraId="6DAA85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أتباع الكنيسة الميثودية: 635 (318 ذكور؛ 317 إناث)</w:t>
            </w:r>
          </w:p>
          <w:p w14:paraId="41CD94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أتباع الكنيسة الخمسينية/كنيسة الإنجيل الكامل: 736 (331 ذكور؛ 405 إناث)</w:t>
            </w:r>
          </w:p>
          <w:p w14:paraId="06D2F7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راستافاريون: 66 (54 ذكور؛ 12 إناث)</w:t>
            </w:r>
          </w:p>
          <w:p w14:paraId="666476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روم كاثوليك: 522 (229 ذكور؛ 393 إناث)</w:t>
            </w:r>
          </w:p>
          <w:p w14:paraId="3733DE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أتباع الكنيسة السبتية: 522 (307 ذكور؛ 378 إناث)</w:t>
            </w:r>
          </w:p>
          <w:p w14:paraId="5BF85E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ديانات أخرى: 362 (116 ذكور؛ 126 إناث)</w:t>
            </w:r>
          </w:p>
          <w:p w14:paraId="62560A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بدون ديانة: 362 (251 ذكور؛ 111 إناث)</w:t>
            </w:r>
          </w:p>
          <w:p w14:paraId="19E200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دون ديانة معروفة: 17 (13 ذكور؛ 4 إناث)</w:t>
            </w:r>
          </w:p>
          <w:p w14:paraId="0E2AC1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دون ديانة معلنة: 51 (26 ذكور؛ 25 إناث)</w:t>
            </w:r>
          </w:p>
        </w:tc>
      </w:tr>
      <w:tr w:rsidR="007B5A24" w:rsidRPr="00564B9D" w14:paraId="7B8AF8DA" w14:textId="77777777" w:rsidTr="00804944">
        <w:trPr>
          <w:trHeight w:val="240"/>
          <w:jc w:val="left"/>
        </w:trPr>
        <w:tc>
          <w:tcPr>
            <w:tcW w:w="3876" w:type="dxa"/>
          </w:tcPr>
          <w:p w14:paraId="4E6EB2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توزيع السكان بحسب الفئات الإثنية</w:t>
            </w:r>
          </w:p>
        </w:tc>
        <w:tc>
          <w:tcPr>
            <w:tcW w:w="3408" w:type="dxa"/>
          </w:tcPr>
          <w:p w14:paraId="07C1A6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في آذار/مارس 2012:</w:t>
            </w:r>
          </w:p>
          <w:p w14:paraId="2B2D72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أفارقة/سود: 963</w:t>
            </w:r>
            <w:r w:rsidRPr="00564B9D">
              <w:rPr>
                <w:sz w:val="20"/>
                <w:szCs w:val="20"/>
                <w:rtl/>
              </w:rPr>
              <w:t> </w:t>
            </w:r>
            <w:r w:rsidRPr="00564B9D">
              <w:rPr>
                <w:rFonts w:hint="cs"/>
                <w:sz w:val="20"/>
                <w:szCs w:val="20"/>
                <w:rtl/>
              </w:rPr>
              <w:t>1 ذكور؛ 971</w:t>
            </w:r>
            <w:r w:rsidRPr="00564B9D">
              <w:rPr>
                <w:sz w:val="20"/>
                <w:szCs w:val="20"/>
                <w:rtl/>
              </w:rPr>
              <w:t> </w:t>
            </w:r>
            <w:r w:rsidRPr="00564B9D">
              <w:rPr>
                <w:rFonts w:hint="cs"/>
                <w:sz w:val="20"/>
                <w:szCs w:val="20"/>
                <w:rtl/>
              </w:rPr>
              <w:t>1 إناث؛ المجموع 934</w:t>
            </w:r>
            <w:r w:rsidRPr="00564B9D">
              <w:rPr>
                <w:sz w:val="20"/>
                <w:szCs w:val="20"/>
                <w:rtl/>
              </w:rPr>
              <w:t> </w:t>
            </w:r>
            <w:r w:rsidRPr="00564B9D">
              <w:rPr>
                <w:rFonts w:hint="cs"/>
                <w:sz w:val="20"/>
                <w:szCs w:val="20"/>
                <w:rtl/>
              </w:rPr>
              <w:t>3</w:t>
            </w:r>
          </w:p>
          <w:p w14:paraId="099B8A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هنود شرقيون/هنود: 40 ذكور؛ 32 إناث؛ المجموع 72</w:t>
            </w:r>
          </w:p>
          <w:p w14:paraId="2F198B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قوقازيون/بيض: 67 ذكور؛ 58 إناث؛ المجموع 125</w:t>
            </w:r>
          </w:p>
          <w:p w14:paraId="020E5C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مختلطون: 95 ذكور؛ 122 إناث؛ المجموع 217</w:t>
            </w:r>
          </w:p>
          <w:p w14:paraId="7C0A2E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من أصل إسباني/إسبان: 44 ذكور؛ 93 إناث؛ المجموع 137</w:t>
            </w:r>
          </w:p>
          <w:p w14:paraId="2DA53B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فئات أخرى: 47 ذكور؛ 34 إناث؛ المجموع 81</w:t>
            </w:r>
          </w:p>
          <w:p w14:paraId="36E7F4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المجموع: 256</w:t>
            </w:r>
            <w:r w:rsidRPr="00564B9D">
              <w:rPr>
                <w:sz w:val="20"/>
                <w:szCs w:val="20"/>
                <w:rtl/>
              </w:rPr>
              <w:t> </w:t>
            </w:r>
            <w:r w:rsidRPr="00564B9D">
              <w:rPr>
                <w:rFonts w:hint="cs"/>
                <w:sz w:val="20"/>
                <w:szCs w:val="20"/>
                <w:rtl/>
              </w:rPr>
              <w:t>2 ذكور؛ 310</w:t>
            </w:r>
            <w:r w:rsidRPr="00564B9D">
              <w:rPr>
                <w:sz w:val="20"/>
                <w:szCs w:val="20"/>
                <w:rtl/>
              </w:rPr>
              <w:t> </w:t>
            </w:r>
            <w:r w:rsidRPr="00564B9D">
              <w:rPr>
                <w:rFonts w:hint="cs"/>
                <w:sz w:val="20"/>
                <w:szCs w:val="20"/>
                <w:rtl/>
              </w:rPr>
              <w:t>2 إناث؛ المجموع: 566</w:t>
            </w:r>
            <w:r w:rsidRPr="00564B9D">
              <w:rPr>
                <w:sz w:val="20"/>
                <w:szCs w:val="20"/>
                <w:rtl/>
              </w:rPr>
              <w:t> </w:t>
            </w:r>
            <w:r w:rsidRPr="00564B9D">
              <w:rPr>
                <w:rFonts w:hint="cs"/>
                <w:sz w:val="20"/>
                <w:szCs w:val="20"/>
                <w:rtl/>
              </w:rPr>
              <w:t>4</w:t>
            </w:r>
          </w:p>
        </w:tc>
      </w:tr>
      <w:tr w:rsidR="007B5A24" w:rsidRPr="00564B9D" w14:paraId="34448B57" w14:textId="77777777" w:rsidTr="00804944">
        <w:trPr>
          <w:trHeight w:val="240"/>
          <w:jc w:val="left"/>
        </w:trPr>
        <w:tc>
          <w:tcPr>
            <w:tcW w:w="3876" w:type="dxa"/>
          </w:tcPr>
          <w:p w14:paraId="1D79CA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 xml:space="preserve">التركيب العمري للسكان </w:t>
            </w:r>
          </w:p>
        </w:tc>
        <w:tc>
          <w:tcPr>
            <w:tcW w:w="3408" w:type="dxa"/>
          </w:tcPr>
          <w:p w14:paraId="6463A520"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rFonts w:hint="cs"/>
                <w:sz w:val="20"/>
                <w:szCs w:val="20"/>
                <w:rtl/>
              </w:rPr>
              <w:t>في أيلول/سبتمبر 2018:</w:t>
            </w:r>
          </w:p>
          <w:p w14:paraId="5DC2AF1D"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rFonts w:hint="cs"/>
                <w:sz w:val="20"/>
                <w:szCs w:val="20"/>
                <w:rtl/>
              </w:rPr>
              <w:t xml:space="preserve">الفئة العمرية </w:t>
            </w:r>
            <w:r w:rsidRPr="00564B9D">
              <w:rPr>
                <w:sz w:val="20"/>
                <w:szCs w:val="20"/>
                <w:rtl/>
              </w:rPr>
              <w:tab/>
            </w:r>
            <w:r w:rsidRPr="00564B9D">
              <w:rPr>
                <w:rFonts w:hint="cs"/>
                <w:sz w:val="20"/>
                <w:szCs w:val="20"/>
                <w:rtl/>
              </w:rPr>
              <w:t xml:space="preserve">ذكور </w:t>
            </w:r>
            <w:r w:rsidRPr="00564B9D">
              <w:rPr>
                <w:sz w:val="20"/>
                <w:szCs w:val="20"/>
                <w:rtl/>
              </w:rPr>
              <w:tab/>
            </w:r>
            <w:r w:rsidRPr="00564B9D">
              <w:rPr>
                <w:rFonts w:hint="cs"/>
                <w:sz w:val="20"/>
                <w:szCs w:val="20"/>
                <w:rtl/>
              </w:rPr>
              <w:t xml:space="preserve">إناث </w:t>
            </w:r>
            <w:r w:rsidRPr="00564B9D">
              <w:rPr>
                <w:sz w:val="20"/>
                <w:szCs w:val="20"/>
                <w:rtl/>
              </w:rPr>
              <w:tab/>
            </w:r>
            <w:r w:rsidRPr="00564B9D">
              <w:rPr>
                <w:rFonts w:hint="cs"/>
                <w:sz w:val="20"/>
                <w:szCs w:val="20"/>
                <w:rtl/>
              </w:rPr>
              <w:t>المجموع</w:t>
            </w:r>
          </w:p>
          <w:p w14:paraId="10C4DA5B"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0-4 سنوات</w:t>
            </w:r>
            <w:r w:rsidRPr="00564B9D">
              <w:rPr>
                <w:sz w:val="20"/>
                <w:szCs w:val="20"/>
                <w:rtl/>
              </w:rPr>
              <w:tab/>
              <w:t>113</w:t>
            </w:r>
            <w:r w:rsidRPr="00564B9D">
              <w:rPr>
                <w:sz w:val="20"/>
                <w:szCs w:val="20"/>
              </w:rPr>
              <w:tab/>
            </w:r>
            <w:r w:rsidRPr="00564B9D">
              <w:rPr>
                <w:sz w:val="20"/>
                <w:szCs w:val="20"/>
                <w:rtl/>
              </w:rPr>
              <w:t>122</w:t>
            </w:r>
            <w:r w:rsidRPr="00564B9D">
              <w:rPr>
                <w:sz w:val="20"/>
                <w:szCs w:val="20"/>
              </w:rPr>
              <w:tab/>
            </w:r>
            <w:r w:rsidRPr="00564B9D">
              <w:rPr>
                <w:sz w:val="20"/>
                <w:szCs w:val="20"/>
                <w:rtl/>
              </w:rPr>
              <w:t>35</w:t>
            </w:r>
          </w:p>
          <w:p w14:paraId="6AF9A155"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5-9 سنوات</w:t>
            </w:r>
            <w:r w:rsidRPr="00564B9D">
              <w:rPr>
                <w:sz w:val="20"/>
                <w:szCs w:val="20"/>
              </w:rPr>
              <w:tab/>
            </w:r>
            <w:r w:rsidRPr="00564B9D">
              <w:rPr>
                <w:sz w:val="20"/>
                <w:szCs w:val="20"/>
                <w:rtl/>
              </w:rPr>
              <w:t>144</w:t>
            </w:r>
            <w:r w:rsidRPr="00564B9D">
              <w:rPr>
                <w:sz w:val="20"/>
                <w:szCs w:val="20"/>
              </w:rPr>
              <w:tab/>
            </w:r>
            <w:r w:rsidRPr="00564B9D">
              <w:rPr>
                <w:sz w:val="20"/>
                <w:szCs w:val="20"/>
                <w:rtl/>
              </w:rPr>
              <w:t>158</w:t>
            </w:r>
            <w:r w:rsidRPr="00564B9D">
              <w:rPr>
                <w:sz w:val="20"/>
                <w:szCs w:val="20"/>
              </w:rPr>
              <w:tab/>
            </w:r>
            <w:r w:rsidRPr="00564B9D">
              <w:rPr>
                <w:sz w:val="20"/>
                <w:szCs w:val="20"/>
                <w:rtl/>
              </w:rPr>
              <w:t>302</w:t>
            </w:r>
          </w:p>
          <w:p w14:paraId="05AF36A3"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10-14 سنة</w:t>
            </w:r>
            <w:r w:rsidRPr="00564B9D">
              <w:rPr>
                <w:sz w:val="20"/>
                <w:szCs w:val="20"/>
              </w:rPr>
              <w:tab/>
            </w:r>
            <w:r w:rsidRPr="00564B9D">
              <w:rPr>
                <w:sz w:val="20"/>
                <w:szCs w:val="20"/>
                <w:rtl/>
              </w:rPr>
              <w:t>156</w:t>
            </w:r>
            <w:r w:rsidRPr="00564B9D">
              <w:rPr>
                <w:sz w:val="20"/>
                <w:szCs w:val="20"/>
              </w:rPr>
              <w:tab/>
            </w:r>
            <w:r w:rsidRPr="00564B9D">
              <w:rPr>
                <w:sz w:val="20"/>
                <w:szCs w:val="20"/>
                <w:rtl/>
              </w:rPr>
              <w:t>160</w:t>
            </w:r>
            <w:r w:rsidRPr="00564B9D">
              <w:rPr>
                <w:sz w:val="20"/>
                <w:szCs w:val="20"/>
              </w:rPr>
              <w:tab/>
            </w:r>
            <w:r w:rsidRPr="00564B9D">
              <w:rPr>
                <w:sz w:val="20"/>
                <w:szCs w:val="20"/>
                <w:rtl/>
              </w:rPr>
              <w:t>316</w:t>
            </w:r>
          </w:p>
          <w:p w14:paraId="2DCFCF53"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15-19 سنة</w:t>
            </w:r>
            <w:r w:rsidRPr="00564B9D">
              <w:rPr>
                <w:sz w:val="20"/>
                <w:szCs w:val="20"/>
              </w:rPr>
              <w:tab/>
            </w:r>
            <w:r w:rsidRPr="00564B9D">
              <w:rPr>
                <w:sz w:val="20"/>
                <w:szCs w:val="20"/>
                <w:rtl/>
              </w:rPr>
              <w:t>130</w:t>
            </w:r>
            <w:r w:rsidRPr="00564B9D">
              <w:rPr>
                <w:sz w:val="20"/>
                <w:szCs w:val="20"/>
              </w:rPr>
              <w:tab/>
            </w:r>
            <w:r w:rsidRPr="00564B9D">
              <w:rPr>
                <w:sz w:val="20"/>
                <w:szCs w:val="20"/>
                <w:rtl/>
              </w:rPr>
              <w:t>137</w:t>
            </w:r>
            <w:r w:rsidRPr="00564B9D">
              <w:rPr>
                <w:sz w:val="20"/>
                <w:szCs w:val="20"/>
              </w:rPr>
              <w:tab/>
            </w:r>
            <w:r w:rsidRPr="00564B9D">
              <w:rPr>
                <w:sz w:val="20"/>
                <w:szCs w:val="20"/>
                <w:rtl/>
              </w:rPr>
              <w:t>267</w:t>
            </w:r>
          </w:p>
          <w:p w14:paraId="18518144"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20-24 سنة</w:t>
            </w:r>
            <w:r w:rsidRPr="00564B9D">
              <w:rPr>
                <w:sz w:val="20"/>
                <w:szCs w:val="20"/>
              </w:rPr>
              <w:tab/>
            </w:r>
            <w:r w:rsidRPr="00564B9D">
              <w:rPr>
                <w:sz w:val="20"/>
                <w:szCs w:val="20"/>
                <w:rtl/>
              </w:rPr>
              <w:t>142</w:t>
            </w:r>
            <w:r w:rsidRPr="00564B9D">
              <w:rPr>
                <w:sz w:val="20"/>
                <w:szCs w:val="20"/>
              </w:rPr>
              <w:tab/>
            </w:r>
            <w:r w:rsidRPr="00564B9D">
              <w:rPr>
                <w:sz w:val="20"/>
                <w:szCs w:val="20"/>
                <w:rtl/>
              </w:rPr>
              <w:t>107</w:t>
            </w:r>
            <w:r w:rsidRPr="00564B9D">
              <w:rPr>
                <w:sz w:val="20"/>
                <w:szCs w:val="20"/>
              </w:rPr>
              <w:tab/>
            </w:r>
            <w:r w:rsidRPr="00564B9D">
              <w:rPr>
                <w:sz w:val="20"/>
                <w:szCs w:val="20"/>
                <w:rtl/>
              </w:rPr>
              <w:t>249</w:t>
            </w:r>
          </w:p>
          <w:p w14:paraId="09D8C694"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25-29 سنة</w:t>
            </w:r>
            <w:r w:rsidRPr="00564B9D">
              <w:rPr>
                <w:sz w:val="20"/>
                <w:szCs w:val="20"/>
              </w:rPr>
              <w:tab/>
            </w:r>
            <w:r w:rsidRPr="00564B9D">
              <w:rPr>
                <w:sz w:val="20"/>
                <w:szCs w:val="20"/>
                <w:rtl/>
              </w:rPr>
              <w:t>140</w:t>
            </w:r>
            <w:r w:rsidRPr="00564B9D">
              <w:rPr>
                <w:sz w:val="20"/>
                <w:szCs w:val="20"/>
              </w:rPr>
              <w:tab/>
            </w:r>
            <w:r w:rsidRPr="00564B9D">
              <w:rPr>
                <w:sz w:val="20"/>
                <w:szCs w:val="20"/>
                <w:rtl/>
              </w:rPr>
              <w:t>143</w:t>
            </w:r>
            <w:r w:rsidRPr="00564B9D">
              <w:rPr>
                <w:sz w:val="20"/>
                <w:szCs w:val="20"/>
              </w:rPr>
              <w:tab/>
            </w:r>
            <w:r w:rsidRPr="00564B9D">
              <w:rPr>
                <w:sz w:val="20"/>
                <w:szCs w:val="20"/>
                <w:rtl/>
              </w:rPr>
              <w:t>283</w:t>
            </w:r>
          </w:p>
          <w:p w14:paraId="5C46CA12"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30-34 سنة</w:t>
            </w:r>
            <w:r w:rsidRPr="00564B9D">
              <w:rPr>
                <w:sz w:val="20"/>
                <w:szCs w:val="20"/>
              </w:rPr>
              <w:tab/>
            </w:r>
            <w:r w:rsidRPr="00564B9D">
              <w:rPr>
                <w:sz w:val="20"/>
                <w:szCs w:val="20"/>
                <w:rtl/>
              </w:rPr>
              <w:t>152</w:t>
            </w:r>
            <w:r w:rsidRPr="00564B9D">
              <w:rPr>
                <w:sz w:val="20"/>
                <w:szCs w:val="20"/>
              </w:rPr>
              <w:tab/>
            </w:r>
            <w:r w:rsidRPr="00564B9D">
              <w:rPr>
                <w:sz w:val="20"/>
                <w:szCs w:val="20"/>
                <w:rtl/>
              </w:rPr>
              <w:t>181</w:t>
            </w:r>
            <w:r w:rsidRPr="00564B9D">
              <w:rPr>
                <w:sz w:val="20"/>
                <w:szCs w:val="20"/>
              </w:rPr>
              <w:tab/>
            </w:r>
            <w:r w:rsidRPr="00564B9D">
              <w:rPr>
                <w:sz w:val="20"/>
                <w:szCs w:val="20"/>
                <w:rtl/>
              </w:rPr>
              <w:t>333</w:t>
            </w:r>
          </w:p>
          <w:p w14:paraId="22C2F81F"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35-39 سنة</w:t>
            </w:r>
            <w:r w:rsidRPr="00564B9D">
              <w:rPr>
                <w:sz w:val="20"/>
                <w:szCs w:val="20"/>
              </w:rPr>
              <w:tab/>
            </w:r>
            <w:r w:rsidRPr="00564B9D">
              <w:rPr>
                <w:sz w:val="20"/>
                <w:szCs w:val="20"/>
                <w:rtl/>
              </w:rPr>
              <w:t>127</w:t>
            </w:r>
            <w:r w:rsidRPr="00564B9D">
              <w:rPr>
                <w:sz w:val="20"/>
                <w:szCs w:val="20"/>
              </w:rPr>
              <w:tab/>
            </w:r>
            <w:r w:rsidRPr="00564B9D">
              <w:rPr>
                <w:sz w:val="20"/>
                <w:szCs w:val="20"/>
                <w:rtl/>
              </w:rPr>
              <w:t>163</w:t>
            </w:r>
            <w:r w:rsidRPr="00564B9D">
              <w:rPr>
                <w:sz w:val="20"/>
                <w:szCs w:val="20"/>
              </w:rPr>
              <w:tab/>
            </w:r>
            <w:r w:rsidRPr="00564B9D">
              <w:rPr>
                <w:sz w:val="20"/>
                <w:szCs w:val="20"/>
                <w:rtl/>
              </w:rPr>
              <w:t>290</w:t>
            </w:r>
          </w:p>
          <w:p w14:paraId="2CB58019"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40-44 سنة</w:t>
            </w:r>
            <w:r w:rsidRPr="00564B9D">
              <w:rPr>
                <w:sz w:val="20"/>
                <w:szCs w:val="20"/>
              </w:rPr>
              <w:tab/>
            </w:r>
            <w:r w:rsidRPr="00564B9D">
              <w:rPr>
                <w:sz w:val="20"/>
                <w:szCs w:val="20"/>
                <w:rtl/>
              </w:rPr>
              <w:t>148</w:t>
            </w:r>
            <w:r w:rsidRPr="00564B9D">
              <w:rPr>
                <w:sz w:val="20"/>
                <w:szCs w:val="20"/>
              </w:rPr>
              <w:tab/>
            </w:r>
            <w:r w:rsidRPr="00564B9D">
              <w:rPr>
                <w:sz w:val="20"/>
                <w:szCs w:val="20"/>
                <w:rtl/>
              </w:rPr>
              <w:t>173</w:t>
            </w:r>
            <w:r w:rsidRPr="00564B9D">
              <w:rPr>
                <w:sz w:val="20"/>
                <w:szCs w:val="20"/>
              </w:rPr>
              <w:tab/>
            </w:r>
            <w:r w:rsidRPr="00564B9D">
              <w:rPr>
                <w:sz w:val="20"/>
                <w:szCs w:val="20"/>
                <w:rtl/>
              </w:rPr>
              <w:t>321</w:t>
            </w:r>
          </w:p>
          <w:p w14:paraId="4A0019D2"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45-49 سنة</w:t>
            </w:r>
            <w:r w:rsidRPr="00564B9D">
              <w:rPr>
                <w:sz w:val="20"/>
                <w:szCs w:val="20"/>
              </w:rPr>
              <w:tab/>
            </w:r>
            <w:r w:rsidRPr="00564B9D">
              <w:rPr>
                <w:sz w:val="20"/>
                <w:szCs w:val="20"/>
                <w:rtl/>
              </w:rPr>
              <w:t>156</w:t>
            </w:r>
            <w:r w:rsidRPr="00564B9D">
              <w:rPr>
                <w:sz w:val="20"/>
                <w:szCs w:val="20"/>
              </w:rPr>
              <w:tab/>
            </w:r>
            <w:r w:rsidRPr="00564B9D">
              <w:rPr>
                <w:sz w:val="20"/>
                <w:szCs w:val="20"/>
                <w:rtl/>
              </w:rPr>
              <w:t>183</w:t>
            </w:r>
            <w:r w:rsidRPr="00564B9D">
              <w:rPr>
                <w:sz w:val="20"/>
                <w:szCs w:val="20"/>
              </w:rPr>
              <w:tab/>
            </w:r>
            <w:r w:rsidRPr="00564B9D">
              <w:rPr>
                <w:sz w:val="20"/>
                <w:szCs w:val="20"/>
                <w:rtl/>
              </w:rPr>
              <w:t>339</w:t>
            </w:r>
          </w:p>
          <w:p w14:paraId="00EB65DC"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50-54 سنة</w:t>
            </w:r>
            <w:r w:rsidRPr="00564B9D">
              <w:rPr>
                <w:sz w:val="20"/>
                <w:szCs w:val="20"/>
              </w:rPr>
              <w:tab/>
            </w:r>
            <w:r w:rsidRPr="00564B9D">
              <w:rPr>
                <w:sz w:val="20"/>
                <w:szCs w:val="20"/>
                <w:rtl/>
              </w:rPr>
              <w:t>183</w:t>
            </w:r>
            <w:r w:rsidRPr="00564B9D">
              <w:rPr>
                <w:sz w:val="20"/>
                <w:szCs w:val="20"/>
              </w:rPr>
              <w:tab/>
            </w:r>
            <w:r w:rsidRPr="00564B9D">
              <w:rPr>
                <w:sz w:val="20"/>
                <w:szCs w:val="20"/>
                <w:rtl/>
              </w:rPr>
              <w:t>179</w:t>
            </w:r>
            <w:r w:rsidRPr="00564B9D">
              <w:rPr>
                <w:sz w:val="20"/>
                <w:szCs w:val="20"/>
              </w:rPr>
              <w:tab/>
            </w:r>
            <w:r w:rsidRPr="00564B9D">
              <w:rPr>
                <w:sz w:val="20"/>
                <w:szCs w:val="20"/>
                <w:rtl/>
              </w:rPr>
              <w:t>362</w:t>
            </w:r>
          </w:p>
          <w:p w14:paraId="61AF50DB"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55-59 سنة</w:t>
            </w:r>
            <w:r w:rsidRPr="00564B9D">
              <w:rPr>
                <w:sz w:val="20"/>
                <w:szCs w:val="20"/>
              </w:rPr>
              <w:tab/>
            </w:r>
            <w:r w:rsidRPr="00564B9D">
              <w:rPr>
                <w:sz w:val="20"/>
                <w:szCs w:val="20"/>
                <w:rtl/>
              </w:rPr>
              <w:t>163</w:t>
            </w:r>
            <w:r w:rsidRPr="00564B9D">
              <w:rPr>
                <w:sz w:val="20"/>
                <w:szCs w:val="20"/>
              </w:rPr>
              <w:tab/>
            </w:r>
            <w:r w:rsidRPr="00564B9D">
              <w:rPr>
                <w:sz w:val="20"/>
                <w:szCs w:val="20"/>
                <w:rtl/>
              </w:rPr>
              <w:t>158</w:t>
            </w:r>
            <w:r w:rsidRPr="00564B9D">
              <w:rPr>
                <w:sz w:val="20"/>
                <w:szCs w:val="20"/>
              </w:rPr>
              <w:tab/>
            </w:r>
            <w:r w:rsidRPr="00564B9D">
              <w:rPr>
                <w:sz w:val="20"/>
                <w:szCs w:val="20"/>
                <w:rtl/>
              </w:rPr>
              <w:t>321</w:t>
            </w:r>
          </w:p>
          <w:p w14:paraId="1DBDDAA5"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60-64 سنة</w:t>
            </w:r>
            <w:r w:rsidRPr="00564B9D">
              <w:rPr>
                <w:sz w:val="20"/>
                <w:szCs w:val="20"/>
              </w:rPr>
              <w:tab/>
            </w:r>
            <w:r w:rsidRPr="00564B9D">
              <w:rPr>
                <w:sz w:val="20"/>
                <w:szCs w:val="20"/>
                <w:rtl/>
              </w:rPr>
              <w:t>166</w:t>
            </w:r>
            <w:r w:rsidRPr="00564B9D">
              <w:rPr>
                <w:sz w:val="20"/>
                <w:szCs w:val="20"/>
              </w:rPr>
              <w:tab/>
            </w:r>
            <w:r w:rsidRPr="00564B9D">
              <w:rPr>
                <w:sz w:val="20"/>
                <w:szCs w:val="20"/>
                <w:rtl/>
              </w:rPr>
              <w:t>125</w:t>
            </w:r>
            <w:r w:rsidRPr="00564B9D">
              <w:rPr>
                <w:sz w:val="20"/>
                <w:szCs w:val="20"/>
              </w:rPr>
              <w:tab/>
            </w:r>
            <w:r w:rsidRPr="00564B9D">
              <w:rPr>
                <w:sz w:val="20"/>
                <w:szCs w:val="20"/>
                <w:rtl/>
              </w:rPr>
              <w:t>291</w:t>
            </w:r>
          </w:p>
          <w:p w14:paraId="1779BF44"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65-69 سنة</w:t>
            </w:r>
            <w:r w:rsidRPr="00564B9D">
              <w:rPr>
                <w:sz w:val="20"/>
                <w:szCs w:val="20"/>
              </w:rPr>
              <w:tab/>
            </w:r>
            <w:r w:rsidRPr="00564B9D">
              <w:rPr>
                <w:sz w:val="20"/>
                <w:szCs w:val="20"/>
                <w:rtl/>
              </w:rPr>
              <w:t>145</w:t>
            </w:r>
            <w:r w:rsidRPr="00564B9D">
              <w:rPr>
                <w:sz w:val="20"/>
                <w:szCs w:val="20"/>
              </w:rPr>
              <w:tab/>
            </w:r>
            <w:r w:rsidRPr="00564B9D">
              <w:rPr>
                <w:sz w:val="20"/>
                <w:szCs w:val="20"/>
                <w:rtl/>
              </w:rPr>
              <w:t>92</w:t>
            </w:r>
            <w:r w:rsidRPr="00564B9D">
              <w:rPr>
                <w:sz w:val="20"/>
                <w:szCs w:val="20"/>
              </w:rPr>
              <w:tab/>
            </w:r>
            <w:r w:rsidRPr="00564B9D">
              <w:rPr>
                <w:rFonts w:hint="cs"/>
                <w:sz w:val="20"/>
                <w:szCs w:val="20"/>
                <w:rtl/>
              </w:rPr>
              <w:t>237</w:t>
            </w:r>
          </w:p>
          <w:p w14:paraId="34AB4695"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70-74 سنة</w:t>
            </w:r>
            <w:r w:rsidRPr="00564B9D">
              <w:rPr>
                <w:sz w:val="20"/>
                <w:szCs w:val="20"/>
              </w:rPr>
              <w:tab/>
            </w:r>
            <w:r w:rsidRPr="00564B9D">
              <w:rPr>
                <w:sz w:val="20"/>
                <w:szCs w:val="20"/>
                <w:rtl/>
              </w:rPr>
              <w:t>108</w:t>
            </w:r>
            <w:r w:rsidRPr="00564B9D">
              <w:rPr>
                <w:sz w:val="20"/>
                <w:szCs w:val="20"/>
              </w:rPr>
              <w:tab/>
            </w:r>
            <w:r w:rsidRPr="00564B9D">
              <w:rPr>
                <w:sz w:val="20"/>
                <w:szCs w:val="20"/>
                <w:rtl/>
              </w:rPr>
              <w:t>104</w:t>
            </w:r>
            <w:r w:rsidRPr="00564B9D">
              <w:rPr>
                <w:sz w:val="20"/>
                <w:szCs w:val="20"/>
              </w:rPr>
              <w:tab/>
            </w:r>
            <w:r w:rsidRPr="00564B9D">
              <w:rPr>
                <w:sz w:val="20"/>
                <w:szCs w:val="20"/>
                <w:rtl/>
              </w:rPr>
              <w:t>1212</w:t>
            </w:r>
          </w:p>
          <w:p w14:paraId="29BF826B"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75-79 سنة</w:t>
            </w:r>
            <w:r w:rsidRPr="00564B9D">
              <w:rPr>
                <w:sz w:val="20"/>
                <w:szCs w:val="20"/>
              </w:rPr>
              <w:tab/>
            </w:r>
            <w:r w:rsidRPr="00564B9D">
              <w:rPr>
                <w:sz w:val="20"/>
                <w:szCs w:val="20"/>
                <w:rtl/>
              </w:rPr>
              <w:t>63</w:t>
            </w:r>
            <w:r w:rsidRPr="00564B9D">
              <w:rPr>
                <w:sz w:val="20"/>
                <w:szCs w:val="20"/>
              </w:rPr>
              <w:tab/>
            </w:r>
            <w:r w:rsidRPr="00564B9D">
              <w:rPr>
                <w:sz w:val="20"/>
                <w:szCs w:val="20"/>
                <w:rtl/>
              </w:rPr>
              <w:t>55</w:t>
            </w:r>
            <w:r w:rsidRPr="00564B9D">
              <w:rPr>
                <w:sz w:val="20"/>
                <w:szCs w:val="20"/>
              </w:rPr>
              <w:tab/>
            </w:r>
            <w:r w:rsidRPr="00564B9D">
              <w:rPr>
                <w:sz w:val="20"/>
                <w:szCs w:val="20"/>
                <w:rtl/>
              </w:rPr>
              <w:t>118</w:t>
            </w:r>
          </w:p>
          <w:p w14:paraId="32FB16DE"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lastRenderedPageBreak/>
              <w:t>80-84</w:t>
            </w:r>
            <w:r w:rsidRPr="00564B9D">
              <w:rPr>
                <w:rFonts w:hint="cs"/>
                <w:sz w:val="20"/>
                <w:szCs w:val="20"/>
                <w:rtl/>
              </w:rPr>
              <w:t xml:space="preserve"> </w:t>
            </w:r>
            <w:r w:rsidRPr="00564B9D">
              <w:rPr>
                <w:sz w:val="20"/>
                <w:szCs w:val="20"/>
                <w:rtl/>
              </w:rPr>
              <w:t>سنة</w:t>
            </w:r>
            <w:r w:rsidRPr="00564B9D">
              <w:rPr>
                <w:sz w:val="20"/>
                <w:szCs w:val="20"/>
              </w:rPr>
              <w:tab/>
            </w:r>
            <w:r w:rsidRPr="00564B9D">
              <w:rPr>
                <w:sz w:val="20"/>
                <w:szCs w:val="20"/>
                <w:rtl/>
              </w:rPr>
              <w:t>40</w:t>
            </w:r>
            <w:r w:rsidRPr="00564B9D">
              <w:rPr>
                <w:sz w:val="20"/>
                <w:szCs w:val="20"/>
              </w:rPr>
              <w:tab/>
            </w:r>
            <w:r w:rsidRPr="00564B9D">
              <w:rPr>
                <w:sz w:val="20"/>
                <w:szCs w:val="20"/>
                <w:rtl/>
              </w:rPr>
              <w:t>44</w:t>
            </w:r>
            <w:r w:rsidRPr="00564B9D">
              <w:rPr>
                <w:sz w:val="20"/>
                <w:szCs w:val="20"/>
              </w:rPr>
              <w:tab/>
            </w:r>
            <w:r w:rsidRPr="00564B9D">
              <w:rPr>
                <w:sz w:val="20"/>
                <w:szCs w:val="20"/>
                <w:rtl/>
              </w:rPr>
              <w:t>84</w:t>
            </w:r>
          </w:p>
          <w:p w14:paraId="65A90DE0"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tl/>
              </w:rPr>
            </w:pPr>
            <w:r w:rsidRPr="00564B9D">
              <w:rPr>
                <w:sz w:val="20"/>
                <w:szCs w:val="20"/>
                <w:rtl/>
              </w:rPr>
              <w:t>85+ سنة</w:t>
            </w:r>
            <w:r w:rsidRPr="00564B9D">
              <w:rPr>
                <w:sz w:val="20"/>
                <w:szCs w:val="20"/>
              </w:rPr>
              <w:tab/>
            </w:r>
            <w:r w:rsidRPr="00564B9D">
              <w:rPr>
                <w:sz w:val="20"/>
                <w:szCs w:val="20"/>
                <w:rtl/>
              </w:rPr>
              <w:t>30</w:t>
            </w:r>
            <w:r w:rsidRPr="00564B9D">
              <w:rPr>
                <w:sz w:val="20"/>
                <w:szCs w:val="20"/>
              </w:rPr>
              <w:tab/>
            </w:r>
            <w:r w:rsidRPr="00564B9D">
              <w:rPr>
                <w:sz w:val="20"/>
                <w:szCs w:val="20"/>
                <w:rtl/>
              </w:rPr>
              <w:t>59</w:t>
            </w:r>
            <w:r w:rsidRPr="00564B9D">
              <w:rPr>
                <w:sz w:val="20"/>
                <w:szCs w:val="20"/>
              </w:rPr>
              <w:tab/>
            </w:r>
            <w:r w:rsidRPr="00564B9D">
              <w:rPr>
                <w:sz w:val="20"/>
                <w:szCs w:val="20"/>
                <w:rtl/>
              </w:rPr>
              <w:t>89</w:t>
            </w:r>
          </w:p>
          <w:p w14:paraId="2186324D"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57" w:right="57"/>
              <w:rPr>
                <w:sz w:val="20"/>
                <w:szCs w:val="20"/>
              </w:rPr>
            </w:pPr>
            <w:r w:rsidRPr="00564B9D">
              <w:rPr>
                <w:sz w:val="20"/>
                <w:szCs w:val="20"/>
                <w:rtl/>
              </w:rPr>
              <w:t>المجموع</w:t>
            </w:r>
            <w:r w:rsidRPr="00564B9D">
              <w:rPr>
                <w:sz w:val="20"/>
                <w:szCs w:val="20"/>
              </w:rPr>
              <w:tab/>
            </w:r>
            <w:r w:rsidRPr="00564B9D">
              <w:rPr>
                <w:rFonts w:hint="cs"/>
                <w:sz w:val="20"/>
                <w:szCs w:val="20"/>
                <w:rtl/>
              </w:rPr>
              <w:t>306 2</w:t>
            </w:r>
            <w:r w:rsidRPr="00564B9D">
              <w:rPr>
                <w:sz w:val="20"/>
                <w:szCs w:val="20"/>
              </w:rPr>
              <w:tab/>
            </w:r>
            <w:r w:rsidRPr="00564B9D">
              <w:rPr>
                <w:rFonts w:hint="cs"/>
                <w:sz w:val="20"/>
                <w:szCs w:val="20"/>
                <w:rtl/>
              </w:rPr>
              <w:t>343 2</w:t>
            </w:r>
            <w:r w:rsidRPr="00564B9D">
              <w:rPr>
                <w:sz w:val="20"/>
                <w:szCs w:val="20"/>
              </w:rPr>
              <w:tab/>
            </w:r>
            <w:r w:rsidRPr="00564B9D">
              <w:rPr>
                <w:rFonts w:hint="cs"/>
                <w:sz w:val="20"/>
                <w:szCs w:val="20"/>
                <w:rtl/>
              </w:rPr>
              <w:t>649 4</w:t>
            </w:r>
          </w:p>
        </w:tc>
      </w:tr>
      <w:tr w:rsidR="007B5A24" w:rsidRPr="00564B9D" w14:paraId="1FE829F9" w14:textId="77777777" w:rsidTr="00804944">
        <w:trPr>
          <w:trHeight w:val="240"/>
          <w:jc w:val="left"/>
        </w:trPr>
        <w:tc>
          <w:tcPr>
            <w:tcW w:w="3876" w:type="dxa"/>
          </w:tcPr>
          <w:p w14:paraId="44A25A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lastRenderedPageBreak/>
              <w:t xml:space="preserve">نسبة الإعالة - النسبة المئوية من السكان الذين تقل أعمارهم عن 15 سنة </w:t>
            </w:r>
          </w:p>
        </w:tc>
        <w:tc>
          <w:tcPr>
            <w:tcW w:w="3408" w:type="dxa"/>
          </w:tcPr>
          <w:p w14:paraId="2376CE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28 في المائة (2018)</w:t>
            </w:r>
          </w:p>
        </w:tc>
      </w:tr>
      <w:tr w:rsidR="007B5A24" w:rsidRPr="00564B9D" w14:paraId="09211C77" w14:textId="77777777" w:rsidTr="00804944">
        <w:trPr>
          <w:trHeight w:val="240"/>
          <w:jc w:val="left"/>
        </w:trPr>
        <w:tc>
          <w:tcPr>
            <w:tcW w:w="3876" w:type="dxa"/>
          </w:tcPr>
          <w:p w14:paraId="289F02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نسبة الإعالة - النسبة المئوية من السكان الذين تزيد أعمارهم على 65 سنة</w:t>
            </w:r>
          </w:p>
        </w:tc>
        <w:tc>
          <w:tcPr>
            <w:tcW w:w="3408" w:type="dxa"/>
          </w:tcPr>
          <w:p w14:paraId="77295E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24 في المائة (2018)</w:t>
            </w:r>
          </w:p>
        </w:tc>
      </w:tr>
      <w:tr w:rsidR="007B5A24" w:rsidRPr="00564B9D" w14:paraId="0C65B78E" w14:textId="77777777" w:rsidTr="00804944">
        <w:trPr>
          <w:trHeight w:val="240"/>
          <w:jc w:val="left"/>
        </w:trPr>
        <w:tc>
          <w:tcPr>
            <w:tcW w:w="3876" w:type="dxa"/>
          </w:tcPr>
          <w:p w14:paraId="564DB5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3408" w:type="dxa"/>
          </w:tcPr>
          <w:p w14:paraId="7E25D4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9,64 في المائة (2018)</w:t>
            </w:r>
          </w:p>
        </w:tc>
      </w:tr>
      <w:tr w:rsidR="007B5A24" w:rsidRPr="00564B9D" w14:paraId="2BE6A217" w14:textId="77777777" w:rsidTr="00804944">
        <w:trPr>
          <w:trHeight w:val="240"/>
          <w:jc w:val="left"/>
        </w:trPr>
        <w:tc>
          <w:tcPr>
            <w:tcW w:w="3876" w:type="dxa"/>
          </w:tcPr>
          <w:p w14:paraId="353F6C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3408" w:type="dxa"/>
          </w:tcPr>
          <w:p w14:paraId="5D1FE6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صفر (2018)</w:t>
            </w:r>
          </w:p>
        </w:tc>
      </w:tr>
      <w:tr w:rsidR="007B5A24" w:rsidRPr="00564B9D" w14:paraId="2D28FC5B" w14:textId="77777777" w:rsidTr="00804944">
        <w:trPr>
          <w:trHeight w:val="240"/>
          <w:jc w:val="left"/>
        </w:trPr>
        <w:tc>
          <w:tcPr>
            <w:tcW w:w="3876" w:type="dxa"/>
          </w:tcPr>
          <w:p w14:paraId="49E50E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3408" w:type="dxa"/>
          </w:tcPr>
          <w:p w14:paraId="737366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8,14 في المائة (2018)</w:t>
            </w:r>
          </w:p>
        </w:tc>
      </w:tr>
      <w:tr w:rsidR="007B5A24" w:rsidRPr="00564B9D" w14:paraId="31813B94" w14:textId="77777777" w:rsidTr="00804944">
        <w:trPr>
          <w:trHeight w:val="240"/>
          <w:jc w:val="left"/>
        </w:trPr>
        <w:tc>
          <w:tcPr>
            <w:tcW w:w="3876" w:type="dxa"/>
          </w:tcPr>
          <w:p w14:paraId="1865FB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ذكور</w:t>
            </w:r>
          </w:p>
        </w:tc>
        <w:tc>
          <w:tcPr>
            <w:tcW w:w="3408" w:type="dxa"/>
          </w:tcPr>
          <w:p w14:paraId="1B5F49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لم تتوفر المعلومات بعد</w:t>
            </w:r>
          </w:p>
        </w:tc>
      </w:tr>
      <w:tr w:rsidR="007B5A24" w:rsidRPr="00564B9D" w14:paraId="4B2F0326" w14:textId="77777777" w:rsidTr="00804944">
        <w:trPr>
          <w:trHeight w:val="240"/>
          <w:jc w:val="left"/>
        </w:trPr>
        <w:tc>
          <w:tcPr>
            <w:tcW w:w="3876" w:type="dxa"/>
          </w:tcPr>
          <w:p w14:paraId="45D772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إناث</w:t>
            </w:r>
          </w:p>
        </w:tc>
        <w:tc>
          <w:tcPr>
            <w:tcW w:w="3408" w:type="dxa"/>
          </w:tcPr>
          <w:p w14:paraId="755B50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لم تتوفر المعلومات بعد</w:t>
            </w:r>
          </w:p>
        </w:tc>
      </w:tr>
      <w:tr w:rsidR="007B5A24" w:rsidRPr="00564B9D" w14:paraId="2976160E" w14:textId="77777777" w:rsidTr="00804944">
        <w:trPr>
          <w:trHeight w:val="240"/>
          <w:jc w:val="left"/>
        </w:trPr>
        <w:tc>
          <w:tcPr>
            <w:tcW w:w="3876" w:type="dxa"/>
          </w:tcPr>
          <w:p w14:paraId="6598AA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 xml:space="preserve">العمر المتوقع عند الولادة </w:t>
            </w:r>
          </w:p>
        </w:tc>
        <w:tc>
          <w:tcPr>
            <w:tcW w:w="3408" w:type="dxa"/>
          </w:tcPr>
          <w:p w14:paraId="2CCF58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p>
        </w:tc>
      </w:tr>
      <w:tr w:rsidR="007B5A24" w:rsidRPr="00564B9D" w14:paraId="5DCCE207" w14:textId="77777777" w:rsidTr="00804944">
        <w:trPr>
          <w:trHeight w:val="240"/>
          <w:jc w:val="left"/>
        </w:trPr>
        <w:tc>
          <w:tcPr>
            <w:tcW w:w="3876" w:type="dxa"/>
          </w:tcPr>
          <w:p w14:paraId="3238E5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رجال</w:t>
            </w:r>
          </w:p>
        </w:tc>
        <w:tc>
          <w:tcPr>
            <w:tcW w:w="3408" w:type="dxa"/>
          </w:tcPr>
          <w:p w14:paraId="4BD8F8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78 (2018)</w:t>
            </w:r>
          </w:p>
        </w:tc>
      </w:tr>
      <w:tr w:rsidR="007B5A24" w:rsidRPr="00564B9D" w14:paraId="085EA12C" w14:textId="77777777" w:rsidTr="00804944">
        <w:trPr>
          <w:trHeight w:val="240"/>
          <w:jc w:val="left"/>
        </w:trPr>
        <w:tc>
          <w:tcPr>
            <w:tcW w:w="3876" w:type="dxa"/>
          </w:tcPr>
          <w:p w14:paraId="18080A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 xml:space="preserve">نساء </w:t>
            </w:r>
          </w:p>
        </w:tc>
        <w:tc>
          <w:tcPr>
            <w:tcW w:w="3408" w:type="dxa"/>
          </w:tcPr>
          <w:p w14:paraId="0784AF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83 (2004)</w:t>
            </w:r>
          </w:p>
        </w:tc>
      </w:tr>
      <w:tr w:rsidR="007B5A24" w:rsidRPr="00564B9D" w14:paraId="072F4D33" w14:textId="77777777" w:rsidTr="00804944">
        <w:trPr>
          <w:trHeight w:val="240"/>
          <w:jc w:val="left"/>
        </w:trPr>
        <w:tc>
          <w:tcPr>
            <w:tcW w:w="3876" w:type="dxa"/>
          </w:tcPr>
          <w:p w14:paraId="3159C8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معدل الخصوبة الإجمالي - عدد الأطفال للمرأة الواحدة</w:t>
            </w:r>
          </w:p>
        </w:tc>
        <w:tc>
          <w:tcPr>
            <w:tcW w:w="3408" w:type="dxa"/>
          </w:tcPr>
          <w:p w14:paraId="5C74C826" w14:textId="42CB94A5"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1,56 (</w:t>
            </w:r>
            <w:r w:rsidR="002173E0" w:rsidRPr="00564B9D">
              <w:rPr>
                <w:rFonts w:hint="cs"/>
                <w:sz w:val="20"/>
                <w:szCs w:val="20"/>
                <w:rtl/>
              </w:rPr>
              <w:t>2011</w:t>
            </w:r>
            <w:r w:rsidRPr="00564B9D">
              <w:rPr>
                <w:rFonts w:hint="cs"/>
                <w:sz w:val="20"/>
                <w:szCs w:val="20"/>
                <w:rtl/>
              </w:rPr>
              <w:t>)</w:t>
            </w:r>
          </w:p>
        </w:tc>
      </w:tr>
      <w:tr w:rsidR="007B5A24" w:rsidRPr="00564B9D" w14:paraId="0C17FAF8" w14:textId="77777777" w:rsidTr="00804944">
        <w:trPr>
          <w:trHeight w:val="240"/>
          <w:jc w:val="left"/>
        </w:trPr>
        <w:tc>
          <w:tcPr>
            <w:tcW w:w="3876" w:type="dxa"/>
          </w:tcPr>
          <w:p w14:paraId="3CB146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متوسط حجم الأسرة المعيشية</w:t>
            </w:r>
          </w:p>
        </w:tc>
        <w:tc>
          <w:tcPr>
            <w:tcW w:w="3408" w:type="dxa"/>
          </w:tcPr>
          <w:p w14:paraId="77EAF7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 xml:space="preserve">2,1 (2018 </w:t>
            </w:r>
            <w:r w:rsidRPr="00564B9D">
              <w:rPr>
                <w:sz w:val="20"/>
                <w:szCs w:val="20"/>
              </w:rPr>
              <w:t>ICC/LFC</w:t>
            </w:r>
            <w:r w:rsidRPr="00564B9D">
              <w:rPr>
                <w:rFonts w:hint="cs"/>
                <w:sz w:val="20"/>
                <w:szCs w:val="20"/>
                <w:rtl/>
              </w:rPr>
              <w:t>)</w:t>
            </w:r>
          </w:p>
        </w:tc>
      </w:tr>
      <w:tr w:rsidR="007B5A24" w:rsidRPr="00564B9D" w14:paraId="406CFBEC" w14:textId="77777777" w:rsidTr="00804944">
        <w:trPr>
          <w:trHeight w:val="240"/>
          <w:jc w:val="left"/>
        </w:trPr>
        <w:tc>
          <w:tcPr>
            <w:tcW w:w="3876" w:type="dxa"/>
          </w:tcPr>
          <w:p w14:paraId="0F03BC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227"/>
              <w:rPr>
                <w:sz w:val="20"/>
                <w:szCs w:val="20"/>
              </w:rPr>
            </w:pPr>
            <w:r w:rsidRPr="00564B9D">
              <w:rPr>
                <w:rFonts w:hint="cs"/>
                <w:sz w:val="20"/>
                <w:szCs w:val="20"/>
                <w:rtl/>
              </w:rPr>
              <w:t>نسبة الأسر المعيشية الوحيدة العائل</w:t>
            </w:r>
          </w:p>
        </w:tc>
        <w:tc>
          <w:tcPr>
            <w:tcW w:w="3408" w:type="dxa"/>
          </w:tcPr>
          <w:p w14:paraId="1D5BEF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rPr>
            </w:pPr>
            <w:r w:rsidRPr="00564B9D">
              <w:rPr>
                <w:rFonts w:hint="cs"/>
                <w:sz w:val="20"/>
                <w:szCs w:val="20"/>
                <w:rtl/>
              </w:rPr>
              <w:t>لم تتوفر المعلومات بعد</w:t>
            </w:r>
          </w:p>
          <w:p w14:paraId="6B0881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Pr>
            </w:pPr>
            <w:r w:rsidRPr="00564B9D">
              <w:rPr>
                <w:rFonts w:hint="cs"/>
                <w:sz w:val="20"/>
                <w:szCs w:val="20"/>
                <w:rtl/>
              </w:rPr>
              <w:t>لكن نسبة الأسر المعيشية التي ترأسها امرأة (في عام 2018) هي: 41 في المائة</w:t>
            </w:r>
          </w:p>
        </w:tc>
      </w:tr>
    </w:tbl>
    <w:p w14:paraId="300967C6"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462"/>
        <w:gridCol w:w="3930"/>
      </w:tblGrid>
      <w:tr w:rsidR="007B5A24" w:rsidRPr="00564B9D" w14:paraId="49043B8B" w14:textId="77777777" w:rsidTr="00804944">
        <w:trPr>
          <w:trHeight w:val="240"/>
          <w:tblHeader/>
        </w:trPr>
        <w:tc>
          <w:tcPr>
            <w:tcW w:w="7275" w:type="dxa"/>
            <w:gridSpan w:val="2"/>
            <w:tcBorders>
              <w:top w:val="single" w:sz="4" w:space="0" w:color="auto"/>
              <w:bottom w:val="single" w:sz="12" w:space="0" w:color="auto"/>
            </w:tcBorders>
            <w:shd w:val="clear" w:color="auto" w:fill="auto"/>
            <w:vAlign w:val="bottom"/>
          </w:tcPr>
          <w:p w14:paraId="73DEE50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3CF8777D" w14:textId="77777777" w:rsidTr="00804944">
        <w:trPr>
          <w:trHeight w:val="240"/>
        </w:trPr>
        <w:tc>
          <w:tcPr>
            <w:tcW w:w="3868" w:type="dxa"/>
            <w:tcBorders>
              <w:top w:val="single" w:sz="12" w:space="0" w:color="auto"/>
            </w:tcBorders>
            <w:shd w:val="clear" w:color="auto" w:fill="auto"/>
          </w:tcPr>
          <w:p w14:paraId="426D17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3407" w:type="dxa"/>
            <w:tcBorders>
              <w:top w:val="single" w:sz="12" w:space="0" w:color="auto"/>
            </w:tcBorders>
            <w:shd w:val="clear" w:color="auto" w:fill="auto"/>
          </w:tcPr>
          <w:p w14:paraId="6E3687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5165870" w14:textId="77777777" w:rsidTr="00804944">
        <w:trPr>
          <w:trHeight w:val="240"/>
        </w:trPr>
        <w:tc>
          <w:tcPr>
            <w:tcW w:w="3868" w:type="dxa"/>
            <w:shd w:val="clear" w:color="auto" w:fill="auto"/>
          </w:tcPr>
          <w:p w14:paraId="230CCF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3407" w:type="dxa"/>
            <w:shd w:val="clear" w:color="auto" w:fill="auto"/>
          </w:tcPr>
          <w:p w14:paraId="3D7B7A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FDC9D61" w14:textId="77777777" w:rsidTr="00804944">
        <w:trPr>
          <w:trHeight w:val="240"/>
        </w:trPr>
        <w:tc>
          <w:tcPr>
            <w:tcW w:w="3868" w:type="dxa"/>
            <w:shd w:val="clear" w:color="auto" w:fill="auto"/>
          </w:tcPr>
          <w:p w14:paraId="054B8A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407" w:type="dxa"/>
            <w:shd w:val="clear" w:color="auto" w:fill="auto"/>
          </w:tcPr>
          <w:p w14:paraId="3E09FA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AB4F71A" w14:textId="77777777" w:rsidTr="00804944">
        <w:trPr>
          <w:trHeight w:val="240"/>
        </w:trPr>
        <w:tc>
          <w:tcPr>
            <w:tcW w:w="3868" w:type="dxa"/>
            <w:shd w:val="clear" w:color="auto" w:fill="auto"/>
          </w:tcPr>
          <w:p w14:paraId="6D8E5C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3407" w:type="dxa"/>
            <w:shd w:val="clear" w:color="auto" w:fill="auto"/>
          </w:tcPr>
          <w:p w14:paraId="0984E7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8E2DCCC" w14:textId="77777777" w:rsidTr="00804944">
        <w:trPr>
          <w:trHeight w:val="240"/>
        </w:trPr>
        <w:tc>
          <w:tcPr>
            <w:tcW w:w="3868" w:type="dxa"/>
            <w:shd w:val="clear" w:color="auto" w:fill="auto"/>
          </w:tcPr>
          <w:p w14:paraId="1B786E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3407" w:type="dxa"/>
            <w:shd w:val="clear" w:color="auto" w:fill="auto"/>
          </w:tcPr>
          <w:p w14:paraId="762949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400B2A6" w14:textId="77777777" w:rsidTr="00804944">
        <w:trPr>
          <w:trHeight w:val="240"/>
        </w:trPr>
        <w:tc>
          <w:tcPr>
            <w:tcW w:w="3868" w:type="dxa"/>
            <w:shd w:val="clear" w:color="auto" w:fill="auto"/>
          </w:tcPr>
          <w:p w14:paraId="223D36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3407" w:type="dxa"/>
            <w:shd w:val="clear" w:color="auto" w:fill="auto"/>
          </w:tcPr>
          <w:p w14:paraId="215C10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(في عام 2018)</w:t>
            </w:r>
          </w:p>
        </w:tc>
      </w:tr>
      <w:tr w:rsidR="007B5A24" w:rsidRPr="00564B9D" w14:paraId="63F1BEE2" w14:textId="77777777" w:rsidTr="00804944">
        <w:trPr>
          <w:trHeight w:val="240"/>
        </w:trPr>
        <w:tc>
          <w:tcPr>
            <w:tcW w:w="3868" w:type="dxa"/>
            <w:shd w:val="clear" w:color="auto" w:fill="auto"/>
          </w:tcPr>
          <w:p w14:paraId="09D270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3407" w:type="dxa"/>
            <w:shd w:val="clear" w:color="auto" w:fill="auto"/>
          </w:tcPr>
          <w:p w14:paraId="6932FB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6BCF6D3" w14:textId="77777777" w:rsidTr="00804944">
        <w:trPr>
          <w:trHeight w:val="240"/>
        </w:trPr>
        <w:tc>
          <w:tcPr>
            <w:tcW w:w="3868" w:type="dxa"/>
            <w:shd w:val="clear" w:color="auto" w:fill="auto"/>
          </w:tcPr>
          <w:p w14:paraId="4C34C9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3407" w:type="dxa"/>
            <w:shd w:val="clear" w:color="auto" w:fill="auto"/>
          </w:tcPr>
          <w:p w14:paraId="202DC3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F981456" w14:textId="77777777" w:rsidTr="00804944">
        <w:trPr>
          <w:trHeight w:val="240"/>
        </w:trPr>
        <w:tc>
          <w:tcPr>
            <w:tcW w:w="3868" w:type="dxa"/>
            <w:shd w:val="clear" w:color="auto" w:fill="auto"/>
          </w:tcPr>
          <w:p w14:paraId="6A55B9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407" w:type="dxa"/>
            <w:shd w:val="clear" w:color="auto" w:fill="auto"/>
          </w:tcPr>
          <w:p w14:paraId="75B443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C98650D" w14:textId="77777777" w:rsidTr="00804944">
        <w:trPr>
          <w:trHeight w:val="240"/>
        </w:trPr>
        <w:tc>
          <w:tcPr>
            <w:tcW w:w="3868" w:type="dxa"/>
            <w:shd w:val="clear" w:color="auto" w:fill="auto"/>
          </w:tcPr>
          <w:p w14:paraId="2850FD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3407" w:type="dxa"/>
            <w:shd w:val="clear" w:color="auto" w:fill="auto"/>
          </w:tcPr>
          <w:p w14:paraId="460DDB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FDDE218" w14:textId="77777777" w:rsidTr="00804944">
        <w:trPr>
          <w:trHeight w:val="240"/>
        </w:trPr>
        <w:tc>
          <w:tcPr>
            <w:tcW w:w="3868" w:type="dxa"/>
            <w:shd w:val="clear" w:color="auto" w:fill="auto"/>
          </w:tcPr>
          <w:p w14:paraId="1D695E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3407" w:type="dxa"/>
            <w:shd w:val="clear" w:color="auto" w:fill="auto"/>
          </w:tcPr>
          <w:p w14:paraId="6E59E4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2018:</w:t>
            </w:r>
          </w:p>
          <w:p w14:paraId="09A5CA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داء السكري: 5</w:t>
            </w:r>
          </w:p>
          <w:p w14:paraId="384F2B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احتشاء عضلة القلب: 6</w:t>
            </w:r>
          </w:p>
          <w:p w14:paraId="50415E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إصابة دماغية وعائية: 7</w:t>
            </w:r>
          </w:p>
          <w:p w14:paraId="76E150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سرطان الكبد: 0</w:t>
            </w:r>
          </w:p>
          <w:p w14:paraId="3CEA6B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الخلايا الحرشفية/أورام خبيثة (ساركوما): غير متوفر</w:t>
            </w:r>
          </w:p>
          <w:p w14:paraId="082F45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البروستات: 1</w:t>
            </w:r>
          </w:p>
          <w:p w14:paraId="18983B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سرطان الرئة: 1</w:t>
            </w:r>
          </w:p>
          <w:p w14:paraId="23372B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فشل القلب: 4</w:t>
            </w:r>
          </w:p>
          <w:p w14:paraId="16798B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مرض القلب الناجم عن ارتفاع ضغط الدم: 2</w:t>
            </w:r>
          </w:p>
        </w:tc>
      </w:tr>
      <w:tr w:rsidR="007B5A24" w:rsidRPr="00564B9D" w14:paraId="5F6C94A1" w14:textId="77777777" w:rsidTr="00804944">
        <w:trPr>
          <w:trHeight w:val="430"/>
        </w:trPr>
        <w:tc>
          <w:tcPr>
            <w:tcW w:w="3868" w:type="dxa"/>
            <w:shd w:val="clear" w:color="auto" w:fill="auto"/>
          </w:tcPr>
          <w:p w14:paraId="0E377F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 الالتحاق الصافي في التعليم الابتدائي والثانوي</w:t>
            </w:r>
          </w:p>
        </w:tc>
        <w:tc>
          <w:tcPr>
            <w:tcW w:w="3407" w:type="dxa"/>
            <w:shd w:val="clear" w:color="auto" w:fill="auto"/>
          </w:tcPr>
          <w:p w14:paraId="023251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2246680" w14:textId="77777777" w:rsidTr="00804944">
        <w:trPr>
          <w:trHeight w:val="484"/>
        </w:trPr>
        <w:tc>
          <w:tcPr>
            <w:tcW w:w="3868" w:type="dxa"/>
            <w:shd w:val="clear" w:color="auto" w:fill="auto"/>
          </w:tcPr>
          <w:p w14:paraId="638EC02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3407" w:type="dxa"/>
            <w:shd w:val="clear" w:color="auto" w:fill="auto"/>
          </w:tcPr>
          <w:p w14:paraId="766D82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9D864CE" w14:textId="77777777" w:rsidTr="00804944">
        <w:trPr>
          <w:trHeight w:val="240"/>
        </w:trPr>
        <w:tc>
          <w:tcPr>
            <w:tcW w:w="3868" w:type="dxa"/>
            <w:shd w:val="clear" w:color="auto" w:fill="auto"/>
          </w:tcPr>
          <w:p w14:paraId="297D14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3407" w:type="dxa"/>
            <w:shd w:val="clear" w:color="auto" w:fill="auto"/>
          </w:tcPr>
          <w:p w14:paraId="3E89DC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التلاميذ - 1 إلى 10</w:t>
            </w:r>
          </w:p>
        </w:tc>
      </w:tr>
      <w:tr w:rsidR="007B5A24" w:rsidRPr="00564B9D" w14:paraId="1F1D41CC" w14:textId="77777777" w:rsidTr="00804944">
        <w:trPr>
          <w:trHeight w:val="240"/>
        </w:trPr>
        <w:tc>
          <w:tcPr>
            <w:tcW w:w="3868" w:type="dxa"/>
            <w:shd w:val="clear" w:color="auto" w:fill="auto"/>
          </w:tcPr>
          <w:p w14:paraId="0DA01E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3407" w:type="dxa"/>
            <w:shd w:val="clear" w:color="auto" w:fill="auto"/>
          </w:tcPr>
          <w:p w14:paraId="52BC5B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518ADFF" w14:textId="77777777" w:rsidTr="00804944">
        <w:trPr>
          <w:trHeight w:val="240"/>
        </w:trPr>
        <w:tc>
          <w:tcPr>
            <w:tcW w:w="3868" w:type="dxa"/>
            <w:shd w:val="clear" w:color="auto" w:fill="auto"/>
          </w:tcPr>
          <w:p w14:paraId="4071E3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3407" w:type="dxa"/>
            <w:shd w:val="clear" w:color="auto" w:fill="auto"/>
          </w:tcPr>
          <w:p w14:paraId="6C1FA5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في عام 2018: 6,5 في المائة (7,2 في المائة ذكور؛ 5,8 في المائة إناث)</w:t>
            </w:r>
          </w:p>
        </w:tc>
      </w:tr>
      <w:tr w:rsidR="007B5A24" w:rsidRPr="00564B9D" w14:paraId="713BF9CF" w14:textId="77777777" w:rsidTr="00804944">
        <w:trPr>
          <w:trHeight w:val="240"/>
        </w:trPr>
        <w:tc>
          <w:tcPr>
            <w:tcW w:w="3868" w:type="dxa"/>
            <w:shd w:val="clear" w:color="auto" w:fill="auto"/>
          </w:tcPr>
          <w:p w14:paraId="6ED7B9D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3407" w:type="dxa"/>
            <w:shd w:val="clear" w:color="auto" w:fill="auto"/>
          </w:tcPr>
          <w:p w14:paraId="6500913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في </w:t>
            </w:r>
            <w:r w:rsidRPr="00564B9D">
              <w:rPr>
                <w:rFonts w:hint="cs"/>
                <w:sz w:val="20"/>
                <w:szCs w:val="20"/>
                <w:rtl/>
              </w:rPr>
              <w:t>أيلول/</w:t>
            </w:r>
            <w:r w:rsidRPr="00564B9D">
              <w:rPr>
                <w:sz w:val="20"/>
                <w:szCs w:val="20"/>
                <w:rtl/>
              </w:rPr>
              <w:t>سبتمبر 2018:</w:t>
            </w:r>
          </w:p>
          <w:p w14:paraId="61D0DD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الزراعة والصيد والحراجة: 94</w:t>
            </w:r>
          </w:p>
          <w:p w14:paraId="24C899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صيد</w:t>
            </w:r>
            <w:r w:rsidRPr="00564B9D">
              <w:rPr>
                <w:rFonts w:hint="cs"/>
                <w:sz w:val="20"/>
                <w:szCs w:val="20"/>
                <w:rtl/>
              </w:rPr>
              <w:t xml:space="preserve"> الأسماك</w:t>
            </w:r>
            <w:r w:rsidRPr="00564B9D">
              <w:rPr>
                <w:sz w:val="20"/>
                <w:szCs w:val="20"/>
                <w:rtl/>
              </w:rPr>
              <w:t>: 20</w:t>
            </w:r>
          </w:p>
          <w:p w14:paraId="3EBFC66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التعدين واستغلال المحاجر: 40</w:t>
            </w:r>
          </w:p>
          <w:p w14:paraId="5E2B1A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التصنيع: 42</w:t>
            </w:r>
          </w:p>
          <w:p w14:paraId="36B241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إمداد الكهرباء/الغاز/المياه: 79</w:t>
            </w:r>
          </w:p>
          <w:p w14:paraId="6F8DE5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البناء: 243</w:t>
            </w:r>
          </w:p>
          <w:p w14:paraId="319C23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تجارة الجملة والتجزئة: 286</w:t>
            </w:r>
          </w:p>
          <w:p w14:paraId="4DF920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الفنادق والمطاعم: 145</w:t>
            </w:r>
          </w:p>
          <w:p w14:paraId="696C67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النقل </w:t>
            </w:r>
            <w:r w:rsidRPr="00564B9D">
              <w:rPr>
                <w:rFonts w:hint="cs"/>
                <w:sz w:val="20"/>
                <w:szCs w:val="20"/>
                <w:rtl/>
              </w:rPr>
              <w:t>وال</w:t>
            </w:r>
            <w:r w:rsidRPr="00564B9D">
              <w:rPr>
                <w:sz w:val="20"/>
                <w:szCs w:val="20"/>
                <w:rtl/>
              </w:rPr>
              <w:t>تخزين والاتصالات: 145</w:t>
            </w:r>
          </w:p>
          <w:p w14:paraId="7EC8FD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الوساطة المالية: 86</w:t>
            </w:r>
          </w:p>
          <w:p w14:paraId="7FA062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أنشطة تأجير العقارات والأعمال: 72</w:t>
            </w:r>
          </w:p>
          <w:p w14:paraId="46E2D7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الضمان الاجتماعي الإجباري للإدارة العامة والدفاع: 617</w:t>
            </w:r>
          </w:p>
          <w:p w14:paraId="0761CA7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التعليم: 164</w:t>
            </w:r>
          </w:p>
          <w:p w14:paraId="4DA049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الصحة والعمل الاجتماعي: 209</w:t>
            </w:r>
          </w:p>
          <w:p w14:paraId="192C29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أنشطة الخدمة الاجتماعية والشخصية المجتمعية الأخرى: 144</w:t>
            </w:r>
          </w:p>
          <w:p w14:paraId="4E4EE7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أنشطة الأسر الخاصة كأرباب عمل غير متمايزين: 110</w:t>
            </w:r>
          </w:p>
          <w:p w14:paraId="440FB49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لا </w:t>
            </w:r>
            <w:r w:rsidRPr="00564B9D">
              <w:rPr>
                <w:rFonts w:hint="cs"/>
                <w:sz w:val="20"/>
                <w:szCs w:val="20"/>
                <w:rtl/>
              </w:rPr>
              <w:t>يع</w:t>
            </w:r>
            <w:r w:rsidRPr="00564B9D">
              <w:rPr>
                <w:sz w:val="20"/>
                <w:szCs w:val="20"/>
                <w:rtl/>
              </w:rPr>
              <w:t>رف: 2</w:t>
            </w:r>
          </w:p>
          <w:p w14:paraId="298F760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غير مذكور: 26</w:t>
            </w:r>
          </w:p>
          <w:p w14:paraId="7FAF790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لا ينطبق: 3</w:t>
            </w:r>
          </w:p>
          <w:p w14:paraId="09C1F7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المجموع: 527 </w:t>
            </w:r>
            <w:r w:rsidRPr="00564B9D">
              <w:rPr>
                <w:rFonts w:hint="cs"/>
                <w:sz w:val="20"/>
                <w:szCs w:val="20"/>
                <w:rtl/>
              </w:rPr>
              <w:t>2</w:t>
            </w:r>
          </w:p>
        </w:tc>
      </w:tr>
      <w:tr w:rsidR="007B5A24" w:rsidRPr="00564B9D" w14:paraId="02138F99" w14:textId="77777777" w:rsidTr="00804944">
        <w:trPr>
          <w:trHeight w:val="240"/>
        </w:trPr>
        <w:tc>
          <w:tcPr>
            <w:tcW w:w="3868" w:type="dxa"/>
            <w:shd w:val="clear" w:color="auto" w:fill="auto"/>
          </w:tcPr>
          <w:p w14:paraId="24EB75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3407" w:type="dxa"/>
            <w:shd w:val="clear" w:color="auto" w:fill="auto"/>
          </w:tcPr>
          <w:p w14:paraId="7808BB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مشاركة القوة العاملة (2018) 89,4 في المائة </w:t>
            </w:r>
          </w:p>
        </w:tc>
      </w:tr>
      <w:tr w:rsidR="007B5A24" w:rsidRPr="00564B9D" w14:paraId="5A1986F6" w14:textId="77777777" w:rsidTr="00804944">
        <w:trPr>
          <w:trHeight w:val="240"/>
        </w:trPr>
        <w:tc>
          <w:tcPr>
            <w:tcW w:w="3868" w:type="dxa"/>
            <w:shd w:val="clear" w:color="auto" w:fill="auto"/>
          </w:tcPr>
          <w:p w14:paraId="43788E5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407" w:type="dxa"/>
            <w:shd w:val="clear" w:color="auto" w:fill="auto"/>
          </w:tcPr>
          <w:p w14:paraId="02FA5E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B84D48C" w14:textId="77777777" w:rsidTr="00804944">
        <w:trPr>
          <w:trHeight w:val="240"/>
        </w:trPr>
        <w:tc>
          <w:tcPr>
            <w:tcW w:w="3868" w:type="dxa"/>
            <w:shd w:val="clear" w:color="auto" w:fill="auto"/>
          </w:tcPr>
          <w:p w14:paraId="205B80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3407" w:type="dxa"/>
            <w:shd w:val="clear" w:color="auto" w:fill="auto"/>
          </w:tcPr>
          <w:p w14:paraId="71685B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53406ED" w14:textId="77777777" w:rsidTr="00804944">
        <w:trPr>
          <w:trHeight w:val="240"/>
        </w:trPr>
        <w:tc>
          <w:tcPr>
            <w:tcW w:w="3868" w:type="dxa"/>
            <w:shd w:val="clear" w:color="auto" w:fill="auto"/>
          </w:tcPr>
          <w:p w14:paraId="41DAE4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w:t>
            </w:r>
          </w:p>
        </w:tc>
        <w:tc>
          <w:tcPr>
            <w:tcW w:w="3407" w:type="dxa"/>
            <w:shd w:val="clear" w:color="auto" w:fill="auto"/>
          </w:tcPr>
          <w:p w14:paraId="058408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178,17 مليون دولار شرق الكاريبي (في عام 2019)</w:t>
            </w:r>
            <w:r w:rsidRPr="00564B9D">
              <w:rPr>
                <w:sz w:val="20"/>
                <w:szCs w:val="20"/>
                <w:vertAlign w:val="superscript"/>
                <w:rtl/>
              </w:rPr>
              <w:t>(</w:t>
            </w:r>
            <w:r w:rsidRPr="00564B9D">
              <w:rPr>
                <w:rStyle w:val="FootnoteReference"/>
                <w:rFonts w:cs="Simplified Arabic"/>
                <w:b w:val="0"/>
                <w:sz w:val="20"/>
                <w:szCs w:val="20"/>
                <w:rtl/>
                <w:lang w:val="en-US"/>
              </w:rPr>
              <w:footnoteReference w:id="269"/>
            </w:r>
            <w:r w:rsidRPr="00564B9D">
              <w:rPr>
                <w:sz w:val="20"/>
                <w:szCs w:val="20"/>
                <w:vertAlign w:val="superscript"/>
                <w:rtl/>
              </w:rPr>
              <w:t>)</w:t>
            </w:r>
            <w:r w:rsidRPr="00564B9D">
              <w:rPr>
                <w:sz w:val="20"/>
                <w:szCs w:val="20"/>
                <w:rtl/>
              </w:rPr>
              <w:t xml:space="preserve"> </w:t>
            </w:r>
          </w:p>
        </w:tc>
      </w:tr>
      <w:tr w:rsidR="007B5A24" w:rsidRPr="00564B9D" w14:paraId="08ADD7C1" w14:textId="77777777" w:rsidTr="00804944">
        <w:trPr>
          <w:trHeight w:val="240"/>
        </w:trPr>
        <w:tc>
          <w:tcPr>
            <w:tcW w:w="3868" w:type="dxa"/>
            <w:shd w:val="clear" w:color="auto" w:fill="auto"/>
          </w:tcPr>
          <w:p w14:paraId="27FA6F8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 النمو السنوي</w:t>
            </w:r>
          </w:p>
        </w:tc>
        <w:tc>
          <w:tcPr>
            <w:tcW w:w="3407" w:type="dxa"/>
            <w:shd w:val="clear" w:color="auto" w:fill="auto"/>
          </w:tcPr>
          <w:p w14:paraId="4D95D8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3,48 (2019)</w:t>
            </w:r>
            <w:r w:rsidRPr="00564B9D">
              <w:rPr>
                <w:sz w:val="20"/>
                <w:szCs w:val="20"/>
                <w:vertAlign w:val="superscript"/>
                <w:rtl/>
              </w:rPr>
              <w:t>(</w:t>
            </w:r>
            <w:r w:rsidRPr="00564B9D">
              <w:rPr>
                <w:rStyle w:val="FootnoteReference"/>
                <w:rFonts w:cs="Simplified Arabic"/>
                <w:b w:val="0"/>
                <w:sz w:val="20"/>
                <w:szCs w:val="20"/>
                <w:rtl/>
                <w:lang w:val="en-US"/>
              </w:rPr>
              <w:footnoteReference w:id="270"/>
            </w:r>
            <w:r w:rsidRPr="00564B9D">
              <w:rPr>
                <w:sz w:val="20"/>
                <w:szCs w:val="20"/>
                <w:vertAlign w:val="superscript"/>
                <w:rtl/>
              </w:rPr>
              <w:t>)</w:t>
            </w:r>
            <w:r w:rsidRPr="00564B9D">
              <w:rPr>
                <w:sz w:val="20"/>
                <w:szCs w:val="20"/>
                <w:rtl/>
              </w:rPr>
              <w:t xml:space="preserve"> </w:t>
            </w:r>
          </w:p>
        </w:tc>
      </w:tr>
      <w:tr w:rsidR="007B5A24" w:rsidRPr="00564B9D" w14:paraId="3CCEB4A7" w14:textId="77777777" w:rsidTr="00804944">
        <w:trPr>
          <w:trHeight w:val="240"/>
        </w:trPr>
        <w:tc>
          <w:tcPr>
            <w:tcW w:w="3868" w:type="dxa"/>
            <w:shd w:val="clear" w:color="auto" w:fill="auto"/>
          </w:tcPr>
          <w:p w14:paraId="103ABA7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w:t>
            </w:r>
          </w:p>
        </w:tc>
        <w:tc>
          <w:tcPr>
            <w:tcW w:w="3407" w:type="dxa"/>
            <w:shd w:val="clear" w:color="auto" w:fill="auto"/>
          </w:tcPr>
          <w:p w14:paraId="380F44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184,62 مليون دولار شرق الكاريبي (في عام 2019)</w:t>
            </w:r>
            <w:r w:rsidRPr="00564B9D">
              <w:rPr>
                <w:sz w:val="20"/>
                <w:szCs w:val="20"/>
                <w:vertAlign w:val="superscript"/>
                <w:rtl/>
              </w:rPr>
              <w:t>(</w:t>
            </w:r>
            <w:r w:rsidRPr="00564B9D">
              <w:rPr>
                <w:rStyle w:val="FootnoteReference"/>
                <w:rFonts w:cs="Simplified Arabic"/>
                <w:b w:val="0"/>
                <w:sz w:val="20"/>
                <w:szCs w:val="20"/>
                <w:rtl/>
                <w:lang w:val="en-US"/>
              </w:rPr>
              <w:footnoteReference w:id="271"/>
            </w:r>
            <w:r w:rsidRPr="00564B9D">
              <w:rPr>
                <w:sz w:val="20"/>
                <w:szCs w:val="20"/>
                <w:vertAlign w:val="superscript"/>
                <w:rtl/>
              </w:rPr>
              <w:t>)</w:t>
            </w:r>
            <w:r w:rsidRPr="00564B9D">
              <w:rPr>
                <w:sz w:val="20"/>
                <w:szCs w:val="20"/>
                <w:rtl/>
              </w:rPr>
              <w:t xml:space="preserve"> </w:t>
            </w:r>
          </w:p>
        </w:tc>
      </w:tr>
      <w:tr w:rsidR="007B5A24" w:rsidRPr="00564B9D" w14:paraId="1D9710FD" w14:textId="77777777" w:rsidTr="00804944">
        <w:trPr>
          <w:trHeight w:val="240"/>
        </w:trPr>
        <w:tc>
          <w:tcPr>
            <w:tcW w:w="3868" w:type="dxa"/>
            <w:shd w:val="clear" w:color="auto" w:fill="auto"/>
          </w:tcPr>
          <w:p w14:paraId="60F53824" w14:textId="171248CC"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p>
        </w:tc>
        <w:tc>
          <w:tcPr>
            <w:tcW w:w="3407" w:type="dxa"/>
            <w:shd w:val="clear" w:color="auto" w:fill="auto"/>
          </w:tcPr>
          <w:p w14:paraId="3A77B63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في كانون الأول/ديسمبر 2019 (2014=100): 100,37</w:t>
            </w:r>
          </w:p>
        </w:tc>
      </w:tr>
      <w:tr w:rsidR="007B5A24" w:rsidRPr="00564B9D" w14:paraId="272EB9CC" w14:textId="77777777" w:rsidTr="00804944">
        <w:trPr>
          <w:trHeight w:val="240"/>
        </w:trPr>
        <w:tc>
          <w:tcPr>
            <w:tcW w:w="3868" w:type="dxa"/>
            <w:shd w:val="clear" w:color="auto" w:fill="auto"/>
          </w:tcPr>
          <w:p w14:paraId="477370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407" w:type="dxa"/>
            <w:shd w:val="clear" w:color="auto" w:fill="auto"/>
          </w:tcPr>
          <w:p w14:paraId="32B6BA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EF92DB6" w14:textId="77777777" w:rsidTr="00804944">
        <w:trPr>
          <w:trHeight w:val="240"/>
        </w:trPr>
        <w:tc>
          <w:tcPr>
            <w:tcW w:w="3868" w:type="dxa"/>
            <w:shd w:val="clear" w:color="auto" w:fill="auto"/>
          </w:tcPr>
          <w:p w14:paraId="469A7F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3407" w:type="dxa"/>
            <w:shd w:val="clear" w:color="auto" w:fill="auto"/>
          </w:tcPr>
          <w:p w14:paraId="301875C2" w14:textId="337F7F32"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حتى حزيران/</w:t>
            </w:r>
            <w:r w:rsidR="00777024" w:rsidRPr="00564B9D">
              <w:rPr>
                <w:rFonts w:hint="cs"/>
                <w:sz w:val="20"/>
                <w:szCs w:val="20"/>
                <w:rtl/>
              </w:rPr>
              <w:t xml:space="preserve">يونيه </w:t>
            </w:r>
            <w:r w:rsidRPr="00564B9D">
              <w:rPr>
                <w:rFonts w:hint="cs"/>
                <w:sz w:val="20"/>
                <w:szCs w:val="20"/>
                <w:rtl/>
              </w:rPr>
              <w:t>2019</w:t>
            </w:r>
            <w:r w:rsidRPr="00564B9D">
              <w:rPr>
                <w:sz w:val="20"/>
                <w:szCs w:val="20"/>
                <w:vertAlign w:val="superscript"/>
                <w:rtl/>
              </w:rPr>
              <w:t>(</w:t>
            </w:r>
            <w:r w:rsidRPr="00564B9D">
              <w:rPr>
                <w:rStyle w:val="FootnoteReference"/>
                <w:rFonts w:cs="Simplified Arabic"/>
                <w:b w:val="0"/>
                <w:sz w:val="20"/>
                <w:szCs w:val="20"/>
                <w:rtl/>
                <w:lang w:val="en-US"/>
              </w:rPr>
              <w:footnoteReference w:id="272"/>
            </w:r>
            <w:r w:rsidRPr="00564B9D">
              <w:rPr>
                <w:sz w:val="20"/>
                <w:szCs w:val="20"/>
                <w:vertAlign w:val="superscript"/>
                <w:rtl/>
              </w:rPr>
              <w:t>)</w:t>
            </w:r>
            <w:r w:rsidRPr="00564B9D">
              <w:rPr>
                <w:rFonts w:hint="cs"/>
                <w:sz w:val="20"/>
                <w:szCs w:val="20"/>
                <w:rtl/>
              </w:rPr>
              <w:t>:</w:t>
            </w:r>
            <w:r w:rsidRPr="00564B9D">
              <w:rPr>
                <w:sz w:val="20"/>
                <w:szCs w:val="20"/>
                <w:rtl/>
              </w:rPr>
              <w:t xml:space="preserve"> </w:t>
            </w:r>
          </w:p>
          <w:p w14:paraId="356A6D8B" w14:textId="034122BD" w:rsidR="00494AE4" w:rsidRPr="00564B9D" w:rsidRDefault="00035E19"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19,80</w:t>
            </w:r>
            <w:r w:rsidR="00494AE4" w:rsidRPr="00564B9D">
              <w:rPr>
                <w:sz w:val="20"/>
                <w:szCs w:val="20"/>
              </w:rPr>
              <w:t xml:space="preserve"> </w:t>
            </w:r>
            <w:r w:rsidR="00494AE4" w:rsidRPr="00564B9D">
              <w:rPr>
                <w:rFonts w:hint="cs"/>
                <w:sz w:val="20"/>
                <w:szCs w:val="20"/>
                <w:rtl/>
              </w:rPr>
              <w:t>مليون دولار شرق الكاريبي (دين خارجي)؛ 4,00 مليون دولار شرق الكاريبي (دين داخلي)</w:t>
            </w:r>
          </w:p>
        </w:tc>
      </w:tr>
      <w:tr w:rsidR="007B5A24" w:rsidRPr="00564B9D" w14:paraId="0CB5AAF0" w14:textId="77777777" w:rsidTr="00804944">
        <w:trPr>
          <w:trHeight w:val="240"/>
        </w:trPr>
        <w:tc>
          <w:tcPr>
            <w:tcW w:w="3868" w:type="dxa"/>
            <w:tcBorders>
              <w:bottom w:val="single" w:sz="12" w:space="0" w:color="auto"/>
            </w:tcBorders>
            <w:shd w:val="clear" w:color="auto" w:fill="auto"/>
          </w:tcPr>
          <w:p w14:paraId="485B6C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3407" w:type="dxa"/>
            <w:tcBorders>
              <w:bottom w:val="single" w:sz="12" w:space="0" w:color="auto"/>
            </w:tcBorders>
            <w:shd w:val="clear" w:color="auto" w:fill="auto"/>
          </w:tcPr>
          <w:p w14:paraId="765096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306B6DDD"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478"/>
        <w:gridCol w:w="3914"/>
      </w:tblGrid>
      <w:tr w:rsidR="007B5A24" w:rsidRPr="00564B9D" w14:paraId="72A2FE99" w14:textId="77777777" w:rsidTr="00804944">
        <w:trPr>
          <w:trHeight w:val="240"/>
          <w:tblHeader/>
        </w:trPr>
        <w:tc>
          <w:tcPr>
            <w:tcW w:w="7275" w:type="dxa"/>
            <w:gridSpan w:val="2"/>
            <w:tcBorders>
              <w:top w:val="single" w:sz="4" w:space="0" w:color="auto"/>
              <w:bottom w:val="single" w:sz="12" w:space="0" w:color="auto"/>
            </w:tcBorders>
            <w:shd w:val="clear" w:color="auto" w:fill="auto"/>
            <w:vAlign w:val="bottom"/>
          </w:tcPr>
          <w:p w14:paraId="2462855D"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6442F2A8" w14:textId="77777777" w:rsidTr="00804944">
        <w:trPr>
          <w:trHeight w:val="240"/>
        </w:trPr>
        <w:tc>
          <w:tcPr>
            <w:tcW w:w="3882" w:type="dxa"/>
            <w:tcBorders>
              <w:top w:val="single" w:sz="12" w:space="0" w:color="auto"/>
            </w:tcBorders>
            <w:shd w:val="clear" w:color="auto" w:fill="auto"/>
          </w:tcPr>
          <w:p w14:paraId="720E2E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الصعيد الوطني</w:t>
            </w:r>
          </w:p>
        </w:tc>
        <w:tc>
          <w:tcPr>
            <w:tcW w:w="3393" w:type="dxa"/>
            <w:tcBorders>
              <w:top w:val="single" w:sz="12" w:space="0" w:color="auto"/>
            </w:tcBorders>
            <w:shd w:val="clear" w:color="auto" w:fill="auto"/>
          </w:tcPr>
          <w:p w14:paraId="250DE1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أربع أحزاب:</w:t>
            </w:r>
          </w:p>
          <w:p w14:paraId="208C94F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حركة التغيير والازدهار</w:t>
            </w:r>
          </w:p>
          <w:p w14:paraId="4C3BA7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الحركة الديمقراطية الشعبية</w:t>
            </w:r>
          </w:p>
          <w:p w14:paraId="2789C6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حزب العمال الموحد في مونتسيرات</w:t>
            </w:r>
          </w:p>
          <w:p w14:paraId="6B7E38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مؤتمر مونتسيرات الوطني</w:t>
            </w:r>
          </w:p>
        </w:tc>
      </w:tr>
      <w:tr w:rsidR="007B5A24" w:rsidRPr="00564B9D" w14:paraId="57212521" w14:textId="77777777" w:rsidTr="00804944">
        <w:trPr>
          <w:trHeight w:val="240"/>
        </w:trPr>
        <w:tc>
          <w:tcPr>
            <w:tcW w:w="3882" w:type="dxa"/>
            <w:shd w:val="clear" w:color="auto" w:fill="auto"/>
          </w:tcPr>
          <w:p w14:paraId="77640D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المؤهلين للتصويت </w:t>
            </w:r>
          </w:p>
        </w:tc>
        <w:tc>
          <w:tcPr>
            <w:tcW w:w="3393" w:type="dxa"/>
            <w:shd w:val="clear" w:color="auto" w:fill="auto"/>
          </w:tcPr>
          <w:p w14:paraId="546C3B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85 في المائة </w:t>
            </w:r>
            <w:r w:rsidRPr="00564B9D">
              <w:rPr>
                <w:sz w:val="20"/>
                <w:szCs w:val="20"/>
                <w:rtl/>
              </w:rPr>
              <w:t>على أساس عدد الناخبين المسجلين مقابل إجمالي عدد السكان في 2018</w:t>
            </w:r>
          </w:p>
        </w:tc>
      </w:tr>
      <w:tr w:rsidR="007B5A24" w:rsidRPr="00564B9D" w14:paraId="4054B3EF" w14:textId="77777777" w:rsidTr="00804944">
        <w:trPr>
          <w:trHeight w:val="240"/>
        </w:trPr>
        <w:tc>
          <w:tcPr>
            <w:tcW w:w="3882" w:type="dxa"/>
            <w:shd w:val="clear" w:color="auto" w:fill="auto"/>
          </w:tcPr>
          <w:p w14:paraId="2D9A35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3393" w:type="dxa"/>
            <w:shd w:val="clear" w:color="auto" w:fill="auto"/>
          </w:tcPr>
          <w:p w14:paraId="10058F3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72A9B59" w14:textId="77777777" w:rsidTr="00804944">
        <w:trPr>
          <w:trHeight w:val="240"/>
        </w:trPr>
        <w:tc>
          <w:tcPr>
            <w:tcW w:w="3882" w:type="dxa"/>
            <w:shd w:val="clear" w:color="auto" w:fill="auto"/>
          </w:tcPr>
          <w:p w14:paraId="0C87A8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3393" w:type="dxa"/>
            <w:shd w:val="clear" w:color="auto" w:fill="auto"/>
          </w:tcPr>
          <w:p w14:paraId="4B47A8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78F00A37" w14:textId="77777777" w:rsidTr="00804944">
        <w:trPr>
          <w:trHeight w:val="240"/>
        </w:trPr>
        <w:tc>
          <w:tcPr>
            <w:tcW w:w="3882" w:type="dxa"/>
            <w:shd w:val="clear" w:color="auto" w:fill="auto"/>
          </w:tcPr>
          <w:p w14:paraId="589669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393" w:type="dxa"/>
            <w:shd w:val="clear" w:color="auto" w:fill="auto"/>
          </w:tcPr>
          <w:p w14:paraId="1D6C11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محطة إذاعية واحدة (حكومية)</w:t>
            </w:r>
          </w:p>
          <w:p w14:paraId="55DED35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جريدتان (خاصتان) هما:</w:t>
            </w:r>
          </w:p>
          <w:p w14:paraId="6036485E" w14:textId="3D3F66C6" w:rsidR="00035E19"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الليغوانا إكسبريس </w:t>
            </w:r>
          </w:p>
          <w:p w14:paraId="605F6E13" w14:textId="74AE5D18" w:rsidR="00494AE4" w:rsidRPr="00564B9D" w:rsidRDefault="00035E19"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مونتسيرات </w:t>
            </w:r>
            <w:r w:rsidR="00494AE4" w:rsidRPr="00564B9D">
              <w:rPr>
                <w:rFonts w:hint="cs"/>
                <w:sz w:val="20"/>
                <w:szCs w:val="20"/>
                <w:rtl/>
              </w:rPr>
              <w:t>ريبورتر</w:t>
            </w:r>
          </w:p>
          <w:p w14:paraId="480EC0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ثلاث منصات للوسائط الرقمية</w:t>
            </w:r>
          </w:p>
        </w:tc>
      </w:tr>
      <w:tr w:rsidR="007B5A24" w:rsidRPr="00564B9D" w14:paraId="3B9D960D" w14:textId="77777777" w:rsidTr="00804944">
        <w:trPr>
          <w:trHeight w:val="240"/>
        </w:trPr>
        <w:tc>
          <w:tcPr>
            <w:tcW w:w="3882" w:type="dxa"/>
            <w:shd w:val="clear" w:color="auto" w:fill="auto"/>
          </w:tcPr>
          <w:p w14:paraId="2BC4C7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المنظمات غير الحكومية المعترف بها </w:t>
            </w:r>
          </w:p>
        </w:tc>
        <w:tc>
          <w:tcPr>
            <w:tcW w:w="3393" w:type="dxa"/>
            <w:shd w:val="clear" w:color="auto" w:fill="auto"/>
          </w:tcPr>
          <w:p w14:paraId="373306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أربع (مسجلة على أنها خيرية) </w:t>
            </w:r>
          </w:p>
        </w:tc>
      </w:tr>
      <w:tr w:rsidR="007B5A24" w:rsidRPr="00564B9D" w14:paraId="7C080A8F" w14:textId="77777777" w:rsidTr="00804944">
        <w:trPr>
          <w:trHeight w:val="240"/>
        </w:trPr>
        <w:tc>
          <w:tcPr>
            <w:tcW w:w="3882" w:type="dxa"/>
            <w:shd w:val="clear" w:color="auto" w:fill="auto"/>
          </w:tcPr>
          <w:p w14:paraId="279256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المقاعد التشريعية بحسب الحزب </w:t>
            </w:r>
          </w:p>
        </w:tc>
        <w:tc>
          <w:tcPr>
            <w:tcW w:w="3393" w:type="dxa"/>
            <w:shd w:val="clear" w:color="auto" w:fill="auto"/>
          </w:tcPr>
          <w:p w14:paraId="340973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حزب التغيير والازدهار = 5</w:t>
            </w:r>
          </w:p>
          <w:p w14:paraId="69A2C2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الحركة الديمقراطية الشعبية = 3</w:t>
            </w:r>
          </w:p>
          <w:p w14:paraId="2412B0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مستقلون = 1 </w:t>
            </w:r>
          </w:p>
        </w:tc>
      </w:tr>
      <w:tr w:rsidR="007B5A24" w:rsidRPr="00564B9D" w14:paraId="699F7511" w14:textId="77777777" w:rsidTr="00804944">
        <w:trPr>
          <w:trHeight w:val="240"/>
        </w:trPr>
        <w:tc>
          <w:tcPr>
            <w:tcW w:w="3882" w:type="dxa"/>
            <w:shd w:val="clear" w:color="auto" w:fill="auto"/>
          </w:tcPr>
          <w:p w14:paraId="5B8A07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في البرلمان </w:t>
            </w:r>
          </w:p>
        </w:tc>
        <w:tc>
          <w:tcPr>
            <w:tcW w:w="3393" w:type="dxa"/>
            <w:shd w:val="clear" w:color="auto" w:fill="auto"/>
          </w:tcPr>
          <w:p w14:paraId="594FE8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25 في المائة (3 مقاعد من أصل 12)</w:t>
            </w:r>
          </w:p>
        </w:tc>
      </w:tr>
      <w:tr w:rsidR="007B5A24" w:rsidRPr="00564B9D" w14:paraId="775EFA4A" w14:textId="77777777" w:rsidTr="00804944">
        <w:trPr>
          <w:trHeight w:val="240"/>
        </w:trPr>
        <w:tc>
          <w:tcPr>
            <w:tcW w:w="3882" w:type="dxa"/>
            <w:shd w:val="clear" w:color="auto" w:fill="auto"/>
          </w:tcPr>
          <w:p w14:paraId="255AFD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الانتخابات الوطنية ودون الوطنية التي أجريت في حدود الجدول الزمني الذي ينص عليه القانون </w:t>
            </w:r>
          </w:p>
        </w:tc>
        <w:tc>
          <w:tcPr>
            <w:tcW w:w="3393" w:type="dxa"/>
            <w:shd w:val="clear" w:color="auto" w:fill="auto"/>
          </w:tcPr>
          <w:p w14:paraId="2EAA70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(فقط الانتخابات الوطنية التي تجري في مونتسيرات)</w:t>
            </w:r>
          </w:p>
          <w:p w14:paraId="5B9B7E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 تجري في موعدها المقرر</w:t>
            </w:r>
          </w:p>
        </w:tc>
      </w:tr>
      <w:tr w:rsidR="007B5A24" w:rsidRPr="00564B9D" w14:paraId="3C5264EB" w14:textId="77777777" w:rsidTr="00804944">
        <w:trPr>
          <w:trHeight w:val="240"/>
        </w:trPr>
        <w:tc>
          <w:tcPr>
            <w:tcW w:w="3882" w:type="dxa"/>
            <w:tcBorders>
              <w:bottom w:val="single" w:sz="12" w:space="0" w:color="auto"/>
            </w:tcBorders>
            <w:shd w:val="clear" w:color="auto" w:fill="auto"/>
          </w:tcPr>
          <w:p w14:paraId="11B4DB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متوسط عدد الناخبين الفعليين في الانتخابات الوطنية ودون الوطنية بحسب الوحدة الإدارية </w:t>
            </w:r>
          </w:p>
        </w:tc>
        <w:tc>
          <w:tcPr>
            <w:tcW w:w="3393" w:type="dxa"/>
            <w:tcBorders>
              <w:bottom w:val="single" w:sz="12" w:space="0" w:color="auto"/>
            </w:tcBorders>
            <w:shd w:val="clear" w:color="auto" w:fill="auto"/>
          </w:tcPr>
          <w:p w14:paraId="62539A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الناخبين الفعليين 62 في المائة (النسبة الفعلية)</w:t>
            </w:r>
          </w:p>
        </w:tc>
      </w:tr>
    </w:tbl>
    <w:p w14:paraId="3FF65E04"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469"/>
        <w:gridCol w:w="3923"/>
      </w:tblGrid>
      <w:tr w:rsidR="007B5A24" w:rsidRPr="00564B9D" w14:paraId="2DE52CC5" w14:textId="77777777" w:rsidTr="00804944">
        <w:trPr>
          <w:trHeight w:val="240"/>
          <w:tblHeader/>
        </w:trPr>
        <w:tc>
          <w:tcPr>
            <w:tcW w:w="7298" w:type="dxa"/>
            <w:gridSpan w:val="2"/>
            <w:tcBorders>
              <w:top w:val="single" w:sz="4" w:space="0" w:color="auto"/>
              <w:bottom w:val="single" w:sz="12" w:space="0" w:color="auto"/>
            </w:tcBorders>
            <w:shd w:val="clear" w:color="auto" w:fill="auto"/>
            <w:vAlign w:val="bottom"/>
          </w:tcPr>
          <w:p w14:paraId="6981A6B4"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1264BBB2" w14:textId="77777777" w:rsidTr="00804944">
        <w:tblPrEx>
          <w:tblLook w:val="0000" w:firstRow="0" w:lastRow="0" w:firstColumn="0" w:lastColumn="0" w:noHBand="0" w:noVBand="0"/>
        </w:tblPrEx>
        <w:trPr>
          <w:trHeight w:val="240"/>
        </w:trPr>
        <w:tc>
          <w:tcPr>
            <w:tcW w:w="3886" w:type="dxa"/>
            <w:tcBorders>
              <w:top w:val="single" w:sz="12" w:space="0" w:color="auto"/>
            </w:tcBorders>
            <w:shd w:val="clear" w:color="auto" w:fill="auto"/>
          </w:tcPr>
          <w:p w14:paraId="4BF352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000 100 من السكان</w:t>
            </w:r>
          </w:p>
        </w:tc>
        <w:tc>
          <w:tcPr>
            <w:tcW w:w="3412" w:type="dxa"/>
            <w:tcBorders>
              <w:top w:val="single" w:sz="12" w:space="0" w:color="auto"/>
            </w:tcBorders>
            <w:shd w:val="clear" w:color="auto" w:fill="auto"/>
          </w:tcPr>
          <w:p w14:paraId="50A4E65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p w14:paraId="612638F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لكن انظر المعلومات الواردة أدناه.</w:t>
            </w:r>
          </w:p>
        </w:tc>
      </w:tr>
      <w:tr w:rsidR="007B5A24" w:rsidRPr="00564B9D" w14:paraId="0327A5CF" w14:textId="77777777" w:rsidTr="00804944">
        <w:tblPrEx>
          <w:tblLook w:val="0000" w:firstRow="0" w:lastRow="0" w:firstColumn="0" w:lastColumn="0" w:noHBand="0" w:noVBand="0"/>
        </w:tblPrEx>
        <w:trPr>
          <w:trHeight w:val="240"/>
        </w:trPr>
        <w:tc>
          <w:tcPr>
            <w:tcW w:w="3886" w:type="dxa"/>
            <w:shd w:val="clear" w:color="auto" w:fill="auto"/>
          </w:tcPr>
          <w:p w14:paraId="3D814C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000 100 شخص) الذين تم توقيفهم/تقديمهم إلى القضاء/إدانتهم/إصدار أحكام ضدهم/حبسهم لارتكابهم جرائم عنف أو غير ذلك من الجرائم الخطيرة (مثل القتل والسرقة والاعتداء والإتجار غير المشروع)</w:t>
            </w:r>
          </w:p>
        </w:tc>
        <w:tc>
          <w:tcPr>
            <w:tcW w:w="3412" w:type="dxa"/>
            <w:shd w:val="clear" w:color="auto" w:fill="auto"/>
          </w:tcPr>
          <w:p w14:paraId="2455CE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p w14:paraId="0AEB22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لكن عدد الجرائم الخطيرة في عام 2019 كان كما يلي:</w:t>
            </w:r>
          </w:p>
          <w:p w14:paraId="7993AF64" w14:textId="5181BBB6"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القتل</w:t>
            </w:r>
            <w:r w:rsidR="00035E19" w:rsidRPr="00564B9D">
              <w:rPr>
                <w:rtl/>
              </w:rPr>
              <w:tab/>
            </w:r>
            <w:r w:rsidRPr="00564B9D">
              <w:rPr>
                <w:sz w:val="20"/>
                <w:szCs w:val="20"/>
                <w:rtl/>
              </w:rPr>
              <w:t>0</w:t>
            </w:r>
          </w:p>
          <w:p w14:paraId="31BC97B3" w14:textId="462B98F7"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القتل غير العمد</w:t>
            </w:r>
            <w:r w:rsidR="00035E19" w:rsidRPr="00564B9D">
              <w:rPr>
                <w:sz w:val="20"/>
                <w:szCs w:val="20"/>
              </w:rPr>
              <w:tab/>
            </w:r>
            <w:r w:rsidRPr="00564B9D">
              <w:rPr>
                <w:sz w:val="20"/>
                <w:szCs w:val="20"/>
                <w:rtl/>
              </w:rPr>
              <w:t>0</w:t>
            </w:r>
          </w:p>
          <w:p w14:paraId="2B1477FC" w14:textId="114421F1"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الشروع في القتل</w:t>
            </w:r>
            <w:r w:rsidR="00035E19" w:rsidRPr="00564B9D">
              <w:rPr>
                <w:sz w:val="20"/>
                <w:szCs w:val="20"/>
              </w:rPr>
              <w:tab/>
            </w:r>
            <w:r w:rsidRPr="00564B9D">
              <w:rPr>
                <w:sz w:val="20"/>
                <w:szCs w:val="20"/>
                <w:rtl/>
              </w:rPr>
              <w:t>0</w:t>
            </w:r>
          </w:p>
          <w:p w14:paraId="4B4BBCBD" w14:textId="338B4126"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الجرح</w:t>
            </w:r>
            <w:r w:rsidR="00035E19" w:rsidRPr="00564B9D">
              <w:rPr>
                <w:sz w:val="20"/>
                <w:szCs w:val="20"/>
              </w:rPr>
              <w:tab/>
            </w:r>
            <w:r w:rsidRPr="00564B9D">
              <w:rPr>
                <w:sz w:val="20"/>
                <w:szCs w:val="20"/>
                <w:rtl/>
              </w:rPr>
              <w:t>5</w:t>
            </w:r>
          </w:p>
          <w:p w14:paraId="33946F5C" w14:textId="76502533"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الاعتداء</w:t>
            </w:r>
            <w:r w:rsidR="00035E19" w:rsidRPr="00564B9D">
              <w:rPr>
                <w:sz w:val="20"/>
                <w:szCs w:val="20"/>
              </w:rPr>
              <w:tab/>
            </w:r>
            <w:r w:rsidRPr="00564B9D">
              <w:rPr>
                <w:sz w:val="20"/>
                <w:szCs w:val="20"/>
                <w:rtl/>
              </w:rPr>
              <w:t>50</w:t>
            </w:r>
          </w:p>
          <w:p w14:paraId="6080E7F3" w14:textId="2AEE61B6"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الاعتداء الجنسي/الاغتصاب</w:t>
            </w:r>
            <w:r w:rsidR="00035E19" w:rsidRPr="00564B9D">
              <w:rPr>
                <w:sz w:val="20"/>
                <w:szCs w:val="20"/>
              </w:rPr>
              <w:tab/>
            </w:r>
            <w:r w:rsidRPr="00564B9D">
              <w:rPr>
                <w:sz w:val="20"/>
                <w:szCs w:val="20"/>
                <w:rtl/>
              </w:rPr>
              <w:t>4</w:t>
            </w:r>
          </w:p>
          <w:p w14:paraId="4C4F32B6" w14:textId="7A68EB3F"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السرقة</w:t>
            </w:r>
            <w:r w:rsidR="00035E19" w:rsidRPr="00564B9D">
              <w:rPr>
                <w:sz w:val="20"/>
                <w:szCs w:val="20"/>
              </w:rPr>
              <w:tab/>
            </w:r>
            <w:r w:rsidRPr="00564B9D">
              <w:rPr>
                <w:sz w:val="20"/>
                <w:szCs w:val="20"/>
                <w:rtl/>
              </w:rPr>
              <w:t>0</w:t>
            </w:r>
          </w:p>
          <w:p w14:paraId="15595D5E" w14:textId="46F72F2E"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السطو</w:t>
            </w:r>
            <w:r w:rsidR="00F25631" w:rsidRPr="00564B9D">
              <w:rPr>
                <w:sz w:val="20"/>
                <w:szCs w:val="20"/>
                <w:rtl/>
              </w:rPr>
              <w:tab/>
              <w:t>27</w:t>
            </w:r>
          </w:p>
          <w:p w14:paraId="205F8C2F" w14:textId="7BFADEE5"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الشروع في السطو</w:t>
            </w:r>
            <w:r w:rsidR="00F25631" w:rsidRPr="00564B9D">
              <w:rPr>
                <w:sz w:val="20"/>
                <w:szCs w:val="20"/>
                <w:rtl/>
              </w:rPr>
              <w:tab/>
            </w:r>
            <w:r w:rsidRPr="00564B9D">
              <w:rPr>
                <w:sz w:val="20"/>
                <w:szCs w:val="20"/>
                <w:rtl/>
              </w:rPr>
              <w:t>5</w:t>
            </w:r>
          </w:p>
          <w:p w14:paraId="0C91A0EC" w14:textId="326FC129"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السرقة</w:t>
            </w:r>
            <w:r w:rsidR="00F25631" w:rsidRPr="00564B9D">
              <w:rPr>
                <w:sz w:val="20"/>
                <w:szCs w:val="20"/>
                <w:rtl/>
              </w:rPr>
              <w:tab/>
            </w:r>
            <w:r w:rsidRPr="00564B9D">
              <w:rPr>
                <w:sz w:val="20"/>
                <w:szCs w:val="20"/>
                <w:rtl/>
              </w:rPr>
              <w:t>34</w:t>
            </w:r>
          </w:p>
          <w:p w14:paraId="49D739E7" w14:textId="59B492DC" w:rsidR="00494AE4" w:rsidRPr="00564B9D" w:rsidRDefault="00494AE4" w:rsidP="00035E19">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العنف المنزلي</w:t>
            </w:r>
            <w:r w:rsidR="00F25631" w:rsidRPr="00564B9D">
              <w:rPr>
                <w:sz w:val="20"/>
                <w:szCs w:val="20"/>
                <w:rtl/>
              </w:rPr>
              <w:tab/>
            </w:r>
            <w:r w:rsidRPr="00564B9D">
              <w:rPr>
                <w:sz w:val="20"/>
                <w:szCs w:val="20"/>
                <w:rtl/>
              </w:rPr>
              <w:t>1</w:t>
            </w:r>
          </w:p>
          <w:p w14:paraId="60D5274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الجرائم </w:t>
            </w:r>
            <w:r w:rsidRPr="00564B9D">
              <w:rPr>
                <w:rFonts w:hint="cs"/>
                <w:sz w:val="20"/>
                <w:szCs w:val="20"/>
                <w:rtl/>
              </w:rPr>
              <w:t>المصنفة ضمن</w:t>
            </w:r>
            <w:r w:rsidRPr="00564B9D">
              <w:rPr>
                <w:sz w:val="20"/>
                <w:szCs w:val="20"/>
                <w:rtl/>
              </w:rPr>
              <w:t xml:space="preserve"> الضرر الجنائي باستثناء الحر</w:t>
            </w:r>
            <w:r w:rsidRPr="00564B9D">
              <w:rPr>
                <w:rFonts w:hint="cs"/>
                <w:sz w:val="20"/>
                <w:szCs w:val="20"/>
                <w:rtl/>
              </w:rPr>
              <w:t>ي</w:t>
            </w:r>
            <w:r w:rsidRPr="00564B9D">
              <w:rPr>
                <w:sz w:val="20"/>
                <w:szCs w:val="20"/>
                <w:rtl/>
              </w:rPr>
              <w:t>ق العمد</w:t>
            </w:r>
            <w:r w:rsidRPr="00564B9D">
              <w:rPr>
                <w:rFonts w:hint="cs"/>
                <w:sz w:val="20"/>
                <w:szCs w:val="20"/>
                <w:rtl/>
              </w:rPr>
              <w:t xml:space="preserve"> - الخاضعة لتوجيه الاتهام رسمياً </w:t>
            </w:r>
            <w:r w:rsidRPr="00564B9D">
              <w:rPr>
                <w:sz w:val="20"/>
                <w:szCs w:val="20"/>
                <w:rtl/>
              </w:rPr>
              <w:t>10</w:t>
            </w:r>
          </w:p>
          <w:p w14:paraId="6C510996" w14:textId="627DFE68" w:rsidR="00494AE4" w:rsidRPr="00564B9D" w:rsidRDefault="00494AE4" w:rsidP="00F25631">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حريق متعمد</w:t>
            </w:r>
            <w:r w:rsidR="00F25631" w:rsidRPr="00564B9D">
              <w:rPr>
                <w:sz w:val="20"/>
                <w:szCs w:val="20"/>
                <w:rtl/>
              </w:rPr>
              <w:tab/>
            </w:r>
            <w:r w:rsidRPr="00564B9D">
              <w:rPr>
                <w:sz w:val="20"/>
                <w:szCs w:val="20"/>
                <w:rtl/>
              </w:rPr>
              <w:t>0</w:t>
            </w:r>
          </w:p>
          <w:p w14:paraId="7BE9B92C" w14:textId="0DDD4775" w:rsidR="00494AE4" w:rsidRPr="00564B9D" w:rsidRDefault="00494AE4" w:rsidP="00F25631">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rFonts w:hint="cs"/>
                <w:sz w:val="20"/>
                <w:szCs w:val="20"/>
                <w:rtl/>
              </w:rPr>
              <w:t>العقاقير</w:t>
            </w:r>
            <w:r w:rsidRPr="00564B9D">
              <w:rPr>
                <w:sz w:val="20"/>
                <w:szCs w:val="20"/>
                <w:rtl/>
              </w:rPr>
              <w:t xml:space="preserve"> الخطرة</w:t>
            </w:r>
            <w:r w:rsidR="00F25631" w:rsidRPr="00564B9D">
              <w:rPr>
                <w:sz w:val="20"/>
                <w:szCs w:val="20"/>
                <w:rtl/>
              </w:rPr>
              <w:tab/>
            </w:r>
            <w:r w:rsidRPr="00564B9D">
              <w:rPr>
                <w:sz w:val="20"/>
                <w:szCs w:val="20"/>
                <w:rtl/>
              </w:rPr>
              <w:t>45</w:t>
            </w:r>
          </w:p>
          <w:p w14:paraId="5071CC96" w14:textId="29379274" w:rsidR="00494AE4" w:rsidRPr="00564B9D" w:rsidRDefault="00494AE4" w:rsidP="00F25631">
            <w:pPr>
              <w:pStyle w:val="SingleTxtGA"/>
              <w:tabs>
                <w:tab w:val="clear" w:pos="1928"/>
                <w:tab w:val="clear" w:pos="2608"/>
                <w:tab w:val="clear" w:pos="3289"/>
                <w:tab w:val="clear" w:pos="3969"/>
                <w:tab w:val="clear" w:pos="4649"/>
                <w:tab w:val="clear" w:pos="5330"/>
                <w:tab w:val="left" w:pos="2250"/>
              </w:tabs>
              <w:spacing w:before="40" w:after="40" w:line="280" w:lineRule="exact"/>
              <w:ind w:left="0" w:right="0"/>
              <w:rPr>
                <w:sz w:val="20"/>
                <w:szCs w:val="20"/>
                <w:rtl/>
              </w:rPr>
            </w:pPr>
            <w:r w:rsidRPr="00564B9D">
              <w:rPr>
                <w:sz w:val="20"/>
                <w:szCs w:val="20"/>
                <w:rtl/>
              </w:rPr>
              <w:t>نباتات القنب ساتيفا بدون جذور</w:t>
            </w:r>
            <w:r w:rsidR="00F25631" w:rsidRPr="00564B9D">
              <w:rPr>
                <w:sz w:val="20"/>
                <w:szCs w:val="20"/>
                <w:rtl/>
              </w:rPr>
              <w:tab/>
            </w:r>
            <w:r w:rsidRPr="00564B9D">
              <w:rPr>
                <w:sz w:val="20"/>
                <w:szCs w:val="20"/>
                <w:rtl/>
              </w:rPr>
              <w:t>939 </w:t>
            </w:r>
            <w:r w:rsidRPr="00564B9D">
              <w:rPr>
                <w:rFonts w:hint="cs"/>
                <w:sz w:val="20"/>
                <w:szCs w:val="20"/>
                <w:rtl/>
              </w:rPr>
              <w:t>1</w:t>
            </w:r>
          </w:p>
          <w:p w14:paraId="38C27D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المخالفات </w:t>
            </w:r>
            <w:r w:rsidRPr="00564B9D">
              <w:rPr>
                <w:rFonts w:hint="cs"/>
                <w:sz w:val="20"/>
                <w:szCs w:val="20"/>
                <w:rtl/>
              </w:rPr>
              <w:t xml:space="preserve">والتدخلات </w:t>
            </w:r>
            <w:r w:rsidRPr="00564B9D">
              <w:rPr>
                <w:sz w:val="20"/>
                <w:szCs w:val="20"/>
                <w:rtl/>
              </w:rPr>
              <w:t>البسيطة</w:t>
            </w:r>
            <w:r w:rsidRPr="00564B9D">
              <w:rPr>
                <w:rFonts w:hint="cs"/>
                <w:sz w:val="20"/>
                <w:szCs w:val="20"/>
                <w:rtl/>
              </w:rPr>
              <w:t xml:space="preserve"> التي لم تُحسب</w:t>
            </w:r>
            <w:r w:rsidRPr="00564B9D">
              <w:rPr>
                <w:sz w:val="20"/>
                <w:szCs w:val="20"/>
                <w:rtl/>
              </w:rPr>
              <w:t xml:space="preserve"> بالفعل 435</w:t>
            </w:r>
          </w:p>
          <w:p w14:paraId="184AA8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b/>
                <w:bCs/>
                <w:sz w:val="20"/>
                <w:szCs w:val="20"/>
              </w:rPr>
            </w:pPr>
            <w:r w:rsidRPr="00564B9D">
              <w:rPr>
                <w:b/>
                <w:bCs/>
                <w:sz w:val="20"/>
                <w:szCs w:val="20"/>
                <w:rtl/>
              </w:rPr>
              <w:t>المجموع 555 </w:t>
            </w:r>
            <w:r w:rsidRPr="00564B9D">
              <w:rPr>
                <w:rFonts w:hint="cs"/>
                <w:b/>
                <w:bCs/>
                <w:sz w:val="20"/>
                <w:szCs w:val="20"/>
                <w:rtl/>
              </w:rPr>
              <w:t>2</w:t>
            </w:r>
          </w:p>
        </w:tc>
      </w:tr>
      <w:tr w:rsidR="007B5A24" w:rsidRPr="00564B9D" w14:paraId="7FA1A368" w14:textId="77777777" w:rsidTr="00804944">
        <w:tblPrEx>
          <w:tblLook w:val="0000" w:firstRow="0" w:lastRow="0" w:firstColumn="0" w:lastColumn="0" w:noHBand="0" w:noVBand="0"/>
        </w:tblPrEx>
        <w:trPr>
          <w:trHeight w:val="240"/>
        </w:trPr>
        <w:tc>
          <w:tcPr>
            <w:tcW w:w="3886" w:type="dxa"/>
            <w:shd w:val="clear" w:color="auto" w:fill="auto"/>
          </w:tcPr>
          <w:p w14:paraId="2310B8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 xml:space="preserve">(مثل الاغتصاب، وتشويه الأعضاء الجنسية عند الإناث، وجرائم الشرف، والاعتداء بالأحماض). </w:t>
            </w:r>
          </w:p>
        </w:tc>
        <w:tc>
          <w:tcPr>
            <w:tcW w:w="3412" w:type="dxa"/>
            <w:shd w:val="clear" w:color="auto" w:fill="auto"/>
          </w:tcPr>
          <w:p w14:paraId="47576A9B" w14:textId="54C06E47" w:rsidR="00494AE4" w:rsidRPr="00564B9D" w:rsidRDefault="00494AE4" w:rsidP="00F25631">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انظر المعلومات أعلاه</w:t>
            </w:r>
          </w:p>
        </w:tc>
      </w:tr>
      <w:tr w:rsidR="007B5A24" w:rsidRPr="00564B9D" w14:paraId="62BB2E2D" w14:textId="77777777" w:rsidTr="00804944">
        <w:tblPrEx>
          <w:tblLook w:val="0000" w:firstRow="0" w:lastRow="0" w:firstColumn="0" w:lastColumn="0" w:noHBand="0" w:noVBand="0"/>
        </w:tblPrEx>
        <w:trPr>
          <w:trHeight w:val="240"/>
        </w:trPr>
        <w:tc>
          <w:tcPr>
            <w:tcW w:w="3886" w:type="dxa"/>
            <w:shd w:val="clear" w:color="auto" w:fill="auto"/>
          </w:tcPr>
          <w:p w14:paraId="7706CA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3412" w:type="dxa"/>
            <w:shd w:val="clear" w:color="auto" w:fill="auto"/>
          </w:tcPr>
          <w:p w14:paraId="5A96B5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3-6 أشهر</w:t>
            </w:r>
          </w:p>
        </w:tc>
      </w:tr>
      <w:tr w:rsidR="007B5A24" w:rsidRPr="00564B9D" w14:paraId="0D64E231" w14:textId="77777777" w:rsidTr="00804944">
        <w:tblPrEx>
          <w:tblLook w:val="0000" w:firstRow="0" w:lastRow="0" w:firstColumn="0" w:lastColumn="0" w:noHBand="0" w:noVBand="0"/>
        </w:tblPrEx>
        <w:trPr>
          <w:trHeight w:val="240"/>
        </w:trPr>
        <w:tc>
          <w:tcPr>
            <w:tcW w:w="3886" w:type="dxa"/>
            <w:shd w:val="clear" w:color="auto" w:fill="auto"/>
          </w:tcPr>
          <w:p w14:paraId="41E75F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3412" w:type="dxa"/>
            <w:shd w:val="clear" w:color="auto" w:fill="auto"/>
          </w:tcPr>
          <w:p w14:paraId="6452DAB7" w14:textId="26A1FBE3" w:rsidR="00494AE4" w:rsidRPr="00564B9D" w:rsidRDefault="00F25631"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30 </w:t>
            </w:r>
            <w:r w:rsidR="00494AE4" w:rsidRPr="00564B9D">
              <w:rPr>
                <w:rFonts w:hint="cs"/>
                <w:sz w:val="20"/>
                <w:szCs w:val="20"/>
                <w:rtl/>
              </w:rPr>
              <w:t>سجيناً</w:t>
            </w:r>
            <w:r w:rsidRPr="00564B9D">
              <w:rPr>
                <w:rFonts w:hint="cs"/>
                <w:sz w:val="20"/>
                <w:szCs w:val="20"/>
                <w:rtl/>
              </w:rPr>
              <w:t xml:space="preserve"> (الحبس الاحتياطي، 2019)</w:t>
            </w:r>
          </w:p>
          <w:p w14:paraId="599D94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مدة الحكم من 3 أشهر إلى "مدة تحدد وفق رغبة صاحب الجلالة".</w:t>
            </w:r>
          </w:p>
        </w:tc>
      </w:tr>
      <w:tr w:rsidR="007B5A24" w:rsidRPr="00564B9D" w14:paraId="65ED0F4E" w14:textId="77777777" w:rsidTr="00804944">
        <w:tblPrEx>
          <w:tblLook w:val="0000" w:firstRow="0" w:lastRow="0" w:firstColumn="0" w:lastColumn="0" w:noHBand="0" w:noVBand="0"/>
        </w:tblPrEx>
        <w:trPr>
          <w:trHeight w:val="240"/>
        </w:trPr>
        <w:tc>
          <w:tcPr>
            <w:tcW w:w="3886" w:type="dxa"/>
            <w:shd w:val="clear" w:color="auto" w:fill="auto"/>
          </w:tcPr>
          <w:p w14:paraId="724627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3412" w:type="dxa"/>
            <w:shd w:val="clear" w:color="auto" w:fill="auto"/>
          </w:tcPr>
          <w:p w14:paraId="086A02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509D0609" w14:textId="77777777" w:rsidTr="00804944">
        <w:tblPrEx>
          <w:tblLook w:val="0000" w:firstRow="0" w:lastRow="0" w:firstColumn="0" w:lastColumn="0" w:noHBand="0" w:noVBand="0"/>
        </w:tblPrEx>
        <w:trPr>
          <w:trHeight w:val="240"/>
        </w:trPr>
        <w:tc>
          <w:tcPr>
            <w:tcW w:w="3886" w:type="dxa"/>
            <w:shd w:val="clear" w:color="auto" w:fill="auto"/>
          </w:tcPr>
          <w:p w14:paraId="5271042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p>
        </w:tc>
        <w:tc>
          <w:tcPr>
            <w:tcW w:w="3412" w:type="dxa"/>
            <w:shd w:val="clear" w:color="auto" w:fill="auto"/>
          </w:tcPr>
          <w:p w14:paraId="54B8CC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217B2002" w14:textId="77777777" w:rsidTr="00804944">
        <w:tblPrEx>
          <w:tblLook w:val="0000" w:firstRow="0" w:lastRow="0" w:firstColumn="0" w:lastColumn="0" w:noHBand="0" w:noVBand="0"/>
        </w:tblPrEx>
        <w:trPr>
          <w:trHeight w:val="240"/>
        </w:trPr>
        <w:tc>
          <w:tcPr>
            <w:tcW w:w="3886" w:type="dxa"/>
            <w:shd w:val="clear" w:color="auto" w:fill="auto"/>
          </w:tcPr>
          <w:p w14:paraId="32FD78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412" w:type="dxa"/>
            <w:shd w:val="clear" w:color="auto" w:fill="auto"/>
          </w:tcPr>
          <w:p w14:paraId="789FB1F6" w14:textId="6829DBF1" w:rsidR="00494AE4" w:rsidRPr="00564B9D" w:rsidRDefault="00494AE4" w:rsidP="003978D7">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0B1C7A5" w14:textId="77777777" w:rsidTr="00804944">
        <w:tblPrEx>
          <w:tblLook w:val="0000" w:firstRow="0" w:lastRow="0" w:firstColumn="0" w:lastColumn="0" w:noHBand="0" w:noVBand="0"/>
        </w:tblPrEx>
        <w:trPr>
          <w:trHeight w:val="240"/>
        </w:trPr>
        <w:tc>
          <w:tcPr>
            <w:tcW w:w="3886" w:type="dxa"/>
            <w:shd w:val="clear" w:color="auto" w:fill="auto"/>
          </w:tcPr>
          <w:p w14:paraId="0B87A71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رجال الشرطة/الأمن لكل 000 </w:t>
            </w:r>
            <w:r w:rsidRPr="00564B9D">
              <w:rPr>
                <w:rFonts w:hint="cs"/>
                <w:sz w:val="20"/>
                <w:szCs w:val="20"/>
                <w:rtl/>
              </w:rPr>
              <w:t>1</w:t>
            </w:r>
            <w:r w:rsidRPr="00564B9D">
              <w:rPr>
                <w:sz w:val="20"/>
                <w:szCs w:val="20"/>
                <w:rtl/>
              </w:rPr>
              <w:t xml:space="preserve"> شخص </w:t>
            </w:r>
          </w:p>
        </w:tc>
        <w:tc>
          <w:tcPr>
            <w:tcW w:w="3412" w:type="dxa"/>
            <w:shd w:val="clear" w:color="auto" w:fill="auto"/>
          </w:tcPr>
          <w:p w14:paraId="6E2230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28 رجل إطفاء، 75 ضابط شرطة (بما في ذلك الجريمة والتحليل)، 14 - أمن الحدود (2019)</w:t>
            </w:r>
          </w:p>
        </w:tc>
      </w:tr>
      <w:tr w:rsidR="007B5A24" w:rsidRPr="00564B9D" w14:paraId="2DEFEA6E" w14:textId="77777777" w:rsidTr="00804944">
        <w:tblPrEx>
          <w:tblLook w:val="0000" w:firstRow="0" w:lastRow="0" w:firstColumn="0" w:lastColumn="0" w:noHBand="0" w:noVBand="0"/>
        </w:tblPrEx>
        <w:trPr>
          <w:trHeight w:val="240"/>
        </w:trPr>
        <w:tc>
          <w:tcPr>
            <w:tcW w:w="3886" w:type="dxa"/>
            <w:shd w:val="clear" w:color="auto" w:fill="auto"/>
          </w:tcPr>
          <w:p w14:paraId="2F44CF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w:t>
            </w:r>
            <w:r w:rsidRPr="00564B9D">
              <w:rPr>
                <w:rFonts w:hint="cs"/>
                <w:sz w:val="20"/>
                <w:szCs w:val="20"/>
                <w:rtl/>
              </w:rPr>
              <w:t>1</w:t>
            </w:r>
            <w:r w:rsidRPr="00564B9D">
              <w:rPr>
                <w:sz w:val="20"/>
                <w:szCs w:val="20"/>
                <w:rtl/>
              </w:rPr>
              <w:t xml:space="preserve"> شخص</w:t>
            </w:r>
          </w:p>
        </w:tc>
        <w:tc>
          <w:tcPr>
            <w:tcW w:w="3412" w:type="dxa"/>
            <w:shd w:val="clear" w:color="auto" w:fill="auto"/>
          </w:tcPr>
          <w:p w14:paraId="7DD34AF7" w14:textId="2F490031"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0,2 (</w:t>
            </w:r>
            <w:r w:rsidR="003978D7" w:rsidRPr="00564B9D">
              <w:rPr>
                <w:rFonts w:hint="cs"/>
                <w:sz w:val="20"/>
                <w:szCs w:val="20"/>
                <w:rtl/>
              </w:rPr>
              <w:t xml:space="preserve">قاضٍ </w:t>
            </w:r>
            <w:r w:rsidRPr="00564B9D">
              <w:rPr>
                <w:rFonts w:hint="cs"/>
                <w:sz w:val="20"/>
                <w:szCs w:val="20"/>
                <w:rtl/>
              </w:rPr>
              <w:t>إقليمي واحد)</w:t>
            </w:r>
          </w:p>
        </w:tc>
      </w:tr>
      <w:tr w:rsidR="007B5A24" w:rsidRPr="00564B9D" w14:paraId="13A5A754" w14:textId="77777777" w:rsidTr="00804944">
        <w:tblPrEx>
          <w:tblLook w:val="0000" w:firstRow="0" w:lastRow="0" w:firstColumn="0" w:lastColumn="0" w:noHBand="0" w:noVBand="0"/>
        </w:tblPrEx>
        <w:trPr>
          <w:trHeight w:val="240"/>
        </w:trPr>
        <w:tc>
          <w:tcPr>
            <w:tcW w:w="3886" w:type="dxa"/>
            <w:shd w:val="clear" w:color="auto" w:fill="auto"/>
          </w:tcPr>
          <w:p w14:paraId="68014B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3412" w:type="dxa"/>
            <w:shd w:val="clear" w:color="auto" w:fill="auto"/>
          </w:tcPr>
          <w:p w14:paraId="14C639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D80F8C3" w14:textId="77777777" w:rsidTr="00804944">
        <w:tblPrEx>
          <w:tblLook w:val="0000" w:firstRow="0" w:lastRow="0" w:firstColumn="0" w:lastColumn="0" w:noHBand="0" w:noVBand="0"/>
        </w:tblPrEx>
        <w:trPr>
          <w:trHeight w:val="240"/>
        </w:trPr>
        <w:tc>
          <w:tcPr>
            <w:tcW w:w="3886" w:type="dxa"/>
            <w:shd w:val="clear" w:color="auto" w:fill="auto"/>
          </w:tcPr>
          <w:p w14:paraId="5510FA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3412" w:type="dxa"/>
            <w:shd w:val="clear" w:color="auto" w:fill="auto"/>
          </w:tcPr>
          <w:p w14:paraId="0759DD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لا يوجد نظام للمساعدة القانونية </w:t>
            </w:r>
          </w:p>
        </w:tc>
      </w:tr>
      <w:tr w:rsidR="007B5A24" w:rsidRPr="00564B9D" w14:paraId="182D54B3" w14:textId="77777777" w:rsidTr="00804944">
        <w:tblPrEx>
          <w:tblLook w:val="0000" w:firstRow="0" w:lastRow="0" w:firstColumn="0" w:lastColumn="0" w:noHBand="0" w:noVBand="0"/>
        </w:tblPrEx>
        <w:trPr>
          <w:trHeight w:val="240"/>
        </w:trPr>
        <w:tc>
          <w:tcPr>
            <w:tcW w:w="3886" w:type="dxa"/>
            <w:tcBorders>
              <w:bottom w:val="single" w:sz="12" w:space="0" w:color="auto"/>
            </w:tcBorders>
            <w:shd w:val="clear" w:color="auto" w:fill="auto"/>
          </w:tcPr>
          <w:p w14:paraId="77D412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 xml:space="preserve">نسبة الضحايا الذين تم تعويضهم بعد صدور الحكم القضائي، بحسب نوع الجريمة. </w:t>
            </w:r>
          </w:p>
        </w:tc>
        <w:tc>
          <w:tcPr>
            <w:tcW w:w="3412" w:type="dxa"/>
            <w:tcBorders>
              <w:bottom w:val="single" w:sz="12" w:space="0" w:color="auto"/>
            </w:tcBorders>
            <w:shd w:val="clear" w:color="auto" w:fill="auto"/>
          </w:tcPr>
          <w:p w14:paraId="1DD890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لا يوجد نظام للتعويض </w:t>
            </w:r>
          </w:p>
        </w:tc>
      </w:tr>
    </w:tbl>
    <w:p w14:paraId="1E171FB6" w14:textId="77777777" w:rsidR="00494AE4" w:rsidRPr="00564B9D" w:rsidRDefault="00494AE4" w:rsidP="00494AE4">
      <w:pPr>
        <w:pStyle w:val="H1GA"/>
        <w:rPr>
          <w:rtl/>
        </w:rPr>
      </w:pPr>
      <w:r w:rsidRPr="00564B9D">
        <w:rPr>
          <w:rtl/>
        </w:rPr>
        <w:tab/>
      </w:r>
      <w:r w:rsidRPr="00564B9D">
        <w:rPr>
          <w:rFonts w:hint="cs"/>
          <w:rtl/>
        </w:rPr>
        <w:t xml:space="preserve"> </w:t>
      </w:r>
      <w:bookmarkStart w:id="247" w:name="_Toc123044164"/>
      <w:bookmarkStart w:id="248" w:name="_Toc123044387"/>
      <w:bookmarkStart w:id="249" w:name="_Toc123044648"/>
      <w:bookmarkStart w:id="250" w:name="_Toc123044910"/>
      <w:r w:rsidRPr="00564B9D">
        <w:rPr>
          <w:rFonts w:hint="cs"/>
          <w:rtl/>
        </w:rPr>
        <w:t>باء-</w:t>
      </w:r>
      <w:r w:rsidRPr="00564B9D">
        <w:rPr>
          <w:rtl/>
        </w:rPr>
        <w:tab/>
        <w:t>الهيكل الدستوري والسياسي والقانوني</w:t>
      </w:r>
      <w:bookmarkEnd w:id="247"/>
      <w:bookmarkEnd w:id="248"/>
      <w:bookmarkEnd w:id="249"/>
      <w:bookmarkEnd w:id="250"/>
    </w:p>
    <w:p w14:paraId="782843EF" w14:textId="77777777" w:rsidR="00494AE4" w:rsidRPr="00564B9D" w:rsidRDefault="00494AE4" w:rsidP="00494AE4">
      <w:pPr>
        <w:pStyle w:val="SingleTxtGA"/>
        <w:rPr>
          <w:rtl/>
        </w:rPr>
      </w:pPr>
      <w:r w:rsidRPr="00564B9D">
        <w:rPr>
          <w:rtl/>
        </w:rPr>
        <w:t>114-</w:t>
      </w:r>
      <w:r w:rsidRPr="00564B9D">
        <w:rPr>
          <w:rtl/>
        </w:rPr>
        <w:tab/>
      </w:r>
      <w:r w:rsidRPr="00564B9D">
        <w:rPr>
          <w:rFonts w:hint="cs"/>
          <w:rtl/>
        </w:rPr>
        <w:t>وُضع دستور جديد من خلال القانون الدستوري لمونتسيرات لعام 2010</w:t>
      </w:r>
      <w:r w:rsidRPr="00564B9D">
        <w:rPr>
          <w:vertAlign w:val="superscript"/>
          <w:rtl/>
        </w:rPr>
        <w:t>(</w:t>
      </w:r>
      <w:r w:rsidRPr="00564B9D">
        <w:rPr>
          <w:rStyle w:val="FootnoteReference"/>
          <w:rFonts w:cs="Simplified Arabic"/>
          <w:b w:val="0"/>
          <w:sz w:val="22"/>
          <w:szCs w:val="22"/>
          <w:rtl/>
          <w:lang w:val="en-US"/>
        </w:rPr>
        <w:footnoteReference w:id="273"/>
      </w:r>
      <w:r w:rsidRPr="00564B9D">
        <w:rPr>
          <w:vertAlign w:val="superscript"/>
          <w:rtl/>
        </w:rPr>
        <w:t>)</w:t>
      </w:r>
      <w:r w:rsidRPr="00564B9D">
        <w:rPr>
          <w:rFonts w:hint="cs"/>
          <w:rtl/>
        </w:rPr>
        <w:t>.</w:t>
      </w:r>
    </w:p>
    <w:p w14:paraId="3BC31838" w14:textId="77777777" w:rsidR="00494AE4" w:rsidRPr="00564B9D" w:rsidRDefault="00494AE4" w:rsidP="00494AE4">
      <w:pPr>
        <w:pStyle w:val="H23GA"/>
        <w:rPr>
          <w:rtl/>
        </w:rPr>
      </w:pPr>
      <w:r w:rsidRPr="00564B9D">
        <w:rPr>
          <w:rtl/>
        </w:rPr>
        <w:tab/>
      </w:r>
      <w:r w:rsidRPr="00564B9D">
        <w:rPr>
          <w:rtl/>
        </w:rPr>
        <w:tab/>
      </w:r>
      <w:r w:rsidRPr="00564B9D">
        <w:rPr>
          <w:rFonts w:hint="cs"/>
          <w:rtl/>
        </w:rPr>
        <w:t>الجمعية التشريعية</w:t>
      </w:r>
    </w:p>
    <w:p w14:paraId="4684E181" w14:textId="77777777" w:rsidR="00494AE4" w:rsidRPr="00564B9D" w:rsidRDefault="00494AE4" w:rsidP="00494AE4">
      <w:pPr>
        <w:pStyle w:val="SingleTxtGA"/>
        <w:rPr>
          <w:rtl/>
        </w:rPr>
      </w:pPr>
      <w:r w:rsidRPr="00564B9D">
        <w:rPr>
          <w:rFonts w:hint="cs"/>
          <w:rtl/>
        </w:rPr>
        <w:t>115</w:t>
      </w:r>
      <w:r w:rsidRPr="00564B9D">
        <w:rPr>
          <w:rtl/>
        </w:rPr>
        <w:t>-</w:t>
      </w:r>
      <w:r w:rsidRPr="00564B9D">
        <w:rPr>
          <w:rtl/>
        </w:rPr>
        <w:tab/>
      </w:r>
      <w:r w:rsidRPr="00564B9D">
        <w:rPr>
          <w:rFonts w:hint="cs"/>
          <w:rtl/>
        </w:rPr>
        <w:t>تتألف الجمعية التشريعية من تسعة أعضاء مُنتخبين وعضوين معينين بحكم منصبهما، وهما النائب العام ووزير المالية.</w:t>
      </w:r>
    </w:p>
    <w:p w14:paraId="72CBDE70"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p>
    <w:p w14:paraId="122160F5" w14:textId="77777777" w:rsidR="00494AE4" w:rsidRPr="00564B9D" w:rsidRDefault="00494AE4" w:rsidP="00494AE4">
      <w:pPr>
        <w:pStyle w:val="SingleTxtGA"/>
        <w:rPr>
          <w:rtl/>
        </w:rPr>
      </w:pPr>
      <w:r w:rsidRPr="00564B9D">
        <w:rPr>
          <w:rFonts w:hint="cs"/>
          <w:rtl/>
        </w:rPr>
        <w:t>116</w:t>
      </w:r>
      <w:r w:rsidRPr="00564B9D">
        <w:rPr>
          <w:rtl/>
        </w:rPr>
        <w:t>-</w:t>
      </w:r>
      <w:r w:rsidRPr="00564B9D">
        <w:rPr>
          <w:rtl/>
        </w:rPr>
        <w:tab/>
      </w:r>
      <w:r w:rsidRPr="00564B9D">
        <w:rPr>
          <w:rFonts w:hint="cs"/>
          <w:rtl/>
        </w:rPr>
        <w:t>تُسند السلطة التنفيذية إلى العاهل ويمارسها الحاكم لدى صاحب الجلالة بالنيابة عنه. ويتألف مجلس الوزراء من رئيس للوزراء وثلاثة وزراء آخرين (يعينهم جميعهم الحاكم) وعضوين معينين بحكم منصبهما (وهما النائب العام ووزير المالية). وتسند إلى مجلس الوزراء بمهمة إدارة حكومة مونتسيرات ومراقبتها بوجه عام ويعتبر مسؤولاً بصورة جماعية عنها أمام الجمعية التشريعية.</w:t>
      </w:r>
    </w:p>
    <w:p w14:paraId="25914AA2"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p>
    <w:p w14:paraId="51E8E219" w14:textId="77777777" w:rsidR="00494AE4" w:rsidRPr="00564B9D" w:rsidRDefault="00494AE4" w:rsidP="00494AE4">
      <w:pPr>
        <w:pStyle w:val="SingleTxtGA"/>
        <w:rPr>
          <w:rtl/>
        </w:rPr>
      </w:pPr>
      <w:r w:rsidRPr="00564B9D">
        <w:rPr>
          <w:rFonts w:hint="cs"/>
          <w:rtl/>
        </w:rPr>
        <w:t>117</w:t>
      </w:r>
      <w:r w:rsidRPr="00564B9D">
        <w:rPr>
          <w:rtl/>
        </w:rPr>
        <w:t>-</w:t>
      </w:r>
      <w:r w:rsidRPr="00564B9D">
        <w:rPr>
          <w:rtl/>
        </w:rPr>
        <w:tab/>
      </w:r>
      <w:r w:rsidRPr="00564B9D">
        <w:rPr>
          <w:rFonts w:hint="cs"/>
          <w:rtl/>
        </w:rPr>
        <w:t>المحاكم الموجودة في مونتسيرات هي: المحكمة الجزئية (محلية)؛ والمحكمة العليا لشرق الكاريبي (التي تشمل المحكمة العليا ومحكمة الاستئناف). وتنظر في الطعون اللجنة القضائية للمجلس الملكي الخاص في لندن.</w:t>
      </w:r>
    </w:p>
    <w:p w14:paraId="6E36AA3A" w14:textId="77777777" w:rsidR="00494AE4" w:rsidRPr="00564B9D" w:rsidRDefault="00494AE4" w:rsidP="00494AE4">
      <w:pPr>
        <w:pStyle w:val="H23GA"/>
        <w:rPr>
          <w:rtl/>
        </w:rPr>
      </w:pPr>
      <w:r w:rsidRPr="00564B9D">
        <w:rPr>
          <w:rtl/>
        </w:rPr>
        <w:tab/>
      </w:r>
      <w:r w:rsidRPr="00564B9D">
        <w:rPr>
          <w:rtl/>
        </w:rPr>
        <w:tab/>
      </w:r>
      <w:r w:rsidRPr="00564B9D">
        <w:rPr>
          <w:rFonts w:hint="cs"/>
          <w:rtl/>
        </w:rPr>
        <w:t>المنظمات غير الحكومية</w:t>
      </w:r>
    </w:p>
    <w:p w14:paraId="422D6869" w14:textId="77777777" w:rsidR="00494AE4" w:rsidRPr="00564B9D" w:rsidRDefault="00494AE4" w:rsidP="00494AE4">
      <w:pPr>
        <w:pStyle w:val="SingleTxtGA"/>
        <w:rPr>
          <w:rtl/>
        </w:rPr>
      </w:pPr>
      <w:r w:rsidRPr="00564B9D">
        <w:rPr>
          <w:rFonts w:hint="cs"/>
          <w:rtl/>
        </w:rPr>
        <w:t>118</w:t>
      </w:r>
      <w:r w:rsidRPr="00564B9D">
        <w:rPr>
          <w:rtl/>
        </w:rPr>
        <w:t>-</w:t>
      </w:r>
      <w:r w:rsidRPr="00564B9D">
        <w:rPr>
          <w:rtl/>
        </w:rPr>
        <w:tab/>
      </w:r>
      <w:r w:rsidRPr="00564B9D">
        <w:rPr>
          <w:rFonts w:hint="cs"/>
          <w:rtl/>
        </w:rPr>
        <w:t>توجد في مونتسيرات أربع منظمات غير حكومية مسجلة (تعرف "بالجمعيات الخيرية").</w:t>
      </w:r>
    </w:p>
    <w:p w14:paraId="630B4900" w14:textId="77777777" w:rsidR="00494AE4" w:rsidRPr="00564B9D" w:rsidRDefault="00494AE4" w:rsidP="00494AE4">
      <w:pPr>
        <w:pStyle w:val="HChGA"/>
        <w:rPr>
          <w:rtl/>
        </w:rPr>
      </w:pPr>
      <w:r w:rsidRPr="00564B9D">
        <w:rPr>
          <w:rtl/>
        </w:rPr>
        <w:tab/>
      </w:r>
      <w:bookmarkStart w:id="251" w:name="_Toc123044165"/>
      <w:bookmarkStart w:id="252" w:name="_Toc123044388"/>
      <w:bookmarkStart w:id="253" w:name="_Toc123044649"/>
      <w:bookmarkStart w:id="254" w:name="_Toc123044911"/>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251"/>
      <w:bookmarkEnd w:id="252"/>
      <w:bookmarkEnd w:id="253"/>
      <w:bookmarkEnd w:id="254"/>
    </w:p>
    <w:p w14:paraId="42FC826E" w14:textId="77777777" w:rsidR="00494AE4" w:rsidRPr="00564B9D" w:rsidRDefault="00494AE4" w:rsidP="00494AE4">
      <w:pPr>
        <w:pStyle w:val="H1GA"/>
        <w:rPr>
          <w:rtl/>
        </w:rPr>
      </w:pPr>
      <w:r w:rsidRPr="00564B9D">
        <w:rPr>
          <w:rtl/>
        </w:rPr>
        <w:tab/>
      </w:r>
      <w:bookmarkStart w:id="255" w:name="_Toc123044166"/>
      <w:bookmarkStart w:id="256" w:name="_Toc123044389"/>
      <w:bookmarkStart w:id="257" w:name="_Toc123044650"/>
      <w:bookmarkStart w:id="258" w:name="_Toc123044912"/>
      <w:r w:rsidRPr="00564B9D">
        <w:rPr>
          <w:rtl/>
        </w:rPr>
        <w:t>ألف-</w:t>
      </w:r>
      <w:r w:rsidRPr="00564B9D">
        <w:rPr>
          <w:rtl/>
        </w:rPr>
        <w:tab/>
      </w:r>
      <w:r w:rsidRPr="00564B9D">
        <w:rPr>
          <w:rFonts w:hint="cs"/>
          <w:rtl/>
        </w:rPr>
        <w:t>قبول معايير حقوق الإنسان الدولية</w:t>
      </w:r>
      <w:bookmarkEnd w:id="255"/>
      <w:bookmarkEnd w:id="256"/>
      <w:bookmarkEnd w:id="257"/>
      <w:bookmarkEnd w:id="258"/>
    </w:p>
    <w:p w14:paraId="6C249258" w14:textId="77777777" w:rsidR="00494AE4" w:rsidRPr="00564B9D" w:rsidRDefault="00494AE4" w:rsidP="00494AE4">
      <w:pPr>
        <w:pStyle w:val="SingleTxtGA"/>
        <w:rPr>
          <w:rtl/>
        </w:rPr>
      </w:pPr>
      <w:r w:rsidRPr="00564B9D">
        <w:rPr>
          <w:rtl/>
        </w:rPr>
        <w:t>119-</w:t>
      </w:r>
      <w:r w:rsidRPr="00564B9D">
        <w:rPr>
          <w:rtl/>
        </w:rPr>
        <w:tab/>
        <w:t xml:space="preserve">تم </w:t>
      </w:r>
      <w:r w:rsidRPr="00564B9D">
        <w:rPr>
          <w:rFonts w:hint="cs"/>
          <w:rtl/>
        </w:rPr>
        <w:t>توسيع نطاق</w:t>
      </w:r>
      <w:r w:rsidRPr="00564B9D">
        <w:rPr>
          <w:rtl/>
        </w:rPr>
        <w:t xml:space="preserve"> الصكوك الدولية الرئيسية التالية لتشمل مونتسيرات.</w:t>
      </w:r>
    </w:p>
    <w:p w14:paraId="520F38BF"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2D00DE1D"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مناهضة التعذيب وغيره من ضروب المعاملة أو العقوبة القاسية أو اللاإنسانية أو المهينة؛ واتفاقية حقوق الطفل.</w:t>
      </w:r>
    </w:p>
    <w:p w14:paraId="1555D980"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اتفاقيات حقوق الإنسان الأخرى وذات الصلة التابعة للأمم المتحدة</w:t>
      </w:r>
    </w:p>
    <w:p w14:paraId="1985CA9C"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المتعلقة بوضع اللاجئين (وبروتوكولها لعام 1967)؛ الاتفاقية بشأن خفض حالات انعدام الجنسية؛ نظام روما الأساسي للمحكمة الجنائية الدولية.</w:t>
      </w:r>
    </w:p>
    <w:p w14:paraId="3CBA849C" w14:textId="77777777" w:rsidR="00494AE4" w:rsidRPr="00564B9D" w:rsidRDefault="00494AE4" w:rsidP="00494AE4">
      <w:pPr>
        <w:pStyle w:val="H23GA"/>
      </w:pPr>
      <w:r w:rsidRPr="00564B9D">
        <w:rPr>
          <w:rtl/>
        </w:rPr>
        <w:tab/>
      </w:r>
      <w:r w:rsidRPr="00564B9D">
        <w:rPr>
          <w:rtl/>
        </w:rPr>
        <w:tab/>
      </w:r>
      <w:r w:rsidRPr="00564B9D">
        <w:rPr>
          <w:rFonts w:hint="cs"/>
          <w:rtl/>
        </w:rPr>
        <w:t>اتفاقيات منظمة العمل الدولية</w:t>
      </w:r>
    </w:p>
    <w:p w14:paraId="5A7E2884" w14:textId="77777777" w:rsidR="00494AE4" w:rsidRPr="00564B9D" w:rsidRDefault="00494AE4" w:rsidP="00494AE4">
      <w:pPr>
        <w:pStyle w:val="Bullet1GA"/>
        <w:numPr>
          <w:ilvl w:val="0"/>
          <w:numId w:val="14"/>
        </w:numPr>
        <w:tabs>
          <w:tab w:val="clear" w:pos="1361"/>
          <w:tab w:val="num" w:pos="1475"/>
        </w:tabs>
        <w:ind w:left="1985" w:hanging="545"/>
      </w:pP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C097</w:t>
      </w:r>
      <w:r w:rsidRPr="00564B9D">
        <w:rPr>
          <w:rFonts w:hint="cs"/>
          <w:rtl/>
        </w:rPr>
        <w:t xml:space="preserve"> - الاتفاقية (المراجعة) بشأن الهجرة من أجل العمل؛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xml:space="preserve"> - اتفاقية الضمان الاجتماعي (المعايير الدنيا)؛ </w:t>
      </w:r>
      <w:r w:rsidRPr="00564B9D">
        <w:t>C105</w:t>
      </w:r>
      <w:r w:rsidRPr="00564B9D">
        <w:rPr>
          <w:rFonts w:hint="cs"/>
          <w:rtl/>
        </w:rPr>
        <w:t xml:space="preserve"> - اتفاقية إلغاء العمل الجبري.</w:t>
      </w:r>
    </w:p>
    <w:p w14:paraId="34E5339C"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الأمم المتحدة للتربية والعلوم والثقافة (اليونسكو)</w:t>
      </w:r>
    </w:p>
    <w:p w14:paraId="57F9B17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مكافحة التمييز في مجال التعليم.</w:t>
      </w:r>
    </w:p>
    <w:p w14:paraId="211A6BF1"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0DABAF21"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بشأن بالجوانب المدنية لاختطاف الأطفال على الصعيد الدولي.</w:t>
      </w:r>
    </w:p>
    <w:p w14:paraId="0E6A4FC5"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والمعاهدات الأخرى المتعلقة بالقانون الإنساني الدولي</w:t>
      </w:r>
    </w:p>
    <w:p w14:paraId="1F82F6AF"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7E3E614D"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المتعلقة بحقوق الإنسان</w:t>
      </w:r>
    </w:p>
    <w:p w14:paraId="3A27BCFC"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2189ECAF" w14:textId="77777777" w:rsidR="00494AE4" w:rsidRPr="00564B9D" w:rsidRDefault="00494AE4" w:rsidP="00494AE4">
      <w:pPr>
        <w:pStyle w:val="H1GA"/>
        <w:rPr>
          <w:rtl/>
        </w:rPr>
      </w:pPr>
      <w:r w:rsidRPr="00564B9D">
        <w:rPr>
          <w:rtl/>
        </w:rPr>
        <w:tab/>
      </w:r>
      <w:bookmarkStart w:id="259" w:name="_Toc123044167"/>
      <w:bookmarkStart w:id="260" w:name="_Toc123044390"/>
      <w:bookmarkStart w:id="261" w:name="_Toc123044651"/>
      <w:bookmarkStart w:id="262" w:name="_Toc123044913"/>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259"/>
      <w:bookmarkEnd w:id="260"/>
      <w:bookmarkEnd w:id="261"/>
      <w:bookmarkEnd w:id="262"/>
    </w:p>
    <w:p w14:paraId="4349C6F2" w14:textId="77777777" w:rsidR="00494AE4" w:rsidRPr="00564B9D" w:rsidRDefault="00494AE4" w:rsidP="00494AE4">
      <w:pPr>
        <w:pStyle w:val="SingleTxtGA"/>
        <w:rPr>
          <w:rtl/>
        </w:rPr>
      </w:pPr>
      <w:r w:rsidRPr="00564B9D">
        <w:rPr>
          <w:rFonts w:hint="cs"/>
          <w:rtl/>
        </w:rPr>
        <w:t>120</w:t>
      </w:r>
      <w:r w:rsidRPr="00564B9D">
        <w:rPr>
          <w:rtl/>
        </w:rPr>
        <w:t>-</w:t>
      </w:r>
      <w:r w:rsidRPr="00564B9D">
        <w:rPr>
          <w:rtl/>
        </w:rPr>
        <w:tab/>
      </w:r>
      <w:r w:rsidRPr="00564B9D">
        <w:rPr>
          <w:rFonts w:hint="cs"/>
          <w:rtl/>
        </w:rPr>
        <w:t>ينص الجزء الأول ("حقوق الفرد وحرياته الأساسية") من القانون الدستوري لمونتسيرات لعام 2010 على حماية حقوق الإنسان (بما في ذلك مكافحة التمييز) على المستوى التشريعي. وبموجب الفرع 20 من الدستور، يجوز لأي شخص أن يرفع طلباً إلى المحكمة العليا لمساعدته إذا ما ارتأى أن الأحكام الواردة في القسم الأول قد انتُهكت.</w:t>
      </w:r>
    </w:p>
    <w:p w14:paraId="006215CC" w14:textId="77777777" w:rsidR="00494AE4" w:rsidRPr="00564B9D" w:rsidRDefault="00494AE4" w:rsidP="00494AE4">
      <w:pPr>
        <w:pStyle w:val="H1GA"/>
        <w:rPr>
          <w:rtl/>
        </w:rPr>
      </w:pPr>
      <w:r w:rsidRPr="00564B9D">
        <w:rPr>
          <w:rtl/>
        </w:rPr>
        <w:tab/>
      </w:r>
      <w:bookmarkStart w:id="263" w:name="_Toc123044168"/>
      <w:bookmarkStart w:id="264" w:name="_Toc123044391"/>
      <w:bookmarkStart w:id="265" w:name="_Toc123044652"/>
      <w:bookmarkStart w:id="266" w:name="_Toc123044914"/>
      <w:r w:rsidRPr="00564B9D">
        <w:rPr>
          <w:rFonts w:hint="cs"/>
          <w:rtl/>
        </w:rPr>
        <w:t>جيم</w:t>
      </w:r>
      <w:r w:rsidRPr="00564B9D">
        <w:rPr>
          <w:rtl/>
        </w:rPr>
        <w:t>-</w:t>
      </w:r>
      <w:r w:rsidRPr="00564B9D">
        <w:rPr>
          <w:rtl/>
        </w:rPr>
        <w:tab/>
      </w:r>
      <w:r w:rsidRPr="00564B9D">
        <w:rPr>
          <w:rFonts w:hint="cs"/>
          <w:rtl/>
        </w:rPr>
        <w:t>الإطار القانوني لحماية حقوق الإنسان على الصعيد الوطني</w:t>
      </w:r>
      <w:bookmarkEnd w:id="263"/>
      <w:bookmarkEnd w:id="264"/>
      <w:bookmarkEnd w:id="265"/>
      <w:bookmarkEnd w:id="266"/>
    </w:p>
    <w:p w14:paraId="4DEAEB74" w14:textId="77777777" w:rsidR="00494AE4" w:rsidRPr="00564B9D" w:rsidRDefault="00494AE4" w:rsidP="00494AE4">
      <w:pPr>
        <w:pStyle w:val="SingleTxtGA"/>
        <w:rPr>
          <w:rtl/>
        </w:rPr>
      </w:pPr>
      <w:r w:rsidRPr="00564B9D">
        <w:rPr>
          <w:rFonts w:hint="cs"/>
          <w:rtl/>
        </w:rPr>
        <w:t>121</w:t>
      </w:r>
      <w:r w:rsidRPr="00564B9D">
        <w:rPr>
          <w:rtl/>
        </w:rPr>
        <w:t>-</w:t>
      </w:r>
      <w:r w:rsidRPr="00564B9D">
        <w:rPr>
          <w:rtl/>
        </w:rPr>
        <w:tab/>
      </w:r>
      <w:r w:rsidRPr="00564B9D">
        <w:rPr>
          <w:rFonts w:hint="cs"/>
          <w:rtl/>
        </w:rPr>
        <w:t>انظر الفرع باء.</w:t>
      </w:r>
    </w:p>
    <w:p w14:paraId="4857B1C2" w14:textId="77777777" w:rsidR="00494AE4" w:rsidRPr="00564B9D" w:rsidRDefault="00494AE4" w:rsidP="00494AE4">
      <w:pPr>
        <w:pStyle w:val="HChGA"/>
        <w:rPr>
          <w:rtl/>
        </w:rPr>
      </w:pPr>
      <w:r w:rsidRPr="00564B9D">
        <w:rPr>
          <w:rtl/>
        </w:rPr>
        <w:tab/>
      </w:r>
      <w:bookmarkStart w:id="267" w:name="_Toc123044169"/>
      <w:bookmarkStart w:id="268" w:name="_Toc123044392"/>
      <w:bookmarkStart w:id="269" w:name="_Toc123044653"/>
      <w:bookmarkStart w:id="270" w:name="_Toc123044915"/>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267"/>
      <w:bookmarkEnd w:id="268"/>
      <w:bookmarkEnd w:id="269"/>
      <w:bookmarkEnd w:id="270"/>
    </w:p>
    <w:p w14:paraId="674B47ED" w14:textId="77777777" w:rsidR="00494AE4" w:rsidRPr="00564B9D" w:rsidRDefault="00494AE4" w:rsidP="00494AE4">
      <w:pPr>
        <w:pStyle w:val="SingleTxtGA"/>
        <w:rPr>
          <w:rtl/>
        </w:rPr>
      </w:pPr>
      <w:r w:rsidRPr="00564B9D">
        <w:rPr>
          <w:rFonts w:hint="cs"/>
          <w:rtl/>
        </w:rPr>
        <w:t>122</w:t>
      </w:r>
      <w:r w:rsidRPr="00564B9D">
        <w:rPr>
          <w:rtl/>
        </w:rPr>
        <w:t>-</w:t>
      </w:r>
      <w:r w:rsidRPr="00564B9D">
        <w:rPr>
          <w:rtl/>
        </w:rPr>
        <w:tab/>
      </w:r>
      <w:r w:rsidRPr="00564B9D">
        <w:rPr>
          <w:rFonts w:hint="cs"/>
          <w:rtl/>
        </w:rPr>
        <w:t>انظر الفرع باء.</w:t>
      </w:r>
    </w:p>
    <w:p w14:paraId="4E1330E1" w14:textId="77777777" w:rsidR="00494AE4" w:rsidRPr="00564B9D" w:rsidRDefault="00494AE4" w:rsidP="00494AE4">
      <w:pPr>
        <w:pStyle w:val="HChGA"/>
        <w:rPr>
          <w:rtl/>
        </w:rPr>
      </w:pPr>
      <w:r w:rsidRPr="00564B9D">
        <w:rPr>
          <w:rtl/>
        </w:rPr>
        <w:lastRenderedPageBreak/>
        <w:tab/>
      </w:r>
      <w:r w:rsidRPr="00564B9D">
        <w:rPr>
          <w:rtl/>
        </w:rPr>
        <w:tab/>
      </w:r>
      <w:bookmarkStart w:id="271" w:name="_Toc123044170"/>
      <w:bookmarkStart w:id="272" w:name="_Toc123044393"/>
      <w:bookmarkStart w:id="273" w:name="_Toc123044654"/>
      <w:bookmarkStart w:id="274" w:name="_Toc123044916"/>
      <w:r w:rsidRPr="00564B9D">
        <w:rPr>
          <w:rFonts w:hint="cs"/>
          <w:rtl/>
        </w:rPr>
        <w:t>بيتكيرن وهندرسون ودوسي وأوينو</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74"/>
      </w:r>
      <w:r w:rsidRPr="00564B9D">
        <w:rPr>
          <w:b w:val="0"/>
          <w:bCs w:val="0"/>
          <w:sz w:val="22"/>
          <w:szCs w:val="22"/>
          <w:vertAlign w:val="superscript"/>
          <w:rtl/>
        </w:rPr>
        <w:t>)</w:t>
      </w:r>
      <w:bookmarkEnd w:id="271"/>
      <w:bookmarkEnd w:id="272"/>
      <w:bookmarkEnd w:id="273"/>
      <w:bookmarkEnd w:id="274"/>
      <w:r w:rsidRPr="00564B9D">
        <w:rPr>
          <w:rFonts w:hint="cs"/>
          <w:rtl/>
        </w:rPr>
        <w:t xml:space="preserve"> </w:t>
      </w:r>
    </w:p>
    <w:p w14:paraId="51470326" w14:textId="77777777" w:rsidR="00494AE4" w:rsidRPr="00564B9D" w:rsidRDefault="00494AE4" w:rsidP="00494AE4">
      <w:pPr>
        <w:pStyle w:val="HChGA"/>
        <w:rPr>
          <w:rtl/>
        </w:rPr>
      </w:pPr>
      <w:r w:rsidRPr="00564B9D">
        <w:rPr>
          <w:rtl/>
        </w:rPr>
        <w:tab/>
      </w:r>
      <w:bookmarkStart w:id="275" w:name="_Toc123044171"/>
      <w:bookmarkStart w:id="276" w:name="_Toc123044394"/>
      <w:bookmarkStart w:id="277" w:name="_Toc123044655"/>
      <w:bookmarkStart w:id="278" w:name="_Toc123044917"/>
      <w:r w:rsidRPr="00564B9D">
        <w:rPr>
          <w:rFonts w:hint="cs"/>
          <w:rtl/>
        </w:rPr>
        <w:t>أولاً</w:t>
      </w:r>
      <w:r w:rsidRPr="00564B9D">
        <w:rPr>
          <w:rtl/>
        </w:rPr>
        <w:t>-</w:t>
      </w:r>
      <w:r w:rsidRPr="00564B9D">
        <w:rPr>
          <w:rtl/>
        </w:rPr>
        <w:tab/>
      </w:r>
      <w:r w:rsidRPr="00564B9D">
        <w:rPr>
          <w:rFonts w:hint="cs"/>
          <w:rtl/>
        </w:rPr>
        <w:t>معلومات عامة</w:t>
      </w:r>
      <w:bookmarkEnd w:id="275"/>
      <w:bookmarkEnd w:id="276"/>
      <w:bookmarkEnd w:id="277"/>
      <w:bookmarkEnd w:id="278"/>
    </w:p>
    <w:p w14:paraId="2C50B9B9" w14:textId="77777777" w:rsidR="00494AE4" w:rsidRPr="00564B9D" w:rsidRDefault="00494AE4" w:rsidP="00494AE4">
      <w:pPr>
        <w:pStyle w:val="H1GA"/>
        <w:rPr>
          <w:rtl/>
        </w:rPr>
      </w:pPr>
      <w:r w:rsidRPr="00564B9D">
        <w:rPr>
          <w:rtl/>
        </w:rPr>
        <w:tab/>
      </w:r>
      <w:bookmarkStart w:id="279" w:name="_Toc123044172"/>
      <w:bookmarkStart w:id="280" w:name="_Toc123044395"/>
      <w:bookmarkStart w:id="281" w:name="_Toc123044656"/>
      <w:bookmarkStart w:id="282" w:name="_Toc123044918"/>
      <w:r w:rsidRPr="00564B9D">
        <w:rPr>
          <w:rtl/>
        </w:rPr>
        <w:t>ألف-</w:t>
      </w:r>
      <w:r w:rsidRPr="00564B9D">
        <w:rPr>
          <w:rtl/>
        </w:rPr>
        <w:tab/>
        <w:t>الخصائص الديمغرافية والاقتصادية والاجتماعية والثقافية</w:t>
      </w:r>
      <w:bookmarkEnd w:id="279"/>
      <w:bookmarkEnd w:id="280"/>
      <w:bookmarkEnd w:id="281"/>
      <w:bookmarkEnd w:id="282"/>
    </w:p>
    <w:tbl>
      <w:tblPr>
        <w:bidiVisual/>
        <w:tblW w:w="8392" w:type="dxa"/>
        <w:tblInd w:w="1247" w:type="dxa"/>
        <w:tblLayout w:type="fixed"/>
        <w:tblCellMar>
          <w:right w:w="113" w:type="dxa"/>
        </w:tblCellMar>
        <w:tblLook w:val="01E0" w:firstRow="1" w:lastRow="1" w:firstColumn="1" w:lastColumn="1" w:noHBand="0" w:noVBand="0"/>
      </w:tblPr>
      <w:tblGrid>
        <w:gridCol w:w="5415"/>
        <w:gridCol w:w="2977"/>
      </w:tblGrid>
      <w:tr w:rsidR="007B5A24" w:rsidRPr="00564B9D" w14:paraId="680A77BF" w14:textId="77777777" w:rsidTr="00804944">
        <w:trPr>
          <w:trHeight w:val="240"/>
          <w:tblHeader/>
        </w:trPr>
        <w:tc>
          <w:tcPr>
            <w:tcW w:w="7172" w:type="dxa"/>
            <w:gridSpan w:val="2"/>
            <w:tcBorders>
              <w:top w:val="single" w:sz="4" w:space="0" w:color="auto"/>
              <w:bottom w:val="single" w:sz="12" w:space="0" w:color="auto"/>
            </w:tcBorders>
            <w:shd w:val="clear" w:color="auto" w:fill="auto"/>
            <w:vAlign w:val="bottom"/>
          </w:tcPr>
          <w:p w14:paraId="2FF1BDC8"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الديمغرافية</w:t>
            </w:r>
          </w:p>
        </w:tc>
      </w:tr>
      <w:tr w:rsidR="007B5A24" w:rsidRPr="00564B9D" w14:paraId="27A23305" w14:textId="77777777" w:rsidTr="00804944">
        <w:trPr>
          <w:trHeight w:val="240"/>
        </w:trPr>
        <w:tc>
          <w:tcPr>
            <w:tcW w:w="4628" w:type="dxa"/>
            <w:tcBorders>
              <w:top w:val="single" w:sz="12" w:space="0" w:color="auto"/>
            </w:tcBorders>
            <w:shd w:val="clear" w:color="auto" w:fill="auto"/>
          </w:tcPr>
          <w:p w14:paraId="74A0CF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2544" w:type="dxa"/>
            <w:tcBorders>
              <w:top w:val="single" w:sz="12" w:space="0" w:color="auto"/>
            </w:tcBorders>
            <w:shd w:val="clear" w:color="auto" w:fill="auto"/>
          </w:tcPr>
          <w:p w14:paraId="583C980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38</w:t>
            </w:r>
          </w:p>
        </w:tc>
      </w:tr>
      <w:tr w:rsidR="007B5A24" w:rsidRPr="00564B9D" w14:paraId="2F6A1021" w14:textId="77777777" w:rsidTr="00804944">
        <w:trPr>
          <w:trHeight w:val="240"/>
        </w:trPr>
        <w:tc>
          <w:tcPr>
            <w:tcW w:w="4628" w:type="dxa"/>
            <w:shd w:val="clear" w:color="auto" w:fill="auto"/>
          </w:tcPr>
          <w:p w14:paraId="148C09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2544" w:type="dxa"/>
            <w:shd w:val="clear" w:color="auto" w:fill="auto"/>
          </w:tcPr>
          <w:p w14:paraId="5B60E6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636BDA12" w14:textId="77777777" w:rsidTr="00804944">
        <w:trPr>
          <w:trHeight w:val="240"/>
        </w:trPr>
        <w:tc>
          <w:tcPr>
            <w:tcW w:w="4628" w:type="dxa"/>
            <w:shd w:val="clear" w:color="auto" w:fill="auto"/>
          </w:tcPr>
          <w:p w14:paraId="12F991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2544" w:type="dxa"/>
            <w:shd w:val="clear" w:color="auto" w:fill="auto"/>
          </w:tcPr>
          <w:p w14:paraId="0B3DF8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7,53</w:t>
            </w:r>
          </w:p>
        </w:tc>
      </w:tr>
      <w:tr w:rsidR="007B5A24" w:rsidRPr="00564B9D" w14:paraId="417345BE" w14:textId="77777777" w:rsidTr="00804944">
        <w:trPr>
          <w:trHeight w:val="240"/>
        </w:trPr>
        <w:tc>
          <w:tcPr>
            <w:tcW w:w="4628" w:type="dxa"/>
            <w:shd w:val="clear" w:color="auto" w:fill="auto"/>
          </w:tcPr>
          <w:p w14:paraId="3B99C9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2544" w:type="dxa"/>
            <w:shd w:val="clear" w:color="auto" w:fill="auto"/>
          </w:tcPr>
          <w:p w14:paraId="15D5AD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CF361DE" w14:textId="77777777" w:rsidTr="00804944">
        <w:trPr>
          <w:trHeight w:val="240"/>
        </w:trPr>
        <w:tc>
          <w:tcPr>
            <w:tcW w:w="4628" w:type="dxa"/>
            <w:shd w:val="clear" w:color="auto" w:fill="auto"/>
          </w:tcPr>
          <w:p w14:paraId="7E4769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2544" w:type="dxa"/>
            <w:shd w:val="clear" w:color="auto" w:fill="auto"/>
          </w:tcPr>
          <w:p w14:paraId="14AF1C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F28174E" w14:textId="77777777" w:rsidTr="00804944">
        <w:trPr>
          <w:trHeight w:val="240"/>
        </w:trPr>
        <w:tc>
          <w:tcPr>
            <w:tcW w:w="4628" w:type="dxa"/>
            <w:shd w:val="clear" w:color="auto" w:fill="auto"/>
          </w:tcPr>
          <w:p w14:paraId="3FFE46B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المجموعات الإثنية</w:t>
            </w:r>
          </w:p>
        </w:tc>
        <w:tc>
          <w:tcPr>
            <w:tcW w:w="2544" w:type="dxa"/>
            <w:shd w:val="clear" w:color="auto" w:fill="auto"/>
          </w:tcPr>
          <w:p w14:paraId="18EC5F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C560EA4" w14:textId="77777777" w:rsidTr="00804944">
        <w:trPr>
          <w:trHeight w:val="240"/>
        </w:trPr>
        <w:tc>
          <w:tcPr>
            <w:tcW w:w="4628" w:type="dxa"/>
            <w:shd w:val="clear" w:color="auto" w:fill="auto"/>
          </w:tcPr>
          <w:p w14:paraId="0012E4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التركيب العمري للسكان </w:t>
            </w:r>
          </w:p>
        </w:tc>
        <w:tc>
          <w:tcPr>
            <w:tcW w:w="2544" w:type="dxa"/>
            <w:shd w:val="clear" w:color="auto" w:fill="auto"/>
          </w:tcPr>
          <w:p w14:paraId="6FE341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37CB1E7" w14:textId="77777777" w:rsidTr="00804944">
        <w:trPr>
          <w:trHeight w:val="240"/>
        </w:trPr>
        <w:tc>
          <w:tcPr>
            <w:tcW w:w="4628" w:type="dxa"/>
            <w:shd w:val="clear" w:color="auto" w:fill="auto"/>
          </w:tcPr>
          <w:p w14:paraId="0C7CAA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2544" w:type="dxa"/>
            <w:shd w:val="clear" w:color="auto" w:fill="auto"/>
          </w:tcPr>
          <w:p w14:paraId="25A12E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13 في المائة</w:t>
            </w:r>
          </w:p>
        </w:tc>
      </w:tr>
      <w:tr w:rsidR="007B5A24" w:rsidRPr="00564B9D" w14:paraId="7136F1C7" w14:textId="77777777" w:rsidTr="00804944">
        <w:trPr>
          <w:trHeight w:val="240"/>
        </w:trPr>
        <w:tc>
          <w:tcPr>
            <w:tcW w:w="4628" w:type="dxa"/>
            <w:shd w:val="clear" w:color="auto" w:fill="auto"/>
          </w:tcPr>
          <w:p w14:paraId="51C1B80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2544" w:type="dxa"/>
            <w:shd w:val="clear" w:color="auto" w:fill="auto"/>
          </w:tcPr>
          <w:p w14:paraId="0FBD6E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24 في المائة</w:t>
            </w:r>
          </w:p>
        </w:tc>
      </w:tr>
      <w:tr w:rsidR="007B5A24" w:rsidRPr="00564B9D" w14:paraId="4436E641" w14:textId="77777777" w:rsidTr="00804944">
        <w:trPr>
          <w:trHeight w:val="240"/>
        </w:trPr>
        <w:tc>
          <w:tcPr>
            <w:tcW w:w="4628" w:type="dxa"/>
            <w:shd w:val="clear" w:color="auto" w:fill="auto"/>
          </w:tcPr>
          <w:p w14:paraId="63E660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المواليد </w:t>
            </w:r>
          </w:p>
        </w:tc>
        <w:tc>
          <w:tcPr>
            <w:tcW w:w="2544" w:type="dxa"/>
            <w:shd w:val="clear" w:color="auto" w:fill="auto"/>
          </w:tcPr>
          <w:p w14:paraId="1820FA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BEE478B" w14:textId="77777777" w:rsidTr="00804944">
        <w:trPr>
          <w:trHeight w:val="240"/>
        </w:trPr>
        <w:tc>
          <w:tcPr>
            <w:tcW w:w="4628" w:type="dxa"/>
            <w:shd w:val="clear" w:color="auto" w:fill="auto"/>
          </w:tcPr>
          <w:p w14:paraId="092C18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وفيات الرضّع </w:t>
            </w:r>
          </w:p>
        </w:tc>
        <w:tc>
          <w:tcPr>
            <w:tcW w:w="2544" w:type="dxa"/>
            <w:shd w:val="clear" w:color="auto" w:fill="auto"/>
          </w:tcPr>
          <w:p w14:paraId="7BBCFA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9F1CD32" w14:textId="77777777" w:rsidTr="00804944">
        <w:trPr>
          <w:trHeight w:val="240"/>
        </w:trPr>
        <w:tc>
          <w:tcPr>
            <w:tcW w:w="4628" w:type="dxa"/>
            <w:shd w:val="clear" w:color="auto" w:fill="auto"/>
          </w:tcPr>
          <w:p w14:paraId="1F3B54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w:t>
            </w:r>
          </w:p>
        </w:tc>
        <w:tc>
          <w:tcPr>
            <w:tcW w:w="2544" w:type="dxa"/>
            <w:shd w:val="clear" w:color="auto" w:fill="auto"/>
          </w:tcPr>
          <w:p w14:paraId="422469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E71DBA8" w14:textId="77777777" w:rsidTr="00804944">
        <w:trPr>
          <w:trHeight w:val="240"/>
        </w:trPr>
        <w:tc>
          <w:tcPr>
            <w:tcW w:w="4628" w:type="dxa"/>
            <w:shd w:val="clear" w:color="auto" w:fill="auto"/>
          </w:tcPr>
          <w:p w14:paraId="1C59A6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w:t>
            </w:r>
          </w:p>
        </w:tc>
        <w:tc>
          <w:tcPr>
            <w:tcW w:w="2544" w:type="dxa"/>
            <w:shd w:val="clear" w:color="auto" w:fill="auto"/>
          </w:tcPr>
          <w:p w14:paraId="36560E5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72EFEFB" w14:textId="77777777" w:rsidTr="00804944">
        <w:trPr>
          <w:trHeight w:val="240"/>
        </w:trPr>
        <w:tc>
          <w:tcPr>
            <w:tcW w:w="4628" w:type="dxa"/>
            <w:shd w:val="clear" w:color="auto" w:fill="auto"/>
          </w:tcPr>
          <w:p w14:paraId="110475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2544" w:type="dxa"/>
            <w:shd w:val="clear" w:color="auto" w:fill="auto"/>
          </w:tcPr>
          <w:p w14:paraId="732255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BBE8093" w14:textId="77777777" w:rsidTr="00804944">
        <w:trPr>
          <w:trHeight w:val="240"/>
        </w:trPr>
        <w:tc>
          <w:tcPr>
            <w:tcW w:w="4628" w:type="dxa"/>
            <w:shd w:val="clear" w:color="auto" w:fill="auto"/>
          </w:tcPr>
          <w:p w14:paraId="30F8A9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2544" w:type="dxa"/>
            <w:shd w:val="clear" w:color="auto" w:fill="auto"/>
          </w:tcPr>
          <w:p w14:paraId="4E9881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p>
        </w:tc>
      </w:tr>
      <w:tr w:rsidR="007B5A24" w:rsidRPr="00564B9D" w14:paraId="78447382" w14:textId="77777777" w:rsidTr="00804944">
        <w:trPr>
          <w:trHeight w:val="240"/>
        </w:trPr>
        <w:tc>
          <w:tcPr>
            <w:tcW w:w="4628" w:type="dxa"/>
            <w:shd w:val="clear" w:color="auto" w:fill="auto"/>
          </w:tcPr>
          <w:p w14:paraId="665768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رجال</w:t>
            </w:r>
          </w:p>
        </w:tc>
        <w:tc>
          <w:tcPr>
            <w:tcW w:w="2544" w:type="dxa"/>
            <w:shd w:val="clear" w:color="auto" w:fill="auto"/>
          </w:tcPr>
          <w:p w14:paraId="425CAC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85,5</w:t>
            </w:r>
          </w:p>
        </w:tc>
      </w:tr>
      <w:tr w:rsidR="007B5A24" w:rsidRPr="00564B9D" w14:paraId="2E29C8E7" w14:textId="77777777" w:rsidTr="00804944">
        <w:trPr>
          <w:trHeight w:val="240"/>
        </w:trPr>
        <w:tc>
          <w:tcPr>
            <w:tcW w:w="4628" w:type="dxa"/>
            <w:shd w:val="clear" w:color="auto" w:fill="auto"/>
          </w:tcPr>
          <w:p w14:paraId="751036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نساء </w:t>
            </w:r>
          </w:p>
        </w:tc>
        <w:tc>
          <w:tcPr>
            <w:tcW w:w="2544" w:type="dxa"/>
            <w:shd w:val="clear" w:color="auto" w:fill="auto"/>
          </w:tcPr>
          <w:p w14:paraId="09FF9C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85,5</w:t>
            </w:r>
          </w:p>
        </w:tc>
      </w:tr>
      <w:tr w:rsidR="007B5A24" w:rsidRPr="00564B9D" w14:paraId="7C2D0D91" w14:textId="77777777" w:rsidTr="00804944">
        <w:trPr>
          <w:trHeight w:val="240"/>
        </w:trPr>
        <w:tc>
          <w:tcPr>
            <w:tcW w:w="4628" w:type="dxa"/>
            <w:shd w:val="clear" w:color="auto" w:fill="auto"/>
          </w:tcPr>
          <w:p w14:paraId="140D00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2544" w:type="dxa"/>
            <w:shd w:val="clear" w:color="auto" w:fill="auto"/>
          </w:tcPr>
          <w:p w14:paraId="51DF3C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2,3</w:t>
            </w:r>
          </w:p>
        </w:tc>
      </w:tr>
      <w:tr w:rsidR="007B5A24" w:rsidRPr="00564B9D" w14:paraId="0AED3D4F" w14:textId="77777777" w:rsidTr="00804944">
        <w:trPr>
          <w:trHeight w:val="240"/>
        </w:trPr>
        <w:tc>
          <w:tcPr>
            <w:tcW w:w="4628" w:type="dxa"/>
            <w:shd w:val="clear" w:color="auto" w:fill="auto"/>
          </w:tcPr>
          <w:p w14:paraId="676E663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2544" w:type="dxa"/>
            <w:shd w:val="clear" w:color="auto" w:fill="auto"/>
          </w:tcPr>
          <w:p w14:paraId="115528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w:t>
            </w:r>
          </w:p>
        </w:tc>
      </w:tr>
      <w:tr w:rsidR="007B5A24" w:rsidRPr="00564B9D" w14:paraId="2D91BEB4" w14:textId="77777777" w:rsidTr="00804944">
        <w:trPr>
          <w:trHeight w:val="240"/>
        </w:trPr>
        <w:tc>
          <w:tcPr>
            <w:tcW w:w="4628" w:type="dxa"/>
            <w:tcBorders>
              <w:bottom w:val="single" w:sz="12" w:space="0" w:color="auto"/>
            </w:tcBorders>
            <w:shd w:val="clear" w:color="auto" w:fill="auto"/>
          </w:tcPr>
          <w:p w14:paraId="4A55ABF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2544" w:type="dxa"/>
            <w:tcBorders>
              <w:bottom w:val="single" w:sz="12" w:space="0" w:color="auto"/>
            </w:tcBorders>
            <w:shd w:val="clear" w:color="auto" w:fill="auto"/>
          </w:tcPr>
          <w:p w14:paraId="53B3A3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11 في المائة </w:t>
            </w:r>
          </w:p>
        </w:tc>
      </w:tr>
    </w:tbl>
    <w:p w14:paraId="4B4DD003"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5413"/>
        <w:gridCol w:w="2979"/>
      </w:tblGrid>
      <w:tr w:rsidR="007B5A24" w:rsidRPr="00564B9D" w14:paraId="2D84CAA6" w14:textId="77777777" w:rsidTr="00804944">
        <w:trPr>
          <w:trHeight w:val="240"/>
          <w:tblHeader/>
        </w:trPr>
        <w:tc>
          <w:tcPr>
            <w:tcW w:w="7191" w:type="dxa"/>
            <w:gridSpan w:val="2"/>
            <w:tcBorders>
              <w:top w:val="single" w:sz="4" w:space="0" w:color="auto"/>
              <w:bottom w:val="single" w:sz="12" w:space="0" w:color="auto"/>
            </w:tcBorders>
            <w:shd w:val="clear" w:color="auto" w:fill="auto"/>
            <w:vAlign w:val="bottom"/>
          </w:tcPr>
          <w:p w14:paraId="0331EE04"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1B5FB76F" w14:textId="77777777" w:rsidTr="00804944">
        <w:trPr>
          <w:trHeight w:val="240"/>
        </w:trPr>
        <w:tc>
          <w:tcPr>
            <w:tcW w:w="4638" w:type="dxa"/>
            <w:tcBorders>
              <w:top w:val="single" w:sz="12" w:space="0" w:color="auto"/>
            </w:tcBorders>
            <w:shd w:val="clear" w:color="auto" w:fill="auto"/>
          </w:tcPr>
          <w:p w14:paraId="5A5F08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2553" w:type="dxa"/>
            <w:tcBorders>
              <w:top w:val="single" w:sz="12" w:space="0" w:color="auto"/>
            </w:tcBorders>
            <w:shd w:val="clear" w:color="auto" w:fill="auto"/>
          </w:tcPr>
          <w:p w14:paraId="0AE2017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20D07AD" w14:textId="77777777" w:rsidTr="00804944">
        <w:trPr>
          <w:trHeight w:val="240"/>
        </w:trPr>
        <w:tc>
          <w:tcPr>
            <w:tcW w:w="4638" w:type="dxa"/>
            <w:shd w:val="clear" w:color="auto" w:fill="auto"/>
          </w:tcPr>
          <w:p w14:paraId="420CD87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2553" w:type="dxa"/>
            <w:shd w:val="clear" w:color="auto" w:fill="auto"/>
          </w:tcPr>
          <w:p w14:paraId="01D84C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4116EF8B" w14:textId="77777777" w:rsidTr="00804944">
        <w:trPr>
          <w:trHeight w:val="240"/>
        </w:trPr>
        <w:tc>
          <w:tcPr>
            <w:tcW w:w="4638" w:type="dxa"/>
            <w:shd w:val="clear" w:color="auto" w:fill="auto"/>
          </w:tcPr>
          <w:p w14:paraId="28EC6C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2553" w:type="dxa"/>
            <w:shd w:val="clear" w:color="auto" w:fill="auto"/>
          </w:tcPr>
          <w:p w14:paraId="110327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5A71E302" w14:textId="77777777" w:rsidTr="00804944">
        <w:trPr>
          <w:trHeight w:val="240"/>
        </w:trPr>
        <w:tc>
          <w:tcPr>
            <w:tcW w:w="4638" w:type="dxa"/>
            <w:shd w:val="clear" w:color="auto" w:fill="auto"/>
          </w:tcPr>
          <w:p w14:paraId="27F088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2553" w:type="dxa"/>
            <w:shd w:val="clear" w:color="auto" w:fill="auto"/>
          </w:tcPr>
          <w:p w14:paraId="51AFA5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265ADBD" w14:textId="77777777" w:rsidTr="00804944">
        <w:trPr>
          <w:trHeight w:val="240"/>
        </w:trPr>
        <w:tc>
          <w:tcPr>
            <w:tcW w:w="4638" w:type="dxa"/>
            <w:shd w:val="clear" w:color="auto" w:fill="auto"/>
          </w:tcPr>
          <w:p w14:paraId="5E1EB5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2553" w:type="dxa"/>
            <w:shd w:val="clear" w:color="auto" w:fill="auto"/>
          </w:tcPr>
          <w:p w14:paraId="5B276BF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64CBF24D" w14:textId="77777777" w:rsidTr="00804944">
        <w:trPr>
          <w:trHeight w:val="240"/>
        </w:trPr>
        <w:tc>
          <w:tcPr>
            <w:tcW w:w="4638" w:type="dxa"/>
            <w:shd w:val="clear" w:color="auto" w:fill="auto"/>
          </w:tcPr>
          <w:p w14:paraId="61C6D8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2553" w:type="dxa"/>
            <w:shd w:val="clear" w:color="auto" w:fill="auto"/>
          </w:tcPr>
          <w:p w14:paraId="24657F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EC673EC" w14:textId="77777777" w:rsidTr="00804944">
        <w:trPr>
          <w:trHeight w:val="240"/>
        </w:trPr>
        <w:tc>
          <w:tcPr>
            <w:tcW w:w="4638" w:type="dxa"/>
            <w:shd w:val="clear" w:color="auto" w:fill="auto"/>
          </w:tcPr>
          <w:p w14:paraId="7F1B6CD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2553" w:type="dxa"/>
            <w:shd w:val="clear" w:color="auto" w:fill="auto"/>
          </w:tcPr>
          <w:p w14:paraId="5A2B00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F87F1D5" w14:textId="77777777" w:rsidTr="00804944">
        <w:trPr>
          <w:trHeight w:val="240"/>
        </w:trPr>
        <w:tc>
          <w:tcPr>
            <w:tcW w:w="4638" w:type="dxa"/>
            <w:shd w:val="clear" w:color="auto" w:fill="auto"/>
          </w:tcPr>
          <w:p w14:paraId="5E59F4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الإنهاء الطبي للحمل كنسبة للمواليد الأحياء</w:t>
            </w:r>
          </w:p>
        </w:tc>
        <w:tc>
          <w:tcPr>
            <w:tcW w:w="2553" w:type="dxa"/>
            <w:shd w:val="clear" w:color="auto" w:fill="auto"/>
          </w:tcPr>
          <w:p w14:paraId="3C09D0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0B69D4B1" w14:textId="77777777" w:rsidTr="00804944">
        <w:trPr>
          <w:trHeight w:val="240"/>
        </w:trPr>
        <w:tc>
          <w:tcPr>
            <w:tcW w:w="4638" w:type="dxa"/>
            <w:shd w:val="clear" w:color="auto" w:fill="auto"/>
          </w:tcPr>
          <w:p w14:paraId="7D5561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2553" w:type="dxa"/>
            <w:shd w:val="clear" w:color="auto" w:fill="auto"/>
          </w:tcPr>
          <w:p w14:paraId="4F8A65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7F07A8E9" w14:textId="77777777" w:rsidTr="00804944">
        <w:trPr>
          <w:trHeight w:val="240"/>
        </w:trPr>
        <w:tc>
          <w:tcPr>
            <w:tcW w:w="4638" w:type="dxa"/>
            <w:shd w:val="clear" w:color="auto" w:fill="auto"/>
          </w:tcPr>
          <w:p w14:paraId="76113F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2553" w:type="dxa"/>
            <w:shd w:val="clear" w:color="auto" w:fill="auto"/>
          </w:tcPr>
          <w:p w14:paraId="0EC9697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الربو 26 في المائة</w:t>
            </w:r>
          </w:p>
          <w:p w14:paraId="5FE0243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داء السكري من النوع الثاني - 20 في المائة</w:t>
            </w:r>
          </w:p>
          <w:p w14:paraId="34DB3D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ارتفاع ضغط الدم - 16 في المائة</w:t>
            </w:r>
          </w:p>
          <w:p w14:paraId="59DFF0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مرض القلب الإقفاري - 6 في المائة </w:t>
            </w:r>
          </w:p>
        </w:tc>
      </w:tr>
      <w:tr w:rsidR="007B5A24" w:rsidRPr="00564B9D" w14:paraId="54951FA0" w14:textId="77777777" w:rsidTr="00804944">
        <w:trPr>
          <w:trHeight w:val="240"/>
        </w:trPr>
        <w:tc>
          <w:tcPr>
            <w:tcW w:w="4638" w:type="dxa"/>
            <w:shd w:val="clear" w:color="auto" w:fill="auto"/>
          </w:tcPr>
          <w:p w14:paraId="63E7DC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2553" w:type="dxa"/>
            <w:shd w:val="clear" w:color="auto" w:fill="auto"/>
          </w:tcPr>
          <w:p w14:paraId="50F827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الجلطة الدماغية</w:t>
            </w:r>
          </w:p>
          <w:p w14:paraId="5B15632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النوبة القلبية</w:t>
            </w:r>
          </w:p>
          <w:p w14:paraId="5E894E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الحوادث</w:t>
            </w:r>
          </w:p>
        </w:tc>
      </w:tr>
      <w:tr w:rsidR="007B5A24" w:rsidRPr="00564B9D" w14:paraId="3BFED196" w14:textId="77777777" w:rsidTr="00804944">
        <w:trPr>
          <w:trHeight w:val="430"/>
        </w:trPr>
        <w:tc>
          <w:tcPr>
            <w:tcW w:w="4638" w:type="dxa"/>
            <w:shd w:val="clear" w:color="auto" w:fill="auto"/>
          </w:tcPr>
          <w:p w14:paraId="77EB0D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2553" w:type="dxa"/>
            <w:shd w:val="clear" w:color="auto" w:fill="auto"/>
          </w:tcPr>
          <w:p w14:paraId="0F72A3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100 في المائة</w:t>
            </w:r>
          </w:p>
        </w:tc>
      </w:tr>
      <w:tr w:rsidR="007B5A24" w:rsidRPr="00564B9D" w14:paraId="376AAD76" w14:textId="77777777" w:rsidTr="00804944">
        <w:trPr>
          <w:trHeight w:val="484"/>
        </w:trPr>
        <w:tc>
          <w:tcPr>
            <w:tcW w:w="4638" w:type="dxa"/>
            <w:shd w:val="clear" w:color="auto" w:fill="auto"/>
          </w:tcPr>
          <w:p w14:paraId="39BB2C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2553" w:type="dxa"/>
            <w:shd w:val="clear" w:color="auto" w:fill="auto"/>
          </w:tcPr>
          <w:p w14:paraId="5CB56E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صفر في المائة</w:t>
            </w:r>
          </w:p>
        </w:tc>
      </w:tr>
      <w:tr w:rsidR="007B5A24" w:rsidRPr="00564B9D" w14:paraId="1B6A833E" w14:textId="77777777" w:rsidTr="00804944">
        <w:trPr>
          <w:trHeight w:val="240"/>
        </w:trPr>
        <w:tc>
          <w:tcPr>
            <w:tcW w:w="4638" w:type="dxa"/>
            <w:shd w:val="clear" w:color="auto" w:fill="auto"/>
          </w:tcPr>
          <w:p w14:paraId="128D62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2553" w:type="dxa"/>
            <w:shd w:val="clear" w:color="auto" w:fill="auto"/>
          </w:tcPr>
          <w:p w14:paraId="55182C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3:1</w:t>
            </w:r>
          </w:p>
        </w:tc>
      </w:tr>
      <w:tr w:rsidR="007B5A24" w:rsidRPr="00564B9D" w14:paraId="426A8413" w14:textId="77777777" w:rsidTr="00804944">
        <w:trPr>
          <w:trHeight w:val="240"/>
        </w:trPr>
        <w:tc>
          <w:tcPr>
            <w:tcW w:w="4638" w:type="dxa"/>
            <w:shd w:val="clear" w:color="auto" w:fill="auto"/>
          </w:tcPr>
          <w:p w14:paraId="60398F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2553" w:type="dxa"/>
            <w:shd w:val="clear" w:color="auto" w:fill="auto"/>
          </w:tcPr>
          <w:p w14:paraId="1B3E5C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100 في المائة</w:t>
            </w:r>
          </w:p>
        </w:tc>
      </w:tr>
      <w:tr w:rsidR="007B5A24" w:rsidRPr="00564B9D" w14:paraId="4C214C05" w14:textId="77777777" w:rsidTr="00804944">
        <w:trPr>
          <w:trHeight w:val="240"/>
        </w:trPr>
        <w:tc>
          <w:tcPr>
            <w:tcW w:w="4638" w:type="dxa"/>
            <w:shd w:val="clear" w:color="auto" w:fill="auto"/>
          </w:tcPr>
          <w:p w14:paraId="0B59A5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2553" w:type="dxa"/>
            <w:shd w:val="clear" w:color="auto" w:fill="auto"/>
          </w:tcPr>
          <w:p w14:paraId="092ADB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 جميع من هم في سن العمل (16- 65 سنة) يعملون</w:t>
            </w:r>
          </w:p>
        </w:tc>
      </w:tr>
      <w:tr w:rsidR="007B5A24" w:rsidRPr="00564B9D" w14:paraId="31C22697" w14:textId="77777777" w:rsidTr="00804944">
        <w:trPr>
          <w:trHeight w:val="240"/>
        </w:trPr>
        <w:tc>
          <w:tcPr>
            <w:tcW w:w="4638" w:type="dxa"/>
            <w:shd w:val="clear" w:color="auto" w:fill="auto"/>
          </w:tcPr>
          <w:p w14:paraId="346E49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2553" w:type="dxa"/>
            <w:shd w:val="clear" w:color="auto" w:fill="auto"/>
          </w:tcPr>
          <w:p w14:paraId="060CBD2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9A2C98E" w14:textId="77777777" w:rsidTr="00804944">
        <w:trPr>
          <w:trHeight w:val="240"/>
        </w:trPr>
        <w:tc>
          <w:tcPr>
            <w:tcW w:w="4638" w:type="dxa"/>
            <w:shd w:val="clear" w:color="auto" w:fill="auto"/>
          </w:tcPr>
          <w:p w14:paraId="004F2E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2553" w:type="dxa"/>
            <w:shd w:val="clear" w:color="auto" w:fill="auto"/>
          </w:tcPr>
          <w:p w14:paraId="78A554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100 في المائة </w:t>
            </w:r>
          </w:p>
        </w:tc>
      </w:tr>
      <w:tr w:rsidR="007B5A24" w:rsidRPr="00564B9D" w14:paraId="7004A3F1" w14:textId="77777777" w:rsidTr="00804944">
        <w:trPr>
          <w:trHeight w:val="240"/>
        </w:trPr>
        <w:tc>
          <w:tcPr>
            <w:tcW w:w="4638" w:type="dxa"/>
            <w:shd w:val="clear" w:color="auto" w:fill="auto"/>
          </w:tcPr>
          <w:p w14:paraId="751B3D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2553" w:type="dxa"/>
            <w:shd w:val="clear" w:color="auto" w:fill="auto"/>
          </w:tcPr>
          <w:p w14:paraId="310D8D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(لا توجد نقابات عمالية في بيتكيرن)</w:t>
            </w:r>
          </w:p>
        </w:tc>
      </w:tr>
      <w:tr w:rsidR="007B5A24" w:rsidRPr="00564B9D" w14:paraId="16F5B4EF" w14:textId="77777777" w:rsidTr="00804944">
        <w:trPr>
          <w:trHeight w:val="240"/>
        </w:trPr>
        <w:tc>
          <w:tcPr>
            <w:tcW w:w="4638" w:type="dxa"/>
            <w:shd w:val="clear" w:color="auto" w:fill="auto"/>
          </w:tcPr>
          <w:p w14:paraId="7D124B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2553" w:type="dxa"/>
            <w:shd w:val="clear" w:color="auto" w:fill="auto"/>
          </w:tcPr>
          <w:p w14:paraId="41E8B1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3EA5277" w14:textId="77777777" w:rsidTr="00804944">
        <w:trPr>
          <w:trHeight w:val="240"/>
        </w:trPr>
        <w:tc>
          <w:tcPr>
            <w:tcW w:w="4638" w:type="dxa"/>
            <w:shd w:val="clear" w:color="auto" w:fill="auto"/>
          </w:tcPr>
          <w:p w14:paraId="6B2B024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w:t>
            </w:r>
          </w:p>
        </w:tc>
        <w:tc>
          <w:tcPr>
            <w:tcW w:w="2553" w:type="dxa"/>
            <w:shd w:val="clear" w:color="auto" w:fill="auto"/>
          </w:tcPr>
          <w:p w14:paraId="6C0416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C35DADE" w14:textId="77777777" w:rsidTr="00804944">
        <w:trPr>
          <w:trHeight w:val="240"/>
        </w:trPr>
        <w:tc>
          <w:tcPr>
            <w:tcW w:w="4638" w:type="dxa"/>
            <w:shd w:val="clear" w:color="auto" w:fill="auto"/>
          </w:tcPr>
          <w:p w14:paraId="7F6A83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2553" w:type="dxa"/>
            <w:shd w:val="clear" w:color="auto" w:fill="auto"/>
          </w:tcPr>
          <w:p w14:paraId="3440277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1207B54" w14:textId="77777777" w:rsidTr="00804944">
        <w:trPr>
          <w:trHeight w:val="240"/>
        </w:trPr>
        <w:tc>
          <w:tcPr>
            <w:tcW w:w="4638" w:type="dxa"/>
            <w:shd w:val="clear" w:color="auto" w:fill="auto"/>
          </w:tcPr>
          <w:p w14:paraId="591A2E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w:t>
            </w:r>
          </w:p>
        </w:tc>
        <w:tc>
          <w:tcPr>
            <w:tcW w:w="2553" w:type="dxa"/>
            <w:shd w:val="clear" w:color="auto" w:fill="auto"/>
          </w:tcPr>
          <w:p w14:paraId="5C7E37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3A545CC" w14:textId="77777777" w:rsidTr="00804944">
        <w:trPr>
          <w:trHeight w:val="240"/>
        </w:trPr>
        <w:tc>
          <w:tcPr>
            <w:tcW w:w="4638" w:type="dxa"/>
            <w:shd w:val="clear" w:color="auto" w:fill="auto"/>
          </w:tcPr>
          <w:p w14:paraId="06282A99" w14:textId="4CD147BB"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r w:rsidR="006A48CB" w:rsidRPr="00564B9D">
              <w:rPr>
                <w:rFonts w:hint="cs"/>
                <w:sz w:val="20"/>
                <w:szCs w:val="20"/>
                <w:rtl/>
              </w:rPr>
              <w:t>(المتوسط لفترة 12 شهراً من تموز/يوليه إلى تموز/يوليه)</w:t>
            </w:r>
          </w:p>
        </w:tc>
        <w:tc>
          <w:tcPr>
            <w:tcW w:w="2553" w:type="dxa"/>
            <w:shd w:val="clear" w:color="auto" w:fill="auto"/>
          </w:tcPr>
          <w:p w14:paraId="4DF6E4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4EDDB95" w14:textId="77777777" w:rsidTr="00804944">
        <w:trPr>
          <w:trHeight w:val="240"/>
        </w:trPr>
        <w:tc>
          <w:tcPr>
            <w:tcW w:w="4638" w:type="dxa"/>
            <w:shd w:val="clear" w:color="auto" w:fill="auto"/>
          </w:tcPr>
          <w:p w14:paraId="467358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2553" w:type="dxa"/>
            <w:shd w:val="clear" w:color="auto" w:fill="auto"/>
          </w:tcPr>
          <w:p w14:paraId="521E06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4DC9741" w14:textId="77777777" w:rsidTr="00804944">
        <w:trPr>
          <w:trHeight w:val="240"/>
        </w:trPr>
        <w:tc>
          <w:tcPr>
            <w:tcW w:w="4638" w:type="dxa"/>
            <w:shd w:val="clear" w:color="auto" w:fill="auto"/>
          </w:tcPr>
          <w:p w14:paraId="140DE2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2553" w:type="dxa"/>
            <w:shd w:val="clear" w:color="auto" w:fill="auto"/>
          </w:tcPr>
          <w:p w14:paraId="73ABE7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تتلقى بيتكيرن معونة للميزانية ولا يمكن أن تضطر للاستدانة </w:t>
            </w:r>
          </w:p>
        </w:tc>
      </w:tr>
      <w:tr w:rsidR="007B5A24" w:rsidRPr="00564B9D" w14:paraId="587EBEE1" w14:textId="77777777" w:rsidTr="00804944">
        <w:trPr>
          <w:trHeight w:val="240"/>
        </w:trPr>
        <w:tc>
          <w:tcPr>
            <w:tcW w:w="4638" w:type="dxa"/>
            <w:tcBorders>
              <w:bottom w:val="single" w:sz="12" w:space="0" w:color="auto"/>
            </w:tcBorders>
            <w:shd w:val="clear" w:color="auto" w:fill="auto"/>
          </w:tcPr>
          <w:p w14:paraId="3DA361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2553" w:type="dxa"/>
            <w:tcBorders>
              <w:bottom w:val="single" w:sz="12" w:space="0" w:color="auto"/>
            </w:tcBorders>
            <w:shd w:val="clear" w:color="auto" w:fill="auto"/>
          </w:tcPr>
          <w:p w14:paraId="3FDB3B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93 في المائة من اقتصاد بيتكيرن يعتمد على الدعم الخارجي من حكومة المملكة المتحدة</w:t>
            </w:r>
          </w:p>
        </w:tc>
      </w:tr>
    </w:tbl>
    <w:p w14:paraId="116DA9A3"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5413"/>
        <w:gridCol w:w="2979"/>
      </w:tblGrid>
      <w:tr w:rsidR="007B5A24" w:rsidRPr="00564B9D" w14:paraId="397E83BA" w14:textId="77777777" w:rsidTr="00804944">
        <w:trPr>
          <w:trHeight w:val="240"/>
          <w:tblHeader/>
        </w:trPr>
        <w:tc>
          <w:tcPr>
            <w:tcW w:w="7191" w:type="dxa"/>
            <w:gridSpan w:val="2"/>
            <w:tcBorders>
              <w:top w:val="single" w:sz="4" w:space="0" w:color="auto"/>
              <w:bottom w:val="single" w:sz="12" w:space="0" w:color="auto"/>
            </w:tcBorders>
            <w:shd w:val="clear" w:color="auto" w:fill="auto"/>
            <w:vAlign w:val="bottom"/>
          </w:tcPr>
          <w:p w14:paraId="37119B45"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3DFEF579" w14:textId="77777777" w:rsidTr="00804944">
        <w:trPr>
          <w:trHeight w:val="240"/>
        </w:trPr>
        <w:tc>
          <w:tcPr>
            <w:tcW w:w="4638" w:type="dxa"/>
            <w:tcBorders>
              <w:top w:val="single" w:sz="12" w:space="0" w:color="auto"/>
            </w:tcBorders>
            <w:shd w:val="clear" w:color="auto" w:fill="auto"/>
          </w:tcPr>
          <w:p w14:paraId="4590525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الصعيد الوطني</w:t>
            </w:r>
          </w:p>
        </w:tc>
        <w:tc>
          <w:tcPr>
            <w:tcW w:w="2553" w:type="dxa"/>
            <w:tcBorders>
              <w:top w:val="single" w:sz="12" w:space="0" w:color="auto"/>
            </w:tcBorders>
            <w:shd w:val="clear" w:color="auto" w:fill="auto"/>
          </w:tcPr>
          <w:p w14:paraId="4CB45A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69C44DDA" w14:textId="77777777" w:rsidTr="00804944">
        <w:trPr>
          <w:trHeight w:val="240"/>
        </w:trPr>
        <w:tc>
          <w:tcPr>
            <w:tcW w:w="4638" w:type="dxa"/>
            <w:shd w:val="clear" w:color="auto" w:fill="auto"/>
          </w:tcPr>
          <w:p w14:paraId="791BFA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المؤهلين للتصويت </w:t>
            </w:r>
          </w:p>
        </w:tc>
        <w:tc>
          <w:tcPr>
            <w:tcW w:w="2553" w:type="dxa"/>
            <w:shd w:val="clear" w:color="auto" w:fill="auto"/>
          </w:tcPr>
          <w:p w14:paraId="417613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81 في المائة</w:t>
            </w:r>
          </w:p>
        </w:tc>
      </w:tr>
      <w:tr w:rsidR="007B5A24" w:rsidRPr="00564B9D" w14:paraId="19E29569" w14:textId="77777777" w:rsidTr="00804944">
        <w:trPr>
          <w:trHeight w:val="240"/>
        </w:trPr>
        <w:tc>
          <w:tcPr>
            <w:tcW w:w="4638" w:type="dxa"/>
            <w:shd w:val="clear" w:color="auto" w:fill="auto"/>
          </w:tcPr>
          <w:p w14:paraId="2AEB96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2553" w:type="dxa"/>
            <w:shd w:val="clear" w:color="auto" w:fill="auto"/>
          </w:tcPr>
          <w:p w14:paraId="2AF526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31 في المائة</w:t>
            </w:r>
          </w:p>
        </w:tc>
      </w:tr>
      <w:tr w:rsidR="007B5A24" w:rsidRPr="00564B9D" w14:paraId="66DF2FEE" w14:textId="77777777" w:rsidTr="00804944">
        <w:trPr>
          <w:trHeight w:val="240"/>
        </w:trPr>
        <w:tc>
          <w:tcPr>
            <w:tcW w:w="4638" w:type="dxa"/>
            <w:shd w:val="clear" w:color="auto" w:fill="auto"/>
          </w:tcPr>
          <w:p w14:paraId="248A8B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2553" w:type="dxa"/>
            <w:shd w:val="clear" w:color="auto" w:fill="auto"/>
          </w:tcPr>
          <w:p w14:paraId="721D3D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62D3C645" w14:textId="77777777" w:rsidTr="00804944">
        <w:trPr>
          <w:trHeight w:val="240"/>
        </w:trPr>
        <w:tc>
          <w:tcPr>
            <w:tcW w:w="4638" w:type="dxa"/>
            <w:shd w:val="clear" w:color="auto" w:fill="auto"/>
          </w:tcPr>
          <w:p w14:paraId="1B3E99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التغطية السكانية وتحليل ملكية القنوات الإعلامية الرئيسية (إلكترونية، مطبوعة، سمعية ونحو ذلك)</w:t>
            </w:r>
          </w:p>
        </w:tc>
        <w:tc>
          <w:tcPr>
            <w:tcW w:w="2553" w:type="dxa"/>
            <w:shd w:val="clear" w:color="auto" w:fill="auto"/>
          </w:tcPr>
          <w:p w14:paraId="4B8FB3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BEFE4BE" w14:textId="77777777" w:rsidTr="00804944">
        <w:trPr>
          <w:trHeight w:val="240"/>
        </w:trPr>
        <w:tc>
          <w:tcPr>
            <w:tcW w:w="4638" w:type="dxa"/>
            <w:shd w:val="clear" w:color="auto" w:fill="auto"/>
          </w:tcPr>
          <w:p w14:paraId="716A1D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المنظمات غير الحكومية المعترف بها </w:t>
            </w:r>
          </w:p>
        </w:tc>
        <w:tc>
          <w:tcPr>
            <w:tcW w:w="2553" w:type="dxa"/>
            <w:shd w:val="clear" w:color="auto" w:fill="auto"/>
          </w:tcPr>
          <w:p w14:paraId="0F055DE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(لا توجد منظمات غير حكومية في بيتكيرن)</w:t>
            </w:r>
          </w:p>
        </w:tc>
      </w:tr>
      <w:tr w:rsidR="007B5A24" w:rsidRPr="00564B9D" w14:paraId="7A4B5664" w14:textId="77777777" w:rsidTr="00804944">
        <w:trPr>
          <w:trHeight w:val="240"/>
        </w:trPr>
        <w:tc>
          <w:tcPr>
            <w:tcW w:w="4638" w:type="dxa"/>
            <w:shd w:val="clear" w:color="auto" w:fill="auto"/>
          </w:tcPr>
          <w:p w14:paraId="1D2742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المقاعد التشريعية بحسب الحزب </w:t>
            </w:r>
          </w:p>
        </w:tc>
        <w:tc>
          <w:tcPr>
            <w:tcW w:w="2553" w:type="dxa"/>
            <w:shd w:val="clear" w:color="auto" w:fill="auto"/>
          </w:tcPr>
          <w:p w14:paraId="0640AD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ينطبق</w:t>
            </w:r>
          </w:p>
        </w:tc>
      </w:tr>
      <w:tr w:rsidR="007B5A24" w:rsidRPr="00564B9D" w14:paraId="302A1D64" w14:textId="77777777" w:rsidTr="00804944">
        <w:trPr>
          <w:trHeight w:val="240"/>
        </w:trPr>
        <w:tc>
          <w:tcPr>
            <w:tcW w:w="4638" w:type="dxa"/>
            <w:shd w:val="clear" w:color="auto" w:fill="auto"/>
          </w:tcPr>
          <w:p w14:paraId="373E21F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في البرلمان </w:t>
            </w:r>
          </w:p>
        </w:tc>
        <w:tc>
          <w:tcPr>
            <w:tcW w:w="2553" w:type="dxa"/>
            <w:shd w:val="clear" w:color="auto" w:fill="auto"/>
          </w:tcPr>
          <w:p w14:paraId="65A96F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ينطبق</w:t>
            </w:r>
          </w:p>
        </w:tc>
      </w:tr>
      <w:tr w:rsidR="007B5A24" w:rsidRPr="00564B9D" w14:paraId="48FF22F8" w14:textId="77777777" w:rsidTr="00804944">
        <w:trPr>
          <w:trHeight w:val="240"/>
        </w:trPr>
        <w:tc>
          <w:tcPr>
            <w:tcW w:w="4638" w:type="dxa"/>
            <w:shd w:val="clear" w:color="auto" w:fill="auto"/>
          </w:tcPr>
          <w:p w14:paraId="5AB647A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الانتخابات الوطنية ودون الوطنية التي أجريت في حدود الجدول الزمني الذي ينص عليه القانون </w:t>
            </w:r>
          </w:p>
        </w:tc>
        <w:tc>
          <w:tcPr>
            <w:tcW w:w="2553" w:type="dxa"/>
            <w:shd w:val="clear" w:color="auto" w:fill="auto"/>
          </w:tcPr>
          <w:p w14:paraId="1DE72E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 (مجلس الجزيرة المحلي)</w:t>
            </w:r>
          </w:p>
        </w:tc>
      </w:tr>
      <w:tr w:rsidR="007B5A24" w:rsidRPr="00564B9D" w14:paraId="12E19345" w14:textId="77777777" w:rsidTr="00804944">
        <w:trPr>
          <w:trHeight w:val="240"/>
        </w:trPr>
        <w:tc>
          <w:tcPr>
            <w:tcW w:w="4638" w:type="dxa"/>
            <w:tcBorders>
              <w:bottom w:val="single" w:sz="12" w:space="0" w:color="auto"/>
            </w:tcBorders>
            <w:shd w:val="clear" w:color="auto" w:fill="auto"/>
          </w:tcPr>
          <w:p w14:paraId="7EED4FC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متوسط عدد الناخبين الفعليين في الانتخابات الوطنية ودون الوطنية بحسب الوحدة الإدارية </w:t>
            </w:r>
          </w:p>
        </w:tc>
        <w:tc>
          <w:tcPr>
            <w:tcW w:w="2553" w:type="dxa"/>
            <w:tcBorders>
              <w:bottom w:val="single" w:sz="12" w:space="0" w:color="auto"/>
            </w:tcBorders>
            <w:shd w:val="clear" w:color="auto" w:fill="auto"/>
          </w:tcPr>
          <w:p w14:paraId="711A23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 (التصويت إلزامي)</w:t>
            </w:r>
          </w:p>
        </w:tc>
      </w:tr>
    </w:tbl>
    <w:p w14:paraId="72DB72E3"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5396"/>
        <w:gridCol w:w="2996"/>
      </w:tblGrid>
      <w:tr w:rsidR="007B5A24" w:rsidRPr="00564B9D" w14:paraId="359CC40B" w14:textId="77777777" w:rsidTr="00804944">
        <w:trPr>
          <w:trHeight w:val="240"/>
          <w:tblHeader/>
        </w:trPr>
        <w:tc>
          <w:tcPr>
            <w:tcW w:w="7191" w:type="dxa"/>
            <w:gridSpan w:val="2"/>
            <w:tcBorders>
              <w:top w:val="single" w:sz="4" w:space="0" w:color="auto"/>
              <w:bottom w:val="single" w:sz="12" w:space="0" w:color="auto"/>
            </w:tcBorders>
            <w:shd w:val="clear" w:color="auto" w:fill="auto"/>
            <w:vAlign w:val="bottom"/>
          </w:tcPr>
          <w:p w14:paraId="67D370D7"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6890DB01" w14:textId="77777777" w:rsidTr="00804944">
        <w:tblPrEx>
          <w:tblLook w:val="0000" w:firstRow="0" w:lastRow="0" w:firstColumn="0" w:lastColumn="0" w:noHBand="0" w:noVBand="0"/>
        </w:tblPrEx>
        <w:trPr>
          <w:trHeight w:val="240"/>
        </w:trPr>
        <w:tc>
          <w:tcPr>
            <w:tcW w:w="4624" w:type="dxa"/>
            <w:tcBorders>
              <w:top w:val="single" w:sz="12" w:space="0" w:color="auto"/>
            </w:tcBorders>
            <w:shd w:val="clear" w:color="auto" w:fill="auto"/>
          </w:tcPr>
          <w:p w14:paraId="5A19AEF7" w14:textId="1E9931A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w:t>
            </w:r>
          </w:p>
        </w:tc>
        <w:tc>
          <w:tcPr>
            <w:tcW w:w="2567" w:type="dxa"/>
            <w:tcBorders>
              <w:top w:val="single" w:sz="12" w:space="0" w:color="auto"/>
            </w:tcBorders>
            <w:shd w:val="clear" w:color="auto" w:fill="auto"/>
          </w:tcPr>
          <w:p w14:paraId="265A12D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56B59D34" w14:textId="77777777" w:rsidTr="00804944">
        <w:tblPrEx>
          <w:tblLook w:val="0000" w:firstRow="0" w:lastRow="0" w:firstColumn="0" w:lastColumn="0" w:noHBand="0" w:noVBand="0"/>
        </w:tblPrEx>
        <w:trPr>
          <w:trHeight w:val="240"/>
        </w:trPr>
        <w:tc>
          <w:tcPr>
            <w:tcW w:w="4624" w:type="dxa"/>
            <w:shd w:val="clear" w:color="auto" w:fill="auto"/>
          </w:tcPr>
          <w:p w14:paraId="182E919A" w14:textId="7612323F"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الذين تم توقيفهم/تقديمهم إلى القضاء/إدانتهم/إصدار أحكام ضدهم/حبسهم لارتكابهم جرائم عنف أو غير ذلك من الجرائم الخطيرة (مثل القتل والسرقة والاعتداء والإتجار غير المشروع)</w:t>
            </w:r>
          </w:p>
        </w:tc>
        <w:tc>
          <w:tcPr>
            <w:tcW w:w="2567" w:type="dxa"/>
            <w:shd w:val="clear" w:color="auto" w:fill="auto"/>
          </w:tcPr>
          <w:p w14:paraId="4D948B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07C11528" w14:textId="77777777" w:rsidTr="00804944">
        <w:tblPrEx>
          <w:tblLook w:val="0000" w:firstRow="0" w:lastRow="0" w:firstColumn="0" w:lastColumn="0" w:noHBand="0" w:noVBand="0"/>
        </w:tblPrEx>
        <w:trPr>
          <w:trHeight w:val="240"/>
        </w:trPr>
        <w:tc>
          <w:tcPr>
            <w:tcW w:w="4624" w:type="dxa"/>
            <w:shd w:val="clear" w:color="auto" w:fill="auto"/>
          </w:tcPr>
          <w:p w14:paraId="105CAE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 xml:space="preserve">(مثل الاغتصاب، وتشويه الأعضاء الجنسية عند الإناث، وجرائم الشرف، والاعتداء بالأحماض). </w:t>
            </w:r>
          </w:p>
        </w:tc>
        <w:tc>
          <w:tcPr>
            <w:tcW w:w="2567" w:type="dxa"/>
            <w:shd w:val="clear" w:color="auto" w:fill="auto"/>
          </w:tcPr>
          <w:p w14:paraId="4E900F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في عام 2020</w:t>
            </w:r>
            <w:r w:rsidRPr="00564B9D">
              <w:rPr>
                <w:sz w:val="20"/>
                <w:szCs w:val="20"/>
              </w:rPr>
              <w:t>[</w:t>
            </w:r>
          </w:p>
        </w:tc>
      </w:tr>
      <w:tr w:rsidR="007B5A24" w:rsidRPr="00564B9D" w14:paraId="0CD76DA9" w14:textId="77777777" w:rsidTr="00804944">
        <w:tblPrEx>
          <w:tblLook w:val="0000" w:firstRow="0" w:lastRow="0" w:firstColumn="0" w:lastColumn="0" w:noHBand="0" w:noVBand="0"/>
        </w:tblPrEx>
        <w:trPr>
          <w:trHeight w:val="240"/>
        </w:trPr>
        <w:tc>
          <w:tcPr>
            <w:tcW w:w="4624" w:type="dxa"/>
            <w:shd w:val="clear" w:color="auto" w:fill="auto"/>
          </w:tcPr>
          <w:p w14:paraId="155549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2567" w:type="dxa"/>
            <w:shd w:val="clear" w:color="auto" w:fill="auto"/>
          </w:tcPr>
          <w:p w14:paraId="03E896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FBD4C04" w14:textId="77777777" w:rsidTr="00804944">
        <w:tblPrEx>
          <w:tblLook w:val="0000" w:firstRow="0" w:lastRow="0" w:firstColumn="0" w:lastColumn="0" w:noHBand="0" w:noVBand="0"/>
        </w:tblPrEx>
        <w:trPr>
          <w:trHeight w:val="240"/>
        </w:trPr>
        <w:tc>
          <w:tcPr>
            <w:tcW w:w="4624" w:type="dxa"/>
            <w:shd w:val="clear" w:color="auto" w:fill="auto"/>
          </w:tcPr>
          <w:p w14:paraId="3F96B0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2567" w:type="dxa"/>
            <w:shd w:val="clear" w:color="auto" w:fill="auto"/>
          </w:tcPr>
          <w:p w14:paraId="12F5835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1145D6D7" w14:textId="77777777" w:rsidTr="00804944">
        <w:tblPrEx>
          <w:tblLook w:val="0000" w:firstRow="0" w:lastRow="0" w:firstColumn="0" w:lastColumn="0" w:noHBand="0" w:noVBand="0"/>
        </w:tblPrEx>
        <w:trPr>
          <w:trHeight w:val="240"/>
        </w:trPr>
        <w:tc>
          <w:tcPr>
            <w:tcW w:w="4624" w:type="dxa"/>
            <w:shd w:val="clear" w:color="auto" w:fill="auto"/>
          </w:tcPr>
          <w:p w14:paraId="4C1A2F5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2567" w:type="dxa"/>
            <w:shd w:val="clear" w:color="auto" w:fill="auto"/>
          </w:tcPr>
          <w:p w14:paraId="2397CA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7649E4C3" w14:textId="77777777" w:rsidTr="00804944">
        <w:tblPrEx>
          <w:tblLook w:val="0000" w:firstRow="0" w:lastRow="0" w:firstColumn="0" w:lastColumn="0" w:noHBand="0" w:noVBand="0"/>
        </w:tblPrEx>
        <w:trPr>
          <w:trHeight w:val="240"/>
        </w:trPr>
        <w:tc>
          <w:tcPr>
            <w:tcW w:w="4624" w:type="dxa"/>
            <w:shd w:val="clear" w:color="auto" w:fill="auto"/>
          </w:tcPr>
          <w:p w14:paraId="3F4FA0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p>
        </w:tc>
        <w:tc>
          <w:tcPr>
            <w:tcW w:w="2567" w:type="dxa"/>
            <w:shd w:val="clear" w:color="auto" w:fill="auto"/>
          </w:tcPr>
          <w:p w14:paraId="6CD65A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2211D2C0" w14:textId="77777777" w:rsidTr="00804944">
        <w:tblPrEx>
          <w:tblLook w:val="0000" w:firstRow="0" w:lastRow="0" w:firstColumn="0" w:lastColumn="0" w:noHBand="0" w:noVBand="0"/>
        </w:tblPrEx>
        <w:trPr>
          <w:trHeight w:val="240"/>
        </w:trPr>
        <w:tc>
          <w:tcPr>
            <w:tcW w:w="4624" w:type="dxa"/>
            <w:shd w:val="clear" w:color="auto" w:fill="auto"/>
          </w:tcPr>
          <w:p w14:paraId="0BD9FB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2567" w:type="dxa"/>
            <w:shd w:val="clear" w:color="auto" w:fill="auto"/>
          </w:tcPr>
          <w:p w14:paraId="44984EB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0A3C5144" w14:textId="77777777" w:rsidTr="00804944">
        <w:tblPrEx>
          <w:tblLook w:val="0000" w:firstRow="0" w:lastRow="0" w:firstColumn="0" w:lastColumn="0" w:noHBand="0" w:noVBand="0"/>
        </w:tblPrEx>
        <w:trPr>
          <w:trHeight w:val="240"/>
        </w:trPr>
        <w:tc>
          <w:tcPr>
            <w:tcW w:w="4624" w:type="dxa"/>
            <w:shd w:val="clear" w:color="auto" w:fill="auto"/>
          </w:tcPr>
          <w:p w14:paraId="20CECFAB" w14:textId="331E9AA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رجال الشرطة/الأمن </w:t>
            </w:r>
            <w:r w:rsidR="0021376C" w:rsidRPr="00564B9D">
              <w:rPr>
                <w:rFonts w:hint="cs"/>
                <w:sz w:val="20"/>
                <w:szCs w:val="20"/>
                <w:rtl/>
              </w:rPr>
              <w:t>(نسبةً لعدد السكان)</w:t>
            </w:r>
          </w:p>
        </w:tc>
        <w:tc>
          <w:tcPr>
            <w:tcW w:w="2567" w:type="dxa"/>
            <w:shd w:val="clear" w:color="auto" w:fill="auto"/>
          </w:tcPr>
          <w:p w14:paraId="390184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2/38</w:t>
            </w:r>
          </w:p>
        </w:tc>
      </w:tr>
      <w:tr w:rsidR="007B5A24" w:rsidRPr="00564B9D" w14:paraId="71E0AC2B" w14:textId="77777777" w:rsidTr="00804944">
        <w:tblPrEx>
          <w:tblLook w:val="0000" w:firstRow="0" w:lastRow="0" w:firstColumn="0" w:lastColumn="0" w:noHBand="0" w:noVBand="0"/>
        </w:tblPrEx>
        <w:trPr>
          <w:trHeight w:val="240"/>
        </w:trPr>
        <w:tc>
          <w:tcPr>
            <w:tcW w:w="4624" w:type="dxa"/>
            <w:shd w:val="clear" w:color="auto" w:fill="auto"/>
          </w:tcPr>
          <w:p w14:paraId="47065D64" w14:textId="381F53E1"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المدعين العامين والقضاة </w:t>
            </w:r>
            <w:r w:rsidR="0021376C" w:rsidRPr="00564B9D">
              <w:rPr>
                <w:rFonts w:hint="cs"/>
                <w:sz w:val="20"/>
                <w:szCs w:val="20"/>
                <w:rtl/>
              </w:rPr>
              <w:t>(نسبةً لعدد السكان)</w:t>
            </w:r>
          </w:p>
        </w:tc>
        <w:tc>
          <w:tcPr>
            <w:tcW w:w="2567" w:type="dxa"/>
            <w:shd w:val="clear" w:color="auto" w:fill="auto"/>
          </w:tcPr>
          <w:p w14:paraId="5A39AE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6365E36" w14:textId="77777777" w:rsidTr="00804944">
        <w:tblPrEx>
          <w:tblLook w:val="0000" w:firstRow="0" w:lastRow="0" w:firstColumn="0" w:lastColumn="0" w:noHBand="0" w:noVBand="0"/>
        </w:tblPrEx>
        <w:trPr>
          <w:trHeight w:val="240"/>
        </w:trPr>
        <w:tc>
          <w:tcPr>
            <w:tcW w:w="4624" w:type="dxa"/>
            <w:shd w:val="clear" w:color="auto" w:fill="auto"/>
          </w:tcPr>
          <w:p w14:paraId="5339D2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2567" w:type="dxa"/>
            <w:shd w:val="clear" w:color="auto" w:fill="auto"/>
          </w:tcPr>
          <w:p w14:paraId="6C4F38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ED49E8D" w14:textId="77777777" w:rsidTr="00804944">
        <w:tblPrEx>
          <w:tblLook w:val="0000" w:firstRow="0" w:lastRow="0" w:firstColumn="0" w:lastColumn="0" w:noHBand="0" w:noVBand="0"/>
        </w:tblPrEx>
        <w:trPr>
          <w:trHeight w:val="240"/>
        </w:trPr>
        <w:tc>
          <w:tcPr>
            <w:tcW w:w="4624" w:type="dxa"/>
            <w:shd w:val="clear" w:color="auto" w:fill="auto"/>
          </w:tcPr>
          <w:p w14:paraId="5EC918F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2567" w:type="dxa"/>
            <w:shd w:val="clear" w:color="auto" w:fill="auto"/>
          </w:tcPr>
          <w:p w14:paraId="63CF329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w:t>
            </w:r>
          </w:p>
        </w:tc>
      </w:tr>
      <w:tr w:rsidR="007B5A24" w:rsidRPr="00564B9D" w14:paraId="1943D274" w14:textId="77777777" w:rsidTr="00804944">
        <w:tblPrEx>
          <w:tblLook w:val="0000" w:firstRow="0" w:lastRow="0" w:firstColumn="0" w:lastColumn="0" w:noHBand="0" w:noVBand="0"/>
        </w:tblPrEx>
        <w:trPr>
          <w:trHeight w:val="240"/>
        </w:trPr>
        <w:tc>
          <w:tcPr>
            <w:tcW w:w="4624" w:type="dxa"/>
            <w:tcBorders>
              <w:bottom w:val="single" w:sz="12" w:space="0" w:color="auto"/>
            </w:tcBorders>
            <w:shd w:val="clear" w:color="auto" w:fill="auto"/>
          </w:tcPr>
          <w:p w14:paraId="5DD35C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الضحايا الذين تم تعويضهم بعد صدور الحكم القضائي، بحسب نوع الجريمة. </w:t>
            </w:r>
          </w:p>
        </w:tc>
        <w:tc>
          <w:tcPr>
            <w:tcW w:w="2567" w:type="dxa"/>
            <w:tcBorders>
              <w:bottom w:val="single" w:sz="12" w:space="0" w:color="auto"/>
            </w:tcBorders>
            <w:shd w:val="clear" w:color="auto" w:fill="auto"/>
          </w:tcPr>
          <w:p w14:paraId="10A15B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59ED65C2" w14:textId="277B92C1" w:rsidR="00494AE4" w:rsidRPr="00564B9D" w:rsidRDefault="00494AE4" w:rsidP="00494AE4">
      <w:pPr>
        <w:pStyle w:val="H1GA"/>
        <w:rPr>
          <w:rtl/>
        </w:rPr>
      </w:pPr>
      <w:r w:rsidRPr="00564B9D">
        <w:rPr>
          <w:rtl/>
        </w:rPr>
        <w:tab/>
      </w:r>
      <w:bookmarkStart w:id="283" w:name="_Toc123044173"/>
      <w:bookmarkStart w:id="284" w:name="_Toc123044396"/>
      <w:bookmarkStart w:id="285" w:name="_Toc123044657"/>
      <w:bookmarkStart w:id="286" w:name="_Toc123044919"/>
      <w:r w:rsidRPr="00564B9D">
        <w:rPr>
          <w:rFonts w:hint="cs"/>
          <w:rtl/>
        </w:rPr>
        <w:t>باء-</w:t>
      </w:r>
      <w:r w:rsidRPr="00564B9D">
        <w:rPr>
          <w:rtl/>
        </w:rPr>
        <w:tab/>
      </w:r>
      <w:r w:rsidRPr="00564B9D">
        <w:rPr>
          <w:rFonts w:hint="cs"/>
          <w:rtl/>
        </w:rPr>
        <w:t>الهيكل الدستوري والسياسي والقانوني</w:t>
      </w:r>
      <w:bookmarkEnd w:id="283"/>
      <w:bookmarkEnd w:id="284"/>
      <w:bookmarkEnd w:id="285"/>
      <w:bookmarkEnd w:id="286"/>
    </w:p>
    <w:p w14:paraId="0365B778" w14:textId="77777777" w:rsidR="00494AE4" w:rsidRPr="00564B9D" w:rsidRDefault="00494AE4" w:rsidP="00494AE4">
      <w:pPr>
        <w:pStyle w:val="SingleTxtGA"/>
        <w:rPr>
          <w:rtl/>
        </w:rPr>
      </w:pPr>
      <w:r w:rsidRPr="00564B9D">
        <w:rPr>
          <w:rtl/>
        </w:rPr>
        <w:t>123-</w:t>
      </w:r>
      <w:r w:rsidRPr="00564B9D">
        <w:rPr>
          <w:rtl/>
        </w:rPr>
        <w:tab/>
      </w:r>
      <w:r w:rsidRPr="00564B9D">
        <w:rPr>
          <w:rFonts w:hint="cs"/>
          <w:rtl/>
        </w:rPr>
        <w:t>بيتكيرن هي أحد الأقاليم البريطانية فيما وراء البحار، ويشمل كلاً من جزر بيتكيرن ودوسي وهندرسون وأوينو. وجزيرة بيتكيرن هي الوحيدة الآهلة بالسكان. وقد وضع دستور جديد من خلال القانون الدستوري لبيتكيرن لعام 2010</w:t>
      </w:r>
      <w:r w:rsidRPr="00564B9D">
        <w:rPr>
          <w:vertAlign w:val="superscript"/>
          <w:rtl/>
        </w:rPr>
        <w:t>(</w:t>
      </w:r>
      <w:r w:rsidRPr="00564B9D">
        <w:rPr>
          <w:rStyle w:val="FootnoteReference"/>
          <w:rFonts w:cs="Simplified Arabic"/>
          <w:b w:val="0"/>
          <w:sz w:val="22"/>
          <w:szCs w:val="22"/>
          <w:rtl/>
          <w:lang w:val="en-US"/>
        </w:rPr>
        <w:footnoteReference w:id="275"/>
      </w:r>
      <w:r w:rsidRPr="00564B9D">
        <w:rPr>
          <w:vertAlign w:val="superscript"/>
          <w:rtl/>
        </w:rPr>
        <w:t>)</w:t>
      </w:r>
      <w:r w:rsidRPr="00564B9D">
        <w:rPr>
          <w:rFonts w:hint="cs"/>
          <w:rtl/>
        </w:rPr>
        <w:t>.</w:t>
      </w:r>
    </w:p>
    <w:p w14:paraId="703C30F6"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السلطة التشريعية</w:t>
      </w:r>
    </w:p>
    <w:p w14:paraId="502F3A50" w14:textId="77777777" w:rsidR="00494AE4" w:rsidRPr="00564B9D" w:rsidRDefault="00494AE4" w:rsidP="00494AE4">
      <w:pPr>
        <w:pStyle w:val="SingleTxtGA"/>
        <w:rPr>
          <w:rtl/>
        </w:rPr>
      </w:pPr>
      <w:r w:rsidRPr="00564B9D">
        <w:rPr>
          <w:rFonts w:hint="cs"/>
          <w:rtl/>
        </w:rPr>
        <w:t>124</w:t>
      </w:r>
      <w:r w:rsidRPr="00564B9D">
        <w:rPr>
          <w:rtl/>
        </w:rPr>
        <w:t>-</w:t>
      </w:r>
      <w:r w:rsidRPr="00564B9D">
        <w:rPr>
          <w:rtl/>
        </w:rPr>
        <w:tab/>
      </w:r>
      <w:r w:rsidRPr="00564B9D">
        <w:rPr>
          <w:rFonts w:hint="cs"/>
          <w:rtl/>
        </w:rPr>
        <w:t>تُسند السلطة التشريعية إلى الحاكم الذي تعينه حكومة المملكة المتحدة. وبموجب الفرع</w:t>
      </w:r>
      <w:r w:rsidRPr="00564B9D">
        <w:rPr>
          <w:rFonts w:hint="eastAsia"/>
          <w:rtl/>
        </w:rPr>
        <w:t xml:space="preserve"> </w:t>
      </w:r>
      <w:r w:rsidRPr="00564B9D">
        <w:rPr>
          <w:rFonts w:hint="cs"/>
          <w:rtl/>
        </w:rPr>
        <w:t>36(1) من الدستور، يجوز للحاكم، بعد التشاور مع مجلس الجزيرة، أن يضع قوانين من أجل السلام والنظام والحكم السديد في بيتكيرن. وينص البند الفرعي (2) على أن الحاكم ليس مُلزماً، لدى وضعه القوانين، بالتصرف وفق مشورة مجلس الجزيرة. وفي أي حال من الأحوال، حين يتصرف الحاكم بشكل مخالف لمشورة المجلس، يحق لأي عضو من أعضاء المجلس أن يدلي برأيه في المسألة أمام وزير الخارجية (لدى حكومة المملكة المتحدة).</w:t>
      </w:r>
    </w:p>
    <w:p w14:paraId="3EDCED19"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p>
    <w:p w14:paraId="3C80B059" w14:textId="6C062A05" w:rsidR="00494AE4" w:rsidRPr="00564B9D" w:rsidRDefault="00494AE4" w:rsidP="00494AE4">
      <w:pPr>
        <w:pStyle w:val="SingleTxtGA"/>
        <w:rPr>
          <w:rtl/>
        </w:rPr>
      </w:pPr>
      <w:r w:rsidRPr="00564B9D">
        <w:rPr>
          <w:rFonts w:hint="cs"/>
          <w:rtl/>
        </w:rPr>
        <w:t>125</w:t>
      </w:r>
      <w:r w:rsidRPr="00564B9D">
        <w:rPr>
          <w:rtl/>
        </w:rPr>
        <w:t>-</w:t>
      </w:r>
      <w:r w:rsidRPr="00564B9D">
        <w:rPr>
          <w:rtl/>
        </w:rPr>
        <w:tab/>
      </w:r>
      <w:r w:rsidRPr="00564B9D">
        <w:rPr>
          <w:rFonts w:hint="cs"/>
          <w:rtl/>
        </w:rPr>
        <w:t>تسند السلطة التنفيذية إلى العاهل، ويمارسها الحاكم لدى صاحب الجلالة بالنيابة عنها، إما</w:t>
      </w:r>
      <w:r w:rsidR="00777024" w:rsidRPr="00564B9D">
        <w:rPr>
          <w:rFonts w:hint="eastAsia"/>
          <w:rtl/>
        </w:rPr>
        <w:t> </w:t>
      </w:r>
      <w:r w:rsidRPr="00564B9D">
        <w:rPr>
          <w:rFonts w:hint="cs"/>
          <w:rtl/>
        </w:rPr>
        <w:t>مباشرة أو من خلال موظفين تابعين للحاكم. ويجب أن تخضع ممارسة السلطة التنفيذية للدستور (الفرع 33). ويقيم حاكم بيتكيرن في نيوزيلندا، ويمثله في الجزيرة ممثل الحاكم، وهو منصب دبلوماسي تابع للمملكة المتحدة. كما يقيم نائب الحاكم والموظفون الإداريون في نيوزيلندا ويعملون على إدارة بيتكيرن بالاشتراك مع مجلس الجزيرة.</w:t>
      </w:r>
    </w:p>
    <w:p w14:paraId="2FFA1F20" w14:textId="77777777" w:rsidR="00494AE4" w:rsidRPr="00564B9D" w:rsidRDefault="00494AE4" w:rsidP="00494AE4">
      <w:pPr>
        <w:pStyle w:val="SingleTxtGA"/>
        <w:rPr>
          <w:rtl/>
        </w:rPr>
      </w:pPr>
      <w:r w:rsidRPr="00564B9D">
        <w:rPr>
          <w:rFonts w:hint="cs"/>
          <w:rtl/>
        </w:rPr>
        <w:t>126</w:t>
      </w:r>
      <w:r w:rsidRPr="00564B9D">
        <w:rPr>
          <w:rtl/>
        </w:rPr>
        <w:t>-</w:t>
      </w:r>
      <w:r w:rsidRPr="00564B9D">
        <w:rPr>
          <w:rtl/>
        </w:rPr>
        <w:tab/>
      </w:r>
      <w:r w:rsidRPr="00564B9D">
        <w:rPr>
          <w:rFonts w:hint="cs"/>
          <w:rtl/>
        </w:rPr>
        <w:t>ويُشكّل مجلس الجزيرة (الفرع 34 من الدستور) بموجب مرسوم الحكومة المحلية. وهو هيئة منتخبة تتألف من العمدة ونائب العمدة وخمسة مستشارين. وينحصر حق التصويت والترشّح لتولي المناصب في الأشخاص الذين يتمتعون بالحق في الإقامة في بيتكيرن أو الذين لديهم إقامة لمدة ثلاث سنوات، إلى جانب أزواجهم أو أزواجهم بحكم الواقع (انظر الفرع 11 من مرسوم الحكومة المحلية</w:t>
      </w:r>
      <w:r w:rsidRPr="00564B9D">
        <w:rPr>
          <w:vertAlign w:val="superscript"/>
          <w:rtl/>
        </w:rPr>
        <w:t>(</w:t>
      </w:r>
      <w:r w:rsidRPr="00564B9D">
        <w:rPr>
          <w:rStyle w:val="FootnoteReference"/>
          <w:rFonts w:cs="Simplified Arabic"/>
          <w:b w:val="0"/>
          <w:sz w:val="22"/>
          <w:szCs w:val="22"/>
          <w:rtl/>
          <w:lang w:val="en-US"/>
        </w:rPr>
        <w:footnoteReference w:id="276"/>
      </w:r>
      <w:r w:rsidRPr="00564B9D">
        <w:rPr>
          <w:vertAlign w:val="superscript"/>
          <w:rtl/>
        </w:rPr>
        <w:t>)</w:t>
      </w:r>
      <w:r w:rsidRPr="00564B9D">
        <w:rPr>
          <w:rFonts w:hint="cs"/>
          <w:rtl/>
        </w:rPr>
        <w:t>. وفي </w:t>
      </w:r>
      <w:r w:rsidRPr="00564B9D">
        <w:rPr>
          <w:rtl/>
        </w:rPr>
        <w:t>الممارسة العملية</w:t>
      </w:r>
      <w:r w:rsidRPr="00564B9D">
        <w:rPr>
          <w:rFonts w:hint="cs"/>
          <w:rtl/>
        </w:rPr>
        <w:t>،</w:t>
      </w:r>
      <w:r w:rsidRPr="00564B9D">
        <w:rPr>
          <w:rtl/>
        </w:rPr>
        <w:t xml:space="preserve"> </w:t>
      </w:r>
      <w:r w:rsidRPr="00564B9D">
        <w:rPr>
          <w:rFonts w:hint="cs"/>
          <w:rtl/>
        </w:rPr>
        <w:t>يُشرك الحاكم مجلس الجزيرة في صنع القرارات فيما يحتفظ هو بالسلطة التنفيذية. ويُسند العمدة إلى أعضاء مجلس الجزيرة مسؤولية الحقائب المتعلقة بمجالات النشاط الحكومي (مثل الأمن الحيوي والموارد الطبيعية والهجرة والأنشطة القانونية). ويعتبر النائب العام لجزيرة بيتكيرن المستشار القانوني الأول لحكومة بيتكيرن. ويتولى منصبه لسنوات يُحدد عددها في بنود خطاب التعيين أو حتى السن المحدد للتقاعد (الفرع 35 من الدستور). والنائب العام الحالي معين من نيوزيلندا ويقيم فيها.</w:t>
      </w:r>
    </w:p>
    <w:p w14:paraId="2988CB78"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p>
    <w:p w14:paraId="7FF280F3" w14:textId="77777777" w:rsidR="00494AE4" w:rsidRPr="00564B9D" w:rsidRDefault="00494AE4" w:rsidP="00494AE4">
      <w:pPr>
        <w:pStyle w:val="SingleTxtGA"/>
        <w:rPr>
          <w:rtl/>
        </w:rPr>
      </w:pPr>
      <w:r w:rsidRPr="00564B9D">
        <w:rPr>
          <w:rFonts w:hint="cs"/>
          <w:rtl/>
        </w:rPr>
        <w:t>127</w:t>
      </w:r>
      <w:r w:rsidRPr="00564B9D">
        <w:rPr>
          <w:rtl/>
        </w:rPr>
        <w:t>-</w:t>
      </w:r>
      <w:r w:rsidRPr="00564B9D">
        <w:rPr>
          <w:rtl/>
        </w:rPr>
        <w:tab/>
      </w:r>
      <w:r w:rsidRPr="00564B9D">
        <w:rPr>
          <w:rFonts w:hint="cs"/>
          <w:rtl/>
        </w:rPr>
        <w:t>محاكم بيتكيرن هي على النحو التالي:</w:t>
      </w:r>
    </w:p>
    <w:p w14:paraId="1549D9A0"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المحكمة الجزئية - وهي محكمة جزئية للجزيرة تمارس ولاية قضائية مدنية وجنائية محدودة. ويقع مقر المحكمة الجزئية في الجزيرة. ويقيم أعضاء الجهاز القضائي المتبقين والمحددين أدناه في نيوزيلندا. ويحضرون الى الجزيرة أو يرأسون جلسات الاستماع للدعاوي بواسطة وصلة فيديو حسب الاقتضاء. وهناك قضاة آخرون ("خارج الجزيرة") في نيوزيلندا يعتبرون من كبار محاميي نيوزيلندا؛</w:t>
      </w:r>
    </w:p>
    <w:p w14:paraId="4D2E7F9A"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المحكمة العليا - يقيم كبير القضاة وقضاة المحكمة العليا في نيوزيلندا، ويهتمون بمعالجة المسائل الخاصة ببيتكيرن عند الضرورة. ولدى المحكمة العليا ولاية قضائية غير محدودة، كما أنها تنظر في دعاوي الاستئناف الواردة من المحكمة الجزئية. كما يعتبر كبير القضاة الحالي وقضاة المحكمة العليا قضاة في النظام القضائي لنيوزيلندا، ويضطلعون (بموافقة</w:t>
      </w:r>
      <w:r w:rsidRPr="00564B9D">
        <w:rPr>
          <w:rFonts w:hint="eastAsia"/>
          <w:rtl/>
        </w:rPr>
        <w:t xml:space="preserve"> </w:t>
      </w:r>
      <w:r w:rsidRPr="00564B9D">
        <w:rPr>
          <w:rFonts w:hint="cs"/>
          <w:rtl/>
        </w:rPr>
        <w:t>من حكومة نيوزيلندا) بالواجبات القضائية لبيتكيرن، حسب الاقتضاء وكلما دعت الحاجة؛</w:t>
      </w:r>
    </w:p>
    <w:p w14:paraId="0BE224CB"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lastRenderedPageBreak/>
        <w:t>محكمة الاستئناف في بيتكيرن - تتألف محكمة استئناف بيتكيرن من رئيس واثنين أو أكثر من قضاة الاستئناف. ويقيم قضاة محكمة الاستئناف في نيوزيلندا. وتنظر اللجنة القضائية للمجلس الملكي الخاص في لندن في الطعون.</w:t>
      </w:r>
    </w:p>
    <w:p w14:paraId="7DAA3E28" w14:textId="77777777" w:rsidR="00494AE4" w:rsidRPr="00564B9D" w:rsidRDefault="00494AE4" w:rsidP="00494AE4">
      <w:pPr>
        <w:pStyle w:val="SingleTxtGA"/>
        <w:rPr>
          <w:rtl/>
        </w:rPr>
      </w:pPr>
      <w:r w:rsidRPr="00564B9D">
        <w:rPr>
          <w:rFonts w:hint="cs"/>
          <w:rtl/>
        </w:rPr>
        <w:t>128</w:t>
      </w:r>
      <w:r w:rsidRPr="00564B9D">
        <w:rPr>
          <w:rtl/>
        </w:rPr>
        <w:t>-</w:t>
      </w:r>
      <w:r w:rsidRPr="00564B9D">
        <w:rPr>
          <w:rtl/>
        </w:rPr>
        <w:tab/>
      </w:r>
      <w:r w:rsidRPr="00564B9D">
        <w:rPr>
          <w:rFonts w:hint="cs"/>
          <w:rtl/>
        </w:rPr>
        <w:t>ويعين الحاكم قضاة المحكمة الجزئية. وبناء على تعليمات وزير الخارجية، يعين الحاكم قضاة المحكمة العليا ومحكمة الاستئناف وكبير القضاة والرئيس.</w:t>
      </w:r>
    </w:p>
    <w:p w14:paraId="071F9080" w14:textId="77777777" w:rsidR="00494AE4" w:rsidRPr="00564B9D" w:rsidRDefault="00494AE4" w:rsidP="00494AE4">
      <w:pPr>
        <w:pStyle w:val="SingleTxtGA"/>
        <w:rPr>
          <w:rtl/>
        </w:rPr>
      </w:pPr>
      <w:r w:rsidRPr="00564B9D">
        <w:rPr>
          <w:rFonts w:hint="cs"/>
          <w:rtl/>
        </w:rPr>
        <w:t>129</w:t>
      </w:r>
      <w:r w:rsidRPr="00564B9D">
        <w:rPr>
          <w:rtl/>
        </w:rPr>
        <w:t>-</w:t>
      </w:r>
      <w:r w:rsidRPr="00564B9D">
        <w:rPr>
          <w:rtl/>
        </w:rPr>
        <w:tab/>
      </w:r>
      <w:r w:rsidRPr="00564B9D">
        <w:rPr>
          <w:rFonts w:hint="cs"/>
          <w:rtl/>
        </w:rPr>
        <w:t>وبموجب معاهدة ثنائية بين المملكة المتحدة ونيوزيلندا، يُسمح لحاكم بيتكيرن بأن يطلب الإذن لكي يُنظر في المحاكمات الجنائية لبيتكيرن في نيوزيلندا (من جانب قضاة بيتكيرن وبموجب قانون بيتكيرن). وفي واقع الأمر، فإن محاكمات بيتكيرن التي تتعلق بمجرمين من الجزيرة قد نظر فيها قضاة قدموا إلى الجزيرة. أما الطلبات السابقة للمحاكمة والطعون فقد تم النظر فيها في نيوزيلندا.</w:t>
      </w:r>
    </w:p>
    <w:p w14:paraId="60F73DAA" w14:textId="77777777" w:rsidR="00494AE4" w:rsidRPr="00564B9D" w:rsidRDefault="00494AE4" w:rsidP="00494AE4">
      <w:pPr>
        <w:pStyle w:val="HChGA"/>
        <w:rPr>
          <w:rtl/>
        </w:rPr>
      </w:pPr>
      <w:r w:rsidRPr="00564B9D">
        <w:rPr>
          <w:rtl/>
        </w:rPr>
        <w:tab/>
      </w:r>
      <w:bookmarkStart w:id="287" w:name="_Toc123044174"/>
      <w:bookmarkStart w:id="288" w:name="_Toc123044397"/>
      <w:bookmarkStart w:id="289" w:name="_Toc123044658"/>
      <w:bookmarkStart w:id="290" w:name="_Toc123044920"/>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287"/>
      <w:bookmarkEnd w:id="288"/>
      <w:bookmarkEnd w:id="289"/>
      <w:bookmarkEnd w:id="290"/>
    </w:p>
    <w:p w14:paraId="08058152" w14:textId="77777777" w:rsidR="00494AE4" w:rsidRPr="00564B9D" w:rsidRDefault="00494AE4" w:rsidP="00494AE4">
      <w:pPr>
        <w:pStyle w:val="H1GA"/>
        <w:rPr>
          <w:rtl/>
        </w:rPr>
      </w:pPr>
      <w:r w:rsidRPr="00564B9D">
        <w:rPr>
          <w:rtl/>
        </w:rPr>
        <w:tab/>
      </w:r>
      <w:bookmarkStart w:id="291" w:name="_Toc123044175"/>
      <w:bookmarkStart w:id="292" w:name="_Toc123044398"/>
      <w:bookmarkStart w:id="293" w:name="_Toc123044659"/>
      <w:bookmarkStart w:id="294" w:name="_Toc123044921"/>
      <w:r w:rsidRPr="00564B9D">
        <w:rPr>
          <w:rtl/>
        </w:rPr>
        <w:t>ألف-</w:t>
      </w:r>
      <w:r w:rsidRPr="00564B9D">
        <w:rPr>
          <w:rtl/>
        </w:rPr>
        <w:tab/>
      </w:r>
      <w:r w:rsidRPr="00564B9D">
        <w:rPr>
          <w:rFonts w:hint="cs"/>
          <w:rtl/>
        </w:rPr>
        <w:t>قبول معايير حقوق الإنسان الدولية</w:t>
      </w:r>
      <w:bookmarkEnd w:id="291"/>
      <w:bookmarkEnd w:id="292"/>
      <w:bookmarkEnd w:id="293"/>
      <w:bookmarkEnd w:id="294"/>
    </w:p>
    <w:p w14:paraId="563EE31B" w14:textId="77777777" w:rsidR="00494AE4" w:rsidRPr="00564B9D" w:rsidRDefault="00494AE4" w:rsidP="00494AE4">
      <w:pPr>
        <w:pStyle w:val="SingleTxtGA"/>
        <w:rPr>
          <w:rtl/>
        </w:rPr>
      </w:pPr>
      <w:r w:rsidRPr="00564B9D">
        <w:rPr>
          <w:rtl/>
        </w:rPr>
        <w:t>130-</w:t>
      </w:r>
      <w:r w:rsidRPr="00564B9D">
        <w:rPr>
          <w:rtl/>
        </w:rPr>
        <w:tab/>
      </w:r>
      <w:r w:rsidRPr="00564B9D">
        <w:rPr>
          <w:rFonts w:hint="cs"/>
          <w:rtl/>
        </w:rPr>
        <w:t>تم توسيع نطاق الصكوك الدولية الرئيسية التالية لتشمل جزر بيتكيرن.</w:t>
      </w:r>
    </w:p>
    <w:p w14:paraId="459B651D"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7582EF5C"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مناهضة التعذيب وغيره من ضروب المعاملة أو العقوبة القاسية أو اللاإنسانية أو المهينة؛ اتفاقية حقوق الطفل.</w:t>
      </w:r>
    </w:p>
    <w:p w14:paraId="3B2596DB"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2C1921E8"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منع جريمة الإبادة الجماعية والمعاقبة عليها؛ نظام روما الأساسي للمحكمة الجنائية الدولية.</w:t>
      </w:r>
    </w:p>
    <w:p w14:paraId="5B368CA8"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والمعاهدات الأخرى المتعلقة بالقانون الإنساني الدولي</w:t>
      </w:r>
    </w:p>
    <w:p w14:paraId="56BEFEE4"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78456650" w14:textId="77777777" w:rsidR="00494AE4" w:rsidRPr="00564B9D" w:rsidRDefault="00494AE4" w:rsidP="00494AE4">
      <w:pPr>
        <w:pStyle w:val="H1GA"/>
        <w:rPr>
          <w:rtl/>
        </w:rPr>
      </w:pPr>
      <w:r w:rsidRPr="00564B9D">
        <w:rPr>
          <w:rtl/>
        </w:rPr>
        <w:tab/>
      </w:r>
      <w:bookmarkStart w:id="295" w:name="_Toc123044176"/>
      <w:bookmarkStart w:id="296" w:name="_Toc123044399"/>
      <w:bookmarkStart w:id="297" w:name="_Toc123044660"/>
      <w:bookmarkStart w:id="298" w:name="_Toc123044922"/>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295"/>
      <w:bookmarkEnd w:id="296"/>
      <w:bookmarkEnd w:id="297"/>
      <w:bookmarkEnd w:id="298"/>
    </w:p>
    <w:p w14:paraId="19730413" w14:textId="28F5DE93" w:rsidR="00494AE4" w:rsidRPr="00564B9D" w:rsidRDefault="00494AE4" w:rsidP="00494AE4">
      <w:pPr>
        <w:pStyle w:val="SingleTxtGA"/>
        <w:rPr>
          <w:rtl/>
        </w:rPr>
      </w:pPr>
      <w:r w:rsidRPr="00564B9D">
        <w:rPr>
          <w:rFonts w:hint="cs"/>
          <w:rtl/>
        </w:rPr>
        <w:t>131</w:t>
      </w:r>
      <w:r w:rsidRPr="00564B9D">
        <w:rPr>
          <w:rtl/>
        </w:rPr>
        <w:t>-</w:t>
      </w:r>
      <w:r w:rsidRPr="00564B9D">
        <w:rPr>
          <w:rtl/>
        </w:rPr>
        <w:tab/>
      </w:r>
      <w:r w:rsidRPr="00564B9D">
        <w:rPr>
          <w:rFonts w:hint="cs"/>
          <w:rtl/>
        </w:rPr>
        <w:t>يحمي حقوق الإنسان نظام قانوني يتألف من محاكم مستقلة تعمل بموجب الدستور (الجزء 2 "حقوق الفرد وحرياته الأساسية") الذي يبين الحقوق الأساسية المستمدة من الاتفاقية الأوروبية لحماية</w:t>
      </w:r>
      <w:r w:rsidR="00777024" w:rsidRPr="00564B9D">
        <w:rPr>
          <w:rFonts w:hint="eastAsia"/>
          <w:rtl/>
        </w:rPr>
        <w:t> </w:t>
      </w:r>
      <w:r w:rsidRPr="00564B9D">
        <w:rPr>
          <w:rFonts w:hint="cs"/>
          <w:rtl/>
        </w:rPr>
        <w:t xml:space="preserve">حقوق الإنسان والحريات الأساسية. ويتضمن الدستور أيضاً الحق في حماية البيئة، وفي إجراءات إدارية عادلة، بوصفها حقوقاً مستمدة من مصادر أخرى. وبالإضافة إلى الحقوق الواردة في الدستور، فإن الحقوق المتأصلة في القانون العام في إنكلترا تطبق بصورة تامة في بيتكيرن. وبموجب الفرع 42 من الدستور، يتألف قانون بيتكيرن من القانون العام لإنكلترا في الوقت الحالي والأنظمة الأساسية الإنكليزية المطبقة عموماً طالما أن الظروف والقيود المحلية للولاية القضائية المحلية تسمح بذلك. ويعمل الحاكم </w:t>
      </w:r>
      <w:r w:rsidRPr="00564B9D">
        <w:rPr>
          <w:rFonts w:hint="cs"/>
          <w:rtl/>
        </w:rPr>
        <w:lastRenderedPageBreak/>
        <w:t>على أساس أن الحقوق المبينة في قانون حقوق الإنسان لعام 1998 (في المملكة المتحدة) تطبق أيضاً في بيتكيرن، مع العلم بأنه منذ عام 2010 نسخت نفس الحقوق في دستور بيتكيرن الذي دخل حيز النفاذ في تلك السنة.</w:t>
      </w:r>
    </w:p>
    <w:p w14:paraId="6C700DDD" w14:textId="77777777" w:rsidR="00494AE4" w:rsidRPr="00564B9D" w:rsidRDefault="00494AE4" w:rsidP="00494AE4">
      <w:pPr>
        <w:pStyle w:val="SingleTxtGA"/>
        <w:rPr>
          <w:rtl/>
        </w:rPr>
      </w:pPr>
      <w:r w:rsidRPr="00564B9D">
        <w:rPr>
          <w:rFonts w:hint="cs"/>
          <w:rtl/>
        </w:rPr>
        <w:t>132</w:t>
      </w:r>
      <w:r w:rsidRPr="00564B9D">
        <w:rPr>
          <w:rtl/>
        </w:rPr>
        <w:t>-</w:t>
      </w:r>
      <w:r w:rsidRPr="00564B9D">
        <w:rPr>
          <w:rtl/>
        </w:rPr>
        <w:tab/>
      </w:r>
      <w:r w:rsidRPr="00564B9D">
        <w:rPr>
          <w:rFonts w:hint="cs"/>
          <w:rtl/>
        </w:rPr>
        <w:t>وقد عُين أمين للمظالم في عام 2013. ويتمتع أمين المظالم بصلاحية النظر في الشكاوى المتعلقة بالإدارة الحكومية التي تؤثر في حقوق الأشخاص. وبناء على طلب من مجلس الجزيرة، عُيّن أمين للمظالم يكون مقره في المملكة المتحدة.</w:t>
      </w:r>
    </w:p>
    <w:p w14:paraId="21D0C3A2" w14:textId="77777777" w:rsidR="00494AE4" w:rsidRPr="00564B9D" w:rsidRDefault="00494AE4" w:rsidP="00494AE4">
      <w:pPr>
        <w:pStyle w:val="SingleTxtGA"/>
        <w:rPr>
          <w:rtl/>
        </w:rPr>
      </w:pPr>
      <w:r w:rsidRPr="00564B9D">
        <w:rPr>
          <w:rFonts w:hint="cs"/>
          <w:rtl/>
        </w:rPr>
        <w:t>133</w:t>
      </w:r>
      <w:r w:rsidRPr="00564B9D">
        <w:rPr>
          <w:rtl/>
        </w:rPr>
        <w:t>-</w:t>
      </w:r>
      <w:r w:rsidRPr="00564B9D">
        <w:rPr>
          <w:rtl/>
        </w:rPr>
        <w:tab/>
      </w:r>
      <w:r w:rsidRPr="00564B9D">
        <w:rPr>
          <w:rFonts w:hint="cs"/>
          <w:rtl/>
        </w:rPr>
        <w:t>ولا يوجد في جزيرة بيتكيرن أشخاص مدربون قانونياً. وعندما تدعو الحاجة إلى تمثيل قانوني في المحاكمات الجنائية، يؤمن ذلك التمثيل محامون مقيمون في نيوزيلندا ممن التمسوا السماح لهم بالانضمام إلى نقابة المحامين في بيتكيرن. كما تتاح إمكانية السماح لمحامين من بلدان الكومنولث الأخرى بالانضمام إلى نقابة المحامين. ويوجد في بيتكيرن محامي عام لتوفير التمثيل مجاناً.</w:t>
      </w:r>
    </w:p>
    <w:p w14:paraId="60EDEA80" w14:textId="77777777" w:rsidR="00494AE4" w:rsidRPr="00564B9D" w:rsidRDefault="00494AE4" w:rsidP="00494AE4">
      <w:pPr>
        <w:pStyle w:val="SingleTxtGA"/>
        <w:rPr>
          <w:rtl/>
        </w:rPr>
      </w:pPr>
      <w:r w:rsidRPr="00564B9D">
        <w:rPr>
          <w:rFonts w:hint="cs"/>
          <w:rtl/>
        </w:rPr>
        <w:t>134</w:t>
      </w:r>
      <w:r w:rsidRPr="00564B9D">
        <w:rPr>
          <w:rtl/>
        </w:rPr>
        <w:t>-</w:t>
      </w:r>
      <w:r w:rsidRPr="00564B9D">
        <w:rPr>
          <w:rtl/>
        </w:rPr>
        <w:tab/>
      </w:r>
      <w:r w:rsidRPr="00564B9D">
        <w:rPr>
          <w:rFonts w:hint="cs"/>
          <w:rtl/>
        </w:rPr>
        <w:t>وفي وقت إعداد هذا التقرير، يجري وضع مقترح بشأن تعيين "محامٍ للمجتمع المحلي" يقيم في نيوزيلندا - أي محام نيوزيلندي جاهز لتلقي البريد الإلكتروني والاستفسارات من سكان جزيرة بيتكيرن، وتقديم المشورة القانونية التي يمكن لمركز للقانون المجتمعي أن يقدمها في مجتمع أكبر حجماً.</w:t>
      </w:r>
    </w:p>
    <w:p w14:paraId="224A29BC" w14:textId="77777777" w:rsidR="00494AE4" w:rsidRPr="00564B9D" w:rsidRDefault="00494AE4" w:rsidP="00494AE4">
      <w:pPr>
        <w:pStyle w:val="H1GA"/>
        <w:rPr>
          <w:rtl/>
        </w:rPr>
      </w:pPr>
      <w:r w:rsidRPr="00564B9D">
        <w:rPr>
          <w:rtl/>
        </w:rPr>
        <w:tab/>
      </w:r>
      <w:bookmarkStart w:id="299" w:name="_Toc123044177"/>
      <w:bookmarkStart w:id="300" w:name="_Toc123044400"/>
      <w:bookmarkStart w:id="301" w:name="_Toc123044661"/>
      <w:bookmarkStart w:id="302" w:name="_Toc123044923"/>
      <w:r w:rsidRPr="00564B9D">
        <w:rPr>
          <w:rFonts w:hint="cs"/>
          <w:rtl/>
        </w:rPr>
        <w:t>جيم</w:t>
      </w:r>
      <w:r w:rsidRPr="00564B9D">
        <w:rPr>
          <w:rtl/>
        </w:rPr>
        <w:t>-</w:t>
      </w:r>
      <w:r w:rsidRPr="00564B9D">
        <w:rPr>
          <w:rtl/>
        </w:rPr>
        <w:tab/>
        <w:t xml:space="preserve">إطار </w:t>
      </w:r>
      <w:r w:rsidRPr="00564B9D">
        <w:rPr>
          <w:rFonts w:hint="cs"/>
          <w:rtl/>
        </w:rPr>
        <w:t xml:space="preserve">تعزيز حقوق </w:t>
      </w:r>
      <w:r w:rsidRPr="00564B9D">
        <w:rPr>
          <w:rtl/>
        </w:rPr>
        <w:t>الإنسان على الصعيد الوطني</w:t>
      </w:r>
      <w:bookmarkEnd w:id="299"/>
      <w:bookmarkEnd w:id="300"/>
      <w:bookmarkEnd w:id="301"/>
      <w:bookmarkEnd w:id="302"/>
    </w:p>
    <w:p w14:paraId="122FE718" w14:textId="77777777" w:rsidR="00494AE4" w:rsidRPr="00564B9D" w:rsidRDefault="00494AE4" w:rsidP="00494AE4">
      <w:pPr>
        <w:pStyle w:val="SingleTxtGA"/>
        <w:rPr>
          <w:rtl/>
        </w:rPr>
      </w:pPr>
      <w:r w:rsidRPr="00564B9D">
        <w:rPr>
          <w:rFonts w:hint="cs"/>
          <w:rtl/>
        </w:rPr>
        <w:t>135</w:t>
      </w:r>
      <w:r w:rsidRPr="00564B9D">
        <w:rPr>
          <w:rtl/>
        </w:rPr>
        <w:t>-</w:t>
      </w:r>
      <w:r w:rsidRPr="00564B9D">
        <w:rPr>
          <w:rtl/>
        </w:rPr>
        <w:tab/>
      </w:r>
      <w:r w:rsidRPr="00564B9D">
        <w:rPr>
          <w:rFonts w:hint="cs"/>
          <w:rtl/>
        </w:rPr>
        <w:t>بالتعاون مع مجلس الجزيرة وبمساعدة من مؤسسة الكومنولث، يجري إصدار كتيّب بسيط باللغة الإنكليزية لشرح سبل حماية حقوق الإنسان التي تعمل في إطار قانون بيتكيرن. وتُسند حافظة حقوق الإنسان إلى عضو معين من أعضاء مجلس الجزيرة.</w:t>
      </w:r>
    </w:p>
    <w:p w14:paraId="52C1365F" w14:textId="77777777" w:rsidR="00494AE4" w:rsidRPr="00564B9D" w:rsidRDefault="00494AE4" w:rsidP="00494AE4">
      <w:pPr>
        <w:pStyle w:val="HChGA"/>
        <w:rPr>
          <w:rtl/>
        </w:rPr>
      </w:pPr>
      <w:r w:rsidRPr="00564B9D">
        <w:rPr>
          <w:rtl/>
        </w:rPr>
        <w:tab/>
      </w:r>
      <w:bookmarkStart w:id="303" w:name="_Toc123044178"/>
      <w:bookmarkStart w:id="304" w:name="_Toc123044401"/>
      <w:bookmarkStart w:id="305" w:name="_Toc123044662"/>
      <w:bookmarkStart w:id="306" w:name="_Toc123044924"/>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303"/>
      <w:bookmarkEnd w:id="304"/>
      <w:bookmarkEnd w:id="305"/>
      <w:bookmarkEnd w:id="306"/>
    </w:p>
    <w:p w14:paraId="594FAC42" w14:textId="77777777" w:rsidR="00494AE4" w:rsidRPr="00564B9D" w:rsidRDefault="00494AE4" w:rsidP="00494AE4">
      <w:pPr>
        <w:pStyle w:val="SingleTxtGA"/>
      </w:pPr>
      <w:r w:rsidRPr="00564B9D">
        <w:rPr>
          <w:rtl/>
        </w:rPr>
        <w:t>136-</w:t>
      </w:r>
      <w:r w:rsidRPr="00564B9D">
        <w:rPr>
          <w:rtl/>
        </w:rPr>
        <w:tab/>
      </w:r>
      <w:r w:rsidRPr="00564B9D">
        <w:rPr>
          <w:rFonts w:hint="cs"/>
          <w:rtl/>
        </w:rPr>
        <w:t>يتضمن الدستور أحكاماً تنص على مناهضة التمييز. كما تجدر الإشارة إلى عدم وجود عمالة في القطاع الخاص في بيتكيرن، حيث إن القوى العاملة فيها إما تزاول الأعمال الحرة أو تتولى مناصب (على أساس غير متفرغ) في حكومة بيتكيرن</w:t>
      </w:r>
      <w:r w:rsidRPr="00564B9D">
        <w:rPr>
          <w:rtl/>
        </w:rPr>
        <w:t>.</w:t>
      </w:r>
    </w:p>
    <w:p w14:paraId="60904055" w14:textId="77777777" w:rsidR="00494AE4" w:rsidRPr="00564B9D" w:rsidRDefault="00494AE4" w:rsidP="000F66B4">
      <w:pPr>
        <w:pStyle w:val="HChGA"/>
        <w:rPr>
          <w:rtl/>
        </w:rPr>
      </w:pPr>
      <w:r w:rsidRPr="00564B9D">
        <w:rPr>
          <w:rtl/>
        </w:rPr>
        <w:tab/>
      </w:r>
      <w:r w:rsidRPr="00564B9D">
        <w:rPr>
          <w:rtl/>
        </w:rPr>
        <w:tab/>
      </w:r>
      <w:bookmarkStart w:id="307" w:name="_Toc123044663"/>
      <w:bookmarkStart w:id="308" w:name="_Toc123044925"/>
      <w:r w:rsidRPr="00564B9D">
        <w:rPr>
          <w:rFonts w:hint="cs"/>
          <w:rtl/>
        </w:rPr>
        <w:t>سانت هيلانة وأسنسيون وتريستان دا كونيا</w:t>
      </w:r>
      <w:r w:rsidRPr="00564B9D">
        <w:rPr>
          <w:b w:val="0"/>
          <w:bCs w:val="0"/>
          <w:sz w:val="22"/>
          <w:szCs w:val="22"/>
          <w:vertAlign w:val="superscript"/>
          <w:rtl/>
        </w:rPr>
        <w:t>(</w:t>
      </w:r>
      <w:r w:rsidRPr="00564B9D">
        <w:rPr>
          <w:b w:val="0"/>
          <w:bCs w:val="0"/>
          <w:sz w:val="22"/>
          <w:szCs w:val="22"/>
          <w:vertAlign w:val="superscript"/>
          <w:rtl/>
        </w:rPr>
        <w:footnoteReference w:id="277"/>
      </w:r>
      <w:r w:rsidRPr="00564B9D">
        <w:rPr>
          <w:b w:val="0"/>
          <w:bCs w:val="0"/>
          <w:sz w:val="22"/>
          <w:szCs w:val="22"/>
          <w:vertAlign w:val="superscript"/>
          <w:rtl/>
        </w:rPr>
        <w:t>)</w:t>
      </w:r>
      <w:bookmarkEnd w:id="307"/>
      <w:bookmarkEnd w:id="308"/>
      <w:r w:rsidRPr="00564B9D">
        <w:rPr>
          <w:rFonts w:hint="cs"/>
          <w:rtl/>
        </w:rPr>
        <w:t xml:space="preserve"> </w:t>
      </w:r>
    </w:p>
    <w:p w14:paraId="1900ED59" w14:textId="77777777" w:rsidR="00494AE4" w:rsidRPr="00564B9D" w:rsidRDefault="00494AE4" w:rsidP="00494AE4">
      <w:pPr>
        <w:pStyle w:val="HChGA"/>
        <w:rPr>
          <w:rtl/>
        </w:rPr>
      </w:pPr>
      <w:r w:rsidRPr="00564B9D">
        <w:rPr>
          <w:rtl/>
        </w:rPr>
        <w:tab/>
      </w:r>
      <w:bookmarkStart w:id="309" w:name="_Toc123044179"/>
      <w:bookmarkStart w:id="310" w:name="_Toc123044402"/>
      <w:bookmarkStart w:id="311" w:name="_Toc123044664"/>
      <w:bookmarkStart w:id="312" w:name="_Toc123044926"/>
      <w:r w:rsidRPr="00564B9D">
        <w:rPr>
          <w:rFonts w:hint="cs"/>
          <w:rtl/>
        </w:rPr>
        <w:t>أولاً</w:t>
      </w:r>
      <w:r w:rsidRPr="00564B9D">
        <w:rPr>
          <w:rtl/>
        </w:rPr>
        <w:t>-</w:t>
      </w:r>
      <w:r w:rsidRPr="00564B9D">
        <w:rPr>
          <w:rtl/>
        </w:rPr>
        <w:tab/>
      </w:r>
      <w:r w:rsidRPr="00564B9D">
        <w:rPr>
          <w:rFonts w:hint="cs"/>
          <w:rtl/>
        </w:rPr>
        <w:t>معلومات عامة</w:t>
      </w:r>
      <w:bookmarkEnd w:id="309"/>
      <w:bookmarkEnd w:id="310"/>
      <w:bookmarkEnd w:id="311"/>
      <w:bookmarkEnd w:id="312"/>
    </w:p>
    <w:p w14:paraId="539E3B75" w14:textId="77777777" w:rsidR="00494AE4" w:rsidRPr="00564B9D" w:rsidRDefault="00494AE4" w:rsidP="00494AE4">
      <w:pPr>
        <w:pStyle w:val="H1GA"/>
        <w:rPr>
          <w:rtl/>
        </w:rPr>
      </w:pPr>
      <w:r w:rsidRPr="00564B9D">
        <w:rPr>
          <w:rtl/>
        </w:rPr>
        <w:tab/>
      </w:r>
      <w:bookmarkStart w:id="313" w:name="_Toc123044180"/>
      <w:bookmarkStart w:id="314" w:name="_Toc123044403"/>
      <w:bookmarkStart w:id="315" w:name="_Toc123044665"/>
      <w:bookmarkStart w:id="316" w:name="_Toc123044927"/>
      <w:r w:rsidRPr="00564B9D">
        <w:rPr>
          <w:rtl/>
        </w:rPr>
        <w:t>ألف-</w:t>
      </w:r>
      <w:r w:rsidRPr="00564B9D">
        <w:rPr>
          <w:rtl/>
        </w:rPr>
        <w:tab/>
        <w:t>الخصائص الديمغرافية والاقتصادية والاجتماعية والثقافية</w:t>
      </w:r>
      <w:bookmarkEnd w:id="313"/>
      <w:bookmarkEnd w:id="314"/>
      <w:bookmarkEnd w:id="315"/>
      <w:bookmarkEnd w:id="316"/>
    </w:p>
    <w:tbl>
      <w:tblPr>
        <w:bidiVisual/>
        <w:tblW w:w="8392" w:type="dxa"/>
        <w:tblInd w:w="1247" w:type="dxa"/>
        <w:tblLayout w:type="fixed"/>
        <w:tblCellMar>
          <w:right w:w="113" w:type="dxa"/>
        </w:tblCellMar>
        <w:tblLook w:val="01E0" w:firstRow="1" w:lastRow="1" w:firstColumn="1" w:lastColumn="1" w:noHBand="0" w:noVBand="0"/>
      </w:tblPr>
      <w:tblGrid>
        <w:gridCol w:w="4714"/>
        <w:gridCol w:w="3678"/>
      </w:tblGrid>
      <w:tr w:rsidR="007B5A24" w:rsidRPr="00564B9D" w14:paraId="789FCA6D" w14:textId="77777777" w:rsidTr="00804944">
        <w:trPr>
          <w:trHeight w:val="240"/>
          <w:tblHeader/>
        </w:trPr>
        <w:tc>
          <w:tcPr>
            <w:tcW w:w="7200" w:type="dxa"/>
            <w:gridSpan w:val="2"/>
            <w:tcBorders>
              <w:top w:val="single" w:sz="4" w:space="0" w:color="auto"/>
              <w:bottom w:val="single" w:sz="12" w:space="0" w:color="auto"/>
            </w:tcBorders>
            <w:shd w:val="clear" w:color="auto" w:fill="auto"/>
            <w:vAlign w:val="bottom"/>
          </w:tcPr>
          <w:p w14:paraId="785BE652"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الديمغرافية</w:t>
            </w:r>
          </w:p>
        </w:tc>
      </w:tr>
      <w:tr w:rsidR="007B5A24" w:rsidRPr="00564B9D" w14:paraId="07FFE284" w14:textId="77777777" w:rsidTr="00804944">
        <w:trPr>
          <w:trHeight w:val="240"/>
        </w:trPr>
        <w:tc>
          <w:tcPr>
            <w:tcW w:w="4044" w:type="dxa"/>
            <w:tcBorders>
              <w:top w:val="single" w:sz="12" w:space="0" w:color="auto"/>
            </w:tcBorders>
            <w:shd w:val="clear" w:color="auto" w:fill="auto"/>
          </w:tcPr>
          <w:p w14:paraId="2525B4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3156" w:type="dxa"/>
            <w:tcBorders>
              <w:top w:val="single" w:sz="12" w:space="0" w:color="auto"/>
            </w:tcBorders>
            <w:shd w:val="clear" w:color="auto" w:fill="auto"/>
          </w:tcPr>
          <w:p w14:paraId="328A8A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564</w:t>
            </w:r>
            <w:r w:rsidRPr="00564B9D">
              <w:rPr>
                <w:sz w:val="20"/>
                <w:szCs w:val="20"/>
                <w:rtl/>
              </w:rPr>
              <w:t> </w:t>
            </w:r>
            <w:r w:rsidRPr="00564B9D">
              <w:rPr>
                <w:rFonts w:hint="cs"/>
                <w:sz w:val="20"/>
                <w:szCs w:val="20"/>
                <w:rtl/>
              </w:rPr>
              <w:t>4 (تقدير السكان المقيمين، في منتصف عام 2020)</w:t>
            </w:r>
          </w:p>
        </w:tc>
      </w:tr>
      <w:tr w:rsidR="007B5A24" w:rsidRPr="00564B9D" w14:paraId="6C2EC760" w14:textId="77777777" w:rsidTr="00804944">
        <w:trPr>
          <w:trHeight w:val="240"/>
        </w:trPr>
        <w:tc>
          <w:tcPr>
            <w:tcW w:w="4044" w:type="dxa"/>
            <w:shd w:val="clear" w:color="auto" w:fill="auto"/>
          </w:tcPr>
          <w:p w14:paraId="7EA19B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معدل النمو السكاني </w:t>
            </w:r>
          </w:p>
        </w:tc>
        <w:tc>
          <w:tcPr>
            <w:tcW w:w="3156" w:type="dxa"/>
            <w:shd w:val="clear" w:color="auto" w:fill="auto"/>
          </w:tcPr>
          <w:p w14:paraId="18DA240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0,1 في المائة</w:t>
            </w:r>
          </w:p>
          <w:p w14:paraId="03A50148" w14:textId="24E1B176"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متوسط معدل النمو السنوي في منتصف السنة للسكان المقيمين، عام 2016</w:t>
            </w:r>
          </w:p>
        </w:tc>
      </w:tr>
      <w:tr w:rsidR="007B5A24" w:rsidRPr="00564B9D" w14:paraId="09D26C87" w14:textId="77777777" w:rsidTr="00804944">
        <w:trPr>
          <w:trHeight w:val="240"/>
        </w:trPr>
        <w:tc>
          <w:tcPr>
            <w:tcW w:w="4044" w:type="dxa"/>
            <w:shd w:val="clear" w:color="auto" w:fill="auto"/>
          </w:tcPr>
          <w:p w14:paraId="59A38BC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الكثافة السكانية (عدد الأشخاص في الكيلومتر المربع)</w:t>
            </w:r>
          </w:p>
        </w:tc>
        <w:tc>
          <w:tcPr>
            <w:tcW w:w="3156" w:type="dxa"/>
            <w:shd w:val="clear" w:color="auto" w:fill="auto"/>
          </w:tcPr>
          <w:p w14:paraId="7235823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37,7 (تقدير السكان المقيمين، في منتصف عام 2020)</w:t>
            </w:r>
          </w:p>
        </w:tc>
      </w:tr>
      <w:tr w:rsidR="007B5A24" w:rsidRPr="00564B9D" w14:paraId="72FFF1BD" w14:textId="77777777" w:rsidTr="00804944">
        <w:trPr>
          <w:trHeight w:val="240"/>
        </w:trPr>
        <w:tc>
          <w:tcPr>
            <w:tcW w:w="4044" w:type="dxa"/>
            <w:shd w:val="clear" w:color="auto" w:fill="auto"/>
          </w:tcPr>
          <w:p w14:paraId="689A2F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3156" w:type="dxa"/>
            <w:shd w:val="clear" w:color="auto" w:fill="auto"/>
          </w:tcPr>
          <w:p w14:paraId="7E0A7A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الإنكليزية هي اللغة الأم</w:t>
            </w:r>
          </w:p>
        </w:tc>
      </w:tr>
      <w:tr w:rsidR="007B5A24" w:rsidRPr="00564B9D" w14:paraId="38608019" w14:textId="77777777" w:rsidTr="00804944">
        <w:trPr>
          <w:trHeight w:val="240"/>
        </w:trPr>
        <w:tc>
          <w:tcPr>
            <w:tcW w:w="4044" w:type="dxa"/>
            <w:shd w:val="clear" w:color="auto" w:fill="auto"/>
          </w:tcPr>
          <w:p w14:paraId="5FE9C4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3156" w:type="dxa"/>
            <w:shd w:val="clear" w:color="auto" w:fill="auto"/>
          </w:tcPr>
          <w:p w14:paraId="2621E2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مسيحيون: 85,5 في المائة</w:t>
            </w:r>
          </w:p>
          <w:p w14:paraId="7CF5F6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ديانات </w:t>
            </w:r>
            <w:r w:rsidRPr="00564B9D">
              <w:rPr>
                <w:sz w:val="20"/>
                <w:szCs w:val="20"/>
                <w:rtl/>
              </w:rPr>
              <w:t>أخرى: 0,5 في المائة</w:t>
            </w:r>
          </w:p>
          <w:p w14:paraId="02F602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بلا دين: 4,7 في المائة</w:t>
            </w:r>
          </w:p>
          <w:p w14:paraId="32CE64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لم يذكر الدين: 9,3 في المائة</w:t>
            </w:r>
          </w:p>
          <w:p w14:paraId="32EC90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(التعداد السكاني لعام 2016)</w:t>
            </w:r>
          </w:p>
        </w:tc>
      </w:tr>
      <w:tr w:rsidR="007B5A24" w:rsidRPr="00564B9D" w14:paraId="2A83DC8A" w14:textId="77777777" w:rsidTr="00804944">
        <w:trPr>
          <w:trHeight w:val="240"/>
        </w:trPr>
        <w:tc>
          <w:tcPr>
            <w:tcW w:w="4044" w:type="dxa"/>
            <w:shd w:val="clear" w:color="auto" w:fill="auto"/>
          </w:tcPr>
          <w:p w14:paraId="691F0C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الفئات الإثنية</w:t>
            </w:r>
          </w:p>
        </w:tc>
        <w:tc>
          <w:tcPr>
            <w:tcW w:w="3156" w:type="dxa"/>
            <w:shd w:val="clear" w:color="auto" w:fill="auto"/>
          </w:tcPr>
          <w:p w14:paraId="6728FD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المعلومات غير متوفرة</w:t>
            </w:r>
          </w:p>
        </w:tc>
      </w:tr>
      <w:tr w:rsidR="007B5A24" w:rsidRPr="00564B9D" w14:paraId="5EBF6F35" w14:textId="77777777" w:rsidTr="00804944">
        <w:trPr>
          <w:trHeight w:val="240"/>
        </w:trPr>
        <w:tc>
          <w:tcPr>
            <w:tcW w:w="4044" w:type="dxa"/>
            <w:shd w:val="clear" w:color="auto" w:fill="auto"/>
          </w:tcPr>
          <w:p w14:paraId="1FB076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التركيب العمري للسكان </w:t>
            </w:r>
          </w:p>
        </w:tc>
        <w:tc>
          <w:tcPr>
            <w:tcW w:w="3156" w:type="dxa"/>
            <w:shd w:val="clear" w:color="auto" w:fill="auto"/>
          </w:tcPr>
          <w:p w14:paraId="4FB145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8B5C2D1" w14:textId="77777777" w:rsidTr="00804944">
        <w:trPr>
          <w:trHeight w:val="240"/>
        </w:trPr>
        <w:tc>
          <w:tcPr>
            <w:tcW w:w="4044" w:type="dxa"/>
            <w:shd w:val="clear" w:color="auto" w:fill="auto"/>
          </w:tcPr>
          <w:p w14:paraId="711A1D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3156" w:type="dxa"/>
            <w:shd w:val="clear" w:color="auto" w:fill="auto"/>
          </w:tcPr>
          <w:p w14:paraId="11E491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13,6 في المائة (التعداد السكاني لعام 2016)</w:t>
            </w:r>
          </w:p>
        </w:tc>
      </w:tr>
      <w:tr w:rsidR="007B5A24" w:rsidRPr="00564B9D" w14:paraId="78F4D428" w14:textId="77777777" w:rsidTr="00804944">
        <w:trPr>
          <w:trHeight w:val="240"/>
        </w:trPr>
        <w:tc>
          <w:tcPr>
            <w:tcW w:w="4044" w:type="dxa"/>
            <w:shd w:val="clear" w:color="auto" w:fill="auto"/>
          </w:tcPr>
          <w:p w14:paraId="3FFF70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3156" w:type="dxa"/>
            <w:shd w:val="clear" w:color="auto" w:fill="auto"/>
          </w:tcPr>
          <w:p w14:paraId="457A1E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20,7 في المائة (التعداد السكاني لعام 2016)</w:t>
            </w:r>
          </w:p>
        </w:tc>
      </w:tr>
      <w:tr w:rsidR="007B5A24" w:rsidRPr="00564B9D" w14:paraId="0395D76A" w14:textId="77777777" w:rsidTr="00804944">
        <w:trPr>
          <w:trHeight w:val="240"/>
        </w:trPr>
        <w:tc>
          <w:tcPr>
            <w:tcW w:w="4044" w:type="dxa"/>
            <w:shd w:val="clear" w:color="auto" w:fill="auto"/>
          </w:tcPr>
          <w:p w14:paraId="637BF7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3156" w:type="dxa"/>
            <w:shd w:val="clear" w:color="auto" w:fill="auto"/>
          </w:tcPr>
          <w:p w14:paraId="25C14C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8,4 (2019، على أساس المواليد في السنوات الخمس السابقة)</w:t>
            </w:r>
          </w:p>
        </w:tc>
      </w:tr>
      <w:tr w:rsidR="007B5A24" w:rsidRPr="00564B9D" w14:paraId="09449F05" w14:textId="77777777" w:rsidTr="00804944">
        <w:trPr>
          <w:trHeight w:val="240"/>
        </w:trPr>
        <w:tc>
          <w:tcPr>
            <w:tcW w:w="4044" w:type="dxa"/>
            <w:shd w:val="clear" w:color="auto" w:fill="auto"/>
          </w:tcPr>
          <w:p w14:paraId="2675B3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3156" w:type="dxa"/>
            <w:shd w:val="clear" w:color="auto" w:fill="auto"/>
          </w:tcPr>
          <w:p w14:paraId="0C7540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غير </w:t>
            </w:r>
            <w:r w:rsidRPr="00564B9D">
              <w:rPr>
                <w:rFonts w:hint="cs"/>
                <w:sz w:val="20"/>
                <w:szCs w:val="20"/>
                <w:rtl/>
              </w:rPr>
              <w:t>متوفر</w:t>
            </w:r>
            <w:r w:rsidRPr="00564B9D">
              <w:rPr>
                <w:sz w:val="20"/>
                <w:szCs w:val="20"/>
                <w:rtl/>
              </w:rPr>
              <w:t xml:space="preserve"> (عدد السكان صغير جداً بحيث لا يمكن إجراء عملية حسابية ذات صلة</w:t>
            </w:r>
            <w:r w:rsidRPr="00564B9D">
              <w:rPr>
                <w:rFonts w:hint="cs"/>
                <w:sz w:val="20"/>
                <w:szCs w:val="20"/>
                <w:rtl/>
              </w:rPr>
              <w:t>)</w:t>
            </w:r>
          </w:p>
        </w:tc>
      </w:tr>
      <w:tr w:rsidR="007B5A24" w:rsidRPr="00564B9D" w14:paraId="4B26C11F" w14:textId="77777777" w:rsidTr="00804944">
        <w:trPr>
          <w:trHeight w:val="240"/>
        </w:trPr>
        <w:tc>
          <w:tcPr>
            <w:tcW w:w="4044" w:type="dxa"/>
            <w:shd w:val="clear" w:color="auto" w:fill="auto"/>
          </w:tcPr>
          <w:p w14:paraId="289537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3156" w:type="dxa"/>
            <w:shd w:val="clear" w:color="auto" w:fill="auto"/>
          </w:tcPr>
          <w:p w14:paraId="7F7BCA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13 (2019، بناءً على الوفيات في السنوات العشر السابقة)</w:t>
            </w:r>
          </w:p>
        </w:tc>
      </w:tr>
      <w:tr w:rsidR="007B5A24" w:rsidRPr="00564B9D" w14:paraId="33563809" w14:textId="77777777" w:rsidTr="00804944">
        <w:trPr>
          <w:trHeight w:val="240"/>
        </w:trPr>
        <w:tc>
          <w:tcPr>
            <w:tcW w:w="4044" w:type="dxa"/>
            <w:shd w:val="clear" w:color="auto" w:fill="auto"/>
          </w:tcPr>
          <w:p w14:paraId="28CB96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w:t>
            </w:r>
          </w:p>
        </w:tc>
        <w:tc>
          <w:tcPr>
            <w:tcW w:w="3156" w:type="dxa"/>
            <w:shd w:val="clear" w:color="auto" w:fill="auto"/>
          </w:tcPr>
          <w:p w14:paraId="254A6D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14</w:t>
            </w:r>
            <w:r w:rsidRPr="00564B9D">
              <w:rPr>
                <w:sz w:val="20"/>
                <w:szCs w:val="20"/>
                <w:rtl/>
              </w:rPr>
              <w:t xml:space="preserve"> (2019، بناءً على الوفيات في السنوات العشر السابقة)</w:t>
            </w:r>
          </w:p>
        </w:tc>
      </w:tr>
      <w:tr w:rsidR="007B5A24" w:rsidRPr="00564B9D" w14:paraId="3C35A88F" w14:textId="77777777" w:rsidTr="00804944">
        <w:trPr>
          <w:trHeight w:val="240"/>
        </w:trPr>
        <w:tc>
          <w:tcPr>
            <w:tcW w:w="4044" w:type="dxa"/>
            <w:shd w:val="clear" w:color="auto" w:fill="auto"/>
          </w:tcPr>
          <w:p w14:paraId="0DB087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3156" w:type="dxa"/>
            <w:shd w:val="clear" w:color="auto" w:fill="auto"/>
          </w:tcPr>
          <w:p w14:paraId="4859E8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11</w:t>
            </w:r>
            <w:r w:rsidRPr="00564B9D">
              <w:rPr>
                <w:sz w:val="20"/>
                <w:szCs w:val="20"/>
                <w:rtl/>
              </w:rPr>
              <w:t xml:space="preserve"> (2019، بناءً على الوفيات في السنوات العشر السابقة)</w:t>
            </w:r>
          </w:p>
        </w:tc>
      </w:tr>
      <w:tr w:rsidR="007B5A24" w:rsidRPr="00564B9D" w14:paraId="2FD010F3" w14:textId="77777777" w:rsidTr="00804944">
        <w:trPr>
          <w:trHeight w:val="240"/>
        </w:trPr>
        <w:tc>
          <w:tcPr>
            <w:tcW w:w="4044" w:type="dxa"/>
            <w:shd w:val="clear" w:color="auto" w:fill="auto"/>
          </w:tcPr>
          <w:p w14:paraId="71905A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3156" w:type="dxa"/>
            <w:shd w:val="clear" w:color="auto" w:fill="auto"/>
          </w:tcPr>
          <w:p w14:paraId="49E9F7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77,4</w:t>
            </w:r>
            <w:r w:rsidRPr="00564B9D">
              <w:rPr>
                <w:sz w:val="20"/>
                <w:szCs w:val="20"/>
                <w:rtl/>
              </w:rPr>
              <w:t xml:space="preserve"> (2019، بناءً على الوفيات في السنوات العشر السابقة)</w:t>
            </w:r>
          </w:p>
        </w:tc>
      </w:tr>
      <w:tr w:rsidR="007B5A24" w:rsidRPr="00564B9D" w14:paraId="289347BB" w14:textId="77777777" w:rsidTr="00804944">
        <w:trPr>
          <w:trHeight w:val="240"/>
        </w:trPr>
        <w:tc>
          <w:tcPr>
            <w:tcW w:w="4044" w:type="dxa"/>
            <w:shd w:val="clear" w:color="auto" w:fill="auto"/>
          </w:tcPr>
          <w:p w14:paraId="5C2717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رجال</w:t>
            </w:r>
          </w:p>
        </w:tc>
        <w:tc>
          <w:tcPr>
            <w:tcW w:w="3156" w:type="dxa"/>
            <w:shd w:val="clear" w:color="auto" w:fill="auto"/>
          </w:tcPr>
          <w:p w14:paraId="62B72F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74,5</w:t>
            </w:r>
            <w:r w:rsidRPr="00564B9D">
              <w:rPr>
                <w:sz w:val="20"/>
                <w:szCs w:val="20"/>
                <w:rtl/>
              </w:rPr>
              <w:t xml:space="preserve"> (2019، بناءً على الوفيات في السنوات العشر السابقة)</w:t>
            </w:r>
          </w:p>
        </w:tc>
      </w:tr>
      <w:tr w:rsidR="007B5A24" w:rsidRPr="00564B9D" w14:paraId="53E0D9C1" w14:textId="77777777" w:rsidTr="00804944">
        <w:trPr>
          <w:trHeight w:val="240"/>
        </w:trPr>
        <w:tc>
          <w:tcPr>
            <w:tcW w:w="4044" w:type="dxa"/>
            <w:shd w:val="clear" w:color="auto" w:fill="auto"/>
          </w:tcPr>
          <w:p w14:paraId="353388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نساء </w:t>
            </w:r>
          </w:p>
        </w:tc>
        <w:tc>
          <w:tcPr>
            <w:tcW w:w="3156" w:type="dxa"/>
            <w:shd w:val="clear" w:color="auto" w:fill="auto"/>
          </w:tcPr>
          <w:p w14:paraId="1517FA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81,0</w:t>
            </w:r>
            <w:r w:rsidRPr="00564B9D">
              <w:rPr>
                <w:sz w:val="20"/>
                <w:szCs w:val="20"/>
                <w:rtl/>
              </w:rPr>
              <w:t xml:space="preserve"> (2019، بناءً على الوفيات في السنوات العشر السابقة)</w:t>
            </w:r>
          </w:p>
        </w:tc>
      </w:tr>
      <w:tr w:rsidR="007B5A24" w:rsidRPr="00564B9D" w14:paraId="13A054AD" w14:textId="77777777" w:rsidTr="00804944">
        <w:trPr>
          <w:trHeight w:val="240"/>
        </w:trPr>
        <w:tc>
          <w:tcPr>
            <w:tcW w:w="4044" w:type="dxa"/>
            <w:shd w:val="clear" w:color="auto" w:fill="auto"/>
          </w:tcPr>
          <w:p w14:paraId="740EA5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3156" w:type="dxa"/>
            <w:shd w:val="clear" w:color="auto" w:fill="auto"/>
          </w:tcPr>
          <w:p w14:paraId="70FC21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المعلومات غير متوفرة</w:t>
            </w:r>
          </w:p>
        </w:tc>
      </w:tr>
      <w:tr w:rsidR="007B5A24" w:rsidRPr="00564B9D" w14:paraId="4203386C" w14:textId="77777777" w:rsidTr="00804944">
        <w:trPr>
          <w:trHeight w:val="240"/>
        </w:trPr>
        <w:tc>
          <w:tcPr>
            <w:tcW w:w="4044" w:type="dxa"/>
            <w:shd w:val="clear" w:color="auto" w:fill="auto"/>
          </w:tcPr>
          <w:p w14:paraId="08DD2FB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3156" w:type="dxa"/>
            <w:shd w:val="clear" w:color="auto" w:fill="auto"/>
          </w:tcPr>
          <w:p w14:paraId="287C42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2,4 التعداد السكاني لعام 2016 </w:t>
            </w:r>
          </w:p>
        </w:tc>
      </w:tr>
      <w:tr w:rsidR="007B5A24" w:rsidRPr="00564B9D" w14:paraId="38E543A0" w14:textId="77777777" w:rsidTr="00804944">
        <w:trPr>
          <w:trHeight w:val="240"/>
        </w:trPr>
        <w:tc>
          <w:tcPr>
            <w:tcW w:w="4044" w:type="dxa"/>
            <w:tcBorders>
              <w:bottom w:val="single" w:sz="12" w:space="0" w:color="auto"/>
            </w:tcBorders>
            <w:shd w:val="clear" w:color="auto" w:fill="auto"/>
          </w:tcPr>
          <w:p w14:paraId="109868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3156" w:type="dxa"/>
            <w:tcBorders>
              <w:bottom w:val="single" w:sz="12" w:space="0" w:color="auto"/>
            </w:tcBorders>
            <w:shd w:val="clear" w:color="auto" w:fill="auto"/>
          </w:tcPr>
          <w:p w14:paraId="41DC3B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غير متوفرة</w:t>
            </w:r>
          </w:p>
        </w:tc>
      </w:tr>
    </w:tbl>
    <w:p w14:paraId="4E601BD4"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729"/>
        <w:gridCol w:w="3663"/>
      </w:tblGrid>
      <w:tr w:rsidR="007B5A24" w:rsidRPr="00564B9D" w14:paraId="3CC815E5" w14:textId="77777777" w:rsidTr="00804944">
        <w:trPr>
          <w:trHeight w:val="240"/>
          <w:tblHeader/>
        </w:trPr>
        <w:tc>
          <w:tcPr>
            <w:tcW w:w="7219" w:type="dxa"/>
            <w:gridSpan w:val="2"/>
            <w:tcBorders>
              <w:top w:val="single" w:sz="4" w:space="0" w:color="auto"/>
              <w:bottom w:val="single" w:sz="12" w:space="0" w:color="auto"/>
            </w:tcBorders>
            <w:shd w:val="clear" w:color="auto" w:fill="auto"/>
            <w:vAlign w:val="bottom"/>
          </w:tcPr>
          <w:p w14:paraId="58187186"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56225492" w14:textId="77777777" w:rsidTr="00804944">
        <w:trPr>
          <w:trHeight w:val="240"/>
        </w:trPr>
        <w:tc>
          <w:tcPr>
            <w:tcW w:w="4068" w:type="dxa"/>
            <w:tcBorders>
              <w:top w:val="single" w:sz="12" w:space="0" w:color="auto"/>
            </w:tcBorders>
            <w:shd w:val="clear" w:color="auto" w:fill="auto"/>
          </w:tcPr>
          <w:p w14:paraId="62FCC1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3151" w:type="dxa"/>
            <w:tcBorders>
              <w:top w:val="single" w:sz="12" w:space="0" w:color="auto"/>
            </w:tcBorders>
            <w:shd w:val="clear" w:color="auto" w:fill="auto"/>
          </w:tcPr>
          <w:p w14:paraId="1596D2D1" w14:textId="0161C3BA"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48,3 في المائة (</w:t>
            </w:r>
            <w:r w:rsidRPr="00564B9D">
              <w:rPr>
                <w:rFonts w:hint="cs"/>
                <w:sz w:val="20"/>
                <w:szCs w:val="20"/>
                <w:rtl/>
              </w:rPr>
              <w:t>استقصاء الإنفاق الأسري لعام </w:t>
            </w:r>
            <w:r w:rsidR="008209C8" w:rsidRPr="00564B9D">
              <w:rPr>
                <w:rFonts w:hint="cs"/>
                <w:sz w:val="20"/>
                <w:szCs w:val="20"/>
                <w:rtl/>
              </w:rPr>
              <w:t>2017</w:t>
            </w:r>
            <w:r w:rsidRPr="00564B9D">
              <w:rPr>
                <w:sz w:val="20"/>
                <w:szCs w:val="20"/>
                <w:rtl/>
              </w:rPr>
              <w:t>)</w:t>
            </w:r>
            <w:r w:rsidRPr="00564B9D">
              <w:rPr>
                <w:rFonts w:hint="cs"/>
                <w:sz w:val="20"/>
                <w:szCs w:val="20"/>
                <w:rtl/>
              </w:rPr>
              <w:t xml:space="preserve"> </w:t>
            </w:r>
          </w:p>
        </w:tc>
      </w:tr>
      <w:tr w:rsidR="007B5A24" w:rsidRPr="00564B9D" w14:paraId="7C57DEC0" w14:textId="77777777" w:rsidTr="00804944">
        <w:trPr>
          <w:trHeight w:val="240"/>
        </w:trPr>
        <w:tc>
          <w:tcPr>
            <w:tcW w:w="4068" w:type="dxa"/>
            <w:shd w:val="clear" w:color="auto" w:fill="auto"/>
          </w:tcPr>
          <w:p w14:paraId="7E134B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3151" w:type="dxa"/>
            <w:shd w:val="clear" w:color="auto" w:fill="auto"/>
          </w:tcPr>
          <w:p w14:paraId="45377A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D69A41B" w14:textId="77777777" w:rsidTr="00804944">
        <w:trPr>
          <w:trHeight w:val="240"/>
        </w:trPr>
        <w:tc>
          <w:tcPr>
            <w:tcW w:w="4068" w:type="dxa"/>
            <w:shd w:val="clear" w:color="auto" w:fill="auto"/>
          </w:tcPr>
          <w:p w14:paraId="52095E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151" w:type="dxa"/>
            <w:shd w:val="clear" w:color="auto" w:fill="auto"/>
          </w:tcPr>
          <w:p w14:paraId="4C8DF7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F5D6DB1" w14:textId="77777777" w:rsidTr="00804944">
        <w:trPr>
          <w:trHeight w:val="240"/>
        </w:trPr>
        <w:tc>
          <w:tcPr>
            <w:tcW w:w="4068" w:type="dxa"/>
            <w:shd w:val="clear" w:color="auto" w:fill="auto"/>
          </w:tcPr>
          <w:p w14:paraId="58C998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معامل جيني (المتصل بتوزيع الدخل) </w:t>
            </w:r>
          </w:p>
        </w:tc>
        <w:tc>
          <w:tcPr>
            <w:tcW w:w="3151" w:type="dxa"/>
            <w:shd w:val="clear" w:color="auto" w:fill="auto"/>
          </w:tcPr>
          <w:p w14:paraId="48DBB2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2DA6F12" w14:textId="77777777" w:rsidTr="00804944">
        <w:trPr>
          <w:trHeight w:val="240"/>
        </w:trPr>
        <w:tc>
          <w:tcPr>
            <w:tcW w:w="4068" w:type="dxa"/>
            <w:shd w:val="clear" w:color="auto" w:fill="auto"/>
          </w:tcPr>
          <w:p w14:paraId="2E45E80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3151" w:type="dxa"/>
            <w:shd w:val="clear" w:color="auto" w:fill="auto"/>
          </w:tcPr>
          <w:p w14:paraId="4AE4493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أقل من 1 في المائة </w:t>
            </w:r>
          </w:p>
        </w:tc>
      </w:tr>
      <w:tr w:rsidR="007B5A24" w:rsidRPr="00564B9D" w14:paraId="167E74AB" w14:textId="77777777" w:rsidTr="00804944">
        <w:trPr>
          <w:trHeight w:val="240"/>
        </w:trPr>
        <w:tc>
          <w:tcPr>
            <w:tcW w:w="4068" w:type="dxa"/>
            <w:shd w:val="clear" w:color="auto" w:fill="auto"/>
          </w:tcPr>
          <w:p w14:paraId="00E3CB1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w:t>
            </w:r>
            <w:r w:rsidRPr="00564B9D">
              <w:rPr>
                <w:rFonts w:hint="eastAsia"/>
                <w:sz w:val="20"/>
                <w:szCs w:val="20"/>
                <w:rtl/>
              </w:rPr>
              <w:t xml:space="preserve"> </w:t>
            </w:r>
            <w:r w:rsidRPr="00564B9D">
              <w:rPr>
                <w:rFonts w:hint="cs"/>
                <w:sz w:val="20"/>
                <w:szCs w:val="20"/>
                <w:rtl/>
              </w:rPr>
              <w:t>حي)</w:t>
            </w:r>
          </w:p>
        </w:tc>
        <w:tc>
          <w:tcPr>
            <w:tcW w:w="3151" w:type="dxa"/>
            <w:shd w:val="clear" w:color="auto" w:fill="auto"/>
          </w:tcPr>
          <w:p w14:paraId="3DF260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غير </w:t>
            </w:r>
            <w:r w:rsidRPr="00564B9D">
              <w:rPr>
                <w:rFonts w:hint="cs"/>
                <w:sz w:val="20"/>
                <w:szCs w:val="20"/>
                <w:rtl/>
              </w:rPr>
              <w:t>متوفرة</w:t>
            </w:r>
            <w:r w:rsidRPr="00564B9D">
              <w:rPr>
                <w:sz w:val="20"/>
                <w:szCs w:val="20"/>
                <w:rtl/>
              </w:rPr>
              <w:t xml:space="preserve"> (عدد السكان صغير جداً بحيث لا يمكن إجراء عملية حسابية ذات صلة)</w:t>
            </w:r>
          </w:p>
        </w:tc>
      </w:tr>
      <w:tr w:rsidR="007B5A24" w:rsidRPr="00564B9D" w14:paraId="411F736F" w14:textId="77777777" w:rsidTr="00804944">
        <w:trPr>
          <w:trHeight w:val="240"/>
        </w:trPr>
        <w:tc>
          <w:tcPr>
            <w:tcW w:w="4068" w:type="dxa"/>
            <w:shd w:val="clear" w:color="auto" w:fill="auto"/>
          </w:tcPr>
          <w:p w14:paraId="0C4E85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3151" w:type="dxa"/>
            <w:shd w:val="clear" w:color="auto" w:fill="auto"/>
          </w:tcPr>
          <w:p w14:paraId="3B5183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453D20E" w14:textId="77777777" w:rsidTr="00804944">
        <w:trPr>
          <w:trHeight w:val="240"/>
        </w:trPr>
        <w:tc>
          <w:tcPr>
            <w:tcW w:w="4068" w:type="dxa"/>
            <w:shd w:val="clear" w:color="auto" w:fill="auto"/>
          </w:tcPr>
          <w:p w14:paraId="6E9C2DE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3151" w:type="dxa"/>
            <w:shd w:val="clear" w:color="auto" w:fill="auto"/>
          </w:tcPr>
          <w:p w14:paraId="789918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المعلومات غير متوفرة</w:t>
            </w:r>
          </w:p>
        </w:tc>
      </w:tr>
      <w:tr w:rsidR="007B5A24" w:rsidRPr="00564B9D" w14:paraId="7951CBC0" w14:textId="77777777" w:rsidTr="00804944">
        <w:trPr>
          <w:trHeight w:val="240"/>
        </w:trPr>
        <w:tc>
          <w:tcPr>
            <w:tcW w:w="4068" w:type="dxa"/>
            <w:shd w:val="clear" w:color="auto" w:fill="auto"/>
          </w:tcPr>
          <w:p w14:paraId="3EAE21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151" w:type="dxa"/>
            <w:shd w:val="clear" w:color="auto" w:fill="auto"/>
          </w:tcPr>
          <w:p w14:paraId="394DD0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غير متوفر. لا توجد إصابات نشطة بفيروس </w:t>
            </w:r>
            <w:r w:rsidRPr="00564B9D">
              <w:rPr>
                <w:rFonts w:hint="cs"/>
                <w:sz w:val="20"/>
                <w:szCs w:val="20"/>
                <w:rtl/>
              </w:rPr>
              <w:t>سارز-2/كوفيد-19</w:t>
            </w:r>
            <w:r w:rsidRPr="00564B9D">
              <w:rPr>
                <w:sz w:val="20"/>
                <w:szCs w:val="20"/>
                <w:rtl/>
              </w:rPr>
              <w:t xml:space="preserve"> في أي من الجزر في </w:t>
            </w:r>
            <w:r w:rsidRPr="00564B9D">
              <w:rPr>
                <w:rFonts w:hint="cs"/>
                <w:sz w:val="20"/>
                <w:szCs w:val="20"/>
                <w:rtl/>
              </w:rPr>
              <w:t>تشرين الثاني/</w:t>
            </w:r>
            <w:r w:rsidRPr="00564B9D">
              <w:rPr>
                <w:sz w:val="20"/>
                <w:szCs w:val="20"/>
                <w:rtl/>
              </w:rPr>
              <w:t>نوفمبر 2020</w:t>
            </w:r>
          </w:p>
        </w:tc>
      </w:tr>
      <w:tr w:rsidR="007B5A24" w:rsidRPr="00564B9D" w14:paraId="7E174678" w14:textId="77777777" w:rsidTr="00804944">
        <w:trPr>
          <w:trHeight w:val="240"/>
        </w:trPr>
        <w:tc>
          <w:tcPr>
            <w:tcW w:w="4068" w:type="dxa"/>
            <w:shd w:val="clear" w:color="auto" w:fill="auto"/>
          </w:tcPr>
          <w:p w14:paraId="52028A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3151" w:type="dxa"/>
            <w:shd w:val="clear" w:color="auto" w:fill="auto"/>
          </w:tcPr>
          <w:p w14:paraId="46852C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A582EF0" w14:textId="77777777" w:rsidTr="00804944">
        <w:trPr>
          <w:trHeight w:val="240"/>
        </w:trPr>
        <w:tc>
          <w:tcPr>
            <w:tcW w:w="4068" w:type="dxa"/>
            <w:shd w:val="clear" w:color="auto" w:fill="auto"/>
          </w:tcPr>
          <w:p w14:paraId="5DF753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3151" w:type="dxa"/>
            <w:shd w:val="clear" w:color="auto" w:fill="auto"/>
          </w:tcPr>
          <w:p w14:paraId="743E6F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سرطان؛ مرض قلبي؛ سكتة دماغية؛ أمراض الجهاز التنفسي</w:t>
            </w:r>
            <w:r w:rsidRPr="00564B9D">
              <w:rPr>
                <w:rFonts w:hint="cs"/>
                <w:sz w:val="20"/>
                <w:szCs w:val="20"/>
                <w:rtl/>
              </w:rPr>
              <w:t>؛</w:t>
            </w:r>
            <w:r w:rsidRPr="00564B9D">
              <w:rPr>
                <w:sz w:val="20"/>
                <w:szCs w:val="20"/>
                <w:rtl/>
              </w:rPr>
              <w:t xml:space="preserve"> أمراض الأوعية الدموية (1994-2009، خمسة أسباب رئيسية فقط بسبب قلة عدد السكان)</w:t>
            </w:r>
          </w:p>
        </w:tc>
      </w:tr>
      <w:tr w:rsidR="007B5A24" w:rsidRPr="00564B9D" w14:paraId="5FC0A07C" w14:textId="77777777" w:rsidTr="00804944">
        <w:trPr>
          <w:trHeight w:val="430"/>
        </w:trPr>
        <w:tc>
          <w:tcPr>
            <w:tcW w:w="4068" w:type="dxa"/>
            <w:shd w:val="clear" w:color="auto" w:fill="auto"/>
          </w:tcPr>
          <w:p w14:paraId="440D793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151" w:type="dxa"/>
            <w:shd w:val="clear" w:color="auto" w:fill="auto"/>
          </w:tcPr>
          <w:p w14:paraId="53F101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100 في المائة </w:t>
            </w:r>
          </w:p>
        </w:tc>
      </w:tr>
      <w:tr w:rsidR="007B5A24" w:rsidRPr="00564B9D" w14:paraId="514D03C6" w14:textId="77777777" w:rsidTr="00804944">
        <w:trPr>
          <w:trHeight w:val="484"/>
        </w:trPr>
        <w:tc>
          <w:tcPr>
            <w:tcW w:w="4068" w:type="dxa"/>
            <w:shd w:val="clear" w:color="auto" w:fill="auto"/>
          </w:tcPr>
          <w:p w14:paraId="7BD9B1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3151" w:type="dxa"/>
            <w:shd w:val="clear" w:color="auto" w:fill="auto"/>
          </w:tcPr>
          <w:p w14:paraId="697890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F70BD3A" w14:textId="77777777" w:rsidTr="00804944">
        <w:trPr>
          <w:trHeight w:val="240"/>
        </w:trPr>
        <w:tc>
          <w:tcPr>
            <w:tcW w:w="4068" w:type="dxa"/>
            <w:shd w:val="clear" w:color="auto" w:fill="auto"/>
          </w:tcPr>
          <w:p w14:paraId="1296AB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3151" w:type="dxa"/>
            <w:shd w:val="clear" w:color="auto" w:fill="auto"/>
          </w:tcPr>
          <w:p w14:paraId="39398A0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11 (2018/2019)</w:t>
            </w:r>
          </w:p>
        </w:tc>
      </w:tr>
      <w:tr w:rsidR="007B5A24" w:rsidRPr="00564B9D" w14:paraId="66B99A02" w14:textId="77777777" w:rsidTr="00804944">
        <w:trPr>
          <w:trHeight w:val="240"/>
        </w:trPr>
        <w:tc>
          <w:tcPr>
            <w:tcW w:w="4068" w:type="dxa"/>
            <w:shd w:val="clear" w:color="auto" w:fill="auto"/>
          </w:tcPr>
          <w:p w14:paraId="53184A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3151" w:type="dxa"/>
            <w:shd w:val="clear" w:color="auto" w:fill="auto"/>
          </w:tcPr>
          <w:p w14:paraId="66019B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غير متوفر</w:t>
            </w:r>
          </w:p>
        </w:tc>
      </w:tr>
      <w:tr w:rsidR="007B5A24" w:rsidRPr="00564B9D" w14:paraId="23EA7644" w14:textId="77777777" w:rsidTr="00804944">
        <w:trPr>
          <w:trHeight w:val="240"/>
        </w:trPr>
        <w:tc>
          <w:tcPr>
            <w:tcW w:w="4068" w:type="dxa"/>
            <w:shd w:val="clear" w:color="auto" w:fill="auto"/>
          </w:tcPr>
          <w:p w14:paraId="79562F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3151" w:type="dxa"/>
            <w:shd w:val="clear" w:color="auto" w:fill="auto"/>
          </w:tcPr>
          <w:p w14:paraId="7A68DCC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2,8 في المائة (التعداد السكاني لعام 2016)</w:t>
            </w:r>
          </w:p>
        </w:tc>
      </w:tr>
      <w:tr w:rsidR="007B5A24" w:rsidRPr="00564B9D" w14:paraId="49E06B2D" w14:textId="77777777" w:rsidTr="00804944">
        <w:trPr>
          <w:trHeight w:val="240"/>
        </w:trPr>
        <w:tc>
          <w:tcPr>
            <w:tcW w:w="4068" w:type="dxa"/>
            <w:shd w:val="clear" w:color="auto" w:fill="auto"/>
          </w:tcPr>
          <w:p w14:paraId="74C7DC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3151" w:type="dxa"/>
            <w:shd w:val="clear" w:color="auto" w:fill="auto"/>
          </w:tcPr>
          <w:p w14:paraId="326502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الزراعة والحراجة: 77</w:t>
            </w:r>
          </w:p>
          <w:p w14:paraId="682B92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الصيد: 35</w:t>
            </w:r>
          </w:p>
          <w:p w14:paraId="6AA5FD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استخراج الحجارة: 8</w:t>
            </w:r>
          </w:p>
          <w:p w14:paraId="7CFF4D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الإمداد بالكهرباء والمياه: 71</w:t>
            </w:r>
          </w:p>
          <w:p w14:paraId="695D21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البناء: 520</w:t>
            </w:r>
          </w:p>
          <w:p w14:paraId="34CA43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تجارة الجملة والتجزئة: 424</w:t>
            </w:r>
          </w:p>
          <w:p w14:paraId="4E9997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النقل والتخزين: 81</w:t>
            </w:r>
          </w:p>
          <w:p w14:paraId="75662C7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الإقامة والخدمات الغذائية: 102</w:t>
            </w:r>
          </w:p>
          <w:p w14:paraId="6BC5F65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الإعلام والاتصال: 67</w:t>
            </w:r>
          </w:p>
          <w:p w14:paraId="2487C7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خدمات التمويل والتأمين: 57</w:t>
            </w:r>
          </w:p>
          <w:p w14:paraId="07FBD6B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خدمات الأعمال: 167</w:t>
            </w:r>
          </w:p>
          <w:p w14:paraId="636893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القطاع العام بما في ذلك الصحة والتعليم: 812</w:t>
            </w:r>
          </w:p>
          <w:p w14:paraId="3DE5F2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الخدمات المجتمعية والشخصية: 139</w:t>
            </w:r>
          </w:p>
          <w:p w14:paraId="39994E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قطاعات </w:t>
            </w:r>
            <w:r w:rsidRPr="00564B9D">
              <w:rPr>
                <w:sz w:val="20"/>
                <w:szCs w:val="20"/>
                <w:rtl/>
              </w:rPr>
              <w:t>أخرى: 56</w:t>
            </w:r>
          </w:p>
          <w:p w14:paraId="495B9F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غير معروف: 22</w:t>
            </w:r>
          </w:p>
          <w:p w14:paraId="5AF853D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مجموع العاملين: 638 2</w:t>
            </w:r>
          </w:p>
          <w:p w14:paraId="03B4CB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(تعداد 2016)</w:t>
            </w:r>
          </w:p>
        </w:tc>
      </w:tr>
      <w:tr w:rsidR="007B5A24" w:rsidRPr="00564B9D" w14:paraId="635FD752" w14:textId="77777777" w:rsidTr="00804944">
        <w:trPr>
          <w:trHeight w:val="240"/>
        </w:trPr>
        <w:tc>
          <w:tcPr>
            <w:tcW w:w="4068" w:type="dxa"/>
            <w:shd w:val="clear" w:color="auto" w:fill="auto"/>
          </w:tcPr>
          <w:p w14:paraId="417C89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3151" w:type="dxa"/>
            <w:shd w:val="clear" w:color="auto" w:fill="auto"/>
          </w:tcPr>
          <w:p w14:paraId="61A71F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79C460F" w14:textId="77777777" w:rsidTr="00804944">
        <w:trPr>
          <w:trHeight w:val="240"/>
        </w:trPr>
        <w:tc>
          <w:tcPr>
            <w:tcW w:w="4068" w:type="dxa"/>
            <w:shd w:val="clear" w:color="auto" w:fill="auto"/>
          </w:tcPr>
          <w:p w14:paraId="6ED440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151" w:type="dxa"/>
            <w:shd w:val="clear" w:color="auto" w:fill="auto"/>
          </w:tcPr>
          <w:p w14:paraId="5FAFD57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توجد نقابات عمال</w:t>
            </w:r>
          </w:p>
        </w:tc>
      </w:tr>
      <w:tr w:rsidR="007B5A24" w:rsidRPr="00564B9D" w14:paraId="034C4854" w14:textId="77777777" w:rsidTr="00804944">
        <w:trPr>
          <w:trHeight w:val="240"/>
        </w:trPr>
        <w:tc>
          <w:tcPr>
            <w:tcW w:w="4068" w:type="dxa"/>
            <w:shd w:val="clear" w:color="auto" w:fill="auto"/>
          </w:tcPr>
          <w:p w14:paraId="4138B0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3151" w:type="dxa"/>
            <w:shd w:val="clear" w:color="auto" w:fill="auto"/>
          </w:tcPr>
          <w:p w14:paraId="36E64B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الأجر السنوي </w:t>
            </w:r>
            <w:r w:rsidRPr="00564B9D">
              <w:rPr>
                <w:rFonts w:hint="cs"/>
                <w:sz w:val="20"/>
                <w:szCs w:val="20"/>
                <w:rtl/>
              </w:rPr>
              <w:t>ال</w:t>
            </w:r>
            <w:r w:rsidRPr="00564B9D">
              <w:rPr>
                <w:sz w:val="20"/>
                <w:szCs w:val="20"/>
                <w:rtl/>
              </w:rPr>
              <w:t>متوسط من العمل بدوام كامل: 410 </w:t>
            </w:r>
            <w:r w:rsidRPr="00564B9D">
              <w:rPr>
                <w:rFonts w:hint="cs"/>
                <w:sz w:val="20"/>
                <w:szCs w:val="20"/>
                <w:rtl/>
              </w:rPr>
              <w:t xml:space="preserve">8 </w:t>
            </w:r>
            <w:r w:rsidRPr="00564B9D">
              <w:rPr>
                <w:sz w:val="20"/>
                <w:szCs w:val="20"/>
                <w:rtl/>
              </w:rPr>
              <w:t>جنيه</w:t>
            </w:r>
            <w:r w:rsidRPr="00564B9D">
              <w:rPr>
                <w:rFonts w:hint="cs"/>
                <w:sz w:val="20"/>
                <w:szCs w:val="20"/>
                <w:rtl/>
              </w:rPr>
              <w:t>ات</w:t>
            </w:r>
            <w:r w:rsidRPr="00564B9D">
              <w:rPr>
                <w:sz w:val="20"/>
                <w:szCs w:val="20"/>
                <w:rtl/>
              </w:rPr>
              <w:t xml:space="preserve"> </w:t>
            </w:r>
            <w:r w:rsidRPr="00564B9D">
              <w:rPr>
                <w:rFonts w:hint="cs"/>
                <w:sz w:val="20"/>
                <w:szCs w:val="20"/>
                <w:rtl/>
              </w:rPr>
              <w:t>استرلينية</w:t>
            </w:r>
          </w:p>
          <w:p w14:paraId="3BFBB9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(2018/</w:t>
            </w:r>
            <w:r w:rsidRPr="00564B9D">
              <w:rPr>
                <w:rFonts w:hint="cs"/>
                <w:sz w:val="20"/>
                <w:szCs w:val="20"/>
                <w:rtl/>
              </w:rPr>
              <w:t>2019</w:t>
            </w:r>
            <w:r w:rsidRPr="00564B9D">
              <w:rPr>
                <w:sz w:val="20"/>
                <w:szCs w:val="20"/>
                <w:rtl/>
              </w:rPr>
              <w:t>)</w:t>
            </w:r>
          </w:p>
          <w:p w14:paraId="42F6645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نصيب الفرد من الدخل القومي الإجمالي: 960 </w:t>
            </w:r>
            <w:r w:rsidRPr="00564B9D">
              <w:rPr>
                <w:rFonts w:hint="cs"/>
                <w:sz w:val="20"/>
                <w:szCs w:val="20"/>
                <w:rtl/>
              </w:rPr>
              <w:t xml:space="preserve">7 </w:t>
            </w:r>
            <w:r w:rsidRPr="00564B9D">
              <w:rPr>
                <w:sz w:val="20"/>
                <w:szCs w:val="20"/>
                <w:rtl/>
              </w:rPr>
              <w:t>جنيه إسترليني</w:t>
            </w:r>
          </w:p>
          <w:p w14:paraId="017512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(2018/</w:t>
            </w:r>
            <w:r w:rsidRPr="00564B9D">
              <w:rPr>
                <w:rFonts w:hint="cs"/>
                <w:sz w:val="20"/>
                <w:szCs w:val="20"/>
                <w:rtl/>
              </w:rPr>
              <w:t>2019</w:t>
            </w:r>
            <w:r w:rsidRPr="00564B9D">
              <w:rPr>
                <w:sz w:val="20"/>
                <w:szCs w:val="20"/>
                <w:rtl/>
              </w:rPr>
              <w:t>)</w:t>
            </w:r>
          </w:p>
        </w:tc>
      </w:tr>
      <w:tr w:rsidR="007B5A24" w:rsidRPr="00564B9D" w14:paraId="62BE7136" w14:textId="77777777" w:rsidTr="00804944">
        <w:trPr>
          <w:trHeight w:val="240"/>
        </w:trPr>
        <w:tc>
          <w:tcPr>
            <w:tcW w:w="4068" w:type="dxa"/>
            <w:shd w:val="clear" w:color="auto" w:fill="auto"/>
          </w:tcPr>
          <w:p w14:paraId="207F7A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الناتج المحلي الإجمالي </w:t>
            </w:r>
          </w:p>
        </w:tc>
        <w:tc>
          <w:tcPr>
            <w:tcW w:w="3151" w:type="dxa"/>
            <w:shd w:val="clear" w:color="auto" w:fill="auto"/>
          </w:tcPr>
          <w:p w14:paraId="55788C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38,6 مليون جنيه إسترليني</w:t>
            </w:r>
          </w:p>
          <w:p w14:paraId="0CB6FAC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(أسعار السوق 2018/</w:t>
            </w:r>
            <w:r w:rsidRPr="00564B9D">
              <w:rPr>
                <w:rFonts w:hint="cs"/>
                <w:sz w:val="20"/>
                <w:szCs w:val="20"/>
                <w:rtl/>
              </w:rPr>
              <w:t>2019</w:t>
            </w:r>
            <w:r w:rsidRPr="00564B9D">
              <w:rPr>
                <w:sz w:val="20"/>
                <w:szCs w:val="20"/>
                <w:rtl/>
              </w:rPr>
              <w:t>)</w:t>
            </w:r>
          </w:p>
        </w:tc>
      </w:tr>
      <w:tr w:rsidR="007B5A24" w:rsidRPr="00564B9D" w14:paraId="62BE9721" w14:textId="77777777" w:rsidTr="00804944">
        <w:trPr>
          <w:trHeight w:val="240"/>
        </w:trPr>
        <w:tc>
          <w:tcPr>
            <w:tcW w:w="4068" w:type="dxa"/>
            <w:shd w:val="clear" w:color="auto" w:fill="auto"/>
          </w:tcPr>
          <w:p w14:paraId="3F0A202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3151" w:type="dxa"/>
            <w:shd w:val="clear" w:color="auto" w:fill="auto"/>
          </w:tcPr>
          <w:p w14:paraId="028125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-1,1 في المائة</w:t>
            </w:r>
          </w:p>
          <w:p w14:paraId="2F9ADA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(2018/</w:t>
            </w:r>
            <w:r w:rsidRPr="00564B9D">
              <w:rPr>
                <w:rFonts w:hint="cs"/>
                <w:sz w:val="20"/>
                <w:szCs w:val="20"/>
                <w:rtl/>
              </w:rPr>
              <w:t>2019)</w:t>
            </w:r>
          </w:p>
        </w:tc>
      </w:tr>
      <w:tr w:rsidR="007B5A24" w:rsidRPr="00564B9D" w14:paraId="78DA4DA6" w14:textId="77777777" w:rsidTr="00804944">
        <w:trPr>
          <w:trHeight w:val="240"/>
        </w:trPr>
        <w:tc>
          <w:tcPr>
            <w:tcW w:w="4068" w:type="dxa"/>
            <w:shd w:val="clear" w:color="auto" w:fill="auto"/>
          </w:tcPr>
          <w:p w14:paraId="44B8CA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w:t>
            </w:r>
          </w:p>
        </w:tc>
        <w:tc>
          <w:tcPr>
            <w:tcW w:w="3151" w:type="dxa"/>
            <w:shd w:val="clear" w:color="auto" w:fill="auto"/>
          </w:tcPr>
          <w:p w14:paraId="003487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37,3 مليون جنيه إسترليني</w:t>
            </w:r>
          </w:p>
          <w:p w14:paraId="7A3FB3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(2018/</w:t>
            </w:r>
            <w:r w:rsidRPr="00564B9D">
              <w:rPr>
                <w:rFonts w:hint="cs"/>
                <w:sz w:val="20"/>
                <w:szCs w:val="20"/>
                <w:rtl/>
              </w:rPr>
              <w:t>2019</w:t>
            </w:r>
            <w:r w:rsidRPr="00564B9D">
              <w:rPr>
                <w:sz w:val="20"/>
                <w:szCs w:val="20"/>
                <w:rtl/>
              </w:rPr>
              <w:t>)</w:t>
            </w:r>
          </w:p>
        </w:tc>
      </w:tr>
      <w:tr w:rsidR="007B5A24" w:rsidRPr="00564B9D" w14:paraId="7156AA72" w14:textId="77777777" w:rsidTr="00804944">
        <w:trPr>
          <w:trHeight w:val="240"/>
        </w:trPr>
        <w:tc>
          <w:tcPr>
            <w:tcW w:w="4068" w:type="dxa"/>
            <w:shd w:val="clear" w:color="auto" w:fill="auto"/>
          </w:tcPr>
          <w:p w14:paraId="69E1C9C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p>
        </w:tc>
        <w:tc>
          <w:tcPr>
            <w:tcW w:w="3151" w:type="dxa"/>
            <w:shd w:val="clear" w:color="auto" w:fill="auto"/>
          </w:tcPr>
          <w:p w14:paraId="16067D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الربع الثالث 2020: 106,4 (الربع الأول 2018 = 100)</w:t>
            </w:r>
          </w:p>
          <w:p w14:paraId="11FB50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معدل التضخم السنوي لعام 2019: 3,3 في المائة</w:t>
            </w:r>
          </w:p>
        </w:tc>
      </w:tr>
      <w:tr w:rsidR="007B5A24" w:rsidRPr="00564B9D" w14:paraId="6D8B4826" w14:textId="77777777" w:rsidTr="00804944">
        <w:trPr>
          <w:trHeight w:val="240"/>
        </w:trPr>
        <w:tc>
          <w:tcPr>
            <w:tcW w:w="4068" w:type="dxa"/>
            <w:shd w:val="clear" w:color="auto" w:fill="auto"/>
          </w:tcPr>
          <w:p w14:paraId="24D5D4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151" w:type="dxa"/>
            <w:shd w:val="clear" w:color="auto" w:fill="auto"/>
          </w:tcPr>
          <w:p w14:paraId="3A47BF8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1F471BA" w14:textId="77777777" w:rsidTr="00804944">
        <w:trPr>
          <w:trHeight w:val="240"/>
        </w:trPr>
        <w:tc>
          <w:tcPr>
            <w:tcW w:w="4068" w:type="dxa"/>
            <w:shd w:val="clear" w:color="auto" w:fill="auto"/>
          </w:tcPr>
          <w:p w14:paraId="135BDD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3151" w:type="dxa"/>
            <w:shd w:val="clear" w:color="auto" w:fill="auto"/>
          </w:tcPr>
          <w:p w14:paraId="46400B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لا توجد ديون عامة </w:t>
            </w:r>
          </w:p>
        </w:tc>
      </w:tr>
      <w:tr w:rsidR="007B5A24" w:rsidRPr="00564B9D" w14:paraId="7AB7B99E" w14:textId="77777777" w:rsidTr="00804944">
        <w:trPr>
          <w:trHeight w:val="240"/>
        </w:trPr>
        <w:tc>
          <w:tcPr>
            <w:tcW w:w="4068" w:type="dxa"/>
            <w:tcBorders>
              <w:bottom w:val="single" w:sz="12" w:space="0" w:color="auto"/>
            </w:tcBorders>
            <w:shd w:val="clear" w:color="auto" w:fill="auto"/>
          </w:tcPr>
          <w:p w14:paraId="39BBA0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3151" w:type="dxa"/>
            <w:tcBorders>
              <w:bottom w:val="single" w:sz="12" w:space="0" w:color="auto"/>
            </w:tcBorders>
            <w:shd w:val="clear" w:color="auto" w:fill="auto"/>
          </w:tcPr>
          <w:p w14:paraId="6DF7BE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المساعدة الإنمائية الرسمية </w:t>
            </w:r>
            <w:r w:rsidRPr="00564B9D">
              <w:rPr>
                <w:sz w:val="20"/>
                <w:szCs w:val="20"/>
              </w:rPr>
              <w:t>51,0</w:t>
            </w:r>
            <w:r w:rsidRPr="00564B9D">
              <w:rPr>
                <w:sz w:val="20"/>
                <w:szCs w:val="20"/>
                <w:rtl/>
              </w:rPr>
              <w:t xml:space="preserve"> مليون جنيه إسترليني</w:t>
            </w:r>
          </w:p>
          <w:p w14:paraId="544212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(2018. المصدر: منظمة التعاون الاقتصادي والتنمية)</w:t>
            </w:r>
          </w:p>
          <w:p w14:paraId="05C4BB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80" w:right="0" w:hanging="480"/>
              <w:rPr>
                <w:sz w:val="20"/>
                <w:szCs w:val="20"/>
                <w:rtl/>
              </w:rPr>
            </w:pPr>
            <w:r w:rsidRPr="00564B9D">
              <w:rPr>
                <w:sz w:val="20"/>
                <w:szCs w:val="20"/>
                <w:rtl/>
              </w:rPr>
              <w:t>(أ)</w:t>
            </w:r>
            <w:r w:rsidRPr="00564B9D">
              <w:rPr>
                <w:sz w:val="20"/>
                <w:szCs w:val="20"/>
                <w:rtl/>
              </w:rPr>
              <w:tab/>
              <w:t>كنسبة مئوية من إجمالي الإنفاق الحكومي في 2018/2019: 87,4 في المائة؛</w:t>
            </w:r>
          </w:p>
          <w:p w14:paraId="6769AC5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480" w:right="0" w:hanging="480"/>
              <w:rPr>
                <w:sz w:val="20"/>
                <w:szCs w:val="20"/>
                <w:rtl/>
              </w:rPr>
            </w:pPr>
            <w:r w:rsidRPr="00564B9D">
              <w:rPr>
                <w:sz w:val="20"/>
                <w:szCs w:val="20"/>
                <w:rtl/>
              </w:rPr>
              <w:t>(ب)</w:t>
            </w:r>
            <w:r w:rsidRPr="00564B9D">
              <w:rPr>
                <w:sz w:val="20"/>
                <w:szCs w:val="20"/>
                <w:rtl/>
              </w:rPr>
              <w:tab/>
              <w:t>كنسبة مئوية من إجمالي الدخل القومي في 2018/2019: 136,8 في المائة</w:t>
            </w:r>
          </w:p>
          <w:p w14:paraId="5C065A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لاحظ أن أرقام المساعدة الإنمائية الرسمية تشمل المدفوعات لمشاريع البنية التحتية الكبيرة، وتخضع لتغير كبير من سنة إلى أخرى</w:t>
            </w:r>
          </w:p>
        </w:tc>
      </w:tr>
    </w:tbl>
    <w:p w14:paraId="7558D9C2"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729"/>
        <w:gridCol w:w="3663"/>
      </w:tblGrid>
      <w:tr w:rsidR="007B5A24" w:rsidRPr="00564B9D" w14:paraId="565E3AA2" w14:textId="77777777" w:rsidTr="00804944">
        <w:trPr>
          <w:trHeight w:val="240"/>
          <w:tblHeader/>
        </w:trPr>
        <w:tc>
          <w:tcPr>
            <w:tcW w:w="7219" w:type="dxa"/>
            <w:gridSpan w:val="2"/>
            <w:tcBorders>
              <w:top w:val="single" w:sz="4" w:space="0" w:color="auto"/>
              <w:bottom w:val="single" w:sz="12" w:space="0" w:color="auto"/>
            </w:tcBorders>
            <w:shd w:val="clear" w:color="auto" w:fill="auto"/>
            <w:vAlign w:val="bottom"/>
          </w:tcPr>
          <w:p w14:paraId="6CA6CEF3"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7ECB9013" w14:textId="77777777" w:rsidTr="00804944">
        <w:trPr>
          <w:trHeight w:val="240"/>
        </w:trPr>
        <w:tc>
          <w:tcPr>
            <w:tcW w:w="4068" w:type="dxa"/>
            <w:tcBorders>
              <w:top w:val="single" w:sz="12" w:space="0" w:color="auto"/>
            </w:tcBorders>
            <w:shd w:val="clear" w:color="auto" w:fill="auto"/>
          </w:tcPr>
          <w:p w14:paraId="77FC4A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الصعيد الوطني</w:t>
            </w:r>
          </w:p>
        </w:tc>
        <w:tc>
          <w:tcPr>
            <w:tcW w:w="3151" w:type="dxa"/>
            <w:tcBorders>
              <w:top w:val="single" w:sz="12" w:space="0" w:color="auto"/>
            </w:tcBorders>
            <w:shd w:val="clear" w:color="auto" w:fill="auto"/>
          </w:tcPr>
          <w:p w14:paraId="24C398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7B6BBADB" w14:textId="77777777" w:rsidTr="00804944">
        <w:trPr>
          <w:trHeight w:val="240"/>
        </w:trPr>
        <w:tc>
          <w:tcPr>
            <w:tcW w:w="4068" w:type="dxa"/>
            <w:shd w:val="clear" w:color="auto" w:fill="auto"/>
          </w:tcPr>
          <w:p w14:paraId="6263218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المؤهلين للتصويت </w:t>
            </w:r>
          </w:p>
        </w:tc>
        <w:tc>
          <w:tcPr>
            <w:tcW w:w="3151" w:type="dxa"/>
            <w:shd w:val="clear" w:color="auto" w:fill="auto"/>
          </w:tcPr>
          <w:p w14:paraId="100A6F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76,4 في المائة (التعداد السكاني لعام 2016)</w:t>
            </w:r>
          </w:p>
        </w:tc>
      </w:tr>
      <w:tr w:rsidR="007B5A24" w:rsidRPr="00564B9D" w14:paraId="0D9F0023" w14:textId="77777777" w:rsidTr="00804944">
        <w:trPr>
          <w:trHeight w:val="240"/>
        </w:trPr>
        <w:tc>
          <w:tcPr>
            <w:tcW w:w="4068" w:type="dxa"/>
            <w:shd w:val="clear" w:color="auto" w:fill="auto"/>
          </w:tcPr>
          <w:p w14:paraId="6EEC50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السكان غير المواطنين المسجلين في قوائم الناخبين </w:t>
            </w:r>
          </w:p>
        </w:tc>
        <w:tc>
          <w:tcPr>
            <w:tcW w:w="3151" w:type="dxa"/>
            <w:shd w:val="clear" w:color="auto" w:fill="auto"/>
          </w:tcPr>
          <w:p w14:paraId="7AD662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A25A821" w14:textId="77777777" w:rsidTr="00804944">
        <w:trPr>
          <w:trHeight w:val="240"/>
        </w:trPr>
        <w:tc>
          <w:tcPr>
            <w:tcW w:w="4068" w:type="dxa"/>
            <w:shd w:val="clear" w:color="auto" w:fill="auto"/>
          </w:tcPr>
          <w:p w14:paraId="27D4FBE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المقدمة بشأن إجراء الانتخابات المسجلة، بحسب نوع المخالفة المزعومة</w:t>
            </w:r>
          </w:p>
        </w:tc>
        <w:tc>
          <w:tcPr>
            <w:tcW w:w="3151" w:type="dxa"/>
            <w:shd w:val="clear" w:color="auto" w:fill="auto"/>
          </w:tcPr>
          <w:p w14:paraId="30D1C2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719DE1F2" w14:textId="77777777" w:rsidTr="00804944">
        <w:trPr>
          <w:trHeight w:val="240"/>
        </w:trPr>
        <w:tc>
          <w:tcPr>
            <w:tcW w:w="4068" w:type="dxa"/>
            <w:shd w:val="clear" w:color="auto" w:fill="auto"/>
          </w:tcPr>
          <w:p w14:paraId="11AFF8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151" w:type="dxa"/>
            <w:shd w:val="clear" w:color="auto" w:fill="auto"/>
          </w:tcPr>
          <w:p w14:paraId="26ED1D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5CAAD91" w14:textId="77777777" w:rsidTr="00804944">
        <w:trPr>
          <w:trHeight w:val="240"/>
        </w:trPr>
        <w:tc>
          <w:tcPr>
            <w:tcW w:w="4068" w:type="dxa"/>
            <w:shd w:val="clear" w:color="auto" w:fill="auto"/>
          </w:tcPr>
          <w:p w14:paraId="50F1E6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عدد المنظمات غير الحكومية المعترف بها </w:t>
            </w:r>
          </w:p>
        </w:tc>
        <w:tc>
          <w:tcPr>
            <w:tcW w:w="3151" w:type="dxa"/>
            <w:shd w:val="clear" w:color="auto" w:fill="auto"/>
          </w:tcPr>
          <w:p w14:paraId="6B339A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16E63E4" w14:textId="77777777" w:rsidTr="00804944">
        <w:trPr>
          <w:trHeight w:val="240"/>
        </w:trPr>
        <w:tc>
          <w:tcPr>
            <w:tcW w:w="4068" w:type="dxa"/>
            <w:shd w:val="clear" w:color="auto" w:fill="auto"/>
          </w:tcPr>
          <w:p w14:paraId="3B7174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المقاعد التشريعية بحسب الحزب </w:t>
            </w:r>
          </w:p>
        </w:tc>
        <w:tc>
          <w:tcPr>
            <w:tcW w:w="3151" w:type="dxa"/>
            <w:shd w:val="clear" w:color="auto" w:fill="auto"/>
          </w:tcPr>
          <w:p w14:paraId="0A8027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12 عضواً في المجلس التشريعي، ينتخبون بصورة مستقلة - لا يوجد هيكل حزبي.</w:t>
            </w:r>
          </w:p>
        </w:tc>
      </w:tr>
      <w:tr w:rsidR="007B5A24" w:rsidRPr="00564B9D" w14:paraId="08AA47FA" w14:textId="77777777" w:rsidTr="00804944">
        <w:trPr>
          <w:trHeight w:val="240"/>
        </w:trPr>
        <w:tc>
          <w:tcPr>
            <w:tcW w:w="4068" w:type="dxa"/>
            <w:shd w:val="clear" w:color="auto" w:fill="auto"/>
          </w:tcPr>
          <w:p w14:paraId="32FB11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النسبة المئوية للنساء في البرلمان </w:t>
            </w:r>
          </w:p>
        </w:tc>
        <w:tc>
          <w:tcPr>
            <w:tcW w:w="3151" w:type="dxa"/>
            <w:shd w:val="clear" w:color="auto" w:fill="auto"/>
          </w:tcPr>
          <w:p w14:paraId="64C8DBE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21 في المائة (بما </w:t>
            </w:r>
            <w:r w:rsidRPr="00564B9D">
              <w:rPr>
                <w:rFonts w:hint="cs"/>
                <w:sz w:val="20"/>
                <w:szCs w:val="20"/>
                <w:rtl/>
              </w:rPr>
              <w:t>يشمل</w:t>
            </w:r>
            <w:r w:rsidRPr="00564B9D">
              <w:rPr>
                <w:sz w:val="20"/>
                <w:szCs w:val="20"/>
                <w:rtl/>
              </w:rPr>
              <w:t xml:space="preserve"> منصب نائب الرئيس والأعضاء المنتخبين - لم يؤخذ المسؤولون في الاعتبار)</w:t>
            </w:r>
          </w:p>
        </w:tc>
      </w:tr>
      <w:tr w:rsidR="007B5A24" w:rsidRPr="00564B9D" w14:paraId="739B02A5" w14:textId="77777777" w:rsidTr="00804944">
        <w:trPr>
          <w:trHeight w:val="240"/>
        </w:trPr>
        <w:tc>
          <w:tcPr>
            <w:tcW w:w="4068" w:type="dxa"/>
            <w:shd w:val="clear" w:color="auto" w:fill="auto"/>
          </w:tcPr>
          <w:p w14:paraId="079807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نسبة الانتخابات الوطنية ودون الوطنية التي أجريت في حدود الجدول الزمني الذي ينص عليه القانون </w:t>
            </w:r>
          </w:p>
        </w:tc>
        <w:tc>
          <w:tcPr>
            <w:tcW w:w="3151" w:type="dxa"/>
            <w:shd w:val="clear" w:color="auto" w:fill="auto"/>
          </w:tcPr>
          <w:p w14:paraId="6E6D56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100 في المائة</w:t>
            </w:r>
          </w:p>
        </w:tc>
      </w:tr>
      <w:tr w:rsidR="007B5A24" w:rsidRPr="00564B9D" w14:paraId="0363711D" w14:textId="77777777" w:rsidTr="00804944">
        <w:trPr>
          <w:trHeight w:val="240"/>
        </w:trPr>
        <w:tc>
          <w:tcPr>
            <w:tcW w:w="4068" w:type="dxa"/>
            <w:tcBorders>
              <w:bottom w:val="single" w:sz="12" w:space="0" w:color="auto"/>
            </w:tcBorders>
            <w:shd w:val="clear" w:color="auto" w:fill="auto"/>
          </w:tcPr>
          <w:p w14:paraId="1CC178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متوسط عدد الناخبين الفعليين في الانتخابات الوطنية ودون الوطنية بحسب الوحدة الإدارية </w:t>
            </w:r>
          </w:p>
        </w:tc>
        <w:tc>
          <w:tcPr>
            <w:tcW w:w="3151" w:type="dxa"/>
            <w:tcBorders>
              <w:bottom w:val="single" w:sz="12" w:space="0" w:color="auto"/>
            </w:tcBorders>
            <w:shd w:val="clear" w:color="auto" w:fill="auto"/>
          </w:tcPr>
          <w:p w14:paraId="4526FA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49 في المائة (الانتخابات العامة لعام 2017)</w:t>
            </w:r>
          </w:p>
        </w:tc>
      </w:tr>
    </w:tbl>
    <w:p w14:paraId="18F71CC3" w14:textId="77777777" w:rsidR="00494AE4" w:rsidRPr="00564B9D" w:rsidRDefault="00494AE4" w:rsidP="00494AE4">
      <w:pPr>
        <w:pStyle w:val="SingleTxtGA"/>
        <w:rPr>
          <w:rtl/>
        </w:rPr>
      </w:pPr>
    </w:p>
    <w:tbl>
      <w:tblPr>
        <w:bidiVisual/>
        <w:tblW w:w="8392" w:type="dxa"/>
        <w:tblInd w:w="1247" w:type="dxa"/>
        <w:tblCellMar>
          <w:right w:w="113" w:type="dxa"/>
        </w:tblCellMar>
        <w:tblLook w:val="0000" w:firstRow="0" w:lastRow="0" w:firstColumn="0" w:lastColumn="0" w:noHBand="0" w:noVBand="0"/>
      </w:tblPr>
      <w:tblGrid>
        <w:gridCol w:w="4745"/>
        <w:gridCol w:w="3647"/>
      </w:tblGrid>
      <w:tr w:rsidR="007B5A24" w:rsidRPr="00564B9D" w14:paraId="44EBBACC" w14:textId="77777777" w:rsidTr="00804944">
        <w:trPr>
          <w:trHeight w:val="462"/>
          <w:tblHeader/>
        </w:trPr>
        <w:tc>
          <w:tcPr>
            <w:tcW w:w="4082" w:type="dxa"/>
            <w:tcBorders>
              <w:top w:val="single" w:sz="4" w:space="0" w:color="auto"/>
              <w:bottom w:val="single" w:sz="12" w:space="0" w:color="auto"/>
            </w:tcBorders>
            <w:shd w:val="clear" w:color="auto" w:fill="auto"/>
          </w:tcPr>
          <w:p w14:paraId="5B17134B"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c>
          <w:tcPr>
            <w:tcW w:w="3137" w:type="dxa"/>
            <w:tcBorders>
              <w:top w:val="single" w:sz="4" w:space="0" w:color="auto"/>
              <w:bottom w:val="single" w:sz="12" w:space="0" w:color="auto"/>
            </w:tcBorders>
            <w:shd w:val="clear" w:color="auto" w:fill="auto"/>
          </w:tcPr>
          <w:p w14:paraId="1F4C15C4"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p>
        </w:tc>
      </w:tr>
      <w:tr w:rsidR="007B5A24" w:rsidRPr="00564B9D" w14:paraId="4CE37143" w14:textId="77777777" w:rsidTr="00804944">
        <w:trPr>
          <w:trHeight w:val="268"/>
        </w:trPr>
        <w:tc>
          <w:tcPr>
            <w:tcW w:w="4082" w:type="dxa"/>
            <w:tcBorders>
              <w:top w:val="single" w:sz="12" w:space="0" w:color="auto"/>
            </w:tcBorders>
            <w:shd w:val="clear" w:color="auto" w:fill="auto"/>
          </w:tcPr>
          <w:p w14:paraId="2269FF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000 100 من السكان</w:t>
            </w:r>
          </w:p>
        </w:tc>
        <w:tc>
          <w:tcPr>
            <w:tcW w:w="3137" w:type="dxa"/>
            <w:tcBorders>
              <w:top w:val="single" w:sz="12" w:space="0" w:color="auto"/>
            </w:tcBorders>
            <w:shd w:val="clear" w:color="auto" w:fill="auto"/>
          </w:tcPr>
          <w:p w14:paraId="577F621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4F6F41CD" w14:textId="77777777" w:rsidTr="00804944">
        <w:trPr>
          <w:trHeight w:val="1673"/>
        </w:trPr>
        <w:tc>
          <w:tcPr>
            <w:tcW w:w="4082" w:type="dxa"/>
            <w:shd w:val="clear" w:color="auto" w:fill="auto"/>
          </w:tcPr>
          <w:p w14:paraId="4C7CED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000 100 شخص) الذين تم توقيفهم/تقديمهم إلى القضاء/إدانتهم/إصدار أحكام ضدهم/حبسهم لارتكابهم جرائم عنف أو غير ذلك من الجرائم الخطيرة (مثل القتل والسرقة والاعتداء والإتجار غير المشروع)</w:t>
            </w:r>
          </w:p>
        </w:tc>
        <w:tc>
          <w:tcPr>
            <w:tcW w:w="3137" w:type="dxa"/>
            <w:shd w:val="clear" w:color="auto" w:fill="auto"/>
          </w:tcPr>
          <w:p w14:paraId="6FBBE9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متوسط لفترة خمس سنوات: 2014-2019:</w:t>
            </w:r>
          </w:p>
          <w:p w14:paraId="16EE42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حالة قتل: صفر</w:t>
            </w:r>
          </w:p>
          <w:p w14:paraId="4D89C8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اعتداء: 23 في السنة الواحدة (5 لكل 000</w:t>
            </w:r>
            <w:r w:rsidRPr="00564B9D">
              <w:rPr>
                <w:sz w:val="20"/>
                <w:szCs w:val="20"/>
                <w:rtl/>
              </w:rPr>
              <w:t> </w:t>
            </w:r>
            <w:r w:rsidRPr="00564B9D">
              <w:rPr>
                <w:rFonts w:hint="cs"/>
                <w:sz w:val="20"/>
                <w:szCs w:val="20"/>
                <w:rtl/>
              </w:rPr>
              <w:t>1 شخص)</w:t>
            </w:r>
          </w:p>
          <w:p w14:paraId="39D8DBA6" w14:textId="4E893575"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الاتجار بالمخدرات: 0,2 (0,</w:t>
            </w:r>
            <w:r w:rsidR="00C74D4C" w:rsidRPr="00564B9D">
              <w:rPr>
                <w:rFonts w:hint="cs"/>
                <w:sz w:val="20"/>
                <w:szCs w:val="20"/>
                <w:rtl/>
              </w:rPr>
              <w:t>0</w:t>
            </w:r>
            <w:r w:rsidRPr="00564B9D">
              <w:rPr>
                <w:rFonts w:hint="cs"/>
                <w:sz w:val="20"/>
                <w:szCs w:val="20"/>
                <w:rtl/>
              </w:rPr>
              <w:t>4 لكل 000</w:t>
            </w:r>
            <w:r w:rsidRPr="00564B9D">
              <w:rPr>
                <w:sz w:val="20"/>
                <w:szCs w:val="20"/>
                <w:rtl/>
              </w:rPr>
              <w:t> </w:t>
            </w:r>
            <w:r w:rsidRPr="00564B9D">
              <w:rPr>
                <w:rFonts w:hint="cs"/>
                <w:sz w:val="20"/>
                <w:szCs w:val="20"/>
                <w:rtl/>
              </w:rPr>
              <w:t>1 شخص)</w:t>
            </w:r>
          </w:p>
        </w:tc>
      </w:tr>
      <w:tr w:rsidR="007B5A24" w:rsidRPr="00564B9D" w14:paraId="28F967D1" w14:textId="77777777" w:rsidTr="00804944">
        <w:trPr>
          <w:trHeight w:val="240"/>
        </w:trPr>
        <w:tc>
          <w:tcPr>
            <w:tcW w:w="4082" w:type="dxa"/>
            <w:shd w:val="clear" w:color="auto" w:fill="auto"/>
          </w:tcPr>
          <w:p w14:paraId="7A3C2E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 xml:space="preserve">(مثل الاغتصاب، وتشويه الأعضاء الجنسية عند الإناث، وجرائم الشرف، والاعتداء بالأحماض). </w:t>
            </w:r>
          </w:p>
        </w:tc>
        <w:tc>
          <w:tcPr>
            <w:tcW w:w="3137" w:type="dxa"/>
            <w:shd w:val="clear" w:color="auto" w:fill="auto"/>
          </w:tcPr>
          <w:p w14:paraId="71DBC2A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متوسط لفترة خمس سنوات: 2014-2019:</w:t>
            </w:r>
          </w:p>
          <w:p w14:paraId="16C6DD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اغتصاب: 5,8 في السنة</w:t>
            </w:r>
          </w:p>
          <w:p w14:paraId="662D56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اعتداء جنسي: 7,2 في السنة</w:t>
            </w:r>
          </w:p>
          <w:p w14:paraId="746385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تشويه الأعضاء التناسلية للإناث/جرائم الشرف/اعتداء بالأحماض - صفر</w:t>
            </w:r>
          </w:p>
        </w:tc>
      </w:tr>
      <w:tr w:rsidR="007B5A24" w:rsidRPr="00564B9D" w14:paraId="3FD72A1B" w14:textId="77777777" w:rsidTr="00804944">
        <w:trPr>
          <w:trHeight w:val="240"/>
        </w:trPr>
        <w:tc>
          <w:tcPr>
            <w:tcW w:w="4082" w:type="dxa"/>
            <w:shd w:val="clear" w:color="auto" w:fill="auto"/>
          </w:tcPr>
          <w:p w14:paraId="03108D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3137" w:type="dxa"/>
            <w:shd w:val="clear" w:color="auto" w:fill="auto"/>
          </w:tcPr>
          <w:p w14:paraId="2D15FE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المعلومات غير متوفرة</w:t>
            </w:r>
          </w:p>
        </w:tc>
      </w:tr>
      <w:tr w:rsidR="007B5A24" w:rsidRPr="00564B9D" w14:paraId="04BD3CE9" w14:textId="77777777" w:rsidTr="00804944">
        <w:trPr>
          <w:trHeight w:val="240"/>
        </w:trPr>
        <w:tc>
          <w:tcPr>
            <w:tcW w:w="4082" w:type="dxa"/>
            <w:shd w:val="clear" w:color="auto" w:fill="auto"/>
          </w:tcPr>
          <w:p w14:paraId="3C772B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3137" w:type="dxa"/>
            <w:shd w:val="clear" w:color="auto" w:fill="auto"/>
          </w:tcPr>
          <w:p w14:paraId="42D415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 </w:t>
            </w:r>
            <w:r w:rsidRPr="00564B9D">
              <w:rPr>
                <w:sz w:val="20"/>
                <w:szCs w:val="20"/>
                <w:rtl/>
              </w:rPr>
              <w:t xml:space="preserve">عدد نزلاء السجون </w:t>
            </w:r>
            <w:r w:rsidRPr="00564B9D">
              <w:rPr>
                <w:rFonts w:hint="cs"/>
                <w:sz w:val="20"/>
                <w:szCs w:val="20"/>
                <w:rtl/>
              </w:rPr>
              <w:t>في</w:t>
            </w:r>
            <w:r w:rsidRPr="00564B9D">
              <w:rPr>
                <w:sz w:val="20"/>
                <w:szCs w:val="20"/>
                <w:rtl/>
              </w:rPr>
              <w:t xml:space="preserve"> تشرين الثاني</w:t>
            </w:r>
            <w:r w:rsidRPr="00564B9D">
              <w:rPr>
                <w:rFonts w:hint="cs"/>
                <w:sz w:val="20"/>
                <w:szCs w:val="20"/>
                <w:rtl/>
              </w:rPr>
              <w:t>/</w:t>
            </w:r>
            <w:r w:rsidRPr="00564B9D">
              <w:rPr>
                <w:sz w:val="20"/>
                <w:szCs w:val="20"/>
                <w:rtl/>
              </w:rPr>
              <w:t>نوفمبر 2020:</w:t>
            </w:r>
          </w:p>
          <w:p w14:paraId="5D5C92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w:t>
            </w:r>
            <w:r w:rsidRPr="00564B9D">
              <w:rPr>
                <w:rFonts w:hint="cs"/>
                <w:sz w:val="20"/>
                <w:szCs w:val="20"/>
                <w:rtl/>
              </w:rPr>
              <w:t xml:space="preserve"> </w:t>
            </w:r>
            <w:r w:rsidRPr="00564B9D">
              <w:rPr>
                <w:sz w:val="20"/>
                <w:szCs w:val="20"/>
                <w:rtl/>
              </w:rPr>
              <w:t xml:space="preserve">قيد الحبس الاحتياطي (1 </w:t>
            </w:r>
            <w:r w:rsidRPr="00564B9D">
              <w:rPr>
                <w:rFonts w:hint="cs"/>
                <w:sz w:val="20"/>
                <w:szCs w:val="20"/>
                <w:rtl/>
              </w:rPr>
              <w:t xml:space="preserve">قضية </w:t>
            </w:r>
            <w:r w:rsidRPr="00564B9D">
              <w:rPr>
                <w:sz w:val="20"/>
                <w:szCs w:val="20"/>
                <w:rtl/>
              </w:rPr>
              <w:t>عنف)</w:t>
            </w:r>
          </w:p>
          <w:p w14:paraId="43659C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5</w:t>
            </w:r>
            <w:r w:rsidRPr="00564B9D">
              <w:rPr>
                <w:rFonts w:hint="cs"/>
                <w:sz w:val="20"/>
                <w:szCs w:val="20"/>
                <w:rtl/>
              </w:rPr>
              <w:t xml:space="preserve"> </w:t>
            </w:r>
            <w:r w:rsidRPr="00564B9D">
              <w:rPr>
                <w:sz w:val="20"/>
                <w:szCs w:val="20"/>
                <w:rtl/>
              </w:rPr>
              <w:t>يقضون عقوبات لمدة 12 شهراً أو أقل: (نشاط جنسي مع طفل يبلغ من العمر 14 عاماً؛ إجراء مكالمات هاتفية مزعجة؛ تحريض طفل على الانخراط في نشاط جنسي؛ السطو؛ القيادة بدون تأمين/رخصة قيادة صالحة/القيادة الخطرة)</w:t>
            </w:r>
          </w:p>
          <w:p w14:paraId="2C3CE5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w:t>
            </w:r>
            <w:r w:rsidRPr="00564B9D">
              <w:rPr>
                <w:rFonts w:hint="cs"/>
                <w:sz w:val="20"/>
                <w:szCs w:val="20"/>
                <w:rtl/>
              </w:rPr>
              <w:t xml:space="preserve"> طول مدة الحكم</w:t>
            </w:r>
            <w:r w:rsidRPr="00564B9D">
              <w:rPr>
                <w:sz w:val="20"/>
                <w:szCs w:val="20"/>
                <w:rtl/>
              </w:rPr>
              <w:t xml:space="preserve"> تتراوح بين 12 شهراً وسنتين (مشاجرة/اعتداء عام/</w:t>
            </w:r>
            <w:r w:rsidRPr="00564B9D">
              <w:rPr>
                <w:rFonts w:hint="cs"/>
                <w:sz w:val="20"/>
                <w:szCs w:val="20"/>
                <w:rtl/>
              </w:rPr>
              <w:t>سلاح حاد</w:t>
            </w:r>
            <w:r w:rsidRPr="00564B9D">
              <w:rPr>
                <w:sz w:val="20"/>
                <w:szCs w:val="20"/>
                <w:rtl/>
              </w:rPr>
              <w:t>؛ اختطاف أطفال/سطو)</w:t>
            </w:r>
          </w:p>
          <w:p w14:paraId="372FAE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5</w:t>
            </w:r>
            <w:r w:rsidRPr="00564B9D">
              <w:rPr>
                <w:rFonts w:hint="cs"/>
                <w:sz w:val="20"/>
                <w:szCs w:val="20"/>
                <w:rtl/>
              </w:rPr>
              <w:t xml:space="preserve"> </w:t>
            </w:r>
            <w:r w:rsidRPr="00564B9D">
              <w:rPr>
                <w:sz w:val="20"/>
                <w:szCs w:val="20"/>
                <w:rtl/>
              </w:rPr>
              <w:t xml:space="preserve">سجناء يقضون عقوبات تزيد عن 3 سنوات </w:t>
            </w:r>
            <w:r w:rsidRPr="00564B9D">
              <w:rPr>
                <w:rFonts w:hint="cs"/>
                <w:sz w:val="20"/>
                <w:szCs w:val="20"/>
                <w:rtl/>
              </w:rPr>
              <w:t>إلى</w:t>
            </w:r>
            <w:r w:rsidRPr="00564B9D">
              <w:rPr>
                <w:sz w:val="20"/>
                <w:szCs w:val="20"/>
                <w:rtl/>
              </w:rPr>
              <w:t xml:space="preserve"> 10 سنوات (نشاط جنسي مع طفل، اعتداء غير لائق/اعتداء جنسي/محاولة اغتصاب، نشاط جنسي مع طفل/تحريض طفل على الانخراط في نشاط جنسي؛ الهروب من الحجز القانوني/الجرح </w:t>
            </w:r>
            <w:r w:rsidRPr="00564B9D">
              <w:rPr>
                <w:rFonts w:hint="cs"/>
                <w:sz w:val="20"/>
                <w:szCs w:val="20"/>
                <w:rtl/>
              </w:rPr>
              <w:t>المقصود</w:t>
            </w:r>
            <w:r w:rsidRPr="00564B9D">
              <w:rPr>
                <w:sz w:val="20"/>
                <w:szCs w:val="20"/>
                <w:rtl/>
              </w:rPr>
              <w:t>/اعتداء عام؛ اعتداء بقصد السرقة)</w:t>
            </w:r>
          </w:p>
          <w:p w14:paraId="3B4B4FC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سجين واحد يقضي عقوبة تزيد عن 10 سنوات (حيازة أسلحة نارية/ذخيرة بدون ترخيص/</w:t>
            </w:r>
            <w:r w:rsidRPr="00564B9D">
              <w:rPr>
                <w:rFonts w:hint="cs"/>
                <w:sz w:val="20"/>
                <w:szCs w:val="20"/>
                <w:rtl/>
              </w:rPr>
              <w:t>التقاط</w:t>
            </w:r>
            <w:r w:rsidRPr="00564B9D">
              <w:rPr>
                <w:sz w:val="20"/>
                <w:szCs w:val="20"/>
                <w:rtl/>
              </w:rPr>
              <w:t xml:space="preserve"> صور غير لائقة للأطفال/اعتداء فاضح)</w:t>
            </w:r>
          </w:p>
          <w:p w14:paraId="534121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سجين واحد يقضي عقوبة بالسجن مدى الحياة (اعتداء جنسي على طفل دون سن 13/نشاط جنسي مع طفل من أفراد الأسرة/اغتصاب فتاة دون سن 13/اعتداء </w:t>
            </w:r>
            <w:r w:rsidRPr="00564B9D">
              <w:rPr>
                <w:rFonts w:hint="cs"/>
                <w:sz w:val="20"/>
                <w:szCs w:val="20"/>
                <w:rtl/>
              </w:rPr>
              <w:t>يتسبب في إيذاء بدني فعلي</w:t>
            </w:r>
            <w:r w:rsidRPr="00564B9D">
              <w:rPr>
                <w:sz w:val="20"/>
                <w:szCs w:val="20"/>
                <w:rtl/>
              </w:rPr>
              <w:t xml:space="preserve">/قسوة على طفل/سفاح محارم </w:t>
            </w:r>
            <w:r w:rsidRPr="00564B9D">
              <w:rPr>
                <w:rFonts w:hint="cs"/>
                <w:sz w:val="20"/>
                <w:szCs w:val="20"/>
                <w:rtl/>
              </w:rPr>
              <w:t xml:space="preserve">مع </w:t>
            </w:r>
            <w:r w:rsidRPr="00564B9D">
              <w:rPr>
                <w:sz w:val="20"/>
                <w:szCs w:val="20"/>
                <w:rtl/>
              </w:rPr>
              <w:t xml:space="preserve">فتاة دون سن 13) </w:t>
            </w:r>
          </w:p>
        </w:tc>
      </w:tr>
      <w:tr w:rsidR="007B5A24" w:rsidRPr="00564B9D" w14:paraId="6E53278C" w14:textId="77777777" w:rsidTr="00804944">
        <w:trPr>
          <w:trHeight w:val="240"/>
        </w:trPr>
        <w:tc>
          <w:tcPr>
            <w:tcW w:w="4082" w:type="dxa"/>
            <w:shd w:val="clear" w:color="auto" w:fill="auto"/>
          </w:tcPr>
          <w:p w14:paraId="6AD6626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3137" w:type="dxa"/>
            <w:shd w:val="clear" w:color="auto" w:fill="auto"/>
          </w:tcPr>
          <w:p w14:paraId="3D89E64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1E0A1C49" w14:textId="77777777" w:rsidTr="00804944">
        <w:trPr>
          <w:trHeight w:val="240"/>
        </w:trPr>
        <w:tc>
          <w:tcPr>
            <w:tcW w:w="4082" w:type="dxa"/>
            <w:shd w:val="clear" w:color="auto" w:fill="auto"/>
          </w:tcPr>
          <w:p w14:paraId="072121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278"/>
            </w:r>
            <w:r w:rsidRPr="00564B9D">
              <w:rPr>
                <w:sz w:val="20"/>
                <w:szCs w:val="20"/>
                <w:vertAlign w:val="superscript"/>
                <w:rtl/>
              </w:rPr>
              <w:t>)</w:t>
            </w:r>
            <w:r w:rsidRPr="00564B9D">
              <w:rPr>
                <w:sz w:val="20"/>
                <w:szCs w:val="20"/>
                <w:rtl/>
              </w:rPr>
              <w:t xml:space="preserve"> </w:t>
            </w:r>
          </w:p>
        </w:tc>
        <w:tc>
          <w:tcPr>
            <w:tcW w:w="3137" w:type="dxa"/>
            <w:shd w:val="clear" w:color="auto" w:fill="auto"/>
          </w:tcPr>
          <w:p w14:paraId="1D032E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692AA3A2" w14:textId="77777777" w:rsidTr="00804944">
        <w:trPr>
          <w:trHeight w:val="240"/>
        </w:trPr>
        <w:tc>
          <w:tcPr>
            <w:tcW w:w="4082" w:type="dxa"/>
            <w:shd w:val="clear" w:color="auto" w:fill="auto"/>
          </w:tcPr>
          <w:p w14:paraId="04EBF0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137" w:type="dxa"/>
            <w:shd w:val="clear" w:color="auto" w:fill="auto"/>
          </w:tcPr>
          <w:p w14:paraId="6A76C3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741A3579" w14:textId="77777777" w:rsidTr="00804944">
        <w:trPr>
          <w:trHeight w:val="240"/>
        </w:trPr>
        <w:tc>
          <w:tcPr>
            <w:tcW w:w="4082" w:type="dxa"/>
            <w:shd w:val="clear" w:color="auto" w:fill="auto"/>
          </w:tcPr>
          <w:p w14:paraId="23D47B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رجال الشرطة/الأمن لكل 000 </w:t>
            </w:r>
            <w:r w:rsidRPr="00564B9D">
              <w:rPr>
                <w:rFonts w:hint="cs"/>
                <w:sz w:val="20"/>
                <w:szCs w:val="20"/>
                <w:rtl/>
              </w:rPr>
              <w:t>1</w:t>
            </w:r>
            <w:r w:rsidRPr="00564B9D">
              <w:rPr>
                <w:sz w:val="20"/>
                <w:szCs w:val="20"/>
                <w:rtl/>
              </w:rPr>
              <w:t xml:space="preserve"> شخص </w:t>
            </w:r>
          </w:p>
        </w:tc>
        <w:tc>
          <w:tcPr>
            <w:tcW w:w="3137" w:type="dxa"/>
            <w:shd w:val="clear" w:color="auto" w:fill="auto"/>
          </w:tcPr>
          <w:p w14:paraId="2995D5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5,3</w:t>
            </w:r>
          </w:p>
        </w:tc>
      </w:tr>
      <w:tr w:rsidR="007B5A24" w:rsidRPr="00564B9D" w14:paraId="07DE5C69" w14:textId="77777777" w:rsidTr="00804944">
        <w:trPr>
          <w:trHeight w:val="240"/>
        </w:trPr>
        <w:tc>
          <w:tcPr>
            <w:tcW w:w="4082" w:type="dxa"/>
            <w:shd w:val="clear" w:color="auto" w:fill="auto"/>
          </w:tcPr>
          <w:p w14:paraId="2C824B2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w:t>
            </w:r>
            <w:r w:rsidRPr="00564B9D">
              <w:rPr>
                <w:rFonts w:hint="cs"/>
                <w:sz w:val="20"/>
                <w:szCs w:val="20"/>
                <w:rtl/>
              </w:rPr>
              <w:t>1</w:t>
            </w:r>
            <w:r w:rsidRPr="00564B9D">
              <w:rPr>
                <w:sz w:val="20"/>
                <w:szCs w:val="20"/>
                <w:rtl/>
              </w:rPr>
              <w:t xml:space="preserve"> شخص</w:t>
            </w:r>
          </w:p>
        </w:tc>
        <w:tc>
          <w:tcPr>
            <w:tcW w:w="3137" w:type="dxa"/>
            <w:shd w:val="clear" w:color="auto" w:fill="auto"/>
          </w:tcPr>
          <w:p w14:paraId="1D8B17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المدعون العامون: 0,2</w:t>
            </w:r>
          </w:p>
          <w:p w14:paraId="7BFF2FEC" w14:textId="1E9E71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القضاة: 0,2 (كبير قضاة واحد غير مقيم يقوم بزيارة مرتين في السنة في المتوسط لمدة 2-4 أسابيع ولكنه يعمل عن بعد عند الاقتضاء؛ </w:t>
            </w:r>
            <w:r w:rsidRPr="00564B9D">
              <w:rPr>
                <w:sz w:val="20"/>
                <w:szCs w:val="20"/>
                <w:rtl/>
              </w:rPr>
              <w:t>1 رئيس قضاة مقيم يجلس بمفرده أو مع قضاة غير متخصصين)؛</w:t>
            </w:r>
            <w:r w:rsidRPr="00564B9D">
              <w:rPr>
                <w:rFonts w:hint="cs"/>
                <w:sz w:val="20"/>
                <w:szCs w:val="20"/>
                <w:rtl/>
              </w:rPr>
              <w:t xml:space="preserve"> وهناك </w:t>
            </w:r>
            <w:r w:rsidR="00C74D4C" w:rsidRPr="00564B9D">
              <w:rPr>
                <w:rFonts w:hint="cs"/>
                <w:sz w:val="20"/>
                <w:szCs w:val="20"/>
                <w:rtl/>
              </w:rPr>
              <w:t xml:space="preserve">أربعة </w:t>
            </w:r>
            <w:r w:rsidRPr="00564B9D">
              <w:rPr>
                <w:rFonts w:hint="cs"/>
                <w:sz w:val="20"/>
                <w:szCs w:val="20"/>
                <w:rtl/>
              </w:rPr>
              <w:t xml:space="preserve">قضاة إضافيون لمحكمة الاستئناف يمكن استدعاؤهم من الخارج عند الضرورة) </w:t>
            </w:r>
          </w:p>
        </w:tc>
      </w:tr>
      <w:tr w:rsidR="007B5A24" w:rsidRPr="00564B9D" w14:paraId="022982A0" w14:textId="77777777" w:rsidTr="00804944">
        <w:trPr>
          <w:trHeight w:val="240"/>
        </w:trPr>
        <w:tc>
          <w:tcPr>
            <w:tcW w:w="4082" w:type="dxa"/>
            <w:shd w:val="clear" w:color="auto" w:fill="auto"/>
          </w:tcPr>
          <w:p w14:paraId="788BDC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3137" w:type="dxa"/>
            <w:shd w:val="clear" w:color="auto" w:fill="auto"/>
          </w:tcPr>
          <w:p w14:paraId="2891F32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 في المائة (المصدر: تقديرات كتاب الميزانية 2018/2019)</w:t>
            </w:r>
          </w:p>
        </w:tc>
      </w:tr>
      <w:tr w:rsidR="007B5A24" w:rsidRPr="00564B9D" w14:paraId="252FBF46" w14:textId="77777777" w:rsidTr="00804944">
        <w:trPr>
          <w:trHeight w:val="240"/>
        </w:trPr>
        <w:tc>
          <w:tcPr>
            <w:tcW w:w="4082" w:type="dxa"/>
            <w:shd w:val="clear" w:color="auto" w:fill="auto"/>
          </w:tcPr>
          <w:p w14:paraId="0D84DF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3137" w:type="dxa"/>
            <w:shd w:val="clear" w:color="auto" w:fill="auto"/>
          </w:tcPr>
          <w:p w14:paraId="3D87FE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100 في المائة </w:t>
            </w:r>
          </w:p>
        </w:tc>
      </w:tr>
      <w:tr w:rsidR="007B5A24" w:rsidRPr="00564B9D" w14:paraId="7C5C3C58" w14:textId="77777777" w:rsidTr="00804944">
        <w:trPr>
          <w:trHeight w:val="240"/>
        </w:trPr>
        <w:tc>
          <w:tcPr>
            <w:tcW w:w="4082" w:type="dxa"/>
            <w:tcBorders>
              <w:bottom w:val="single" w:sz="12" w:space="0" w:color="auto"/>
            </w:tcBorders>
            <w:shd w:val="clear" w:color="auto" w:fill="auto"/>
          </w:tcPr>
          <w:p w14:paraId="33C9A49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نسبة الضحايا الذين</w:t>
            </w:r>
            <w:r w:rsidRPr="00564B9D">
              <w:rPr>
                <w:rFonts w:hint="cs"/>
                <w:sz w:val="20"/>
                <w:szCs w:val="20"/>
                <w:rtl/>
              </w:rPr>
              <w:t xml:space="preserve"> </w:t>
            </w:r>
            <w:r w:rsidRPr="00564B9D">
              <w:rPr>
                <w:sz w:val="20"/>
                <w:szCs w:val="20"/>
                <w:rtl/>
              </w:rPr>
              <w:t xml:space="preserve">تم تعويضهم بعد صدور الحكم القضائي، بحسب نوع الجريمة. </w:t>
            </w:r>
          </w:p>
        </w:tc>
        <w:tc>
          <w:tcPr>
            <w:tcW w:w="3137" w:type="dxa"/>
            <w:tcBorders>
              <w:bottom w:val="single" w:sz="12" w:space="0" w:color="auto"/>
            </w:tcBorders>
            <w:shd w:val="clear" w:color="auto" w:fill="auto"/>
          </w:tcPr>
          <w:p w14:paraId="59BD00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جرائم ضد الحيوان: 100 في المائة</w:t>
            </w:r>
          </w:p>
          <w:p w14:paraId="42BA33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حوادث مسببة للعطل والضرر: 100 في المائة </w:t>
            </w:r>
          </w:p>
        </w:tc>
      </w:tr>
    </w:tbl>
    <w:p w14:paraId="79840263" w14:textId="77777777" w:rsidR="00494AE4" w:rsidRPr="00564B9D" w:rsidRDefault="00494AE4" w:rsidP="00494AE4">
      <w:pPr>
        <w:pStyle w:val="H1GA"/>
        <w:rPr>
          <w:rtl/>
        </w:rPr>
      </w:pPr>
      <w:r w:rsidRPr="00564B9D">
        <w:rPr>
          <w:rtl/>
        </w:rPr>
        <w:tab/>
      </w:r>
      <w:bookmarkStart w:id="317" w:name="_Toc123044181"/>
      <w:bookmarkStart w:id="318" w:name="_Toc123044404"/>
      <w:bookmarkStart w:id="319" w:name="_Toc123044666"/>
      <w:bookmarkStart w:id="320" w:name="_Toc123044928"/>
      <w:r w:rsidRPr="00564B9D">
        <w:rPr>
          <w:rFonts w:hint="cs"/>
          <w:rtl/>
        </w:rPr>
        <w:t>باء-</w:t>
      </w:r>
      <w:r w:rsidRPr="00564B9D">
        <w:rPr>
          <w:rtl/>
        </w:rPr>
        <w:tab/>
      </w:r>
      <w:r w:rsidRPr="00564B9D">
        <w:rPr>
          <w:rFonts w:hint="cs"/>
          <w:rtl/>
        </w:rPr>
        <w:t>الهيكل الدستوري والسياسي والقانوني</w:t>
      </w:r>
      <w:bookmarkEnd w:id="317"/>
      <w:bookmarkEnd w:id="318"/>
      <w:bookmarkEnd w:id="319"/>
      <w:bookmarkEnd w:id="320"/>
    </w:p>
    <w:p w14:paraId="585C8B12" w14:textId="77777777" w:rsidR="00494AE4" w:rsidRPr="00564B9D" w:rsidRDefault="00494AE4" w:rsidP="00494AE4">
      <w:pPr>
        <w:pStyle w:val="SingleTxtGA"/>
        <w:rPr>
          <w:rtl/>
        </w:rPr>
      </w:pPr>
      <w:r w:rsidRPr="00564B9D">
        <w:rPr>
          <w:rtl/>
        </w:rPr>
        <w:t>137-</w:t>
      </w:r>
      <w:r w:rsidRPr="00564B9D">
        <w:rPr>
          <w:rtl/>
        </w:rPr>
        <w:tab/>
        <w:t xml:space="preserve">وضع دستور جديد من خلال </w:t>
      </w:r>
      <w:r w:rsidRPr="00564B9D">
        <w:rPr>
          <w:rFonts w:hint="cs"/>
          <w:rtl/>
        </w:rPr>
        <w:t>القانون</w:t>
      </w:r>
      <w:r w:rsidRPr="00564B9D">
        <w:rPr>
          <w:rtl/>
        </w:rPr>
        <w:t xml:space="preserve"> </w:t>
      </w:r>
      <w:r w:rsidRPr="00564B9D">
        <w:rPr>
          <w:rFonts w:hint="cs"/>
          <w:rtl/>
        </w:rPr>
        <w:t>ال</w:t>
      </w:r>
      <w:r w:rsidRPr="00564B9D">
        <w:rPr>
          <w:rtl/>
        </w:rPr>
        <w:t>دستور</w:t>
      </w:r>
      <w:r w:rsidRPr="00564B9D">
        <w:rPr>
          <w:rFonts w:hint="cs"/>
          <w:rtl/>
        </w:rPr>
        <w:t>ي</w:t>
      </w:r>
      <w:r w:rsidRPr="00564B9D">
        <w:rPr>
          <w:rtl/>
        </w:rPr>
        <w:t xml:space="preserve"> </w:t>
      </w:r>
      <w:r w:rsidRPr="00564B9D">
        <w:rPr>
          <w:rFonts w:hint="cs"/>
          <w:rtl/>
        </w:rPr>
        <w:t>ل</w:t>
      </w:r>
      <w:r w:rsidRPr="00564B9D">
        <w:rPr>
          <w:rtl/>
        </w:rPr>
        <w:t>سانت هيل</w:t>
      </w:r>
      <w:r w:rsidRPr="00564B9D">
        <w:rPr>
          <w:rFonts w:hint="cs"/>
          <w:rtl/>
        </w:rPr>
        <w:t>انة</w:t>
      </w:r>
      <w:r w:rsidRPr="00564B9D">
        <w:rPr>
          <w:rtl/>
        </w:rPr>
        <w:t xml:space="preserve"> وأسنسيون وتريستان دا</w:t>
      </w:r>
      <w:r w:rsidRPr="00564B9D">
        <w:rPr>
          <w:rFonts w:hint="cs"/>
          <w:rtl/>
        </w:rPr>
        <w:t xml:space="preserve"> </w:t>
      </w:r>
      <w:r w:rsidRPr="00564B9D">
        <w:rPr>
          <w:rtl/>
        </w:rPr>
        <w:t>كون</w:t>
      </w:r>
      <w:r w:rsidRPr="00564B9D">
        <w:rPr>
          <w:rFonts w:hint="cs"/>
          <w:rtl/>
        </w:rPr>
        <w:t>ي</w:t>
      </w:r>
      <w:r w:rsidRPr="00564B9D">
        <w:rPr>
          <w:rtl/>
        </w:rPr>
        <w:t>ا لعام 2009</w:t>
      </w:r>
      <w:r w:rsidRPr="00564B9D">
        <w:rPr>
          <w:vertAlign w:val="superscript"/>
          <w:rtl/>
        </w:rPr>
        <w:t>(</w:t>
      </w:r>
      <w:r w:rsidRPr="00564B9D">
        <w:rPr>
          <w:rStyle w:val="FootnoteReference"/>
          <w:rFonts w:cs="Simplified Arabic"/>
          <w:b w:val="0"/>
          <w:sz w:val="22"/>
          <w:szCs w:val="22"/>
          <w:rtl/>
          <w:lang w:val="en-US"/>
        </w:rPr>
        <w:footnoteReference w:id="279"/>
      </w:r>
      <w:r w:rsidRPr="00564B9D">
        <w:rPr>
          <w:vertAlign w:val="superscript"/>
          <w:rtl/>
        </w:rPr>
        <w:t>)</w:t>
      </w:r>
      <w:r w:rsidRPr="00564B9D">
        <w:rPr>
          <w:rtl/>
        </w:rPr>
        <w:t>.</w:t>
      </w:r>
    </w:p>
    <w:p w14:paraId="71501C29"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التشريعية</w:t>
      </w:r>
    </w:p>
    <w:p w14:paraId="29553CF1" w14:textId="77777777" w:rsidR="00494AE4" w:rsidRPr="00564B9D" w:rsidRDefault="00494AE4" w:rsidP="00494AE4">
      <w:pPr>
        <w:pStyle w:val="SingleTxtGA"/>
        <w:rPr>
          <w:rtl/>
        </w:rPr>
      </w:pPr>
      <w:r w:rsidRPr="00564B9D">
        <w:rPr>
          <w:rFonts w:hint="cs"/>
          <w:rtl/>
        </w:rPr>
        <w:t>138</w:t>
      </w:r>
      <w:r w:rsidRPr="00564B9D">
        <w:rPr>
          <w:rtl/>
        </w:rPr>
        <w:t>-</w:t>
      </w:r>
      <w:r w:rsidRPr="00564B9D">
        <w:rPr>
          <w:rtl/>
        </w:rPr>
        <w:tab/>
        <w:t>يتألف المجلس التشريعي</w:t>
      </w:r>
      <w:r w:rsidRPr="00564B9D">
        <w:rPr>
          <w:vertAlign w:val="superscript"/>
          <w:rtl/>
        </w:rPr>
        <w:t>(</w:t>
      </w:r>
      <w:r w:rsidRPr="00564B9D">
        <w:rPr>
          <w:rStyle w:val="FootnoteReference"/>
          <w:rFonts w:cs="Simplified Arabic"/>
          <w:b w:val="0"/>
          <w:sz w:val="22"/>
          <w:szCs w:val="22"/>
          <w:rtl/>
          <w:lang w:val="en-US"/>
        </w:rPr>
        <w:footnoteReference w:id="280"/>
      </w:r>
      <w:r w:rsidRPr="00564B9D">
        <w:rPr>
          <w:vertAlign w:val="superscript"/>
          <w:rtl/>
        </w:rPr>
        <w:t>)</w:t>
      </w:r>
      <w:r w:rsidRPr="00564B9D">
        <w:rPr>
          <w:rtl/>
        </w:rPr>
        <w:t xml:space="preserve"> لسانت هيل</w:t>
      </w:r>
      <w:r w:rsidRPr="00564B9D">
        <w:rPr>
          <w:rFonts w:hint="cs"/>
          <w:rtl/>
        </w:rPr>
        <w:t>انة</w:t>
      </w:r>
      <w:r w:rsidRPr="00564B9D">
        <w:rPr>
          <w:rtl/>
        </w:rPr>
        <w:t xml:space="preserve"> من رئيس ونائب </w:t>
      </w:r>
      <w:r w:rsidRPr="00564B9D">
        <w:rPr>
          <w:rFonts w:hint="cs"/>
          <w:rtl/>
        </w:rPr>
        <w:t>لل</w:t>
      </w:r>
      <w:r w:rsidRPr="00564B9D">
        <w:rPr>
          <w:rtl/>
        </w:rPr>
        <w:t>رئيس، و</w:t>
      </w:r>
      <w:r w:rsidRPr="00564B9D">
        <w:rPr>
          <w:rFonts w:hint="cs"/>
          <w:rtl/>
        </w:rPr>
        <w:t>ا</w:t>
      </w:r>
      <w:r w:rsidRPr="00564B9D">
        <w:rPr>
          <w:rtl/>
        </w:rPr>
        <w:t>ثني عشر عضواَ منتخباً، وثلاثة أعضاء مُعي</w:t>
      </w:r>
      <w:r w:rsidRPr="00564B9D">
        <w:rPr>
          <w:rFonts w:hint="cs"/>
          <w:rtl/>
        </w:rPr>
        <w:t>ّ</w:t>
      </w:r>
      <w:r w:rsidRPr="00564B9D">
        <w:rPr>
          <w:rtl/>
        </w:rPr>
        <w:t>نين بحكم من</w:t>
      </w:r>
      <w:r w:rsidRPr="00564B9D">
        <w:rPr>
          <w:rFonts w:hint="cs"/>
          <w:rtl/>
        </w:rPr>
        <w:t>ا</w:t>
      </w:r>
      <w:r w:rsidRPr="00564B9D">
        <w:rPr>
          <w:rtl/>
        </w:rPr>
        <w:t>صب</w:t>
      </w:r>
      <w:r w:rsidRPr="00564B9D">
        <w:rPr>
          <w:rFonts w:hint="cs"/>
          <w:rtl/>
        </w:rPr>
        <w:t>هم</w:t>
      </w:r>
      <w:r w:rsidRPr="00564B9D">
        <w:rPr>
          <w:rtl/>
        </w:rPr>
        <w:t xml:space="preserve"> (الأمين الأول </w:t>
      </w:r>
      <w:r w:rsidRPr="00564B9D">
        <w:rPr>
          <w:rFonts w:hint="cs"/>
          <w:rtl/>
        </w:rPr>
        <w:t>و</w:t>
      </w:r>
      <w:r w:rsidRPr="00564B9D">
        <w:rPr>
          <w:rtl/>
        </w:rPr>
        <w:t>وزير المالية والنائب العام)</w:t>
      </w:r>
      <w:r w:rsidRPr="00564B9D">
        <w:rPr>
          <w:rFonts w:hint="cs"/>
          <w:rtl/>
        </w:rPr>
        <w:t>.</w:t>
      </w:r>
    </w:p>
    <w:p w14:paraId="460FC0B1" w14:textId="77777777" w:rsidR="00494AE4" w:rsidRPr="00564B9D" w:rsidRDefault="00494AE4" w:rsidP="00494AE4">
      <w:pPr>
        <w:pStyle w:val="SingleTxtGA"/>
        <w:rPr>
          <w:rtl/>
        </w:rPr>
      </w:pPr>
      <w:r w:rsidRPr="00564B9D">
        <w:rPr>
          <w:rFonts w:hint="cs"/>
          <w:rtl/>
        </w:rPr>
        <w:t>139</w:t>
      </w:r>
      <w:r w:rsidRPr="00564B9D">
        <w:rPr>
          <w:rtl/>
        </w:rPr>
        <w:t>-</w:t>
      </w:r>
      <w:r w:rsidRPr="00564B9D">
        <w:rPr>
          <w:rtl/>
        </w:rPr>
        <w:tab/>
        <w:t>ويجوز للحاكم في أسنسيون وتريستان دا كون</w:t>
      </w:r>
      <w:r w:rsidRPr="00564B9D">
        <w:rPr>
          <w:rFonts w:hint="cs"/>
          <w:rtl/>
        </w:rPr>
        <w:t>ي</w:t>
      </w:r>
      <w:r w:rsidRPr="00564B9D">
        <w:rPr>
          <w:rtl/>
        </w:rPr>
        <w:t>ا وضع القوانين بعد التشاور مع مجلسي الجزيرة</w:t>
      </w:r>
      <w:r w:rsidRPr="00564B9D">
        <w:rPr>
          <w:rFonts w:hint="cs"/>
          <w:rtl/>
        </w:rPr>
        <w:t>.</w:t>
      </w:r>
    </w:p>
    <w:p w14:paraId="656029A7"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p>
    <w:p w14:paraId="352AE654" w14:textId="77777777" w:rsidR="00494AE4" w:rsidRPr="00564B9D" w:rsidRDefault="00494AE4" w:rsidP="00494AE4">
      <w:pPr>
        <w:pStyle w:val="SingleTxtGA"/>
        <w:rPr>
          <w:rtl/>
        </w:rPr>
      </w:pPr>
      <w:r w:rsidRPr="00564B9D">
        <w:rPr>
          <w:rFonts w:hint="cs"/>
          <w:rtl/>
        </w:rPr>
        <w:t>140</w:t>
      </w:r>
      <w:r w:rsidRPr="00564B9D">
        <w:rPr>
          <w:rtl/>
        </w:rPr>
        <w:t>-</w:t>
      </w:r>
      <w:r w:rsidRPr="00564B9D">
        <w:rPr>
          <w:rtl/>
        </w:rPr>
        <w:tab/>
      </w:r>
      <w:r w:rsidRPr="00564B9D">
        <w:rPr>
          <w:rFonts w:hint="cs"/>
          <w:rtl/>
        </w:rPr>
        <w:t xml:space="preserve">تُسند </w:t>
      </w:r>
      <w:r w:rsidRPr="00564B9D">
        <w:rPr>
          <w:rtl/>
        </w:rPr>
        <w:t>السلطة التنفيذية في سانت هيل</w:t>
      </w:r>
      <w:r w:rsidRPr="00564B9D">
        <w:rPr>
          <w:rFonts w:hint="cs"/>
          <w:rtl/>
        </w:rPr>
        <w:t>انة</w:t>
      </w:r>
      <w:r w:rsidRPr="00564B9D">
        <w:rPr>
          <w:rtl/>
        </w:rPr>
        <w:t xml:space="preserve"> </w:t>
      </w:r>
      <w:r w:rsidRPr="00564B9D">
        <w:rPr>
          <w:rFonts w:hint="cs"/>
          <w:rtl/>
        </w:rPr>
        <w:t xml:space="preserve">إلى العاهل </w:t>
      </w:r>
      <w:r w:rsidRPr="00564B9D">
        <w:rPr>
          <w:rtl/>
        </w:rPr>
        <w:t>ويُمارسها بالن</w:t>
      </w:r>
      <w:r w:rsidRPr="00564B9D">
        <w:rPr>
          <w:rFonts w:hint="cs"/>
          <w:rtl/>
        </w:rPr>
        <w:t>ي</w:t>
      </w:r>
      <w:r w:rsidRPr="00564B9D">
        <w:rPr>
          <w:rtl/>
        </w:rPr>
        <w:t xml:space="preserve">ابة عنه الحاكم </w:t>
      </w:r>
      <w:r w:rsidRPr="00564B9D">
        <w:rPr>
          <w:rFonts w:hint="cs"/>
          <w:rtl/>
        </w:rPr>
        <w:t>التابع ل</w:t>
      </w:r>
      <w:r w:rsidRPr="00564B9D">
        <w:rPr>
          <w:rtl/>
        </w:rPr>
        <w:t xml:space="preserve">صاحب الجلالة. </w:t>
      </w:r>
      <w:r w:rsidRPr="00564B9D">
        <w:rPr>
          <w:rFonts w:hint="cs"/>
          <w:rtl/>
        </w:rPr>
        <w:t>ولكن</w:t>
      </w:r>
      <w:r w:rsidRPr="00564B9D">
        <w:rPr>
          <w:rtl/>
        </w:rPr>
        <w:t xml:space="preserve"> فيما يتعلق بمعظم المسائل</w:t>
      </w:r>
      <w:r w:rsidRPr="00564B9D">
        <w:rPr>
          <w:rFonts w:hint="cs"/>
          <w:rtl/>
        </w:rPr>
        <w:t>،</w:t>
      </w:r>
      <w:r w:rsidRPr="00564B9D">
        <w:rPr>
          <w:rtl/>
        </w:rPr>
        <w:t xml:space="preserve"> </w:t>
      </w:r>
      <w:r w:rsidRPr="00564B9D">
        <w:rPr>
          <w:rFonts w:hint="cs"/>
          <w:rtl/>
        </w:rPr>
        <w:t>يطلب</w:t>
      </w:r>
      <w:r w:rsidRPr="00564B9D">
        <w:rPr>
          <w:rtl/>
        </w:rPr>
        <w:t xml:space="preserve"> من الحاكم التشاور مع المجلس التنفيذي والتصرف بناءً على مشورته. ويتألف المجلس التنفيذي من ثلاثة أعضاء معينين بحكم من</w:t>
      </w:r>
      <w:r w:rsidRPr="00564B9D">
        <w:rPr>
          <w:rFonts w:hint="cs"/>
          <w:rtl/>
        </w:rPr>
        <w:t>ا</w:t>
      </w:r>
      <w:r w:rsidRPr="00564B9D">
        <w:rPr>
          <w:rtl/>
        </w:rPr>
        <w:t>صب</w:t>
      </w:r>
      <w:r w:rsidRPr="00564B9D">
        <w:rPr>
          <w:rFonts w:hint="cs"/>
          <w:rtl/>
        </w:rPr>
        <w:t>هم</w:t>
      </w:r>
      <w:r w:rsidRPr="00564B9D">
        <w:rPr>
          <w:rtl/>
        </w:rPr>
        <w:t xml:space="preserve"> (لا</w:t>
      </w:r>
      <w:r w:rsidRPr="00564B9D">
        <w:rPr>
          <w:rFonts w:hint="cs"/>
          <w:rtl/>
        </w:rPr>
        <w:t xml:space="preserve"> يحق لهم </w:t>
      </w:r>
      <w:r w:rsidRPr="00564B9D">
        <w:rPr>
          <w:rtl/>
        </w:rPr>
        <w:t>التصويت) وخمسة أعضاء مُنتخبين. وينتخب الأعضاء المنتخب</w:t>
      </w:r>
      <w:r w:rsidRPr="00564B9D">
        <w:rPr>
          <w:rFonts w:hint="cs"/>
          <w:rtl/>
        </w:rPr>
        <w:t>و</w:t>
      </w:r>
      <w:r w:rsidRPr="00564B9D">
        <w:rPr>
          <w:rtl/>
        </w:rPr>
        <w:t>ن من قبل</w:t>
      </w:r>
      <w:r w:rsidRPr="00564B9D">
        <w:rPr>
          <w:rFonts w:hint="cs"/>
          <w:rtl/>
        </w:rPr>
        <w:t xml:space="preserve"> الأعضاء المنتخبين الاثني</w:t>
      </w:r>
      <w:r w:rsidRPr="00564B9D">
        <w:rPr>
          <w:rtl/>
        </w:rPr>
        <w:t xml:space="preserve"> عشر للمجلس التشريعي.</w:t>
      </w:r>
    </w:p>
    <w:p w14:paraId="49D2E541" w14:textId="77777777" w:rsidR="00494AE4" w:rsidRPr="00564B9D" w:rsidRDefault="00494AE4" w:rsidP="00494AE4">
      <w:pPr>
        <w:pStyle w:val="SingleTxtGA"/>
        <w:rPr>
          <w:rtl/>
        </w:rPr>
      </w:pPr>
      <w:r w:rsidRPr="00564B9D">
        <w:rPr>
          <w:rFonts w:hint="cs"/>
          <w:rtl/>
        </w:rPr>
        <w:t>141</w:t>
      </w:r>
      <w:r w:rsidRPr="00564B9D">
        <w:rPr>
          <w:rtl/>
        </w:rPr>
        <w:t>-</w:t>
      </w:r>
      <w:r w:rsidRPr="00564B9D">
        <w:rPr>
          <w:rtl/>
        </w:rPr>
        <w:tab/>
        <w:t>وفي أسنسيون وتريستان دا كون</w:t>
      </w:r>
      <w:r w:rsidRPr="00564B9D">
        <w:rPr>
          <w:rFonts w:hint="cs"/>
          <w:rtl/>
        </w:rPr>
        <w:t>ي</w:t>
      </w:r>
      <w:r w:rsidRPr="00564B9D">
        <w:rPr>
          <w:rtl/>
        </w:rPr>
        <w:t>ا، يمارس السلطة التنفيذية الحاكم أو المسؤول الإداري لديه</w:t>
      </w:r>
      <w:r w:rsidRPr="00564B9D">
        <w:rPr>
          <w:rFonts w:hint="cs"/>
          <w:rtl/>
        </w:rPr>
        <w:t>.</w:t>
      </w:r>
    </w:p>
    <w:p w14:paraId="3AB1C60E"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الجهاز القضائي وإقامة العدل</w:t>
      </w:r>
    </w:p>
    <w:p w14:paraId="5107DFF3" w14:textId="77777777" w:rsidR="00494AE4" w:rsidRPr="00564B9D" w:rsidRDefault="00494AE4" w:rsidP="00494AE4">
      <w:pPr>
        <w:pStyle w:val="SingleTxtGA"/>
        <w:rPr>
          <w:rtl/>
        </w:rPr>
      </w:pPr>
      <w:r w:rsidRPr="00564B9D">
        <w:rPr>
          <w:rFonts w:hint="cs"/>
          <w:rtl/>
        </w:rPr>
        <w:t>142</w:t>
      </w:r>
      <w:r w:rsidRPr="00564B9D">
        <w:rPr>
          <w:rtl/>
        </w:rPr>
        <w:t>-</w:t>
      </w:r>
      <w:r w:rsidRPr="00564B9D">
        <w:rPr>
          <w:rtl/>
        </w:rPr>
        <w:tab/>
        <w:t>ينص الدستور في سانت هيل</w:t>
      </w:r>
      <w:r w:rsidRPr="00564B9D">
        <w:rPr>
          <w:rFonts w:hint="cs"/>
          <w:rtl/>
        </w:rPr>
        <w:t>انة</w:t>
      </w:r>
      <w:r w:rsidRPr="00564B9D">
        <w:rPr>
          <w:vertAlign w:val="superscript"/>
          <w:rtl/>
        </w:rPr>
        <w:t>(</w:t>
      </w:r>
      <w:r w:rsidRPr="00564B9D">
        <w:rPr>
          <w:rStyle w:val="FootnoteReference"/>
          <w:rFonts w:cs="Simplified Arabic"/>
          <w:b w:val="0"/>
          <w:sz w:val="22"/>
          <w:szCs w:val="22"/>
          <w:rtl/>
          <w:lang w:val="en-US"/>
        </w:rPr>
        <w:footnoteReference w:id="281"/>
      </w:r>
      <w:r w:rsidRPr="00564B9D">
        <w:rPr>
          <w:vertAlign w:val="superscript"/>
          <w:rtl/>
        </w:rPr>
        <w:t>)</w:t>
      </w:r>
      <w:r w:rsidRPr="00564B9D">
        <w:rPr>
          <w:rFonts w:hint="cs"/>
          <w:rtl/>
        </w:rPr>
        <w:t xml:space="preserve"> </w:t>
      </w:r>
      <w:r w:rsidRPr="00564B9D">
        <w:rPr>
          <w:rtl/>
        </w:rPr>
        <w:t>على وجود محكمة عليا ومحكمة استئناف (تشمل أيضاً أسنسيون وتريستان دا كون</w:t>
      </w:r>
      <w:r w:rsidRPr="00564B9D">
        <w:rPr>
          <w:rFonts w:hint="cs"/>
          <w:rtl/>
        </w:rPr>
        <w:t>ي</w:t>
      </w:r>
      <w:r w:rsidRPr="00564B9D">
        <w:rPr>
          <w:rtl/>
        </w:rPr>
        <w:t>ا)</w:t>
      </w:r>
      <w:r w:rsidRPr="00564B9D">
        <w:rPr>
          <w:rFonts w:hint="cs"/>
          <w:rtl/>
        </w:rPr>
        <w:t xml:space="preserve"> </w:t>
      </w:r>
      <w:r w:rsidRPr="00564B9D">
        <w:rPr>
          <w:rtl/>
        </w:rPr>
        <w:t>إلى جانب المحكمة الجزئية</w:t>
      </w:r>
      <w:r w:rsidRPr="00564B9D">
        <w:rPr>
          <w:rFonts w:hint="cs"/>
          <w:rtl/>
        </w:rPr>
        <w:t xml:space="preserve">، </w:t>
      </w:r>
      <w:r w:rsidRPr="00564B9D">
        <w:rPr>
          <w:rtl/>
        </w:rPr>
        <w:t>ويسمح للقوانين المحلية باستحداث محاكم فرعية. وت</w:t>
      </w:r>
      <w:r w:rsidRPr="00564B9D">
        <w:rPr>
          <w:rFonts w:hint="cs"/>
          <w:rtl/>
        </w:rPr>
        <w:t>نظر</w:t>
      </w:r>
      <w:r w:rsidRPr="00564B9D">
        <w:rPr>
          <w:rtl/>
        </w:rPr>
        <w:t xml:space="preserve"> </w:t>
      </w:r>
      <w:r w:rsidRPr="00564B9D">
        <w:rPr>
          <w:rFonts w:hint="cs"/>
          <w:rtl/>
        </w:rPr>
        <w:t>في الطعون</w:t>
      </w:r>
      <w:r w:rsidRPr="00564B9D">
        <w:rPr>
          <w:rtl/>
        </w:rPr>
        <w:t xml:space="preserve"> اللجنة القضائية </w:t>
      </w:r>
      <w:r w:rsidRPr="00564B9D">
        <w:rPr>
          <w:rFonts w:hint="cs"/>
          <w:rtl/>
        </w:rPr>
        <w:t>ل</w:t>
      </w:r>
      <w:r w:rsidRPr="00564B9D">
        <w:rPr>
          <w:rtl/>
        </w:rPr>
        <w:t>لمجلس الملك</w:t>
      </w:r>
      <w:r w:rsidRPr="00564B9D">
        <w:rPr>
          <w:rFonts w:hint="cs"/>
          <w:rtl/>
        </w:rPr>
        <w:t>ي</w:t>
      </w:r>
      <w:r w:rsidRPr="00564B9D">
        <w:rPr>
          <w:rtl/>
        </w:rPr>
        <w:t xml:space="preserve"> الخاص في لندن</w:t>
      </w:r>
      <w:r w:rsidRPr="00564B9D">
        <w:rPr>
          <w:rFonts w:hint="cs"/>
          <w:rtl/>
        </w:rPr>
        <w:t>.</w:t>
      </w:r>
    </w:p>
    <w:p w14:paraId="36275774" w14:textId="77777777" w:rsidR="00494AE4" w:rsidRPr="00564B9D" w:rsidRDefault="00494AE4" w:rsidP="00494AE4">
      <w:pPr>
        <w:pStyle w:val="HChGA"/>
        <w:rPr>
          <w:rtl/>
        </w:rPr>
      </w:pPr>
      <w:r w:rsidRPr="00564B9D">
        <w:rPr>
          <w:rtl/>
        </w:rPr>
        <w:tab/>
      </w:r>
      <w:bookmarkStart w:id="321" w:name="_Toc123044182"/>
      <w:bookmarkStart w:id="322" w:name="_Toc123044405"/>
      <w:bookmarkStart w:id="323" w:name="_Toc123044667"/>
      <w:bookmarkStart w:id="324" w:name="_Toc123044929"/>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321"/>
      <w:bookmarkEnd w:id="322"/>
      <w:bookmarkEnd w:id="323"/>
      <w:bookmarkEnd w:id="324"/>
    </w:p>
    <w:p w14:paraId="1E52BF61" w14:textId="77777777" w:rsidR="00494AE4" w:rsidRPr="00564B9D" w:rsidRDefault="00494AE4" w:rsidP="00494AE4">
      <w:pPr>
        <w:pStyle w:val="H1GA"/>
        <w:rPr>
          <w:rtl/>
        </w:rPr>
      </w:pPr>
      <w:r w:rsidRPr="00564B9D">
        <w:rPr>
          <w:rtl/>
        </w:rPr>
        <w:tab/>
      </w:r>
      <w:bookmarkStart w:id="325" w:name="_Toc123044183"/>
      <w:bookmarkStart w:id="326" w:name="_Toc123044406"/>
      <w:bookmarkStart w:id="327" w:name="_Toc123044668"/>
      <w:bookmarkStart w:id="328" w:name="_Toc123044930"/>
      <w:r w:rsidRPr="00564B9D">
        <w:rPr>
          <w:rtl/>
        </w:rPr>
        <w:t>ألف-</w:t>
      </w:r>
      <w:r w:rsidRPr="00564B9D">
        <w:rPr>
          <w:rtl/>
        </w:rPr>
        <w:tab/>
      </w:r>
      <w:r w:rsidRPr="00564B9D">
        <w:rPr>
          <w:rFonts w:hint="cs"/>
          <w:rtl/>
        </w:rPr>
        <w:t>قبول معايير حقوق الإنسان الدولية</w:t>
      </w:r>
      <w:bookmarkEnd w:id="325"/>
      <w:bookmarkEnd w:id="326"/>
      <w:bookmarkEnd w:id="327"/>
      <w:bookmarkEnd w:id="328"/>
    </w:p>
    <w:p w14:paraId="6784B597" w14:textId="70C36D9A" w:rsidR="00494AE4" w:rsidRPr="00564B9D" w:rsidRDefault="00494AE4" w:rsidP="00494AE4">
      <w:pPr>
        <w:pStyle w:val="SingleTxtGA"/>
        <w:rPr>
          <w:rtl/>
        </w:rPr>
      </w:pPr>
      <w:r w:rsidRPr="00564B9D">
        <w:rPr>
          <w:rtl/>
        </w:rPr>
        <w:t>143-</w:t>
      </w:r>
      <w:r w:rsidRPr="00564B9D">
        <w:rPr>
          <w:rtl/>
        </w:rPr>
        <w:tab/>
        <w:t>تم توسيع نطاق الصكوك الدولية الرئيسية التالية لتشمل سانت هيلانة وأسنسيون وتريستان</w:t>
      </w:r>
      <w:r w:rsidR="00777024" w:rsidRPr="00564B9D">
        <w:rPr>
          <w:rFonts w:hint="cs"/>
          <w:rtl/>
        </w:rPr>
        <w:t> </w:t>
      </w:r>
      <w:r w:rsidRPr="00564B9D">
        <w:rPr>
          <w:rtl/>
        </w:rPr>
        <w:t>دا</w:t>
      </w:r>
      <w:r w:rsidRPr="00564B9D">
        <w:rPr>
          <w:rFonts w:hint="cs"/>
          <w:rtl/>
        </w:rPr>
        <w:t> </w:t>
      </w:r>
      <w:r w:rsidRPr="00564B9D">
        <w:rPr>
          <w:rtl/>
        </w:rPr>
        <w:t>كونها.</w:t>
      </w:r>
    </w:p>
    <w:p w14:paraId="69375B63"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0BB9D6A2"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مناهضة التعذيب وغيره من ضروب المعاملة أو العقوبة القاسية أو اللاإنسانية أو المهينة؛ اتفاقية حقوق الطفل.</w:t>
      </w:r>
    </w:p>
    <w:p w14:paraId="736BCD61"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09B2FBD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 </w:t>
      </w:r>
      <w:r w:rsidRPr="00564B9D">
        <w:rPr>
          <w:rtl/>
        </w:rPr>
        <w:t>اتفاقية منع جريمة الإبادة الجماعية والمعاقبة عليها</w:t>
      </w:r>
      <w:r w:rsidRPr="00564B9D">
        <w:rPr>
          <w:rFonts w:hint="cs"/>
          <w:rtl/>
        </w:rPr>
        <w:t xml:space="preserve">؛ الاتفاقية المتعلقة بوضع اللاجئين (وبروتوكولها لعام 1967)؛ </w:t>
      </w:r>
      <w:r w:rsidRPr="00564B9D">
        <w:rPr>
          <w:rtl/>
        </w:rPr>
        <w:t>الاتفاقية المتعلقة بوضع الأشخاص العديمي الجنسية؛</w:t>
      </w:r>
      <w:r w:rsidRPr="00564B9D">
        <w:rPr>
          <w:rFonts w:hint="cs"/>
          <w:rtl/>
        </w:rPr>
        <w:t xml:space="preserve"> الاتفاقية بشأن خفض حالات انعدام الجنسية؛ نظام روما الأساسي للمحكمة الجنائية الدولية.</w:t>
      </w:r>
    </w:p>
    <w:p w14:paraId="3274862E"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العمل الدولية</w:t>
      </w:r>
    </w:p>
    <w:p w14:paraId="3B4C5E17"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 C005</w:t>
      </w:r>
      <w:r w:rsidRPr="00564B9D">
        <w:rPr>
          <w:rtl/>
        </w:rPr>
        <w:t xml:space="preserve"> - اتفاقية الحد الأدنى للسن (الصناعة)؛ </w:t>
      </w:r>
      <w:r w:rsidRPr="00564B9D">
        <w:t>C007</w:t>
      </w:r>
      <w:r w:rsidRPr="00564B9D">
        <w:rPr>
          <w:rtl/>
        </w:rPr>
        <w:t xml:space="preserve"> - اتفاقية الحد الأدنى للسن (البحر)؛ </w:t>
      </w:r>
      <w:r w:rsidRPr="00564B9D">
        <w:t>C008</w:t>
      </w:r>
      <w:r w:rsidRPr="00564B9D">
        <w:rPr>
          <w:rtl/>
        </w:rPr>
        <w:t xml:space="preserve"> - اتفاقية تعويض البطالة (حطام البحر)؛ </w:t>
      </w:r>
      <w:r w:rsidRPr="00564B9D">
        <w:t>C010</w:t>
      </w:r>
      <w:r w:rsidRPr="00564B9D">
        <w:rPr>
          <w:rtl/>
        </w:rPr>
        <w:t xml:space="preserve"> - اتفاقية الحد الأدنى للسن (الزراعة)؛ </w:t>
      </w:r>
      <w:r w:rsidRPr="00564B9D">
        <w:t>C011</w:t>
      </w:r>
      <w:r w:rsidRPr="00564B9D">
        <w:rPr>
          <w:rtl/>
        </w:rPr>
        <w:t xml:space="preserve"> - اتفاقية حق الاعتداء (الزراعة)؛ </w:t>
      </w:r>
      <w:r w:rsidRPr="00564B9D">
        <w:t>C012</w:t>
      </w:r>
      <w:r w:rsidRPr="00564B9D">
        <w:rPr>
          <w:rtl/>
        </w:rPr>
        <w:t xml:space="preserve"> - اتفاقية تعويض العمل (الزراعة)؛ </w:t>
      </w:r>
      <w:r w:rsidRPr="00564B9D">
        <w:t>C014</w:t>
      </w:r>
      <w:r w:rsidRPr="00564B9D">
        <w:rPr>
          <w:rtl/>
        </w:rPr>
        <w:t xml:space="preserve"> اتفاقية الراحة الأسبوعية (الصناعة)؛ </w:t>
      </w:r>
      <w:r w:rsidRPr="00564B9D">
        <w:t>C016</w:t>
      </w:r>
      <w:r w:rsidRPr="00564B9D">
        <w:rPr>
          <w:rtl/>
        </w:rPr>
        <w:t xml:space="preserve"> اتفاقية الفحص الطبي للأحداث (العمل البحري)؛ </w:t>
      </w:r>
      <w:r w:rsidRPr="00564B9D">
        <w:t>C017</w:t>
      </w:r>
      <w:r w:rsidRPr="00564B9D">
        <w:rPr>
          <w:rtl/>
        </w:rPr>
        <w:t xml:space="preserve"> اتفاقية تعويضات العمال (الحوادث)؛ </w:t>
      </w:r>
      <w:r w:rsidRPr="00564B9D">
        <w:t>C019</w:t>
      </w:r>
      <w:r w:rsidRPr="00564B9D">
        <w:rPr>
          <w:rtl/>
        </w:rPr>
        <w:t xml:space="preserve"> اتفاقية المساواة في المعاملة (التعويض عن الحوادث)؛ </w:t>
      </w:r>
      <w:r w:rsidRPr="00564B9D">
        <w:t>C029</w:t>
      </w:r>
      <w:r w:rsidRPr="00564B9D">
        <w:rPr>
          <w:rtl/>
        </w:rPr>
        <w:t xml:space="preserve"> - اتفاقية العمل الجبري؛ </w:t>
      </w:r>
      <w:r w:rsidRPr="00564B9D">
        <w:t>C058</w:t>
      </w:r>
      <w:r w:rsidRPr="00564B9D">
        <w:rPr>
          <w:rtl/>
        </w:rPr>
        <w:t xml:space="preserve"> - اتفاقية الحد الأدنى للسن (البحر)؛ </w:t>
      </w:r>
      <w:r w:rsidRPr="00564B9D">
        <w:t>C059</w:t>
      </w:r>
      <w:r w:rsidRPr="00564B9D">
        <w:rPr>
          <w:rtl/>
        </w:rPr>
        <w:t xml:space="preserve"> اتفاقية الحد الأدنى للسن (الصناعة)؛ </w:t>
      </w:r>
      <w:r w:rsidRPr="00564B9D">
        <w:t>C063</w:t>
      </w:r>
      <w:r w:rsidRPr="00564B9D">
        <w:rPr>
          <w:rtl/>
        </w:rPr>
        <w:t xml:space="preserve"> - اتفاقية إحصاءات الأجور وساعات العمل. </w:t>
      </w:r>
      <w:r w:rsidRPr="00564B9D">
        <w:t>C082</w:t>
      </w:r>
      <w:r w:rsidRPr="00564B9D">
        <w:rPr>
          <w:rtl/>
        </w:rPr>
        <w:t xml:space="preserve"> - اتفاقية السياسة الاجتماعية (الأقاليم غير المتروبولية)؛ </w:t>
      </w:r>
      <w:r w:rsidRPr="00564B9D">
        <w:t>C084</w:t>
      </w:r>
      <w:r w:rsidRPr="00564B9D">
        <w:rPr>
          <w:rtl/>
        </w:rPr>
        <w:t xml:space="preserve"> - اتفاقية حق التجمع (الأقاليم غير المتروبولية)؛ </w:t>
      </w:r>
      <w:r w:rsidRPr="00564B9D">
        <w:t>C085</w:t>
      </w:r>
      <w:r w:rsidRPr="00564B9D">
        <w:rPr>
          <w:rtl/>
        </w:rPr>
        <w:t xml:space="preserve"> - اتفاقية مفتشيات العمل (الأقاليم غير المتروبولية)؛ </w:t>
      </w:r>
      <w:r w:rsidRPr="00564B9D">
        <w:t>C087</w:t>
      </w:r>
      <w:r w:rsidRPr="00564B9D">
        <w:rPr>
          <w:rtl/>
        </w:rPr>
        <w:t xml:space="preserve"> - اتفاقية الحرية النقابية وحماية حق التنظيم؛ </w:t>
      </w:r>
      <w:r w:rsidRPr="00564B9D">
        <w:t>C098</w:t>
      </w:r>
      <w:r w:rsidRPr="00564B9D">
        <w:rPr>
          <w:rtl/>
        </w:rPr>
        <w:t xml:space="preserve"> - اتفاقية حق التنظيم والمفاوضة الجماعية؛ </w:t>
      </w:r>
      <w:r w:rsidRPr="00564B9D">
        <w:t>C102</w:t>
      </w:r>
      <w:r w:rsidRPr="00564B9D">
        <w:rPr>
          <w:rtl/>
        </w:rPr>
        <w:t xml:space="preserve"> - اتفاقية الضمان الاجتماعي (المعايير الدنيا)؛ </w:t>
      </w:r>
      <w:r w:rsidRPr="00564B9D">
        <w:t>C105</w:t>
      </w:r>
      <w:r w:rsidRPr="00564B9D">
        <w:rPr>
          <w:rtl/>
        </w:rPr>
        <w:t xml:space="preserve"> - اتفاقية إلغاء العمل الجبري؛ </w:t>
      </w:r>
      <w:r w:rsidRPr="00564B9D">
        <w:t>C108</w:t>
      </w:r>
      <w:r w:rsidRPr="00564B9D">
        <w:rPr>
          <w:rtl/>
        </w:rPr>
        <w:t xml:space="preserve"> - اتفاقية وثائق </w:t>
      </w:r>
      <w:r w:rsidRPr="00564B9D">
        <w:rPr>
          <w:rtl/>
        </w:rPr>
        <w:lastRenderedPageBreak/>
        <w:t xml:space="preserve">هوية البحارة؛ </w:t>
      </w:r>
      <w:r w:rsidRPr="00564B9D">
        <w:t>C150</w:t>
      </w:r>
      <w:r w:rsidRPr="00564B9D">
        <w:rPr>
          <w:rtl/>
        </w:rPr>
        <w:t xml:space="preserve"> - اتفاقية إدارة العمل؛ </w:t>
      </w:r>
      <w:r w:rsidRPr="00564B9D">
        <w:t>C151</w:t>
      </w:r>
      <w:r w:rsidRPr="00564B9D">
        <w:rPr>
          <w:rtl/>
        </w:rPr>
        <w:t xml:space="preserve"> - اتفاقية علاقات العمل (الخدمة العامة)؛ </w:t>
      </w:r>
      <w:r w:rsidRPr="00564B9D">
        <w:t>C182</w:t>
      </w:r>
      <w:r w:rsidRPr="00564B9D">
        <w:rPr>
          <w:rtl/>
        </w:rPr>
        <w:t xml:space="preserve"> - اتفاقية أسوأ أشكال عمل الأطفال.</w:t>
      </w:r>
    </w:p>
    <w:p w14:paraId="7BC267DA"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الأمم المتحدة للتربية والعلوم والثقافة (اليونسكو)</w:t>
      </w:r>
    </w:p>
    <w:p w14:paraId="6C170BAE"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مكافحة التمييز في مجال التعليم.</w:t>
      </w:r>
    </w:p>
    <w:p w14:paraId="4B280B38"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ومعاهدات أخرى بشأن القانون الإنساني الدولي</w:t>
      </w:r>
    </w:p>
    <w:p w14:paraId="5A434AAB"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62946E77"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لحقوق الإنسان</w:t>
      </w:r>
    </w:p>
    <w:p w14:paraId="735EBE18"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14AF8A05" w14:textId="77777777" w:rsidR="00494AE4" w:rsidRPr="00564B9D" w:rsidRDefault="00494AE4" w:rsidP="00494AE4">
      <w:pPr>
        <w:pStyle w:val="H1GA"/>
        <w:rPr>
          <w:rtl/>
        </w:rPr>
      </w:pPr>
      <w:r w:rsidRPr="00564B9D">
        <w:rPr>
          <w:rtl/>
        </w:rPr>
        <w:tab/>
      </w:r>
      <w:bookmarkStart w:id="329" w:name="_Toc123044184"/>
      <w:bookmarkStart w:id="330" w:name="_Toc123044407"/>
      <w:bookmarkStart w:id="331" w:name="_Toc123044669"/>
      <w:bookmarkStart w:id="332" w:name="_Toc123044931"/>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329"/>
      <w:bookmarkEnd w:id="330"/>
      <w:bookmarkEnd w:id="331"/>
      <w:bookmarkEnd w:id="332"/>
    </w:p>
    <w:p w14:paraId="2D4E997D" w14:textId="77777777" w:rsidR="00494AE4" w:rsidRPr="00564B9D" w:rsidRDefault="00494AE4" w:rsidP="00494AE4">
      <w:pPr>
        <w:pStyle w:val="SingleTxtGA"/>
        <w:rPr>
          <w:rtl/>
        </w:rPr>
      </w:pPr>
      <w:r w:rsidRPr="00564B9D">
        <w:rPr>
          <w:rFonts w:hint="cs"/>
          <w:rtl/>
        </w:rPr>
        <w:t>144</w:t>
      </w:r>
      <w:r w:rsidRPr="00564B9D">
        <w:rPr>
          <w:rtl/>
        </w:rPr>
        <w:t>-</w:t>
      </w:r>
      <w:r w:rsidRPr="00564B9D">
        <w:rPr>
          <w:rtl/>
        </w:rPr>
        <w:tab/>
        <w:t>ينص الفصل الأول (الجزء 2) والفصل الثاني (الجزء 2) والفصل الثالث (الجزء 2) من دستور سانت هيل</w:t>
      </w:r>
      <w:r w:rsidRPr="00564B9D">
        <w:rPr>
          <w:rFonts w:hint="cs"/>
          <w:rtl/>
        </w:rPr>
        <w:t>انة</w:t>
      </w:r>
      <w:r w:rsidRPr="00564B9D">
        <w:rPr>
          <w:rtl/>
        </w:rPr>
        <w:t xml:space="preserve"> وأس</w:t>
      </w:r>
      <w:r w:rsidRPr="00564B9D">
        <w:rPr>
          <w:rFonts w:hint="cs"/>
          <w:rtl/>
        </w:rPr>
        <w:t>ا</w:t>
      </w:r>
      <w:r w:rsidRPr="00564B9D">
        <w:rPr>
          <w:rtl/>
        </w:rPr>
        <w:t>ن</w:t>
      </w:r>
      <w:r w:rsidRPr="00564B9D">
        <w:rPr>
          <w:rFonts w:hint="cs"/>
          <w:rtl/>
        </w:rPr>
        <w:t>س</w:t>
      </w:r>
      <w:r w:rsidRPr="00564B9D">
        <w:rPr>
          <w:rtl/>
        </w:rPr>
        <w:t>يون وتريستان دا كون</w:t>
      </w:r>
      <w:r w:rsidRPr="00564B9D">
        <w:rPr>
          <w:rFonts w:hint="cs"/>
          <w:rtl/>
        </w:rPr>
        <w:t>ي</w:t>
      </w:r>
      <w:r w:rsidRPr="00564B9D">
        <w:rPr>
          <w:rtl/>
        </w:rPr>
        <w:t>ا بشكل محدد على حماية حقوق الإنسان (بما في ذلك م</w:t>
      </w:r>
      <w:r w:rsidRPr="00564B9D">
        <w:rPr>
          <w:rFonts w:hint="cs"/>
          <w:rtl/>
        </w:rPr>
        <w:t>كافحة</w:t>
      </w:r>
      <w:r w:rsidRPr="00564B9D">
        <w:rPr>
          <w:rtl/>
        </w:rPr>
        <w:t xml:space="preserve"> التمييز) على المستوى التشريعي. وبموجب البنود الفرعية 24 و140 و206 من الدستور، يجوز لأي شخص أن يرفع طلباً إلى المحكمة العليا لمساعدته إذا ما </w:t>
      </w:r>
      <w:r w:rsidRPr="00564B9D">
        <w:rPr>
          <w:rFonts w:hint="cs"/>
          <w:rtl/>
        </w:rPr>
        <w:t>ا</w:t>
      </w:r>
      <w:r w:rsidRPr="00564B9D">
        <w:rPr>
          <w:rtl/>
        </w:rPr>
        <w:t>ر</w:t>
      </w:r>
      <w:r w:rsidRPr="00564B9D">
        <w:rPr>
          <w:rFonts w:hint="cs"/>
          <w:rtl/>
        </w:rPr>
        <w:t>ت</w:t>
      </w:r>
      <w:r w:rsidRPr="00564B9D">
        <w:rPr>
          <w:rtl/>
        </w:rPr>
        <w:t xml:space="preserve">أى أن أحكام حقوق الإنسان الواردة في الدستور قد </w:t>
      </w:r>
      <w:r w:rsidRPr="00564B9D">
        <w:rPr>
          <w:rFonts w:hint="cs"/>
          <w:rtl/>
        </w:rPr>
        <w:t>انتُهكت.</w:t>
      </w:r>
    </w:p>
    <w:p w14:paraId="3B6328AD" w14:textId="77777777" w:rsidR="00494AE4" w:rsidRPr="00564B9D" w:rsidRDefault="00494AE4" w:rsidP="00494AE4">
      <w:pPr>
        <w:pStyle w:val="H1GA"/>
        <w:rPr>
          <w:rtl/>
        </w:rPr>
      </w:pPr>
      <w:r w:rsidRPr="00564B9D">
        <w:rPr>
          <w:rtl/>
        </w:rPr>
        <w:tab/>
      </w:r>
      <w:bookmarkStart w:id="333" w:name="_Toc123044185"/>
      <w:bookmarkStart w:id="334" w:name="_Toc123044408"/>
      <w:bookmarkStart w:id="335" w:name="_Toc123044670"/>
      <w:bookmarkStart w:id="336" w:name="_Toc123044932"/>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333"/>
      <w:bookmarkEnd w:id="334"/>
      <w:bookmarkEnd w:id="335"/>
      <w:bookmarkEnd w:id="336"/>
    </w:p>
    <w:p w14:paraId="661C4DA3" w14:textId="77777777" w:rsidR="00494AE4" w:rsidRPr="00564B9D" w:rsidRDefault="00494AE4" w:rsidP="00494AE4">
      <w:pPr>
        <w:pStyle w:val="SingleTxtGA"/>
        <w:rPr>
          <w:rtl/>
        </w:rPr>
      </w:pPr>
      <w:r w:rsidRPr="00564B9D">
        <w:rPr>
          <w:rFonts w:hint="cs"/>
          <w:rtl/>
        </w:rPr>
        <w:t>145</w:t>
      </w:r>
      <w:r w:rsidRPr="00564B9D">
        <w:rPr>
          <w:rtl/>
        </w:rPr>
        <w:t>-</w:t>
      </w:r>
      <w:r w:rsidRPr="00564B9D">
        <w:rPr>
          <w:rtl/>
        </w:rPr>
        <w:tab/>
        <w:t>انظر الفرع باء</w:t>
      </w:r>
      <w:r w:rsidRPr="00564B9D">
        <w:rPr>
          <w:rFonts w:hint="cs"/>
          <w:rtl/>
        </w:rPr>
        <w:t>.</w:t>
      </w:r>
    </w:p>
    <w:p w14:paraId="66DB496B" w14:textId="77777777" w:rsidR="00494AE4" w:rsidRPr="00564B9D" w:rsidRDefault="00494AE4" w:rsidP="00494AE4">
      <w:pPr>
        <w:pStyle w:val="HChGA"/>
        <w:rPr>
          <w:rtl/>
        </w:rPr>
      </w:pPr>
      <w:r w:rsidRPr="00564B9D">
        <w:rPr>
          <w:rtl/>
        </w:rPr>
        <w:tab/>
      </w:r>
      <w:bookmarkStart w:id="337" w:name="_Toc123044186"/>
      <w:bookmarkStart w:id="338" w:name="_Toc123044409"/>
      <w:bookmarkStart w:id="339" w:name="_Toc123044671"/>
      <w:bookmarkStart w:id="340" w:name="_Toc123044933"/>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337"/>
      <w:bookmarkEnd w:id="338"/>
      <w:bookmarkEnd w:id="339"/>
      <w:bookmarkEnd w:id="340"/>
    </w:p>
    <w:p w14:paraId="059C7A99" w14:textId="77777777" w:rsidR="00494AE4" w:rsidRPr="00564B9D" w:rsidRDefault="00494AE4" w:rsidP="00494AE4">
      <w:pPr>
        <w:pStyle w:val="SingleTxtGA"/>
        <w:rPr>
          <w:rtl/>
        </w:rPr>
      </w:pPr>
      <w:r w:rsidRPr="00564B9D">
        <w:rPr>
          <w:rFonts w:hint="cs"/>
          <w:rtl/>
        </w:rPr>
        <w:t>146</w:t>
      </w:r>
      <w:r w:rsidRPr="00564B9D">
        <w:rPr>
          <w:rtl/>
        </w:rPr>
        <w:t>-</w:t>
      </w:r>
      <w:r w:rsidRPr="00564B9D">
        <w:rPr>
          <w:rtl/>
        </w:rPr>
        <w:tab/>
        <w:t>انظر الفرع باء.</w:t>
      </w:r>
    </w:p>
    <w:p w14:paraId="5F17E233" w14:textId="77777777" w:rsidR="00494AE4" w:rsidRPr="00564B9D" w:rsidRDefault="00494AE4" w:rsidP="00494AE4">
      <w:pPr>
        <w:pStyle w:val="HChGA"/>
        <w:rPr>
          <w:rtl/>
        </w:rPr>
      </w:pPr>
      <w:r w:rsidRPr="00564B9D">
        <w:rPr>
          <w:rtl/>
        </w:rPr>
        <w:lastRenderedPageBreak/>
        <w:tab/>
      </w:r>
      <w:r w:rsidRPr="00564B9D">
        <w:rPr>
          <w:rtl/>
        </w:rPr>
        <w:tab/>
      </w:r>
      <w:bookmarkStart w:id="341" w:name="_Toc123044187"/>
      <w:bookmarkStart w:id="342" w:name="_Toc123044410"/>
      <w:bookmarkStart w:id="343" w:name="_Toc123044672"/>
      <w:bookmarkStart w:id="344" w:name="_Toc123044934"/>
      <w:r w:rsidRPr="00564B9D">
        <w:rPr>
          <w:rFonts w:hint="cs"/>
          <w:rtl/>
        </w:rPr>
        <w:t>جزر تركس وكايكوس</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82"/>
      </w:r>
      <w:r w:rsidRPr="00564B9D">
        <w:rPr>
          <w:b w:val="0"/>
          <w:bCs w:val="0"/>
          <w:sz w:val="22"/>
          <w:szCs w:val="22"/>
          <w:vertAlign w:val="superscript"/>
          <w:rtl/>
        </w:rPr>
        <w:t>)</w:t>
      </w:r>
      <w:bookmarkEnd w:id="341"/>
      <w:bookmarkEnd w:id="342"/>
      <w:bookmarkEnd w:id="343"/>
      <w:bookmarkEnd w:id="344"/>
      <w:r w:rsidRPr="00564B9D">
        <w:rPr>
          <w:rFonts w:hint="cs"/>
          <w:rtl/>
        </w:rPr>
        <w:t xml:space="preserve"> </w:t>
      </w:r>
    </w:p>
    <w:p w14:paraId="324D9538" w14:textId="77777777" w:rsidR="00494AE4" w:rsidRPr="00564B9D" w:rsidRDefault="00494AE4" w:rsidP="00494AE4">
      <w:pPr>
        <w:pStyle w:val="HChGA"/>
        <w:rPr>
          <w:rtl/>
        </w:rPr>
      </w:pPr>
      <w:r w:rsidRPr="00564B9D">
        <w:rPr>
          <w:rtl/>
        </w:rPr>
        <w:tab/>
      </w:r>
      <w:bookmarkStart w:id="345" w:name="_Toc123044188"/>
      <w:bookmarkStart w:id="346" w:name="_Toc123044411"/>
      <w:bookmarkStart w:id="347" w:name="_Toc123044673"/>
      <w:bookmarkStart w:id="348" w:name="_Toc123044935"/>
      <w:r w:rsidRPr="00564B9D">
        <w:rPr>
          <w:rFonts w:hint="cs"/>
          <w:rtl/>
        </w:rPr>
        <w:t>أولاً</w:t>
      </w:r>
      <w:r w:rsidRPr="00564B9D">
        <w:rPr>
          <w:rtl/>
        </w:rPr>
        <w:t>-</w:t>
      </w:r>
      <w:r w:rsidRPr="00564B9D">
        <w:rPr>
          <w:rtl/>
        </w:rPr>
        <w:tab/>
      </w:r>
      <w:r w:rsidRPr="00564B9D">
        <w:rPr>
          <w:rFonts w:hint="cs"/>
          <w:rtl/>
        </w:rPr>
        <w:t>معلومات عامة</w:t>
      </w:r>
      <w:bookmarkEnd w:id="345"/>
      <w:bookmarkEnd w:id="346"/>
      <w:bookmarkEnd w:id="347"/>
      <w:bookmarkEnd w:id="348"/>
    </w:p>
    <w:p w14:paraId="65626540" w14:textId="77777777" w:rsidR="00494AE4" w:rsidRPr="00564B9D" w:rsidRDefault="00494AE4" w:rsidP="00494AE4">
      <w:pPr>
        <w:pStyle w:val="H1GA"/>
        <w:rPr>
          <w:rtl/>
        </w:rPr>
      </w:pPr>
      <w:r w:rsidRPr="00564B9D">
        <w:rPr>
          <w:rtl/>
        </w:rPr>
        <w:tab/>
      </w:r>
      <w:bookmarkStart w:id="349" w:name="_Toc123044189"/>
      <w:bookmarkStart w:id="350" w:name="_Toc123044412"/>
      <w:bookmarkStart w:id="351" w:name="_Toc123044674"/>
      <w:bookmarkStart w:id="352" w:name="_Toc123044936"/>
      <w:r w:rsidRPr="00564B9D">
        <w:rPr>
          <w:rtl/>
        </w:rPr>
        <w:t>ألف-</w:t>
      </w:r>
      <w:r w:rsidRPr="00564B9D">
        <w:rPr>
          <w:rtl/>
        </w:rPr>
        <w:tab/>
        <w:t>الخصائص الديمغرافية والاقتصادية والاجتماعية والثقافية</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83"/>
      </w:r>
      <w:r w:rsidRPr="00564B9D">
        <w:rPr>
          <w:b w:val="0"/>
          <w:bCs w:val="0"/>
          <w:sz w:val="22"/>
          <w:szCs w:val="22"/>
          <w:vertAlign w:val="superscript"/>
          <w:rtl/>
        </w:rPr>
        <w:t>)</w:t>
      </w:r>
      <w:bookmarkEnd w:id="349"/>
      <w:bookmarkEnd w:id="350"/>
      <w:bookmarkEnd w:id="351"/>
      <w:bookmarkEnd w:id="352"/>
      <w:r w:rsidRPr="00564B9D">
        <w:rPr>
          <w:rtl/>
        </w:rPr>
        <w:t xml:space="preserve"> </w:t>
      </w:r>
    </w:p>
    <w:tbl>
      <w:tblPr>
        <w:bidiVisual/>
        <w:tblW w:w="8392" w:type="dxa"/>
        <w:tblInd w:w="1247" w:type="dxa"/>
        <w:tblLayout w:type="fixed"/>
        <w:tblCellMar>
          <w:right w:w="113" w:type="dxa"/>
        </w:tblCellMar>
        <w:tblLook w:val="01E0" w:firstRow="1" w:lastRow="1" w:firstColumn="1" w:lastColumn="1" w:noHBand="0" w:noVBand="0"/>
      </w:tblPr>
      <w:tblGrid>
        <w:gridCol w:w="4746"/>
        <w:gridCol w:w="3646"/>
      </w:tblGrid>
      <w:tr w:rsidR="007B5A24" w:rsidRPr="00564B9D" w14:paraId="63AF7CEB" w14:textId="77777777" w:rsidTr="00804944">
        <w:trPr>
          <w:trHeight w:val="240"/>
          <w:tblHeader/>
        </w:trPr>
        <w:tc>
          <w:tcPr>
            <w:tcW w:w="7122" w:type="dxa"/>
            <w:gridSpan w:val="2"/>
            <w:tcBorders>
              <w:top w:val="single" w:sz="4" w:space="0" w:color="auto"/>
              <w:bottom w:val="single" w:sz="12" w:space="0" w:color="auto"/>
            </w:tcBorders>
            <w:shd w:val="clear" w:color="auto" w:fill="auto"/>
            <w:vAlign w:val="bottom"/>
          </w:tcPr>
          <w:p w14:paraId="0AD33546" w14:textId="77777777" w:rsidR="00494AE4" w:rsidRPr="00564B9D" w:rsidRDefault="00494AE4" w:rsidP="0077702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الديمغرافية</w:t>
            </w:r>
          </w:p>
        </w:tc>
      </w:tr>
      <w:tr w:rsidR="007B5A24" w:rsidRPr="00564B9D" w14:paraId="00A1C2F1" w14:textId="77777777" w:rsidTr="00804944">
        <w:trPr>
          <w:trHeight w:val="240"/>
        </w:trPr>
        <w:tc>
          <w:tcPr>
            <w:tcW w:w="4028" w:type="dxa"/>
            <w:tcBorders>
              <w:top w:val="single" w:sz="12" w:space="0" w:color="auto"/>
            </w:tcBorders>
            <w:shd w:val="clear" w:color="auto" w:fill="auto"/>
          </w:tcPr>
          <w:p w14:paraId="5E582FF1" w14:textId="77777777" w:rsidR="00494AE4" w:rsidRPr="00564B9D" w:rsidRDefault="00494AE4" w:rsidP="00777024">
            <w:pPr>
              <w:pStyle w:val="SingleTxtGA"/>
              <w:keepNext/>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3094" w:type="dxa"/>
            <w:tcBorders>
              <w:top w:val="single" w:sz="12" w:space="0" w:color="auto"/>
            </w:tcBorders>
            <w:shd w:val="clear" w:color="auto" w:fill="auto"/>
          </w:tcPr>
          <w:p w14:paraId="783411F4" w14:textId="77777777" w:rsidR="00494AE4" w:rsidRPr="00564B9D" w:rsidRDefault="00494AE4" w:rsidP="00777024">
            <w:pPr>
              <w:pStyle w:val="SingleTxtGA"/>
              <w:keepNext/>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957</w:t>
            </w:r>
            <w:r w:rsidRPr="00564B9D">
              <w:rPr>
                <w:sz w:val="20"/>
                <w:szCs w:val="20"/>
                <w:rtl/>
              </w:rPr>
              <w:t> </w:t>
            </w:r>
            <w:r w:rsidRPr="00564B9D">
              <w:rPr>
                <w:rFonts w:hint="cs"/>
                <w:sz w:val="20"/>
                <w:szCs w:val="20"/>
                <w:rtl/>
              </w:rPr>
              <w:t>42 (تقديرات عام 2019)</w:t>
            </w:r>
          </w:p>
        </w:tc>
      </w:tr>
      <w:tr w:rsidR="007B5A24" w:rsidRPr="00564B9D" w14:paraId="1D3A73F7" w14:textId="77777777" w:rsidTr="00804944">
        <w:trPr>
          <w:trHeight w:val="240"/>
        </w:trPr>
        <w:tc>
          <w:tcPr>
            <w:tcW w:w="4028" w:type="dxa"/>
            <w:shd w:val="clear" w:color="auto" w:fill="auto"/>
          </w:tcPr>
          <w:p w14:paraId="58C050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3094" w:type="dxa"/>
            <w:shd w:val="clear" w:color="auto" w:fill="auto"/>
          </w:tcPr>
          <w:p w14:paraId="64DA13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3,9 في المائة </w:t>
            </w:r>
          </w:p>
        </w:tc>
      </w:tr>
      <w:tr w:rsidR="007B5A24" w:rsidRPr="00564B9D" w14:paraId="599B4EC5" w14:textId="77777777" w:rsidTr="00804944">
        <w:trPr>
          <w:trHeight w:val="240"/>
        </w:trPr>
        <w:tc>
          <w:tcPr>
            <w:tcW w:w="4028" w:type="dxa"/>
            <w:shd w:val="clear" w:color="auto" w:fill="auto"/>
          </w:tcPr>
          <w:p w14:paraId="667F85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3094" w:type="dxa"/>
            <w:shd w:val="clear" w:color="auto" w:fill="auto"/>
          </w:tcPr>
          <w:p w14:paraId="45333C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117,3 </w:t>
            </w:r>
          </w:p>
        </w:tc>
      </w:tr>
      <w:tr w:rsidR="007B5A24" w:rsidRPr="00564B9D" w14:paraId="563E54E7" w14:textId="77777777" w:rsidTr="00804944">
        <w:trPr>
          <w:trHeight w:val="240"/>
        </w:trPr>
        <w:tc>
          <w:tcPr>
            <w:tcW w:w="4028" w:type="dxa"/>
            <w:shd w:val="clear" w:color="auto" w:fill="auto"/>
          </w:tcPr>
          <w:p w14:paraId="3629CE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3094" w:type="dxa"/>
            <w:shd w:val="clear" w:color="auto" w:fill="auto"/>
          </w:tcPr>
          <w:p w14:paraId="7CE41D2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5B2D3F2" w14:textId="77777777" w:rsidTr="00804944">
        <w:trPr>
          <w:trHeight w:val="240"/>
        </w:trPr>
        <w:tc>
          <w:tcPr>
            <w:tcW w:w="4028" w:type="dxa"/>
            <w:shd w:val="clear" w:color="auto" w:fill="auto"/>
          </w:tcPr>
          <w:p w14:paraId="304BFA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3094" w:type="dxa"/>
            <w:shd w:val="clear" w:color="auto" w:fill="auto"/>
          </w:tcPr>
          <w:p w14:paraId="6DD815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العنصرة 23,7 في المائة، المعمدانية 25,7 في المائة، الأنجليكان 11,9 في المائة، الميثوديست 9,7 في المائة، الكاثوليك 5,6 في المائة، الأدنتست 4,8 في المائة، </w:t>
            </w:r>
            <w:r w:rsidRPr="00564B9D">
              <w:rPr>
                <w:rFonts w:hint="cs"/>
                <w:sz w:val="20"/>
                <w:szCs w:val="20"/>
                <w:rtl/>
              </w:rPr>
              <w:t>ديانات أخرى</w:t>
            </w:r>
            <w:r w:rsidRPr="00564B9D">
              <w:rPr>
                <w:sz w:val="20"/>
                <w:szCs w:val="20"/>
                <w:rtl/>
              </w:rPr>
              <w:t xml:space="preserve"> 18,6 في المائة.</w:t>
            </w:r>
          </w:p>
        </w:tc>
      </w:tr>
      <w:tr w:rsidR="007B5A24" w:rsidRPr="00564B9D" w14:paraId="2854BAFF" w14:textId="77777777" w:rsidTr="00804944">
        <w:trPr>
          <w:trHeight w:val="240"/>
        </w:trPr>
        <w:tc>
          <w:tcPr>
            <w:tcW w:w="4028" w:type="dxa"/>
            <w:shd w:val="clear" w:color="auto" w:fill="auto"/>
          </w:tcPr>
          <w:p w14:paraId="0879B3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المجموعات الإثنية</w:t>
            </w:r>
          </w:p>
        </w:tc>
        <w:tc>
          <w:tcPr>
            <w:tcW w:w="3094" w:type="dxa"/>
            <w:shd w:val="clear" w:color="auto" w:fill="auto"/>
          </w:tcPr>
          <w:p w14:paraId="3FDD50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84,9 في المائة سود، 5,9 في المائة اسبان، 2,8 في المائة بيض</w:t>
            </w:r>
          </w:p>
        </w:tc>
      </w:tr>
      <w:tr w:rsidR="007B5A24" w:rsidRPr="00564B9D" w14:paraId="3149AF93" w14:textId="77777777" w:rsidTr="00804944">
        <w:trPr>
          <w:trHeight w:val="240"/>
        </w:trPr>
        <w:tc>
          <w:tcPr>
            <w:tcW w:w="4028" w:type="dxa"/>
            <w:shd w:val="clear" w:color="auto" w:fill="auto"/>
          </w:tcPr>
          <w:p w14:paraId="55968B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التركيب العمري للسكان </w:t>
            </w:r>
          </w:p>
        </w:tc>
        <w:tc>
          <w:tcPr>
            <w:tcW w:w="3094" w:type="dxa"/>
            <w:shd w:val="clear" w:color="auto" w:fill="auto"/>
          </w:tcPr>
          <w:p w14:paraId="0B82BA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24,1 في المائة </w:t>
            </w:r>
            <w:r w:rsidRPr="00564B9D">
              <w:rPr>
                <w:rFonts w:hint="cs"/>
                <w:sz w:val="20"/>
                <w:szCs w:val="20"/>
                <w:rtl/>
              </w:rPr>
              <w:t>للعمر</w:t>
            </w:r>
            <w:r w:rsidRPr="00564B9D">
              <w:rPr>
                <w:sz w:val="20"/>
                <w:szCs w:val="20"/>
                <w:rtl/>
              </w:rPr>
              <w:t xml:space="preserve"> 0 إلى 19، 33,8 في المائة </w:t>
            </w:r>
            <w:r w:rsidRPr="00564B9D">
              <w:rPr>
                <w:rFonts w:hint="cs"/>
                <w:sz w:val="20"/>
                <w:szCs w:val="20"/>
                <w:rtl/>
              </w:rPr>
              <w:t>للعمر</w:t>
            </w:r>
            <w:r w:rsidRPr="00564B9D">
              <w:rPr>
                <w:sz w:val="20"/>
                <w:szCs w:val="20"/>
                <w:rtl/>
              </w:rPr>
              <w:t xml:space="preserve"> 20 إلى 39، 33,9 في المائة </w:t>
            </w:r>
            <w:r w:rsidRPr="00564B9D">
              <w:rPr>
                <w:rFonts w:hint="cs"/>
                <w:sz w:val="20"/>
                <w:szCs w:val="20"/>
                <w:rtl/>
              </w:rPr>
              <w:t>للعمر</w:t>
            </w:r>
            <w:r w:rsidRPr="00564B9D">
              <w:rPr>
                <w:sz w:val="20"/>
                <w:szCs w:val="20"/>
                <w:rtl/>
              </w:rPr>
              <w:t xml:space="preserve"> 40 إلى 59، 8,3 في المائة </w:t>
            </w:r>
            <w:r w:rsidRPr="00564B9D">
              <w:rPr>
                <w:rFonts w:hint="cs"/>
                <w:sz w:val="20"/>
                <w:szCs w:val="20"/>
                <w:rtl/>
              </w:rPr>
              <w:t>للعمر</w:t>
            </w:r>
            <w:r w:rsidRPr="00564B9D">
              <w:rPr>
                <w:sz w:val="20"/>
                <w:szCs w:val="20"/>
                <w:rtl/>
              </w:rPr>
              <w:t xml:space="preserve"> 60 وما فوق</w:t>
            </w:r>
          </w:p>
        </w:tc>
      </w:tr>
      <w:tr w:rsidR="007B5A24" w:rsidRPr="00564B9D" w14:paraId="01D14D44" w14:textId="77777777" w:rsidTr="00804944">
        <w:trPr>
          <w:trHeight w:val="240"/>
        </w:trPr>
        <w:tc>
          <w:tcPr>
            <w:tcW w:w="4028" w:type="dxa"/>
            <w:shd w:val="clear" w:color="auto" w:fill="auto"/>
          </w:tcPr>
          <w:p w14:paraId="72E16A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3094" w:type="dxa"/>
            <w:shd w:val="clear" w:color="auto" w:fill="auto"/>
          </w:tcPr>
          <w:p w14:paraId="4CD0D03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18,7 في المائة</w:t>
            </w:r>
          </w:p>
        </w:tc>
      </w:tr>
      <w:tr w:rsidR="007B5A24" w:rsidRPr="00564B9D" w14:paraId="7EA66969" w14:textId="77777777" w:rsidTr="00804944">
        <w:trPr>
          <w:trHeight w:val="240"/>
        </w:trPr>
        <w:tc>
          <w:tcPr>
            <w:tcW w:w="4028" w:type="dxa"/>
            <w:shd w:val="clear" w:color="auto" w:fill="auto"/>
          </w:tcPr>
          <w:p w14:paraId="558DD7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3094" w:type="dxa"/>
            <w:shd w:val="clear" w:color="auto" w:fill="auto"/>
          </w:tcPr>
          <w:p w14:paraId="3D8DA9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4,6 في المائة</w:t>
            </w:r>
          </w:p>
        </w:tc>
      </w:tr>
      <w:tr w:rsidR="007B5A24" w:rsidRPr="00564B9D" w14:paraId="712B4EC8" w14:textId="77777777" w:rsidTr="00804944">
        <w:trPr>
          <w:trHeight w:val="240"/>
        </w:trPr>
        <w:tc>
          <w:tcPr>
            <w:tcW w:w="4028" w:type="dxa"/>
            <w:shd w:val="clear" w:color="auto" w:fill="auto"/>
          </w:tcPr>
          <w:p w14:paraId="5126D62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3094" w:type="dxa"/>
            <w:shd w:val="clear" w:color="auto" w:fill="auto"/>
          </w:tcPr>
          <w:p w14:paraId="59F398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11,3 (2019)</w:t>
            </w:r>
          </w:p>
        </w:tc>
      </w:tr>
      <w:tr w:rsidR="007B5A24" w:rsidRPr="00564B9D" w14:paraId="39158DF3" w14:textId="77777777" w:rsidTr="00804944">
        <w:trPr>
          <w:trHeight w:val="240"/>
        </w:trPr>
        <w:tc>
          <w:tcPr>
            <w:tcW w:w="4028" w:type="dxa"/>
            <w:shd w:val="clear" w:color="auto" w:fill="auto"/>
          </w:tcPr>
          <w:p w14:paraId="257A4F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3094" w:type="dxa"/>
            <w:shd w:val="clear" w:color="auto" w:fill="auto"/>
          </w:tcPr>
          <w:p w14:paraId="60585D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4,1 (2019)</w:t>
            </w:r>
          </w:p>
        </w:tc>
      </w:tr>
      <w:tr w:rsidR="007B5A24" w:rsidRPr="00564B9D" w14:paraId="534106BC" w14:textId="77777777" w:rsidTr="00804944">
        <w:trPr>
          <w:trHeight w:val="240"/>
        </w:trPr>
        <w:tc>
          <w:tcPr>
            <w:tcW w:w="4028" w:type="dxa"/>
            <w:shd w:val="clear" w:color="auto" w:fill="auto"/>
          </w:tcPr>
          <w:p w14:paraId="0AF372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3094" w:type="dxa"/>
            <w:shd w:val="clear" w:color="auto" w:fill="auto"/>
          </w:tcPr>
          <w:p w14:paraId="38814B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2,84 (2019)</w:t>
            </w:r>
          </w:p>
        </w:tc>
      </w:tr>
      <w:tr w:rsidR="007B5A24" w:rsidRPr="00564B9D" w14:paraId="61203AE0" w14:textId="77777777" w:rsidTr="00804944">
        <w:trPr>
          <w:trHeight w:val="240"/>
        </w:trPr>
        <w:tc>
          <w:tcPr>
            <w:tcW w:w="4028" w:type="dxa"/>
            <w:shd w:val="clear" w:color="auto" w:fill="auto"/>
          </w:tcPr>
          <w:p w14:paraId="00AC40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w:t>
            </w:r>
          </w:p>
        </w:tc>
        <w:tc>
          <w:tcPr>
            <w:tcW w:w="3094" w:type="dxa"/>
            <w:shd w:val="clear" w:color="auto" w:fill="auto"/>
          </w:tcPr>
          <w:p w14:paraId="6B3EBE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3,56 (2019)</w:t>
            </w:r>
          </w:p>
        </w:tc>
      </w:tr>
      <w:tr w:rsidR="007B5A24" w:rsidRPr="00564B9D" w14:paraId="67B9CBC1" w14:textId="77777777" w:rsidTr="00804944">
        <w:trPr>
          <w:trHeight w:val="240"/>
        </w:trPr>
        <w:tc>
          <w:tcPr>
            <w:tcW w:w="4028" w:type="dxa"/>
            <w:shd w:val="clear" w:color="auto" w:fill="auto"/>
          </w:tcPr>
          <w:p w14:paraId="2C7F96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3094" w:type="dxa"/>
            <w:shd w:val="clear" w:color="auto" w:fill="auto"/>
          </w:tcPr>
          <w:p w14:paraId="35ADCDB8" w14:textId="40D636E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w:t>
            </w:r>
            <w:r w:rsidR="00C74D4C" w:rsidRPr="00564B9D">
              <w:rPr>
                <w:rFonts w:hint="cs"/>
                <w:sz w:val="20"/>
                <w:szCs w:val="20"/>
                <w:rtl/>
              </w:rPr>
              <w:t>0</w:t>
            </w:r>
            <w:r w:rsidRPr="00564B9D">
              <w:rPr>
                <w:rFonts w:hint="cs"/>
                <w:sz w:val="20"/>
                <w:szCs w:val="20"/>
                <w:rtl/>
              </w:rPr>
              <w:t>9 (2019)</w:t>
            </w:r>
          </w:p>
        </w:tc>
      </w:tr>
      <w:tr w:rsidR="007B5A24" w:rsidRPr="00564B9D" w14:paraId="265809DD" w14:textId="77777777" w:rsidTr="00804944">
        <w:trPr>
          <w:trHeight w:val="240"/>
        </w:trPr>
        <w:tc>
          <w:tcPr>
            <w:tcW w:w="4028" w:type="dxa"/>
            <w:shd w:val="clear" w:color="auto" w:fill="auto"/>
          </w:tcPr>
          <w:p w14:paraId="5DCAA8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3094" w:type="dxa"/>
            <w:shd w:val="clear" w:color="auto" w:fill="auto"/>
          </w:tcPr>
          <w:p w14:paraId="42C1F8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79 سنة</w:t>
            </w:r>
          </w:p>
        </w:tc>
      </w:tr>
      <w:tr w:rsidR="007B5A24" w:rsidRPr="00564B9D" w14:paraId="4577F0E5" w14:textId="77777777" w:rsidTr="00804944">
        <w:trPr>
          <w:trHeight w:val="240"/>
        </w:trPr>
        <w:tc>
          <w:tcPr>
            <w:tcW w:w="4028" w:type="dxa"/>
            <w:shd w:val="clear" w:color="auto" w:fill="auto"/>
          </w:tcPr>
          <w:p w14:paraId="1A7F25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3094" w:type="dxa"/>
            <w:shd w:val="clear" w:color="auto" w:fill="auto"/>
          </w:tcPr>
          <w:p w14:paraId="1ADDAE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5F606A2" w14:textId="77777777" w:rsidTr="00804944">
        <w:trPr>
          <w:trHeight w:val="240"/>
        </w:trPr>
        <w:tc>
          <w:tcPr>
            <w:tcW w:w="4028" w:type="dxa"/>
            <w:shd w:val="clear" w:color="auto" w:fill="auto"/>
          </w:tcPr>
          <w:p w14:paraId="25614E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3094" w:type="dxa"/>
            <w:shd w:val="clear" w:color="auto" w:fill="auto"/>
          </w:tcPr>
          <w:p w14:paraId="210849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 (التعداد السكاني لعام 2012)</w:t>
            </w:r>
          </w:p>
        </w:tc>
      </w:tr>
      <w:tr w:rsidR="007B5A24" w:rsidRPr="00564B9D" w14:paraId="1344F03A" w14:textId="77777777" w:rsidTr="00804944">
        <w:trPr>
          <w:trHeight w:val="240"/>
        </w:trPr>
        <w:tc>
          <w:tcPr>
            <w:tcW w:w="4028" w:type="dxa"/>
            <w:tcBorders>
              <w:bottom w:val="single" w:sz="12" w:space="0" w:color="auto"/>
            </w:tcBorders>
            <w:shd w:val="clear" w:color="auto" w:fill="auto"/>
          </w:tcPr>
          <w:p w14:paraId="5A6950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3094" w:type="dxa"/>
            <w:tcBorders>
              <w:bottom w:val="single" w:sz="12" w:space="0" w:color="auto"/>
            </w:tcBorders>
            <w:shd w:val="clear" w:color="auto" w:fill="auto"/>
          </w:tcPr>
          <w:p w14:paraId="1541AA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bl>
    <w:p w14:paraId="56C091EC"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726"/>
        <w:gridCol w:w="3666"/>
      </w:tblGrid>
      <w:tr w:rsidR="007B5A24" w:rsidRPr="00564B9D" w14:paraId="1D8810A0" w14:textId="77777777" w:rsidTr="00804944">
        <w:trPr>
          <w:trHeight w:val="240"/>
          <w:tblHeader/>
        </w:trPr>
        <w:tc>
          <w:tcPr>
            <w:tcW w:w="7149" w:type="dxa"/>
            <w:gridSpan w:val="2"/>
            <w:tcBorders>
              <w:top w:val="single" w:sz="4" w:space="0" w:color="auto"/>
              <w:bottom w:val="single" w:sz="12" w:space="0" w:color="auto"/>
            </w:tcBorders>
            <w:shd w:val="clear" w:color="auto" w:fill="auto"/>
            <w:vAlign w:val="bottom"/>
          </w:tcPr>
          <w:p w14:paraId="34AAF50F" w14:textId="77777777" w:rsidR="00494AE4" w:rsidRPr="00564B9D" w:rsidRDefault="00494AE4" w:rsidP="00BD7822">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lastRenderedPageBreak/>
              <w:t>المؤشرات الاجتماعية والاقتصادية والثقافية</w:t>
            </w:r>
          </w:p>
        </w:tc>
      </w:tr>
      <w:tr w:rsidR="007B5A24" w:rsidRPr="00564B9D" w14:paraId="37E924E4" w14:textId="77777777" w:rsidTr="00804944">
        <w:trPr>
          <w:trHeight w:val="240"/>
        </w:trPr>
        <w:tc>
          <w:tcPr>
            <w:tcW w:w="4026" w:type="dxa"/>
            <w:tcBorders>
              <w:top w:val="single" w:sz="12" w:space="0" w:color="auto"/>
            </w:tcBorders>
            <w:shd w:val="clear" w:color="auto" w:fill="auto"/>
          </w:tcPr>
          <w:p w14:paraId="07F28B3E" w14:textId="77777777" w:rsidR="00494AE4" w:rsidRPr="00564B9D" w:rsidRDefault="00494AE4" w:rsidP="00BD7822">
            <w:pPr>
              <w:pStyle w:val="SingleTxtGA"/>
              <w:keepNext/>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3123" w:type="dxa"/>
            <w:tcBorders>
              <w:top w:val="single" w:sz="12" w:space="0" w:color="auto"/>
            </w:tcBorders>
            <w:shd w:val="clear" w:color="auto" w:fill="auto"/>
          </w:tcPr>
          <w:p w14:paraId="7ED47714" w14:textId="77777777" w:rsidR="00494AE4" w:rsidRPr="00564B9D" w:rsidRDefault="00494AE4" w:rsidP="00BD7822">
            <w:pPr>
              <w:pStyle w:val="SingleTxtGA"/>
              <w:keepNext/>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16,3 في المائة طعام، 25,9 في المائة إسكان، 2,48 في المائة تعليم، 4,6 في المائة صحة.</w:t>
            </w:r>
          </w:p>
        </w:tc>
      </w:tr>
      <w:tr w:rsidR="007B5A24" w:rsidRPr="00564B9D" w14:paraId="2CBD4F70" w14:textId="77777777" w:rsidTr="00804944">
        <w:trPr>
          <w:trHeight w:val="240"/>
        </w:trPr>
        <w:tc>
          <w:tcPr>
            <w:tcW w:w="4026" w:type="dxa"/>
            <w:shd w:val="clear" w:color="auto" w:fill="auto"/>
          </w:tcPr>
          <w:p w14:paraId="063904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3123" w:type="dxa"/>
            <w:shd w:val="clear" w:color="auto" w:fill="auto"/>
          </w:tcPr>
          <w:p w14:paraId="5471CC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21,6 في المائة</w:t>
            </w:r>
          </w:p>
        </w:tc>
      </w:tr>
      <w:tr w:rsidR="007B5A24" w:rsidRPr="00564B9D" w14:paraId="72815476" w14:textId="77777777" w:rsidTr="00804944">
        <w:trPr>
          <w:trHeight w:val="240"/>
        </w:trPr>
        <w:tc>
          <w:tcPr>
            <w:tcW w:w="4026" w:type="dxa"/>
            <w:shd w:val="clear" w:color="auto" w:fill="auto"/>
          </w:tcPr>
          <w:p w14:paraId="759D58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123" w:type="dxa"/>
            <w:shd w:val="clear" w:color="auto" w:fill="auto"/>
          </w:tcPr>
          <w:p w14:paraId="305CC8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F480E18" w14:textId="77777777" w:rsidTr="00804944">
        <w:trPr>
          <w:trHeight w:val="240"/>
        </w:trPr>
        <w:tc>
          <w:tcPr>
            <w:tcW w:w="4026" w:type="dxa"/>
            <w:shd w:val="clear" w:color="auto" w:fill="auto"/>
          </w:tcPr>
          <w:p w14:paraId="669217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3123" w:type="dxa"/>
            <w:shd w:val="clear" w:color="auto" w:fill="auto"/>
          </w:tcPr>
          <w:p w14:paraId="0D995B1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A4DB2EF" w14:textId="77777777" w:rsidTr="00804944">
        <w:trPr>
          <w:trHeight w:val="240"/>
        </w:trPr>
        <w:tc>
          <w:tcPr>
            <w:tcW w:w="4026" w:type="dxa"/>
            <w:shd w:val="clear" w:color="auto" w:fill="auto"/>
          </w:tcPr>
          <w:p w14:paraId="1A5183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3123" w:type="dxa"/>
            <w:shd w:val="clear" w:color="auto" w:fill="auto"/>
          </w:tcPr>
          <w:p w14:paraId="443E6F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0,5 في المائة </w:t>
            </w:r>
          </w:p>
        </w:tc>
      </w:tr>
      <w:tr w:rsidR="007B5A24" w:rsidRPr="00564B9D" w14:paraId="328E3132" w14:textId="77777777" w:rsidTr="00804944">
        <w:trPr>
          <w:trHeight w:val="240"/>
        </w:trPr>
        <w:tc>
          <w:tcPr>
            <w:tcW w:w="4026" w:type="dxa"/>
            <w:shd w:val="clear" w:color="auto" w:fill="auto"/>
          </w:tcPr>
          <w:p w14:paraId="01D631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3123" w:type="dxa"/>
            <w:shd w:val="clear" w:color="auto" w:fill="auto"/>
          </w:tcPr>
          <w:p w14:paraId="11422B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4,1 في المائة (2019)</w:t>
            </w:r>
          </w:p>
        </w:tc>
      </w:tr>
      <w:tr w:rsidR="007B5A24" w:rsidRPr="00564B9D" w14:paraId="6932A353" w14:textId="77777777" w:rsidTr="00804944">
        <w:trPr>
          <w:trHeight w:val="240"/>
        </w:trPr>
        <w:tc>
          <w:tcPr>
            <w:tcW w:w="4026" w:type="dxa"/>
            <w:shd w:val="clear" w:color="auto" w:fill="auto"/>
          </w:tcPr>
          <w:p w14:paraId="14021B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3123" w:type="dxa"/>
            <w:shd w:val="clear" w:color="auto" w:fill="auto"/>
          </w:tcPr>
          <w:p w14:paraId="2FEB19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44447A1" w14:textId="77777777" w:rsidTr="00804944">
        <w:trPr>
          <w:trHeight w:val="240"/>
        </w:trPr>
        <w:tc>
          <w:tcPr>
            <w:tcW w:w="4026" w:type="dxa"/>
            <w:shd w:val="clear" w:color="auto" w:fill="auto"/>
          </w:tcPr>
          <w:p w14:paraId="56B093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3123" w:type="dxa"/>
            <w:shd w:val="clear" w:color="auto" w:fill="auto"/>
          </w:tcPr>
          <w:p w14:paraId="4F0EC2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999AD53" w14:textId="77777777" w:rsidTr="00804944">
        <w:trPr>
          <w:trHeight w:val="240"/>
        </w:trPr>
        <w:tc>
          <w:tcPr>
            <w:tcW w:w="4026" w:type="dxa"/>
            <w:shd w:val="clear" w:color="auto" w:fill="auto"/>
          </w:tcPr>
          <w:p w14:paraId="4A7CA2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123" w:type="dxa"/>
            <w:shd w:val="clear" w:color="auto" w:fill="auto"/>
          </w:tcPr>
          <w:p w14:paraId="2A61161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معدل انتشار الإصابة بفيروس نقص المناعة البشرية: 1,44</w:t>
            </w:r>
          </w:p>
        </w:tc>
      </w:tr>
      <w:tr w:rsidR="007B5A24" w:rsidRPr="00564B9D" w14:paraId="32BB3AD6" w14:textId="77777777" w:rsidTr="00804944">
        <w:trPr>
          <w:trHeight w:val="240"/>
        </w:trPr>
        <w:tc>
          <w:tcPr>
            <w:tcW w:w="4026" w:type="dxa"/>
            <w:shd w:val="clear" w:color="auto" w:fill="auto"/>
          </w:tcPr>
          <w:p w14:paraId="479B26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3123" w:type="dxa"/>
            <w:shd w:val="clear" w:color="auto" w:fill="auto"/>
          </w:tcPr>
          <w:p w14:paraId="2629F5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السل</w:t>
            </w:r>
          </w:p>
        </w:tc>
      </w:tr>
      <w:tr w:rsidR="007B5A24" w:rsidRPr="00564B9D" w14:paraId="004AF37B" w14:textId="77777777" w:rsidTr="00804944">
        <w:trPr>
          <w:trHeight w:val="240"/>
        </w:trPr>
        <w:tc>
          <w:tcPr>
            <w:tcW w:w="4026" w:type="dxa"/>
            <w:shd w:val="clear" w:color="auto" w:fill="auto"/>
          </w:tcPr>
          <w:p w14:paraId="53CD04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3123" w:type="dxa"/>
            <w:shd w:val="clear" w:color="auto" w:fill="auto"/>
          </w:tcPr>
          <w:p w14:paraId="7B3A22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22511B8" w14:textId="77777777" w:rsidTr="00804944">
        <w:trPr>
          <w:trHeight w:val="430"/>
        </w:trPr>
        <w:tc>
          <w:tcPr>
            <w:tcW w:w="4026" w:type="dxa"/>
            <w:shd w:val="clear" w:color="auto" w:fill="auto"/>
          </w:tcPr>
          <w:p w14:paraId="566B5A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123" w:type="dxa"/>
            <w:shd w:val="clear" w:color="auto" w:fill="auto"/>
          </w:tcPr>
          <w:p w14:paraId="6F8634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98,0 (مدارس ابتدائية)</w:t>
            </w:r>
          </w:p>
          <w:p w14:paraId="0A950673" w14:textId="07AE027E" w:rsidR="00494AE4" w:rsidRPr="00564B9D" w:rsidRDefault="00C74D4C"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99.0 </w:t>
            </w:r>
            <w:r w:rsidR="00494AE4" w:rsidRPr="00564B9D">
              <w:rPr>
                <w:rFonts w:hint="cs"/>
                <w:sz w:val="20"/>
                <w:szCs w:val="20"/>
                <w:rtl/>
              </w:rPr>
              <w:t>(مدارس ثانوية)</w:t>
            </w:r>
          </w:p>
        </w:tc>
      </w:tr>
      <w:tr w:rsidR="007B5A24" w:rsidRPr="00564B9D" w14:paraId="4344C8F0" w14:textId="77777777" w:rsidTr="00804944">
        <w:trPr>
          <w:trHeight w:val="484"/>
        </w:trPr>
        <w:tc>
          <w:tcPr>
            <w:tcW w:w="4026" w:type="dxa"/>
            <w:shd w:val="clear" w:color="auto" w:fill="auto"/>
          </w:tcPr>
          <w:p w14:paraId="33256C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3123" w:type="dxa"/>
            <w:shd w:val="clear" w:color="auto" w:fill="auto"/>
          </w:tcPr>
          <w:p w14:paraId="3DB4CEB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98 في المائة معدل الحضور في المدارس الابتدائية والثانوية.</w:t>
            </w:r>
          </w:p>
          <w:p w14:paraId="5C6C56A4" w14:textId="1602C7DA" w:rsidR="00494AE4" w:rsidRPr="00564B9D" w:rsidRDefault="00C74D4C"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0.2</w:t>
            </w:r>
            <w:r w:rsidR="00494AE4" w:rsidRPr="00564B9D">
              <w:rPr>
                <w:rFonts w:hint="cs"/>
                <w:sz w:val="20"/>
                <w:szCs w:val="20"/>
                <w:rtl/>
              </w:rPr>
              <w:t xml:space="preserve"> في المائة معدل التسرب في المدارس الثانوية.</w:t>
            </w:r>
          </w:p>
        </w:tc>
      </w:tr>
      <w:tr w:rsidR="007B5A24" w:rsidRPr="00564B9D" w14:paraId="0AC7C571" w14:textId="77777777" w:rsidTr="00804944">
        <w:trPr>
          <w:trHeight w:val="240"/>
        </w:trPr>
        <w:tc>
          <w:tcPr>
            <w:tcW w:w="4026" w:type="dxa"/>
            <w:shd w:val="clear" w:color="auto" w:fill="auto"/>
          </w:tcPr>
          <w:p w14:paraId="40DD86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3123" w:type="dxa"/>
            <w:shd w:val="clear" w:color="auto" w:fill="auto"/>
          </w:tcPr>
          <w:p w14:paraId="0D811B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15:1 مدارس ابتدائية</w:t>
            </w:r>
          </w:p>
          <w:p w14:paraId="2D149C9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8:1 مدارس ثانوية </w:t>
            </w:r>
          </w:p>
        </w:tc>
      </w:tr>
      <w:tr w:rsidR="007B5A24" w:rsidRPr="00564B9D" w14:paraId="6E1865E2" w14:textId="77777777" w:rsidTr="00804944">
        <w:trPr>
          <w:trHeight w:val="240"/>
        </w:trPr>
        <w:tc>
          <w:tcPr>
            <w:tcW w:w="4026" w:type="dxa"/>
            <w:shd w:val="clear" w:color="auto" w:fill="auto"/>
          </w:tcPr>
          <w:p w14:paraId="2CEE34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3123" w:type="dxa"/>
            <w:shd w:val="clear" w:color="auto" w:fill="auto"/>
          </w:tcPr>
          <w:p w14:paraId="495572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r w:rsidR="007B5A24" w:rsidRPr="00564B9D" w14:paraId="3C160704" w14:textId="77777777" w:rsidTr="00804944">
        <w:trPr>
          <w:trHeight w:val="240"/>
        </w:trPr>
        <w:tc>
          <w:tcPr>
            <w:tcW w:w="4026" w:type="dxa"/>
            <w:shd w:val="clear" w:color="auto" w:fill="auto"/>
          </w:tcPr>
          <w:p w14:paraId="390987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3123" w:type="dxa"/>
            <w:shd w:val="clear" w:color="auto" w:fill="auto"/>
          </w:tcPr>
          <w:p w14:paraId="3D8F43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 في المائة (2019)</w:t>
            </w:r>
          </w:p>
        </w:tc>
      </w:tr>
      <w:tr w:rsidR="007B5A24" w:rsidRPr="00564B9D" w14:paraId="5026FFE0" w14:textId="77777777" w:rsidTr="00804944">
        <w:trPr>
          <w:trHeight w:val="240"/>
        </w:trPr>
        <w:tc>
          <w:tcPr>
            <w:tcW w:w="4026" w:type="dxa"/>
            <w:shd w:val="clear" w:color="auto" w:fill="auto"/>
          </w:tcPr>
          <w:p w14:paraId="3417EB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3123" w:type="dxa"/>
            <w:shd w:val="clear" w:color="auto" w:fill="auto"/>
          </w:tcPr>
          <w:p w14:paraId="14BA74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53AA3A4" w14:textId="77777777" w:rsidTr="00804944">
        <w:trPr>
          <w:trHeight w:val="240"/>
        </w:trPr>
        <w:tc>
          <w:tcPr>
            <w:tcW w:w="4026" w:type="dxa"/>
            <w:shd w:val="clear" w:color="auto" w:fill="auto"/>
          </w:tcPr>
          <w:p w14:paraId="033318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3123" w:type="dxa"/>
            <w:shd w:val="clear" w:color="auto" w:fill="auto"/>
          </w:tcPr>
          <w:p w14:paraId="5A4A73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136582B" w14:textId="77777777" w:rsidTr="00804944">
        <w:trPr>
          <w:trHeight w:val="240"/>
        </w:trPr>
        <w:tc>
          <w:tcPr>
            <w:tcW w:w="4026" w:type="dxa"/>
            <w:shd w:val="clear" w:color="auto" w:fill="auto"/>
          </w:tcPr>
          <w:p w14:paraId="65A4BE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123" w:type="dxa"/>
            <w:shd w:val="clear" w:color="auto" w:fill="auto"/>
          </w:tcPr>
          <w:p w14:paraId="7C2421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ينطبق لعدم وجود نقابات عمال داخل البلد</w:t>
            </w:r>
          </w:p>
        </w:tc>
      </w:tr>
      <w:tr w:rsidR="007B5A24" w:rsidRPr="00564B9D" w14:paraId="399DBEB8" w14:textId="77777777" w:rsidTr="00804944">
        <w:trPr>
          <w:trHeight w:val="240"/>
        </w:trPr>
        <w:tc>
          <w:tcPr>
            <w:tcW w:w="4026" w:type="dxa"/>
            <w:shd w:val="clear" w:color="auto" w:fill="auto"/>
          </w:tcPr>
          <w:p w14:paraId="6CE11F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3123" w:type="dxa"/>
            <w:shd w:val="clear" w:color="auto" w:fill="auto"/>
          </w:tcPr>
          <w:p w14:paraId="138D951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803</w:t>
            </w:r>
            <w:r w:rsidRPr="00564B9D">
              <w:rPr>
                <w:sz w:val="20"/>
                <w:szCs w:val="20"/>
                <w:rtl/>
              </w:rPr>
              <w:t> </w:t>
            </w:r>
            <w:r w:rsidRPr="00564B9D">
              <w:rPr>
                <w:rFonts w:hint="cs"/>
                <w:sz w:val="20"/>
                <w:szCs w:val="20"/>
                <w:rtl/>
              </w:rPr>
              <w:t>17 دولارات أمريكية (2019)</w:t>
            </w:r>
          </w:p>
        </w:tc>
      </w:tr>
      <w:tr w:rsidR="007B5A24" w:rsidRPr="00564B9D" w14:paraId="501A4A43" w14:textId="77777777" w:rsidTr="00804944">
        <w:trPr>
          <w:trHeight w:val="240"/>
        </w:trPr>
        <w:tc>
          <w:tcPr>
            <w:tcW w:w="4026" w:type="dxa"/>
            <w:shd w:val="clear" w:color="auto" w:fill="auto"/>
          </w:tcPr>
          <w:p w14:paraId="73AA5C2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الناتج المحلي الإجمالي بالبلايين</w:t>
            </w:r>
          </w:p>
        </w:tc>
        <w:tc>
          <w:tcPr>
            <w:tcW w:w="3123" w:type="dxa"/>
            <w:shd w:val="clear" w:color="auto" w:fill="auto"/>
          </w:tcPr>
          <w:p w14:paraId="699D3C2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764,7 مليون دولار أمريكي (2019 - أسعار ثابتة)</w:t>
            </w:r>
          </w:p>
        </w:tc>
      </w:tr>
      <w:tr w:rsidR="007B5A24" w:rsidRPr="00564B9D" w14:paraId="63624A61" w14:textId="77777777" w:rsidTr="00804944">
        <w:trPr>
          <w:trHeight w:val="240"/>
        </w:trPr>
        <w:tc>
          <w:tcPr>
            <w:tcW w:w="4026" w:type="dxa"/>
            <w:shd w:val="clear" w:color="auto" w:fill="auto"/>
          </w:tcPr>
          <w:p w14:paraId="1B9FC3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3123" w:type="dxa"/>
            <w:shd w:val="clear" w:color="auto" w:fill="auto"/>
          </w:tcPr>
          <w:p w14:paraId="5B2988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متوسط قيمته 4,0 في المائة للسنوات العشر الماضية </w:t>
            </w:r>
          </w:p>
        </w:tc>
      </w:tr>
      <w:tr w:rsidR="007B5A24" w:rsidRPr="00564B9D" w14:paraId="62B21B7D" w14:textId="77777777" w:rsidTr="00804944">
        <w:trPr>
          <w:trHeight w:val="240"/>
        </w:trPr>
        <w:tc>
          <w:tcPr>
            <w:tcW w:w="4026" w:type="dxa"/>
            <w:shd w:val="clear" w:color="auto" w:fill="auto"/>
          </w:tcPr>
          <w:p w14:paraId="4CCC54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 بالبلايين</w:t>
            </w:r>
          </w:p>
        </w:tc>
        <w:tc>
          <w:tcPr>
            <w:tcW w:w="3123" w:type="dxa"/>
            <w:shd w:val="clear" w:color="auto" w:fill="auto"/>
          </w:tcPr>
          <w:p w14:paraId="55C787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17B63A0" w14:textId="77777777" w:rsidTr="00804944">
        <w:trPr>
          <w:trHeight w:val="240"/>
        </w:trPr>
        <w:tc>
          <w:tcPr>
            <w:tcW w:w="4026" w:type="dxa"/>
            <w:shd w:val="clear" w:color="auto" w:fill="auto"/>
          </w:tcPr>
          <w:p w14:paraId="65D57D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مؤشر أسعار الاستهلاك</w:t>
            </w:r>
          </w:p>
        </w:tc>
        <w:tc>
          <w:tcPr>
            <w:tcW w:w="3123" w:type="dxa"/>
            <w:shd w:val="clear" w:color="auto" w:fill="auto"/>
          </w:tcPr>
          <w:p w14:paraId="4A4DB0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2,2 في المائة</w:t>
            </w:r>
          </w:p>
        </w:tc>
      </w:tr>
      <w:tr w:rsidR="007B5A24" w:rsidRPr="00564B9D" w14:paraId="3E0C692A" w14:textId="77777777" w:rsidTr="00804944">
        <w:trPr>
          <w:trHeight w:val="240"/>
        </w:trPr>
        <w:tc>
          <w:tcPr>
            <w:tcW w:w="4026" w:type="dxa"/>
            <w:shd w:val="clear" w:color="auto" w:fill="auto"/>
          </w:tcPr>
          <w:p w14:paraId="15A9A6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123" w:type="dxa"/>
            <w:shd w:val="clear" w:color="auto" w:fill="auto"/>
          </w:tcPr>
          <w:p w14:paraId="286176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48CB568" w14:textId="77777777" w:rsidTr="00804944">
        <w:trPr>
          <w:trHeight w:val="240"/>
        </w:trPr>
        <w:tc>
          <w:tcPr>
            <w:tcW w:w="4026" w:type="dxa"/>
            <w:shd w:val="clear" w:color="auto" w:fill="auto"/>
          </w:tcPr>
          <w:p w14:paraId="7D2B47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3123" w:type="dxa"/>
            <w:shd w:val="clear" w:color="auto" w:fill="auto"/>
          </w:tcPr>
          <w:p w14:paraId="0061D74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 ملايين دولار أمريكي (في 31 آذار/مارس 2019)</w:t>
            </w:r>
          </w:p>
        </w:tc>
      </w:tr>
      <w:tr w:rsidR="007B5A24" w:rsidRPr="00564B9D" w14:paraId="5E50FBCB" w14:textId="77777777" w:rsidTr="00804944">
        <w:trPr>
          <w:trHeight w:val="240"/>
        </w:trPr>
        <w:tc>
          <w:tcPr>
            <w:tcW w:w="4026" w:type="dxa"/>
            <w:tcBorders>
              <w:bottom w:val="single" w:sz="12" w:space="0" w:color="auto"/>
            </w:tcBorders>
            <w:shd w:val="clear" w:color="auto" w:fill="auto"/>
          </w:tcPr>
          <w:p w14:paraId="65181E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3123" w:type="dxa"/>
            <w:tcBorders>
              <w:bottom w:val="single" w:sz="12" w:space="0" w:color="auto"/>
            </w:tcBorders>
            <w:shd w:val="clear" w:color="auto" w:fill="auto"/>
          </w:tcPr>
          <w:p w14:paraId="6964E2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توجد</w:t>
            </w:r>
          </w:p>
        </w:tc>
      </w:tr>
    </w:tbl>
    <w:p w14:paraId="63D891A8"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444"/>
        <w:gridCol w:w="3948"/>
      </w:tblGrid>
      <w:tr w:rsidR="007B5A24" w:rsidRPr="00564B9D" w14:paraId="157D523A" w14:textId="77777777" w:rsidTr="00804944">
        <w:trPr>
          <w:trHeight w:val="240"/>
          <w:tblHeader/>
        </w:trPr>
        <w:tc>
          <w:tcPr>
            <w:tcW w:w="7177" w:type="dxa"/>
            <w:gridSpan w:val="2"/>
            <w:tcBorders>
              <w:top w:val="single" w:sz="4" w:space="0" w:color="auto"/>
              <w:bottom w:val="single" w:sz="12" w:space="0" w:color="auto"/>
            </w:tcBorders>
            <w:shd w:val="clear" w:color="auto" w:fill="auto"/>
            <w:vAlign w:val="bottom"/>
          </w:tcPr>
          <w:p w14:paraId="0658BDFD" w14:textId="77777777" w:rsidR="00494AE4" w:rsidRPr="00564B9D" w:rsidRDefault="00494AE4" w:rsidP="00BD7822">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lastRenderedPageBreak/>
              <w:t xml:space="preserve">المؤشرات المتعلقة بالنظام السياسي </w:t>
            </w:r>
          </w:p>
        </w:tc>
      </w:tr>
      <w:tr w:rsidR="007B5A24" w:rsidRPr="00564B9D" w14:paraId="514F7392" w14:textId="77777777" w:rsidTr="00804944">
        <w:trPr>
          <w:trHeight w:val="240"/>
        </w:trPr>
        <w:tc>
          <w:tcPr>
            <w:tcW w:w="3801" w:type="dxa"/>
            <w:tcBorders>
              <w:top w:val="single" w:sz="12" w:space="0" w:color="auto"/>
            </w:tcBorders>
            <w:shd w:val="clear" w:color="auto" w:fill="auto"/>
          </w:tcPr>
          <w:p w14:paraId="03C84135" w14:textId="77777777" w:rsidR="00494AE4" w:rsidRPr="00564B9D" w:rsidRDefault="00494AE4" w:rsidP="00BD7822">
            <w:pPr>
              <w:pStyle w:val="SingleTxtGA"/>
              <w:keepNext/>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الأحزاب السياسية المعترف بها على المستوى الوطني</w:t>
            </w:r>
          </w:p>
        </w:tc>
        <w:tc>
          <w:tcPr>
            <w:tcW w:w="3376" w:type="dxa"/>
            <w:tcBorders>
              <w:top w:val="single" w:sz="12" w:space="0" w:color="auto"/>
            </w:tcBorders>
            <w:shd w:val="clear" w:color="auto" w:fill="auto"/>
          </w:tcPr>
          <w:p w14:paraId="347A4255" w14:textId="77777777" w:rsidR="00494AE4" w:rsidRPr="00564B9D" w:rsidRDefault="00494AE4" w:rsidP="00BD7822">
            <w:pPr>
              <w:pStyle w:val="SingleTxtGA"/>
              <w:keepNext/>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ثلاثة أحزاب سياسية: الحزب التقدمي الوطني؛ الحركة الشعبية الديمقراطية؛ الحزب الشعبي التقدمي </w:t>
            </w:r>
          </w:p>
        </w:tc>
      </w:tr>
      <w:tr w:rsidR="007B5A24" w:rsidRPr="00564B9D" w14:paraId="7A7CF051" w14:textId="77777777" w:rsidTr="00804944">
        <w:trPr>
          <w:trHeight w:val="240"/>
        </w:trPr>
        <w:tc>
          <w:tcPr>
            <w:tcW w:w="3801" w:type="dxa"/>
            <w:shd w:val="clear" w:color="auto" w:fill="auto"/>
          </w:tcPr>
          <w:p w14:paraId="701186D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المؤهلين للتصويت</w:t>
            </w:r>
          </w:p>
        </w:tc>
        <w:tc>
          <w:tcPr>
            <w:tcW w:w="3376" w:type="dxa"/>
            <w:shd w:val="clear" w:color="auto" w:fill="auto"/>
          </w:tcPr>
          <w:p w14:paraId="6B6E1D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986F7E3" w14:textId="77777777" w:rsidTr="00804944">
        <w:trPr>
          <w:trHeight w:val="240"/>
        </w:trPr>
        <w:tc>
          <w:tcPr>
            <w:tcW w:w="3801" w:type="dxa"/>
            <w:shd w:val="clear" w:color="auto" w:fill="auto"/>
          </w:tcPr>
          <w:p w14:paraId="261C3A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غير المواطنين المسجلين للتصويت</w:t>
            </w:r>
          </w:p>
        </w:tc>
        <w:tc>
          <w:tcPr>
            <w:tcW w:w="3376" w:type="dxa"/>
            <w:shd w:val="clear" w:color="auto" w:fill="auto"/>
          </w:tcPr>
          <w:p w14:paraId="23FB44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غير موجودة </w:t>
            </w:r>
          </w:p>
        </w:tc>
      </w:tr>
      <w:tr w:rsidR="007B5A24" w:rsidRPr="00564B9D" w14:paraId="529F7BDE" w14:textId="77777777" w:rsidTr="00804944">
        <w:trPr>
          <w:trHeight w:val="240"/>
        </w:trPr>
        <w:tc>
          <w:tcPr>
            <w:tcW w:w="3801" w:type="dxa"/>
            <w:shd w:val="clear" w:color="auto" w:fill="auto"/>
          </w:tcPr>
          <w:p w14:paraId="49E0CB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المرفوعة بشأن سير الانتخابات المسجلة، حسب نوع المخالفة المدعاة</w:t>
            </w:r>
          </w:p>
        </w:tc>
        <w:tc>
          <w:tcPr>
            <w:tcW w:w="3376" w:type="dxa"/>
            <w:shd w:val="clear" w:color="auto" w:fill="auto"/>
          </w:tcPr>
          <w:p w14:paraId="4FEC00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6 شكاوي مسجلة بما في ذلك: تأخر افتتاح لبعض مراكز الاقتراع؛ عدم كفاية بطاقات الاقتراع في مركز واحد؛ أعضاء حزب سياسي واحد يقدمون رشاوى للناخبين؛ بقاء الأشخاص في صفوف الانتظار لساعات طوية جداً؛ فرز الأصوات.</w:t>
            </w:r>
          </w:p>
          <w:p w14:paraId="2BD983B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تقدم حزب سياسي واحد بشكوى بأن المعلومات التي أفشاها مشرف الانتخابات قُدمت لحزب واحد دون تقديمها للحزب الآخر (انتخابات فرعية). </w:t>
            </w:r>
          </w:p>
        </w:tc>
      </w:tr>
      <w:tr w:rsidR="007B5A24" w:rsidRPr="00564B9D" w14:paraId="31F417F3" w14:textId="77777777" w:rsidTr="00804944">
        <w:trPr>
          <w:trHeight w:val="240"/>
        </w:trPr>
        <w:tc>
          <w:tcPr>
            <w:tcW w:w="3801" w:type="dxa"/>
            <w:shd w:val="clear" w:color="auto" w:fill="auto"/>
          </w:tcPr>
          <w:p w14:paraId="4B5FD2C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376" w:type="dxa"/>
            <w:shd w:val="clear" w:color="auto" w:fill="auto"/>
          </w:tcPr>
          <w:p w14:paraId="36271CE7" w14:textId="71C1CC6D" w:rsidR="00494AE4" w:rsidRPr="00BD7822"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4"/>
                <w:sz w:val="20"/>
                <w:szCs w:val="20"/>
                <w:rtl/>
              </w:rPr>
            </w:pPr>
            <w:r w:rsidRPr="00BD7822">
              <w:rPr>
                <w:rFonts w:hint="cs"/>
                <w:spacing w:val="-4"/>
                <w:sz w:val="20"/>
                <w:szCs w:val="20"/>
                <w:rtl/>
              </w:rPr>
              <w:t xml:space="preserve">الصحافة المكتوبة: </w:t>
            </w:r>
            <w:r w:rsidRPr="00BD7822">
              <w:rPr>
                <w:spacing w:val="-4"/>
                <w:sz w:val="20"/>
                <w:szCs w:val="20"/>
                <w:rtl/>
              </w:rPr>
              <w:t>ذا صن</w:t>
            </w:r>
            <w:r w:rsidRPr="00BD7822">
              <w:rPr>
                <w:rFonts w:hint="cs"/>
                <w:spacing w:val="-4"/>
                <w:sz w:val="20"/>
                <w:szCs w:val="20"/>
                <w:rtl/>
              </w:rPr>
              <w:t xml:space="preserve">؛ </w:t>
            </w:r>
            <w:r w:rsidRPr="00BD7822">
              <w:rPr>
                <w:spacing w:val="-4"/>
                <w:sz w:val="20"/>
                <w:szCs w:val="20"/>
              </w:rPr>
              <w:t>Turks and Caicos Weekly News</w:t>
            </w:r>
            <w:r w:rsidRPr="00BD7822">
              <w:rPr>
                <w:rFonts w:hint="cs"/>
                <w:spacing w:val="-4"/>
                <w:sz w:val="20"/>
                <w:szCs w:val="20"/>
                <w:rtl/>
              </w:rPr>
              <w:t xml:space="preserve">؛ </w:t>
            </w:r>
            <w:r w:rsidRPr="00BD7822">
              <w:rPr>
                <w:spacing w:val="-4"/>
                <w:sz w:val="20"/>
                <w:szCs w:val="20"/>
              </w:rPr>
              <w:t>Where,</w:t>
            </w:r>
            <w:r w:rsidR="00D70082" w:rsidRPr="00BD7822">
              <w:rPr>
                <w:spacing w:val="-4"/>
                <w:sz w:val="20"/>
                <w:szCs w:val="20"/>
                <w:lang w:val="en-US"/>
              </w:rPr>
              <w:t xml:space="preserve"> </w:t>
            </w:r>
            <w:r w:rsidRPr="00BD7822">
              <w:rPr>
                <w:spacing w:val="-4"/>
                <w:sz w:val="20"/>
                <w:szCs w:val="20"/>
              </w:rPr>
              <w:t>When and How</w:t>
            </w:r>
            <w:r w:rsidRPr="00BD7822">
              <w:rPr>
                <w:rFonts w:hint="cs"/>
                <w:spacing w:val="-4"/>
                <w:sz w:val="20"/>
                <w:szCs w:val="20"/>
                <w:rtl/>
              </w:rPr>
              <w:t xml:space="preserve">؛ </w:t>
            </w:r>
            <w:r w:rsidRPr="00BD7822">
              <w:rPr>
                <w:spacing w:val="-4"/>
                <w:sz w:val="20"/>
                <w:szCs w:val="20"/>
              </w:rPr>
              <w:t>Times of the Islands</w:t>
            </w:r>
            <w:r w:rsidRPr="00BD7822">
              <w:rPr>
                <w:rFonts w:hint="cs"/>
                <w:spacing w:val="-4"/>
                <w:sz w:val="20"/>
                <w:szCs w:val="20"/>
                <w:rtl/>
              </w:rPr>
              <w:t xml:space="preserve">؛ </w:t>
            </w:r>
            <w:r w:rsidRPr="00BD7822">
              <w:rPr>
                <w:spacing w:val="-4"/>
                <w:sz w:val="20"/>
                <w:szCs w:val="20"/>
              </w:rPr>
              <w:t>Discover TCI</w:t>
            </w:r>
            <w:r w:rsidRPr="00BD7822">
              <w:rPr>
                <w:rFonts w:hint="cs"/>
                <w:spacing w:val="-4"/>
                <w:sz w:val="20"/>
                <w:szCs w:val="20"/>
                <w:rtl/>
              </w:rPr>
              <w:t xml:space="preserve">؛ </w:t>
            </w:r>
            <w:r w:rsidRPr="00BD7822">
              <w:rPr>
                <w:spacing w:val="-4"/>
                <w:sz w:val="20"/>
                <w:szCs w:val="20"/>
              </w:rPr>
              <w:t>Destination Turks and Caicos Islands</w:t>
            </w:r>
            <w:r w:rsidRPr="00BD7822">
              <w:rPr>
                <w:rFonts w:hint="cs"/>
                <w:spacing w:val="-4"/>
                <w:sz w:val="20"/>
                <w:szCs w:val="20"/>
                <w:rtl/>
              </w:rPr>
              <w:t>؛ الدليل التجاري لجزر تركس وكايكوس؛ دليل المطاعم في جزر تركس وكايكوس؛ الاتحاد العقاري لجزر تركس وكايكوس؛ الكتيّب العام (الدليل الرسمي العام للمجلس السياحي لجزر تركس وكايكوس)؛ دوريات وكتيبات أخرى لكيانات مختلفة من قبيل المتحف والصندوق الاستئماني لجزر تركس وكايكوس وما إلى ذلك.</w:t>
            </w:r>
          </w:p>
          <w:p w14:paraId="158C8B42" w14:textId="77777777" w:rsidR="00494AE4" w:rsidRPr="00BD7822"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pacing w:val="-4"/>
                <w:sz w:val="20"/>
                <w:szCs w:val="20"/>
                <w:rtl/>
              </w:rPr>
            </w:pPr>
            <w:r w:rsidRPr="00BD7822">
              <w:rPr>
                <w:rFonts w:hint="cs"/>
                <w:spacing w:val="-4"/>
                <w:sz w:val="20"/>
                <w:szCs w:val="20"/>
                <w:rtl/>
              </w:rPr>
              <w:t xml:space="preserve">البث التلفزيوني: تلفزيون </w:t>
            </w:r>
            <w:r w:rsidRPr="00BD7822">
              <w:rPr>
                <w:spacing w:val="-4"/>
                <w:sz w:val="20"/>
                <w:szCs w:val="20"/>
              </w:rPr>
              <w:t>PTV</w:t>
            </w:r>
            <w:r w:rsidRPr="00BD7822">
              <w:rPr>
                <w:rFonts w:hint="cs"/>
                <w:spacing w:val="-4"/>
                <w:sz w:val="20"/>
                <w:szCs w:val="20"/>
                <w:rtl/>
              </w:rPr>
              <w:t xml:space="preserve"> - يغطي الشمال وبروفو</w:t>
            </w:r>
            <w:r w:rsidRPr="00BD7822">
              <w:rPr>
                <w:spacing w:val="-4"/>
                <w:sz w:val="20"/>
                <w:szCs w:val="20"/>
                <w:rtl/>
              </w:rPr>
              <w:t xml:space="preserve">؛ </w:t>
            </w:r>
            <w:r w:rsidRPr="00BD7822">
              <w:rPr>
                <w:rFonts w:hint="cs"/>
                <w:spacing w:val="-4"/>
                <w:sz w:val="20"/>
                <w:szCs w:val="20"/>
                <w:rtl/>
              </w:rPr>
              <w:t xml:space="preserve">تلفزيون </w:t>
            </w:r>
            <w:r w:rsidRPr="00BD7822">
              <w:rPr>
                <w:spacing w:val="-4"/>
                <w:sz w:val="20"/>
                <w:szCs w:val="20"/>
              </w:rPr>
              <w:t>WIV</w:t>
            </w:r>
            <w:r w:rsidRPr="00BD7822">
              <w:rPr>
                <w:rFonts w:hint="cs"/>
                <w:spacing w:val="-4"/>
                <w:sz w:val="20"/>
                <w:szCs w:val="20"/>
                <w:rtl/>
              </w:rPr>
              <w:t>- يغطي بروفو وتركس الكبرى.</w:t>
            </w:r>
          </w:p>
          <w:p w14:paraId="4BC725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BD7822">
              <w:rPr>
                <w:rFonts w:hint="cs"/>
                <w:spacing w:val="-4"/>
                <w:sz w:val="20"/>
                <w:szCs w:val="20"/>
                <w:rtl/>
              </w:rPr>
              <w:t xml:space="preserve">البث الإذاعي (الصوتي): </w:t>
            </w:r>
            <w:r w:rsidRPr="00BD7822">
              <w:rPr>
                <w:spacing w:val="-4"/>
                <w:sz w:val="20"/>
                <w:szCs w:val="20"/>
              </w:rPr>
              <w:t>Tropical Vibes</w:t>
            </w:r>
            <w:r w:rsidRPr="00BD7822">
              <w:rPr>
                <w:rFonts w:hint="cs"/>
                <w:spacing w:val="-4"/>
                <w:sz w:val="20"/>
                <w:szCs w:val="20"/>
                <w:rtl/>
              </w:rPr>
              <w:t xml:space="preserve"> في تركس وكايكوس ليمتد (التغطية: كايكوس الغربية إلى كايكوس الشمالية، تركس الكبرى وحتى كايكوس الوسطى على التوالي)؛ </w:t>
            </w:r>
            <w:r w:rsidRPr="00BD7822">
              <w:rPr>
                <w:spacing w:val="-4"/>
                <w:sz w:val="20"/>
                <w:szCs w:val="20"/>
              </w:rPr>
              <w:t>D &amp; D Ewing dba Rock of Jesus Communications Ltd</w:t>
            </w:r>
            <w:r w:rsidRPr="00BD7822">
              <w:rPr>
                <w:rFonts w:hint="cs"/>
                <w:spacing w:val="-4"/>
                <w:sz w:val="20"/>
                <w:szCs w:val="20"/>
                <w:rtl/>
              </w:rPr>
              <w:t xml:space="preserve">) التغطية: جميع أنحاء البلاد)؛ شركة كونولي المحدودة للإنتاج (التغطية: جميع أنحاء البلاد)؛ </w:t>
            </w:r>
            <w:r w:rsidRPr="00BD7822">
              <w:rPr>
                <w:spacing w:val="-4"/>
                <w:sz w:val="20"/>
                <w:szCs w:val="20"/>
              </w:rPr>
              <w:t>ZIBF-Life Radio</w:t>
            </w:r>
            <w:r w:rsidRPr="00BD7822">
              <w:rPr>
                <w:spacing w:val="-4"/>
                <w:sz w:val="20"/>
                <w:szCs w:val="20"/>
                <w:rtl/>
              </w:rPr>
              <w:t xml:space="preserve"> </w:t>
            </w:r>
            <w:r w:rsidRPr="00BD7822">
              <w:rPr>
                <w:rFonts w:hint="cs"/>
                <w:spacing w:val="-4"/>
                <w:sz w:val="20"/>
                <w:szCs w:val="20"/>
                <w:rtl/>
              </w:rPr>
              <w:t xml:space="preserve">(التغطية: كايكوس الوسطى إلى تركس الكبرى، كايكوس الغربية إلى كايكوس الشمالية على التوالي)؛ كنيسة الله الإسبانية (التغطية: تركس الكبرى)؛ راديو </w:t>
            </w:r>
            <w:r w:rsidRPr="00BD7822">
              <w:rPr>
                <w:spacing w:val="-4"/>
                <w:sz w:val="20"/>
                <w:szCs w:val="20"/>
              </w:rPr>
              <w:t>VHT</w:t>
            </w:r>
            <w:r w:rsidRPr="00BD7822">
              <w:rPr>
                <w:rFonts w:hint="cs"/>
                <w:spacing w:val="-4"/>
                <w:sz w:val="20"/>
                <w:szCs w:val="20"/>
                <w:rtl/>
              </w:rPr>
              <w:t xml:space="preserve"> لتركس وكايكوس (التغطية: جميع انحاء البلاد)؛ راديو </w:t>
            </w:r>
            <w:r w:rsidRPr="00BD7822">
              <w:rPr>
                <w:spacing w:val="-4"/>
                <w:sz w:val="20"/>
                <w:szCs w:val="20"/>
              </w:rPr>
              <w:t>Example of Christ Church</w:t>
            </w:r>
            <w:r w:rsidRPr="00BD7822">
              <w:rPr>
                <w:spacing w:val="-4"/>
                <w:sz w:val="20"/>
                <w:szCs w:val="20"/>
                <w:rtl/>
              </w:rPr>
              <w:t xml:space="preserve"> </w:t>
            </w:r>
            <w:r w:rsidRPr="00BD7822">
              <w:rPr>
                <w:rFonts w:hint="cs"/>
                <w:spacing w:val="-4"/>
                <w:sz w:val="20"/>
                <w:szCs w:val="20"/>
                <w:rtl/>
              </w:rPr>
              <w:t>(التغطية: جميع أنحاء البلاد)؛</w:t>
            </w:r>
            <w:r w:rsidRPr="00BD7822">
              <w:rPr>
                <w:spacing w:val="-4"/>
                <w:sz w:val="20"/>
                <w:szCs w:val="20"/>
                <w:rtl/>
              </w:rPr>
              <w:t xml:space="preserve"> </w:t>
            </w:r>
            <w:r w:rsidRPr="00BD7822">
              <w:rPr>
                <w:rFonts w:hint="cs"/>
                <w:spacing w:val="-4"/>
                <w:sz w:val="20"/>
                <w:szCs w:val="20"/>
                <w:rtl/>
              </w:rPr>
              <w:t xml:space="preserve">راديو جزر تركس وكايكوس </w:t>
            </w:r>
            <w:r w:rsidRPr="00BD7822">
              <w:rPr>
                <w:spacing w:val="-4"/>
                <w:sz w:val="20"/>
                <w:szCs w:val="20"/>
              </w:rPr>
              <w:t>RTC</w:t>
            </w:r>
            <w:r w:rsidRPr="00BD7822">
              <w:rPr>
                <w:rFonts w:hint="cs"/>
                <w:spacing w:val="-4"/>
                <w:sz w:val="20"/>
                <w:szCs w:val="20"/>
                <w:rtl/>
              </w:rPr>
              <w:t xml:space="preserve"> (التغطية: تركس الكبرى وكايكوس الجنوبية،</w:t>
            </w:r>
            <w:r w:rsidRPr="00BD7822">
              <w:rPr>
                <w:spacing w:val="-4"/>
                <w:sz w:val="20"/>
                <w:szCs w:val="20"/>
                <w:rtl/>
              </w:rPr>
              <w:t xml:space="preserve"> </w:t>
            </w:r>
            <w:r w:rsidRPr="00BD7822">
              <w:rPr>
                <w:rFonts w:hint="cs"/>
                <w:spacing w:val="-4"/>
                <w:sz w:val="20"/>
                <w:szCs w:val="20"/>
                <w:rtl/>
              </w:rPr>
              <w:t xml:space="preserve">وسولت كاي </w:t>
            </w:r>
            <w:r w:rsidRPr="00BD7822">
              <w:rPr>
                <w:spacing w:val="-4"/>
                <w:sz w:val="20"/>
                <w:szCs w:val="20"/>
                <w:rtl/>
              </w:rPr>
              <w:t>(</w:t>
            </w:r>
            <w:r w:rsidRPr="00BD7822">
              <w:rPr>
                <w:rFonts w:hint="cs"/>
                <w:spacing w:val="-4"/>
                <w:sz w:val="20"/>
                <w:szCs w:val="20"/>
                <w:rtl/>
              </w:rPr>
              <w:t>،) كايكوس الجنوبية)، (كايكوس الوسطى، وكايكوس الشمالية)، (بروفو)، على التوالي)؛ مركز الرحلات البحرية لتركس الكبرى (التغطية: تركس الكبرى)؛ البث الإذاعي لجزر الهند الغربية (التغطية: جميع أنحاء البلاد).</w:t>
            </w:r>
          </w:p>
        </w:tc>
      </w:tr>
      <w:tr w:rsidR="007B5A24" w:rsidRPr="00564B9D" w14:paraId="2E0E9134" w14:textId="77777777" w:rsidTr="00804944">
        <w:trPr>
          <w:trHeight w:val="240"/>
        </w:trPr>
        <w:tc>
          <w:tcPr>
            <w:tcW w:w="3801" w:type="dxa"/>
            <w:shd w:val="clear" w:color="auto" w:fill="auto"/>
          </w:tcPr>
          <w:p w14:paraId="7C478C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المنظمات غير الحكومية المعترف بها</w:t>
            </w:r>
          </w:p>
        </w:tc>
        <w:tc>
          <w:tcPr>
            <w:tcW w:w="3376" w:type="dxa"/>
            <w:shd w:val="clear" w:color="auto" w:fill="auto"/>
          </w:tcPr>
          <w:p w14:paraId="5FD5F4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206</w:t>
            </w:r>
          </w:p>
        </w:tc>
      </w:tr>
      <w:tr w:rsidR="007B5A24" w:rsidRPr="00564B9D" w14:paraId="741C2AD0" w14:textId="77777777" w:rsidTr="00804944">
        <w:trPr>
          <w:trHeight w:val="240"/>
        </w:trPr>
        <w:tc>
          <w:tcPr>
            <w:tcW w:w="3801" w:type="dxa"/>
            <w:shd w:val="clear" w:color="auto" w:fill="auto"/>
          </w:tcPr>
          <w:p w14:paraId="7FE533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المقاعد التشريعية بحسب الحزب</w:t>
            </w:r>
          </w:p>
        </w:tc>
        <w:tc>
          <w:tcPr>
            <w:tcW w:w="3376" w:type="dxa"/>
            <w:shd w:val="clear" w:color="auto" w:fill="auto"/>
          </w:tcPr>
          <w:p w14:paraId="16FC98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الحزب التقدمي الوطني: 5 (2016)</w:t>
            </w:r>
          </w:p>
          <w:p w14:paraId="7371E9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الحركة الشعبية الديمقراطية: 10 (2016)</w:t>
            </w:r>
          </w:p>
        </w:tc>
      </w:tr>
      <w:tr w:rsidR="007B5A24" w:rsidRPr="00564B9D" w14:paraId="30E9ACE3" w14:textId="77777777" w:rsidTr="00804944">
        <w:trPr>
          <w:trHeight w:val="240"/>
        </w:trPr>
        <w:tc>
          <w:tcPr>
            <w:tcW w:w="3801" w:type="dxa"/>
            <w:shd w:val="clear" w:color="auto" w:fill="auto"/>
          </w:tcPr>
          <w:p w14:paraId="77A3544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في البرلمان</w:t>
            </w:r>
          </w:p>
        </w:tc>
        <w:tc>
          <w:tcPr>
            <w:tcW w:w="3376" w:type="dxa"/>
            <w:shd w:val="clear" w:color="auto" w:fill="auto"/>
          </w:tcPr>
          <w:p w14:paraId="4FE575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33,3 في المائة (انتخابات عام 2016)</w:t>
            </w:r>
          </w:p>
        </w:tc>
      </w:tr>
      <w:tr w:rsidR="007B5A24" w:rsidRPr="00564B9D" w14:paraId="6598CED6" w14:textId="77777777" w:rsidTr="00804944">
        <w:trPr>
          <w:trHeight w:val="240"/>
        </w:trPr>
        <w:tc>
          <w:tcPr>
            <w:tcW w:w="3801" w:type="dxa"/>
            <w:shd w:val="clear" w:color="auto" w:fill="auto"/>
          </w:tcPr>
          <w:p w14:paraId="0F9A454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 الانتخابات الوطنية ودون الوطنية التي تجري ضمن الجدول الزمني المنصوص عليه في القانون</w:t>
            </w:r>
          </w:p>
        </w:tc>
        <w:tc>
          <w:tcPr>
            <w:tcW w:w="3376" w:type="dxa"/>
            <w:shd w:val="clear" w:color="auto" w:fill="auto"/>
          </w:tcPr>
          <w:p w14:paraId="2C5F78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0576681" w14:textId="77777777" w:rsidTr="00804944">
        <w:trPr>
          <w:trHeight w:val="240"/>
        </w:trPr>
        <w:tc>
          <w:tcPr>
            <w:tcW w:w="3801" w:type="dxa"/>
            <w:tcBorders>
              <w:bottom w:val="single" w:sz="12" w:space="0" w:color="auto"/>
            </w:tcBorders>
            <w:shd w:val="clear" w:color="auto" w:fill="auto"/>
          </w:tcPr>
          <w:p w14:paraId="3243E6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عدد الناخبين الفعليين في الانتخابات الوطنية ودون الوطنية حسب الوحدة الإدارية</w:t>
            </w:r>
          </w:p>
        </w:tc>
        <w:tc>
          <w:tcPr>
            <w:tcW w:w="3376" w:type="dxa"/>
            <w:tcBorders>
              <w:bottom w:val="single" w:sz="12" w:space="0" w:color="auto"/>
            </w:tcBorders>
            <w:shd w:val="clear" w:color="auto" w:fill="auto"/>
          </w:tcPr>
          <w:p w14:paraId="71E103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80,4 في المائة </w:t>
            </w:r>
          </w:p>
        </w:tc>
      </w:tr>
    </w:tbl>
    <w:p w14:paraId="14044E8A"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440"/>
        <w:gridCol w:w="3952"/>
      </w:tblGrid>
      <w:tr w:rsidR="007B5A24" w:rsidRPr="00564B9D" w14:paraId="01BB8C2F" w14:textId="77777777" w:rsidTr="00804944">
        <w:trPr>
          <w:trHeight w:val="240"/>
          <w:tblHeader/>
        </w:trPr>
        <w:tc>
          <w:tcPr>
            <w:tcW w:w="7205" w:type="dxa"/>
            <w:gridSpan w:val="2"/>
            <w:tcBorders>
              <w:top w:val="single" w:sz="4" w:space="0" w:color="auto"/>
              <w:bottom w:val="single" w:sz="12" w:space="0" w:color="auto"/>
            </w:tcBorders>
            <w:shd w:val="clear" w:color="auto" w:fill="auto"/>
            <w:vAlign w:val="bottom"/>
          </w:tcPr>
          <w:p w14:paraId="0445B849"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4746A262" w14:textId="77777777" w:rsidTr="00804944">
        <w:tblPrEx>
          <w:tblLook w:val="0000" w:firstRow="0" w:lastRow="0" w:firstColumn="0" w:lastColumn="0" w:noHBand="0" w:noVBand="0"/>
        </w:tblPrEx>
        <w:trPr>
          <w:trHeight w:val="240"/>
        </w:trPr>
        <w:tc>
          <w:tcPr>
            <w:tcW w:w="3812" w:type="dxa"/>
            <w:tcBorders>
              <w:top w:val="single" w:sz="12" w:space="0" w:color="auto"/>
            </w:tcBorders>
            <w:shd w:val="clear" w:color="auto" w:fill="auto"/>
          </w:tcPr>
          <w:p w14:paraId="12FD9B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w:t>
            </w:r>
            <w:r w:rsidRPr="00564B9D">
              <w:rPr>
                <w:rFonts w:hint="cs"/>
                <w:sz w:val="20"/>
                <w:szCs w:val="20"/>
                <w:rtl/>
              </w:rPr>
              <w:t>1</w:t>
            </w:r>
            <w:r w:rsidRPr="00564B9D">
              <w:rPr>
                <w:sz w:val="20"/>
                <w:szCs w:val="20"/>
                <w:rtl/>
              </w:rPr>
              <w:t xml:space="preserve"> من السكان</w:t>
            </w:r>
          </w:p>
        </w:tc>
        <w:tc>
          <w:tcPr>
            <w:tcW w:w="3393" w:type="dxa"/>
            <w:tcBorders>
              <w:top w:val="single" w:sz="12" w:space="0" w:color="auto"/>
            </w:tcBorders>
            <w:shd w:val="clear" w:color="auto" w:fill="auto"/>
          </w:tcPr>
          <w:p w14:paraId="263E837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0,94 (2012)</w:t>
            </w:r>
          </w:p>
        </w:tc>
      </w:tr>
      <w:tr w:rsidR="007B5A24" w:rsidRPr="00564B9D" w14:paraId="1962A3D6" w14:textId="77777777" w:rsidTr="00804944">
        <w:tblPrEx>
          <w:tblLook w:val="0000" w:firstRow="0" w:lastRow="0" w:firstColumn="0" w:lastColumn="0" w:noHBand="0" w:noVBand="0"/>
        </w:tblPrEx>
        <w:trPr>
          <w:trHeight w:val="240"/>
        </w:trPr>
        <w:tc>
          <w:tcPr>
            <w:tcW w:w="3812" w:type="dxa"/>
            <w:shd w:val="clear" w:color="auto" w:fill="auto"/>
          </w:tcPr>
          <w:p w14:paraId="7BD052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w:t>
            </w:r>
            <w:r w:rsidRPr="00564B9D">
              <w:rPr>
                <w:rFonts w:hint="cs"/>
                <w:sz w:val="20"/>
                <w:szCs w:val="20"/>
                <w:rtl/>
              </w:rPr>
              <w:t>1</w:t>
            </w:r>
            <w:r w:rsidRPr="00564B9D">
              <w:rPr>
                <w:sz w:val="20"/>
                <w:szCs w:val="20"/>
                <w:rtl/>
              </w:rPr>
              <w:t xml:space="preserve"> شخص) الذين تم توقيفهم/تقديمهم إلى القضاء/إدانتهم/إصدار أحكام ضدهم/حبسهم لارتكابهم جرائم عنف أو غير ذلك من الجرائم الخطيرة (مثل القتل والسرقة والاعتداء والإتجار غير المشروع)</w:t>
            </w:r>
          </w:p>
        </w:tc>
        <w:tc>
          <w:tcPr>
            <w:tcW w:w="3393" w:type="dxa"/>
            <w:shd w:val="clear" w:color="auto" w:fill="auto"/>
          </w:tcPr>
          <w:p w14:paraId="020874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25,42 (2012)</w:t>
            </w:r>
          </w:p>
        </w:tc>
      </w:tr>
      <w:tr w:rsidR="007B5A24" w:rsidRPr="00564B9D" w14:paraId="549406F1" w14:textId="77777777" w:rsidTr="00804944">
        <w:tblPrEx>
          <w:tblLook w:val="0000" w:firstRow="0" w:lastRow="0" w:firstColumn="0" w:lastColumn="0" w:noHBand="0" w:noVBand="0"/>
        </w:tblPrEx>
        <w:trPr>
          <w:trHeight w:val="240"/>
        </w:trPr>
        <w:tc>
          <w:tcPr>
            <w:tcW w:w="3812" w:type="dxa"/>
            <w:shd w:val="clear" w:color="auto" w:fill="auto"/>
          </w:tcPr>
          <w:p w14:paraId="783417D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 xml:space="preserve">(مثل الاغتصاب، وتشويه الأعضاء الجنسية عند الإناث، وجرائم الشرف، والاعتداء بالأحماض). </w:t>
            </w:r>
          </w:p>
        </w:tc>
        <w:tc>
          <w:tcPr>
            <w:tcW w:w="3393" w:type="dxa"/>
            <w:shd w:val="clear" w:color="auto" w:fill="auto"/>
          </w:tcPr>
          <w:p w14:paraId="018489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6,6 لكل 000</w:t>
            </w:r>
            <w:r w:rsidRPr="00564B9D">
              <w:rPr>
                <w:sz w:val="20"/>
                <w:szCs w:val="20"/>
                <w:rtl/>
              </w:rPr>
              <w:t> </w:t>
            </w:r>
            <w:r w:rsidRPr="00564B9D">
              <w:rPr>
                <w:rFonts w:hint="cs"/>
                <w:sz w:val="20"/>
                <w:szCs w:val="20"/>
                <w:rtl/>
              </w:rPr>
              <w:t>1 شخص (2012)</w:t>
            </w:r>
          </w:p>
        </w:tc>
      </w:tr>
      <w:tr w:rsidR="007B5A24" w:rsidRPr="00564B9D" w14:paraId="4F5EB83A" w14:textId="77777777" w:rsidTr="00804944">
        <w:tblPrEx>
          <w:tblLook w:val="0000" w:firstRow="0" w:lastRow="0" w:firstColumn="0" w:lastColumn="0" w:noHBand="0" w:noVBand="0"/>
        </w:tblPrEx>
        <w:trPr>
          <w:trHeight w:val="240"/>
        </w:trPr>
        <w:tc>
          <w:tcPr>
            <w:tcW w:w="3812" w:type="dxa"/>
            <w:shd w:val="clear" w:color="auto" w:fill="auto"/>
          </w:tcPr>
          <w:p w14:paraId="4DDB3F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3393" w:type="dxa"/>
            <w:shd w:val="clear" w:color="auto" w:fill="auto"/>
          </w:tcPr>
          <w:p w14:paraId="6F273D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المدة القصوى: 28 شهراً؛ المتوسط: 4,6 أشهر (آب/أغسطس 2013) </w:t>
            </w:r>
          </w:p>
        </w:tc>
      </w:tr>
      <w:tr w:rsidR="007B5A24" w:rsidRPr="00564B9D" w14:paraId="13F9E19F" w14:textId="77777777" w:rsidTr="00804944">
        <w:tblPrEx>
          <w:tblLook w:val="0000" w:firstRow="0" w:lastRow="0" w:firstColumn="0" w:lastColumn="0" w:noHBand="0" w:noVBand="0"/>
        </w:tblPrEx>
        <w:trPr>
          <w:trHeight w:val="240"/>
        </w:trPr>
        <w:tc>
          <w:tcPr>
            <w:tcW w:w="3812" w:type="dxa"/>
            <w:shd w:val="clear" w:color="auto" w:fill="auto"/>
          </w:tcPr>
          <w:p w14:paraId="7FCE57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3393" w:type="dxa"/>
            <w:shd w:val="clear" w:color="auto" w:fill="auto"/>
          </w:tcPr>
          <w:p w14:paraId="29EF2A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155 مُداناً (من نيسان/أبريل 2019 إلى 30 نيسان/أبريل 2020). غير المدانين (161)</w:t>
            </w:r>
          </w:p>
          <w:p w14:paraId="5747E017" w14:textId="75AF1643"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 بحسب نوع الجريمة</w:t>
            </w:r>
            <w:r w:rsidRPr="00564B9D">
              <w:rPr>
                <w:sz w:val="20"/>
                <w:szCs w:val="20"/>
                <w:vertAlign w:val="superscript"/>
                <w:rtl/>
              </w:rPr>
              <w:t>(</w:t>
            </w:r>
            <w:r w:rsidRPr="00564B9D">
              <w:rPr>
                <w:rStyle w:val="FootnoteReference"/>
                <w:rFonts w:cs="Simplified Arabic"/>
                <w:b w:val="0"/>
                <w:sz w:val="20"/>
                <w:szCs w:val="20"/>
                <w:rtl/>
                <w:lang w:val="en-US"/>
              </w:rPr>
              <w:footnoteReference w:id="284"/>
            </w:r>
            <w:r w:rsidRPr="00564B9D">
              <w:rPr>
                <w:sz w:val="20"/>
                <w:szCs w:val="20"/>
                <w:vertAlign w:val="superscript"/>
                <w:rtl/>
              </w:rPr>
              <w:t>)</w:t>
            </w:r>
            <w:r w:rsidRPr="00564B9D">
              <w:rPr>
                <w:rFonts w:hint="cs"/>
                <w:sz w:val="20"/>
                <w:szCs w:val="20"/>
                <w:rtl/>
              </w:rPr>
              <w:t xml:space="preserve">: عنف ضد أشخاص (9)؛ جرائم جنسية (2)؛ </w:t>
            </w:r>
            <w:r w:rsidR="005023A3" w:rsidRPr="00564B9D">
              <w:rPr>
                <w:rFonts w:hint="cs"/>
                <w:sz w:val="20"/>
                <w:szCs w:val="20"/>
                <w:rtl/>
              </w:rPr>
              <w:t xml:space="preserve">السطو (9)؛ </w:t>
            </w:r>
            <w:r w:rsidRPr="00564B9D">
              <w:rPr>
                <w:rFonts w:hint="cs"/>
                <w:sz w:val="20"/>
                <w:szCs w:val="20"/>
                <w:rtl/>
              </w:rPr>
              <w:t>السرقة وتداول المسروقات (12)؛ الاحتيال والتزوير (1)؛ جرائم متصلة بالمخدرات (4)؛ جرائم قيادة السيارات (3)؛ جرائم أخرى (13).</w:t>
            </w:r>
          </w:p>
          <w:p w14:paraId="7B6CB2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التوزيع بحسب مدة الحكم: أقل من 6 أشهر أو ما يعادلها (62)؛ أكثر من 6 أشهر وأقل من 12 شهراً (17)؛ 12 شهراً إلى أقل من 4 سنوات (18)؛ 4 سنوات أو أكثر- باستبعاد الأحكام غير المحددة (4)؛ أحكام غير محددة المدة (1).</w:t>
            </w:r>
          </w:p>
        </w:tc>
      </w:tr>
      <w:tr w:rsidR="007B5A24" w:rsidRPr="00564B9D" w14:paraId="667DE18F" w14:textId="77777777" w:rsidTr="00804944">
        <w:tblPrEx>
          <w:tblLook w:val="0000" w:firstRow="0" w:lastRow="0" w:firstColumn="0" w:lastColumn="0" w:noHBand="0" w:noVBand="0"/>
        </w:tblPrEx>
        <w:trPr>
          <w:trHeight w:val="240"/>
        </w:trPr>
        <w:tc>
          <w:tcPr>
            <w:tcW w:w="3812" w:type="dxa"/>
            <w:shd w:val="clear" w:color="auto" w:fill="auto"/>
          </w:tcPr>
          <w:p w14:paraId="745157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3393" w:type="dxa"/>
            <w:shd w:val="clear" w:color="auto" w:fill="auto"/>
          </w:tcPr>
          <w:p w14:paraId="6F9948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7E80C53A" w14:textId="77777777" w:rsidTr="00804944">
        <w:tblPrEx>
          <w:tblLook w:val="0000" w:firstRow="0" w:lastRow="0" w:firstColumn="0" w:lastColumn="0" w:noHBand="0" w:noVBand="0"/>
        </w:tblPrEx>
        <w:trPr>
          <w:trHeight w:val="240"/>
        </w:trPr>
        <w:tc>
          <w:tcPr>
            <w:tcW w:w="3812" w:type="dxa"/>
            <w:shd w:val="clear" w:color="auto" w:fill="auto"/>
          </w:tcPr>
          <w:p w14:paraId="06430D2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285"/>
            </w:r>
            <w:r w:rsidRPr="00564B9D">
              <w:rPr>
                <w:sz w:val="20"/>
                <w:szCs w:val="20"/>
                <w:vertAlign w:val="superscript"/>
                <w:rtl/>
              </w:rPr>
              <w:t>)</w:t>
            </w:r>
            <w:r w:rsidRPr="00564B9D">
              <w:rPr>
                <w:sz w:val="20"/>
                <w:szCs w:val="20"/>
                <w:rtl/>
              </w:rPr>
              <w:t xml:space="preserve"> </w:t>
            </w:r>
          </w:p>
        </w:tc>
        <w:tc>
          <w:tcPr>
            <w:tcW w:w="3393" w:type="dxa"/>
            <w:shd w:val="clear" w:color="auto" w:fill="auto"/>
          </w:tcPr>
          <w:p w14:paraId="555D7C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صفر </w:t>
            </w:r>
          </w:p>
        </w:tc>
      </w:tr>
      <w:tr w:rsidR="007B5A24" w:rsidRPr="00564B9D" w14:paraId="18F50189" w14:textId="77777777" w:rsidTr="00804944">
        <w:tblPrEx>
          <w:tblLook w:val="0000" w:firstRow="0" w:lastRow="0" w:firstColumn="0" w:lastColumn="0" w:noHBand="0" w:noVBand="0"/>
        </w:tblPrEx>
        <w:trPr>
          <w:trHeight w:val="240"/>
        </w:trPr>
        <w:tc>
          <w:tcPr>
            <w:tcW w:w="3812" w:type="dxa"/>
            <w:shd w:val="clear" w:color="auto" w:fill="auto"/>
          </w:tcPr>
          <w:p w14:paraId="2D1B3A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393" w:type="dxa"/>
            <w:shd w:val="clear" w:color="auto" w:fill="auto"/>
          </w:tcPr>
          <w:p w14:paraId="0896B6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لم تتوفر المعلومات بعد </w:t>
            </w:r>
          </w:p>
        </w:tc>
      </w:tr>
      <w:tr w:rsidR="007B5A24" w:rsidRPr="00564B9D" w14:paraId="3319C0D2" w14:textId="77777777" w:rsidTr="00804944">
        <w:tblPrEx>
          <w:tblLook w:val="0000" w:firstRow="0" w:lastRow="0" w:firstColumn="0" w:lastColumn="0" w:noHBand="0" w:noVBand="0"/>
        </w:tblPrEx>
        <w:trPr>
          <w:trHeight w:val="240"/>
        </w:trPr>
        <w:tc>
          <w:tcPr>
            <w:tcW w:w="3812" w:type="dxa"/>
            <w:shd w:val="clear" w:color="auto" w:fill="auto"/>
          </w:tcPr>
          <w:p w14:paraId="0A48B1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رجال الشرطة/الأمن لكل 000 </w:t>
            </w:r>
            <w:r w:rsidRPr="00564B9D">
              <w:rPr>
                <w:rFonts w:hint="cs"/>
                <w:sz w:val="20"/>
                <w:szCs w:val="20"/>
                <w:rtl/>
              </w:rPr>
              <w:t>1</w:t>
            </w:r>
            <w:r w:rsidRPr="00564B9D">
              <w:rPr>
                <w:sz w:val="20"/>
                <w:szCs w:val="20"/>
                <w:rtl/>
              </w:rPr>
              <w:t xml:space="preserve"> شخص </w:t>
            </w:r>
          </w:p>
        </w:tc>
        <w:tc>
          <w:tcPr>
            <w:tcW w:w="3393" w:type="dxa"/>
            <w:shd w:val="clear" w:color="auto" w:fill="auto"/>
          </w:tcPr>
          <w:p w14:paraId="21C58F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9,5 (آب/أغسطس 2013)</w:t>
            </w:r>
          </w:p>
        </w:tc>
      </w:tr>
      <w:tr w:rsidR="007B5A24" w:rsidRPr="00564B9D" w14:paraId="0A6DA9F0" w14:textId="77777777" w:rsidTr="00804944">
        <w:tblPrEx>
          <w:tblLook w:val="0000" w:firstRow="0" w:lastRow="0" w:firstColumn="0" w:lastColumn="0" w:noHBand="0" w:noVBand="0"/>
        </w:tblPrEx>
        <w:trPr>
          <w:trHeight w:val="240"/>
        </w:trPr>
        <w:tc>
          <w:tcPr>
            <w:tcW w:w="3812" w:type="dxa"/>
            <w:shd w:val="clear" w:color="auto" w:fill="auto"/>
          </w:tcPr>
          <w:p w14:paraId="7E0710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w:t>
            </w:r>
            <w:r w:rsidRPr="00564B9D">
              <w:rPr>
                <w:rFonts w:hint="cs"/>
                <w:sz w:val="20"/>
                <w:szCs w:val="20"/>
                <w:rtl/>
              </w:rPr>
              <w:t>1</w:t>
            </w:r>
            <w:r w:rsidRPr="00564B9D">
              <w:rPr>
                <w:sz w:val="20"/>
                <w:szCs w:val="20"/>
                <w:rtl/>
              </w:rPr>
              <w:t xml:space="preserve"> شخص</w:t>
            </w:r>
          </w:p>
        </w:tc>
        <w:tc>
          <w:tcPr>
            <w:tcW w:w="3393" w:type="dxa"/>
            <w:shd w:val="clear" w:color="auto" w:fill="auto"/>
          </w:tcPr>
          <w:p w14:paraId="7012F0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المدعون العامون:0,3</w:t>
            </w:r>
          </w:p>
          <w:p w14:paraId="219C76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القضاة: 0,2 </w:t>
            </w:r>
          </w:p>
        </w:tc>
      </w:tr>
      <w:tr w:rsidR="007B5A24" w:rsidRPr="00564B9D" w14:paraId="619D01CB" w14:textId="77777777" w:rsidTr="00804944">
        <w:tblPrEx>
          <w:tblLook w:val="0000" w:firstRow="0" w:lastRow="0" w:firstColumn="0" w:lastColumn="0" w:noHBand="0" w:noVBand="0"/>
        </w:tblPrEx>
        <w:trPr>
          <w:trHeight w:val="240"/>
        </w:trPr>
        <w:tc>
          <w:tcPr>
            <w:tcW w:w="3812" w:type="dxa"/>
            <w:shd w:val="clear" w:color="auto" w:fill="auto"/>
          </w:tcPr>
          <w:p w14:paraId="2C1D01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3393" w:type="dxa"/>
            <w:shd w:val="clear" w:color="auto" w:fill="auto"/>
          </w:tcPr>
          <w:p w14:paraId="6FD536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 لكن حجم الإنفاق على الشرطة في الفترة 2012/2013 بلغ 15,9 مليون دولار أمريكي.</w:t>
            </w:r>
            <w:r w:rsidRPr="00564B9D">
              <w:rPr>
                <w:sz w:val="20"/>
                <w:szCs w:val="20"/>
                <w:rtl/>
              </w:rPr>
              <w:t xml:space="preserve"> </w:t>
            </w:r>
          </w:p>
        </w:tc>
      </w:tr>
      <w:tr w:rsidR="007B5A24" w:rsidRPr="00564B9D" w14:paraId="552A41AA" w14:textId="77777777" w:rsidTr="00804944">
        <w:tblPrEx>
          <w:tblLook w:val="0000" w:firstRow="0" w:lastRow="0" w:firstColumn="0" w:lastColumn="0" w:noHBand="0" w:noVBand="0"/>
        </w:tblPrEx>
        <w:trPr>
          <w:trHeight w:val="240"/>
        </w:trPr>
        <w:tc>
          <w:tcPr>
            <w:tcW w:w="3812" w:type="dxa"/>
            <w:shd w:val="clear" w:color="auto" w:fill="auto"/>
          </w:tcPr>
          <w:p w14:paraId="5F5AC4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3393" w:type="dxa"/>
            <w:shd w:val="clear" w:color="auto" w:fill="auto"/>
          </w:tcPr>
          <w:p w14:paraId="3823EC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 ومعظم المسائل الخاصة بالمحكمة العليا تتلقى المساعدة القانونية عند الطلب.</w:t>
            </w:r>
          </w:p>
        </w:tc>
      </w:tr>
      <w:tr w:rsidR="007B5A24" w:rsidRPr="00564B9D" w14:paraId="7E93B7F4" w14:textId="77777777" w:rsidTr="00804944">
        <w:tblPrEx>
          <w:tblLook w:val="0000" w:firstRow="0" w:lastRow="0" w:firstColumn="0" w:lastColumn="0" w:noHBand="0" w:noVBand="0"/>
        </w:tblPrEx>
        <w:trPr>
          <w:trHeight w:val="240"/>
        </w:trPr>
        <w:tc>
          <w:tcPr>
            <w:tcW w:w="3812" w:type="dxa"/>
            <w:tcBorders>
              <w:bottom w:val="single" w:sz="12" w:space="0" w:color="auto"/>
            </w:tcBorders>
            <w:shd w:val="clear" w:color="auto" w:fill="auto"/>
          </w:tcPr>
          <w:p w14:paraId="5125F3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الضحايا الذين تم تعويضهم بعد صدور الحكم القضائي، بحسب نوع الجريمة. </w:t>
            </w:r>
          </w:p>
        </w:tc>
        <w:tc>
          <w:tcPr>
            <w:tcW w:w="3393" w:type="dxa"/>
            <w:tcBorders>
              <w:bottom w:val="single" w:sz="12" w:space="0" w:color="auto"/>
            </w:tcBorders>
            <w:shd w:val="clear" w:color="auto" w:fill="auto"/>
          </w:tcPr>
          <w:p w14:paraId="37F64A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لم تتوفر المعلومات بعد. وبالنسبة للجرائم المتعلقة بالملكية وحدها، أصدرت المحكمة أمراً بتوفير معدل مرتفع للتعويضات. </w:t>
            </w:r>
          </w:p>
        </w:tc>
      </w:tr>
    </w:tbl>
    <w:p w14:paraId="04050E18" w14:textId="77777777" w:rsidR="00494AE4" w:rsidRPr="00564B9D" w:rsidRDefault="00494AE4" w:rsidP="00494AE4">
      <w:pPr>
        <w:pStyle w:val="H1GA"/>
        <w:rPr>
          <w:rtl/>
        </w:rPr>
      </w:pPr>
      <w:r w:rsidRPr="00564B9D">
        <w:rPr>
          <w:rtl/>
        </w:rPr>
        <w:lastRenderedPageBreak/>
        <w:tab/>
      </w:r>
      <w:bookmarkStart w:id="353" w:name="_Toc123044190"/>
      <w:bookmarkStart w:id="354" w:name="_Toc123044413"/>
      <w:bookmarkStart w:id="355" w:name="_Toc123044675"/>
      <w:bookmarkStart w:id="356" w:name="_Toc123044937"/>
      <w:r w:rsidRPr="00564B9D">
        <w:rPr>
          <w:rFonts w:hint="cs"/>
          <w:rtl/>
        </w:rPr>
        <w:t>باء-</w:t>
      </w:r>
      <w:r w:rsidRPr="00564B9D">
        <w:rPr>
          <w:rtl/>
        </w:rPr>
        <w:tab/>
      </w:r>
      <w:r w:rsidRPr="00564B9D">
        <w:rPr>
          <w:rFonts w:hint="cs"/>
          <w:rtl/>
        </w:rPr>
        <w:t>الهيكل الدستوري والسياسي والقانوني</w:t>
      </w:r>
      <w:bookmarkEnd w:id="353"/>
      <w:bookmarkEnd w:id="354"/>
      <w:bookmarkEnd w:id="355"/>
      <w:bookmarkEnd w:id="356"/>
    </w:p>
    <w:p w14:paraId="50FA6B56" w14:textId="77777777" w:rsidR="00494AE4" w:rsidRPr="00564B9D" w:rsidRDefault="00494AE4" w:rsidP="00494AE4">
      <w:pPr>
        <w:pStyle w:val="SingleTxtGA"/>
        <w:rPr>
          <w:rtl/>
        </w:rPr>
      </w:pPr>
      <w:r w:rsidRPr="00564B9D">
        <w:rPr>
          <w:rtl/>
        </w:rPr>
        <w:t>147-</w:t>
      </w:r>
      <w:r w:rsidRPr="00564B9D">
        <w:rPr>
          <w:rtl/>
        </w:rPr>
        <w:tab/>
      </w:r>
      <w:r w:rsidRPr="00564B9D">
        <w:rPr>
          <w:rFonts w:hint="cs"/>
          <w:rtl/>
        </w:rPr>
        <w:t>جزر تركس وكايكوس هي أحد الأقاليم البريطانية فيما وراء البحار، ولديها حاكم ونظام حكم وزاري. وقد دخل الدستور الجديد لجزر تركس وكايكوس حيز النفاذ في تموز/يوليه 2011 من خلال القانون الدستوري لجزر تركس وكايكوس لعام 2011</w:t>
      </w:r>
      <w:r w:rsidRPr="00564B9D">
        <w:rPr>
          <w:vertAlign w:val="superscript"/>
          <w:rtl/>
        </w:rPr>
        <w:t>(</w:t>
      </w:r>
      <w:r w:rsidRPr="00564B9D">
        <w:rPr>
          <w:rStyle w:val="FootnoteReference"/>
          <w:rFonts w:cs="Simplified Arabic"/>
          <w:b w:val="0"/>
          <w:sz w:val="22"/>
          <w:szCs w:val="22"/>
          <w:rtl/>
          <w:lang w:val="en-US"/>
        </w:rPr>
        <w:footnoteReference w:id="286"/>
      </w:r>
      <w:r w:rsidRPr="00564B9D">
        <w:rPr>
          <w:vertAlign w:val="superscript"/>
          <w:rtl/>
        </w:rPr>
        <w:t>)</w:t>
      </w:r>
      <w:r w:rsidRPr="00564B9D">
        <w:rPr>
          <w:rFonts w:hint="cs"/>
          <w:rtl/>
        </w:rPr>
        <w:t>.</w:t>
      </w:r>
    </w:p>
    <w:p w14:paraId="31F49A0F" w14:textId="77777777" w:rsidR="00494AE4" w:rsidRPr="00564B9D" w:rsidRDefault="00494AE4" w:rsidP="00494AE4">
      <w:pPr>
        <w:pStyle w:val="H23GA"/>
        <w:rPr>
          <w:rtl/>
        </w:rPr>
      </w:pPr>
      <w:r w:rsidRPr="00564B9D">
        <w:rPr>
          <w:rtl/>
        </w:rPr>
        <w:tab/>
      </w:r>
      <w:r w:rsidRPr="00564B9D">
        <w:rPr>
          <w:rtl/>
        </w:rPr>
        <w:tab/>
      </w:r>
      <w:r w:rsidRPr="00564B9D">
        <w:rPr>
          <w:rFonts w:hint="cs"/>
          <w:rtl/>
        </w:rPr>
        <w:t>مجلس النواب</w:t>
      </w:r>
    </w:p>
    <w:p w14:paraId="0FC706CC" w14:textId="77777777" w:rsidR="00494AE4" w:rsidRPr="00564B9D" w:rsidRDefault="00494AE4" w:rsidP="00494AE4">
      <w:pPr>
        <w:pStyle w:val="SingleTxtGA"/>
        <w:rPr>
          <w:rtl/>
        </w:rPr>
      </w:pPr>
      <w:r w:rsidRPr="00564B9D">
        <w:rPr>
          <w:rFonts w:hint="cs"/>
          <w:rtl/>
        </w:rPr>
        <w:t>148</w:t>
      </w:r>
      <w:r w:rsidRPr="00564B9D">
        <w:rPr>
          <w:rtl/>
        </w:rPr>
        <w:t>-</w:t>
      </w:r>
      <w:r w:rsidRPr="00564B9D">
        <w:rPr>
          <w:rtl/>
        </w:rPr>
        <w:tab/>
      </w:r>
      <w:r w:rsidRPr="00564B9D">
        <w:rPr>
          <w:rFonts w:hint="cs"/>
          <w:rtl/>
        </w:rPr>
        <w:t>يتألف مجلس النواب من رئيس و15 عضواً مُنتخباً و4 موظفين مُعينين ونائب عام. وتضطلع الهيئة التشريعية بمسؤولية سن القوانين من أجل السلام والنظام والحكم السديد في جزر تركس وكايكوس. ولا بد من الإشارة إلى أن النائب العام لا يحق له التصويت داخل مجلس النواب.</w:t>
      </w:r>
    </w:p>
    <w:p w14:paraId="615C6F50"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p>
    <w:p w14:paraId="32273A89" w14:textId="77777777" w:rsidR="00494AE4" w:rsidRPr="00564B9D" w:rsidRDefault="00494AE4" w:rsidP="00494AE4">
      <w:pPr>
        <w:pStyle w:val="SingleTxtGA"/>
        <w:rPr>
          <w:rtl/>
        </w:rPr>
      </w:pPr>
      <w:r w:rsidRPr="00564B9D">
        <w:rPr>
          <w:rFonts w:hint="cs"/>
          <w:rtl/>
        </w:rPr>
        <w:t>149</w:t>
      </w:r>
      <w:r w:rsidRPr="00564B9D">
        <w:rPr>
          <w:rtl/>
        </w:rPr>
        <w:t>-</w:t>
      </w:r>
      <w:r w:rsidRPr="00564B9D">
        <w:rPr>
          <w:rtl/>
        </w:rPr>
        <w:tab/>
      </w:r>
      <w:r w:rsidRPr="00564B9D">
        <w:rPr>
          <w:rFonts w:hint="cs"/>
          <w:rtl/>
        </w:rPr>
        <w:t>يعين العاهل (رئيس الدولة) الحاكمَ بموجب القانون الدستوري لجزر تركس وكايكوس لعام 2011، ويعتبر ممثلاً لصاحب الجلالة في الجزر مع بقاء السلطة التنفيذية بيده. ويوجد أيضاً نائب للحاكم يجب أن يكون منتمياً للجزر (أي فرد لا يخضع لقيود الهجرة بشأن طول المدة الزمنية لبقائه في الجزر) ويُعينه الحاكم. وتستند الهيئة الحكومية التنفيذية إلى مجلس الوزراء الذي يتألف من: رئيس للوزراء يعينه الحاكم، وستة وزراء، ونائب للحاكم، ونائب عام. ويتولى الحاكم رئاسة مجلس الوزراء.</w:t>
      </w:r>
    </w:p>
    <w:p w14:paraId="25FD77E2" w14:textId="77777777" w:rsidR="00494AE4" w:rsidRPr="00564B9D" w:rsidRDefault="00494AE4" w:rsidP="00494AE4">
      <w:pPr>
        <w:pStyle w:val="SingleTxtGA"/>
        <w:rPr>
          <w:rtl/>
        </w:rPr>
      </w:pPr>
      <w:r w:rsidRPr="00564B9D">
        <w:rPr>
          <w:rFonts w:hint="cs"/>
          <w:rtl/>
        </w:rPr>
        <w:t>150</w:t>
      </w:r>
      <w:r w:rsidRPr="00564B9D">
        <w:rPr>
          <w:rtl/>
        </w:rPr>
        <w:t>-</w:t>
      </w:r>
      <w:r w:rsidRPr="00564B9D">
        <w:rPr>
          <w:rtl/>
        </w:rPr>
        <w:tab/>
      </w:r>
      <w:r w:rsidRPr="00564B9D">
        <w:rPr>
          <w:rFonts w:hint="cs"/>
          <w:rtl/>
        </w:rPr>
        <w:t>يظل الحاكم مسؤولاً عن الشؤون الخارجية والدفاع والأمن الداخلي بما في ذلك قوة الشرطة وبعض مسائل الخدمة العامة، ومن بينها تنظيم الخدمات المالية الدولية وإجراء مشاورات مع مجلس الوزراء حسب الاقتضاء. وقد أنشئ مجلس استشاري للأمن القومي برئاسة الحاكم من أجل وضع التوصيات بشأن قضايا الأمن القومي. ويواصل الوزراء اضطلاعهم بمسؤوليات تقع خارج نطاق المجالات المكرسة خصيصاً للحاكم.</w:t>
      </w:r>
    </w:p>
    <w:p w14:paraId="07ECD1FA" w14:textId="77777777" w:rsidR="00494AE4" w:rsidRPr="00564B9D" w:rsidRDefault="00494AE4" w:rsidP="00494AE4">
      <w:pPr>
        <w:pStyle w:val="H23GA"/>
      </w:pPr>
      <w:r w:rsidRPr="00564B9D">
        <w:rPr>
          <w:rtl/>
        </w:rPr>
        <w:tab/>
      </w:r>
      <w:r w:rsidRPr="00564B9D">
        <w:rPr>
          <w:rtl/>
        </w:rPr>
        <w:tab/>
      </w:r>
      <w:r w:rsidRPr="00564B9D">
        <w:rPr>
          <w:rFonts w:hint="cs"/>
          <w:rtl/>
        </w:rPr>
        <w:t>الجهاز القضائي وإقامة العدل</w:t>
      </w:r>
    </w:p>
    <w:p w14:paraId="23401221" w14:textId="77777777" w:rsidR="00494AE4" w:rsidRPr="00564B9D" w:rsidRDefault="00494AE4" w:rsidP="00494AE4">
      <w:pPr>
        <w:pStyle w:val="SingleTxtGA"/>
        <w:rPr>
          <w:rtl/>
        </w:rPr>
      </w:pPr>
      <w:r w:rsidRPr="00564B9D">
        <w:rPr>
          <w:rFonts w:hint="cs"/>
          <w:rtl/>
        </w:rPr>
        <w:t>151</w:t>
      </w:r>
      <w:r w:rsidRPr="00564B9D">
        <w:rPr>
          <w:rtl/>
        </w:rPr>
        <w:t>-</w:t>
      </w:r>
      <w:r w:rsidRPr="00564B9D">
        <w:rPr>
          <w:rtl/>
        </w:rPr>
        <w:tab/>
      </w:r>
      <w:r w:rsidRPr="00564B9D">
        <w:rPr>
          <w:rFonts w:hint="cs"/>
          <w:rtl/>
        </w:rPr>
        <w:t>يتألف الجهاز القضائي من المحكمة العليا، وتنظر في الاستئنافات محكمة الاستئناف (المكونة من رئيس وما لا يقل عن قاضيين من قضاة الاستئناف)، فيما تنظر في الطعون اللجنة القضائية للمجلس الملكي الخاص في لندن.</w:t>
      </w:r>
    </w:p>
    <w:p w14:paraId="6C043934" w14:textId="77777777" w:rsidR="00494AE4" w:rsidRPr="00564B9D" w:rsidRDefault="00494AE4" w:rsidP="00494AE4">
      <w:pPr>
        <w:pStyle w:val="H23GA"/>
        <w:rPr>
          <w:rtl/>
        </w:rPr>
      </w:pPr>
      <w:r w:rsidRPr="00564B9D">
        <w:rPr>
          <w:rtl/>
        </w:rPr>
        <w:tab/>
      </w:r>
      <w:r w:rsidRPr="00564B9D">
        <w:rPr>
          <w:rtl/>
        </w:rPr>
        <w:tab/>
      </w:r>
      <w:r w:rsidRPr="00564B9D">
        <w:rPr>
          <w:rFonts w:hint="cs"/>
          <w:rtl/>
        </w:rPr>
        <w:t>المنظمات غير الحكومية</w:t>
      </w:r>
    </w:p>
    <w:p w14:paraId="79136916" w14:textId="77777777" w:rsidR="00494AE4" w:rsidRPr="00564B9D" w:rsidRDefault="00494AE4" w:rsidP="00494AE4">
      <w:pPr>
        <w:pStyle w:val="SingleTxtGA"/>
        <w:rPr>
          <w:rtl/>
        </w:rPr>
      </w:pPr>
      <w:r w:rsidRPr="00564B9D">
        <w:rPr>
          <w:rFonts w:hint="cs"/>
          <w:rtl/>
        </w:rPr>
        <w:t>152</w:t>
      </w:r>
      <w:r w:rsidRPr="00564B9D">
        <w:rPr>
          <w:rtl/>
        </w:rPr>
        <w:t>-</w:t>
      </w:r>
      <w:r w:rsidRPr="00564B9D">
        <w:rPr>
          <w:rtl/>
        </w:rPr>
        <w:tab/>
      </w:r>
      <w:r w:rsidRPr="00564B9D">
        <w:rPr>
          <w:rFonts w:hint="cs"/>
          <w:rtl/>
        </w:rPr>
        <w:t>المنظمات غير الحكومية معترف بها بشكل كامل.</w:t>
      </w:r>
    </w:p>
    <w:p w14:paraId="78B37217" w14:textId="77777777" w:rsidR="00494AE4" w:rsidRPr="00564B9D" w:rsidRDefault="00494AE4" w:rsidP="00494AE4">
      <w:pPr>
        <w:pStyle w:val="HChGA"/>
        <w:rPr>
          <w:rtl/>
        </w:rPr>
      </w:pPr>
      <w:r w:rsidRPr="00564B9D">
        <w:rPr>
          <w:rtl/>
        </w:rPr>
        <w:tab/>
      </w:r>
      <w:bookmarkStart w:id="357" w:name="_Toc123044191"/>
      <w:bookmarkStart w:id="358" w:name="_Toc123044414"/>
      <w:bookmarkStart w:id="359" w:name="_Toc123044676"/>
      <w:bookmarkStart w:id="360" w:name="_Toc123044938"/>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357"/>
      <w:bookmarkEnd w:id="358"/>
      <w:bookmarkEnd w:id="359"/>
      <w:bookmarkEnd w:id="360"/>
    </w:p>
    <w:p w14:paraId="172CDB5D" w14:textId="77777777" w:rsidR="00494AE4" w:rsidRPr="00564B9D" w:rsidRDefault="00494AE4" w:rsidP="00494AE4">
      <w:pPr>
        <w:pStyle w:val="H1GA"/>
        <w:rPr>
          <w:rtl/>
        </w:rPr>
      </w:pPr>
      <w:r w:rsidRPr="00564B9D">
        <w:rPr>
          <w:rtl/>
        </w:rPr>
        <w:tab/>
      </w:r>
      <w:bookmarkStart w:id="361" w:name="_Toc123044192"/>
      <w:bookmarkStart w:id="362" w:name="_Toc123044415"/>
      <w:bookmarkStart w:id="363" w:name="_Toc123044677"/>
      <w:bookmarkStart w:id="364" w:name="_Toc123044939"/>
      <w:r w:rsidRPr="00564B9D">
        <w:rPr>
          <w:rtl/>
        </w:rPr>
        <w:t>ألف-</w:t>
      </w:r>
      <w:r w:rsidRPr="00564B9D">
        <w:rPr>
          <w:rtl/>
        </w:rPr>
        <w:tab/>
      </w:r>
      <w:r w:rsidRPr="00564B9D">
        <w:rPr>
          <w:rFonts w:hint="cs"/>
          <w:rtl/>
        </w:rPr>
        <w:t>قبول معايير حقوق الإنسان الدولية</w:t>
      </w:r>
      <w:bookmarkEnd w:id="361"/>
      <w:bookmarkEnd w:id="362"/>
      <w:bookmarkEnd w:id="363"/>
      <w:bookmarkEnd w:id="364"/>
    </w:p>
    <w:p w14:paraId="2EE82DC4" w14:textId="77777777" w:rsidR="00494AE4" w:rsidRPr="00564B9D" w:rsidRDefault="00494AE4" w:rsidP="00494AE4">
      <w:pPr>
        <w:pStyle w:val="SingleTxtGA"/>
        <w:rPr>
          <w:rtl/>
        </w:rPr>
      </w:pPr>
      <w:r w:rsidRPr="00564B9D">
        <w:rPr>
          <w:rFonts w:hint="cs"/>
          <w:rtl/>
        </w:rPr>
        <w:t>153</w:t>
      </w:r>
      <w:r w:rsidRPr="00564B9D">
        <w:rPr>
          <w:rtl/>
        </w:rPr>
        <w:t>-</w:t>
      </w:r>
      <w:r w:rsidRPr="00564B9D">
        <w:rPr>
          <w:rtl/>
        </w:rPr>
        <w:tab/>
      </w:r>
      <w:r w:rsidRPr="00564B9D">
        <w:rPr>
          <w:rFonts w:hint="cs"/>
          <w:rtl/>
        </w:rPr>
        <w:t>تم توسيع نطاق الصكوك الدولية الرئيسية التالية لتشمل جزر تركس وكايكوس.</w:t>
      </w:r>
    </w:p>
    <w:p w14:paraId="1C308DC6"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0DBBA90B"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القضاء على جميع أشكال التمييز ضد المرأة؛ اتفاقية مناهضة التعذيب</w:t>
      </w:r>
      <w:r w:rsidRPr="00564B9D">
        <w:rPr>
          <w:rFonts w:hint="eastAsia"/>
          <w:rtl/>
        </w:rPr>
        <w:t xml:space="preserve"> </w:t>
      </w:r>
      <w:r w:rsidRPr="00564B9D">
        <w:rPr>
          <w:rFonts w:hint="cs"/>
          <w:rtl/>
        </w:rPr>
        <w:t>وغيره من ضروب المعاملة أو العقوبة القاسية أو اللاإنسانية أو المهينة؛ اتفاقية حقوق الطفل.</w:t>
      </w:r>
    </w:p>
    <w:p w14:paraId="7350C2BD"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7C4BD241"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الاتفاقية المتعلقة بوضع اللاجئين (وبروتوكولها لعام 1967)؛ الاتفاقية بشأن خفض حالات انعدام الجنسية؛ نظام روما الأساسي للمحكمة الجنائية الدولية.</w:t>
      </w:r>
    </w:p>
    <w:p w14:paraId="03CE02B9"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العمل الدولية</w:t>
      </w:r>
    </w:p>
    <w:p w14:paraId="114B3778"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اتفاقية الضمان الاجتماعي (المعايير الدنيا).</w:t>
      </w:r>
    </w:p>
    <w:p w14:paraId="0D9BBC48"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الأمم المتحدة للتربية والعلوم والثقافة (اليونسكو)</w:t>
      </w:r>
    </w:p>
    <w:p w14:paraId="2A92C6C9"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المتعلقة بمناهضة التمييز في مجال التعليم.</w:t>
      </w:r>
    </w:p>
    <w:p w14:paraId="5BE0E270"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والمعاهدات الأخرى المتعلقة بالقانون الإنساني الدولي</w:t>
      </w:r>
    </w:p>
    <w:p w14:paraId="5D5BBF39"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23C3D410"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المتعلقة بحقوق الإنسان</w:t>
      </w:r>
    </w:p>
    <w:p w14:paraId="2AAB21EF"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0241A98A" w14:textId="77777777" w:rsidR="00494AE4" w:rsidRPr="00564B9D" w:rsidRDefault="00494AE4" w:rsidP="00494AE4">
      <w:pPr>
        <w:pStyle w:val="H1GA"/>
        <w:rPr>
          <w:rtl/>
        </w:rPr>
      </w:pPr>
      <w:r w:rsidRPr="00564B9D">
        <w:rPr>
          <w:rtl/>
        </w:rPr>
        <w:tab/>
      </w:r>
      <w:bookmarkStart w:id="365" w:name="_Toc123044193"/>
      <w:bookmarkStart w:id="366" w:name="_Toc123044416"/>
      <w:bookmarkStart w:id="367" w:name="_Toc123044678"/>
      <w:bookmarkStart w:id="368" w:name="_Toc123044940"/>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365"/>
      <w:bookmarkEnd w:id="366"/>
      <w:bookmarkEnd w:id="367"/>
      <w:bookmarkEnd w:id="368"/>
    </w:p>
    <w:p w14:paraId="2C11D333" w14:textId="77777777" w:rsidR="00494AE4" w:rsidRPr="00564B9D" w:rsidRDefault="00494AE4" w:rsidP="00494AE4">
      <w:pPr>
        <w:pStyle w:val="SingleTxtGA"/>
        <w:rPr>
          <w:rtl/>
        </w:rPr>
      </w:pPr>
      <w:r w:rsidRPr="00564B9D">
        <w:rPr>
          <w:rtl/>
        </w:rPr>
        <w:t>154-</w:t>
      </w:r>
      <w:r w:rsidRPr="00564B9D">
        <w:rPr>
          <w:rtl/>
        </w:rPr>
        <w:tab/>
      </w:r>
      <w:r w:rsidRPr="00564B9D">
        <w:rPr>
          <w:rFonts w:hint="cs"/>
          <w:rtl/>
        </w:rPr>
        <w:t>يستند الإطار القانوني لحماية حقوق الإنسان إلى الجدول 2 من الجزء الأول من القانون الدستوري لجزر تركس وكايكوس لعام 2011 ("حقوق الفرد وحرياته الأساسية") الذي يتناول بالتحديد عدداً من الحقوق والحريات بما في ذلك: الحق في الحياة؛ وحرية الضمير وحرية التعبير وحرية التجمّع وتكوين الجمعيات؛ والتمتع السلمي بالممتلكات والحماية من الحرمان من الممتلكات؛ وتوفير الحماية للحياة الخاصة والأسرية ولخصوصية المنزل والممتلكات الأخرى</w:t>
      </w:r>
      <w:r w:rsidRPr="00564B9D">
        <w:rPr>
          <w:rtl/>
        </w:rPr>
        <w:t>.</w:t>
      </w:r>
    </w:p>
    <w:p w14:paraId="42E00A9F" w14:textId="77777777" w:rsidR="00494AE4" w:rsidRPr="00564B9D" w:rsidRDefault="00494AE4" w:rsidP="00494AE4">
      <w:pPr>
        <w:pStyle w:val="SingleTxtGA"/>
        <w:rPr>
          <w:rtl/>
        </w:rPr>
      </w:pPr>
      <w:r w:rsidRPr="00564B9D">
        <w:rPr>
          <w:rFonts w:hint="cs"/>
          <w:rtl/>
        </w:rPr>
        <w:t>155</w:t>
      </w:r>
      <w:r w:rsidRPr="00564B9D">
        <w:rPr>
          <w:rtl/>
        </w:rPr>
        <w:t>-</w:t>
      </w:r>
      <w:r w:rsidRPr="00564B9D">
        <w:rPr>
          <w:rtl/>
        </w:rPr>
        <w:tab/>
      </w:r>
      <w:r w:rsidRPr="00564B9D">
        <w:rPr>
          <w:rFonts w:hint="cs"/>
          <w:rtl/>
        </w:rPr>
        <w:t>وتعمل لجنة حقوق الإنسان</w:t>
      </w:r>
      <w:r w:rsidRPr="00564B9D">
        <w:rPr>
          <w:vertAlign w:val="superscript"/>
          <w:rtl/>
        </w:rPr>
        <w:t>(</w:t>
      </w:r>
      <w:r w:rsidRPr="00564B9D">
        <w:rPr>
          <w:rStyle w:val="FootnoteReference"/>
          <w:rFonts w:cs="Simplified Arabic"/>
          <w:b w:val="0"/>
          <w:sz w:val="22"/>
          <w:szCs w:val="22"/>
          <w:rtl/>
          <w:lang w:val="en-US"/>
        </w:rPr>
        <w:footnoteReference w:id="287"/>
      </w:r>
      <w:r w:rsidRPr="00564B9D">
        <w:rPr>
          <w:vertAlign w:val="superscript"/>
          <w:rtl/>
        </w:rPr>
        <w:t>)</w:t>
      </w:r>
      <w:r w:rsidRPr="00564B9D">
        <w:rPr>
          <w:rFonts w:hint="cs"/>
          <w:rtl/>
        </w:rPr>
        <w:t>، التي أُنشئت في عام 2008، على حماية حقوق الإنسان داخل الإقليم. ولدى المحكمة العليا ولاية قضائية نهائية بشأن حقوق الإنسان. وتترأس محكمة العمل المنازعات في مجال العمل وتتمتع بسلطات مساوية لسلطات المحكمة العليا.</w:t>
      </w:r>
    </w:p>
    <w:p w14:paraId="28043DFF" w14:textId="77777777" w:rsidR="00494AE4" w:rsidRPr="00564B9D" w:rsidRDefault="00494AE4" w:rsidP="00494AE4">
      <w:pPr>
        <w:pStyle w:val="SingleTxtGA"/>
        <w:rPr>
          <w:rtl/>
        </w:rPr>
      </w:pPr>
      <w:r w:rsidRPr="00564B9D">
        <w:rPr>
          <w:rFonts w:hint="cs"/>
          <w:rtl/>
        </w:rPr>
        <w:lastRenderedPageBreak/>
        <w:t>156</w:t>
      </w:r>
      <w:r w:rsidRPr="00564B9D">
        <w:rPr>
          <w:rtl/>
        </w:rPr>
        <w:t>-</w:t>
      </w:r>
      <w:r w:rsidRPr="00564B9D">
        <w:rPr>
          <w:rtl/>
        </w:rPr>
        <w:tab/>
      </w:r>
      <w:r w:rsidRPr="00564B9D">
        <w:rPr>
          <w:rFonts w:hint="cs"/>
          <w:rtl/>
        </w:rPr>
        <w:t>وكما ورد أعلاه، فإن جزر تركس وكايكوس هي أيضاً طرف في عدد من الصكوك الدولية المتعلقة بحماية حقوق الإنسان ومعايير العمل.</w:t>
      </w:r>
    </w:p>
    <w:p w14:paraId="45CB1702" w14:textId="77777777" w:rsidR="00494AE4" w:rsidRPr="00564B9D" w:rsidRDefault="00494AE4" w:rsidP="00494AE4">
      <w:pPr>
        <w:pStyle w:val="H1GA"/>
        <w:rPr>
          <w:rtl/>
        </w:rPr>
      </w:pPr>
      <w:r w:rsidRPr="00564B9D">
        <w:rPr>
          <w:rtl/>
        </w:rPr>
        <w:tab/>
      </w:r>
      <w:bookmarkStart w:id="369" w:name="_Toc123044194"/>
      <w:bookmarkStart w:id="370" w:name="_Toc123044417"/>
      <w:bookmarkStart w:id="371" w:name="_Toc123044679"/>
      <w:bookmarkStart w:id="372" w:name="_Toc123044941"/>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369"/>
      <w:bookmarkEnd w:id="370"/>
      <w:bookmarkEnd w:id="371"/>
      <w:bookmarkEnd w:id="372"/>
    </w:p>
    <w:p w14:paraId="1B3E8A7C" w14:textId="77777777" w:rsidR="00494AE4" w:rsidRPr="00564B9D" w:rsidRDefault="00494AE4" w:rsidP="00494AE4">
      <w:pPr>
        <w:pStyle w:val="SingleTxtGA"/>
        <w:rPr>
          <w:rtl/>
        </w:rPr>
      </w:pPr>
      <w:r w:rsidRPr="00564B9D">
        <w:rPr>
          <w:rFonts w:hint="cs"/>
          <w:rtl/>
        </w:rPr>
        <w:t>157</w:t>
      </w:r>
      <w:r w:rsidRPr="00564B9D">
        <w:rPr>
          <w:rtl/>
        </w:rPr>
        <w:t>-</w:t>
      </w:r>
      <w:r w:rsidRPr="00564B9D">
        <w:rPr>
          <w:rtl/>
        </w:rPr>
        <w:tab/>
      </w:r>
      <w:r w:rsidRPr="00564B9D">
        <w:rPr>
          <w:rFonts w:hint="cs"/>
          <w:rtl/>
        </w:rPr>
        <w:t>لجنة حقوق الإنسان هي مؤسسة وطنية تناط بها سلطات تعزيز حقوق الإنسان وحمايتها.</w:t>
      </w:r>
    </w:p>
    <w:p w14:paraId="495379F5" w14:textId="77777777" w:rsidR="00494AE4" w:rsidRPr="00564B9D" w:rsidRDefault="00494AE4" w:rsidP="00494AE4">
      <w:pPr>
        <w:pStyle w:val="HChGA"/>
        <w:rPr>
          <w:rtl/>
        </w:rPr>
      </w:pPr>
      <w:r w:rsidRPr="00564B9D">
        <w:rPr>
          <w:rtl/>
        </w:rPr>
        <w:tab/>
      </w:r>
      <w:bookmarkStart w:id="373" w:name="_Toc123044195"/>
      <w:bookmarkStart w:id="374" w:name="_Toc123044418"/>
      <w:bookmarkStart w:id="375" w:name="_Toc123044680"/>
      <w:bookmarkStart w:id="376" w:name="_Toc123044942"/>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373"/>
      <w:bookmarkEnd w:id="374"/>
      <w:bookmarkEnd w:id="375"/>
      <w:bookmarkEnd w:id="376"/>
    </w:p>
    <w:p w14:paraId="227A8DB6" w14:textId="77777777" w:rsidR="00494AE4" w:rsidRPr="00564B9D" w:rsidRDefault="00494AE4" w:rsidP="00494AE4">
      <w:pPr>
        <w:pStyle w:val="SingleTxtGA"/>
        <w:rPr>
          <w:rtl/>
        </w:rPr>
      </w:pPr>
      <w:r w:rsidRPr="00564B9D">
        <w:rPr>
          <w:rFonts w:hint="cs"/>
          <w:rtl/>
        </w:rPr>
        <w:t>158</w:t>
      </w:r>
      <w:r w:rsidRPr="00564B9D">
        <w:rPr>
          <w:rtl/>
        </w:rPr>
        <w:t>-</w:t>
      </w:r>
      <w:r w:rsidRPr="00564B9D">
        <w:rPr>
          <w:rtl/>
        </w:rPr>
        <w:tab/>
      </w:r>
      <w:r w:rsidRPr="00564B9D">
        <w:rPr>
          <w:rFonts w:hint="cs"/>
          <w:rtl/>
        </w:rPr>
        <w:t>ينص الجدول 2 ("دستور جزر تركس وكايكوس") من القانون الدستوري لجزر تركس وكايكوس لعام 2011 على ما يلي: "إن شعب جزر تركس وكايكوس كشعب يخشى الله ولديه قناعات تستند إلى الثقافة والقيم والمبادئ المسيحية السليمة، التي تبدي تسامحاً مع الأديان الأخرى؛ يؤكد عزمه على: الحفاظ على أرقى معايير النزاهة في حياته اليومية؛ والالتزام بالقيم الديمقراطية لمجتمع عادل وإنساني يسعى إلى نيل الكرامة وتحقيق الازدهار والمساواة والحب والعدالة والسلام والحرية للجميع؛ وضمان قيام اقتصاد متنوّع نابض والعمل على توفير فرص العمالة الكاملة وحماية الأجيال المقبلة".</w:t>
      </w:r>
    </w:p>
    <w:p w14:paraId="529B5390" w14:textId="77777777" w:rsidR="00494AE4" w:rsidRPr="00564B9D" w:rsidRDefault="00494AE4" w:rsidP="00494AE4">
      <w:pPr>
        <w:pStyle w:val="SingleTxtGA"/>
        <w:rPr>
          <w:rtl/>
        </w:rPr>
      </w:pPr>
      <w:r w:rsidRPr="00564B9D">
        <w:rPr>
          <w:rFonts w:hint="cs"/>
          <w:rtl/>
        </w:rPr>
        <w:t>159</w:t>
      </w:r>
      <w:r w:rsidRPr="00564B9D">
        <w:rPr>
          <w:rtl/>
        </w:rPr>
        <w:t>-</w:t>
      </w:r>
      <w:r w:rsidRPr="00564B9D">
        <w:rPr>
          <w:rtl/>
        </w:rPr>
        <w:tab/>
      </w:r>
      <w:r w:rsidRPr="00564B9D">
        <w:rPr>
          <w:rFonts w:hint="cs"/>
          <w:rtl/>
        </w:rPr>
        <w:t>بعد ذلك يتناول الجزء 1 من الجدول 2 من القانون الدستوري لجزر تركس وكايكوس لعام 2011 مختلف الحقوق والحريات الأساسية بما في ذلك أحكام معينة بشأن المساواة ومناهضة التمييز، وهي تحديداً: المساواة أمام القانون؛ والحماية من التمييز.</w:t>
      </w:r>
    </w:p>
    <w:p w14:paraId="2BE189FD" w14:textId="77777777" w:rsidR="00494AE4" w:rsidRPr="00564B9D" w:rsidRDefault="00494AE4" w:rsidP="00494AE4">
      <w:pPr>
        <w:pStyle w:val="SingleTxtGA"/>
        <w:rPr>
          <w:rtl/>
        </w:rPr>
      </w:pPr>
      <w:r w:rsidRPr="00564B9D">
        <w:rPr>
          <w:rFonts w:hint="cs"/>
          <w:rtl/>
        </w:rPr>
        <w:t>160</w:t>
      </w:r>
      <w:r w:rsidRPr="00564B9D">
        <w:rPr>
          <w:rtl/>
        </w:rPr>
        <w:t>-</w:t>
      </w:r>
      <w:r w:rsidRPr="00564B9D">
        <w:rPr>
          <w:rtl/>
        </w:rPr>
        <w:tab/>
      </w:r>
      <w:r w:rsidRPr="00564B9D">
        <w:rPr>
          <w:rFonts w:hint="cs"/>
          <w:rtl/>
        </w:rPr>
        <w:t>وسوف يمنح مشروع قانون المساواة لعام 2011، الذي يجري تنفيذه حالياً، زخماً إضافياً لمكافحة التمييز وتعزيز المساواة في الجزر.</w:t>
      </w:r>
    </w:p>
    <w:p w14:paraId="06777E1D" w14:textId="77777777" w:rsidR="00494AE4" w:rsidRPr="00564B9D" w:rsidRDefault="00494AE4" w:rsidP="00494AE4">
      <w:pPr>
        <w:pStyle w:val="HChGA"/>
        <w:rPr>
          <w:rtl/>
        </w:rPr>
      </w:pPr>
      <w:r w:rsidRPr="00564B9D">
        <w:rPr>
          <w:rtl/>
        </w:rPr>
        <w:tab/>
      </w:r>
      <w:r w:rsidRPr="00564B9D">
        <w:rPr>
          <w:rtl/>
        </w:rPr>
        <w:tab/>
      </w:r>
      <w:bookmarkStart w:id="377" w:name="_Toc123044196"/>
      <w:bookmarkStart w:id="378" w:name="_Toc123044419"/>
      <w:bookmarkStart w:id="379" w:name="_Toc123044681"/>
      <w:bookmarkStart w:id="380" w:name="_Toc123044943"/>
      <w:r w:rsidRPr="00564B9D">
        <w:rPr>
          <w:rFonts w:hint="cs"/>
          <w:rtl/>
        </w:rPr>
        <w:t>جزر فرجن (المعروفة بجزر فرجن البريطانية)</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88"/>
      </w:r>
      <w:r w:rsidRPr="00564B9D">
        <w:rPr>
          <w:b w:val="0"/>
          <w:bCs w:val="0"/>
          <w:sz w:val="22"/>
          <w:szCs w:val="22"/>
          <w:vertAlign w:val="superscript"/>
          <w:rtl/>
        </w:rPr>
        <w:t>)</w:t>
      </w:r>
      <w:bookmarkEnd w:id="377"/>
      <w:bookmarkEnd w:id="378"/>
      <w:bookmarkEnd w:id="379"/>
      <w:bookmarkEnd w:id="380"/>
      <w:r w:rsidRPr="00564B9D">
        <w:rPr>
          <w:rtl/>
        </w:rPr>
        <w:t xml:space="preserve"> </w:t>
      </w:r>
    </w:p>
    <w:p w14:paraId="312DD1CA" w14:textId="77777777" w:rsidR="00494AE4" w:rsidRPr="00564B9D" w:rsidRDefault="00494AE4" w:rsidP="00494AE4">
      <w:pPr>
        <w:pStyle w:val="HChGA"/>
        <w:rPr>
          <w:rtl/>
        </w:rPr>
      </w:pPr>
      <w:r w:rsidRPr="00564B9D">
        <w:rPr>
          <w:rtl/>
        </w:rPr>
        <w:tab/>
      </w:r>
      <w:bookmarkStart w:id="381" w:name="_Toc123044197"/>
      <w:bookmarkStart w:id="382" w:name="_Toc123044420"/>
      <w:bookmarkStart w:id="383" w:name="_Toc123044682"/>
      <w:bookmarkStart w:id="384" w:name="_Toc123044944"/>
      <w:r w:rsidRPr="00564B9D">
        <w:rPr>
          <w:rFonts w:hint="cs"/>
          <w:rtl/>
        </w:rPr>
        <w:t>أولاً</w:t>
      </w:r>
      <w:r w:rsidRPr="00564B9D">
        <w:rPr>
          <w:rtl/>
        </w:rPr>
        <w:t>-</w:t>
      </w:r>
      <w:r w:rsidRPr="00564B9D">
        <w:rPr>
          <w:rtl/>
        </w:rPr>
        <w:tab/>
      </w:r>
      <w:r w:rsidRPr="00564B9D">
        <w:rPr>
          <w:rFonts w:hint="cs"/>
          <w:rtl/>
        </w:rPr>
        <w:t>معلومات عامة</w:t>
      </w:r>
      <w:bookmarkEnd w:id="381"/>
      <w:bookmarkEnd w:id="382"/>
      <w:bookmarkEnd w:id="383"/>
      <w:bookmarkEnd w:id="384"/>
    </w:p>
    <w:p w14:paraId="45D5EF26" w14:textId="77777777" w:rsidR="00494AE4" w:rsidRPr="00564B9D" w:rsidRDefault="00494AE4" w:rsidP="00494AE4">
      <w:pPr>
        <w:pStyle w:val="H1GA"/>
        <w:rPr>
          <w:rtl/>
        </w:rPr>
      </w:pPr>
      <w:r w:rsidRPr="00564B9D">
        <w:rPr>
          <w:rtl/>
        </w:rPr>
        <w:tab/>
      </w:r>
      <w:bookmarkStart w:id="385" w:name="_Toc123044198"/>
      <w:bookmarkStart w:id="386" w:name="_Toc123044421"/>
      <w:bookmarkStart w:id="387" w:name="_Toc123044683"/>
      <w:bookmarkStart w:id="388" w:name="_Toc123044945"/>
      <w:r w:rsidRPr="00564B9D">
        <w:rPr>
          <w:rtl/>
        </w:rPr>
        <w:t>ألف-</w:t>
      </w:r>
      <w:r w:rsidRPr="00564B9D">
        <w:rPr>
          <w:rtl/>
        </w:rPr>
        <w:tab/>
        <w:t>الخصائص الديمغرافية والاقتصادية والاجتماعية والثقافية</w:t>
      </w:r>
      <w:bookmarkEnd w:id="385"/>
      <w:bookmarkEnd w:id="386"/>
      <w:bookmarkEnd w:id="387"/>
      <w:bookmarkEnd w:id="388"/>
    </w:p>
    <w:tbl>
      <w:tblPr>
        <w:bidiVisual/>
        <w:tblW w:w="8392" w:type="dxa"/>
        <w:tblInd w:w="1247" w:type="dxa"/>
        <w:tblLayout w:type="fixed"/>
        <w:tblCellMar>
          <w:right w:w="113" w:type="dxa"/>
        </w:tblCellMar>
        <w:tblLook w:val="01E0" w:firstRow="1" w:lastRow="1" w:firstColumn="1" w:lastColumn="1" w:noHBand="0" w:noVBand="0"/>
      </w:tblPr>
      <w:tblGrid>
        <w:gridCol w:w="4571"/>
        <w:gridCol w:w="3821"/>
      </w:tblGrid>
      <w:tr w:rsidR="007B5A24" w:rsidRPr="00564B9D" w14:paraId="4AB8BD0D" w14:textId="77777777" w:rsidTr="00804944">
        <w:trPr>
          <w:trHeight w:val="240"/>
          <w:tblHeader/>
        </w:trPr>
        <w:tc>
          <w:tcPr>
            <w:tcW w:w="7539" w:type="dxa"/>
            <w:gridSpan w:val="2"/>
            <w:tcBorders>
              <w:top w:val="single" w:sz="4" w:space="0" w:color="auto"/>
              <w:bottom w:val="single" w:sz="12" w:space="0" w:color="auto"/>
            </w:tcBorders>
            <w:shd w:val="clear" w:color="auto" w:fill="auto"/>
            <w:vAlign w:val="bottom"/>
          </w:tcPr>
          <w:p w14:paraId="3B446A8F"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الديمغرافية</w:t>
            </w:r>
          </w:p>
        </w:tc>
      </w:tr>
      <w:tr w:rsidR="007B5A24" w:rsidRPr="00564B9D" w14:paraId="423FBA13" w14:textId="77777777" w:rsidTr="00804944">
        <w:trPr>
          <w:trHeight w:val="240"/>
        </w:trPr>
        <w:tc>
          <w:tcPr>
            <w:tcW w:w="4106" w:type="dxa"/>
            <w:tcBorders>
              <w:top w:val="single" w:sz="12" w:space="0" w:color="auto"/>
            </w:tcBorders>
            <w:shd w:val="clear" w:color="auto" w:fill="auto"/>
          </w:tcPr>
          <w:p w14:paraId="2C3972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3433" w:type="dxa"/>
            <w:tcBorders>
              <w:top w:val="single" w:sz="12" w:space="0" w:color="auto"/>
            </w:tcBorders>
            <w:shd w:val="clear" w:color="auto" w:fill="auto"/>
          </w:tcPr>
          <w:p w14:paraId="32D8CD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800</w:t>
            </w:r>
            <w:r w:rsidRPr="00564B9D">
              <w:rPr>
                <w:sz w:val="20"/>
                <w:szCs w:val="20"/>
                <w:rtl/>
              </w:rPr>
              <w:t> </w:t>
            </w:r>
            <w:r w:rsidRPr="00564B9D">
              <w:rPr>
                <w:rFonts w:hint="cs"/>
                <w:sz w:val="20"/>
                <w:szCs w:val="20"/>
                <w:rtl/>
              </w:rPr>
              <w:t>32 (2017)</w:t>
            </w:r>
          </w:p>
        </w:tc>
      </w:tr>
      <w:tr w:rsidR="007B5A24" w:rsidRPr="00564B9D" w14:paraId="2DFD42B7" w14:textId="77777777" w:rsidTr="00804944">
        <w:trPr>
          <w:trHeight w:val="240"/>
        </w:trPr>
        <w:tc>
          <w:tcPr>
            <w:tcW w:w="4106" w:type="dxa"/>
            <w:shd w:val="clear" w:color="auto" w:fill="auto"/>
          </w:tcPr>
          <w:p w14:paraId="21D24DE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3433" w:type="dxa"/>
            <w:shd w:val="clear" w:color="auto" w:fill="auto"/>
          </w:tcPr>
          <w:p w14:paraId="1C02AE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لم تتوفر المعلومات بعد </w:t>
            </w:r>
          </w:p>
        </w:tc>
      </w:tr>
      <w:tr w:rsidR="007B5A24" w:rsidRPr="00564B9D" w14:paraId="0F61037E" w14:textId="77777777" w:rsidTr="00804944">
        <w:trPr>
          <w:trHeight w:val="240"/>
        </w:trPr>
        <w:tc>
          <w:tcPr>
            <w:tcW w:w="4106" w:type="dxa"/>
            <w:shd w:val="clear" w:color="auto" w:fill="auto"/>
          </w:tcPr>
          <w:p w14:paraId="67F53C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3433" w:type="dxa"/>
            <w:shd w:val="clear" w:color="auto" w:fill="auto"/>
          </w:tcPr>
          <w:p w14:paraId="460D82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212,9 (2017)</w:t>
            </w:r>
          </w:p>
        </w:tc>
      </w:tr>
      <w:tr w:rsidR="007B5A24" w:rsidRPr="00564B9D" w14:paraId="219BD341" w14:textId="77777777" w:rsidTr="00804944">
        <w:trPr>
          <w:trHeight w:val="240"/>
        </w:trPr>
        <w:tc>
          <w:tcPr>
            <w:tcW w:w="4106" w:type="dxa"/>
            <w:shd w:val="clear" w:color="auto" w:fill="auto"/>
          </w:tcPr>
          <w:p w14:paraId="17CFB1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3433" w:type="dxa"/>
            <w:shd w:val="clear" w:color="auto" w:fill="auto"/>
          </w:tcPr>
          <w:p w14:paraId="15DEDB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A8EF8AE" w14:textId="77777777" w:rsidTr="00804944">
        <w:trPr>
          <w:trHeight w:val="240"/>
        </w:trPr>
        <w:tc>
          <w:tcPr>
            <w:tcW w:w="4106" w:type="dxa"/>
            <w:shd w:val="clear" w:color="auto" w:fill="auto"/>
          </w:tcPr>
          <w:p w14:paraId="720427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3433" w:type="dxa"/>
            <w:shd w:val="clear" w:color="auto" w:fill="auto"/>
          </w:tcPr>
          <w:p w14:paraId="246A41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2017 (تقديرات):</w:t>
            </w:r>
          </w:p>
          <w:p w14:paraId="1B603D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أتباع الكنيسة الأنجليكانية: 126</w:t>
            </w:r>
            <w:r w:rsidRPr="00564B9D">
              <w:rPr>
                <w:sz w:val="20"/>
                <w:szCs w:val="20"/>
                <w:rtl/>
              </w:rPr>
              <w:t> </w:t>
            </w:r>
            <w:r w:rsidRPr="00564B9D">
              <w:rPr>
                <w:rFonts w:hint="cs"/>
                <w:sz w:val="20"/>
                <w:szCs w:val="20"/>
                <w:rtl/>
              </w:rPr>
              <w:t>3</w:t>
            </w:r>
          </w:p>
          <w:p w14:paraId="5627C57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معمدانيون: 432</w:t>
            </w:r>
            <w:r w:rsidRPr="00564B9D">
              <w:rPr>
                <w:sz w:val="20"/>
                <w:szCs w:val="20"/>
                <w:rtl/>
              </w:rPr>
              <w:t> </w:t>
            </w:r>
            <w:r w:rsidRPr="00564B9D">
              <w:rPr>
                <w:rFonts w:hint="cs"/>
                <w:sz w:val="20"/>
                <w:szCs w:val="20"/>
                <w:rtl/>
              </w:rPr>
              <w:t>2</w:t>
            </w:r>
          </w:p>
          <w:p w14:paraId="4ED01B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بهائيون: 12</w:t>
            </w:r>
          </w:p>
          <w:p w14:paraId="20A90A5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أتباع كنيسة الرب: 406</w:t>
            </w:r>
            <w:r w:rsidRPr="00564B9D">
              <w:rPr>
                <w:sz w:val="20"/>
                <w:szCs w:val="20"/>
                <w:rtl/>
              </w:rPr>
              <w:t> </w:t>
            </w:r>
            <w:r w:rsidRPr="00564B9D">
              <w:rPr>
                <w:rFonts w:hint="cs"/>
                <w:sz w:val="20"/>
                <w:szCs w:val="20"/>
                <w:rtl/>
              </w:rPr>
              <w:t>3</w:t>
            </w:r>
          </w:p>
          <w:p w14:paraId="0FFDC9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أتباع الكنيسة الإنجيلية: 2015</w:t>
            </w:r>
          </w:p>
          <w:p w14:paraId="1628FC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هندوس: 617</w:t>
            </w:r>
          </w:p>
          <w:p w14:paraId="3D6917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شهود يهوه: 810</w:t>
            </w:r>
          </w:p>
          <w:p w14:paraId="03BB2A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أتباع الكنيسة الميثودية: 777</w:t>
            </w:r>
            <w:r w:rsidRPr="00564B9D">
              <w:rPr>
                <w:sz w:val="20"/>
                <w:szCs w:val="20"/>
                <w:rtl/>
              </w:rPr>
              <w:t> </w:t>
            </w:r>
            <w:r w:rsidRPr="00564B9D">
              <w:rPr>
                <w:rFonts w:hint="cs"/>
                <w:sz w:val="20"/>
                <w:szCs w:val="20"/>
                <w:rtl/>
              </w:rPr>
              <w:t>5</w:t>
            </w:r>
          </w:p>
          <w:p w14:paraId="3E522D5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مورافيون: 108</w:t>
            </w:r>
          </w:p>
          <w:p w14:paraId="71A1BE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مسلمون: 311</w:t>
            </w:r>
          </w:p>
          <w:p w14:paraId="650A2D0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أتباع الكنيسة الخمسينية: 680</w:t>
            </w:r>
            <w:r w:rsidRPr="00564B9D">
              <w:rPr>
                <w:sz w:val="20"/>
                <w:szCs w:val="20"/>
                <w:rtl/>
              </w:rPr>
              <w:t> </w:t>
            </w:r>
            <w:r w:rsidRPr="00564B9D">
              <w:rPr>
                <w:rFonts w:hint="cs"/>
                <w:sz w:val="20"/>
                <w:szCs w:val="20"/>
                <w:rtl/>
              </w:rPr>
              <w:t>2</w:t>
            </w:r>
          </w:p>
          <w:p w14:paraId="526D32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أتباع الكنيسة المشيخية: 80</w:t>
            </w:r>
          </w:p>
          <w:p w14:paraId="423E74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راستافاريون: 209</w:t>
            </w:r>
          </w:p>
          <w:p w14:paraId="70F65E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روم كاثوليك: 914</w:t>
            </w:r>
            <w:r w:rsidRPr="00564B9D">
              <w:rPr>
                <w:sz w:val="20"/>
                <w:szCs w:val="20"/>
                <w:rtl/>
              </w:rPr>
              <w:t> </w:t>
            </w:r>
            <w:r w:rsidRPr="00564B9D">
              <w:rPr>
                <w:rFonts w:hint="cs"/>
                <w:sz w:val="20"/>
                <w:szCs w:val="20"/>
                <w:rtl/>
              </w:rPr>
              <w:t>2</w:t>
            </w:r>
          </w:p>
          <w:p w14:paraId="36A391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أتباع الكنيسة السبتية: 950</w:t>
            </w:r>
            <w:r w:rsidRPr="00564B9D">
              <w:rPr>
                <w:sz w:val="20"/>
                <w:szCs w:val="20"/>
                <w:rtl/>
              </w:rPr>
              <w:t> </w:t>
            </w:r>
            <w:r w:rsidRPr="00564B9D">
              <w:rPr>
                <w:rFonts w:hint="cs"/>
                <w:sz w:val="20"/>
                <w:szCs w:val="20"/>
                <w:rtl/>
              </w:rPr>
              <w:t>2</w:t>
            </w:r>
          </w:p>
          <w:p w14:paraId="3C0DA2A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بدون ديانة: 607</w:t>
            </w:r>
            <w:r w:rsidRPr="00564B9D">
              <w:rPr>
                <w:sz w:val="20"/>
                <w:szCs w:val="20"/>
                <w:rtl/>
              </w:rPr>
              <w:t> </w:t>
            </w:r>
            <w:r w:rsidRPr="00564B9D">
              <w:rPr>
                <w:rFonts w:hint="cs"/>
                <w:sz w:val="20"/>
                <w:szCs w:val="20"/>
                <w:rtl/>
              </w:rPr>
              <w:t>2</w:t>
            </w:r>
          </w:p>
          <w:p w14:paraId="722523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دون ديانة معلنة: 799</w:t>
            </w:r>
          </w:p>
          <w:p w14:paraId="15E202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معتنقو ديانات أخرى: 348</w:t>
            </w:r>
            <w:r w:rsidRPr="00564B9D">
              <w:rPr>
                <w:sz w:val="20"/>
                <w:szCs w:val="20"/>
                <w:rtl/>
              </w:rPr>
              <w:t> </w:t>
            </w:r>
            <w:r w:rsidRPr="00564B9D">
              <w:rPr>
                <w:rFonts w:hint="cs"/>
                <w:sz w:val="20"/>
                <w:szCs w:val="20"/>
                <w:rtl/>
              </w:rPr>
              <w:t>1</w:t>
            </w:r>
          </w:p>
        </w:tc>
      </w:tr>
      <w:tr w:rsidR="007B5A24" w:rsidRPr="00564B9D" w14:paraId="01F80180" w14:textId="77777777" w:rsidTr="00804944">
        <w:trPr>
          <w:trHeight w:val="240"/>
        </w:trPr>
        <w:tc>
          <w:tcPr>
            <w:tcW w:w="4106" w:type="dxa"/>
            <w:shd w:val="clear" w:color="auto" w:fill="auto"/>
          </w:tcPr>
          <w:p w14:paraId="79E6E8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توزيع السكان بحسب الفئات الإثنية</w:t>
            </w:r>
          </w:p>
        </w:tc>
        <w:tc>
          <w:tcPr>
            <w:tcW w:w="3433" w:type="dxa"/>
            <w:shd w:val="clear" w:color="auto" w:fill="auto"/>
          </w:tcPr>
          <w:p w14:paraId="2A7826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2017 (تقديرات):</w:t>
            </w:r>
          </w:p>
          <w:p w14:paraId="5E6658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من أصل أفريقي/سود: 014</w:t>
            </w:r>
            <w:r w:rsidRPr="00564B9D">
              <w:rPr>
                <w:sz w:val="20"/>
                <w:szCs w:val="20"/>
                <w:rtl/>
              </w:rPr>
              <w:t> </w:t>
            </w:r>
            <w:r w:rsidRPr="00564B9D">
              <w:rPr>
                <w:rFonts w:hint="cs"/>
                <w:sz w:val="20"/>
                <w:szCs w:val="20"/>
                <w:rtl/>
              </w:rPr>
              <w:t>25</w:t>
            </w:r>
          </w:p>
          <w:p w14:paraId="17619F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كريول: 160</w:t>
            </w:r>
          </w:p>
          <w:p w14:paraId="173F3A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كاريب: 140</w:t>
            </w:r>
          </w:p>
          <w:p w14:paraId="6FAE70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هنود شرقيون: 518</w:t>
            </w:r>
          </w:p>
          <w:p w14:paraId="122673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صينيون:22</w:t>
            </w:r>
          </w:p>
          <w:p w14:paraId="6823DB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من أصل إسباني/لاتيني: 815</w:t>
            </w:r>
            <w:r w:rsidRPr="00564B9D">
              <w:rPr>
                <w:sz w:val="20"/>
                <w:szCs w:val="20"/>
                <w:rtl/>
              </w:rPr>
              <w:t> </w:t>
            </w:r>
            <w:r w:rsidRPr="00564B9D">
              <w:rPr>
                <w:rFonts w:hint="cs"/>
                <w:sz w:val="20"/>
                <w:szCs w:val="20"/>
                <w:rtl/>
              </w:rPr>
              <w:t>1</w:t>
            </w:r>
          </w:p>
          <w:p w14:paraId="42AC54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سوريون: 15</w:t>
            </w:r>
          </w:p>
          <w:p w14:paraId="6828E2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لبنانيون: 51</w:t>
            </w:r>
          </w:p>
          <w:p w14:paraId="038C24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فلبينيون: 240</w:t>
            </w:r>
          </w:p>
          <w:p w14:paraId="326E35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w:t>
            </w:r>
            <w:r w:rsidRPr="00564B9D">
              <w:rPr>
                <w:sz w:val="20"/>
                <w:szCs w:val="20"/>
                <w:rtl/>
              </w:rPr>
              <w:t>-</w:t>
            </w:r>
            <w:r w:rsidRPr="00564B9D">
              <w:rPr>
                <w:rFonts w:hint="cs"/>
                <w:sz w:val="20"/>
                <w:szCs w:val="20"/>
                <w:rtl/>
              </w:rPr>
              <w:t xml:space="preserve"> قوقاز: 767</w:t>
            </w:r>
            <w:r w:rsidRPr="00564B9D">
              <w:rPr>
                <w:sz w:val="20"/>
                <w:szCs w:val="20"/>
                <w:rtl/>
              </w:rPr>
              <w:t> </w:t>
            </w:r>
            <w:r w:rsidRPr="00564B9D">
              <w:rPr>
                <w:rFonts w:hint="cs"/>
                <w:sz w:val="20"/>
                <w:szCs w:val="20"/>
                <w:rtl/>
              </w:rPr>
              <w:t>1</w:t>
            </w:r>
          </w:p>
          <w:p w14:paraId="4913EB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مختلطون: 743</w:t>
            </w:r>
            <w:r w:rsidRPr="00564B9D">
              <w:rPr>
                <w:sz w:val="20"/>
                <w:szCs w:val="20"/>
                <w:rtl/>
              </w:rPr>
              <w:t> </w:t>
            </w:r>
            <w:r w:rsidRPr="00564B9D">
              <w:rPr>
                <w:rFonts w:hint="cs"/>
                <w:sz w:val="20"/>
                <w:szCs w:val="20"/>
                <w:rtl/>
              </w:rPr>
              <w:t>1</w:t>
            </w:r>
          </w:p>
          <w:p w14:paraId="1C31B2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فئات أخرى: 166</w:t>
            </w:r>
          </w:p>
          <w:p w14:paraId="39A174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فئات غير معلنة: 257</w:t>
            </w:r>
          </w:p>
        </w:tc>
      </w:tr>
      <w:tr w:rsidR="007B5A24" w:rsidRPr="00564B9D" w14:paraId="54C587CB" w14:textId="77777777" w:rsidTr="00804944">
        <w:trPr>
          <w:trHeight w:val="657"/>
        </w:trPr>
        <w:tc>
          <w:tcPr>
            <w:tcW w:w="4106" w:type="dxa"/>
            <w:shd w:val="clear" w:color="auto" w:fill="auto"/>
          </w:tcPr>
          <w:p w14:paraId="225E36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التركيب العمري للسكان </w:t>
            </w:r>
          </w:p>
        </w:tc>
        <w:tc>
          <w:tcPr>
            <w:tcW w:w="3433" w:type="dxa"/>
            <w:shd w:val="clear" w:color="auto" w:fill="auto"/>
          </w:tcPr>
          <w:p w14:paraId="13527D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2012 (تقديرات):</w:t>
            </w:r>
          </w:p>
          <w:p w14:paraId="5EAA42F5" w14:textId="77777777" w:rsidR="00494AE4" w:rsidRPr="00564B9D" w:rsidRDefault="00494AE4" w:rsidP="00804944">
            <w:pPr>
              <w:keepNext/>
              <w:keepLines/>
              <w:tabs>
                <w:tab w:val="left" w:pos="851"/>
                <w:tab w:val="left" w:pos="1702"/>
                <w:tab w:val="left" w:pos="2552"/>
              </w:tabs>
              <w:spacing w:before="40" w:after="120" w:line="220" w:lineRule="exact"/>
              <w:ind w:right="113"/>
              <w:rPr>
                <w:szCs w:val="20"/>
                <w:rtl/>
              </w:rPr>
            </w:pPr>
            <w:r w:rsidRPr="00564B9D">
              <w:rPr>
                <w:szCs w:val="20"/>
                <w:rtl/>
              </w:rPr>
              <w:lastRenderedPageBreak/>
              <w:tab/>
            </w:r>
            <w:r w:rsidRPr="00564B9D">
              <w:rPr>
                <w:rFonts w:hint="cs"/>
                <w:szCs w:val="20"/>
                <w:rtl/>
              </w:rPr>
              <w:t>ذكور</w:t>
            </w:r>
            <w:r w:rsidRPr="00564B9D">
              <w:rPr>
                <w:szCs w:val="20"/>
                <w:rtl/>
              </w:rPr>
              <w:tab/>
            </w:r>
            <w:r w:rsidRPr="00564B9D">
              <w:rPr>
                <w:rFonts w:hint="cs"/>
                <w:szCs w:val="20"/>
                <w:rtl/>
              </w:rPr>
              <w:t>إناث</w:t>
            </w:r>
            <w:r w:rsidRPr="00564B9D">
              <w:rPr>
                <w:szCs w:val="20"/>
                <w:rtl/>
              </w:rPr>
              <w:tab/>
            </w:r>
            <w:r w:rsidRPr="00564B9D">
              <w:rPr>
                <w:rFonts w:hint="cs"/>
                <w:szCs w:val="20"/>
                <w:rtl/>
              </w:rPr>
              <w:t>المجموع</w:t>
            </w:r>
          </w:p>
          <w:p w14:paraId="44D7970E"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0-4</w:t>
            </w:r>
            <w:r w:rsidRPr="00564B9D">
              <w:rPr>
                <w:szCs w:val="20"/>
                <w:rtl/>
              </w:rPr>
              <w:tab/>
              <w:t>472 1</w:t>
            </w:r>
            <w:r w:rsidRPr="00564B9D">
              <w:rPr>
                <w:szCs w:val="20"/>
                <w:rtl/>
              </w:rPr>
              <w:tab/>
              <w:t>277 1</w:t>
            </w:r>
            <w:r w:rsidRPr="00564B9D">
              <w:rPr>
                <w:szCs w:val="20"/>
                <w:rtl/>
              </w:rPr>
              <w:tab/>
              <w:t>748 2</w:t>
            </w:r>
          </w:p>
          <w:p w14:paraId="1DCADD10"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5-9</w:t>
            </w:r>
            <w:r w:rsidRPr="00564B9D">
              <w:rPr>
                <w:szCs w:val="20"/>
                <w:rtl/>
              </w:rPr>
              <w:tab/>
              <w:t>392 1</w:t>
            </w:r>
            <w:r w:rsidRPr="00564B9D">
              <w:rPr>
                <w:szCs w:val="20"/>
                <w:rtl/>
              </w:rPr>
              <w:tab/>
              <w:t>298 1</w:t>
            </w:r>
            <w:r w:rsidRPr="00564B9D">
              <w:rPr>
                <w:szCs w:val="20"/>
                <w:rtl/>
              </w:rPr>
              <w:tab/>
              <w:t>690 2</w:t>
            </w:r>
          </w:p>
          <w:p w14:paraId="0A8F74A6"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10-14</w:t>
            </w:r>
            <w:r w:rsidRPr="00564B9D">
              <w:rPr>
                <w:szCs w:val="20"/>
                <w:rtl/>
              </w:rPr>
              <w:tab/>
              <w:t>349 1</w:t>
            </w:r>
            <w:r w:rsidRPr="00564B9D">
              <w:rPr>
                <w:szCs w:val="20"/>
                <w:rtl/>
              </w:rPr>
              <w:tab/>
              <w:t>282 1</w:t>
            </w:r>
            <w:r w:rsidRPr="00564B9D">
              <w:rPr>
                <w:szCs w:val="20"/>
                <w:rtl/>
              </w:rPr>
              <w:tab/>
              <w:t>631 2</w:t>
            </w:r>
          </w:p>
          <w:p w14:paraId="3C7AC2DF"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15-19</w:t>
            </w:r>
            <w:r w:rsidRPr="00564B9D">
              <w:rPr>
                <w:szCs w:val="20"/>
                <w:rtl/>
              </w:rPr>
              <w:tab/>
              <w:t>133 1</w:t>
            </w:r>
            <w:r w:rsidRPr="00564B9D">
              <w:rPr>
                <w:szCs w:val="20"/>
                <w:rtl/>
              </w:rPr>
              <w:tab/>
              <w:t>140 1</w:t>
            </w:r>
            <w:r w:rsidRPr="00564B9D">
              <w:rPr>
                <w:szCs w:val="20"/>
                <w:rtl/>
              </w:rPr>
              <w:tab/>
              <w:t>273 2</w:t>
            </w:r>
          </w:p>
          <w:p w14:paraId="4C92B230"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20-24</w:t>
            </w:r>
            <w:r w:rsidRPr="00564B9D">
              <w:rPr>
                <w:szCs w:val="20"/>
                <w:rtl/>
              </w:rPr>
              <w:tab/>
              <w:t>031 1</w:t>
            </w:r>
            <w:r w:rsidRPr="00564B9D">
              <w:rPr>
                <w:szCs w:val="20"/>
                <w:rtl/>
              </w:rPr>
              <w:tab/>
              <w:t>179 1</w:t>
            </w:r>
            <w:r w:rsidRPr="00564B9D">
              <w:rPr>
                <w:szCs w:val="20"/>
                <w:rtl/>
              </w:rPr>
              <w:tab/>
              <w:t>210 2</w:t>
            </w:r>
          </w:p>
          <w:p w14:paraId="32CAB8B9"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25-29</w:t>
            </w:r>
            <w:r w:rsidRPr="00564B9D">
              <w:rPr>
                <w:szCs w:val="20"/>
                <w:rtl/>
              </w:rPr>
              <w:tab/>
              <w:t>472 1</w:t>
            </w:r>
            <w:r w:rsidRPr="00564B9D">
              <w:rPr>
                <w:szCs w:val="20"/>
                <w:rtl/>
              </w:rPr>
              <w:tab/>
              <w:t>507 1</w:t>
            </w:r>
            <w:r w:rsidRPr="00564B9D">
              <w:rPr>
                <w:szCs w:val="20"/>
                <w:rtl/>
              </w:rPr>
              <w:tab/>
              <w:t>979 2</w:t>
            </w:r>
          </w:p>
          <w:p w14:paraId="261D7085"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30-34</w:t>
            </w:r>
            <w:r w:rsidRPr="00564B9D">
              <w:rPr>
                <w:szCs w:val="20"/>
                <w:rtl/>
              </w:rPr>
              <w:tab/>
              <w:t>523 1</w:t>
            </w:r>
            <w:r w:rsidRPr="00564B9D">
              <w:rPr>
                <w:szCs w:val="20"/>
                <w:rtl/>
              </w:rPr>
              <w:tab/>
              <w:t>738 1</w:t>
            </w:r>
            <w:r w:rsidRPr="00564B9D">
              <w:rPr>
                <w:szCs w:val="20"/>
                <w:rtl/>
              </w:rPr>
              <w:tab/>
              <w:t>260 3</w:t>
            </w:r>
          </w:p>
          <w:p w14:paraId="52725397"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35-39</w:t>
            </w:r>
            <w:r w:rsidRPr="00564B9D">
              <w:rPr>
                <w:szCs w:val="20"/>
                <w:rtl/>
              </w:rPr>
              <w:tab/>
              <w:t>602 1</w:t>
            </w:r>
            <w:r w:rsidRPr="00564B9D">
              <w:rPr>
                <w:szCs w:val="20"/>
                <w:rtl/>
              </w:rPr>
              <w:tab/>
              <w:t>739 1</w:t>
            </w:r>
            <w:r w:rsidRPr="00564B9D">
              <w:rPr>
                <w:szCs w:val="20"/>
                <w:rtl/>
              </w:rPr>
              <w:tab/>
              <w:t>341 3</w:t>
            </w:r>
          </w:p>
          <w:p w14:paraId="06FDA751"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40-44</w:t>
            </w:r>
            <w:r w:rsidRPr="00564B9D">
              <w:rPr>
                <w:szCs w:val="20"/>
                <w:rtl/>
              </w:rPr>
              <w:tab/>
              <w:t>615 1</w:t>
            </w:r>
            <w:r w:rsidRPr="00564B9D">
              <w:rPr>
                <w:szCs w:val="20"/>
                <w:rtl/>
              </w:rPr>
              <w:tab/>
              <w:t>676 1</w:t>
            </w:r>
            <w:r w:rsidRPr="00564B9D">
              <w:rPr>
                <w:szCs w:val="20"/>
                <w:rtl/>
              </w:rPr>
              <w:tab/>
              <w:t>291 3</w:t>
            </w:r>
          </w:p>
          <w:p w14:paraId="4C0891A3"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45-49</w:t>
            </w:r>
            <w:r w:rsidRPr="00564B9D">
              <w:rPr>
                <w:szCs w:val="20"/>
                <w:rtl/>
              </w:rPr>
              <w:tab/>
              <w:t>559 1</w:t>
            </w:r>
            <w:r w:rsidRPr="00564B9D">
              <w:rPr>
                <w:szCs w:val="20"/>
                <w:rtl/>
              </w:rPr>
              <w:tab/>
              <w:t>450 1</w:t>
            </w:r>
            <w:r w:rsidRPr="00564B9D">
              <w:rPr>
                <w:szCs w:val="20"/>
                <w:rtl/>
              </w:rPr>
              <w:tab/>
              <w:t>010 3</w:t>
            </w:r>
          </w:p>
          <w:p w14:paraId="7FC7F16E"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50-5</w:t>
            </w:r>
            <w:r w:rsidRPr="00564B9D">
              <w:rPr>
                <w:szCs w:val="20"/>
                <w:rtl/>
              </w:rPr>
              <w:tab/>
              <w:t>257 1</w:t>
            </w:r>
            <w:r w:rsidRPr="00564B9D">
              <w:rPr>
                <w:szCs w:val="20"/>
                <w:rtl/>
              </w:rPr>
              <w:tab/>
              <w:t>115 1</w:t>
            </w:r>
            <w:r w:rsidRPr="00564B9D">
              <w:rPr>
                <w:szCs w:val="20"/>
                <w:rtl/>
              </w:rPr>
              <w:tab/>
              <w:t>372 2</w:t>
            </w:r>
          </w:p>
          <w:p w14:paraId="3485F349"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55-59</w:t>
            </w:r>
            <w:r w:rsidRPr="00564B9D">
              <w:rPr>
                <w:szCs w:val="20"/>
                <w:rtl/>
              </w:rPr>
              <w:tab/>
              <w:t>889</w:t>
            </w:r>
            <w:r w:rsidRPr="00564B9D">
              <w:rPr>
                <w:szCs w:val="20"/>
                <w:rtl/>
              </w:rPr>
              <w:tab/>
              <w:t>896</w:t>
            </w:r>
            <w:r w:rsidRPr="00564B9D">
              <w:rPr>
                <w:szCs w:val="20"/>
                <w:rtl/>
              </w:rPr>
              <w:tab/>
              <w:t>784 1</w:t>
            </w:r>
          </w:p>
          <w:p w14:paraId="11D307C5"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60-64</w:t>
            </w:r>
            <w:r w:rsidRPr="00564B9D">
              <w:rPr>
                <w:szCs w:val="20"/>
                <w:rtl/>
              </w:rPr>
              <w:tab/>
              <w:t>707</w:t>
            </w:r>
            <w:r w:rsidRPr="00564B9D">
              <w:rPr>
                <w:szCs w:val="20"/>
                <w:rtl/>
              </w:rPr>
              <w:tab/>
              <w:t>617</w:t>
            </w:r>
            <w:r w:rsidRPr="00564B9D">
              <w:rPr>
                <w:szCs w:val="20"/>
                <w:rtl/>
              </w:rPr>
              <w:tab/>
              <w:t>324 1</w:t>
            </w:r>
          </w:p>
          <w:p w14:paraId="67DDD8A5"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65-69</w:t>
            </w:r>
            <w:r w:rsidRPr="00564B9D">
              <w:rPr>
                <w:szCs w:val="20"/>
                <w:rtl/>
              </w:rPr>
              <w:tab/>
              <w:t>457</w:t>
            </w:r>
            <w:r w:rsidRPr="00564B9D">
              <w:rPr>
                <w:szCs w:val="20"/>
                <w:rtl/>
              </w:rPr>
              <w:tab/>
              <w:t>405</w:t>
            </w:r>
            <w:r w:rsidRPr="00564B9D">
              <w:rPr>
                <w:szCs w:val="20"/>
                <w:rtl/>
              </w:rPr>
              <w:tab/>
              <w:t>863</w:t>
            </w:r>
          </w:p>
          <w:p w14:paraId="44CD281A"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70-74</w:t>
            </w:r>
            <w:r w:rsidRPr="00564B9D">
              <w:rPr>
                <w:szCs w:val="20"/>
                <w:rtl/>
              </w:rPr>
              <w:tab/>
              <w:t>267</w:t>
            </w:r>
            <w:r w:rsidRPr="00564B9D">
              <w:rPr>
                <w:szCs w:val="20"/>
                <w:rtl/>
              </w:rPr>
              <w:tab/>
              <w:t>267</w:t>
            </w:r>
            <w:r w:rsidRPr="00564B9D">
              <w:rPr>
                <w:szCs w:val="20"/>
                <w:rtl/>
              </w:rPr>
              <w:tab/>
              <w:t>534</w:t>
            </w:r>
          </w:p>
          <w:p w14:paraId="0D885872"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75-79</w:t>
            </w:r>
            <w:r w:rsidRPr="00564B9D">
              <w:rPr>
                <w:szCs w:val="20"/>
                <w:rtl/>
              </w:rPr>
              <w:tab/>
              <w:t>128</w:t>
            </w:r>
            <w:r w:rsidRPr="00564B9D">
              <w:rPr>
                <w:szCs w:val="20"/>
                <w:rtl/>
              </w:rPr>
              <w:tab/>
              <w:t>167</w:t>
            </w:r>
            <w:r w:rsidRPr="00564B9D">
              <w:rPr>
                <w:szCs w:val="20"/>
                <w:rtl/>
              </w:rPr>
              <w:tab/>
              <w:t>295</w:t>
            </w:r>
          </w:p>
          <w:p w14:paraId="42B5CF93"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80-84</w:t>
            </w:r>
            <w:r w:rsidRPr="00564B9D">
              <w:rPr>
                <w:szCs w:val="20"/>
                <w:rtl/>
              </w:rPr>
              <w:tab/>
              <w:t>119</w:t>
            </w:r>
            <w:r w:rsidRPr="00564B9D">
              <w:rPr>
                <w:szCs w:val="20"/>
                <w:rtl/>
              </w:rPr>
              <w:tab/>
              <w:t>158</w:t>
            </w:r>
            <w:r w:rsidRPr="00564B9D">
              <w:rPr>
                <w:szCs w:val="20"/>
                <w:rtl/>
              </w:rPr>
              <w:tab/>
              <w:t>227</w:t>
            </w:r>
          </w:p>
          <w:p w14:paraId="53E92327"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tl/>
              </w:rPr>
            </w:pPr>
            <w:r w:rsidRPr="00564B9D">
              <w:rPr>
                <w:szCs w:val="20"/>
                <w:rtl/>
              </w:rPr>
              <w:t>85-89</w:t>
            </w:r>
            <w:r w:rsidRPr="00564B9D">
              <w:rPr>
                <w:szCs w:val="20"/>
                <w:rtl/>
              </w:rPr>
              <w:tab/>
            </w:r>
            <w:r w:rsidRPr="00564B9D">
              <w:rPr>
                <w:rFonts w:hint="cs"/>
                <w:szCs w:val="20"/>
                <w:rtl/>
              </w:rPr>
              <w:t>751 5</w:t>
            </w:r>
            <w:r w:rsidRPr="00564B9D">
              <w:rPr>
                <w:szCs w:val="20"/>
                <w:rtl/>
              </w:rPr>
              <w:tab/>
              <w:t>108</w:t>
            </w:r>
          </w:p>
          <w:p w14:paraId="31F66676" w14:textId="77777777" w:rsidR="00494AE4" w:rsidRPr="00564B9D" w:rsidRDefault="00494AE4" w:rsidP="00804944">
            <w:pPr>
              <w:keepNext/>
              <w:keepLines/>
              <w:tabs>
                <w:tab w:val="left" w:pos="851"/>
                <w:tab w:val="right" w:pos="1135"/>
                <w:tab w:val="left" w:pos="1702"/>
                <w:tab w:val="right" w:pos="1844"/>
                <w:tab w:val="left" w:pos="2552"/>
                <w:tab w:val="right" w:pos="2694"/>
              </w:tabs>
              <w:spacing w:before="40" w:after="120" w:line="220" w:lineRule="exact"/>
              <w:ind w:right="113"/>
              <w:rPr>
                <w:szCs w:val="20"/>
              </w:rPr>
            </w:pPr>
            <w:r w:rsidRPr="00564B9D">
              <w:rPr>
                <w:szCs w:val="20"/>
                <w:rtl/>
              </w:rPr>
              <w:t>90+</w:t>
            </w:r>
            <w:r w:rsidRPr="00564B9D">
              <w:rPr>
                <w:szCs w:val="20"/>
                <w:rtl/>
              </w:rPr>
              <w:tab/>
            </w:r>
            <w:r w:rsidRPr="00564B9D">
              <w:rPr>
                <w:rFonts w:hint="cs"/>
                <w:szCs w:val="20"/>
                <w:rtl/>
              </w:rPr>
              <w:t>139 6</w:t>
            </w:r>
            <w:r w:rsidRPr="00564B9D">
              <w:rPr>
                <w:szCs w:val="20"/>
                <w:rtl/>
              </w:rPr>
              <w:tab/>
              <w:t>100</w:t>
            </w:r>
          </w:p>
        </w:tc>
      </w:tr>
      <w:tr w:rsidR="007B5A24" w:rsidRPr="00564B9D" w14:paraId="7EA33CC8" w14:textId="77777777" w:rsidTr="00804944">
        <w:trPr>
          <w:trHeight w:val="240"/>
        </w:trPr>
        <w:tc>
          <w:tcPr>
            <w:tcW w:w="4106" w:type="dxa"/>
            <w:shd w:val="clear" w:color="auto" w:fill="auto"/>
          </w:tcPr>
          <w:p w14:paraId="38F769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نسبة الإعالة - النسبة المئوية من السكان الذين تقل أعمارهم عن 15 سنة </w:t>
            </w:r>
          </w:p>
        </w:tc>
        <w:tc>
          <w:tcPr>
            <w:tcW w:w="3433" w:type="dxa"/>
            <w:shd w:val="clear" w:color="auto" w:fill="auto"/>
          </w:tcPr>
          <w:p w14:paraId="068A31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24,5 </w:t>
            </w:r>
          </w:p>
        </w:tc>
      </w:tr>
      <w:tr w:rsidR="007B5A24" w:rsidRPr="00564B9D" w14:paraId="5879712F" w14:textId="77777777" w:rsidTr="00804944">
        <w:trPr>
          <w:trHeight w:val="240"/>
        </w:trPr>
        <w:tc>
          <w:tcPr>
            <w:tcW w:w="4106" w:type="dxa"/>
            <w:shd w:val="clear" w:color="auto" w:fill="auto"/>
          </w:tcPr>
          <w:p w14:paraId="575FC1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3433" w:type="dxa"/>
            <w:shd w:val="clear" w:color="auto" w:fill="auto"/>
          </w:tcPr>
          <w:p w14:paraId="0F7D64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5,3</w:t>
            </w:r>
          </w:p>
        </w:tc>
      </w:tr>
      <w:tr w:rsidR="007B5A24" w:rsidRPr="00564B9D" w14:paraId="52BF7072" w14:textId="77777777" w:rsidTr="00804944">
        <w:trPr>
          <w:trHeight w:val="240"/>
        </w:trPr>
        <w:tc>
          <w:tcPr>
            <w:tcW w:w="4106" w:type="dxa"/>
            <w:shd w:val="clear" w:color="auto" w:fill="auto"/>
          </w:tcPr>
          <w:p w14:paraId="45F7F9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3433" w:type="dxa"/>
            <w:shd w:val="clear" w:color="auto" w:fill="auto"/>
          </w:tcPr>
          <w:p w14:paraId="552DA2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7,46 (2017) </w:t>
            </w:r>
          </w:p>
        </w:tc>
      </w:tr>
      <w:tr w:rsidR="007B5A24" w:rsidRPr="00564B9D" w14:paraId="69596B18" w14:textId="77777777" w:rsidTr="00804944">
        <w:trPr>
          <w:trHeight w:val="240"/>
        </w:trPr>
        <w:tc>
          <w:tcPr>
            <w:tcW w:w="4106" w:type="dxa"/>
            <w:shd w:val="clear" w:color="auto" w:fill="auto"/>
          </w:tcPr>
          <w:p w14:paraId="1549B9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p>
        </w:tc>
        <w:tc>
          <w:tcPr>
            <w:tcW w:w="3433" w:type="dxa"/>
            <w:shd w:val="clear" w:color="auto" w:fill="auto"/>
          </w:tcPr>
          <w:p w14:paraId="486BC4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20,40 (2017)</w:t>
            </w:r>
          </w:p>
        </w:tc>
      </w:tr>
      <w:tr w:rsidR="007B5A24" w:rsidRPr="00564B9D" w14:paraId="4874E7F7" w14:textId="77777777" w:rsidTr="00804944">
        <w:trPr>
          <w:trHeight w:val="240"/>
        </w:trPr>
        <w:tc>
          <w:tcPr>
            <w:tcW w:w="4106" w:type="dxa"/>
            <w:shd w:val="clear" w:color="auto" w:fill="auto"/>
          </w:tcPr>
          <w:p w14:paraId="266E57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3433" w:type="dxa"/>
            <w:shd w:val="clear" w:color="auto" w:fill="auto"/>
          </w:tcPr>
          <w:p w14:paraId="722D21C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4,72 (2017)</w:t>
            </w:r>
          </w:p>
        </w:tc>
      </w:tr>
      <w:tr w:rsidR="007B5A24" w:rsidRPr="00564B9D" w14:paraId="6368D86C" w14:textId="77777777" w:rsidTr="00804944">
        <w:trPr>
          <w:trHeight w:val="359"/>
        </w:trPr>
        <w:tc>
          <w:tcPr>
            <w:tcW w:w="4106" w:type="dxa"/>
            <w:shd w:val="clear" w:color="auto" w:fill="auto"/>
          </w:tcPr>
          <w:p w14:paraId="47F3DC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3433" w:type="dxa"/>
            <w:shd w:val="clear" w:color="auto" w:fill="auto"/>
          </w:tcPr>
          <w:p w14:paraId="715EF8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77,37 (2017)</w:t>
            </w:r>
          </w:p>
        </w:tc>
      </w:tr>
      <w:tr w:rsidR="007B5A24" w:rsidRPr="00564B9D" w14:paraId="0F1BCB2D" w14:textId="77777777" w:rsidTr="00804944">
        <w:trPr>
          <w:trHeight w:val="250"/>
        </w:trPr>
        <w:tc>
          <w:tcPr>
            <w:tcW w:w="4106" w:type="dxa"/>
            <w:shd w:val="clear" w:color="auto" w:fill="auto"/>
          </w:tcPr>
          <w:p w14:paraId="48438C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ذكور</w:t>
            </w:r>
          </w:p>
        </w:tc>
        <w:tc>
          <w:tcPr>
            <w:tcW w:w="3433" w:type="dxa"/>
            <w:shd w:val="clear" w:color="auto" w:fill="auto"/>
          </w:tcPr>
          <w:p w14:paraId="627073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77,42 (2017)</w:t>
            </w:r>
          </w:p>
        </w:tc>
      </w:tr>
      <w:tr w:rsidR="007B5A24" w:rsidRPr="00564B9D" w14:paraId="6146215F" w14:textId="77777777" w:rsidTr="00804944">
        <w:trPr>
          <w:trHeight w:val="238"/>
        </w:trPr>
        <w:tc>
          <w:tcPr>
            <w:tcW w:w="4106" w:type="dxa"/>
            <w:shd w:val="clear" w:color="auto" w:fill="auto"/>
          </w:tcPr>
          <w:p w14:paraId="384E37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إناث</w:t>
            </w:r>
          </w:p>
        </w:tc>
        <w:tc>
          <w:tcPr>
            <w:tcW w:w="3433" w:type="dxa"/>
            <w:shd w:val="clear" w:color="auto" w:fill="auto"/>
          </w:tcPr>
          <w:p w14:paraId="2BBF344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83,12 (2017)</w:t>
            </w:r>
          </w:p>
        </w:tc>
      </w:tr>
      <w:tr w:rsidR="007B5A24" w:rsidRPr="00564B9D" w14:paraId="792A6AA4" w14:textId="77777777" w:rsidTr="00804944">
        <w:trPr>
          <w:trHeight w:val="240"/>
        </w:trPr>
        <w:tc>
          <w:tcPr>
            <w:tcW w:w="4106" w:type="dxa"/>
            <w:shd w:val="clear" w:color="auto" w:fill="auto"/>
          </w:tcPr>
          <w:p w14:paraId="5A7B2A9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3433" w:type="dxa"/>
            <w:shd w:val="clear" w:color="auto" w:fill="auto"/>
          </w:tcPr>
          <w:p w14:paraId="421D4D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0,86 (2017)</w:t>
            </w:r>
          </w:p>
        </w:tc>
      </w:tr>
      <w:tr w:rsidR="007B5A24" w:rsidRPr="00564B9D" w14:paraId="3089BC24" w14:textId="77777777" w:rsidTr="00804944">
        <w:trPr>
          <w:trHeight w:val="240"/>
        </w:trPr>
        <w:tc>
          <w:tcPr>
            <w:tcW w:w="4106" w:type="dxa"/>
            <w:shd w:val="clear" w:color="auto" w:fill="auto"/>
          </w:tcPr>
          <w:p w14:paraId="6B4A0B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3433" w:type="dxa"/>
            <w:shd w:val="clear" w:color="auto" w:fill="auto"/>
          </w:tcPr>
          <w:p w14:paraId="129D1DB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2,5</w:t>
            </w:r>
          </w:p>
        </w:tc>
      </w:tr>
      <w:tr w:rsidR="007B5A24" w:rsidRPr="00564B9D" w14:paraId="5F1C244B" w14:textId="77777777" w:rsidTr="00804944">
        <w:trPr>
          <w:trHeight w:val="240"/>
        </w:trPr>
        <w:tc>
          <w:tcPr>
            <w:tcW w:w="4106" w:type="dxa"/>
            <w:tcBorders>
              <w:bottom w:val="single" w:sz="12" w:space="0" w:color="auto"/>
            </w:tcBorders>
            <w:shd w:val="clear" w:color="auto" w:fill="auto"/>
          </w:tcPr>
          <w:p w14:paraId="2F036F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3433" w:type="dxa"/>
            <w:tcBorders>
              <w:bottom w:val="single" w:sz="12" w:space="0" w:color="auto"/>
            </w:tcBorders>
            <w:shd w:val="clear" w:color="auto" w:fill="auto"/>
          </w:tcPr>
          <w:p w14:paraId="31DBFA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55A9302E"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723"/>
        <w:gridCol w:w="3669"/>
      </w:tblGrid>
      <w:tr w:rsidR="007B5A24" w:rsidRPr="00564B9D" w14:paraId="5A94BFB6" w14:textId="77777777" w:rsidTr="00804944">
        <w:trPr>
          <w:trHeight w:val="240"/>
          <w:tblHeader/>
        </w:trPr>
        <w:tc>
          <w:tcPr>
            <w:tcW w:w="7345" w:type="dxa"/>
            <w:gridSpan w:val="2"/>
            <w:tcBorders>
              <w:top w:val="single" w:sz="4" w:space="0" w:color="auto"/>
              <w:bottom w:val="single" w:sz="12" w:space="0" w:color="auto"/>
            </w:tcBorders>
            <w:shd w:val="clear" w:color="auto" w:fill="auto"/>
            <w:vAlign w:val="bottom"/>
          </w:tcPr>
          <w:p w14:paraId="56AA33DE"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271C8304" w14:textId="77777777" w:rsidTr="00804944">
        <w:trPr>
          <w:trHeight w:val="240"/>
        </w:trPr>
        <w:tc>
          <w:tcPr>
            <w:tcW w:w="4134" w:type="dxa"/>
            <w:tcBorders>
              <w:top w:val="single" w:sz="12" w:space="0" w:color="auto"/>
            </w:tcBorders>
            <w:shd w:val="clear" w:color="auto" w:fill="auto"/>
          </w:tcPr>
          <w:p w14:paraId="178B90D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r w:rsidRPr="00564B9D">
              <w:rPr>
                <w:sz w:val="20"/>
                <w:szCs w:val="20"/>
                <w:vertAlign w:val="superscript"/>
                <w:rtl/>
              </w:rPr>
              <w:t>(</w:t>
            </w:r>
            <w:r w:rsidRPr="00564B9D">
              <w:rPr>
                <w:rStyle w:val="FootnoteReference"/>
                <w:rFonts w:cs="Simplified Arabic"/>
                <w:b w:val="0"/>
                <w:sz w:val="20"/>
                <w:szCs w:val="20"/>
                <w:rtl/>
                <w:lang w:val="en-US"/>
              </w:rPr>
              <w:footnoteReference w:id="289"/>
            </w:r>
            <w:r w:rsidRPr="00564B9D">
              <w:rPr>
                <w:sz w:val="20"/>
                <w:szCs w:val="20"/>
                <w:vertAlign w:val="superscript"/>
                <w:rtl/>
              </w:rPr>
              <w:t>)</w:t>
            </w:r>
            <w:r w:rsidRPr="00564B9D">
              <w:rPr>
                <w:rFonts w:hint="cs"/>
                <w:sz w:val="20"/>
                <w:szCs w:val="20"/>
                <w:rtl/>
              </w:rPr>
              <w:t xml:space="preserve"> </w:t>
            </w:r>
          </w:p>
        </w:tc>
        <w:tc>
          <w:tcPr>
            <w:tcW w:w="3211" w:type="dxa"/>
            <w:tcBorders>
              <w:top w:val="single" w:sz="12" w:space="0" w:color="auto"/>
            </w:tcBorders>
            <w:shd w:val="clear" w:color="auto" w:fill="auto"/>
          </w:tcPr>
          <w:p w14:paraId="603F8A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الطعام: 14,7 في المائة</w:t>
            </w:r>
          </w:p>
          <w:p w14:paraId="00BAC6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الإسكان: 29,8 في المائة</w:t>
            </w:r>
          </w:p>
          <w:p w14:paraId="184B27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الصحة: 3,2 في المائة</w:t>
            </w:r>
          </w:p>
          <w:p w14:paraId="16466E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التعليم: 2,6 في المائة </w:t>
            </w:r>
          </w:p>
        </w:tc>
      </w:tr>
      <w:tr w:rsidR="007B5A24" w:rsidRPr="00564B9D" w14:paraId="4B8DA56F" w14:textId="77777777" w:rsidTr="00804944">
        <w:trPr>
          <w:trHeight w:val="240"/>
        </w:trPr>
        <w:tc>
          <w:tcPr>
            <w:tcW w:w="4134" w:type="dxa"/>
            <w:shd w:val="clear" w:color="auto" w:fill="auto"/>
          </w:tcPr>
          <w:p w14:paraId="0BDAFA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نسبة السكان الذين يعيشون تحت خط الفقر الوطني</w:t>
            </w:r>
          </w:p>
        </w:tc>
        <w:tc>
          <w:tcPr>
            <w:tcW w:w="3211" w:type="dxa"/>
            <w:shd w:val="clear" w:color="auto" w:fill="auto"/>
          </w:tcPr>
          <w:p w14:paraId="6AD7FB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16 في المائة من السكان (2005)</w:t>
            </w:r>
          </w:p>
          <w:p w14:paraId="7AD800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23 في المائة من الأسر المعيشية (2005)</w:t>
            </w:r>
          </w:p>
        </w:tc>
      </w:tr>
      <w:tr w:rsidR="007B5A24" w:rsidRPr="00564B9D" w14:paraId="4C4F4BD2" w14:textId="77777777" w:rsidTr="00804944">
        <w:trPr>
          <w:trHeight w:val="240"/>
        </w:trPr>
        <w:tc>
          <w:tcPr>
            <w:tcW w:w="4134" w:type="dxa"/>
            <w:shd w:val="clear" w:color="auto" w:fill="auto"/>
          </w:tcPr>
          <w:p w14:paraId="141070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211" w:type="dxa"/>
            <w:shd w:val="clear" w:color="auto" w:fill="auto"/>
          </w:tcPr>
          <w:p w14:paraId="55BCEFF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FA7E295" w14:textId="77777777" w:rsidTr="00804944">
        <w:trPr>
          <w:trHeight w:val="240"/>
        </w:trPr>
        <w:tc>
          <w:tcPr>
            <w:tcW w:w="4134" w:type="dxa"/>
            <w:shd w:val="clear" w:color="auto" w:fill="auto"/>
          </w:tcPr>
          <w:p w14:paraId="191C96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3211" w:type="dxa"/>
            <w:shd w:val="clear" w:color="auto" w:fill="auto"/>
          </w:tcPr>
          <w:p w14:paraId="78D006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2C6268A" w14:textId="77777777" w:rsidTr="00804944">
        <w:trPr>
          <w:trHeight w:val="240"/>
        </w:trPr>
        <w:tc>
          <w:tcPr>
            <w:tcW w:w="4134" w:type="dxa"/>
            <w:shd w:val="clear" w:color="auto" w:fill="auto"/>
          </w:tcPr>
          <w:p w14:paraId="46AC58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3211" w:type="dxa"/>
            <w:shd w:val="clear" w:color="auto" w:fill="auto"/>
          </w:tcPr>
          <w:p w14:paraId="5CCA2A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A263503" w14:textId="77777777" w:rsidTr="00804944">
        <w:trPr>
          <w:trHeight w:val="240"/>
        </w:trPr>
        <w:tc>
          <w:tcPr>
            <w:tcW w:w="4134" w:type="dxa"/>
            <w:shd w:val="clear" w:color="auto" w:fill="auto"/>
          </w:tcPr>
          <w:p w14:paraId="16C1500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3211" w:type="dxa"/>
            <w:shd w:val="clear" w:color="auto" w:fill="auto"/>
          </w:tcPr>
          <w:p w14:paraId="1128ED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وفيات الأمهات: صفر </w:t>
            </w:r>
          </w:p>
        </w:tc>
      </w:tr>
      <w:tr w:rsidR="007B5A24" w:rsidRPr="00564B9D" w14:paraId="3A2AC2EB" w14:textId="77777777" w:rsidTr="00804944">
        <w:trPr>
          <w:trHeight w:val="240"/>
        </w:trPr>
        <w:tc>
          <w:tcPr>
            <w:tcW w:w="4134" w:type="dxa"/>
            <w:shd w:val="clear" w:color="auto" w:fill="auto"/>
          </w:tcPr>
          <w:p w14:paraId="56CCB1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3211" w:type="dxa"/>
            <w:shd w:val="clear" w:color="auto" w:fill="auto"/>
          </w:tcPr>
          <w:p w14:paraId="05C037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5,5 لكل 000</w:t>
            </w:r>
            <w:r w:rsidRPr="00564B9D">
              <w:rPr>
                <w:sz w:val="20"/>
                <w:szCs w:val="20"/>
                <w:rtl/>
              </w:rPr>
              <w:t> </w:t>
            </w:r>
            <w:r w:rsidRPr="00564B9D">
              <w:rPr>
                <w:rFonts w:hint="cs"/>
                <w:sz w:val="20"/>
                <w:szCs w:val="20"/>
                <w:rtl/>
              </w:rPr>
              <w:t>100 امرأة (بيانات القطاع العام فقط)</w:t>
            </w:r>
          </w:p>
        </w:tc>
      </w:tr>
      <w:tr w:rsidR="007B5A24" w:rsidRPr="00564B9D" w14:paraId="641203FE" w14:textId="77777777" w:rsidTr="00804944">
        <w:trPr>
          <w:trHeight w:val="240"/>
        </w:trPr>
        <w:tc>
          <w:tcPr>
            <w:tcW w:w="4134" w:type="dxa"/>
            <w:shd w:val="clear" w:color="auto" w:fill="auto"/>
          </w:tcPr>
          <w:p w14:paraId="1584715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3211" w:type="dxa"/>
            <w:shd w:val="clear" w:color="auto" w:fill="auto"/>
          </w:tcPr>
          <w:p w14:paraId="14FDB4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 (2012)</w:t>
            </w:r>
          </w:p>
        </w:tc>
      </w:tr>
      <w:tr w:rsidR="007B5A24" w:rsidRPr="00564B9D" w14:paraId="791CADE5" w14:textId="77777777" w:rsidTr="00804944">
        <w:trPr>
          <w:trHeight w:val="240"/>
        </w:trPr>
        <w:tc>
          <w:tcPr>
            <w:tcW w:w="4134" w:type="dxa"/>
            <w:shd w:val="clear" w:color="auto" w:fill="auto"/>
          </w:tcPr>
          <w:p w14:paraId="22300D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211" w:type="dxa"/>
            <w:shd w:val="clear" w:color="auto" w:fill="auto"/>
          </w:tcPr>
          <w:p w14:paraId="288A71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2012:</w:t>
            </w:r>
          </w:p>
          <w:p w14:paraId="623053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فيروس نقص المناعة البشرية: 5</w:t>
            </w:r>
          </w:p>
          <w:p w14:paraId="72F78B3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حمى الضنك: 214</w:t>
            </w:r>
          </w:p>
          <w:p w14:paraId="1DA538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السل: صفر</w:t>
            </w:r>
          </w:p>
          <w:p w14:paraId="6670313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ملاريا: صفر</w:t>
            </w:r>
          </w:p>
        </w:tc>
      </w:tr>
      <w:tr w:rsidR="007B5A24" w:rsidRPr="00564B9D" w14:paraId="19F40769" w14:textId="77777777" w:rsidTr="00804944">
        <w:trPr>
          <w:trHeight w:val="240"/>
        </w:trPr>
        <w:tc>
          <w:tcPr>
            <w:tcW w:w="4134" w:type="dxa"/>
            <w:shd w:val="clear" w:color="auto" w:fill="auto"/>
          </w:tcPr>
          <w:p w14:paraId="5C481CC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3211" w:type="dxa"/>
            <w:shd w:val="clear" w:color="auto" w:fill="auto"/>
          </w:tcPr>
          <w:p w14:paraId="55840D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انتشار ارتفاع الضغط</w:t>
            </w:r>
          </w:p>
          <w:p w14:paraId="4618FEF2" w14:textId="043F9690"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12</w:t>
            </w:r>
            <w:r w:rsidR="005023A3" w:rsidRPr="00564B9D">
              <w:rPr>
                <w:rFonts w:hint="cs"/>
                <w:sz w:val="20"/>
                <w:szCs w:val="20"/>
                <w:rtl/>
              </w:rPr>
              <w:t>,</w:t>
            </w:r>
            <w:r w:rsidRPr="00564B9D">
              <w:rPr>
                <w:rFonts w:hint="cs"/>
                <w:sz w:val="20"/>
                <w:szCs w:val="20"/>
                <w:rtl/>
              </w:rPr>
              <w:t>52 لكل 000</w:t>
            </w:r>
            <w:r w:rsidRPr="00564B9D">
              <w:rPr>
                <w:sz w:val="20"/>
                <w:szCs w:val="20"/>
                <w:rtl/>
              </w:rPr>
              <w:t> </w:t>
            </w:r>
            <w:r w:rsidRPr="00564B9D">
              <w:rPr>
                <w:rFonts w:hint="cs"/>
                <w:sz w:val="20"/>
                <w:szCs w:val="20"/>
                <w:rtl/>
              </w:rPr>
              <w:t>100 شخص</w:t>
            </w:r>
          </w:p>
          <w:p w14:paraId="47F95C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انتشار الضغط المرتفع (ذكور)</w:t>
            </w:r>
          </w:p>
          <w:p w14:paraId="4460C133" w14:textId="024C5451"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9</w:t>
            </w:r>
            <w:r w:rsidR="005023A3" w:rsidRPr="00564B9D">
              <w:rPr>
                <w:rFonts w:hint="cs"/>
                <w:sz w:val="20"/>
                <w:szCs w:val="20"/>
                <w:rtl/>
              </w:rPr>
              <w:t>,</w:t>
            </w:r>
            <w:r w:rsidRPr="00564B9D">
              <w:rPr>
                <w:rFonts w:hint="cs"/>
                <w:sz w:val="20"/>
                <w:szCs w:val="20"/>
                <w:rtl/>
              </w:rPr>
              <w:t>89 لكل 000</w:t>
            </w:r>
            <w:r w:rsidRPr="00564B9D">
              <w:rPr>
                <w:sz w:val="20"/>
                <w:szCs w:val="20"/>
                <w:rtl/>
              </w:rPr>
              <w:t> </w:t>
            </w:r>
            <w:r w:rsidRPr="00564B9D">
              <w:rPr>
                <w:rFonts w:hint="cs"/>
                <w:sz w:val="20"/>
                <w:szCs w:val="20"/>
                <w:rtl/>
              </w:rPr>
              <w:t>100 شخص</w:t>
            </w:r>
          </w:p>
          <w:p w14:paraId="4EE0A6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انتشار الضغط المرتفع (إناث)</w:t>
            </w:r>
          </w:p>
          <w:p w14:paraId="1B6FE2E8" w14:textId="2BCEE18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9</w:t>
            </w:r>
            <w:r w:rsidR="005023A3" w:rsidRPr="00564B9D">
              <w:rPr>
                <w:rFonts w:hint="cs"/>
                <w:sz w:val="20"/>
                <w:szCs w:val="20"/>
                <w:rtl/>
              </w:rPr>
              <w:t>,</w:t>
            </w:r>
            <w:r w:rsidRPr="00564B9D">
              <w:rPr>
                <w:rFonts w:hint="cs"/>
                <w:sz w:val="20"/>
                <w:szCs w:val="20"/>
                <w:rtl/>
              </w:rPr>
              <w:t>89 لكل 000</w:t>
            </w:r>
            <w:r w:rsidRPr="00564B9D">
              <w:rPr>
                <w:sz w:val="20"/>
                <w:szCs w:val="20"/>
                <w:rtl/>
              </w:rPr>
              <w:t> </w:t>
            </w:r>
            <w:r w:rsidRPr="00564B9D">
              <w:rPr>
                <w:rFonts w:hint="cs"/>
                <w:sz w:val="20"/>
                <w:szCs w:val="20"/>
                <w:rtl/>
              </w:rPr>
              <w:t>100 شخص</w:t>
            </w:r>
          </w:p>
          <w:p w14:paraId="2E60A2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انتشار داء السكري من النوع الثاني</w:t>
            </w:r>
          </w:p>
          <w:p w14:paraId="4C53F3A9" w14:textId="44B530CD"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w:t>
            </w:r>
            <w:r w:rsidR="005023A3" w:rsidRPr="00564B9D">
              <w:rPr>
                <w:rFonts w:hint="cs"/>
                <w:sz w:val="20"/>
                <w:szCs w:val="20"/>
                <w:rtl/>
              </w:rPr>
              <w:t>,</w:t>
            </w:r>
            <w:r w:rsidRPr="00564B9D">
              <w:rPr>
                <w:rFonts w:hint="cs"/>
                <w:sz w:val="20"/>
                <w:szCs w:val="20"/>
                <w:rtl/>
              </w:rPr>
              <w:t>07 لكل 000</w:t>
            </w:r>
            <w:r w:rsidRPr="00564B9D">
              <w:rPr>
                <w:sz w:val="20"/>
                <w:szCs w:val="20"/>
                <w:rtl/>
              </w:rPr>
              <w:t> </w:t>
            </w:r>
            <w:r w:rsidRPr="00564B9D">
              <w:rPr>
                <w:rFonts w:hint="cs"/>
                <w:sz w:val="20"/>
                <w:szCs w:val="20"/>
                <w:rtl/>
              </w:rPr>
              <w:t>100 شخص</w:t>
            </w:r>
          </w:p>
          <w:p w14:paraId="4BB787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انتشار داء السكري من النوع الثاني (ذكور)</w:t>
            </w:r>
          </w:p>
          <w:p w14:paraId="5ACD129E" w14:textId="234F393B"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w:t>
            </w:r>
            <w:r w:rsidR="005023A3" w:rsidRPr="00564B9D">
              <w:rPr>
                <w:rFonts w:hint="cs"/>
                <w:sz w:val="20"/>
                <w:szCs w:val="20"/>
                <w:rtl/>
              </w:rPr>
              <w:t>,</w:t>
            </w:r>
            <w:r w:rsidRPr="00564B9D">
              <w:rPr>
                <w:rFonts w:hint="cs"/>
                <w:sz w:val="20"/>
                <w:szCs w:val="20"/>
                <w:rtl/>
              </w:rPr>
              <w:t>20 لكل 000</w:t>
            </w:r>
            <w:r w:rsidRPr="00564B9D">
              <w:rPr>
                <w:sz w:val="20"/>
                <w:szCs w:val="20"/>
                <w:rtl/>
              </w:rPr>
              <w:t> </w:t>
            </w:r>
            <w:r w:rsidRPr="00564B9D">
              <w:rPr>
                <w:rFonts w:hint="cs"/>
                <w:sz w:val="20"/>
                <w:szCs w:val="20"/>
                <w:rtl/>
              </w:rPr>
              <w:t>100 شخص</w:t>
            </w:r>
          </w:p>
          <w:p w14:paraId="08502C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انتشار داء السكري من النوع الثاني (إناث)</w:t>
            </w:r>
          </w:p>
          <w:p w14:paraId="06BCF447" w14:textId="653EDB32"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w:t>
            </w:r>
            <w:r w:rsidR="005023A3" w:rsidRPr="00564B9D">
              <w:rPr>
                <w:rFonts w:hint="cs"/>
                <w:sz w:val="20"/>
                <w:szCs w:val="20"/>
                <w:rtl/>
              </w:rPr>
              <w:t>,</w:t>
            </w:r>
            <w:r w:rsidRPr="00564B9D">
              <w:rPr>
                <w:rFonts w:hint="cs"/>
                <w:sz w:val="20"/>
                <w:szCs w:val="20"/>
                <w:rtl/>
              </w:rPr>
              <w:t>93 لكل 000</w:t>
            </w:r>
            <w:r w:rsidRPr="00564B9D">
              <w:rPr>
                <w:sz w:val="20"/>
                <w:szCs w:val="20"/>
                <w:rtl/>
              </w:rPr>
              <w:t> </w:t>
            </w:r>
            <w:r w:rsidRPr="00564B9D">
              <w:rPr>
                <w:rFonts w:hint="cs"/>
                <w:sz w:val="20"/>
                <w:szCs w:val="20"/>
                <w:rtl/>
              </w:rPr>
              <w:t>100 شخص</w:t>
            </w:r>
          </w:p>
        </w:tc>
      </w:tr>
      <w:tr w:rsidR="007B5A24" w:rsidRPr="00564B9D" w14:paraId="61DA8C4F" w14:textId="77777777" w:rsidTr="00804944">
        <w:trPr>
          <w:trHeight w:val="240"/>
        </w:trPr>
        <w:tc>
          <w:tcPr>
            <w:tcW w:w="4134" w:type="dxa"/>
            <w:shd w:val="clear" w:color="auto" w:fill="auto"/>
          </w:tcPr>
          <w:p w14:paraId="41CD02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3211" w:type="dxa"/>
            <w:shd w:val="clear" w:color="auto" w:fill="auto"/>
          </w:tcPr>
          <w:p w14:paraId="70F0C95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القلب</w:t>
            </w:r>
          </w:p>
          <w:p w14:paraId="6068CC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الأورام الخبيثة</w:t>
            </w:r>
          </w:p>
          <w:p w14:paraId="2F857E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ارتفاع ضغط الدم</w:t>
            </w:r>
          </w:p>
          <w:p w14:paraId="2F6456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داء السكري</w:t>
            </w:r>
          </w:p>
          <w:p w14:paraId="37560E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أمراض الرئة</w:t>
            </w:r>
          </w:p>
          <w:p w14:paraId="7B8223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الغرق</w:t>
            </w:r>
          </w:p>
          <w:p w14:paraId="4A861C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الجلطة الدماغية</w:t>
            </w:r>
          </w:p>
          <w:p w14:paraId="160BE8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بسبب العدد السنوي للوفيات، فإن حالات الأعمار من 6 إلى 10 سنوات هي حالات إفرادية بشكل عام.</w:t>
            </w:r>
          </w:p>
        </w:tc>
      </w:tr>
      <w:tr w:rsidR="007B5A24" w:rsidRPr="00564B9D" w14:paraId="701040AC" w14:textId="77777777" w:rsidTr="00804944">
        <w:trPr>
          <w:trHeight w:val="430"/>
        </w:trPr>
        <w:tc>
          <w:tcPr>
            <w:tcW w:w="4134" w:type="dxa"/>
            <w:shd w:val="clear" w:color="auto" w:fill="auto"/>
          </w:tcPr>
          <w:p w14:paraId="1845AC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211" w:type="dxa"/>
            <w:shd w:val="clear" w:color="auto" w:fill="auto"/>
          </w:tcPr>
          <w:p w14:paraId="43F5E4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ابتدائي: 72,5 (2019)</w:t>
            </w:r>
          </w:p>
          <w:p w14:paraId="4B53FC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ثانوي: 63,2 (2019)</w:t>
            </w:r>
          </w:p>
        </w:tc>
      </w:tr>
      <w:tr w:rsidR="007B5A24" w:rsidRPr="00564B9D" w14:paraId="00394D4C" w14:textId="77777777" w:rsidTr="00804944">
        <w:trPr>
          <w:trHeight w:val="484"/>
        </w:trPr>
        <w:tc>
          <w:tcPr>
            <w:tcW w:w="4134" w:type="dxa"/>
            <w:shd w:val="clear" w:color="auto" w:fill="auto"/>
          </w:tcPr>
          <w:p w14:paraId="3A8DF4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3211" w:type="dxa"/>
            <w:shd w:val="clear" w:color="auto" w:fill="auto"/>
          </w:tcPr>
          <w:p w14:paraId="72EBBEF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معدل التسرب (2019):</w:t>
            </w:r>
          </w:p>
          <w:p w14:paraId="590A83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ابتدائي: </w:t>
            </w:r>
            <w:r w:rsidRPr="00564B9D">
              <w:rPr>
                <w:sz w:val="20"/>
                <w:szCs w:val="20"/>
                <w:rtl/>
              </w:rPr>
              <w:t xml:space="preserve">0,01 </w:t>
            </w:r>
            <w:r w:rsidRPr="00564B9D">
              <w:rPr>
                <w:rFonts w:hint="cs"/>
                <w:sz w:val="20"/>
                <w:szCs w:val="20"/>
                <w:rtl/>
              </w:rPr>
              <w:t>في المائة</w:t>
            </w:r>
          </w:p>
          <w:p w14:paraId="035F75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ثانوي: 0,21 في المائة </w:t>
            </w:r>
          </w:p>
        </w:tc>
      </w:tr>
      <w:tr w:rsidR="007B5A24" w:rsidRPr="00564B9D" w14:paraId="7E67FE3D" w14:textId="77777777" w:rsidTr="00804944">
        <w:trPr>
          <w:trHeight w:val="240"/>
        </w:trPr>
        <w:tc>
          <w:tcPr>
            <w:tcW w:w="4134" w:type="dxa"/>
            <w:shd w:val="clear" w:color="auto" w:fill="auto"/>
          </w:tcPr>
          <w:p w14:paraId="3156FDF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نسبة المعلمين إلى الطلاب في المدارس التي تمولها الحكومة</w:t>
            </w:r>
          </w:p>
        </w:tc>
        <w:tc>
          <w:tcPr>
            <w:tcW w:w="3211" w:type="dxa"/>
            <w:shd w:val="clear" w:color="auto" w:fill="auto"/>
          </w:tcPr>
          <w:p w14:paraId="71594CF6" w14:textId="3F73B33B"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ابتدائي: </w:t>
            </w:r>
            <w:r w:rsidR="005023A3" w:rsidRPr="00564B9D">
              <w:rPr>
                <w:rFonts w:hint="cs"/>
                <w:sz w:val="20"/>
                <w:szCs w:val="20"/>
                <w:rtl/>
              </w:rPr>
              <w:t>11</w:t>
            </w:r>
            <w:r w:rsidRPr="00564B9D">
              <w:rPr>
                <w:rFonts w:hint="cs"/>
                <w:sz w:val="20"/>
                <w:szCs w:val="20"/>
                <w:rtl/>
              </w:rPr>
              <w:t>:1 (2019)</w:t>
            </w:r>
          </w:p>
          <w:p w14:paraId="09EA60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ثانوي: 7:1 (2019)</w:t>
            </w:r>
          </w:p>
          <w:p w14:paraId="7F97D2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يرجى ملاحظة أن هذه النسبة ليست متوسط حجم الصف. فهي النسبة بين العدد الإجمالي للمعلمين الموظفين والعدد الإجمالي للطلاب الملتحقين.</w:t>
            </w:r>
          </w:p>
        </w:tc>
      </w:tr>
      <w:tr w:rsidR="007B5A24" w:rsidRPr="00564B9D" w14:paraId="101C8AF5" w14:textId="77777777" w:rsidTr="00804944">
        <w:trPr>
          <w:trHeight w:val="240"/>
        </w:trPr>
        <w:tc>
          <w:tcPr>
            <w:tcW w:w="4134" w:type="dxa"/>
            <w:shd w:val="clear" w:color="auto" w:fill="auto"/>
          </w:tcPr>
          <w:p w14:paraId="769152F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3211" w:type="dxa"/>
            <w:shd w:val="clear" w:color="auto" w:fill="auto"/>
          </w:tcPr>
          <w:p w14:paraId="40296BE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97,7</w:t>
            </w:r>
          </w:p>
        </w:tc>
      </w:tr>
      <w:tr w:rsidR="007B5A24" w:rsidRPr="00564B9D" w14:paraId="219955DE" w14:textId="77777777" w:rsidTr="00804944">
        <w:trPr>
          <w:trHeight w:val="240"/>
        </w:trPr>
        <w:tc>
          <w:tcPr>
            <w:tcW w:w="4134" w:type="dxa"/>
            <w:shd w:val="clear" w:color="auto" w:fill="auto"/>
          </w:tcPr>
          <w:p w14:paraId="320B81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3211" w:type="dxa"/>
            <w:shd w:val="clear" w:color="auto" w:fill="auto"/>
          </w:tcPr>
          <w:p w14:paraId="7E83CE9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3,1</w:t>
            </w:r>
          </w:p>
        </w:tc>
      </w:tr>
      <w:tr w:rsidR="007B5A24" w:rsidRPr="00564B9D" w14:paraId="1B266949" w14:textId="77777777" w:rsidTr="00804944">
        <w:trPr>
          <w:trHeight w:val="240"/>
        </w:trPr>
        <w:tc>
          <w:tcPr>
            <w:tcW w:w="4134" w:type="dxa"/>
            <w:shd w:val="clear" w:color="auto" w:fill="auto"/>
          </w:tcPr>
          <w:p w14:paraId="127FE5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3211" w:type="dxa"/>
            <w:shd w:val="clear" w:color="auto" w:fill="auto"/>
          </w:tcPr>
          <w:p w14:paraId="4F90DD1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2015:</w:t>
            </w:r>
          </w:p>
          <w:p w14:paraId="037E7D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الزراعة والصيد والحراجة: 214</w:t>
            </w:r>
          </w:p>
          <w:p w14:paraId="2690DA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صيد الأسماك: 42</w:t>
            </w:r>
          </w:p>
          <w:p w14:paraId="1E1A6A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التعدين واستغلال المحاجر: 13</w:t>
            </w:r>
          </w:p>
          <w:p w14:paraId="766E54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التصنيع: 517</w:t>
            </w:r>
          </w:p>
          <w:p w14:paraId="01A455B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الكهرباء والغاز والمياه: 0</w:t>
            </w:r>
          </w:p>
          <w:p w14:paraId="1878A47F" w14:textId="728E25BF"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البناء: </w:t>
            </w:r>
            <w:r w:rsidR="00644D0F" w:rsidRPr="00564B9D">
              <w:rPr>
                <w:rFonts w:hint="cs"/>
                <w:sz w:val="20"/>
                <w:szCs w:val="20"/>
                <w:rtl/>
              </w:rPr>
              <w:t>860 1</w:t>
            </w:r>
          </w:p>
          <w:p w14:paraId="674B6843" w14:textId="47D2DE13"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تجارة الجملة والتجزئة: 468</w:t>
            </w:r>
            <w:r w:rsidR="00644D0F" w:rsidRPr="00564B9D">
              <w:rPr>
                <w:rFonts w:hint="cs"/>
                <w:sz w:val="20"/>
                <w:szCs w:val="20"/>
                <w:rtl/>
              </w:rPr>
              <w:t xml:space="preserve"> 2</w:t>
            </w:r>
          </w:p>
          <w:p w14:paraId="52EBCC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الفنادق والمطاعم: </w:t>
            </w:r>
            <w:r w:rsidRPr="00564B9D">
              <w:rPr>
                <w:rFonts w:hint="cs"/>
                <w:sz w:val="20"/>
                <w:szCs w:val="20"/>
                <w:rtl/>
              </w:rPr>
              <w:t>297 3</w:t>
            </w:r>
          </w:p>
          <w:p w14:paraId="3B174A5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النقل والمواصلات: 823</w:t>
            </w:r>
          </w:p>
          <w:p w14:paraId="078C72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الوساطة المالية: 413</w:t>
            </w:r>
          </w:p>
          <w:p w14:paraId="0CC53CD1" w14:textId="2EB7B41B" w:rsidR="00494AE4" w:rsidRPr="00564B9D" w:rsidRDefault="00644D0F" w:rsidP="00644D0F">
            <w:pPr>
              <w:pStyle w:val="SingleTxtGA"/>
              <w:tabs>
                <w:tab w:val="clear" w:pos="1928"/>
                <w:tab w:val="clear" w:pos="2608"/>
                <w:tab w:val="clear" w:pos="3289"/>
                <w:tab w:val="clear" w:pos="3969"/>
                <w:tab w:val="clear" w:pos="4649"/>
                <w:tab w:val="clear" w:pos="5330"/>
              </w:tabs>
              <w:spacing w:before="40" w:after="40" w:line="280" w:lineRule="exact"/>
              <w:ind w:left="0" w:right="0"/>
              <w:rPr>
                <w:spacing w:val="-2"/>
                <w:sz w:val="20"/>
                <w:szCs w:val="20"/>
                <w:rtl/>
              </w:rPr>
            </w:pPr>
            <w:r w:rsidRPr="00564B9D">
              <w:rPr>
                <w:rFonts w:hint="cs"/>
                <w:spacing w:val="-2"/>
                <w:sz w:val="20"/>
                <w:szCs w:val="20"/>
                <w:rtl/>
              </w:rPr>
              <w:t xml:space="preserve">الأنشطة </w:t>
            </w:r>
            <w:r w:rsidR="00306540" w:rsidRPr="00564B9D">
              <w:rPr>
                <w:rFonts w:hint="cs"/>
                <w:spacing w:val="-2"/>
                <w:sz w:val="20"/>
                <w:szCs w:val="20"/>
                <w:rtl/>
              </w:rPr>
              <w:t xml:space="preserve">المتعلقة بالعقارات </w:t>
            </w:r>
            <w:r w:rsidR="00494AE4" w:rsidRPr="00564B9D">
              <w:rPr>
                <w:spacing w:val="-2"/>
                <w:sz w:val="20"/>
                <w:szCs w:val="20"/>
                <w:rtl/>
              </w:rPr>
              <w:t xml:space="preserve">والإيجارات والأعمال: </w:t>
            </w:r>
            <w:r w:rsidR="00494AE4" w:rsidRPr="00564B9D">
              <w:rPr>
                <w:rFonts w:hint="cs"/>
                <w:spacing w:val="-2"/>
                <w:sz w:val="20"/>
                <w:szCs w:val="20"/>
                <w:rtl/>
              </w:rPr>
              <w:t>212 3</w:t>
            </w:r>
          </w:p>
          <w:p w14:paraId="05BADB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خدمات حكومية: </w:t>
            </w:r>
            <w:r w:rsidRPr="00564B9D">
              <w:rPr>
                <w:rFonts w:hint="cs"/>
                <w:sz w:val="20"/>
                <w:szCs w:val="20"/>
                <w:rtl/>
              </w:rPr>
              <w:t>181 4</w:t>
            </w:r>
          </w:p>
          <w:p w14:paraId="6C78BD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التعليم: 568</w:t>
            </w:r>
          </w:p>
          <w:p w14:paraId="6EFD31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الصحة والعمل الاجتماعي: 818</w:t>
            </w:r>
          </w:p>
          <w:p w14:paraId="025DD5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الخدمات المجتمعية والاجتماعية والشخصية الأخرى: 903</w:t>
            </w:r>
          </w:p>
          <w:p w14:paraId="64C7EA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الأسر المعيشية الخاصة مع العاملين: 348</w:t>
            </w:r>
          </w:p>
          <w:p w14:paraId="647091F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منظمات </w:t>
            </w:r>
            <w:r w:rsidRPr="00564B9D">
              <w:rPr>
                <w:rFonts w:hint="cs"/>
                <w:sz w:val="20"/>
                <w:szCs w:val="20"/>
                <w:rtl/>
              </w:rPr>
              <w:t>و</w:t>
            </w:r>
            <w:r w:rsidRPr="00564B9D">
              <w:rPr>
                <w:sz w:val="20"/>
                <w:szCs w:val="20"/>
                <w:rtl/>
              </w:rPr>
              <w:t>هيئات</w:t>
            </w:r>
            <w:r w:rsidRPr="00564B9D">
              <w:rPr>
                <w:rFonts w:hint="cs"/>
                <w:sz w:val="20"/>
                <w:szCs w:val="20"/>
                <w:rtl/>
              </w:rPr>
              <w:t xml:space="preserve"> من </w:t>
            </w:r>
            <w:r w:rsidRPr="00564B9D">
              <w:rPr>
                <w:sz w:val="20"/>
                <w:szCs w:val="20"/>
                <w:rtl/>
              </w:rPr>
              <w:t>خارج الإقليم: 0</w:t>
            </w:r>
          </w:p>
          <w:p w14:paraId="4D9D00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غير مذكور: 14</w:t>
            </w:r>
          </w:p>
        </w:tc>
      </w:tr>
      <w:tr w:rsidR="007B5A24" w:rsidRPr="00564B9D" w14:paraId="7E6D8552" w14:textId="77777777" w:rsidTr="00804944">
        <w:trPr>
          <w:trHeight w:val="240"/>
        </w:trPr>
        <w:tc>
          <w:tcPr>
            <w:tcW w:w="4134" w:type="dxa"/>
            <w:shd w:val="clear" w:color="auto" w:fill="auto"/>
          </w:tcPr>
          <w:p w14:paraId="2BA1C9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3211" w:type="dxa"/>
            <w:shd w:val="clear" w:color="auto" w:fill="auto"/>
          </w:tcPr>
          <w:p w14:paraId="78BCCF6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86,2 (2010)</w:t>
            </w:r>
          </w:p>
        </w:tc>
      </w:tr>
      <w:tr w:rsidR="007B5A24" w:rsidRPr="00564B9D" w14:paraId="68DF014B" w14:textId="77777777" w:rsidTr="00804944">
        <w:trPr>
          <w:trHeight w:val="240"/>
        </w:trPr>
        <w:tc>
          <w:tcPr>
            <w:tcW w:w="4134" w:type="dxa"/>
            <w:shd w:val="clear" w:color="auto" w:fill="auto"/>
          </w:tcPr>
          <w:p w14:paraId="4AA0920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211" w:type="dxa"/>
            <w:shd w:val="clear" w:color="auto" w:fill="auto"/>
          </w:tcPr>
          <w:p w14:paraId="0D0DE3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ينطبق</w:t>
            </w:r>
          </w:p>
        </w:tc>
      </w:tr>
      <w:tr w:rsidR="007B5A24" w:rsidRPr="00564B9D" w14:paraId="533374C0" w14:textId="77777777" w:rsidTr="00804944">
        <w:trPr>
          <w:trHeight w:val="240"/>
        </w:trPr>
        <w:tc>
          <w:tcPr>
            <w:tcW w:w="4134" w:type="dxa"/>
            <w:shd w:val="clear" w:color="auto" w:fill="auto"/>
          </w:tcPr>
          <w:p w14:paraId="4E41841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3211" w:type="dxa"/>
            <w:shd w:val="clear" w:color="auto" w:fill="auto"/>
          </w:tcPr>
          <w:p w14:paraId="427665FD" w14:textId="58854DB1" w:rsidR="00494AE4" w:rsidRPr="00564B9D" w:rsidRDefault="00644D0F"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808.75 </w:t>
            </w:r>
            <w:r w:rsidR="00494AE4" w:rsidRPr="00564B9D">
              <w:rPr>
                <w:rFonts w:hint="cs"/>
                <w:sz w:val="20"/>
                <w:szCs w:val="20"/>
                <w:rtl/>
              </w:rPr>
              <w:t>36 دولاراً أمريكياً (2018)</w:t>
            </w:r>
          </w:p>
        </w:tc>
      </w:tr>
      <w:tr w:rsidR="007B5A24" w:rsidRPr="00564B9D" w14:paraId="63A4836C" w14:textId="77777777" w:rsidTr="00804944">
        <w:trPr>
          <w:trHeight w:val="240"/>
        </w:trPr>
        <w:tc>
          <w:tcPr>
            <w:tcW w:w="4134" w:type="dxa"/>
            <w:shd w:val="clear" w:color="auto" w:fill="auto"/>
          </w:tcPr>
          <w:p w14:paraId="7812BB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w:t>
            </w:r>
          </w:p>
        </w:tc>
        <w:tc>
          <w:tcPr>
            <w:tcW w:w="3211" w:type="dxa"/>
            <w:shd w:val="clear" w:color="auto" w:fill="auto"/>
          </w:tcPr>
          <w:p w14:paraId="01ACF7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253,9</w:t>
            </w:r>
            <w:r w:rsidRPr="00564B9D">
              <w:rPr>
                <w:sz w:val="20"/>
                <w:szCs w:val="20"/>
                <w:rtl/>
              </w:rPr>
              <w:t> </w:t>
            </w:r>
            <w:r w:rsidRPr="00564B9D">
              <w:rPr>
                <w:rFonts w:hint="cs"/>
                <w:sz w:val="20"/>
                <w:szCs w:val="20"/>
                <w:rtl/>
              </w:rPr>
              <w:t>1 مليون دولار أمريكي (2018)</w:t>
            </w:r>
          </w:p>
        </w:tc>
      </w:tr>
      <w:tr w:rsidR="007B5A24" w:rsidRPr="00564B9D" w14:paraId="4934377F" w14:textId="77777777" w:rsidTr="00804944">
        <w:trPr>
          <w:trHeight w:val="240"/>
        </w:trPr>
        <w:tc>
          <w:tcPr>
            <w:tcW w:w="4134" w:type="dxa"/>
            <w:shd w:val="clear" w:color="auto" w:fill="auto"/>
          </w:tcPr>
          <w:p w14:paraId="3952BF5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3211" w:type="dxa"/>
            <w:shd w:val="clear" w:color="auto" w:fill="auto"/>
          </w:tcPr>
          <w:p w14:paraId="36828B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2,1 في المائة (2019)</w:t>
            </w:r>
          </w:p>
        </w:tc>
      </w:tr>
      <w:tr w:rsidR="007B5A24" w:rsidRPr="00564B9D" w14:paraId="1DC75CF0" w14:textId="77777777" w:rsidTr="00804944">
        <w:trPr>
          <w:trHeight w:val="240"/>
        </w:trPr>
        <w:tc>
          <w:tcPr>
            <w:tcW w:w="4134" w:type="dxa"/>
            <w:shd w:val="clear" w:color="auto" w:fill="auto"/>
          </w:tcPr>
          <w:p w14:paraId="7341D4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w:t>
            </w:r>
          </w:p>
        </w:tc>
        <w:tc>
          <w:tcPr>
            <w:tcW w:w="3211" w:type="dxa"/>
            <w:shd w:val="clear" w:color="auto" w:fill="auto"/>
          </w:tcPr>
          <w:p w14:paraId="3F93A2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283</w:t>
            </w:r>
            <w:r w:rsidRPr="00564B9D">
              <w:rPr>
                <w:sz w:val="20"/>
                <w:szCs w:val="20"/>
                <w:rtl/>
              </w:rPr>
              <w:t> </w:t>
            </w:r>
            <w:r w:rsidRPr="00564B9D">
              <w:rPr>
                <w:rFonts w:hint="cs"/>
                <w:sz w:val="20"/>
                <w:szCs w:val="20"/>
                <w:rtl/>
              </w:rPr>
              <w:t>974 319</w:t>
            </w:r>
            <w:r w:rsidRPr="00564B9D">
              <w:rPr>
                <w:sz w:val="20"/>
                <w:szCs w:val="20"/>
                <w:rtl/>
              </w:rPr>
              <w:t> </w:t>
            </w:r>
            <w:r w:rsidRPr="00564B9D">
              <w:rPr>
                <w:rFonts w:hint="cs"/>
                <w:sz w:val="20"/>
                <w:szCs w:val="20"/>
                <w:rtl/>
              </w:rPr>
              <w:t>1 دولاراً أمريكياً (2018)</w:t>
            </w:r>
          </w:p>
        </w:tc>
      </w:tr>
      <w:tr w:rsidR="007B5A24" w:rsidRPr="00564B9D" w14:paraId="5C1779AA" w14:textId="77777777" w:rsidTr="00804944">
        <w:trPr>
          <w:trHeight w:val="240"/>
        </w:trPr>
        <w:tc>
          <w:tcPr>
            <w:tcW w:w="4134" w:type="dxa"/>
            <w:shd w:val="clear" w:color="auto" w:fill="auto"/>
          </w:tcPr>
          <w:p w14:paraId="044536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p>
        </w:tc>
        <w:tc>
          <w:tcPr>
            <w:tcW w:w="3211" w:type="dxa"/>
            <w:shd w:val="clear" w:color="auto" w:fill="auto"/>
          </w:tcPr>
          <w:p w14:paraId="6E4EB2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3,2 (معدل التضخم)</w:t>
            </w:r>
          </w:p>
        </w:tc>
      </w:tr>
      <w:tr w:rsidR="007B5A24" w:rsidRPr="00564B9D" w14:paraId="62146170" w14:textId="77777777" w:rsidTr="00804944">
        <w:trPr>
          <w:trHeight w:val="240"/>
        </w:trPr>
        <w:tc>
          <w:tcPr>
            <w:tcW w:w="4134" w:type="dxa"/>
            <w:shd w:val="clear" w:color="auto" w:fill="auto"/>
          </w:tcPr>
          <w:p w14:paraId="0BA343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211" w:type="dxa"/>
            <w:shd w:val="clear" w:color="auto" w:fill="auto"/>
          </w:tcPr>
          <w:p w14:paraId="1161700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5,7 مليون دولار أمريكي (2010)</w:t>
            </w:r>
          </w:p>
        </w:tc>
      </w:tr>
      <w:tr w:rsidR="007B5A24" w:rsidRPr="00564B9D" w14:paraId="02AAC104" w14:textId="77777777" w:rsidTr="00804944">
        <w:trPr>
          <w:trHeight w:val="240"/>
        </w:trPr>
        <w:tc>
          <w:tcPr>
            <w:tcW w:w="4134" w:type="dxa"/>
            <w:shd w:val="clear" w:color="auto" w:fill="auto"/>
          </w:tcPr>
          <w:p w14:paraId="42EAE0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3211" w:type="dxa"/>
            <w:shd w:val="clear" w:color="auto" w:fill="auto"/>
          </w:tcPr>
          <w:p w14:paraId="47BEED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151,8 في المائة</w:t>
            </w:r>
          </w:p>
        </w:tc>
      </w:tr>
      <w:tr w:rsidR="007B5A24" w:rsidRPr="00564B9D" w14:paraId="50809179" w14:textId="77777777" w:rsidTr="00804944">
        <w:trPr>
          <w:trHeight w:val="240"/>
        </w:trPr>
        <w:tc>
          <w:tcPr>
            <w:tcW w:w="4134" w:type="dxa"/>
            <w:tcBorders>
              <w:bottom w:val="single" w:sz="12" w:space="0" w:color="auto"/>
            </w:tcBorders>
            <w:shd w:val="clear" w:color="auto" w:fill="auto"/>
          </w:tcPr>
          <w:p w14:paraId="6BBB64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3211" w:type="dxa"/>
            <w:tcBorders>
              <w:bottom w:val="single" w:sz="12" w:space="0" w:color="auto"/>
            </w:tcBorders>
            <w:shd w:val="clear" w:color="auto" w:fill="auto"/>
          </w:tcPr>
          <w:p w14:paraId="0F126A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6F59A738"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737"/>
        <w:gridCol w:w="3655"/>
      </w:tblGrid>
      <w:tr w:rsidR="007B5A24" w:rsidRPr="00564B9D" w14:paraId="5546016A" w14:textId="77777777" w:rsidTr="00804944">
        <w:trPr>
          <w:trHeight w:val="240"/>
          <w:tblHeader/>
        </w:trPr>
        <w:tc>
          <w:tcPr>
            <w:tcW w:w="7373" w:type="dxa"/>
            <w:gridSpan w:val="2"/>
            <w:tcBorders>
              <w:top w:val="single" w:sz="4" w:space="0" w:color="auto"/>
              <w:bottom w:val="single" w:sz="12" w:space="0" w:color="auto"/>
            </w:tcBorders>
            <w:shd w:val="clear" w:color="auto" w:fill="auto"/>
            <w:vAlign w:val="bottom"/>
          </w:tcPr>
          <w:p w14:paraId="5D710E7F"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lastRenderedPageBreak/>
              <w:t xml:space="preserve">المؤشرات المتعلقة بالنظام السياسي </w:t>
            </w:r>
          </w:p>
        </w:tc>
      </w:tr>
      <w:tr w:rsidR="007B5A24" w:rsidRPr="00564B9D" w14:paraId="64E3DD1B" w14:textId="77777777" w:rsidTr="00804944">
        <w:trPr>
          <w:trHeight w:val="240"/>
        </w:trPr>
        <w:tc>
          <w:tcPr>
            <w:tcW w:w="4162" w:type="dxa"/>
            <w:tcBorders>
              <w:top w:val="single" w:sz="12" w:space="0" w:color="auto"/>
            </w:tcBorders>
            <w:shd w:val="clear" w:color="auto" w:fill="auto"/>
          </w:tcPr>
          <w:p w14:paraId="79B133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الأحزاب السياسية المعترف بها على المستوى الوطني</w:t>
            </w:r>
          </w:p>
        </w:tc>
        <w:tc>
          <w:tcPr>
            <w:tcW w:w="3211" w:type="dxa"/>
            <w:tcBorders>
              <w:top w:val="single" w:sz="12" w:space="0" w:color="auto"/>
            </w:tcBorders>
            <w:shd w:val="clear" w:color="auto" w:fill="auto"/>
          </w:tcPr>
          <w:p w14:paraId="1E05F0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w:t>
            </w:r>
          </w:p>
        </w:tc>
      </w:tr>
      <w:tr w:rsidR="007B5A24" w:rsidRPr="00564B9D" w14:paraId="7D884352" w14:textId="77777777" w:rsidTr="00804944">
        <w:trPr>
          <w:trHeight w:val="240"/>
        </w:trPr>
        <w:tc>
          <w:tcPr>
            <w:tcW w:w="4162" w:type="dxa"/>
            <w:shd w:val="clear" w:color="auto" w:fill="auto"/>
          </w:tcPr>
          <w:p w14:paraId="14A6382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المؤهلين للتصويت</w:t>
            </w:r>
          </w:p>
        </w:tc>
        <w:tc>
          <w:tcPr>
            <w:tcW w:w="3211" w:type="dxa"/>
            <w:shd w:val="clear" w:color="auto" w:fill="auto"/>
          </w:tcPr>
          <w:p w14:paraId="47C577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74,9 في المائة (تقديرات عام 2019)</w:t>
            </w:r>
          </w:p>
        </w:tc>
      </w:tr>
      <w:tr w:rsidR="007B5A24" w:rsidRPr="00564B9D" w14:paraId="4B091DBF" w14:textId="77777777" w:rsidTr="00804944">
        <w:trPr>
          <w:trHeight w:val="240"/>
        </w:trPr>
        <w:tc>
          <w:tcPr>
            <w:tcW w:w="4162" w:type="dxa"/>
            <w:shd w:val="clear" w:color="auto" w:fill="auto"/>
          </w:tcPr>
          <w:p w14:paraId="6F8B9E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غير المواطنين المسجلين للتصويت</w:t>
            </w:r>
          </w:p>
        </w:tc>
        <w:tc>
          <w:tcPr>
            <w:tcW w:w="3211" w:type="dxa"/>
            <w:shd w:val="clear" w:color="auto" w:fill="auto"/>
          </w:tcPr>
          <w:p w14:paraId="5A5006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3A352B9" w14:textId="77777777" w:rsidTr="00804944">
        <w:trPr>
          <w:trHeight w:val="240"/>
        </w:trPr>
        <w:tc>
          <w:tcPr>
            <w:tcW w:w="4162" w:type="dxa"/>
            <w:shd w:val="clear" w:color="auto" w:fill="auto"/>
          </w:tcPr>
          <w:p w14:paraId="37C713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المرفوعة بشأن سير الانتخابات المسجلة، حسب نوع المخالفة المدعاة</w:t>
            </w:r>
          </w:p>
        </w:tc>
        <w:tc>
          <w:tcPr>
            <w:tcW w:w="3211" w:type="dxa"/>
            <w:shd w:val="clear" w:color="auto" w:fill="auto"/>
          </w:tcPr>
          <w:p w14:paraId="6B50BE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98707DD" w14:textId="77777777" w:rsidTr="00804944">
        <w:trPr>
          <w:trHeight w:val="240"/>
        </w:trPr>
        <w:tc>
          <w:tcPr>
            <w:tcW w:w="4162" w:type="dxa"/>
            <w:shd w:val="clear" w:color="auto" w:fill="auto"/>
          </w:tcPr>
          <w:p w14:paraId="7BA936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211" w:type="dxa"/>
            <w:shd w:val="clear" w:color="auto" w:fill="auto"/>
          </w:tcPr>
          <w:p w14:paraId="259829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C1DADCC" w14:textId="77777777" w:rsidTr="00804944">
        <w:trPr>
          <w:trHeight w:val="240"/>
        </w:trPr>
        <w:tc>
          <w:tcPr>
            <w:tcW w:w="4162" w:type="dxa"/>
            <w:shd w:val="clear" w:color="auto" w:fill="auto"/>
          </w:tcPr>
          <w:p w14:paraId="2C4583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المنظمات غير الحكومية المعترف بها</w:t>
            </w:r>
          </w:p>
        </w:tc>
        <w:tc>
          <w:tcPr>
            <w:tcW w:w="3211" w:type="dxa"/>
            <w:shd w:val="clear" w:color="auto" w:fill="auto"/>
          </w:tcPr>
          <w:p w14:paraId="01E3D2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11C1481" w14:textId="77777777" w:rsidTr="00804944">
        <w:trPr>
          <w:trHeight w:val="240"/>
        </w:trPr>
        <w:tc>
          <w:tcPr>
            <w:tcW w:w="4162" w:type="dxa"/>
            <w:shd w:val="clear" w:color="auto" w:fill="auto"/>
          </w:tcPr>
          <w:p w14:paraId="39A13D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المقاعد التشريعية بحسب الحزب</w:t>
            </w:r>
          </w:p>
        </w:tc>
        <w:tc>
          <w:tcPr>
            <w:tcW w:w="3211" w:type="dxa"/>
            <w:shd w:val="clear" w:color="auto" w:fill="auto"/>
          </w:tcPr>
          <w:p w14:paraId="79BF93E2" w14:textId="0D026FFF"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الحزب الوطني الديموقراطي: </w:t>
            </w:r>
            <w:r w:rsidR="00644D0F" w:rsidRPr="00564B9D">
              <w:rPr>
                <w:rFonts w:hint="cs"/>
                <w:sz w:val="20"/>
                <w:szCs w:val="20"/>
                <w:rtl/>
              </w:rPr>
              <w:t>4</w:t>
            </w:r>
          </w:p>
          <w:p w14:paraId="459931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حزب جزر فرجن: 9</w:t>
            </w:r>
          </w:p>
        </w:tc>
      </w:tr>
      <w:tr w:rsidR="007B5A24" w:rsidRPr="00564B9D" w14:paraId="095E60D0" w14:textId="77777777" w:rsidTr="00804944">
        <w:trPr>
          <w:trHeight w:val="240"/>
        </w:trPr>
        <w:tc>
          <w:tcPr>
            <w:tcW w:w="4162" w:type="dxa"/>
            <w:shd w:val="clear" w:color="auto" w:fill="auto"/>
          </w:tcPr>
          <w:p w14:paraId="4D4B6B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في البرلمان</w:t>
            </w:r>
          </w:p>
        </w:tc>
        <w:tc>
          <w:tcPr>
            <w:tcW w:w="3211" w:type="dxa"/>
            <w:shd w:val="clear" w:color="auto" w:fill="auto"/>
          </w:tcPr>
          <w:p w14:paraId="616561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23,07 في المائة (مع استثناء رئيس مجلس النواب)</w:t>
            </w:r>
          </w:p>
        </w:tc>
      </w:tr>
      <w:tr w:rsidR="007B5A24" w:rsidRPr="00564B9D" w14:paraId="1009FBB9" w14:textId="77777777" w:rsidTr="00804944">
        <w:trPr>
          <w:trHeight w:val="240"/>
        </w:trPr>
        <w:tc>
          <w:tcPr>
            <w:tcW w:w="4162" w:type="dxa"/>
            <w:shd w:val="clear" w:color="auto" w:fill="auto"/>
          </w:tcPr>
          <w:p w14:paraId="04B4B5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 الانتخابات الوطنية ودون الوطنية التي تجري ضمن الجدول الزمني المنصوص عليه في القانون</w:t>
            </w:r>
          </w:p>
        </w:tc>
        <w:tc>
          <w:tcPr>
            <w:tcW w:w="3211" w:type="dxa"/>
            <w:shd w:val="clear" w:color="auto" w:fill="auto"/>
          </w:tcPr>
          <w:p w14:paraId="23A1C4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4A6B53D" w14:textId="77777777" w:rsidTr="00804944">
        <w:trPr>
          <w:trHeight w:val="240"/>
        </w:trPr>
        <w:tc>
          <w:tcPr>
            <w:tcW w:w="4162" w:type="dxa"/>
            <w:tcBorders>
              <w:bottom w:val="single" w:sz="12" w:space="0" w:color="auto"/>
            </w:tcBorders>
            <w:shd w:val="clear" w:color="auto" w:fill="auto"/>
          </w:tcPr>
          <w:p w14:paraId="6A0AAC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عدد الناخبين الفعليين في الانتخابات الوطنية ودون الوطنية حسب الوحدة الإدارية</w:t>
            </w:r>
          </w:p>
        </w:tc>
        <w:tc>
          <w:tcPr>
            <w:tcW w:w="3211" w:type="dxa"/>
            <w:tcBorders>
              <w:bottom w:val="single" w:sz="12" w:space="0" w:color="auto"/>
            </w:tcBorders>
            <w:shd w:val="clear" w:color="auto" w:fill="auto"/>
          </w:tcPr>
          <w:p w14:paraId="36959C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68,8 في المائة (تقديرات عام 2011) </w:t>
            </w:r>
          </w:p>
        </w:tc>
      </w:tr>
    </w:tbl>
    <w:p w14:paraId="2A83BC74"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744"/>
        <w:gridCol w:w="3648"/>
      </w:tblGrid>
      <w:tr w:rsidR="007B5A24" w:rsidRPr="00564B9D" w14:paraId="56EE7397" w14:textId="77777777" w:rsidTr="00804944">
        <w:trPr>
          <w:trHeight w:val="240"/>
          <w:tblHeader/>
        </w:trPr>
        <w:tc>
          <w:tcPr>
            <w:tcW w:w="7387" w:type="dxa"/>
            <w:gridSpan w:val="2"/>
            <w:tcBorders>
              <w:top w:val="single" w:sz="4" w:space="0" w:color="auto"/>
              <w:bottom w:val="single" w:sz="12" w:space="0" w:color="auto"/>
            </w:tcBorders>
            <w:shd w:val="clear" w:color="auto" w:fill="auto"/>
            <w:vAlign w:val="bottom"/>
          </w:tcPr>
          <w:p w14:paraId="1AE17912"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2E02E530" w14:textId="77777777" w:rsidTr="00804944">
        <w:tblPrEx>
          <w:tblLook w:val="0000" w:firstRow="0" w:lastRow="0" w:firstColumn="0" w:lastColumn="0" w:noHBand="0" w:noVBand="0"/>
        </w:tblPrEx>
        <w:trPr>
          <w:trHeight w:val="240"/>
        </w:trPr>
        <w:tc>
          <w:tcPr>
            <w:tcW w:w="4176" w:type="dxa"/>
            <w:tcBorders>
              <w:top w:val="single" w:sz="12" w:space="0" w:color="auto"/>
            </w:tcBorders>
            <w:shd w:val="clear" w:color="auto" w:fill="auto"/>
          </w:tcPr>
          <w:p w14:paraId="14D54F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000 100 من السكان</w:t>
            </w:r>
          </w:p>
        </w:tc>
        <w:tc>
          <w:tcPr>
            <w:tcW w:w="3211" w:type="dxa"/>
            <w:tcBorders>
              <w:top w:val="single" w:sz="12" w:space="0" w:color="auto"/>
            </w:tcBorders>
            <w:shd w:val="clear" w:color="auto" w:fill="auto"/>
          </w:tcPr>
          <w:p w14:paraId="565FA3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E27CFA2" w14:textId="77777777" w:rsidTr="00804944">
        <w:tblPrEx>
          <w:tblLook w:val="0000" w:firstRow="0" w:lastRow="0" w:firstColumn="0" w:lastColumn="0" w:noHBand="0" w:noVBand="0"/>
        </w:tblPrEx>
        <w:trPr>
          <w:trHeight w:val="240"/>
        </w:trPr>
        <w:tc>
          <w:tcPr>
            <w:tcW w:w="4176" w:type="dxa"/>
            <w:shd w:val="clear" w:color="auto" w:fill="auto"/>
          </w:tcPr>
          <w:p w14:paraId="401F29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w:t>
            </w:r>
            <w:r w:rsidRPr="00564B9D">
              <w:rPr>
                <w:rFonts w:hint="cs"/>
                <w:sz w:val="20"/>
                <w:szCs w:val="20"/>
                <w:rtl/>
              </w:rPr>
              <w:t>1</w:t>
            </w:r>
            <w:r w:rsidRPr="00564B9D">
              <w:rPr>
                <w:sz w:val="20"/>
                <w:szCs w:val="20"/>
                <w:rtl/>
              </w:rPr>
              <w:t xml:space="preserve"> شخص) الذين تم توقيفهم/تقديمهم إلى القضاء/إدانتهم/إصدار أحكام ضدهم/حبسهم لارتكابهم جرائم عنف أو غير ذلك من الجرائم الخطيرة (مثل القتل والسرقة والاعتداء والإتجار غير المشروع)</w:t>
            </w:r>
          </w:p>
        </w:tc>
        <w:tc>
          <w:tcPr>
            <w:tcW w:w="3211" w:type="dxa"/>
            <w:shd w:val="clear" w:color="auto" w:fill="auto"/>
          </w:tcPr>
          <w:p w14:paraId="069AE1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2020:</w:t>
            </w:r>
          </w:p>
          <w:p w14:paraId="7EB75E4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قتل: 3</w:t>
            </w:r>
          </w:p>
          <w:p w14:paraId="5BA96F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حوادث سيارات قاتلة: 5</w:t>
            </w:r>
          </w:p>
        </w:tc>
      </w:tr>
      <w:tr w:rsidR="007B5A24" w:rsidRPr="00564B9D" w14:paraId="71AF8E67" w14:textId="77777777" w:rsidTr="00804944">
        <w:tblPrEx>
          <w:tblLook w:val="0000" w:firstRow="0" w:lastRow="0" w:firstColumn="0" w:lastColumn="0" w:noHBand="0" w:noVBand="0"/>
        </w:tblPrEx>
        <w:trPr>
          <w:trHeight w:val="240"/>
        </w:trPr>
        <w:tc>
          <w:tcPr>
            <w:tcW w:w="4176" w:type="dxa"/>
            <w:shd w:val="clear" w:color="auto" w:fill="auto"/>
          </w:tcPr>
          <w:p w14:paraId="285521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 xml:space="preserve">(مثل الاغتصاب، وتشويه الأعضاء الجنسية عند الإناث، وجرائم الشرف، والاعتداء بالأحماض). </w:t>
            </w:r>
          </w:p>
        </w:tc>
        <w:tc>
          <w:tcPr>
            <w:tcW w:w="3211" w:type="dxa"/>
            <w:shd w:val="clear" w:color="auto" w:fill="auto"/>
          </w:tcPr>
          <w:p w14:paraId="64F575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عام 2012:</w:t>
            </w:r>
          </w:p>
          <w:p w14:paraId="37A936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اغتصاب: 6</w:t>
            </w:r>
          </w:p>
        </w:tc>
      </w:tr>
      <w:tr w:rsidR="007B5A24" w:rsidRPr="00564B9D" w14:paraId="51E89D04" w14:textId="77777777" w:rsidTr="00804944">
        <w:tblPrEx>
          <w:tblLook w:val="0000" w:firstRow="0" w:lastRow="0" w:firstColumn="0" w:lastColumn="0" w:noHBand="0" w:noVBand="0"/>
        </w:tblPrEx>
        <w:trPr>
          <w:trHeight w:val="240"/>
        </w:trPr>
        <w:tc>
          <w:tcPr>
            <w:tcW w:w="4176" w:type="dxa"/>
            <w:shd w:val="clear" w:color="auto" w:fill="auto"/>
          </w:tcPr>
          <w:p w14:paraId="76F707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3211" w:type="dxa"/>
            <w:shd w:val="clear" w:color="auto" w:fill="auto"/>
          </w:tcPr>
          <w:p w14:paraId="7DE193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94358E3" w14:textId="77777777" w:rsidTr="00804944">
        <w:tblPrEx>
          <w:tblLook w:val="0000" w:firstRow="0" w:lastRow="0" w:firstColumn="0" w:lastColumn="0" w:noHBand="0" w:noVBand="0"/>
        </w:tblPrEx>
        <w:trPr>
          <w:trHeight w:val="240"/>
        </w:trPr>
        <w:tc>
          <w:tcPr>
            <w:tcW w:w="4176" w:type="dxa"/>
            <w:shd w:val="clear" w:color="auto" w:fill="auto"/>
          </w:tcPr>
          <w:p w14:paraId="63DC78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3211" w:type="dxa"/>
            <w:shd w:val="clear" w:color="auto" w:fill="auto"/>
          </w:tcPr>
          <w:p w14:paraId="1BF822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B5D77AD" w14:textId="77777777" w:rsidTr="00804944">
        <w:tblPrEx>
          <w:tblLook w:val="0000" w:firstRow="0" w:lastRow="0" w:firstColumn="0" w:lastColumn="0" w:noHBand="0" w:noVBand="0"/>
        </w:tblPrEx>
        <w:trPr>
          <w:trHeight w:val="240"/>
        </w:trPr>
        <w:tc>
          <w:tcPr>
            <w:tcW w:w="4176" w:type="dxa"/>
            <w:shd w:val="clear" w:color="auto" w:fill="auto"/>
          </w:tcPr>
          <w:p w14:paraId="47B5B5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3211" w:type="dxa"/>
            <w:shd w:val="clear" w:color="auto" w:fill="auto"/>
          </w:tcPr>
          <w:p w14:paraId="2108D8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3B57D2DC" w14:textId="77777777" w:rsidTr="00804944">
        <w:tblPrEx>
          <w:tblLook w:val="0000" w:firstRow="0" w:lastRow="0" w:firstColumn="0" w:lastColumn="0" w:noHBand="0" w:noVBand="0"/>
        </w:tblPrEx>
        <w:trPr>
          <w:trHeight w:val="240"/>
        </w:trPr>
        <w:tc>
          <w:tcPr>
            <w:tcW w:w="4176" w:type="dxa"/>
            <w:shd w:val="clear" w:color="auto" w:fill="auto"/>
          </w:tcPr>
          <w:p w14:paraId="7BC512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290"/>
            </w:r>
            <w:r w:rsidRPr="00564B9D">
              <w:rPr>
                <w:sz w:val="20"/>
                <w:szCs w:val="20"/>
                <w:vertAlign w:val="superscript"/>
                <w:rtl/>
              </w:rPr>
              <w:t>)</w:t>
            </w:r>
            <w:r w:rsidRPr="00564B9D">
              <w:rPr>
                <w:sz w:val="20"/>
                <w:szCs w:val="20"/>
                <w:rtl/>
              </w:rPr>
              <w:t xml:space="preserve"> </w:t>
            </w:r>
          </w:p>
        </w:tc>
        <w:tc>
          <w:tcPr>
            <w:tcW w:w="3211" w:type="dxa"/>
            <w:shd w:val="clear" w:color="auto" w:fill="auto"/>
          </w:tcPr>
          <w:p w14:paraId="5273B0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صفر </w:t>
            </w:r>
          </w:p>
        </w:tc>
      </w:tr>
      <w:tr w:rsidR="007B5A24" w:rsidRPr="00564B9D" w14:paraId="578AF03C" w14:textId="77777777" w:rsidTr="00804944">
        <w:tblPrEx>
          <w:tblLook w:val="0000" w:firstRow="0" w:lastRow="0" w:firstColumn="0" w:lastColumn="0" w:noHBand="0" w:noVBand="0"/>
        </w:tblPrEx>
        <w:trPr>
          <w:trHeight w:val="240"/>
        </w:trPr>
        <w:tc>
          <w:tcPr>
            <w:tcW w:w="4176" w:type="dxa"/>
            <w:shd w:val="clear" w:color="auto" w:fill="auto"/>
          </w:tcPr>
          <w:p w14:paraId="33411C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211" w:type="dxa"/>
            <w:shd w:val="clear" w:color="auto" w:fill="auto"/>
          </w:tcPr>
          <w:p w14:paraId="63ECB8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المحكمة الجزئية: 160</w:t>
            </w:r>
          </w:p>
          <w:p w14:paraId="0B69090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المحكمة العليا: 7</w:t>
            </w:r>
          </w:p>
        </w:tc>
      </w:tr>
      <w:tr w:rsidR="007B5A24" w:rsidRPr="00564B9D" w14:paraId="37C6EFAE" w14:textId="77777777" w:rsidTr="00804944">
        <w:tblPrEx>
          <w:tblLook w:val="0000" w:firstRow="0" w:lastRow="0" w:firstColumn="0" w:lastColumn="0" w:noHBand="0" w:noVBand="0"/>
        </w:tblPrEx>
        <w:trPr>
          <w:trHeight w:val="240"/>
        </w:trPr>
        <w:tc>
          <w:tcPr>
            <w:tcW w:w="4176" w:type="dxa"/>
            <w:shd w:val="clear" w:color="auto" w:fill="auto"/>
          </w:tcPr>
          <w:p w14:paraId="082F00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رجال الشرطة/الأمن لكل 000 </w:t>
            </w:r>
            <w:r w:rsidRPr="00564B9D">
              <w:rPr>
                <w:rFonts w:hint="cs"/>
                <w:sz w:val="20"/>
                <w:szCs w:val="20"/>
                <w:rtl/>
              </w:rPr>
              <w:t>1</w:t>
            </w:r>
            <w:r w:rsidRPr="00564B9D">
              <w:rPr>
                <w:sz w:val="20"/>
                <w:szCs w:val="20"/>
                <w:rtl/>
              </w:rPr>
              <w:t xml:space="preserve"> شخص </w:t>
            </w:r>
          </w:p>
        </w:tc>
        <w:tc>
          <w:tcPr>
            <w:tcW w:w="3211" w:type="dxa"/>
            <w:shd w:val="clear" w:color="auto" w:fill="auto"/>
          </w:tcPr>
          <w:p w14:paraId="0E2836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E973B63" w14:textId="77777777" w:rsidTr="00804944">
        <w:tblPrEx>
          <w:tblLook w:val="0000" w:firstRow="0" w:lastRow="0" w:firstColumn="0" w:lastColumn="0" w:noHBand="0" w:noVBand="0"/>
        </w:tblPrEx>
        <w:trPr>
          <w:trHeight w:val="240"/>
        </w:trPr>
        <w:tc>
          <w:tcPr>
            <w:tcW w:w="4176" w:type="dxa"/>
            <w:shd w:val="clear" w:color="auto" w:fill="auto"/>
          </w:tcPr>
          <w:p w14:paraId="65E5B5B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w:t>
            </w:r>
            <w:r w:rsidRPr="00564B9D">
              <w:rPr>
                <w:rFonts w:hint="cs"/>
                <w:sz w:val="20"/>
                <w:szCs w:val="20"/>
                <w:rtl/>
              </w:rPr>
              <w:t>1</w:t>
            </w:r>
            <w:r w:rsidRPr="00564B9D">
              <w:rPr>
                <w:sz w:val="20"/>
                <w:szCs w:val="20"/>
                <w:rtl/>
              </w:rPr>
              <w:t xml:space="preserve"> شخص</w:t>
            </w:r>
          </w:p>
        </w:tc>
        <w:tc>
          <w:tcPr>
            <w:tcW w:w="3211" w:type="dxa"/>
            <w:shd w:val="clear" w:color="auto" w:fill="auto"/>
          </w:tcPr>
          <w:p w14:paraId="3878D63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المدعون العامون: 0,2</w:t>
            </w:r>
          </w:p>
          <w:p w14:paraId="0EBFDB2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القضاة: 0,1</w:t>
            </w:r>
          </w:p>
          <w:p w14:paraId="7147E7D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قضاة المحاكم الجزئية: 0,1</w:t>
            </w:r>
          </w:p>
        </w:tc>
      </w:tr>
      <w:tr w:rsidR="007B5A24" w:rsidRPr="00564B9D" w14:paraId="2F6303D9" w14:textId="77777777" w:rsidTr="00804944">
        <w:tblPrEx>
          <w:tblLook w:val="0000" w:firstRow="0" w:lastRow="0" w:firstColumn="0" w:lastColumn="0" w:noHBand="0" w:noVBand="0"/>
        </w:tblPrEx>
        <w:trPr>
          <w:trHeight w:val="240"/>
        </w:trPr>
        <w:tc>
          <w:tcPr>
            <w:tcW w:w="4176" w:type="dxa"/>
            <w:shd w:val="clear" w:color="auto" w:fill="auto"/>
          </w:tcPr>
          <w:p w14:paraId="3ACE3C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3211" w:type="dxa"/>
            <w:shd w:val="clear" w:color="auto" w:fill="auto"/>
          </w:tcPr>
          <w:p w14:paraId="14E1A42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D3C8699" w14:textId="77777777" w:rsidTr="00804944">
        <w:tblPrEx>
          <w:tblLook w:val="0000" w:firstRow="0" w:lastRow="0" w:firstColumn="0" w:lastColumn="0" w:noHBand="0" w:noVBand="0"/>
        </w:tblPrEx>
        <w:trPr>
          <w:trHeight w:val="240"/>
        </w:trPr>
        <w:tc>
          <w:tcPr>
            <w:tcW w:w="4176" w:type="dxa"/>
            <w:shd w:val="clear" w:color="auto" w:fill="auto"/>
          </w:tcPr>
          <w:p w14:paraId="04975E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3211" w:type="dxa"/>
            <w:shd w:val="clear" w:color="auto" w:fill="auto"/>
          </w:tcPr>
          <w:p w14:paraId="3E14C0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3DDB60E" w14:textId="77777777" w:rsidTr="00804944">
        <w:tblPrEx>
          <w:tblLook w:val="0000" w:firstRow="0" w:lastRow="0" w:firstColumn="0" w:lastColumn="0" w:noHBand="0" w:noVBand="0"/>
        </w:tblPrEx>
        <w:trPr>
          <w:trHeight w:val="240"/>
        </w:trPr>
        <w:tc>
          <w:tcPr>
            <w:tcW w:w="4176" w:type="dxa"/>
            <w:tcBorders>
              <w:bottom w:val="single" w:sz="12" w:space="0" w:color="auto"/>
            </w:tcBorders>
            <w:shd w:val="clear" w:color="auto" w:fill="auto"/>
          </w:tcPr>
          <w:p w14:paraId="560469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 xml:space="preserve">نسبة الضحايا الذين تم تعويضهم بعد صدور الحكم القضائي، بحسب نوع الجريمة. </w:t>
            </w:r>
          </w:p>
        </w:tc>
        <w:tc>
          <w:tcPr>
            <w:tcW w:w="3211" w:type="dxa"/>
            <w:tcBorders>
              <w:bottom w:val="single" w:sz="12" w:space="0" w:color="auto"/>
            </w:tcBorders>
            <w:shd w:val="clear" w:color="auto" w:fill="auto"/>
          </w:tcPr>
          <w:p w14:paraId="025076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لا ينطبق </w:t>
            </w:r>
          </w:p>
        </w:tc>
      </w:tr>
    </w:tbl>
    <w:p w14:paraId="4B9E1679" w14:textId="77777777" w:rsidR="00494AE4" w:rsidRPr="00564B9D" w:rsidRDefault="00494AE4" w:rsidP="00494AE4">
      <w:pPr>
        <w:pStyle w:val="H1GA"/>
        <w:rPr>
          <w:rtl/>
        </w:rPr>
      </w:pPr>
      <w:r w:rsidRPr="00564B9D">
        <w:rPr>
          <w:rtl/>
        </w:rPr>
        <w:tab/>
      </w:r>
      <w:bookmarkStart w:id="389" w:name="_Toc123044199"/>
      <w:bookmarkStart w:id="390" w:name="_Toc123044422"/>
      <w:bookmarkStart w:id="391" w:name="_Toc123044684"/>
      <w:bookmarkStart w:id="392" w:name="_Toc123044946"/>
      <w:r w:rsidRPr="00564B9D">
        <w:rPr>
          <w:rFonts w:hint="cs"/>
          <w:rtl/>
        </w:rPr>
        <w:t>باء-</w:t>
      </w:r>
      <w:r w:rsidRPr="00564B9D">
        <w:rPr>
          <w:rtl/>
        </w:rPr>
        <w:tab/>
      </w:r>
      <w:r w:rsidRPr="00564B9D">
        <w:rPr>
          <w:rFonts w:hint="cs"/>
          <w:rtl/>
        </w:rPr>
        <w:t>الهيكل الدستوري والسياسي والقانوني</w:t>
      </w:r>
      <w:bookmarkEnd w:id="389"/>
      <w:bookmarkEnd w:id="390"/>
      <w:bookmarkEnd w:id="391"/>
      <w:bookmarkEnd w:id="392"/>
    </w:p>
    <w:p w14:paraId="0AD0F335" w14:textId="77777777" w:rsidR="00494AE4" w:rsidRPr="00564B9D" w:rsidRDefault="00494AE4" w:rsidP="00494AE4">
      <w:pPr>
        <w:pStyle w:val="SingleTxtGA"/>
        <w:rPr>
          <w:rtl/>
        </w:rPr>
      </w:pPr>
      <w:r w:rsidRPr="00564B9D">
        <w:rPr>
          <w:rtl/>
        </w:rPr>
        <w:t>161-</w:t>
      </w:r>
      <w:r w:rsidRPr="00564B9D">
        <w:rPr>
          <w:rtl/>
        </w:rPr>
        <w:tab/>
      </w:r>
      <w:r w:rsidRPr="00564B9D">
        <w:rPr>
          <w:rFonts w:hint="cs"/>
          <w:rtl/>
        </w:rPr>
        <w:t>في عام 2007، وضع دستور جديد في جزر فرجن البريطانية من خلال القانون الدستوري لجزر فرجن لعام 2007</w:t>
      </w:r>
      <w:r w:rsidRPr="00564B9D">
        <w:rPr>
          <w:vertAlign w:val="superscript"/>
          <w:rtl/>
        </w:rPr>
        <w:t>(</w:t>
      </w:r>
      <w:r w:rsidRPr="00564B9D">
        <w:rPr>
          <w:rStyle w:val="FootnoteReference"/>
          <w:rFonts w:cs="Simplified Arabic"/>
          <w:b w:val="0"/>
          <w:sz w:val="22"/>
          <w:szCs w:val="22"/>
          <w:rtl/>
          <w:lang w:val="en-US"/>
        </w:rPr>
        <w:footnoteReference w:id="291"/>
      </w:r>
      <w:r w:rsidRPr="00564B9D">
        <w:rPr>
          <w:vertAlign w:val="superscript"/>
          <w:rtl/>
        </w:rPr>
        <w:t>)</w:t>
      </w:r>
      <w:r w:rsidRPr="00564B9D">
        <w:rPr>
          <w:rFonts w:hint="cs"/>
          <w:rtl/>
        </w:rPr>
        <w:t>.</w:t>
      </w:r>
    </w:p>
    <w:p w14:paraId="0D0EE42A" w14:textId="77777777" w:rsidR="00494AE4" w:rsidRPr="00564B9D" w:rsidRDefault="00494AE4" w:rsidP="00494AE4">
      <w:pPr>
        <w:pStyle w:val="H23GA"/>
        <w:rPr>
          <w:rtl/>
        </w:rPr>
      </w:pPr>
      <w:r w:rsidRPr="00564B9D">
        <w:rPr>
          <w:rtl/>
        </w:rPr>
        <w:tab/>
      </w:r>
      <w:r w:rsidRPr="00564B9D">
        <w:rPr>
          <w:rtl/>
        </w:rPr>
        <w:tab/>
      </w:r>
      <w:r w:rsidRPr="00564B9D">
        <w:rPr>
          <w:rFonts w:hint="cs"/>
          <w:rtl/>
        </w:rPr>
        <w:t>مجلس النواب</w:t>
      </w:r>
      <w:r w:rsidRPr="00564B9D">
        <w:rPr>
          <w:b w:val="0"/>
          <w:bCs w:val="0"/>
          <w:vertAlign w:val="superscript"/>
          <w:rtl/>
        </w:rPr>
        <w:t>(</w:t>
      </w:r>
      <w:r w:rsidRPr="00564B9D">
        <w:rPr>
          <w:rStyle w:val="FootnoteReference"/>
          <w:rFonts w:cs="Simplified Arabic"/>
          <w:bCs w:val="0"/>
          <w:sz w:val="22"/>
          <w:szCs w:val="22"/>
          <w:rtl/>
          <w:lang w:val="en-US"/>
        </w:rPr>
        <w:footnoteReference w:id="292"/>
      </w:r>
      <w:r w:rsidRPr="00564B9D">
        <w:rPr>
          <w:b w:val="0"/>
          <w:bCs w:val="0"/>
          <w:vertAlign w:val="superscript"/>
          <w:rtl/>
        </w:rPr>
        <w:t>)</w:t>
      </w:r>
      <w:r w:rsidRPr="00564B9D">
        <w:rPr>
          <w:rFonts w:hint="cs"/>
          <w:rtl/>
        </w:rPr>
        <w:t xml:space="preserve"> </w:t>
      </w:r>
    </w:p>
    <w:p w14:paraId="0F53E3AC" w14:textId="77777777" w:rsidR="00494AE4" w:rsidRPr="00564B9D" w:rsidRDefault="00494AE4" w:rsidP="00494AE4">
      <w:pPr>
        <w:pStyle w:val="SingleTxtGA"/>
        <w:rPr>
          <w:rtl/>
        </w:rPr>
      </w:pPr>
      <w:r w:rsidRPr="00564B9D">
        <w:rPr>
          <w:rFonts w:hint="cs"/>
          <w:rtl/>
        </w:rPr>
        <w:t>162</w:t>
      </w:r>
      <w:r w:rsidRPr="00564B9D">
        <w:rPr>
          <w:rtl/>
        </w:rPr>
        <w:t>-</w:t>
      </w:r>
      <w:r w:rsidRPr="00564B9D">
        <w:rPr>
          <w:rtl/>
        </w:rPr>
        <w:tab/>
        <w:t>تنتخب جزر فرجن الهيئة التشريعية على مستوى الإقليم</w:t>
      </w:r>
      <w:r w:rsidRPr="00564B9D">
        <w:rPr>
          <w:rFonts w:hint="cs"/>
          <w:rtl/>
        </w:rPr>
        <w:t>. ويتألف مجلس النواب (المجلس التشريعي سابقاً) من 15 عضواً، يُنتخب منهم 13 عضواً لولاية مدتها أربع سنوات، تسعة من بينهم ينتخبون في دوائر انتخابية ذات مقعد واحد و4 أعضاء غير مرتبطين بدوائر معينة، وعضو واحد يُعين بحكم منصبه ورئيس واحد يتم اختياره من خارج المجلس.</w:t>
      </w:r>
    </w:p>
    <w:p w14:paraId="2051EABE"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r w:rsidRPr="00564B9D">
        <w:rPr>
          <w:b w:val="0"/>
          <w:bCs w:val="0"/>
          <w:vertAlign w:val="superscript"/>
          <w:rtl/>
        </w:rPr>
        <w:t>(</w:t>
      </w:r>
      <w:r w:rsidRPr="00564B9D">
        <w:rPr>
          <w:rStyle w:val="FootnoteReference"/>
          <w:rFonts w:cs="Simplified Arabic"/>
          <w:bCs w:val="0"/>
          <w:sz w:val="22"/>
          <w:szCs w:val="22"/>
          <w:rtl/>
          <w:lang w:val="en-US"/>
        </w:rPr>
        <w:footnoteReference w:id="293"/>
      </w:r>
      <w:r w:rsidRPr="00564B9D">
        <w:rPr>
          <w:b w:val="0"/>
          <w:bCs w:val="0"/>
          <w:vertAlign w:val="superscript"/>
          <w:rtl/>
        </w:rPr>
        <w:t>)</w:t>
      </w:r>
      <w:r w:rsidRPr="00564B9D">
        <w:rPr>
          <w:rFonts w:hint="cs"/>
          <w:rtl/>
        </w:rPr>
        <w:t xml:space="preserve"> </w:t>
      </w:r>
    </w:p>
    <w:p w14:paraId="01A749C7" w14:textId="77777777" w:rsidR="00494AE4" w:rsidRPr="00564B9D" w:rsidRDefault="00494AE4" w:rsidP="00494AE4">
      <w:pPr>
        <w:pStyle w:val="SingleTxtGA"/>
        <w:rPr>
          <w:rtl/>
        </w:rPr>
      </w:pPr>
      <w:r w:rsidRPr="00564B9D">
        <w:rPr>
          <w:rFonts w:hint="cs"/>
          <w:rtl/>
        </w:rPr>
        <w:t>163</w:t>
      </w:r>
      <w:r w:rsidRPr="00564B9D">
        <w:rPr>
          <w:rtl/>
        </w:rPr>
        <w:t>-</w:t>
      </w:r>
      <w:r w:rsidRPr="00564B9D">
        <w:rPr>
          <w:rtl/>
        </w:rPr>
        <w:tab/>
      </w:r>
      <w:r w:rsidRPr="00564B9D">
        <w:rPr>
          <w:rFonts w:hint="cs"/>
          <w:rtl/>
        </w:rPr>
        <w:t>ينص القانون الدستوري لجزر فرجن لعام 2007 على أن يتم تمثيل الشعب بنظام حكم وزراي، برئاسة رئيس وزراء منتخب، ومجلس للوزراء ومجلس للنواب. وجزر فرجن البريطانية هي أحد الأقاليم البريطانية فيما وراء البحار، ويتولى العاهل فيها رئاسة الدولة، ويعتبر الحاكم ممثلاً لصاحب الجلالة.</w:t>
      </w:r>
    </w:p>
    <w:p w14:paraId="09C6071A" w14:textId="77777777" w:rsidR="00494AE4" w:rsidRPr="00564B9D" w:rsidRDefault="00494AE4" w:rsidP="00494AE4">
      <w:pPr>
        <w:pStyle w:val="SingleTxtGA"/>
        <w:rPr>
          <w:rtl/>
        </w:rPr>
      </w:pPr>
      <w:r w:rsidRPr="00564B9D">
        <w:rPr>
          <w:rtl/>
        </w:rPr>
        <w:t>164-</w:t>
      </w:r>
      <w:r w:rsidRPr="00564B9D">
        <w:rPr>
          <w:rtl/>
        </w:rPr>
        <w:tab/>
      </w:r>
      <w:r w:rsidRPr="00564B9D">
        <w:rPr>
          <w:rFonts w:hint="cs"/>
          <w:rtl/>
        </w:rPr>
        <w:t>ومنذ عام 1967، تولّت جزر فرجن البريطانية مسؤولية شؤونها الداخلية. وينشئ الفرع</w:t>
      </w:r>
      <w:r w:rsidRPr="00564B9D">
        <w:rPr>
          <w:rtl/>
        </w:rPr>
        <w:t xml:space="preserve"> 47 (1) من </w:t>
      </w:r>
      <w:r w:rsidRPr="00564B9D">
        <w:rPr>
          <w:rFonts w:hint="cs"/>
          <w:rtl/>
        </w:rPr>
        <w:t>القانون الدستوري لجزر فرجن لعام </w:t>
      </w:r>
      <w:r w:rsidRPr="00564B9D">
        <w:rPr>
          <w:rtl/>
        </w:rPr>
        <w:t>2007 مجلس الوزراء باعتباره المؤسسة المسؤولة عن صياغة السياسات وتوجيه</w:t>
      </w:r>
      <w:r w:rsidRPr="00564B9D">
        <w:rPr>
          <w:rFonts w:hint="cs"/>
          <w:rtl/>
        </w:rPr>
        <w:t>ها</w:t>
      </w:r>
      <w:r w:rsidRPr="00564B9D">
        <w:rPr>
          <w:rtl/>
        </w:rPr>
        <w:t xml:space="preserve"> وتنفيذها، باستثناء المسائل التي تقع على عاتق الحاكم مسؤولية خاصة</w:t>
      </w:r>
      <w:r w:rsidRPr="00564B9D">
        <w:rPr>
          <w:rFonts w:hint="cs"/>
          <w:rtl/>
        </w:rPr>
        <w:t xml:space="preserve"> فيما يتعلق بها</w:t>
      </w:r>
      <w:r w:rsidRPr="00564B9D">
        <w:rPr>
          <w:rtl/>
        </w:rPr>
        <w:t xml:space="preserve"> بموجب </w:t>
      </w:r>
      <w:r w:rsidRPr="00564B9D">
        <w:rPr>
          <w:rFonts w:hint="cs"/>
          <w:rtl/>
        </w:rPr>
        <w:t>الفرع</w:t>
      </w:r>
      <w:r w:rsidRPr="00564B9D">
        <w:rPr>
          <w:rtl/>
        </w:rPr>
        <w:t xml:space="preserve"> 60 وهي الشؤون الخارجية والدفاع والأمن الداخلي والخدمة المدنية وإدارة المحاكم.</w:t>
      </w:r>
    </w:p>
    <w:p w14:paraId="0D0B1F94" w14:textId="77777777" w:rsidR="00494AE4" w:rsidRPr="00564B9D" w:rsidRDefault="00494AE4" w:rsidP="00494AE4">
      <w:pPr>
        <w:pStyle w:val="SingleTxtGA"/>
        <w:rPr>
          <w:rtl/>
        </w:rPr>
      </w:pPr>
      <w:r w:rsidRPr="00564B9D">
        <w:rPr>
          <w:rtl/>
        </w:rPr>
        <w:t>165-</w:t>
      </w:r>
      <w:r w:rsidRPr="00564B9D">
        <w:rPr>
          <w:rtl/>
        </w:rPr>
        <w:tab/>
        <w:t xml:space="preserve">وفقاً </w:t>
      </w:r>
      <w:r w:rsidRPr="00564B9D">
        <w:rPr>
          <w:rFonts w:hint="cs"/>
          <w:rtl/>
        </w:rPr>
        <w:t>للفرع</w:t>
      </w:r>
      <w:r w:rsidRPr="00564B9D">
        <w:rPr>
          <w:rtl/>
        </w:rPr>
        <w:t xml:space="preserve"> 47 (1) من مرسوم دستور جزر من </w:t>
      </w:r>
      <w:r w:rsidRPr="00564B9D">
        <w:rPr>
          <w:rFonts w:hint="cs"/>
          <w:rtl/>
        </w:rPr>
        <w:t xml:space="preserve">القانون الدستوري لجزر </w:t>
      </w:r>
      <w:r w:rsidRPr="00564B9D">
        <w:rPr>
          <w:rtl/>
        </w:rPr>
        <w:t xml:space="preserve">فرجن لعام 2007، يتألف مجلس الوزراء من رئيس الوزراء وأربعة وزراء آخرين وعضو واحد بحكم منصبه، وهو النائب العام. </w:t>
      </w:r>
      <w:r w:rsidRPr="00564B9D">
        <w:rPr>
          <w:rFonts w:hint="cs"/>
          <w:rtl/>
        </w:rPr>
        <w:t>و</w:t>
      </w:r>
      <w:r w:rsidRPr="00564B9D">
        <w:rPr>
          <w:rtl/>
        </w:rPr>
        <w:t>يحضر الحاكم جلسات مجلس الوزراء ويترأسها، وفي حالة غيابه يترأس رئيس الوزراء أو نائبه الاجتماعات.</w:t>
      </w:r>
    </w:p>
    <w:p w14:paraId="7EC73968"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r w:rsidRPr="00564B9D">
        <w:rPr>
          <w:b w:val="0"/>
          <w:bCs w:val="0"/>
          <w:vertAlign w:val="superscript"/>
          <w:rtl/>
        </w:rPr>
        <w:t>(</w:t>
      </w:r>
      <w:r w:rsidRPr="00564B9D">
        <w:rPr>
          <w:rStyle w:val="FootnoteReference"/>
          <w:rFonts w:cs="Simplified Arabic"/>
          <w:bCs w:val="0"/>
          <w:sz w:val="22"/>
          <w:szCs w:val="22"/>
          <w:rtl/>
          <w:lang w:val="en-US"/>
        </w:rPr>
        <w:footnoteReference w:id="294"/>
      </w:r>
      <w:r w:rsidRPr="00564B9D">
        <w:rPr>
          <w:b w:val="0"/>
          <w:bCs w:val="0"/>
          <w:vertAlign w:val="superscript"/>
          <w:rtl/>
        </w:rPr>
        <w:t>)</w:t>
      </w:r>
      <w:r w:rsidRPr="00564B9D">
        <w:rPr>
          <w:rFonts w:hint="cs"/>
          <w:rtl/>
        </w:rPr>
        <w:t xml:space="preserve"> </w:t>
      </w:r>
    </w:p>
    <w:p w14:paraId="3BF23BA9" w14:textId="77777777" w:rsidR="00494AE4" w:rsidRPr="00564B9D" w:rsidRDefault="00494AE4" w:rsidP="00494AE4">
      <w:pPr>
        <w:pStyle w:val="SingleTxtGA"/>
        <w:rPr>
          <w:rtl/>
        </w:rPr>
      </w:pPr>
      <w:r w:rsidRPr="00564B9D">
        <w:rPr>
          <w:rtl/>
        </w:rPr>
        <w:t>166-</w:t>
      </w:r>
      <w:r w:rsidRPr="00564B9D">
        <w:rPr>
          <w:rtl/>
        </w:rPr>
        <w:tab/>
        <w:t xml:space="preserve">يستند </w:t>
      </w:r>
      <w:r w:rsidRPr="00564B9D">
        <w:rPr>
          <w:rFonts w:hint="cs"/>
          <w:rtl/>
        </w:rPr>
        <w:t xml:space="preserve">الجهاز </w:t>
      </w:r>
      <w:r w:rsidRPr="00564B9D">
        <w:rPr>
          <w:rtl/>
        </w:rPr>
        <w:t>القضا</w:t>
      </w:r>
      <w:r w:rsidRPr="00564B9D">
        <w:rPr>
          <w:rFonts w:hint="cs"/>
          <w:rtl/>
        </w:rPr>
        <w:t>ئي</w:t>
      </w:r>
      <w:r w:rsidRPr="00564B9D">
        <w:rPr>
          <w:rtl/>
        </w:rPr>
        <w:t xml:space="preserve"> في جزر فرجن إلى السلطة القضائية في إنكلترا وويلز. </w:t>
      </w:r>
      <w:r w:rsidRPr="00564B9D">
        <w:rPr>
          <w:rFonts w:hint="cs"/>
          <w:rtl/>
        </w:rPr>
        <w:t>و</w:t>
      </w:r>
      <w:r w:rsidRPr="00564B9D">
        <w:rPr>
          <w:rtl/>
        </w:rPr>
        <w:t xml:space="preserve">جزر فيرجن البريطانية هي دولة عضو في المحكمة العليا لشرق الكاريبي. </w:t>
      </w:r>
      <w:r w:rsidRPr="00564B9D">
        <w:rPr>
          <w:rFonts w:hint="cs"/>
          <w:rtl/>
        </w:rPr>
        <w:t>وتنظَّم</w:t>
      </w:r>
      <w:r w:rsidRPr="00564B9D">
        <w:rPr>
          <w:rtl/>
        </w:rPr>
        <w:t xml:space="preserve"> المحاكم على أربعة مستويات، بما في ذلك </w:t>
      </w:r>
      <w:r w:rsidRPr="00564B9D">
        <w:rPr>
          <w:rFonts w:hint="cs"/>
          <w:rtl/>
        </w:rPr>
        <w:t>مستوى</w:t>
      </w:r>
      <w:r w:rsidRPr="00564B9D">
        <w:rPr>
          <w:rtl/>
        </w:rPr>
        <w:t xml:space="preserve"> الاستئناف النهائي </w:t>
      </w:r>
      <w:r w:rsidRPr="00564B9D">
        <w:rPr>
          <w:rFonts w:hint="cs"/>
          <w:rtl/>
        </w:rPr>
        <w:t xml:space="preserve">الذي يقدم </w:t>
      </w:r>
      <w:r w:rsidRPr="00564B9D">
        <w:rPr>
          <w:rtl/>
        </w:rPr>
        <w:t xml:space="preserve">إلى اللجنة القضائية </w:t>
      </w:r>
      <w:r w:rsidRPr="00564B9D">
        <w:rPr>
          <w:rFonts w:hint="cs"/>
          <w:rtl/>
        </w:rPr>
        <w:t>ل</w:t>
      </w:r>
      <w:r w:rsidRPr="00564B9D">
        <w:rPr>
          <w:rtl/>
        </w:rPr>
        <w:t>لمجلس الملك</w:t>
      </w:r>
      <w:r w:rsidRPr="00564B9D">
        <w:rPr>
          <w:rFonts w:hint="cs"/>
          <w:rtl/>
        </w:rPr>
        <w:t>ي</w:t>
      </w:r>
      <w:r w:rsidRPr="00564B9D">
        <w:rPr>
          <w:rtl/>
        </w:rPr>
        <w:t xml:space="preserve"> الخاص في لندن.</w:t>
      </w:r>
    </w:p>
    <w:p w14:paraId="56E7A1C7" w14:textId="77777777" w:rsidR="00494AE4" w:rsidRPr="00564B9D" w:rsidRDefault="00494AE4" w:rsidP="00494AE4">
      <w:pPr>
        <w:pStyle w:val="SingleTxtGA"/>
        <w:rPr>
          <w:rtl/>
        </w:rPr>
      </w:pPr>
      <w:r w:rsidRPr="00564B9D">
        <w:rPr>
          <w:rtl/>
        </w:rPr>
        <w:t>167-</w:t>
      </w:r>
      <w:r w:rsidRPr="00564B9D">
        <w:rPr>
          <w:rtl/>
        </w:rPr>
        <w:tab/>
      </w:r>
      <w:r w:rsidRPr="00564B9D">
        <w:rPr>
          <w:rFonts w:hint="cs"/>
          <w:rtl/>
        </w:rPr>
        <w:t>و</w:t>
      </w:r>
      <w:r w:rsidRPr="00564B9D">
        <w:rPr>
          <w:rtl/>
        </w:rPr>
        <w:t xml:space="preserve">جزر فرجن هي ولاية قضائية </w:t>
      </w:r>
      <w:r w:rsidRPr="00564B9D">
        <w:rPr>
          <w:rFonts w:hint="cs"/>
          <w:rtl/>
        </w:rPr>
        <w:t>تأخذ</w:t>
      </w:r>
      <w:r w:rsidRPr="00564B9D">
        <w:rPr>
          <w:rtl/>
        </w:rPr>
        <w:t xml:space="preserve"> </w:t>
      </w:r>
      <w:r w:rsidRPr="00564B9D">
        <w:rPr>
          <w:rFonts w:hint="cs"/>
          <w:rtl/>
        </w:rPr>
        <w:t>ب</w:t>
      </w:r>
      <w:r w:rsidRPr="00564B9D">
        <w:rPr>
          <w:rtl/>
        </w:rPr>
        <w:t xml:space="preserve">القانون العام، </w:t>
      </w:r>
      <w:r w:rsidRPr="00564B9D">
        <w:rPr>
          <w:rFonts w:hint="cs"/>
          <w:rtl/>
        </w:rPr>
        <w:t>مع</w:t>
      </w:r>
      <w:r w:rsidRPr="00564B9D">
        <w:rPr>
          <w:rtl/>
        </w:rPr>
        <w:t xml:space="preserve"> أن قانون جزر فرجن وإجراءاتها </w:t>
      </w:r>
      <w:r w:rsidRPr="00564B9D">
        <w:rPr>
          <w:rFonts w:hint="cs"/>
          <w:rtl/>
        </w:rPr>
        <w:t>يختلفان</w:t>
      </w:r>
      <w:r w:rsidRPr="00564B9D">
        <w:rPr>
          <w:rtl/>
        </w:rPr>
        <w:t xml:space="preserve"> إلى حد كبير عن القانون الإنكليزي بسبب </w:t>
      </w:r>
      <w:r w:rsidRPr="00564B9D">
        <w:rPr>
          <w:rFonts w:hint="cs"/>
          <w:rtl/>
        </w:rPr>
        <w:t>الصبغة</w:t>
      </w:r>
      <w:r w:rsidRPr="00564B9D">
        <w:rPr>
          <w:rtl/>
        </w:rPr>
        <w:t xml:space="preserve"> المحلية </w:t>
      </w:r>
      <w:r w:rsidRPr="00564B9D">
        <w:rPr>
          <w:rFonts w:hint="cs"/>
          <w:rtl/>
        </w:rPr>
        <w:t xml:space="preserve">للقوانين </w:t>
      </w:r>
      <w:r w:rsidRPr="00564B9D">
        <w:rPr>
          <w:rtl/>
        </w:rPr>
        <w:t>والأوامر وقواعد الإجراءات المدنية.</w:t>
      </w:r>
    </w:p>
    <w:p w14:paraId="0F3631E7" w14:textId="77777777" w:rsidR="00494AE4" w:rsidRPr="00564B9D" w:rsidRDefault="00494AE4" w:rsidP="00494AE4">
      <w:pPr>
        <w:pStyle w:val="HChGA"/>
        <w:rPr>
          <w:rtl/>
        </w:rPr>
      </w:pPr>
      <w:r w:rsidRPr="00564B9D">
        <w:rPr>
          <w:rtl/>
        </w:rPr>
        <w:lastRenderedPageBreak/>
        <w:tab/>
      </w:r>
      <w:bookmarkStart w:id="393" w:name="_Toc123044200"/>
      <w:bookmarkStart w:id="394" w:name="_Toc123044423"/>
      <w:bookmarkStart w:id="395" w:name="_Toc123044685"/>
      <w:bookmarkStart w:id="396" w:name="_Toc123044947"/>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393"/>
      <w:bookmarkEnd w:id="394"/>
      <w:bookmarkEnd w:id="395"/>
      <w:bookmarkEnd w:id="396"/>
    </w:p>
    <w:p w14:paraId="2D251FE5" w14:textId="77777777" w:rsidR="00494AE4" w:rsidRPr="00564B9D" w:rsidRDefault="00494AE4" w:rsidP="00494AE4">
      <w:pPr>
        <w:pStyle w:val="H1GA"/>
        <w:rPr>
          <w:rtl/>
        </w:rPr>
      </w:pPr>
      <w:r w:rsidRPr="00564B9D">
        <w:rPr>
          <w:rtl/>
        </w:rPr>
        <w:tab/>
      </w:r>
      <w:bookmarkStart w:id="397" w:name="_Toc123044201"/>
      <w:bookmarkStart w:id="398" w:name="_Toc123044424"/>
      <w:bookmarkStart w:id="399" w:name="_Toc123044686"/>
      <w:bookmarkStart w:id="400" w:name="_Toc123044948"/>
      <w:r w:rsidRPr="00564B9D">
        <w:rPr>
          <w:rtl/>
        </w:rPr>
        <w:t>ألف-</w:t>
      </w:r>
      <w:r w:rsidRPr="00564B9D">
        <w:rPr>
          <w:rtl/>
        </w:rPr>
        <w:tab/>
      </w:r>
      <w:r w:rsidRPr="00564B9D">
        <w:rPr>
          <w:rFonts w:hint="cs"/>
          <w:rtl/>
        </w:rPr>
        <w:t>قبول معايير حقوق الإنسان الدولية</w:t>
      </w:r>
      <w:bookmarkEnd w:id="397"/>
      <w:bookmarkEnd w:id="398"/>
      <w:bookmarkEnd w:id="399"/>
      <w:bookmarkEnd w:id="400"/>
    </w:p>
    <w:p w14:paraId="044557C8" w14:textId="77777777" w:rsidR="00494AE4" w:rsidRPr="00564B9D" w:rsidRDefault="00494AE4" w:rsidP="00494AE4">
      <w:pPr>
        <w:pStyle w:val="SingleTxtGA"/>
        <w:rPr>
          <w:rtl/>
        </w:rPr>
      </w:pPr>
      <w:r w:rsidRPr="00564B9D">
        <w:rPr>
          <w:rFonts w:hint="cs"/>
          <w:rtl/>
        </w:rPr>
        <w:t>168</w:t>
      </w:r>
      <w:r w:rsidRPr="00564B9D">
        <w:rPr>
          <w:rtl/>
        </w:rPr>
        <w:t>-</w:t>
      </w:r>
      <w:r w:rsidRPr="00564B9D">
        <w:rPr>
          <w:rtl/>
        </w:rPr>
        <w:tab/>
      </w:r>
      <w:r w:rsidRPr="00564B9D">
        <w:rPr>
          <w:rFonts w:hint="cs"/>
          <w:rtl/>
        </w:rPr>
        <w:t>تم توسيع نطاق الصكوك الدولية الرئيسية التالية لتشمل جزر فرجن البريطانية.</w:t>
      </w:r>
    </w:p>
    <w:p w14:paraId="734540FC"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42DAFFA1"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الدولية للقضاء على جميع أشكال التمييز العنصري؛ العهد الدولي الخاص بالحقوق المدنية والسياسية؛ العهد الدولي الخاص بالحقوق الاقتصادية والاجتماعية والثقافية؛ اتفاقية القضاء على جميع أشكال التمييز ضد المرأة؛ اتفاقية مناهضة التعذيب</w:t>
      </w:r>
      <w:r w:rsidRPr="00564B9D">
        <w:rPr>
          <w:rFonts w:hint="eastAsia"/>
          <w:rtl/>
        </w:rPr>
        <w:t xml:space="preserve"> </w:t>
      </w:r>
      <w:r w:rsidRPr="00564B9D">
        <w:rPr>
          <w:rFonts w:hint="cs"/>
          <w:rtl/>
        </w:rPr>
        <w:t>وغيره من ضروب المعاملة أو العقوبة القاسية أو اللاإنسانية أو المهينة؛ اتفاقية حقوق الطفل.</w:t>
      </w:r>
    </w:p>
    <w:p w14:paraId="668D9588"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60AE7EA3"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الاتفاقية المتعلقة بوضع الأشخاص العديمي الجنسية؛ الاتفاقية بشأن خفض حالات انعدام الجنسية؛ نظام روما الأساسي للمحكمة الجنائية الدولية؛ اتفاقية الأمم المتحدة لمكافحة الجريمة المنظمة عبر الوطنية.</w:t>
      </w:r>
    </w:p>
    <w:p w14:paraId="213D1333" w14:textId="77777777" w:rsidR="00494AE4" w:rsidRPr="00564B9D" w:rsidRDefault="00494AE4" w:rsidP="00494AE4">
      <w:pPr>
        <w:pStyle w:val="H23GA"/>
      </w:pPr>
      <w:r w:rsidRPr="00564B9D">
        <w:rPr>
          <w:rtl/>
        </w:rPr>
        <w:tab/>
      </w:r>
      <w:r w:rsidRPr="00564B9D">
        <w:rPr>
          <w:rtl/>
        </w:rPr>
        <w:tab/>
      </w:r>
      <w:r w:rsidRPr="00564B9D">
        <w:rPr>
          <w:rFonts w:hint="cs"/>
          <w:rtl/>
        </w:rPr>
        <w:t>اتفاقيات منظمة العمل الدولية</w:t>
      </w:r>
    </w:p>
    <w:p w14:paraId="3F165927" w14:textId="77777777" w:rsidR="00494AE4" w:rsidRPr="00564B9D" w:rsidRDefault="00494AE4" w:rsidP="00494AE4">
      <w:pPr>
        <w:pStyle w:val="Bullet1GA"/>
        <w:numPr>
          <w:ilvl w:val="0"/>
          <w:numId w:val="14"/>
        </w:numPr>
        <w:tabs>
          <w:tab w:val="clear" w:pos="1361"/>
          <w:tab w:val="num" w:pos="1475"/>
        </w:tabs>
        <w:ind w:left="1985" w:hanging="545"/>
      </w:pP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C097</w:t>
      </w:r>
      <w:r w:rsidRPr="00564B9D">
        <w:rPr>
          <w:rFonts w:hint="cs"/>
          <w:rtl/>
        </w:rPr>
        <w:t xml:space="preserve"> - الاتفاقية (المراجعة) بشأن الهجرة من أجل العمل؛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xml:space="preserve"> - اتفاقية الضمان الاجتماعي (المعايير الدنيا)؛ </w:t>
      </w:r>
      <w:r w:rsidRPr="00564B9D">
        <w:t>C105</w:t>
      </w:r>
      <w:r w:rsidRPr="00564B9D">
        <w:rPr>
          <w:rFonts w:hint="cs"/>
          <w:rtl/>
        </w:rPr>
        <w:t xml:space="preserve"> - اتفاقية إلغاء العمل الجبري.</w:t>
      </w:r>
    </w:p>
    <w:p w14:paraId="57670DE6"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الأمم المتحدة للتربية والعلوم والثقافة (اليونسكو)</w:t>
      </w:r>
    </w:p>
    <w:p w14:paraId="278D1D81"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الاتفاقية المتعلقة بمناهضة التمييز في مجال التعليم.</w:t>
      </w:r>
    </w:p>
    <w:p w14:paraId="6BB19562"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ومعاهدات أخرى بشأن القانون الإنساني الدولي</w:t>
      </w:r>
    </w:p>
    <w:p w14:paraId="16BCC14C"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 </w:t>
      </w: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62503B47"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لحقوق الإنسان</w:t>
      </w:r>
    </w:p>
    <w:p w14:paraId="3AFEF540"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w:t>
      </w:r>
    </w:p>
    <w:p w14:paraId="621365A6" w14:textId="77777777" w:rsidR="00494AE4" w:rsidRPr="00564B9D" w:rsidRDefault="00494AE4" w:rsidP="00494AE4">
      <w:pPr>
        <w:pStyle w:val="H1GA"/>
        <w:rPr>
          <w:rtl/>
        </w:rPr>
      </w:pPr>
      <w:r w:rsidRPr="00564B9D">
        <w:rPr>
          <w:rtl/>
        </w:rPr>
        <w:tab/>
      </w:r>
      <w:bookmarkStart w:id="401" w:name="_Toc123044202"/>
      <w:bookmarkStart w:id="402" w:name="_Toc123044425"/>
      <w:bookmarkStart w:id="403" w:name="_Toc123044687"/>
      <w:bookmarkStart w:id="404" w:name="_Toc123044949"/>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401"/>
      <w:bookmarkEnd w:id="402"/>
      <w:bookmarkEnd w:id="403"/>
      <w:bookmarkEnd w:id="404"/>
    </w:p>
    <w:p w14:paraId="1D2F837F" w14:textId="318F444F" w:rsidR="00494AE4" w:rsidRPr="00564B9D" w:rsidRDefault="00494AE4" w:rsidP="00494AE4">
      <w:pPr>
        <w:pStyle w:val="SingleTxtGA"/>
        <w:rPr>
          <w:rtl/>
        </w:rPr>
      </w:pPr>
      <w:r w:rsidRPr="00564B9D">
        <w:rPr>
          <w:rtl/>
        </w:rPr>
        <w:t>169-</w:t>
      </w:r>
      <w:r w:rsidRPr="00564B9D">
        <w:rPr>
          <w:rtl/>
        </w:rPr>
        <w:tab/>
      </w:r>
      <w:r w:rsidRPr="00564B9D">
        <w:rPr>
          <w:rFonts w:hint="cs"/>
          <w:rtl/>
        </w:rPr>
        <w:t xml:space="preserve">ينص الفصل الثاني ("حقوق الفرد </w:t>
      </w:r>
      <w:r w:rsidR="00D70082" w:rsidRPr="00564B9D">
        <w:rPr>
          <w:rFonts w:hint="cs"/>
          <w:rtl/>
        </w:rPr>
        <w:t xml:space="preserve">وحرياته </w:t>
      </w:r>
      <w:r w:rsidRPr="00564B9D">
        <w:rPr>
          <w:rFonts w:hint="cs"/>
          <w:rtl/>
        </w:rPr>
        <w:t>الأساسية") من القانون الدستوري لجزر فرجن لعام 2007 على حماية حقوق الإنسان</w:t>
      </w:r>
      <w:r w:rsidRPr="00564B9D">
        <w:rPr>
          <w:rtl/>
        </w:rPr>
        <w:t>.</w:t>
      </w:r>
    </w:p>
    <w:p w14:paraId="42D47215" w14:textId="77777777" w:rsidR="00494AE4" w:rsidRPr="00564B9D" w:rsidRDefault="00494AE4" w:rsidP="00494AE4">
      <w:pPr>
        <w:pStyle w:val="H1GA"/>
        <w:rPr>
          <w:rtl/>
        </w:rPr>
      </w:pPr>
      <w:r w:rsidRPr="00564B9D">
        <w:rPr>
          <w:rtl/>
        </w:rPr>
        <w:lastRenderedPageBreak/>
        <w:tab/>
      </w:r>
      <w:bookmarkStart w:id="405" w:name="_Toc123044203"/>
      <w:bookmarkStart w:id="406" w:name="_Toc123044426"/>
      <w:bookmarkStart w:id="407" w:name="_Toc123044688"/>
      <w:bookmarkStart w:id="408" w:name="_Toc123044950"/>
      <w:r w:rsidRPr="00564B9D">
        <w:rPr>
          <w:rFonts w:hint="cs"/>
          <w:rtl/>
        </w:rPr>
        <w:t>جيم</w:t>
      </w:r>
      <w:r w:rsidRPr="00564B9D">
        <w:rPr>
          <w:rtl/>
        </w:rPr>
        <w:t>-</w:t>
      </w:r>
      <w:r w:rsidRPr="00564B9D">
        <w:rPr>
          <w:rtl/>
        </w:rPr>
        <w:tab/>
      </w:r>
      <w:r w:rsidRPr="00564B9D">
        <w:rPr>
          <w:rFonts w:hint="cs"/>
          <w:rtl/>
        </w:rPr>
        <w:t>الإطار القانوني لحماية حقوق الإنسان على الصعيد الوطني</w:t>
      </w:r>
      <w:bookmarkEnd w:id="405"/>
      <w:bookmarkEnd w:id="406"/>
      <w:bookmarkEnd w:id="407"/>
      <w:bookmarkEnd w:id="408"/>
    </w:p>
    <w:p w14:paraId="6B296C63" w14:textId="77777777" w:rsidR="00494AE4" w:rsidRPr="00564B9D" w:rsidRDefault="00494AE4" w:rsidP="00494AE4">
      <w:pPr>
        <w:pStyle w:val="SingleTxtGA"/>
        <w:rPr>
          <w:rtl/>
        </w:rPr>
      </w:pPr>
      <w:r w:rsidRPr="00564B9D">
        <w:rPr>
          <w:rFonts w:hint="cs"/>
          <w:rtl/>
        </w:rPr>
        <w:t>170</w:t>
      </w:r>
      <w:r w:rsidRPr="00564B9D">
        <w:rPr>
          <w:rtl/>
        </w:rPr>
        <w:t>-</w:t>
      </w:r>
      <w:r w:rsidRPr="00564B9D">
        <w:rPr>
          <w:rtl/>
        </w:rPr>
        <w:tab/>
      </w:r>
      <w:r w:rsidRPr="00564B9D">
        <w:rPr>
          <w:rFonts w:hint="cs"/>
          <w:rtl/>
        </w:rPr>
        <w:t>ينص الفرع 34 من القانون الدستوري لجزر فرجن لعام 2007 على خيار إنشاء لجنة لحقوق الإنسان. وتمشياً مع أفضل الممارسات الدولية، قررت الحكومة أنه يلزم وجود هيئة كهذه داخل أراضيها. وقد قامت لجنة حقوق الإنسان بالفعل، وهي تعمل في إطار مكتب النائب العام، وبدعم من الحكومة، بإعداد تشريعات نموذجية تتعلق بلجنة لحقوق الإنسان وإجراء مشاورات بشأنها على صعيد المجتمع المدني. وأجريت التحضيرات</w:t>
      </w:r>
      <w:r w:rsidRPr="00564B9D">
        <w:rPr>
          <w:rtl/>
        </w:rPr>
        <w:t xml:space="preserve"> لإنشاء لجنة حقوق الإنسان </w:t>
      </w:r>
      <w:r w:rsidRPr="00564B9D">
        <w:rPr>
          <w:rFonts w:hint="cs"/>
          <w:rtl/>
        </w:rPr>
        <w:t xml:space="preserve">في عام 2014، غير أن </w:t>
      </w:r>
      <w:r w:rsidRPr="00564B9D">
        <w:rPr>
          <w:rtl/>
        </w:rPr>
        <w:t>التشريعات المصاحبة لم تتحقق حتى الآن</w:t>
      </w:r>
      <w:r w:rsidRPr="00564B9D">
        <w:rPr>
          <w:rFonts w:hint="cs"/>
          <w:rtl/>
        </w:rPr>
        <w:t>.</w:t>
      </w:r>
    </w:p>
    <w:p w14:paraId="2F300D39" w14:textId="77777777" w:rsidR="00494AE4" w:rsidRPr="00564B9D" w:rsidRDefault="00494AE4" w:rsidP="00494AE4">
      <w:pPr>
        <w:pStyle w:val="HChGA"/>
        <w:rPr>
          <w:rtl/>
        </w:rPr>
      </w:pPr>
      <w:r w:rsidRPr="00564B9D">
        <w:rPr>
          <w:rtl/>
        </w:rPr>
        <w:tab/>
      </w:r>
      <w:bookmarkStart w:id="409" w:name="_Toc123044204"/>
      <w:bookmarkStart w:id="410" w:name="_Toc123044427"/>
      <w:bookmarkStart w:id="411" w:name="_Toc123044689"/>
      <w:bookmarkStart w:id="412" w:name="_Toc123044951"/>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409"/>
      <w:bookmarkEnd w:id="410"/>
      <w:bookmarkEnd w:id="411"/>
      <w:bookmarkEnd w:id="412"/>
    </w:p>
    <w:p w14:paraId="617815E7" w14:textId="77777777" w:rsidR="00494AE4" w:rsidRPr="00564B9D" w:rsidRDefault="00494AE4" w:rsidP="00494AE4">
      <w:pPr>
        <w:pStyle w:val="SingleTxtGA"/>
        <w:rPr>
          <w:rtl/>
        </w:rPr>
      </w:pPr>
      <w:r w:rsidRPr="00564B9D">
        <w:rPr>
          <w:rFonts w:hint="cs"/>
          <w:rtl/>
        </w:rPr>
        <w:t>171</w:t>
      </w:r>
      <w:r w:rsidRPr="00564B9D">
        <w:rPr>
          <w:rtl/>
        </w:rPr>
        <w:t>-</w:t>
      </w:r>
      <w:r w:rsidRPr="00564B9D">
        <w:rPr>
          <w:rtl/>
        </w:rPr>
        <w:tab/>
      </w:r>
      <w:r w:rsidRPr="00564B9D">
        <w:rPr>
          <w:rFonts w:hint="cs"/>
          <w:rtl/>
        </w:rPr>
        <w:t>يتناول الفصل الثاني ("حقوق الفرد وحرياته الأساسية") من القانون الدستوري لجزر فرجن لعام 2007 مختلف الحقوق والحريات الأساسية بما في ذلك الأحكام المحددة المتعلقة بالمساواة وعدم التمييز وهي: المساواة أمام القانون؛ والحماية من التمييز.</w:t>
      </w:r>
    </w:p>
    <w:p w14:paraId="56ED22B9" w14:textId="77777777" w:rsidR="00494AE4" w:rsidRPr="00564B9D" w:rsidRDefault="00494AE4" w:rsidP="004A0DA9">
      <w:pPr>
        <w:pStyle w:val="HChGA"/>
        <w:rPr>
          <w:rtl/>
        </w:rPr>
      </w:pPr>
      <w:r w:rsidRPr="00564B9D">
        <w:rPr>
          <w:rtl/>
        </w:rPr>
        <w:tab/>
      </w:r>
      <w:r w:rsidRPr="00564B9D">
        <w:rPr>
          <w:rtl/>
        </w:rPr>
        <w:tab/>
      </w:r>
      <w:bookmarkStart w:id="413" w:name="TER"/>
      <w:r w:rsidRPr="00564B9D">
        <w:rPr>
          <w:rFonts w:hint="cs"/>
          <w:rtl/>
        </w:rPr>
        <w:t>الأقاليم التابعة للتاج</w:t>
      </w:r>
      <w:bookmarkEnd w:id="413"/>
    </w:p>
    <w:p w14:paraId="6259EAF2" w14:textId="77777777" w:rsidR="00494AE4" w:rsidRPr="00564B9D" w:rsidRDefault="00494AE4" w:rsidP="00494AE4">
      <w:pPr>
        <w:pStyle w:val="SingleTxtGA"/>
        <w:rPr>
          <w:rtl/>
        </w:rPr>
      </w:pPr>
      <w:r w:rsidRPr="00564B9D">
        <w:rPr>
          <w:rFonts w:hint="cs"/>
          <w:rtl/>
        </w:rPr>
        <w:t>172</w:t>
      </w:r>
      <w:r w:rsidRPr="00564B9D">
        <w:rPr>
          <w:rtl/>
        </w:rPr>
        <w:t>-</w:t>
      </w:r>
      <w:r w:rsidRPr="00564B9D">
        <w:rPr>
          <w:rtl/>
        </w:rPr>
        <w:tab/>
      </w:r>
      <w:r w:rsidRPr="00564B9D">
        <w:rPr>
          <w:rFonts w:hint="cs"/>
          <w:rtl/>
        </w:rPr>
        <w:t>هنالك ثلاثة أقاليم تابعة للتاج</w:t>
      </w:r>
      <w:r w:rsidRPr="00564B9D">
        <w:rPr>
          <w:vertAlign w:val="superscript"/>
          <w:rtl/>
        </w:rPr>
        <w:t>(</w:t>
      </w:r>
      <w:r w:rsidRPr="00564B9D">
        <w:rPr>
          <w:rStyle w:val="FootnoteReference"/>
          <w:rFonts w:cs="Simplified Arabic"/>
          <w:b w:val="0"/>
          <w:sz w:val="22"/>
          <w:szCs w:val="22"/>
          <w:rtl/>
          <w:lang w:val="en-US"/>
        </w:rPr>
        <w:footnoteReference w:id="295"/>
      </w:r>
      <w:r w:rsidRPr="00564B9D">
        <w:rPr>
          <w:vertAlign w:val="superscript"/>
          <w:rtl/>
        </w:rPr>
        <w:t>)</w:t>
      </w:r>
      <w:r w:rsidRPr="00564B9D">
        <w:rPr>
          <w:rFonts w:hint="cs"/>
          <w:rtl/>
        </w:rPr>
        <w:t xml:space="preserve"> وهي: إقليم غيرنسي، وإقليم جيرسي، وجزيرة مان.</w:t>
      </w:r>
    </w:p>
    <w:p w14:paraId="2E973AA7" w14:textId="77777777" w:rsidR="00494AE4" w:rsidRPr="00564B9D" w:rsidRDefault="00494AE4" w:rsidP="00494AE4">
      <w:pPr>
        <w:pStyle w:val="HChGA"/>
        <w:rPr>
          <w:rtl/>
        </w:rPr>
      </w:pPr>
      <w:r w:rsidRPr="00564B9D">
        <w:rPr>
          <w:rtl/>
        </w:rPr>
        <w:tab/>
      </w:r>
      <w:r w:rsidRPr="00564B9D">
        <w:rPr>
          <w:rtl/>
        </w:rPr>
        <w:tab/>
      </w:r>
      <w:bookmarkStart w:id="414" w:name="_Toc123044205"/>
      <w:bookmarkStart w:id="415" w:name="_Toc123044428"/>
      <w:bookmarkStart w:id="416" w:name="_Toc123044690"/>
      <w:bookmarkStart w:id="417" w:name="_Toc123044952"/>
      <w:r w:rsidRPr="00564B9D">
        <w:rPr>
          <w:rFonts w:hint="cs"/>
          <w:rtl/>
        </w:rPr>
        <w:t>إقليم غيرنسي</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296"/>
      </w:r>
      <w:r w:rsidRPr="00564B9D">
        <w:rPr>
          <w:b w:val="0"/>
          <w:bCs w:val="0"/>
          <w:sz w:val="22"/>
          <w:szCs w:val="22"/>
          <w:vertAlign w:val="superscript"/>
          <w:rtl/>
        </w:rPr>
        <w:t>)</w:t>
      </w:r>
      <w:bookmarkEnd w:id="414"/>
      <w:bookmarkEnd w:id="415"/>
      <w:bookmarkEnd w:id="416"/>
      <w:bookmarkEnd w:id="417"/>
      <w:r w:rsidRPr="00564B9D">
        <w:rPr>
          <w:rFonts w:hint="cs"/>
          <w:rtl/>
        </w:rPr>
        <w:t xml:space="preserve"> </w:t>
      </w:r>
    </w:p>
    <w:p w14:paraId="7AB1F25B" w14:textId="77777777" w:rsidR="00494AE4" w:rsidRPr="00564B9D" w:rsidRDefault="00494AE4" w:rsidP="00494AE4">
      <w:pPr>
        <w:pStyle w:val="HChGA"/>
        <w:rPr>
          <w:rtl/>
        </w:rPr>
      </w:pPr>
      <w:r w:rsidRPr="00564B9D">
        <w:rPr>
          <w:rtl/>
        </w:rPr>
        <w:tab/>
      </w:r>
      <w:bookmarkStart w:id="418" w:name="_Toc123044206"/>
      <w:bookmarkStart w:id="419" w:name="_Toc123044429"/>
      <w:bookmarkStart w:id="420" w:name="_Toc123044691"/>
      <w:bookmarkStart w:id="421" w:name="_Toc123044953"/>
      <w:r w:rsidRPr="00564B9D">
        <w:rPr>
          <w:rFonts w:hint="cs"/>
          <w:rtl/>
        </w:rPr>
        <w:t>أولاً</w:t>
      </w:r>
      <w:r w:rsidRPr="00564B9D">
        <w:rPr>
          <w:rtl/>
        </w:rPr>
        <w:t>-</w:t>
      </w:r>
      <w:r w:rsidRPr="00564B9D">
        <w:rPr>
          <w:rtl/>
        </w:rPr>
        <w:tab/>
      </w:r>
      <w:r w:rsidRPr="00564B9D">
        <w:rPr>
          <w:rFonts w:hint="cs"/>
          <w:rtl/>
        </w:rPr>
        <w:t>معلومات عامة</w:t>
      </w:r>
      <w:bookmarkEnd w:id="418"/>
      <w:bookmarkEnd w:id="419"/>
      <w:bookmarkEnd w:id="420"/>
      <w:bookmarkEnd w:id="421"/>
    </w:p>
    <w:p w14:paraId="17AB7729" w14:textId="77777777" w:rsidR="00494AE4" w:rsidRPr="00564B9D" w:rsidRDefault="00494AE4" w:rsidP="00494AE4">
      <w:pPr>
        <w:pStyle w:val="H1GA"/>
        <w:rPr>
          <w:rtl/>
        </w:rPr>
      </w:pPr>
      <w:r w:rsidRPr="00564B9D">
        <w:rPr>
          <w:rtl/>
        </w:rPr>
        <w:tab/>
      </w:r>
      <w:bookmarkStart w:id="422" w:name="_Toc123044207"/>
      <w:bookmarkStart w:id="423" w:name="_Toc123044430"/>
      <w:bookmarkStart w:id="424" w:name="_Toc123044692"/>
      <w:bookmarkStart w:id="425" w:name="_Toc123044954"/>
      <w:r w:rsidRPr="00564B9D">
        <w:rPr>
          <w:rtl/>
        </w:rPr>
        <w:t>ألف-</w:t>
      </w:r>
      <w:r w:rsidRPr="00564B9D">
        <w:rPr>
          <w:rtl/>
        </w:rPr>
        <w:tab/>
        <w:t>الخصائص الديمغرافية والاقتصادية والاجتماعية والثقافية</w:t>
      </w:r>
      <w:bookmarkEnd w:id="422"/>
      <w:bookmarkEnd w:id="423"/>
      <w:bookmarkEnd w:id="424"/>
      <w:bookmarkEnd w:id="425"/>
    </w:p>
    <w:tbl>
      <w:tblPr>
        <w:bidiVisual/>
        <w:tblW w:w="8392" w:type="dxa"/>
        <w:tblInd w:w="1247" w:type="dxa"/>
        <w:tblLayout w:type="fixed"/>
        <w:tblCellMar>
          <w:right w:w="113" w:type="dxa"/>
        </w:tblCellMar>
        <w:tblLook w:val="01E0" w:firstRow="1" w:lastRow="1" w:firstColumn="1" w:lastColumn="1" w:noHBand="0" w:noVBand="0"/>
      </w:tblPr>
      <w:tblGrid>
        <w:gridCol w:w="4694"/>
        <w:gridCol w:w="3698"/>
      </w:tblGrid>
      <w:tr w:rsidR="007B5A24" w:rsidRPr="00564B9D" w14:paraId="33A9E7BC" w14:textId="77777777" w:rsidTr="00804944">
        <w:trPr>
          <w:trHeight w:val="240"/>
          <w:tblHeader/>
        </w:trPr>
        <w:tc>
          <w:tcPr>
            <w:tcW w:w="7266" w:type="dxa"/>
            <w:gridSpan w:val="2"/>
            <w:tcBorders>
              <w:top w:val="single" w:sz="4" w:space="0" w:color="auto"/>
              <w:bottom w:val="single" w:sz="12" w:space="0" w:color="auto"/>
            </w:tcBorders>
            <w:shd w:val="clear" w:color="auto" w:fill="auto"/>
            <w:vAlign w:val="bottom"/>
          </w:tcPr>
          <w:p w14:paraId="28071B2A"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الديمغرافية</w:t>
            </w:r>
          </w:p>
        </w:tc>
      </w:tr>
      <w:tr w:rsidR="007B5A24" w:rsidRPr="00564B9D" w14:paraId="5B9DD6A1" w14:textId="77777777" w:rsidTr="00804944">
        <w:trPr>
          <w:trHeight w:val="240"/>
        </w:trPr>
        <w:tc>
          <w:tcPr>
            <w:tcW w:w="4064" w:type="dxa"/>
            <w:tcBorders>
              <w:top w:val="single" w:sz="12" w:space="0" w:color="auto"/>
            </w:tcBorders>
            <w:shd w:val="clear" w:color="auto" w:fill="auto"/>
          </w:tcPr>
          <w:p w14:paraId="182BEA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حجم السكان</w:t>
            </w:r>
            <w:r w:rsidRPr="00564B9D">
              <w:rPr>
                <w:sz w:val="20"/>
                <w:szCs w:val="20"/>
                <w:vertAlign w:val="superscript"/>
                <w:rtl/>
              </w:rPr>
              <w:t>(</w:t>
            </w:r>
            <w:r w:rsidRPr="00564B9D">
              <w:rPr>
                <w:rStyle w:val="FootnoteReference"/>
                <w:rFonts w:cs="Simplified Arabic"/>
                <w:b w:val="0"/>
                <w:sz w:val="20"/>
                <w:szCs w:val="20"/>
                <w:rtl/>
                <w:lang w:val="en-US"/>
              </w:rPr>
              <w:footnoteReference w:id="297"/>
            </w:r>
            <w:r w:rsidRPr="00564B9D">
              <w:rPr>
                <w:sz w:val="20"/>
                <w:szCs w:val="20"/>
                <w:vertAlign w:val="superscript"/>
                <w:rtl/>
              </w:rPr>
              <w:t>)</w:t>
            </w:r>
            <w:r w:rsidRPr="00564B9D">
              <w:rPr>
                <w:rFonts w:hint="cs"/>
                <w:sz w:val="20"/>
                <w:szCs w:val="20"/>
                <w:rtl/>
              </w:rPr>
              <w:t xml:space="preserve"> </w:t>
            </w:r>
          </w:p>
        </w:tc>
        <w:tc>
          <w:tcPr>
            <w:tcW w:w="3202" w:type="dxa"/>
            <w:tcBorders>
              <w:top w:val="single" w:sz="12" w:space="0" w:color="auto"/>
            </w:tcBorders>
            <w:shd w:val="clear" w:color="auto" w:fill="auto"/>
          </w:tcPr>
          <w:p w14:paraId="67C0698B" w14:textId="603C46CA" w:rsidR="00494AE4" w:rsidRPr="00564B9D" w:rsidRDefault="008D72AD"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Pr>
              <w:t>021</w:t>
            </w:r>
            <w:r w:rsidRPr="00564B9D">
              <w:rPr>
                <w:rFonts w:hint="cs"/>
                <w:sz w:val="20"/>
                <w:szCs w:val="20"/>
                <w:rtl/>
              </w:rPr>
              <w:t xml:space="preserve"> </w:t>
            </w:r>
            <w:r w:rsidR="00494AE4" w:rsidRPr="00564B9D">
              <w:rPr>
                <w:rFonts w:hint="cs"/>
                <w:sz w:val="20"/>
                <w:szCs w:val="20"/>
              </w:rPr>
              <w:t>63</w:t>
            </w:r>
            <w:r w:rsidR="00494AE4" w:rsidRPr="00564B9D">
              <w:rPr>
                <w:rFonts w:hint="cs"/>
                <w:sz w:val="20"/>
                <w:szCs w:val="20"/>
                <w:rtl/>
              </w:rPr>
              <w:t xml:space="preserve"> (</w:t>
            </w:r>
            <w:r w:rsidR="00494AE4" w:rsidRPr="00564B9D">
              <w:rPr>
                <w:sz w:val="20"/>
                <w:szCs w:val="20"/>
              </w:rPr>
              <w:t>2019</w:t>
            </w:r>
            <w:r w:rsidR="00494AE4" w:rsidRPr="00564B9D">
              <w:rPr>
                <w:rFonts w:hint="cs"/>
                <w:sz w:val="20"/>
                <w:szCs w:val="20"/>
                <w:rtl/>
              </w:rPr>
              <w:t>)</w:t>
            </w:r>
          </w:p>
        </w:tc>
      </w:tr>
      <w:tr w:rsidR="007B5A24" w:rsidRPr="00564B9D" w14:paraId="365D5534" w14:textId="77777777" w:rsidTr="00804944">
        <w:trPr>
          <w:trHeight w:val="240"/>
        </w:trPr>
        <w:tc>
          <w:tcPr>
            <w:tcW w:w="4064" w:type="dxa"/>
            <w:shd w:val="clear" w:color="auto" w:fill="auto"/>
          </w:tcPr>
          <w:p w14:paraId="513FD6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السكاني</w:t>
            </w:r>
            <w:r w:rsidRPr="00564B9D">
              <w:rPr>
                <w:sz w:val="20"/>
                <w:szCs w:val="20"/>
                <w:vertAlign w:val="superscript"/>
                <w:rtl/>
              </w:rPr>
              <w:t>(</w:t>
            </w:r>
            <w:r w:rsidRPr="00564B9D">
              <w:rPr>
                <w:rStyle w:val="FootnoteReference"/>
                <w:rFonts w:cs="Simplified Arabic"/>
                <w:b w:val="0"/>
                <w:sz w:val="20"/>
                <w:szCs w:val="20"/>
                <w:rtl/>
                <w:lang w:val="en-US"/>
              </w:rPr>
              <w:footnoteReference w:id="298"/>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190A2C9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0,9 في المائة </w:t>
            </w:r>
          </w:p>
        </w:tc>
      </w:tr>
      <w:tr w:rsidR="007B5A24" w:rsidRPr="00564B9D" w14:paraId="55319270" w14:textId="77777777" w:rsidTr="00804944">
        <w:trPr>
          <w:trHeight w:val="240"/>
        </w:trPr>
        <w:tc>
          <w:tcPr>
            <w:tcW w:w="4064" w:type="dxa"/>
            <w:shd w:val="clear" w:color="auto" w:fill="auto"/>
          </w:tcPr>
          <w:p w14:paraId="359A76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r w:rsidRPr="00564B9D">
              <w:rPr>
                <w:sz w:val="20"/>
                <w:szCs w:val="20"/>
                <w:vertAlign w:val="superscript"/>
                <w:rtl/>
              </w:rPr>
              <w:t>(</w:t>
            </w:r>
            <w:r w:rsidRPr="00564B9D">
              <w:rPr>
                <w:rStyle w:val="FootnoteReference"/>
                <w:rFonts w:cs="Simplified Arabic"/>
                <w:b w:val="0"/>
                <w:sz w:val="20"/>
                <w:szCs w:val="20"/>
                <w:rtl/>
                <w:lang w:val="en-US"/>
              </w:rPr>
              <w:footnoteReference w:id="299"/>
            </w:r>
            <w:r w:rsidRPr="00564B9D">
              <w:rPr>
                <w:sz w:val="20"/>
                <w:szCs w:val="20"/>
                <w:vertAlign w:val="superscript"/>
                <w:rtl/>
              </w:rPr>
              <w:t>)</w:t>
            </w:r>
            <w:r w:rsidRPr="00564B9D">
              <w:rPr>
                <w:sz w:val="20"/>
                <w:szCs w:val="20"/>
                <w:rtl/>
              </w:rPr>
              <w:t xml:space="preserve"> </w:t>
            </w:r>
          </w:p>
        </w:tc>
        <w:tc>
          <w:tcPr>
            <w:tcW w:w="3202" w:type="dxa"/>
            <w:shd w:val="clear" w:color="auto" w:fill="auto"/>
          </w:tcPr>
          <w:p w14:paraId="01B34382" w14:textId="0374A727" w:rsidR="00494AE4" w:rsidRPr="00564B9D" w:rsidRDefault="00D05241"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987 </w:t>
            </w:r>
            <w:r w:rsidR="00494AE4" w:rsidRPr="00564B9D">
              <w:rPr>
                <w:rFonts w:hint="cs"/>
                <w:sz w:val="20"/>
                <w:szCs w:val="20"/>
                <w:rtl/>
              </w:rPr>
              <w:t>(2011)</w:t>
            </w:r>
          </w:p>
        </w:tc>
      </w:tr>
      <w:tr w:rsidR="007B5A24" w:rsidRPr="00564B9D" w14:paraId="081532E3" w14:textId="77777777" w:rsidTr="00804944">
        <w:trPr>
          <w:trHeight w:val="240"/>
        </w:trPr>
        <w:tc>
          <w:tcPr>
            <w:tcW w:w="4064" w:type="dxa"/>
            <w:shd w:val="clear" w:color="auto" w:fill="auto"/>
          </w:tcPr>
          <w:p w14:paraId="69CBC61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3202" w:type="dxa"/>
            <w:shd w:val="clear" w:color="auto" w:fill="auto"/>
          </w:tcPr>
          <w:p w14:paraId="497AD39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F79375D" w14:textId="77777777" w:rsidTr="00804944">
        <w:trPr>
          <w:trHeight w:val="240"/>
        </w:trPr>
        <w:tc>
          <w:tcPr>
            <w:tcW w:w="4064" w:type="dxa"/>
            <w:shd w:val="clear" w:color="auto" w:fill="auto"/>
          </w:tcPr>
          <w:p w14:paraId="304DE3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3202" w:type="dxa"/>
            <w:shd w:val="clear" w:color="auto" w:fill="auto"/>
          </w:tcPr>
          <w:p w14:paraId="372988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C2DA5C8" w14:textId="77777777" w:rsidTr="00804944">
        <w:trPr>
          <w:trHeight w:val="240"/>
        </w:trPr>
        <w:tc>
          <w:tcPr>
            <w:tcW w:w="4064" w:type="dxa"/>
            <w:shd w:val="clear" w:color="auto" w:fill="auto"/>
          </w:tcPr>
          <w:p w14:paraId="784DC2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توزيع السكان بحسب المجموعات الإثنية</w:t>
            </w:r>
          </w:p>
        </w:tc>
        <w:tc>
          <w:tcPr>
            <w:tcW w:w="3202" w:type="dxa"/>
            <w:shd w:val="clear" w:color="auto" w:fill="auto"/>
          </w:tcPr>
          <w:p w14:paraId="5A26C3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7D9B6CD" w14:textId="77777777" w:rsidTr="00804944">
        <w:trPr>
          <w:trHeight w:val="4019"/>
        </w:trPr>
        <w:tc>
          <w:tcPr>
            <w:tcW w:w="4064" w:type="dxa"/>
            <w:shd w:val="clear" w:color="auto" w:fill="auto"/>
          </w:tcPr>
          <w:p w14:paraId="1E3DAC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التركيب العمري للسكان</w:t>
            </w:r>
            <w:r w:rsidRPr="00564B9D">
              <w:rPr>
                <w:sz w:val="20"/>
                <w:szCs w:val="20"/>
                <w:vertAlign w:val="superscript"/>
                <w:rtl/>
              </w:rPr>
              <w:t>(</w:t>
            </w:r>
            <w:r w:rsidRPr="00564B9D">
              <w:rPr>
                <w:rStyle w:val="FootnoteReference"/>
                <w:rFonts w:cs="Simplified Arabic"/>
                <w:b w:val="0"/>
                <w:sz w:val="20"/>
                <w:szCs w:val="20"/>
                <w:rtl/>
                <w:lang w:val="en-US"/>
              </w:rPr>
              <w:footnoteReference w:id="300"/>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3F14F841"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rFonts w:hint="cs"/>
                <w:sz w:val="20"/>
                <w:szCs w:val="20"/>
                <w:rtl/>
              </w:rPr>
              <w:t>الفئة العمرية</w:t>
            </w:r>
            <w:r w:rsidRPr="00564B9D">
              <w:rPr>
                <w:sz w:val="20"/>
                <w:szCs w:val="20"/>
                <w:rtl/>
              </w:rPr>
              <w:t xml:space="preserve"> </w:t>
            </w:r>
            <w:r w:rsidRPr="00564B9D">
              <w:rPr>
                <w:sz w:val="20"/>
                <w:szCs w:val="20"/>
                <w:rtl/>
              </w:rPr>
              <w:tab/>
            </w:r>
            <w:r w:rsidRPr="00564B9D">
              <w:rPr>
                <w:rFonts w:hint="cs"/>
                <w:sz w:val="20"/>
                <w:szCs w:val="20"/>
                <w:rtl/>
              </w:rPr>
              <w:t>ذكور</w:t>
            </w:r>
            <w:r w:rsidRPr="00564B9D">
              <w:rPr>
                <w:sz w:val="20"/>
                <w:szCs w:val="20"/>
                <w:rtl/>
              </w:rPr>
              <w:tab/>
            </w:r>
            <w:r w:rsidRPr="00564B9D">
              <w:rPr>
                <w:rFonts w:hint="cs"/>
                <w:sz w:val="20"/>
                <w:szCs w:val="20"/>
                <w:rtl/>
              </w:rPr>
              <w:t>إناث</w:t>
            </w:r>
          </w:p>
          <w:p w14:paraId="2284A5F0"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0-9</w:t>
            </w:r>
            <w:r w:rsidRPr="00564B9D">
              <w:rPr>
                <w:sz w:val="20"/>
                <w:szCs w:val="20"/>
                <w:rtl/>
              </w:rPr>
              <w:tab/>
              <w:t>116</w:t>
            </w:r>
            <w:r w:rsidRPr="00564B9D">
              <w:rPr>
                <w:rFonts w:hint="cs"/>
                <w:sz w:val="20"/>
                <w:szCs w:val="20"/>
                <w:rtl/>
              </w:rPr>
              <w:t xml:space="preserve"> 3</w:t>
            </w:r>
            <w:r w:rsidRPr="00564B9D">
              <w:rPr>
                <w:sz w:val="20"/>
                <w:szCs w:val="20"/>
                <w:rtl/>
              </w:rPr>
              <w:tab/>
              <w:t>988</w:t>
            </w:r>
            <w:r w:rsidRPr="00564B9D">
              <w:rPr>
                <w:rFonts w:hint="cs"/>
                <w:sz w:val="20"/>
                <w:szCs w:val="20"/>
                <w:rtl/>
              </w:rPr>
              <w:t xml:space="preserve"> 2</w:t>
            </w:r>
          </w:p>
          <w:p w14:paraId="55DEB73C"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10-19</w:t>
            </w:r>
            <w:r w:rsidRPr="00564B9D">
              <w:rPr>
                <w:sz w:val="20"/>
                <w:szCs w:val="20"/>
                <w:rtl/>
              </w:rPr>
              <w:tab/>
              <w:t>382 3</w:t>
            </w:r>
            <w:r w:rsidRPr="00564B9D">
              <w:rPr>
                <w:sz w:val="20"/>
                <w:szCs w:val="20"/>
                <w:rtl/>
              </w:rPr>
              <w:tab/>
              <w:t>095 3</w:t>
            </w:r>
          </w:p>
          <w:p w14:paraId="5C286AD6"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20-29</w:t>
            </w:r>
            <w:r w:rsidRPr="00564B9D">
              <w:rPr>
                <w:sz w:val="20"/>
                <w:szCs w:val="20"/>
                <w:rtl/>
              </w:rPr>
              <w:tab/>
              <w:t>880 3</w:t>
            </w:r>
            <w:r w:rsidRPr="00564B9D">
              <w:rPr>
                <w:sz w:val="20"/>
                <w:szCs w:val="20"/>
                <w:rtl/>
              </w:rPr>
              <w:tab/>
              <w:t>679 3</w:t>
            </w:r>
          </w:p>
          <w:p w14:paraId="15977F1E"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30-39</w:t>
            </w:r>
            <w:r w:rsidRPr="00564B9D">
              <w:rPr>
                <w:sz w:val="20"/>
                <w:szCs w:val="20"/>
                <w:rtl/>
              </w:rPr>
              <w:tab/>
              <w:t>070 4</w:t>
            </w:r>
            <w:r w:rsidRPr="00564B9D">
              <w:rPr>
                <w:sz w:val="20"/>
                <w:szCs w:val="20"/>
                <w:rtl/>
              </w:rPr>
              <w:tab/>
              <w:t>849 3</w:t>
            </w:r>
          </w:p>
          <w:p w14:paraId="6FF46089"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40-49</w:t>
            </w:r>
            <w:r w:rsidRPr="00564B9D">
              <w:rPr>
                <w:sz w:val="20"/>
                <w:szCs w:val="20"/>
                <w:rtl/>
              </w:rPr>
              <w:tab/>
              <w:t>110 4</w:t>
            </w:r>
            <w:r w:rsidRPr="00564B9D">
              <w:rPr>
                <w:sz w:val="20"/>
                <w:szCs w:val="20"/>
                <w:rtl/>
              </w:rPr>
              <w:tab/>
              <w:t>292 4</w:t>
            </w:r>
          </w:p>
          <w:p w14:paraId="0D286248"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50-59</w:t>
            </w:r>
            <w:r w:rsidRPr="00564B9D">
              <w:rPr>
                <w:sz w:val="20"/>
                <w:szCs w:val="20"/>
                <w:rtl/>
              </w:rPr>
              <w:tab/>
              <w:t>723 4</w:t>
            </w:r>
            <w:r w:rsidRPr="00564B9D">
              <w:rPr>
                <w:sz w:val="20"/>
                <w:szCs w:val="20"/>
                <w:rtl/>
              </w:rPr>
              <w:tab/>
              <w:t>035 5</w:t>
            </w:r>
          </w:p>
          <w:p w14:paraId="614F1708"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60-69</w:t>
            </w:r>
            <w:r w:rsidRPr="00564B9D">
              <w:rPr>
                <w:sz w:val="20"/>
                <w:szCs w:val="20"/>
                <w:rtl/>
              </w:rPr>
              <w:tab/>
              <w:t>792 3</w:t>
            </w:r>
            <w:r w:rsidRPr="00564B9D">
              <w:rPr>
                <w:sz w:val="20"/>
                <w:szCs w:val="20"/>
                <w:rtl/>
              </w:rPr>
              <w:tab/>
              <w:t>788 3</w:t>
            </w:r>
          </w:p>
          <w:p w14:paraId="3233748F"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70-79</w:t>
            </w:r>
            <w:r w:rsidRPr="00564B9D">
              <w:rPr>
                <w:sz w:val="20"/>
                <w:szCs w:val="20"/>
                <w:rtl/>
              </w:rPr>
              <w:tab/>
              <w:t>687 2</w:t>
            </w:r>
            <w:r w:rsidRPr="00564B9D">
              <w:rPr>
                <w:sz w:val="20"/>
                <w:szCs w:val="20"/>
                <w:rtl/>
              </w:rPr>
              <w:tab/>
              <w:t>975 2</w:t>
            </w:r>
          </w:p>
          <w:p w14:paraId="7B0B65F1"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80-89</w:t>
            </w:r>
            <w:r w:rsidRPr="00564B9D">
              <w:rPr>
                <w:sz w:val="20"/>
                <w:szCs w:val="20"/>
                <w:rtl/>
              </w:rPr>
              <w:tab/>
              <w:t>227 1</w:t>
            </w:r>
            <w:r w:rsidRPr="00564B9D">
              <w:rPr>
                <w:sz w:val="20"/>
                <w:szCs w:val="20"/>
                <w:rtl/>
              </w:rPr>
              <w:tab/>
              <w:t>662 1</w:t>
            </w:r>
          </w:p>
          <w:p w14:paraId="7F52C023"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90+</w:t>
            </w:r>
            <w:r w:rsidRPr="00564B9D">
              <w:rPr>
                <w:sz w:val="20"/>
                <w:szCs w:val="20"/>
                <w:rtl/>
              </w:rPr>
              <w:tab/>
              <w:t>198</w:t>
            </w:r>
            <w:r w:rsidRPr="00564B9D">
              <w:rPr>
                <w:sz w:val="20"/>
                <w:szCs w:val="20"/>
                <w:rtl/>
              </w:rPr>
              <w:tab/>
              <w:t>473</w:t>
            </w:r>
          </w:p>
          <w:p w14:paraId="24A20D01"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996"/>
                <w:tab w:val="left" w:pos="1850"/>
              </w:tabs>
              <w:spacing w:before="40" w:after="40" w:line="280" w:lineRule="exact"/>
              <w:ind w:left="0" w:right="0"/>
              <w:rPr>
                <w:sz w:val="20"/>
                <w:szCs w:val="20"/>
                <w:rtl/>
              </w:rPr>
            </w:pPr>
            <w:r w:rsidRPr="00564B9D">
              <w:rPr>
                <w:sz w:val="20"/>
                <w:szCs w:val="20"/>
                <w:rtl/>
              </w:rPr>
              <w:t>المجموع</w:t>
            </w:r>
            <w:r w:rsidRPr="00564B9D">
              <w:rPr>
                <w:sz w:val="20"/>
                <w:szCs w:val="20"/>
                <w:rtl/>
              </w:rPr>
              <w:tab/>
              <w:t>185 31</w:t>
            </w:r>
            <w:r w:rsidRPr="00564B9D">
              <w:rPr>
                <w:sz w:val="20"/>
                <w:szCs w:val="20"/>
                <w:rtl/>
              </w:rPr>
              <w:tab/>
              <w:t>836 31</w:t>
            </w:r>
          </w:p>
        </w:tc>
      </w:tr>
      <w:tr w:rsidR="007B5A24" w:rsidRPr="00564B9D" w14:paraId="727632F1" w14:textId="77777777" w:rsidTr="00804944">
        <w:trPr>
          <w:trHeight w:val="240"/>
        </w:trPr>
        <w:tc>
          <w:tcPr>
            <w:tcW w:w="4064" w:type="dxa"/>
            <w:shd w:val="clear" w:color="auto" w:fill="auto"/>
          </w:tcPr>
          <w:p w14:paraId="7646D5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تقل أعمارهم عن 15 سنة</w:t>
            </w:r>
            <w:r w:rsidRPr="00564B9D">
              <w:rPr>
                <w:sz w:val="20"/>
                <w:szCs w:val="20"/>
                <w:vertAlign w:val="superscript"/>
                <w:rtl/>
              </w:rPr>
              <w:t>(</w:t>
            </w:r>
            <w:r w:rsidRPr="00564B9D">
              <w:rPr>
                <w:rStyle w:val="FootnoteReference"/>
                <w:rFonts w:cs="Simplified Arabic"/>
                <w:b w:val="0"/>
                <w:sz w:val="20"/>
                <w:szCs w:val="20"/>
                <w:rtl/>
                <w:lang w:val="en-US"/>
              </w:rPr>
              <w:footnoteReference w:id="301"/>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16811E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15,82 في المائة </w:t>
            </w:r>
          </w:p>
        </w:tc>
      </w:tr>
      <w:tr w:rsidR="007B5A24" w:rsidRPr="00564B9D" w14:paraId="1C901811" w14:textId="77777777" w:rsidTr="00804944">
        <w:trPr>
          <w:trHeight w:val="240"/>
        </w:trPr>
        <w:tc>
          <w:tcPr>
            <w:tcW w:w="4064" w:type="dxa"/>
            <w:shd w:val="clear" w:color="auto" w:fill="auto"/>
          </w:tcPr>
          <w:p w14:paraId="3B8D35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r w:rsidRPr="00564B9D">
              <w:rPr>
                <w:sz w:val="20"/>
                <w:szCs w:val="20"/>
                <w:vertAlign w:val="superscript"/>
                <w:rtl/>
              </w:rPr>
              <w:t>(</w:t>
            </w:r>
            <w:r w:rsidRPr="00564B9D">
              <w:rPr>
                <w:rStyle w:val="FootnoteReference"/>
                <w:rFonts w:cs="Simplified Arabic"/>
                <w:b w:val="0"/>
                <w:sz w:val="20"/>
                <w:szCs w:val="20"/>
                <w:rtl/>
                <w:lang w:val="en-US"/>
              </w:rPr>
              <w:footnoteReference w:id="302"/>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335D4796" w14:textId="2D3D28A2"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20,2 في المائة </w:t>
            </w:r>
          </w:p>
        </w:tc>
      </w:tr>
      <w:tr w:rsidR="007B5A24" w:rsidRPr="00564B9D" w14:paraId="0C9CDC98" w14:textId="77777777" w:rsidTr="00804944">
        <w:trPr>
          <w:trHeight w:val="240"/>
        </w:trPr>
        <w:tc>
          <w:tcPr>
            <w:tcW w:w="4064" w:type="dxa"/>
            <w:shd w:val="clear" w:color="auto" w:fill="auto"/>
          </w:tcPr>
          <w:p w14:paraId="5EF7FE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r w:rsidRPr="00564B9D">
              <w:rPr>
                <w:sz w:val="20"/>
                <w:szCs w:val="20"/>
                <w:vertAlign w:val="superscript"/>
                <w:rtl/>
              </w:rPr>
              <w:t>(</w:t>
            </w:r>
            <w:r w:rsidRPr="00564B9D">
              <w:rPr>
                <w:rStyle w:val="FootnoteReference"/>
                <w:rFonts w:cs="Simplified Arabic"/>
                <w:b w:val="0"/>
                <w:sz w:val="20"/>
                <w:szCs w:val="20"/>
                <w:rtl/>
                <w:lang w:val="en-US"/>
              </w:rPr>
              <w:footnoteReference w:id="303"/>
            </w:r>
            <w:r w:rsidRPr="00564B9D">
              <w:rPr>
                <w:sz w:val="20"/>
                <w:szCs w:val="20"/>
                <w:vertAlign w:val="superscript"/>
                <w:rtl/>
              </w:rPr>
              <w:t>)</w:t>
            </w:r>
            <w:r w:rsidRPr="00564B9D">
              <w:rPr>
                <w:sz w:val="20"/>
                <w:szCs w:val="20"/>
                <w:rtl/>
              </w:rPr>
              <w:t xml:space="preserve"> </w:t>
            </w:r>
          </w:p>
        </w:tc>
        <w:tc>
          <w:tcPr>
            <w:tcW w:w="3202" w:type="dxa"/>
            <w:shd w:val="clear" w:color="auto" w:fill="auto"/>
          </w:tcPr>
          <w:p w14:paraId="6ADBC8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513 مولوداً حياً للسنة المنتهية في 31 كانون الأول/ديسمبر 2019 (8,1 معدل المواليد لكل 000</w:t>
            </w:r>
            <w:r w:rsidRPr="00564B9D">
              <w:rPr>
                <w:sz w:val="20"/>
                <w:szCs w:val="20"/>
                <w:rtl/>
              </w:rPr>
              <w:t> </w:t>
            </w:r>
            <w:r w:rsidRPr="00564B9D">
              <w:rPr>
                <w:rFonts w:hint="cs"/>
                <w:sz w:val="20"/>
                <w:szCs w:val="20"/>
                <w:rtl/>
              </w:rPr>
              <w:t>1 من السكان)</w:t>
            </w:r>
          </w:p>
        </w:tc>
      </w:tr>
      <w:tr w:rsidR="007B5A24" w:rsidRPr="00564B9D" w14:paraId="5DEDC29A" w14:textId="77777777" w:rsidTr="00804944">
        <w:trPr>
          <w:trHeight w:val="240"/>
        </w:trPr>
        <w:tc>
          <w:tcPr>
            <w:tcW w:w="4064" w:type="dxa"/>
            <w:shd w:val="clear" w:color="auto" w:fill="auto"/>
          </w:tcPr>
          <w:p w14:paraId="78C77B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 عدد وفيات الأطفال الذين تقل أعمارهم عن سنة واحدة لكل 000</w:t>
            </w:r>
            <w:r w:rsidRPr="00564B9D">
              <w:rPr>
                <w:sz w:val="20"/>
                <w:szCs w:val="20"/>
                <w:rtl/>
              </w:rPr>
              <w:t> </w:t>
            </w:r>
            <w:r w:rsidRPr="00564B9D">
              <w:rPr>
                <w:rFonts w:hint="cs"/>
                <w:sz w:val="20"/>
                <w:szCs w:val="20"/>
                <w:rtl/>
              </w:rPr>
              <w:t>1 مولود حي</w:t>
            </w:r>
            <w:r w:rsidRPr="00564B9D">
              <w:rPr>
                <w:sz w:val="20"/>
                <w:szCs w:val="20"/>
                <w:vertAlign w:val="superscript"/>
                <w:rtl/>
              </w:rPr>
              <w:t>(</w:t>
            </w:r>
            <w:r w:rsidRPr="00564B9D">
              <w:rPr>
                <w:rStyle w:val="FootnoteReference"/>
                <w:rFonts w:cs="Simplified Arabic"/>
                <w:b w:val="0"/>
                <w:sz w:val="20"/>
                <w:szCs w:val="20"/>
                <w:rtl/>
                <w:lang w:val="en-US"/>
              </w:rPr>
              <w:footnoteReference w:id="304"/>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17D4E8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2,7 لكل 000</w:t>
            </w:r>
            <w:r w:rsidRPr="00564B9D">
              <w:rPr>
                <w:sz w:val="20"/>
                <w:szCs w:val="20"/>
                <w:rtl/>
              </w:rPr>
              <w:t> </w:t>
            </w:r>
            <w:r w:rsidRPr="00564B9D">
              <w:rPr>
                <w:rFonts w:hint="cs"/>
                <w:sz w:val="20"/>
                <w:szCs w:val="20"/>
                <w:rtl/>
              </w:rPr>
              <w:t xml:space="preserve">1 مولود حي (2013-2015) </w:t>
            </w:r>
          </w:p>
        </w:tc>
      </w:tr>
      <w:tr w:rsidR="007B5A24" w:rsidRPr="00564B9D" w14:paraId="31358261" w14:textId="77777777" w:rsidTr="00804944">
        <w:trPr>
          <w:trHeight w:val="240"/>
        </w:trPr>
        <w:tc>
          <w:tcPr>
            <w:tcW w:w="4064" w:type="dxa"/>
            <w:shd w:val="clear" w:color="auto" w:fill="auto"/>
          </w:tcPr>
          <w:p w14:paraId="054F84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r w:rsidRPr="00564B9D">
              <w:rPr>
                <w:sz w:val="20"/>
                <w:szCs w:val="20"/>
                <w:vertAlign w:val="superscript"/>
                <w:rtl/>
              </w:rPr>
              <w:t>(</w:t>
            </w:r>
            <w:r w:rsidRPr="00564B9D">
              <w:rPr>
                <w:rStyle w:val="FootnoteReference"/>
                <w:rFonts w:cs="Simplified Arabic"/>
                <w:b w:val="0"/>
                <w:sz w:val="20"/>
                <w:szCs w:val="20"/>
                <w:rtl/>
                <w:lang w:val="en-US"/>
              </w:rPr>
              <w:footnoteReference w:id="305"/>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56A5C9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8,3 لكل 000</w:t>
            </w:r>
            <w:r w:rsidRPr="00564B9D">
              <w:rPr>
                <w:sz w:val="20"/>
                <w:szCs w:val="20"/>
                <w:rtl/>
              </w:rPr>
              <w:t> </w:t>
            </w:r>
            <w:r w:rsidRPr="00564B9D">
              <w:rPr>
                <w:rFonts w:hint="cs"/>
                <w:sz w:val="20"/>
                <w:szCs w:val="20"/>
                <w:rtl/>
              </w:rPr>
              <w:t>1 من الوفيات (2012)</w:t>
            </w:r>
          </w:p>
        </w:tc>
      </w:tr>
      <w:tr w:rsidR="007B5A24" w:rsidRPr="00564B9D" w14:paraId="1E4BCB08" w14:textId="77777777" w:rsidTr="00804944">
        <w:trPr>
          <w:trHeight w:val="240"/>
        </w:trPr>
        <w:tc>
          <w:tcPr>
            <w:tcW w:w="4064" w:type="dxa"/>
            <w:shd w:val="clear" w:color="auto" w:fill="auto"/>
          </w:tcPr>
          <w:p w14:paraId="6CD788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w:t>
            </w:r>
          </w:p>
        </w:tc>
        <w:tc>
          <w:tcPr>
            <w:tcW w:w="3202" w:type="dxa"/>
            <w:shd w:val="clear" w:color="auto" w:fill="auto"/>
          </w:tcPr>
          <w:p w14:paraId="23AF7C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B75A601" w14:textId="77777777" w:rsidTr="00804944">
        <w:trPr>
          <w:trHeight w:val="240"/>
        </w:trPr>
        <w:tc>
          <w:tcPr>
            <w:tcW w:w="4064" w:type="dxa"/>
            <w:shd w:val="clear" w:color="auto" w:fill="auto"/>
          </w:tcPr>
          <w:p w14:paraId="5CB8B6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3202" w:type="dxa"/>
            <w:shd w:val="clear" w:color="auto" w:fill="auto"/>
          </w:tcPr>
          <w:p w14:paraId="3539F4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B0A5C7E" w14:textId="77777777" w:rsidTr="00804944">
        <w:trPr>
          <w:trHeight w:val="240"/>
        </w:trPr>
        <w:tc>
          <w:tcPr>
            <w:tcW w:w="4064" w:type="dxa"/>
            <w:shd w:val="clear" w:color="auto" w:fill="auto"/>
          </w:tcPr>
          <w:p w14:paraId="3B6E24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العمر المتوقع عند الولادة</w:t>
            </w:r>
            <w:r w:rsidRPr="00564B9D">
              <w:rPr>
                <w:sz w:val="20"/>
                <w:szCs w:val="20"/>
                <w:vertAlign w:val="superscript"/>
                <w:rtl/>
              </w:rPr>
              <w:t>(</w:t>
            </w:r>
            <w:r w:rsidRPr="00564B9D">
              <w:rPr>
                <w:rStyle w:val="FootnoteReference"/>
                <w:rFonts w:cs="Simplified Arabic"/>
                <w:b w:val="0"/>
                <w:sz w:val="20"/>
                <w:szCs w:val="20"/>
                <w:rtl/>
                <w:lang w:val="en-US"/>
              </w:rPr>
              <w:footnoteReference w:id="306"/>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0B7CBA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82,7 سنة (2017-2019)</w:t>
            </w:r>
          </w:p>
        </w:tc>
      </w:tr>
      <w:tr w:rsidR="007B5A24" w:rsidRPr="00564B9D" w14:paraId="01273B2B" w14:textId="77777777" w:rsidTr="00804944">
        <w:trPr>
          <w:trHeight w:val="240"/>
        </w:trPr>
        <w:tc>
          <w:tcPr>
            <w:tcW w:w="4064" w:type="dxa"/>
            <w:shd w:val="clear" w:color="auto" w:fill="auto"/>
          </w:tcPr>
          <w:p w14:paraId="678B31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رجال</w:t>
            </w:r>
          </w:p>
        </w:tc>
        <w:tc>
          <w:tcPr>
            <w:tcW w:w="3202" w:type="dxa"/>
            <w:shd w:val="clear" w:color="auto" w:fill="auto"/>
          </w:tcPr>
          <w:p w14:paraId="620551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80,4 سنة (2017-2019)</w:t>
            </w:r>
          </w:p>
        </w:tc>
      </w:tr>
      <w:tr w:rsidR="007B5A24" w:rsidRPr="00564B9D" w14:paraId="72B6C6FF" w14:textId="77777777" w:rsidTr="00804944">
        <w:trPr>
          <w:trHeight w:val="240"/>
        </w:trPr>
        <w:tc>
          <w:tcPr>
            <w:tcW w:w="4064" w:type="dxa"/>
            <w:shd w:val="clear" w:color="auto" w:fill="auto"/>
          </w:tcPr>
          <w:p w14:paraId="591595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نساء</w:t>
            </w:r>
          </w:p>
        </w:tc>
        <w:tc>
          <w:tcPr>
            <w:tcW w:w="3202" w:type="dxa"/>
            <w:shd w:val="clear" w:color="auto" w:fill="auto"/>
          </w:tcPr>
          <w:p w14:paraId="2C1312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85,1 سنة (2017-2019)</w:t>
            </w:r>
          </w:p>
        </w:tc>
      </w:tr>
      <w:tr w:rsidR="007B5A24" w:rsidRPr="00564B9D" w14:paraId="40E5EF5C" w14:textId="77777777" w:rsidTr="00804944">
        <w:trPr>
          <w:trHeight w:val="240"/>
        </w:trPr>
        <w:tc>
          <w:tcPr>
            <w:tcW w:w="4064" w:type="dxa"/>
            <w:shd w:val="clear" w:color="auto" w:fill="auto"/>
          </w:tcPr>
          <w:p w14:paraId="68FD17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 الخصوبة الإجمالي - عدد الأطفال للمرأة الواحدة</w:t>
            </w:r>
            <w:r w:rsidRPr="00564B9D">
              <w:rPr>
                <w:sz w:val="20"/>
                <w:szCs w:val="20"/>
                <w:vertAlign w:val="superscript"/>
                <w:rtl/>
              </w:rPr>
              <w:t>(</w:t>
            </w:r>
            <w:r w:rsidRPr="00564B9D">
              <w:rPr>
                <w:rStyle w:val="FootnoteReference"/>
                <w:rFonts w:cs="Simplified Arabic"/>
                <w:b w:val="0"/>
                <w:sz w:val="20"/>
                <w:szCs w:val="20"/>
                <w:rtl/>
                <w:lang w:val="en-US"/>
              </w:rPr>
              <w:footnoteReference w:id="307"/>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508CB41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1,56 (2013-2015)</w:t>
            </w:r>
          </w:p>
        </w:tc>
      </w:tr>
      <w:tr w:rsidR="007B5A24" w:rsidRPr="00564B9D" w14:paraId="79D2D781" w14:textId="77777777" w:rsidTr="00804944">
        <w:trPr>
          <w:trHeight w:val="240"/>
        </w:trPr>
        <w:tc>
          <w:tcPr>
            <w:tcW w:w="4064" w:type="dxa"/>
            <w:shd w:val="clear" w:color="auto" w:fill="auto"/>
          </w:tcPr>
          <w:p w14:paraId="501C72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r w:rsidRPr="00564B9D">
              <w:rPr>
                <w:sz w:val="20"/>
                <w:szCs w:val="20"/>
                <w:vertAlign w:val="superscript"/>
                <w:rtl/>
              </w:rPr>
              <w:t>(</w:t>
            </w:r>
            <w:r w:rsidRPr="00564B9D">
              <w:rPr>
                <w:rStyle w:val="FootnoteReference"/>
                <w:rFonts w:cs="Simplified Arabic"/>
                <w:b w:val="0"/>
                <w:sz w:val="20"/>
                <w:szCs w:val="20"/>
                <w:rtl/>
                <w:lang w:val="en-US"/>
              </w:rPr>
              <w:footnoteReference w:id="308"/>
            </w:r>
            <w:r w:rsidRPr="00564B9D">
              <w:rPr>
                <w:sz w:val="20"/>
                <w:szCs w:val="20"/>
                <w:vertAlign w:val="superscript"/>
                <w:rtl/>
              </w:rPr>
              <w:t>)</w:t>
            </w:r>
            <w:r w:rsidRPr="00564B9D">
              <w:rPr>
                <w:rFonts w:hint="cs"/>
                <w:sz w:val="20"/>
                <w:szCs w:val="20"/>
                <w:rtl/>
              </w:rPr>
              <w:t xml:space="preserve"> </w:t>
            </w:r>
          </w:p>
        </w:tc>
        <w:tc>
          <w:tcPr>
            <w:tcW w:w="3202" w:type="dxa"/>
            <w:shd w:val="clear" w:color="auto" w:fill="auto"/>
          </w:tcPr>
          <w:p w14:paraId="6E6D7F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2,5 شخصاً</w:t>
            </w:r>
          </w:p>
        </w:tc>
      </w:tr>
      <w:tr w:rsidR="007B5A24" w:rsidRPr="00564B9D" w14:paraId="3F01E919" w14:textId="77777777" w:rsidTr="00804944">
        <w:trPr>
          <w:trHeight w:val="240"/>
        </w:trPr>
        <w:tc>
          <w:tcPr>
            <w:tcW w:w="4064" w:type="dxa"/>
            <w:tcBorders>
              <w:bottom w:val="single" w:sz="12" w:space="0" w:color="auto"/>
            </w:tcBorders>
            <w:shd w:val="clear" w:color="auto" w:fill="auto"/>
          </w:tcPr>
          <w:p w14:paraId="28A279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r w:rsidRPr="00564B9D">
              <w:rPr>
                <w:sz w:val="20"/>
                <w:szCs w:val="20"/>
                <w:vertAlign w:val="superscript"/>
                <w:rtl/>
              </w:rPr>
              <w:t>(</w:t>
            </w:r>
            <w:r w:rsidRPr="00564B9D">
              <w:rPr>
                <w:rStyle w:val="FootnoteReference"/>
                <w:rFonts w:cs="Simplified Arabic"/>
                <w:b w:val="0"/>
                <w:sz w:val="20"/>
                <w:szCs w:val="20"/>
                <w:rtl/>
                <w:lang w:val="en-US"/>
              </w:rPr>
              <w:footnoteReference w:id="309"/>
            </w:r>
            <w:r w:rsidRPr="00564B9D">
              <w:rPr>
                <w:sz w:val="20"/>
                <w:szCs w:val="20"/>
                <w:vertAlign w:val="superscript"/>
                <w:rtl/>
              </w:rPr>
              <w:t>)</w:t>
            </w:r>
            <w:r w:rsidRPr="00564B9D">
              <w:rPr>
                <w:rFonts w:hint="cs"/>
                <w:sz w:val="20"/>
                <w:szCs w:val="20"/>
                <w:rtl/>
              </w:rPr>
              <w:t xml:space="preserve"> </w:t>
            </w:r>
          </w:p>
        </w:tc>
        <w:tc>
          <w:tcPr>
            <w:tcW w:w="3202" w:type="dxa"/>
            <w:tcBorders>
              <w:bottom w:val="single" w:sz="12" w:space="0" w:color="auto"/>
            </w:tcBorders>
            <w:shd w:val="clear" w:color="auto" w:fill="auto"/>
          </w:tcPr>
          <w:p w14:paraId="7C21FD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3,7 في المائة من مجموع الأسر المعيشية</w:t>
            </w:r>
          </w:p>
        </w:tc>
      </w:tr>
    </w:tbl>
    <w:p w14:paraId="475837ED"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720"/>
        <w:gridCol w:w="3672"/>
      </w:tblGrid>
      <w:tr w:rsidR="007B5A24" w:rsidRPr="00564B9D" w14:paraId="58E74FEB" w14:textId="77777777" w:rsidTr="00804944">
        <w:trPr>
          <w:trHeight w:val="240"/>
          <w:tblHeader/>
        </w:trPr>
        <w:tc>
          <w:tcPr>
            <w:tcW w:w="7275" w:type="dxa"/>
            <w:gridSpan w:val="2"/>
            <w:tcBorders>
              <w:top w:val="single" w:sz="4" w:space="0" w:color="auto"/>
              <w:bottom w:val="single" w:sz="12" w:space="0" w:color="auto"/>
            </w:tcBorders>
            <w:shd w:val="clear" w:color="auto" w:fill="auto"/>
            <w:vAlign w:val="bottom"/>
          </w:tcPr>
          <w:p w14:paraId="1E6662C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19F9AFFA" w14:textId="77777777" w:rsidTr="00804944">
        <w:trPr>
          <w:trHeight w:val="240"/>
        </w:trPr>
        <w:tc>
          <w:tcPr>
            <w:tcW w:w="4092" w:type="dxa"/>
            <w:tcBorders>
              <w:top w:val="single" w:sz="12" w:space="0" w:color="auto"/>
            </w:tcBorders>
            <w:shd w:val="clear" w:color="auto" w:fill="auto"/>
          </w:tcPr>
          <w:p w14:paraId="3CF1C0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3183" w:type="dxa"/>
            <w:tcBorders>
              <w:top w:val="single" w:sz="12" w:space="0" w:color="auto"/>
            </w:tcBorders>
            <w:shd w:val="clear" w:color="auto" w:fill="auto"/>
          </w:tcPr>
          <w:p w14:paraId="218582D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41 في المائة </w:t>
            </w:r>
          </w:p>
        </w:tc>
      </w:tr>
      <w:tr w:rsidR="007B5A24" w:rsidRPr="00564B9D" w14:paraId="3ECD0605" w14:textId="77777777" w:rsidTr="00804944">
        <w:trPr>
          <w:trHeight w:val="240"/>
        </w:trPr>
        <w:tc>
          <w:tcPr>
            <w:tcW w:w="4092" w:type="dxa"/>
            <w:shd w:val="clear" w:color="auto" w:fill="auto"/>
          </w:tcPr>
          <w:p w14:paraId="1AE0C7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r w:rsidRPr="00564B9D">
              <w:rPr>
                <w:sz w:val="20"/>
                <w:szCs w:val="20"/>
                <w:vertAlign w:val="superscript"/>
                <w:rtl/>
              </w:rPr>
              <w:t>(</w:t>
            </w:r>
            <w:r w:rsidRPr="00564B9D">
              <w:rPr>
                <w:rStyle w:val="FootnoteReference"/>
                <w:rFonts w:cs="Simplified Arabic"/>
                <w:b w:val="0"/>
                <w:sz w:val="20"/>
                <w:szCs w:val="20"/>
                <w:rtl/>
                <w:lang w:val="en-US"/>
              </w:rPr>
              <w:footnoteReference w:id="310"/>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3C630B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26,9 في المائة من إجمالي عدد الأسر </w:t>
            </w:r>
            <w:r w:rsidRPr="00564B9D">
              <w:rPr>
                <w:rFonts w:hint="cs"/>
                <w:sz w:val="20"/>
                <w:szCs w:val="20"/>
                <w:rtl/>
              </w:rPr>
              <w:t xml:space="preserve">التي </w:t>
            </w:r>
            <w:r w:rsidRPr="00564B9D">
              <w:rPr>
                <w:sz w:val="20"/>
                <w:szCs w:val="20"/>
                <w:rtl/>
              </w:rPr>
              <w:t>كان دخلها أقل من 60 في المائة من متوسط الدخل الصافي المعادل</w:t>
            </w:r>
          </w:p>
        </w:tc>
      </w:tr>
      <w:tr w:rsidR="007B5A24" w:rsidRPr="00564B9D" w14:paraId="68D02114" w14:textId="77777777" w:rsidTr="00804944">
        <w:trPr>
          <w:trHeight w:val="240"/>
        </w:trPr>
        <w:tc>
          <w:tcPr>
            <w:tcW w:w="4092" w:type="dxa"/>
            <w:shd w:val="clear" w:color="auto" w:fill="auto"/>
          </w:tcPr>
          <w:p w14:paraId="5A6CCA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183" w:type="dxa"/>
            <w:shd w:val="clear" w:color="auto" w:fill="auto"/>
          </w:tcPr>
          <w:p w14:paraId="1AAFE4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C0D6882" w14:textId="77777777" w:rsidTr="00804944">
        <w:trPr>
          <w:trHeight w:val="240"/>
        </w:trPr>
        <w:tc>
          <w:tcPr>
            <w:tcW w:w="4092" w:type="dxa"/>
            <w:shd w:val="clear" w:color="auto" w:fill="auto"/>
          </w:tcPr>
          <w:p w14:paraId="1391DA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معامل جيني (المتصل بتوزيع الدخل)</w:t>
            </w:r>
            <w:r w:rsidRPr="00564B9D">
              <w:rPr>
                <w:sz w:val="20"/>
                <w:szCs w:val="20"/>
                <w:vertAlign w:val="superscript"/>
                <w:rtl/>
              </w:rPr>
              <w:t>(</w:t>
            </w:r>
            <w:r w:rsidRPr="00564B9D">
              <w:rPr>
                <w:rStyle w:val="FootnoteReference"/>
                <w:rFonts w:cs="Simplified Arabic"/>
                <w:b w:val="0"/>
                <w:sz w:val="20"/>
                <w:szCs w:val="20"/>
                <w:rtl/>
                <w:lang w:val="en-US"/>
              </w:rPr>
              <w:footnoteReference w:id="311"/>
            </w:r>
            <w:r w:rsidRPr="00564B9D">
              <w:rPr>
                <w:sz w:val="20"/>
                <w:szCs w:val="20"/>
                <w:vertAlign w:val="superscript"/>
                <w:rtl/>
              </w:rPr>
              <w:t>)</w:t>
            </w:r>
            <w:r w:rsidRPr="00564B9D">
              <w:rPr>
                <w:sz w:val="20"/>
                <w:szCs w:val="20"/>
                <w:rtl/>
              </w:rPr>
              <w:t xml:space="preserve"> </w:t>
            </w:r>
          </w:p>
        </w:tc>
        <w:tc>
          <w:tcPr>
            <w:tcW w:w="3183" w:type="dxa"/>
            <w:shd w:val="clear" w:color="auto" w:fill="auto"/>
          </w:tcPr>
          <w:p w14:paraId="5D7C13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0,39 (إجمالي الدخل المعادل) 0,37 (صافي الدخل المعادل)</w:t>
            </w:r>
          </w:p>
        </w:tc>
      </w:tr>
      <w:tr w:rsidR="007B5A24" w:rsidRPr="00564B9D" w14:paraId="6DECAE62" w14:textId="77777777" w:rsidTr="00804944">
        <w:trPr>
          <w:trHeight w:val="240"/>
        </w:trPr>
        <w:tc>
          <w:tcPr>
            <w:tcW w:w="4092" w:type="dxa"/>
            <w:shd w:val="clear" w:color="auto" w:fill="auto"/>
          </w:tcPr>
          <w:p w14:paraId="296F4E4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5 سنوات</w:t>
            </w:r>
            <w:r w:rsidRPr="00564B9D">
              <w:rPr>
                <w:sz w:val="20"/>
                <w:szCs w:val="20"/>
                <w:vertAlign w:val="superscript"/>
                <w:rtl/>
              </w:rPr>
              <w:t>(</w:t>
            </w:r>
            <w:r w:rsidRPr="00564B9D">
              <w:rPr>
                <w:rStyle w:val="FootnoteReference"/>
                <w:rFonts w:cs="Simplified Arabic"/>
                <w:b w:val="0"/>
                <w:sz w:val="20"/>
                <w:szCs w:val="20"/>
                <w:rtl/>
                <w:lang w:val="en-US"/>
              </w:rPr>
              <w:footnoteReference w:id="312"/>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2E1B71E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 في المائة (2019)</w:t>
            </w:r>
          </w:p>
        </w:tc>
      </w:tr>
      <w:tr w:rsidR="007B5A24" w:rsidRPr="00564B9D" w14:paraId="73A73E46" w14:textId="77777777" w:rsidTr="00804944">
        <w:trPr>
          <w:trHeight w:val="240"/>
        </w:trPr>
        <w:tc>
          <w:tcPr>
            <w:tcW w:w="4092" w:type="dxa"/>
            <w:shd w:val="clear" w:color="auto" w:fill="auto"/>
          </w:tcPr>
          <w:p w14:paraId="2BEAEA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r w:rsidRPr="00564B9D">
              <w:rPr>
                <w:sz w:val="20"/>
                <w:szCs w:val="20"/>
                <w:vertAlign w:val="superscript"/>
                <w:rtl/>
              </w:rPr>
              <w:t>(</w:t>
            </w:r>
            <w:r w:rsidRPr="00564B9D">
              <w:rPr>
                <w:rStyle w:val="FootnoteReference"/>
                <w:rFonts w:cs="Simplified Arabic"/>
                <w:b w:val="0"/>
                <w:sz w:val="20"/>
                <w:szCs w:val="20"/>
                <w:rtl/>
                <w:lang w:val="en-US"/>
              </w:rPr>
              <w:footnoteReference w:id="313"/>
            </w:r>
            <w:r w:rsidRPr="00564B9D">
              <w:rPr>
                <w:sz w:val="20"/>
                <w:szCs w:val="20"/>
                <w:vertAlign w:val="superscript"/>
                <w:rtl/>
              </w:rPr>
              <w:t>)</w:t>
            </w:r>
            <w:r w:rsidRPr="00564B9D">
              <w:rPr>
                <w:sz w:val="20"/>
                <w:szCs w:val="20"/>
                <w:rtl/>
              </w:rPr>
              <w:t xml:space="preserve"> </w:t>
            </w:r>
          </w:p>
        </w:tc>
        <w:tc>
          <w:tcPr>
            <w:tcW w:w="3183" w:type="dxa"/>
            <w:shd w:val="clear" w:color="auto" w:fill="auto"/>
          </w:tcPr>
          <w:p w14:paraId="6E259A1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معدل وفيات الرضع: 2,7 لكل </w:t>
            </w:r>
            <w:r w:rsidRPr="00564B9D">
              <w:rPr>
                <w:rFonts w:hint="cs"/>
                <w:sz w:val="20"/>
                <w:szCs w:val="20"/>
                <w:rtl/>
              </w:rPr>
              <w:t>000 1</w:t>
            </w:r>
            <w:r w:rsidRPr="00564B9D">
              <w:rPr>
                <w:sz w:val="20"/>
                <w:szCs w:val="20"/>
                <w:rtl/>
              </w:rPr>
              <w:t xml:space="preserve"> (2013-</w:t>
            </w:r>
            <w:r w:rsidRPr="00564B9D">
              <w:rPr>
                <w:rFonts w:hint="cs"/>
                <w:sz w:val="20"/>
                <w:szCs w:val="20"/>
                <w:rtl/>
              </w:rPr>
              <w:t>2015</w:t>
            </w:r>
            <w:r w:rsidRPr="00564B9D">
              <w:rPr>
                <w:sz w:val="20"/>
                <w:szCs w:val="20"/>
                <w:rtl/>
              </w:rPr>
              <w:t>)</w:t>
            </w:r>
          </w:p>
          <w:p w14:paraId="3394EF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معدل وفيات الأمهات: لم </w:t>
            </w:r>
            <w:r w:rsidRPr="00564B9D">
              <w:rPr>
                <w:rFonts w:hint="cs"/>
                <w:sz w:val="20"/>
                <w:szCs w:val="20"/>
                <w:rtl/>
              </w:rPr>
              <w:t>تتوفر المعلومات بعد</w:t>
            </w:r>
          </w:p>
        </w:tc>
      </w:tr>
      <w:tr w:rsidR="007B5A24" w:rsidRPr="00564B9D" w14:paraId="07A0650C" w14:textId="77777777" w:rsidTr="00804944">
        <w:trPr>
          <w:trHeight w:val="240"/>
        </w:trPr>
        <w:tc>
          <w:tcPr>
            <w:tcW w:w="4092" w:type="dxa"/>
            <w:shd w:val="clear" w:color="auto" w:fill="auto"/>
          </w:tcPr>
          <w:p w14:paraId="720CE9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3183" w:type="dxa"/>
            <w:shd w:val="clear" w:color="auto" w:fill="auto"/>
          </w:tcPr>
          <w:p w14:paraId="7465FC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79A7C76" w14:textId="77777777" w:rsidTr="00804944">
        <w:trPr>
          <w:trHeight w:val="240"/>
        </w:trPr>
        <w:tc>
          <w:tcPr>
            <w:tcW w:w="4092" w:type="dxa"/>
            <w:shd w:val="clear" w:color="auto" w:fill="auto"/>
          </w:tcPr>
          <w:p w14:paraId="2F513A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r w:rsidRPr="00564B9D">
              <w:rPr>
                <w:sz w:val="20"/>
                <w:szCs w:val="20"/>
                <w:vertAlign w:val="superscript"/>
                <w:rtl/>
              </w:rPr>
              <w:t>(</w:t>
            </w:r>
            <w:r w:rsidRPr="00564B9D">
              <w:rPr>
                <w:rStyle w:val="FootnoteReference"/>
                <w:rFonts w:cs="Simplified Arabic"/>
                <w:b w:val="0"/>
                <w:sz w:val="20"/>
                <w:szCs w:val="20"/>
                <w:rtl/>
                <w:lang w:val="en-US"/>
              </w:rPr>
              <w:footnoteReference w:id="314"/>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5A46C2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17,9 في المائة (2013-2015)</w:t>
            </w:r>
          </w:p>
        </w:tc>
      </w:tr>
      <w:tr w:rsidR="007B5A24" w:rsidRPr="00564B9D" w14:paraId="61624C53" w14:textId="77777777" w:rsidTr="00804944">
        <w:trPr>
          <w:trHeight w:val="240"/>
        </w:trPr>
        <w:tc>
          <w:tcPr>
            <w:tcW w:w="4092" w:type="dxa"/>
            <w:shd w:val="clear" w:color="auto" w:fill="auto"/>
          </w:tcPr>
          <w:p w14:paraId="2CA5BA8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r w:rsidRPr="00564B9D">
              <w:rPr>
                <w:sz w:val="20"/>
                <w:szCs w:val="20"/>
                <w:vertAlign w:val="superscript"/>
                <w:rtl/>
              </w:rPr>
              <w:t>(</w:t>
            </w:r>
            <w:r w:rsidRPr="00564B9D">
              <w:rPr>
                <w:rStyle w:val="FootnoteReference"/>
                <w:rFonts w:cs="Simplified Arabic"/>
                <w:b w:val="0"/>
                <w:sz w:val="20"/>
                <w:szCs w:val="20"/>
                <w:rtl/>
                <w:lang w:val="en-US"/>
              </w:rPr>
              <w:footnoteReference w:id="315"/>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6CF254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الوفيات بسبب الإصابة بفيروس نقص المناعة البشرية/الإيدز: صفر</w:t>
            </w:r>
          </w:p>
          <w:p w14:paraId="2791D2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الوفيات بسبب الملاريا: صفر</w:t>
            </w:r>
          </w:p>
          <w:p w14:paraId="204FC1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الوفيات بسب السل: أقل من 5</w:t>
            </w:r>
          </w:p>
          <w:p w14:paraId="2EC622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انتشار فيروس نقص المناعة البشرية/الإيدز/الملاريا/السل: لم تتوفر المعلومات بعد</w:t>
            </w:r>
          </w:p>
          <w:p w14:paraId="02285C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غيرنسي وألديرني (2013-2015)</w:t>
            </w:r>
          </w:p>
        </w:tc>
      </w:tr>
      <w:tr w:rsidR="007B5A24" w:rsidRPr="00564B9D" w14:paraId="1E313E92" w14:textId="77777777" w:rsidTr="00804944">
        <w:trPr>
          <w:trHeight w:val="240"/>
        </w:trPr>
        <w:tc>
          <w:tcPr>
            <w:tcW w:w="4092" w:type="dxa"/>
            <w:shd w:val="clear" w:color="auto" w:fill="auto"/>
          </w:tcPr>
          <w:p w14:paraId="131708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انتشار الأمراض السارية وغير السارية الرئيسية (الشائعة)</w:t>
            </w:r>
          </w:p>
        </w:tc>
        <w:tc>
          <w:tcPr>
            <w:tcW w:w="3183" w:type="dxa"/>
            <w:shd w:val="clear" w:color="auto" w:fill="auto"/>
          </w:tcPr>
          <w:p w14:paraId="75A0EEF9" w14:textId="142C99EE"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الوفيات بسبب مرض السكري (التصنيف الدولي العاشر للأمراض، الرموز</w:t>
            </w:r>
            <w:r w:rsidRPr="00564B9D">
              <w:rPr>
                <w:sz w:val="20"/>
                <w:szCs w:val="20"/>
              </w:rPr>
              <w:t>E</w:t>
            </w:r>
            <w:r w:rsidR="00D05241" w:rsidRPr="00564B9D">
              <w:rPr>
                <w:sz w:val="20"/>
                <w:szCs w:val="20"/>
              </w:rPr>
              <w:t>10</w:t>
            </w:r>
            <w:r w:rsidRPr="00564B9D">
              <w:rPr>
                <w:sz w:val="20"/>
                <w:szCs w:val="20"/>
              </w:rPr>
              <w:t>-E1</w:t>
            </w:r>
            <w:r w:rsidR="00D05241" w:rsidRPr="00564B9D">
              <w:rPr>
                <w:sz w:val="20"/>
                <w:szCs w:val="20"/>
              </w:rPr>
              <w:t>4</w:t>
            </w:r>
            <w:r w:rsidRPr="00564B9D">
              <w:rPr>
                <w:sz w:val="20"/>
                <w:szCs w:val="20"/>
                <w:rtl/>
              </w:rPr>
              <w:t>)</w:t>
            </w:r>
            <w:r w:rsidRPr="00564B9D">
              <w:rPr>
                <w:rFonts w:hint="cs"/>
                <w:sz w:val="20"/>
                <w:szCs w:val="20"/>
                <w:rtl/>
              </w:rPr>
              <w:t>، المعدل الأوروبي للوفيات حسب متوسط الأعمار لكل 000</w:t>
            </w:r>
            <w:r w:rsidRPr="00564B9D">
              <w:rPr>
                <w:sz w:val="20"/>
                <w:szCs w:val="20"/>
                <w:rtl/>
              </w:rPr>
              <w:t> </w:t>
            </w:r>
            <w:r w:rsidRPr="00564B9D">
              <w:rPr>
                <w:rFonts w:hint="cs"/>
                <w:sz w:val="20"/>
                <w:szCs w:val="20"/>
                <w:rtl/>
              </w:rPr>
              <w:t>100 شخص: لم تتوفر المعلومات بعد</w:t>
            </w:r>
          </w:p>
          <w:p w14:paraId="39FCBDBE" w14:textId="68F534AD"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الوفيات بسبب جميع أنواع السرطان (التصنيف الدولي العاشر للأمراض، الرموز </w:t>
            </w:r>
            <w:r w:rsidRPr="00564B9D">
              <w:rPr>
                <w:sz w:val="20"/>
                <w:szCs w:val="20"/>
              </w:rPr>
              <w:t>C</w:t>
            </w:r>
            <w:r w:rsidR="00D05241" w:rsidRPr="00564B9D">
              <w:rPr>
                <w:sz w:val="20"/>
                <w:szCs w:val="20"/>
              </w:rPr>
              <w:t>00</w:t>
            </w:r>
            <w:r w:rsidRPr="00564B9D">
              <w:rPr>
                <w:sz w:val="20"/>
                <w:szCs w:val="20"/>
              </w:rPr>
              <w:t>-C</w:t>
            </w:r>
            <w:r w:rsidR="00D05241" w:rsidRPr="00564B9D">
              <w:rPr>
                <w:sz w:val="20"/>
                <w:szCs w:val="20"/>
              </w:rPr>
              <w:t>97</w:t>
            </w:r>
            <w:r w:rsidRPr="00564B9D">
              <w:rPr>
                <w:rFonts w:hint="cs"/>
                <w:sz w:val="20"/>
                <w:szCs w:val="20"/>
                <w:rtl/>
              </w:rPr>
              <w:t>)، المعدل الأوروبي للوفيات حسب متوسط الأعمار لكل 000</w:t>
            </w:r>
            <w:r w:rsidRPr="00564B9D">
              <w:rPr>
                <w:sz w:val="20"/>
                <w:szCs w:val="20"/>
                <w:rtl/>
              </w:rPr>
              <w:t> </w:t>
            </w:r>
            <w:r w:rsidRPr="00564B9D">
              <w:rPr>
                <w:rFonts w:hint="cs"/>
                <w:sz w:val="20"/>
                <w:szCs w:val="20"/>
                <w:rtl/>
              </w:rPr>
              <w:t>100 شخص:</w:t>
            </w:r>
          </w:p>
          <w:p w14:paraId="300802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جميع الأعمار: لم تتوفر المعلومات بعد</w:t>
            </w:r>
          </w:p>
          <w:p w14:paraId="3E53139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أقل من 75: 90,0 لكل 000</w:t>
            </w:r>
            <w:r w:rsidRPr="00564B9D">
              <w:rPr>
                <w:sz w:val="20"/>
                <w:szCs w:val="20"/>
                <w:rtl/>
              </w:rPr>
              <w:t> </w:t>
            </w:r>
            <w:r w:rsidRPr="00564B9D">
              <w:rPr>
                <w:rFonts w:hint="cs"/>
                <w:sz w:val="20"/>
                <w:szCs w:val="20"/>
                <w:rtl/>
              </w:rPr>
              <w:t xml:space="preserve">100 شخص (95 في المائة </w:t>
            </w:r>
            <w:r w:rsidRPr="00564B9D">
              <w:rPr>
                <w:sz w:val="20"/>
                <w:szCs w:val="20"/>
              </w:rPr>
              <w:t>CI</w:t>
            </w:r>
            <w:r w:rsidRPr="00564B9D">
              <w:rPr>
                <w:rFonts w:hint="cs"/>
                <w:sz w:val="20"/>
                <w:szCs w:val="20"/>
                <w:rtl/>
              </w:rPr>
              <w:t>: 105,9 إلى 140,2)</w:t>
            </w:r>
            <w:r w:rsidRPr="00564B9D">
              <w:rPr>
                <w:sz w:val="20"/>
                <w:szCs w:val="20"/>
                <w:vertAlign w:val="superscript"/>
                <w:rtl/>
              </w:rPr>
              <w:t>(</w:t>
            </w:r>
            <w:r w:rsidRPr="00564B9D">
              <w:rPr>
                <w:rStyle w:val="FootnoteReference"/>
                <w:rFonts w:cs="Simplified Arabic"/>
                <w:b w:val="0"/>
                <w:sz w:val="20"/>
                <w:szCs w:val="20"/>
                <w:rtl/>
                <w:lang w:val="en-US"/>
              </w:rPr>
              <w:footnoteReference w:id="316"/>
            </w:r>
            <w:r w:rsidRPr="00564B9D">
              <w:rPr>
                <w:sz w:val="20"/>
                <w:szCs w:val="20"/>
                <w:vertAlign w:val="superscript"/>
                <w:rtl/>
              </w:rPr>
              <w:t>)</w:t>
            </w:r>
            <w:r w:rsidRPr="00564B9D">
              <w:rPr>
                <w:sz w:val="20"/>
                <w:szCs w:val="20"/>
                <w:rtl/>
              </w:rPr>
              <w:t xml:space="preserve"> </w:t>
            </w:r>
          </w:p>
          <w:p w14:paraId="1422DC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الوفيات بسب مرض القلب والمرض القلبي الوعائي (التصنيف الدولي العاشر للأمراض، الرموز </w:t>
            </w:r>
            <w:r w:rsidRPr="00564B9D">
              <w:rPr>
                <w:sz w:val="20"/>
                <w:szCs w:val="20"/>
              </w:rPr>
              <w:t>I00-I99</w:t>
            </w:r>
            <w:r w:rsidRPr="00564B9D">
              <w:rPr>
                <w:rFonts w:hint="cs"/>
                <w:sz w:val="20"/>
                <w:szCs w:val="20"/>
                <w:rtl/>
              </w:rPr>
              <w:t>)، المعدل الأوروبي للوفيات حسب متوسط الأعمار لكل 000</w:t>
            </w:r>
            <w:r w:rsidRPr="00564B9D">
              <w:rPr>
                <w:sz w:val="20"/>
                <w:szCs w:val="20"/>
                <w:rtl/>
              </w:rPr>
              <w:t> </w:t>
            </w:r>
            <w:r w:rsidRPr="00564B9D">
              <w:rPr>
                <w:rFonts w:hint="cs"/>
                <w:sz w:val="20"/>
                <w:szCs w:val="20"/>
                <w:rtl/>
              </w:rPr>
              <w:t>100 شخص:</w:t>
            </w:r>
          </w:p>
          <w:p w14:paraId="187C60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p w14:paraId="7698E1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أقل من 75: 47,5 في المائة لكل 000</w:t>
            </w:r>
            <w:r w:rsidRPr="00564B9D">
              <w:rPr>
                <w:sz w:val="20"/>
                <w:szCs w:val="20"/>
                <w:rtl/>
              </w:rPr>
              <w:t> </w:t>
            </w:r>
            <w:r w:rsidRPr="00564B9D">
              <w:rPr>
                <w:rFonts w:hint="cs"/>
                <w:sz w:val="20"/>
                <w:szCs w:val="20"/>
                <w:rtl/>
              </w:rPr>
              <w:t xml:space="preserve">100 شخص (95 في المائة </w:t>
            </w:r>
            <w:r w:rsidRPr="00564B9D">
              <w:rPr>
                <w:sz w:val="20"/>
                <w:szCs w:val="20"/>
              </w:rPr>
              <w:t>CI</w:t>
            </w:r>
            <w:r w:rsidRPr="00564B9D">
              <w:rPr>
                <w:rFonts w:hint="cs"/>
                <w:sz w:val="20"/>
                <w:szCs w:val="20"/>
                <w:rtl/>
              </w:rPr>
              <w:t>: 38,8 إلى 60,7)</w:t>
            </w:r>
            <w:r w:rsidRPr="00564B9D">
              <w:rPr>
                <w:sz w:val="20"/>
                <w:szCs w:val="20"/>
                <w:vertAlign w:val="superscript"/>
                <w:rtl/>
              </w:rPr>
              <w:t>(</w:t>
            </w:r>
            <w:r w:rsidRPr="00564B9D">
              <w:rPr>
                <w:rStyle w:val="FootnoteReference"/>
                <w:rFonts w:cs="Simplified Arabic"/>
                <w:b w:val="0"/>
                <w:sz w:val="20"/>
                <w:szCs w:val="20"/>
                <w:rtl/>
                <w:lang w:val="en-US"/>
              </w:rPr>
              <w:footnoteReference w:id="317"/>
            </w:r>
            <w:r w:rsidRPr="00564B9D">
              <w:rPr>
                <w:sz w:val="20"/>
                <w:szCs w:val="20"/>
                <w:vertAlign w:val="superscript"/>
                <w:rtl/>
              </w:rPr>
              <w:t>)</w:t>
            </w:r>
            <w:r w:rsidRPr="00564B9D">
              <w:rPr>
                <w:sz w:val="20"/>
                <w:szCs w:val="20"/>
                <w:rtl/>
              </w:rPr>
              <w:t xml:space="preserve"> </w:t>
            </w:r>
          </w:p>
          <w:p w14:paraId="62136C5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غيرنسي وألديرني (2013-2015)</w:t>
            </w:r>
          </w:p>
        </w:tc>
      </w:tr>
      <w:tr w:rsidR="007B5A24" w:rsidRPr="00564B9D" w14:paraId="26F571D4" w14:textId="77777777" w:rsidTr="00804944">
        <w:trPr>
          <w:trHeight w:val="240"/>
        </w:trPr>
        <w:tc>
          <w:tcPr>
            <w:tcW w:w="4092" w:type="dxa"/>
            <w:shd w:val="clear" w:color="auto" w:fill="auto"/>
          </w:tcPr>
          <w:p w14:paraId="623A3A8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r w:rsidRPr="00564B9D">
              <w:rPr>
                <w:sz w:val="20"/>
                <w:szCs w:val="20"/>
                <w:vertAlign w:val="superscript"/>
                <w:rtl/>
              </w:rPr>
              <w:t>(</w:t>
            </w:r>
            <w:r w:rsidRPr="00564B9D">
              <w:rPr>
                <w:rStyle w:val="FootnoteReference"/>
                <w:rFonts w:cs="Simplified Arabic"/>
                <w:b w:val="0"/>
                <w:sz w:val="20"/>
                <w:szCs w:val="20"/>
                <w:rtl/>
                <w:lang w:val="en-US"/>
              </w:rPr>
              <w:footnoteReference w:id="318"/>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6EE3746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الأسباب الرئيسية للوفيات المسجلة</w:t>
            </w:r>
            <w:r w:rsidRPr="00564B9D">
              <w:rPr>
                <w:rFonts w:hint="cs"/>
                <w:sz w:val="20"/>
                <w:szCs w:val="20"/>
                <w:rtl/>
              </w:rPr>
              <w:t xml:space="preserve"> في الفترة</w:t>
            </w:r>
            <w:r w:rsidRPr="00564B9D">
              <w:rPr>
                <w:sz w:val="20"/>
                <w:szCs w:val="20"/>
                <w:rtl/>
              </w:rPr>
              <w:t xml:space="preserve"> 2013-2015 </w:t>
            </w:r>
            <w:r w:rsidRPr="00564B9D">
              <w:rPr>
                <w:rFonts w:hint="cs"/>
                <w:sz w:val="20"/>
                <w:szCs w:val="20"/>
                <w:rtl/>
              </w:rPr>
              <w:t>هي</w:t>
            </w:r>
            <w:r w:rsidRPr="00564B9D">
              <w:rPr>
                <w:sz w:val="20"/>
                <w:szCs w:val="20"/>
                <w:rtl/>
              </w:rPr>
              <w:t xml:space="preserve">: أمراض الدورة الدموية (31 في المائة)؛ الأورام (29 في المائة)؛ أمراض الجهاز التنفسي (13 في المائة)؛ الاضطرابات النفسية والسلوكية (7 في المائة)؛ أمراض الجهاز الهضمي (4 في المائة) غيرنسي </w:t>
            </w:r>
            <w:r w:rsidRPr="00564B9D">
              <w:rPr>
                <w:rFonts w:hint="cs"/>
                <w:sz w:val="20"/>
                <w:szCs w:val="20"/>
                <w:rtl/>
              </w:rPr>
              <w:t xml:space="preserve">وألديرني </w:t>
            </w:r>
            <w:r w:rsidRPr="00564B9D">
              <w:rPr>
                <w:sz w:val="20"/>
                <w:szCs w:val="20"/>
                <w:rtl/>
              </w:rPr>
              <w:t>(2013-15)</w:t>
            </w:r>
          </w:p>
        </w:tc>
      </w:tr>
      <w:tr w:rsidR="007B5A24" w:rsidRPr="00564B9D" w14:paraId="44E90A42" w14:textId="77777777" w:rsidTr="00804944">
        <w:trPr>
          <w:trHeight w:val="430"/>
        </w:trPr>
        <w:tc>
          <w:tcPr>
            <w:tcW w:w="4092" w:type="dxa"/>
            <w:shd w:val="clear" w:color="auto" w:fill="auto"/>
          </w:tcPr>
          <w:p w14:paraId="311CA6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183" w:type="dxa"/>
            <w:shd w:val="clear" w:color="auto" w:fill="auto"/>
          </w:tcPr>
          <w:p w14:paraId="33364B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4AAEAC57" w14:textId="77777777" w:rsidTr="00804944">
        <w:trPr>
          <w:trHeight w:val="484"/>
        </w:trPr>
        <w:tc>
          <w:tcPr>
            <w:tcW w:w="4092" w:type="dxa"/>
            <w:shd w:val="clear" w:color="auto" w:fill="auto"/>
          </w:tcPr>
          <w:p w14:paraId="3B3B61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lang w:val="en-US"/>
              </w:rPr>
            </w:pPr>
            <w:r w:rsidRPr="00564B9D">
              <w:rPr>
                <w:rFonts w:hint="cs"/>
                <w:sz w:val="20"/>
                <w:szCs w:val="20"/>
                <w:rtl/>
              </w:rPr>
              <w:t>معدلات الحضور والتسرب في التعليم الابتدائي والثانوي</w:t>
            </w:r>
            <w:r w:rsidRPr="00564B9D">
              <w:rPr>
                <w:sz w:val="20"/>
                <w:szCs w:val="20"/>
                <w:vertAlign w:val="superscript"/>
                <w:rtl/>
              </w:rPr>
              <w:t>(</w:t>
            </w:r>
            <w:r w:rsidRPr="00564B9D">
              <w:rPr>
                <w:rStyle w:val="FootnoteReference"/>
                <w:rFonts w:cs="Simplified Arabic"/>
                <w:b w:val="0"/>
                <w:sz w:val="20"/>
                <w:szCs w:val="20"/>
                <w:rtl/>
                <w:lang w:val="en-US"/>
              </w:rPr>
              <w:footnoteReference w:id="319"/>
            </w:r>
            <w:r w:rsidRPr="00564B9D">
              <w:rPr>
                <w:sz w:val="20"/>
                <w:szCs w:val="20"/>
                <w:vertAlign w:val="superscript"/>
                <w:rtl/>
              </w:rPr>
              <w:t>)</w:t>
            </w:r>
          </w:p>
        </w:tc>
        <w:tc>
          <w:tcPr>
            <w:tcW w:w="3183" w:type="dxa"/>
            <w:shd w:val="clear" w:color="auto" w:fill="auto"/>
          </w:tcPr>
          <w:p w14:paraId="700884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تعليم ابتدائي: 95,66 في المائة</w:t>
            </w:r>
          </w:p>
          <w:p w14:paraId="11CC1D1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تعليم ثانوي: 93,24 في المائة</w:t>
            </w:r>
          </w:p>
          <w:p w14:paraId="5E85B6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مدارس خاصة (للتلاميذ الذين يحتاجون إلى رعاية أكثر تخصصاً) 91,19 في المائة </w:t>
            </w:r>
          </w:p>
        </w:tc>
      </w:tr>
      <w:tr w:rsidR="007B5A24" w:rsidRPr="00564B9D" w14:paraId="14DB273F" w14:textId="77777777" w:rsidTr="00804944">
        <w:trPr>
          <w:trHeight w:val="240"/>
        </w:trPr>
        <w:tc>
          <w:tcPr>
            <w:tcW w:w="4092" w:type="dxa"/>
            <w:shd w:val="clear" w:color="auto" w:fill="auto"/>
          </w:tcPr>
          <w:p w14:paraId="2A166A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r w:rsidRPr="00564B9D">
              <w:rPr>
                <w:sz w:val="20"/>
                <w:szCs w:val="20"/>
                <w:vertAlign w:val="superscript"/>
                <w:rtl/>
              </w:rPr>
              <w:t>(</w:t>
            </w:r>
            <w:r w:rsidRPr="00564B9D">
              <w:rPr>
                <w:rStyle w:val="FootnoteReference"/>
                <w:rFonts w:cs="Simplified Arabic"/>
                <w:b w:val="0"/>
                <w:sz w:val="20"/>
                <w:szCs w:val="20"/>
                <w:rtl/>
                <w:lang w:val="en-US"/>
              </w:rPr>
              <w:footnoteReference w:id="320"/>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390796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تعليم ابتدائي: 1: 17,72</w:t>
            </w:r>
          </w:p>
          <w:p w14:paraId="732CB2F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تعليم ثانوي: (ويتضمن المدارس الثانوية الصف السادس): 1: 12,81</w:t>
            </w:r>
          </w:p>
        </w:tc>
      </w:tr>
      <w:tr w:rsidR="007B5A24" w:rsidRPr="00564B9D" w14:paraId="5E7E6554" w14:textId="77777777" w:rsidTr="00804944">
        <w:trPr>
          <w:trHeight w:val="240"/>
        </w:trPr>
        <w:tc>
          <w:tcPr>
            <w:tcW w:w="4092" w:type="dxa"/>
            <w:shd w:val="clear" w:color="auto" w:fill="auto"/>
          </w:tcPr>
          <w:p w14:paraId="367D4A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 الإلمام بالقراءة والكتابة بين البالغين</w:t>
            </w:r>
          </w:p>
        </w:tc>
        <w:tc>
          <w:tcPr>
            <w:tcW w:w="3183" w:type="dxa"/>
            <w:shd w:val="clear" w:color="auto" w:fill="auto"/>
          </w:tcPr>
          <w:p w14:paraId="7F96FD3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r w:rsidR="007B5A24" w:rsidRPr="00564B9D" w14:paraId="16F95E5C" w14:textId="77777777" w:rsidTr="00804944">
        <w:trPr>
          <w:trHeight w:val="240"/>
        </w:trPr>
        <w:tc>
          <w:tcPr>
            <w:tcW w:w="4092" w:type="dxa"/>
            <w:shd w:val="clear" w:color="auto" w:fill="auto"/>
          </w:tcPr>
          <w:p w14:paraId="320222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البطالة</w:t>
            </w:r>
            <w:r w:rsidRPr="00564B9D">
              <w:rPr>
                <w:sz w:val="20"/>
                <w:szCs w:val="20"/>
                <w:vertAlign w:val="superscript"/>
                <w:rtl/>
              </w:rPr>
              <w:t>(</w:t>
            </w:r>
            <w:r w:rsidRPr="00564B9D">
              <w:rPr>
                <w:rStyle w:val="FootnoteReference"/>
                <w:rFonts w:cs="Simplified Arabic"/>
                <w:b w:val="0"/>
                <w:sz w:val="20"/>
                <w:szCs w:val="20"/>
                <w:rtl/>
                <w:lang w:val="en-US"/>
              </w:rPr>
              <w:footnoteReference w:id="321"/>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16FA2F6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1,8 في المائة (</w:t>
            </w:r>
            <w:r w:rsidRPr="00564B9D">
              <w:rPr>
                <w:sz w:val="20"/>
                <w:szCs w:val="20"/>
                <w:rtl/>
              </w:rPr>
              <w:t>نسبة القوى العاملة العاطل</w:t>
            </w:r>
            <w:r w:rsidRPr="00564B9D">
              <w:rPr>
                <w:rFonts w:hint="cs"/>
                <w:sz w:val="20"/>
                <w:szCs w:val="20"/>
                <w:rtl/>
              </w:rPr>
              <w:t>ة</w:t>
            </w:r>
            <w:r w:rsidRPr="00564B9D">
              <w:rPr>
                <w:sz w:val="20"/>
                <w:szCs w:val="20"/>
                <w:rtl/>
              </w:rPr>
              <w:t xml:space="preserve"> عن العمل بالكامل في 3 </w:t>
            </w:r>
            <w:r w:rsidRPr="00564B9D">
              <w:rPr>
                <w:rFonts w:hint="cs"/>
                <w:sz w:val="20"/>
                <w:szCs w:val="20"/>
                <w:rtl/>
              </w:rPr>
              <w:t>تشرين الأول/</w:t>
            </w:r>
            <w:r w:rsidRPr="00564B9D">
              <w:rPr>
                <w:sz w:val="20"/>
                <w:szCs w:val="20"/>
                <w:rtl/>
              </w:rPr>
              <w:t>أكتوبر 2020)</w:t>
            </w:r>
          </w:p>
        </w:tc>
      </w:tr>
      <w:tr w:rsidR="007B5A24" w:rsidRPr="00564B9D" w14:paraId="254574B4" w14:textId="77777777" w:rsidTr="00804944">
        <w:trPr>
          <w:trHeight w:val="240"/>
        </w:trPr>
        <w:tc>
          <w:tcPr>
            <w:tcW w:w="4092" w:type="dxa"/>
            <w:shd w:val="clear" w:color="auto" w:fill="auto"/>
          </w:tcPr>
          <w:p w14:paraId="77A59E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r w:rsidRPr="00564B9D">
              <w:rPr>
                <w:sz w:val="20"/>
                <w:szCs w:val="20"/>
                <w:vertAlign w:val="superscript"/>
                <w:rtl/>
              </w:rPr>
              <w:t>(</w:t>
            </w:r>
            <w:r w:rsidRPr="00564B9D">
              <w:rPr>
                <w:rStyle w:val="FootnoteReference"/>
                <w:rFonts w:cs="Simplified Arabic"/>
                <w:b w:val="0"/>
                <w:sz w:val="20"/>
                <w:szCs w:val="20"/>
                <w:rtl/>
                <w:lang w:val="en-US"/>
              </w:rPr>
              <w:footnoteReference w:id="322"/>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27AC4B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العاملين الإجمالي (النسبة المئوية من المجموع لكل القطاعات)</w:t>
            </w:r>
          </w:p>
          <w:p w14:paraId="17DE5E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الزراعة والبستنة والصيد واستغلال المحاجر: 455 (1,5 </w:t>
            </w:r>
            <w:r w:rsidRPr="00564B9D">
              <w:rPr>
                <w:rFonts w:hint="cs"/>
                <w:sz w:val="20"/>
                <w:szCs w:val="20"/>
                <w:rtl/>
              </w:rPr>
              <w:t>في المائة)</w:t>
            </w:r>
          </w:p>
          <w:p w14:paraId="48E19C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الصناعة: 666 (2,1 في المائة)</w:t>
            </w:r>
          </w:p>
          <w:p w14:paraId="124891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إمدادات الكهرباء والغاز والبخار وتكييف الهواء: 279 (0,9 في المائة)</w:t>
            </w:r>
          </w:p>
          <w:p w14:paraId="04FDFF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إمدادات المياه والصرف الصحي وإدارة النفايات وأنشطة المعالجة: 126 (0,4 في المائة)</w:t>
            </w:r>
          </w:p>
          <w:p w14:paraId="1F34DE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البناء: </w:t>
            </w:r>
            <w:r w:rsidRPr="00564B9D">
              <w:rPr>
                <w:rFonts w:hint="cs"/>
                <w:sz w:val="20"/>
                <w:szCs w:val="20"/>
                <w:rtl/>
              </w:rPr>
              <w:t>780 2</w:t>
            </w:r>
            <w:r w:rsidRPr="00564B9D">
              <w:rPr>
                <w:sz w:val="20"/>
                <w:szCs w:val="20"/>
                <w:rtl/>
              </w:rPr>
              <w:t xml:space="preserve"> (8,9 في المائة)</w:t>
            </w:r>
          </w:p>
          <w:p w14:paraId="4A36DF2D" w14:textId="1E4CA1CD"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البيع بالجملة والتجزئة والإصلاحات: </w:t>
            </w:r>
            <w:r w:rsidRPr="00564B9D">
              <w:rPr>
                <w:rFonts w:hint="cs"/>
                <w:sz w:val="20"/>
                <w:szCs w:val="20"/>
                <w:rtl/>
              </w:rPr>
              <w:t>750 3</w:t>
            </w:r>
            <w:r w:rsidRPr="00564B9D">
              <w:rPr>
                <w:sz w:val="20"/>
                <w:szCs w:val="20"/>
                <w:rtl/>
              </w:rPr>
              <w:t xml:space="preserve"> (12 في المائة)</w:t>
            </w:r>
          </w:p>
          <w:p w14:paraId="361CAE5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الفنادق: </w:t>
            </w:r>
            <w:r w:rsidRPr="00564B9D">
              <w:rPr>
                <w:rFonts w:hint="cs"/>
                <w:sz w:val="20"/>
                <w:szCs w:val="20"/>
                <w:rtl/>
              </w:rPr>
              <w:t>648 1</w:t>
            </w:r>
            <w:r w:rsidRPr="00564B9D">
              <w:rPr>
                <w:sz w:val="20"/>
                <w:szCs w:val="20"/>
                <w:rtl/>
              </w:rPr>
              <w:t xml:space="preserve"> (5,3 في المائة)</w:t>
            </w:r>
          </w:p>
          <w:p w14:paraId="055A31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النقل والتخزين: </w:t>
            </w:r>
            <w:r w:rsidRPr="00564B9D">
              <w:rPr>
                <w:rFonts w:hint="cs"/>
                <w:sz w:val="20"/>
                <w:szCs w:val="20"/>
                <w:rtl/>
              </w:rPr>
              <w:t>101 1</w:t>
            </w:r>
            <w:r w:rsidRPr="00564B9D">
              <w:rPr>
                <w:sz w:val="20"/>
                <w:szCs w:val="20"/>
                <w:rtl/>
              </w:rPr>
              <w:t xml:space="preserve"> (3,5 في المائة)</w:t>
            </w:r>
          </w:p>
          <w:p w14:paraId="7016B9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الإعلام والاتصال: 866 (2,8 في المائة)</w:t>
            </w:r>
          </w:p>
          <w:p w14:paraId="32D9F772" w14:textId="014A5654"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المالية: 987</w:t>
            </w:r>
            <w:r w:rsidR="003B0B30" w:rsidRPr="00564B9D">
              <w:rPr>
                <w:rFonts w:hint="cs"/>
                <w:sz w:val="20"/>
                <w:szCs w:val="20"/>
                <w:rtl/>
              </w:rPr>
              <w:t xml:space="preserve"> </w:t>
            </w:r>
            <w:r w:rsidR="003B0B30" w:rsidRPr="00564B9D">
              <w:rPr>
                <w:sz w:val="20"/>
                <w:szCs w:val="20"/>
                <w:rtl/>
              </w:rPr>
              <w:t>5</w:t>
            </w:r>
            <w:r w:rsidRPr="00564B9D">
              <w:rPr>
                <w:sz w:val="20"/>
                <w:szCs w:val="20"/>
                <w:rtl/>
              </w:rPr>
              <w:t xml:space="preserve"> (19,1 في المائة)</w:t>
            </w:r>
          </w:p>
          <w:p w14:paraId="6EF6AF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الأنشطة العقارية: 289 (0,9 في المائة)</w:t>
            </w:r>
          </w:p>
          <w:p w14:paraId="08B1C87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الأنشطة المهنية والتجارية والعلمية والتقنية: </w:t>
            </w:r>
            <w:r w:rsidRPr="00564B9D">
              <w:rPr>
                <w:rFonts w:hint="cs"/>
                <w:sz w:val="20"/>
                <w:szCs w:val="20"/>
                <w:rtl/>
              </w:rPr>
              <w:t>835 2</w:t>
            </w:r>
            <w:r w:rsidRPr="00564B9D">
              <w:rPr>
                <w:sz w:val="20"/>
                <w:szCs w:val="20"/>
                <w:rtl/>
              </w:rPr>
              <w:t xml:space="preserve"> (9,1 في المائة)</w:t>
            </w:r>
          </w:p>
          <w:p w14:paraId="276557A0" w14:textId="2F9DD2E0"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أنشطة الخدمات الإدارية والدعم: 577</w:t>
            </w:r>
            <w:r w:rsidR="003B0B30" w:rsidRPr="00564B9D">
              <w:rPr>
                <w:rFonts w:hint="cs"/>
                <w:sz w:val="20"/>
                <w:szCs w:val="20"/>
                <w:rtl/>
              </w:rPr>
              <w:t xml:space="preserve"> </w:t>
            </w:r>
            <w:r w:rsidR="003B0B30" w:rsidRPr="00564B9D">
              <w:rPr>
                <w:sz w:val="20"/>
                <w:szCs w:val="20"/>
                <w:rtl/>
              </w:rPr>
              <w:t>1</w:t>
            </w:r>
            <w:r w:rsidRPr="00564B9D">
              <w:rPr>
                <w:sz w:val="20"/>
                <w:szCs w:val="20"/>
                <w:rtl/>
              </w:rPr>
              <w:t xml:space="preserve"> (5,0 في المائة)</w:t>
            </w:r>
          </w:p>
          <w:p w14:paraId="75DF64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الإدارة العامة: </w:t>
            </w:r>
            <w:r w:rsidRPr="00564B9D">
              <w:rPr>
                <w:rFonts w:hint="cs"/>
                <w:sz w:val="20"/>
                <w:szCs w:val="20"/>
                <w:rtl/>
              </w:rPr>
              <w:t>445 5</w:t>
            </w:r>
            <w:r w:rsidRPr="00564B9D">
              <w:rPr>
                <w:sz w:val="20"/>
                <w:szCs w:val="20"/>
                <w:rtl/>
              </w:rPr>
              <w:t xml:space="preserve"> (17,4 في المائة)</w:t>
            </w:r>
          </w:p>
          <w:p w14:paraId="161B7D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التعليم: 624 (2,0 في المائة)</w:t>
            </w:r>
          </w:p>
          <w:p w14:paraId="37AFB54D" w14:textId="1FFA3BEB"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أنشطة الصحة البشرية والعمل الاجتماعي والخيري: 996</w:t>
            </w:r>
            <w:r w:rsidR="003B0B30" w:rsidRPr="00564B9D">
              <w:rPr>
                <w:rFonts w:hint="cs"/>
                <w:sz w:val="20"/>
                <w:szCs w:val="20"/>
                <w:rtl/>
              </w:rPr>
              <w:t xml:space="preserve"> </w:t>
            </w:r>
            <w:r w:rsidR="003B0B30" w:rsidRPr="00564B9D">
              <w:rPr>
                <w:sz w:val="20"/>
                <w:szCs w:val="20"/>
                <w:rtl/>
              </w:rPr>
              <w:t>1</w:t>
            </w:r>
            <w:r w:rsidRPr="00564B9D">
              <w:rPr>
                <w:sz w:val="20"/>
                <w:szCs w:val="20"/>
                <w:rtl/>
              </w:rPr>
              <w:t xml:space="preserve"> (6,4 في المائة)</w:t>
            </w:r>
          </w:p>
          <w:p w14:paraId="6ACB11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الفنون والترفيه والاستجمام: 339 (1,1 في المائة)</w:t>
            </w:r>
          </w:p>
          <w:p w14:paraId="0B7312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الأنشطة الخدمية الأخرى: 467 (1,5 في المائة)</w:t>
            </w:r>
          </w:p>
          <w:p w14:paraId="588E8A2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أنشطة الأسر كأرباب عمل: 77 (0,2 في المائة)</w:t>
            </w:r>
          </w:p>
          <w:p w14:paraId="6F566F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أخرى: 0 (0 في المائة)</w:t>
            </w:r>
          </w:p>
          <w:p w14:paraId="620CEF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المجموع لجميع القطاعات: 307 31</w:t>
            </w:r>
          </w:p>
        </w:tc>
      </w:tr>
      <w:tr w:rsidR="007B5A24" w:rsidRPr="00564B9D" w14:paraId="35049539" w14:textId="77777777" w:rsidTr="00804944">
        <w:trPr>
          <w:trHeight w:val="240"/>
        </w:trPr>
        <w:tc>
          <w:tcPr>
            <w:tcW w:w="4092" w:type="dxa"/>
            <w:shd w:val="clear" w:color="auto" w:fill="auto"/>
          </w:tcPr>
          <w:p w14:paraId="749AF0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المشاركة في العمل</w:t>
            </w:r>
            <w:r w:rsidRPr="00564B9D">
              <w:rPr>
                <w:sz w:val="20"/>
                <w:szCs w:val="20"/>
                <w:vertAlign w:val="superscript"/>
                <w:rtl/>
              </w:rPr>
              <w:t>(</w:t>
            </w:r>
            <w:r w:rsidRPr="00564B9D">
              <w:rPr>
                <w:rStyle w:val="FootnoteReference"/>
                <w:rFonts w:cs="Simplified Arabic"/>
                <w:b w:val="0"/>
                <w:sz w:val="20"/>
                <w:szCs w:val="20"/>
                <w:rtl/>
                <w:lang w:val="en-US"/>
              </w:rPr>
              <w:footnoteReference w:id="323"/>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7705CFDF" w14:textId="7CE7EBDE" w:rsidR="00494AE4" w:rsidRPr="00564B9D" w:rsidRDefault="003B0B30"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49</w:t>
            </w:r>
            <w:r w:rsidR="00494AE4" w:rsidRPr="00564B9D">
              <w:rPr>
                <w:rFonts w:hint="cs"/>
                <w:sz w:val="20"/>
                <w:szCs w:val="20"/>
                <w:rtl/>
              </w:rPr>
              <w:t>,60 في المائة (2019)</w:t>
            </w:r>
          </w:p>
        </w:tc>
      </w:tr>
      <w:tr w:rsidR="007B5A24" w:rsidRPr="00564B9D" w14:paraId="58B51C3B" w14:textId="77777777" w:rsidTr="00804944">
        <w:trPr>
          <w:trHeight w:val="240"/>
        </w:trPr>
        <w:tc>
          <w:tcPr>
            <w:tcW w:w="4092" w:type="dxa"/>
            <w:shd w:val="clear" w:color="auto" w:fill="auto"/>
          </w:tcPr>
          <w:p w14:paraId="0BDD85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نسبة القوى العاملة المسجلة في نقابات العمال</w:t>
            </w:r>
          </w:p>
        </w:tc>
        <w:tc>
          <w:tcPr>
            <w:tcW w:w="3183" w:type="dxa"/>
            <w:shd w:val="clear" w:color="auto" w:fill="auto"/>
          </w:tcPr>
          <w:p w14:paraId="4C4D9E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7125BFD" w14:textId="77777777" w:rsidTr="00804944">
        <w:trPr>
          <w:trHeight w:val="240"/>
        </w:trPr>
        <w:tc>
          <w:tcPr>
            <w:tcW w:w="4092" w:type="dxa"/>
            <w:shd w:val="clear" w:color="auto" w:fill="auto"/>
          </w:tcPr>
          <w:p w14:paraId="3708F68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نصيب الفرد من الدخل</w:t>
            </w:r>
            <w:r w:rsidRPr="00564B9D">
              <w:rPr>
                <w:sz w:val="20"/>
                <w:szCs w:val="20"/>
                <w:vertAlign w:val="superscript"/>
                <w:rtl/>
              </w:rPr>
              <w:t>(</w:t>
            </w:r>
            <w:r w:rsidRPr="00564B9D">
              <w:rPr>
                <w:rStyle w:val="FootnoteReference"/>
                <w:rFonts w:cs="Simplified Arabic"/>
                <w:b w:val="0"/>
                <w:sz w:val="20"/>
                <w:szCs w:val="20"/>
                <w:rtl/>
                <w:lang w:val="en-US"/>
              </w:rPr>
              <w:footnoteReference w:id="324"/>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6DE64C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479</w:t>
            </w:r>
            <w:r w:rsidRPr="00564B9D">
              <w:rPr>
                <w:sz w:val="20"/>
                <w:szCs w:val="20"/>
                <w:rtl/>
              </w:rPr>
              <w:t> </w:t>
            </w:r>
            <w:r w:rsidRPr="00564B9D">
              <w:rPr>
                <w:rFonts w:hint="cs"/>
                <w:sz w:val="20"/>
                <w:szCs w:val="20"/>
                <w:rtl/>
              </w:rPr>
              <w:t>34 جنيهاً استرلينياً</w:t>
            </w:r>
          </w:p>
        </w:tc>
      </w:tr>
      <w:tr w:rsidR="007B5A24" w:rsidRPr="00564B9D" w14:paraId="29CF1E10" w14:textId="77777777" w:rsidTr="00804944">
        <w:trPr>
          <w:trHeight w:val="333"/>
        </w:trPr>
        <w:tc>
          <w:tcPr>
            <w:tcW w:w="4092" w:type="dxa"/>
            <w:shd w:val="clear" w:color="auto" w:fill="auto"/>
          </w:tcPr>
          <w:p w14:paraId="565FD27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الناتج المحلي الإجمالي</w:t>
            </w:r>
            <w:r w:rsidRPr="00564B9D">
              <w:rPr>
                <w:sz w:val="20"/>
                <w:szCs w:val="20"/>
                <w:vertAlign w:val="superscript"/>
                <w:rtl/>
              </w:rPr>
              <w:t>(</w:t>
            </w:r>
            <w:r w:rsidRPr="00564B9D">
              <w:rPr>
                <w:rStyle w:val="FootnoteReference"/>
                <w:rFonts w:cs="Simplified Arabic"/>
                <w:b w:val="0"/>
                <w:sz w:val="20"/>
                <w:szCs w:val="20"/>
                <w:rtl/>
                <w:lang w:val="en-US"/>
              </w:rPr>
              <w:footnoteReference w:id="325"/>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351961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3,3 بليون جنيه استرليني (تقديرات عام 2012)</w:t>
            </w:r>
          </w:p>
        </w:tc>
      </w:tr>
      <w:tr w:rsidR="007B5A24" w:rsidRPr="00564B9D" w14:paraId="0FBE0522" w14:textId="77777777" w:rsidTr="00804944">
        <w:trPr>
          <w:trHeight w:val="376"/>
        </w:trPr>
        <w:tc>
          <w:tcPr>
            <w:tcW w:w="4092" w:type="dxa"/>
            <w:shd w:val="clear" w:color="auto" w:fill="auto"/>
          </w:tcPr>
          <w:p w14:paraId="09C118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r w:rsidRPr="00564B9D">
              <w:rPr>
                <w:sz w:val="20"/>
                <w:szCs w:val="20"/>
                <w:vertAlign w:val="superscript"/>
                <w:rtl/>
              </w:rPr>
              <w:t>(</w:t>
            </w:r>
            <w:r w:rsidRPr="00564B9D">
              <w:rPr>
                <w:rStyle w:val="FootnoteReference"/>
                <w:rFonts w:cs="Simplified Arabic"/>
                <w:b w:val="0"/>
                <w:sz w:val="20"/>
                <w:szCs w:val="20"/>
                <w:rtl/>
                <w:lang w:val="en-US"/>
              </w:rPr>
              <w:footnoteReference w:id="326"/>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4FD73F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0,3 في المائة (المعدل الفعلي لعام 2019)</w:t>
            </w:r>
          </w:p>
        </w:tc>
      </w:tr>
      <w:tr w:rsidR="007B5A24" w:rsidRPr="00564B9D" w14:paraId="3D6CB7FC" w14:textId="77777777" w:rsidTr="00804944">
        <w:trPr>
          <w:trHeight w:val="240"/>
        </w:trPr>
        <w:tc>
          <w:tcPr>
            <w:tcW w:w="4092" w:type="dxa"/>
            <w:shd w:val="clear" w:color="auto" w:fill="auto"/>
          </w:tcPr>
          <w:p w14:paraId="07D79C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w:t>
            </w:r>
          </w:p>
        </w:tc>
        <w:tc>
          <w:tcPr>
            <w:tcW w:w="3183" w:type="dxa"/>
            <w:shd w:val="clear" w:color="auto" w:fill="auto"/>
          </w:tcPr>
          <w:p w14:paraId="759703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F1CADBA" w14:textId="77777777" w:rsidTr="00804944">
        <w:trPr>
          <w:trHeight w:val="240"/>
        </w:trPr>
        <w:tc>
          <w:tcPr>
            <w:tcW w:w="4092" w:type="dxa"/>
            <w:shd w:val="clear" w:color="auto" w:fill="auto"/>
          </w:tcPr>
          <w:p w14:paraId="0EDB0A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مؤشر أسعار الاستهلاك</w:t>
            </w:r>
            <w:r w:rsidRPr="00564B9D">
              <w:rPr>
                <w:sz w:val="20"/>
                <w:szCs w:val="20"/>
                <w:vertAlign w:val="superscript"/>
                <w:rtl/>
              </w:rPr>
              <w:t>(</w:t>
            </w:r>
            <w:r w:rsidRPr="00564B9D">
              <w:rPr>
                <w:rStyle w:val="FootnoteReference"/>
                <w:rFonts w:cs="Simplified Arabic"/>
                <w:b w:val="0"/>
                <w:sz w:val="20"/>
                <w:szCs w:val="20"/>
                <w:rtl/>
                <w:lang w:val="en-US"/>
              </w:rPr>
              <w:footnoteReference w:id="327"/>
            </w:r>
            <w:r w:rsidRPr="00564B9D">
              <w:rPr>
                <w:sz w:val="20"/>
                <w:szCs w:val="20"/>
                <w:vertAlign w:val="superscript"/>
                <w:rtl/>
              </w:rPr>
              <w:t>)</w:t>
            </w:r>
            <w:r w:rsidRPr="00564B9D">
              <w:rPr>
                <w:rFonts w:hint="cs"/>
                <w:sz w:val="20"/>
                <w:szCs w:val="20"/>
                <w:rtl/>
              </w:rPr>
              <w:t xml:space="preserve"> </w:t>
            </w:r>
          </w:p>
        </w:tc>
        <w:tc>
          <w:tcPr>
            <w:tcW w:w="3183" w:type="dxa"/>
            <w:shd w:val="clear" w:color="auto" w:fill="auto"/>
          </w:tcPr>
          <w:p w14:paraId="043277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في أيلول/سبتمبر 2020، كان مؤشر أسعار المستهلك 1,4 في المائة</w:t>
            </w:r>
          </w:p>
        </w:tc>
      </w:tr>
      <w:tr w:rsidR="007B5A24" w:rsidRPr="00564B9D" w14:paraId="5E041048" w14:textId="77777777" w:rsidTr="00804944">
        <w:trPr>
          <w:trHeight w:val="240"/>
        </w:trPr>
        <w:tc>
          <w:tcPr>
            <w:tcW w:w="4092" w:type="dxa"/>
            <w:shd w:val="clear" w:color="auto" w:fill="auto"/>
          </w:tcPr>
          <w:p w14:paraId="2A41683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183" w:type="dxa"/>
            <w:shd w:val="clear" w:color="auto" w:fill="auto"/>
          </w:tcPr>
          <w:p w14:paraId="2A4840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الإنفاق الاجتماعي كنسبة من الإنفاق الإجمالي:</w:t>
            </w:r>
          </w:p>
          <w:p w14:paraId="30E425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جميع الأطعمة (ما عدا الكحول): 8,7 في المائة</w:t>
            </w:r>
          </w:p>
          <w:p w14:paraId="3B8DBD7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الإسكان بأكمله (ما عدا الوقود والسلع المنزلية): 27,0 في المائة</w:t>
            </w:r>
          </w:p>
          <w:p w14:paraId="47AB70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الصحة: 2,8 في المائة</w:t>
            </w:r>
          </w:p>
          <w:p w14:paraId="170E77E3" w14:textId="68509EE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التعليم: </w:t>
            </w:r>
            <w:r w:rsidR="00D73217" w:rsidRPr="00564B9D">
              <w:rPr>
                <w:rFonts w:hint="cs"/>
                <w:sz w:val="20"/>
                <w:szCs w:val="20"/>
                <w:rtl/>
              </w:rPr>
              <w:t>2,6</w:t>
            </w:r>
            <w:r w:rsidRPr="00564B9D">
              <w:rPr>
                <w:rFonts w:hint="cs"/>
                <w:sz w:val="20"/>
                <w:szCs w:val="20"/>
                <w:rtl/>
              </w:rPr>
              <w:t xml:space="preserve"> في المائة</w:t>
            </w:r>
          </w:p>
          <w:p w14:paraId="211A0D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الحماية الاجتماعية (المساعدة المنزلية ومدارس الحضانة، ورعاية الأطفال): 1,1 في المائة</w:t>
            </w:r>
          </w:p>
          <w:p w14:paraId="7F864B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الإنفاق الاجتماعي كنسبة من الناتج المحلي الإجمالي: لم تتوفر المعلومات بعد</w:t>
            </w:r>
          </w:p>
        </w:tc>
      </w:tr>
      <w:tr w:rsidR="007B5A24" w:rsidRPr="00564B9D" w14:paraId="4767A1E7" w14:textId="77777777" w:rsidTr="00804944">
        <w:trPr>
          <w:trHeight w:val="240"/>
        </w:trPr>
        <w:tc>
          <w:tcPr>
            <w:tcW w:w="4092" w:type="dxa"/>
            <w:shd w:val="clear" w:color="auto" w:fill="auto"/>
          </w:tcPr>
          <w:p w14:paraId="5CF17A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3183" w:type="dxa"/>
            <w:shd w:val="clear" w:color="auto" w:fill="auto"/>
          </w:tcPr>
          <w:p w14:paraId="36ED44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1F3904C" w14:textId="77777777" w:rsidTr="00804944">
        <w:trPr>
          <w:trHeight w:val="548"/>
        </w:trPr>
        <w:tc>
          <w:tcPr>
            <w:tcW w:w="4092" w:type="dxa"/>
            <w:tcBorders>
              <w:bottom w:val="single" w:sz="12" w:space="0" w:color="auto"/>
            </w:tcBorders>
            <w:shd w:val="clear" w:color="auto" w:fill="auto"/>
          </w:tcPr>
          <w:p w14:paraId="6DBB08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3183" w:type="dxa"/>
            <w:tcBorders>
              <w:bottom w:val="single" w:sz="12" w:space="0" w:color="auto"/>
            </w:tcBorders>
            <w:shd w:val="clear" w:color="auto" w:fill="auto"/>
          </w:tcPr>
          <w:p w14:paraId="3B4645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أقل من 0,1 في المائة من الدخل القومي الإجمالي في عام 2019 (جيني لا يُحسب حالياً)</w:t>
            </w:r>
          </w:p>
        </w:tc>
      </w:tr>
    </w:tbl>
    <w:p w14:paraId="47F378FE"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702"/>
        <w:gridCol w:w="3690"/>
      </w:tblGrid>
      <w:tr w:rsidR="007B5A24" w:rsidRPr="00564B9D" w14:paraId="52329704" w14:textId="77777777" w:rsidTr="00804944">
        <w:trPr>
          <w:trHeight w:val="240"/>
          <w:tblHeader/>
        </w:trPr>
        <w:tc>
          <w:tcPr>
            <w:tcW w:w="7303" w:type="dxa"/>
            <w:gridSpan w:val="2"/>
            <w:tcBorders>
              <w:top w:val="single" w:sz="4" w:space="0" w:color="auto"/>
              <w:bottom w:val="single" w:sz="12" w:space="0" w:color="auto"/>
            </w:tcBorders>
            <w:shd w:val="clear" w:color="auto" w:fill="auto"/>
            <w:vAlign w:val="bottom"/>
          </w:tcPr>
          <w:p w14:paraId="627589C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77D30328" w14:textId="77777777" w:rsidTr="00804944">
        <w:trPr>
          <w:trHeight w:val="240"/>
        </w:trPr>
        <w:tc>
          <w:tcPr>
            <w:tcW w:w="4092" w:type="dxa"/>
            <w:tcBorders>
              <w:top w:val="single" w:sz="12" w:space="0" w:color="auto"/>
            </w:tcBorders>
            <w:shd w:val="clear" w:color="auto" w:fill="auto"/>
          </w:tcPr>
          <w:p w14:paraId="79D84F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المستوى الوطني</w:t>
            </w:r>
            <w:r w:rsidRPr="00564B9D">
              <w:rPr>
                <w:sz w:val="20"/>
                <w:szCs w:val="20"/>
                <w:vertAlign w:val="superscript"/>
                <w:rtl/>
              </w:rPr>
              <w:t>(</w:t>
            </w:r>
            <w:r w:rsidRPr="00564B9D">
              <w:rPr>
                <w:rStyle w:val="FootnoteReference"/>
                <w:rFonts w:cs="Simplified Arabic"/>
                <w:b w:val="0"/>
                <w:sz w:val="20"/>
                <w:szCs w:val="20"/>
                <w:rtl/>
                <w:lang w:val="en-US"/>
              </w:rPr>
              <w:footnoteReference w:id="328"/>
            </w:r>
            <w:r w:rsidRPr="00564B9D">
              <w:rPr>
                <w:sz w:val="20"/>
                <w:szCs w:val="20"/>
                <w:vertAlign w:val="superscript"/>
                <w:rtl/>
              </w:rPr>
              <w:t>)</w:t>
            </w:r>
            <w:r w:rsidRPr="00564B9D">
              <w:rPr>
                <w:rFonts w:hint="cs"/>
                <w:sz w:val="20"/>
                <w:szCs w:val="20"/>
                <w:rtl/>
              </w:rPr>
              <w:t xml:space="preserve"> </w:t>
            </w:r>
          </w:p>
        </w:tc>
        <w:tc>
          <w:tcPr>
            <w:tcW w:w="3211" w:type="dxa"/>
            <w:tcBorders>
              <w:top w:val="single" w:sz="12" w:space="0" w:color="auto"/>
            </w:tcBorders>
            <w:shd w:val="clear" w:color="auto" w:fill="auto"/>
          </w:tcPr>
          <w:p w14:paraId="7A6E62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هناك 3 أحزاب سياسية مسجلة في 31 كانون الأول/ديسمبر 2020 </w:t>
            </w:r>
          </w:p>
        </w:tc>
      </w:tr>
      <w:tr w:rsidR="007B5A24" w:rsidRPr="00564B9D" w14:paraId="415B9D2F" w14:textId="77777777" w:rsidTr="00804944">
        <w:trPr>
          <w:trHeight w:val="240"/>
        </w:trPr>
        <w:tc>
          <w:tcPr>
            <w:tcW w:w="4092" w:type="dxa"/>
            <w:shd w:val="clear" w:color="auto" w:fill="auto"/>
          </w:tcPr>
          <w:p w14:paraId="752D1E1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المؤهلين للتصويت</w:t>
            </w:r>
          </w:p>
        </w:tc>
        <w:tc>
          <w:tcPr>
            <w:tcW w:w="3211" w:type="dxa"/>
            <w:shd w:val="clear" w:color="auto" w:fill="auto"/>
          </w:tcPr>
          <w:p w14:paraId="5EE9908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79 في المائة (نسبة تقديرية)</w:t>
            </w:r>
            <w:r w:rsidRPr="00564B9D">
              <w:rPr>
                <w:sz w:val="20"/>
                <w:szCs w:val="20"/>
                <w:vertAlign w:val="superscript"/>
                <w:rtl/>
              </w:rPr>
              <w:t>(</w:t>
            </w:r>
            <w:r w:rsidRPr="00564B9D">
              <w:rPr>
                <w:rStyle w:val="FootnoteReference"/>
                <w:rFonts w:cs="Simplified Arabic"/>
                <w:b w:val="0"/>
                <w:sz w:val="20"/>
                <w:szCs w:val="20"/>
                <w:rtl/>
                <w:lang w:val="en-US"/>
              </w:rPr>
              <w:footnoteReference w:id="329"/>
            </w:r>
            <w:r w:rsidRPr="00564B9D">
              <w:rPr>
                <w:sz w:val="20"/>
                <w:szCs w:val="20"/>
                <w:vertAlign w:val="superscript"/>
                <w:rtl/>
              </w:rPr>
              <w:t>)</w:t>
            </w:r>
            <w:r w:rsidRPr="00564B9D">
              <w:rPr>
                <w:sz w:val="20"/>
                <w:szCs w:val="20"/>
                <w:rtl/>
              </w:rPr>
              <w:t xml:space="preserve"> </w:t>
            </w:r>
          </w:p>
        </w:tc>
      </w:tr>
      <w:tr w:rsidR="007B5A24" w:rsidRPr="00564B9D" w14:paraId="2C819139" w14:textId="77777777" w:rsidTr="00804944">
        <w:trPr>
          <w:trHeight w:val="240"/>
        </w:trPr>
        <w:tc>
          <w:tcPr>
            <w:tcW w:w="4092" w:type="dxa"/>
            <w:shd w:val="clear" w:color="auto" w:fill="auto"/>
          </w:tcPr>
          <w:p w14:paraId="72A9E8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غير المواطنين المسجلين للتصويت</w:t>
            </w:r>
          </w:p>
        </w:tc>
        <w:tc>
          <w:tcPr>
            <w:tcW w:w="3211" w:type="dxa"/>
            <w:shd w:val="clear" w:color="auto" w:fill="auto"/>
          </w:tcPr>
          <w:p w14:paraId="7B52A4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C73C030" w14:textId="77777777" w:rsidTr="00804944">
        <w:trPr>
          <w:trHeight w:val="240"/>
        </w:trPr>
        <w:tc>
          <w:tcPr>
            <w:tcW w:w="4092" w:type="dxa"/>
            <w:shd w:val="clear" w:color="auto" w:fill="auto"/>
          </w:tcPr>
          <w:p w14:paraId="01ACF3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المرفوعة بشأن سير الانتخابات المسجلة، حسب نوع المخالفة المدعاة</w:t>
            </w:r>
          </w:p>
        </w:tc>
        <w:tc>
          <w:tcPr>
            <w:tcW w:w="3211" w:type="dxa"/>
            <w:shd w:val="clear" w:color="auto" w:fill="auto"/>
          </w:tcPr>
          <w:p w14:paraId="62F7EE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8E2E408" w14:textId="77777777" w:rsidTr="00804944">
        <w:trPr>
          <w:trHeight w:val="240"/>
        </w:trPr>
        <w:tc>
          <w:tcPr>
            <w:tcW w:w="4092" w:type="dxa"/>
            <w:shd w:val="clear" w:color="auto" w:fill="auto"/>
          </w:tcPr>
          <w:p w14:paraId="5FA0D8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211" w:type="dxa"/>
            <w:shd w:val="clear" w:color="auto" w:fill="auto"/>
          </w:tcPr>
          <w:p w14:paraId="388BDE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35B2C71" w14:textId="77777777" w:rsidTr="00804944">
        <w:trPr>
          <w:trHeight w:val="240"/>
        </w:trPr>
        <w:tc>
          <w:tcPr>
            <w:tcW w:w="4092" w:type="dxa"/>
            <w:shd w:val="clear" w:color="auto" w:fill="auto"/>
          </w:tcPr>
          <w:p w14:paraId="6352EE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عدد المنظمات غير الحكومية المعترف بها</w:t>
            </w:r>
            <w:r w:rsidRPr="00564B9D">
              <w:rPr>
                <w:sz w:val="20"/>
                <w:szCs w:val="20"/>
                <w:vertAlign w:val="superscript"/>
                <w:rtl/>
              </w:rPr>
              <w:t>(</w:t>
            </w:r>
            <w:r w:rsidRPr="00564B9D">
              <w:rPr>
                <w:rStyle w:val="FootnoteReference"/>
                <w:rFonts w:cs="Simplified Arabic"/>
                <w:b w:val="0"/>
                <w:sz w:val="20"/>
                <w:szCs w:val="20"/>
                <w:rtl/>
                <w:lang w:val="en-US"/>
              </w:rPr>
              <w:footnoteReference w:id="330"/>
            </w:r>
            <w:r w:rsidRPr="00564B9D">
              <w:rPr>
                <w:sz w:val="20"/>
                <w:szCs w:val="20"/>
                <w:vertAlign w:val="superscript"/>
                <w:rtl/>
              </w:rPr>
              <w:t>)</w:t>
            </w:r>
            <w:r w:rsidRPr="00564B9D">
              <w:rPr>
                <w:rFonts w:hint="cs"/>
                <w:sz w:val="20"/>
                <w:szCs w:val="20"/>
                <w:rtl/>
              </w:rPr>
              <w:t xml:space="preserve"> </w:t>
            </w:r>
          </w:p>
        </w:tc>
        <w:tc>
          <w:tcPr>
            <w:tcW w:w="3211" w:type="dxa"/>
            <w:shd w:val="clear" w:color="auto" w:fill="auto"/>
          </w:tcPr>
          <w:p w14:paraId="7F92D96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منظمات غير ربحية - 188</w:t>
            </w:r>
          </w:p>
          <w:p w14:paraId="3FAAB7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جمعيات خيرية - 519</w:t>
            </w:r>
          </w:p>
        </w:tc>
      </w:tr>
      <w:tr w:rsidR="007B5A24" w:rsidRPr="00564B9D" w14:paraId="439BA4F0" w14:textId="77777777" w:rsidTr="00804944">
        <w:trPr>
          <w:trHeight w:val="240"/>
        </w:trPr>
        <w:tc>
          <w:tcPr>
            <w:tcW w:w="4092" w:type="dxa"/>
            <w:shd w:val="clear" w:color="auto" w:fill="auto"/>
          </w:tcPr>
          <w:p w14:paraId="2BC498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المقاعد التشريعية بحسب الحزب</w:t>
            </w:r>
          </w:p>
        </w:tc>
        <w:tc>
          <w:tcPr>
            <w:tcW w:w="3211" w:type="dxa"/>
            <w:shd w:val="clear" w:color="auto" w:fill="auto"/>
          </w:tcPr>
          <w:p w14:paraId="300E1DB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w:t>
            </w:r>
            <w:r w:rsidRPr="00564B9D">
              <w:rPr>
                <w:sz w:val="20"/>
                <w:szCs w:val="20"/>
                <w:rtl/>
              </w:rPr>
              <w:t>تاريخ انتخابات</w:t>
            </w:r>
            <w:r w:rsidRPr="00564B9D">
              <w:rPr>
                <w:rFonts w:hint="cs"/>
                <w:sz w:val="20"/>
                <w:szCs w:val="20"/>
                <w:rtl/>
              </w:rPr>
              <w:t xml:space="preserve"> عام </w:t>
            </w:r>
            <w:r w:rsidRPr="00564B9D">
              <w:rPr>
                <w:sz w:val="20"/>
                <w:szCs w:val="20"/>
                <w:rtl/>
              </w:rPr>
              <w:t>2020، كان هناك 38 نائباً من غيرن</w:t>
            </w:r>
            <w:r w:rsidRPr="00564B9D">
              <w:rPr>
                <w:rFonts w:hint="cs"/>
                <w:sz w:val="20"/>
                <w:szCs w:val="20"/>
                <w:rtl/>
              </w:rPr>
              <w:t>س</w:t>
            </w:r>
            <w:r w:rsidRPr="00564B9D">
              <w:rPr>
                <w:sz w:val="20"/>
                <w:szCs w:val="20"/>
                <w:rtl/>
              </w:rPr>
              <w:t xml:space="preserve">ي في </w:t>
            </w:r>
            <w:r w:rsidRPr="00564B9D">
              <w:rPr>
                <w:rFonts w:hint="cs"/>
                <w:sz w:val="20"/>
                <w:szCs w:val="20"/>
                <w:rtl/>
              </w:rPr>
              <w:t>هيئة المداولة</w:t>
            </w:r>
            <w:r w:rsidRPr="00564B9D">
              <w:rPr>
                <w:sz w:val="20"/>
                <w:szCs w:val="20"/>
                <w:rtl/>
              </w:rPr>
              <w:t xml:space="preserve"> (بالإضافة إلى ممثلين اثنين من </w:t>
            </w:r>
            <w:r w:rsidRPr="00564B9D">
              <w:rPr>
                <w:rFonts w:hint="cs"/>
                <w:sz w:val="20"/>
                <w:szCs w:val="20"/>
                <w:rtl/>
              </w:rPr>
              <w:t>ا</w:t>
            </w:r>
            <w:r w:rsidRPr="00564B9D">
              <w:rPr>
                <w:sz w:val="20"/>
                <w:szCs w:val="20"/>
                <w:rtl/>
              </w:rPr>
              <w:t>لديرني). عدد المقاعد على النحو التالي:</w:t>
            </w:r>
          </w:p>
          <w:p w14:paraId="2896872A"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حزب غيرن</w:t>
            </w:r>
            <w:r w:rsidRPr="00564B9D">
              <w:rPr>
                <w:rFonts w:hint="cs"/>
                <w:sz w:val="20"/>
                <w:szCs w:val="20"/>
                <w:rtl/>
              </w:rPr>
              <w:t>س</w:t>
            </w:r>
            <w:r w:rsidRPr="00564B9D">
              <w:rPr>
                <w:sz w:val="20"/>
                <w:szCs w:val="20"/>
                <w:rtl/>
              </w:rPr>
              <w:t>ي 6</w:t>
            </w:r>
          </w:p>
          <w:p w14:paraId="31CC2B01"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شراكة غيرنسي للمستقلين 10</w:t>
            </w:r>
          </w:p>
          <w:p w14:paraId="009A898D"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الأعضاء الباقون مستقلون.</w:t>
            </w:r>
          </w:p>
        </w:tc>
      </w:tr>
      <w:tr w:rsidR="007B5A24" w:rsidRPr="00564B9D" w14:paraId="3B42DEBA" w14:textId="77777777" w:rsidTr="00804944">
        <w:trPr>
          <w:trHeight w:val="240"/>
        </w:trPr>
        <w:tc>
          <w:tcPr>
            <w:tcW w:w="4092" w:type="dxa"/>
            <w:shd w:val="clear" w:color="auto" w:fill="auto"/>
          </w:tcPr>
          <w:p w14:paraId="451366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في البرلمان</w:t>
            </w:r>
          </w:p>
        </w:tc>
        <w:tc>
          <w:tcPr>
            <w:tcW w:w="3211" w:type="dxa"/>
            <w:shd w:val="clear" w:color="auto" w:fill="auto"/>
          </w:tcPr>
          <w:p w14:paraId="1448787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الأعضاء المنتخبون 21 في المائة (8/38)</w:t>
            </w:r>
          </w:p>
        </w:tc>
      </w:tr>
      <w:tr w:rsidR="007B5A24" w:rsidRPr="00564B9D" w14:paraId="452EC95A" w14:textId="77777777" w:rsidTr="00804944">
        <w:trPr>
          <w:trHeight w:val="240"/>
        </w:trPr>
        <w:tc>
          <w:tcPr>
            <w:tcW w:w="4092" w:type="dxa"/>
            <w:shd w:val="clear" w:color="auto" w:fill="auto"/>
          </w:tcPr>
          <w:p w14:paraId="0F6749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 الانتخابات الوطنية ودون الوطنية التي تجري ضمن الجدول الزمني المنصوص عليه في القانون</w:t>
            </w:r>
          </w:p>
        </w:tc>
        <w:tc>
          <w:tcPr>
            <w:tcW w:w="3211" w:type="dxa"/>
            <w:shd w:val="clear" w:color="auto" w:fill="auto"/>
          </w:tcPr>
          <w:p w14:paraId="0879D6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F73D1A0" w14:textId="77777777" w:rsidTr="00804944">
        <w:trPr>
          <w:trHeight w:val="240"/>
        </w:trPr>
        <w:tc>
          <w:tcPr>
            <w:tcW w:w="4092" w:type="dxa"/>
            <w:tcBorders>
              <w:bottom w:val="single" w:sz="12" w:space="0" w:color="auto"/>
            </w:tcBorders>
            <w:shd w:val="clear" w:color="auto" w:fill="auto"/>
          </w:tcPr>
          <w:p w14:paraId="2EEF553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عدد الناخبين الفعليين في الانتخابات الوطنية ودون الوطنية حسب الوحدة الإدارية</w:t>
            </w:r>
          </w:p>
        </w:tc>
        <w:tc>
          <w:tcPr>
            <w:tcW w:w="3211" w:type="dxa"/>
            <w:tcBorders>
              <w:bottom w:val="single" w:sz="12" w:space="0" w:color="auto"/>
            </w:tcBorders>
            <w:shd w:val="clear" w:color="auto" w:fill="auto"/>
          </w:tcPr>
          <w:p w14:paraId="2EA5F3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في </w:t>
            </w:r>
            <w:r w:rsidRPr="00564B9D">
              <w:rPr>
                <w:sz w:val="20"/>
                <w:szCs w:val="20"/>
                <w:rtl/>
              </w:rPr>
              <w:t>انتخابات</w:t>
            </w:r>
            <w:r w:rsidRPr="00564B9D">
              <w:rPr>
                <w:rFonts w:hint="cs"/>
                <w:sz w:val="20"/>
                <w:szCs w:val="20"/>
                <w:rtl/>
              </w:rPr>
              <w:t xml:space="preserve"> عام </w:t>
            </w:r>
            <w:r w:rsidRPr="00564B9D">
              <w:rPr>
                <w:sz w:val="20"/>
                <w:szCs w:val="20"/>
                <w:rtl/>
              </w:rPr>
              <w:t>2020، كان</w:t>
            </w:r>
            <w:r w:rsidRPr="00564B9D">
              <w:rPr>
                <w:rFonts w:hint="cs"/>
                <w:sz w:val="20"/>
                <w:szCs w:val="20"/>
                <w:rtl/>
              </w:rPr>
              <w:t xml:space="preserve">ت نسبة الناخبين الفعليين: 80 في المائة </w:t>
            </w:r>
          </w:p>
        </w:tc>
      </w:tr>
    </w:tbl>
    <w:p w14:paraId="093DBC3F"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684"/>
        <w:gridCol w:w="3708"/>
      </w:tblGrid>
      <w:tr w:rsidR="007B5A24" w:rsidRPr="00564B9D" w14:paraId="56BC5AB2" w14:textId="77777777" w:rsidTr="00804944">
        <w:trPr>
          <w:trHeight w:val="240"/>
          <w:tblHeader/>
        </w:trPr>
        <w:tc>
          <w:tcPr>
            <w:tcW w:w="7331" w:type="dxa"/>
            <w:gridSpan w:val="2"/>
            <w:tcBorders>
              <w:top w:val="single" w:sz="4" w:space="0" w:color="auto"/>
              <w:bottom w:val="single" w:sz="12" w:space="0" w:color="auto"/>
            </w:tcBorders>
            <w:shd w:val="clear" w:color="auto" w:fill="auto"/>
            <w:vAlign w:val="bottom"/>
          </w:tcPr>
          <w:p w14:paraId="206B7D8D"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52F48691" w14:textId="77777777" w:rsidTr="00804944">
        <w:tblPrEx>
          <w:tblLook w:val="0000" w:firstRow="0" w:lastRow="0" w:firstColumn="0" w:lastColumn="0" w:noHBand="0" w:noVBand="0"/>
        </w:tblPrEx>
        <w:trPr>
          <w:trHeight w:val="240"/>
        </w:trPr>
        <w:tc>
          <w:tcPr>
            <w:tcW w:w="4092" w:type="dxa"/>
            <w:tcBorders>
              <w:top w:val="single" w:sz="12" w:space="0" w:color="auto"/>
            </w:tcBorders>
            <w:shd w:val="clear" w:color="auto" w:fill="auto"/>
          </w:tcPr>
          <w:p w14:paraId="12F03B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000 100 من السكان</w:t>
            </w:r>
            <w:r w:rsidRPr="00564B9D">
              <w:rPr>
                <w:sz w:val="20"/>
                <w:szCs w:val="20"/>
                <w:vertAlign w:val="superscript"/>
                <w:rtl/>
              </w:rPr>
              <w:t>(</w:t>
            </w:r>
            <w:r w:rsidRPr="00564B9D">
              <w:rPr>
                <w:rStyle w:val="FootnoteReference"/>
                <w:rFonts w:cs="Simplified Arabic"/>
                <w:b w:val="0"/>
                <w:sz w:val="20"/>
                <w:szCs w:val="20"/>
                <w:rtl/>
                <w:lang w:val="en-US"/>
              </w:rPr>
              <w:footnoteReference w:id="331"/>
            </w:r>
            <w:r w:rsidRPr="00564B9D">
              <w:rPr>
                <w:sz w:val="20"/>
                <w:szCs w:val="20"/>
                <w:vertAlign w:val="superscript"/>
                <w:rtl/>
              </w:rPr>
              <w:t>)</w:t>
            </w:r>
            <w:r w:rsidRPr="00564B9D">
              <w:rPr>
                <w:sz w:val="20"/>
                <w:szCs w:val="20"/>
                <w:rtl/>
              </w:rPr>
              <w:t xml:space="preserve"> </w:t>
            </w:r>
          </w:p>
        </w:tc>
        <w:tc>
          <w:tcPr>
            <w:tcW w:w="3239" w:type="dxa"/>
            <w:tcBorders>
              <w:top w:val="single" w:sz="12" w:space="0" w:color="auto"/>
            </w:tcBorders>
            <w:shd w:val="clear" w:color="auto" w:fill="auto"/>
          </w:tcPr>
          <w:p w14:paraId="252D39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60,5 </w:t>
            </w:r>
            <w:r w:rsidRPr="00564B9D">
              <w:rPr>
                <w:sz w:val="20"/>
                <w:szCs w:val="20"/>
                <w:rtl/>
              </w:rPr>
              <w:t>لكل 000 100</w:t>
            </w:r>
          </w:p>
        </w:tc>
      </w:tr>
      <w:tr w:rsidR="007B5A24" w:rsidRPr="00564B9D" w14:paraId="58B3FA80" w14:textId="77777777" w:rsidTr="00804944">
        <w:tblPrEx>
          <w:tblLook w:val="0000" w:firstRow="0" w:lastRow="0" w:firstColumn="0" w:lastColumn="0" w:noHBand="0" w:noVBand="0"/>
        </w:tblPrEx>
        <w:trPr>
          <w:trHeight w:val="240"/>
        </w:trPr>
        <w:tc>
          <w:tcPr>
            <w:tcW w:w="4092" w:type="dxa"/>
            <w:shd w:val="clear" w:color="auto" w:fill="auto"/>
          </w:tcPr>
          <w:p w14:paraId="09DB46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000 100 شخص) الذين تم توقيفهم/تقديمهم إلى القضاء/إدانتهم/إصدار أحكام ضدهم/حبسهم لارتكابهم جرائم عنف أو غير ذلك من الجرائم الخطيرة (مثل القتل والسرقة والاعتداء و</w:t>
            </w:r>
            <w:r w:rsidRPr="00564B9D">
              <w:rPr>
                <w:rFonts w:hint="cs"/>
                <w:sz w:val="20"/>
                <w:szCs w:val="20"/>
                <w:rtl/>
              </w:rPr>
              <w:t>الا</w:t>
            </w:r>
            <w:r w:rsidRPr="00564B9D">
              <w:rPr>
                <w:sz w:val="20"/>
                <w:szCs w:val="20"/>
                <w:rtl/>
              </w:rPr>
              <w:t>تجار غير المشروع)</w:t>
            </w:r>
          </w:p>
        </w:tc>
        <w:tc>
          <w:tcPr>
            <w:tcW w:w="3239" w:type="dxa"/>
            <w:shd w:val="clear" w:color="auto" w:fill="auto"/>
          </w:tcPr>
          <w:p w14:paraId="3C31AC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8E85864" w14:textId="77777777" w:rsidTr="00804944">
        <w:tblPrEx>
          <w:tblLook w:val="0000" w:firstRow="0" w:lastRow="0" w:firstColumn="0" w:lastColumn="0" w:noHBand="0" w:noVBand="0"/>
        </w:tblPrEx>
        <w:trPr>
          <w:trHeight w:val="240"/>
        </w:trPr>
        <w:tc>
          <w:tcPr>
            <w:tcW w:w="4092" w:type="dxa"/>
            <w:shd w:val="clear" w:color="auto" w:fill="auto"/>
          </w:tcPr>
          <w:p w14:paraId="0B9DE3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(مثل الاغتصاب، وتشويه الأعضاء الجنسية عند الإناث، وجرائم الشرف، والاعتداء با</w:t>
            </w:r>
            <w:r w:rsidRPr="00564B9D">
              <w:rPr>
                <w:rFonts w:hint="cs"/>
                <w:sz w:val="20"/>
                <w:szCs w:val="20"/>
                <w:rtl/>
              </w:rPr>
              <w:t>لأح</w:t>
            </w:r>
            <w:r w:rsidRPr="00564B9D">
              <w:rPr>
                <w:sz w:val="20"/>
                <w:szCs w:val="20"/>
                <w:rtl/>
              </w:rPr>
              <w:t>م</w:t>
            </w:r>
            <w:r w:rsidRPr="00564B9D">
              <w:rPr>
                <w:rFonts w:hint="cs"/>
                <w:sz w:val="20"/>
                <w:szCs w:val="20"/>
                <w:rtl/>
              </w:rPr>
              <w:t>ا</w:t>
            </w:r>
            <w:r w:rsidRPr="00564B9D">
              <w:rPr>
                <w:sz w:val="20"/>
                <w:szCs w:val="20"/>
                <w:rtl/>
              </w:rPr>
              <w:t>ض)</w:t>
            </w:r>
            <w:r w:rsidRPr="00564B9D">
              <w:rPr>
                <w:sz w:val="20"/>
                <w:szCs w:val="20"/>
                <w:vertAlign w:val="superscript"/>
                <w:rtl/>
              </w:rPr>
              <w:t>(</w:t>
            </w:r>
            <w:r w:rsidRPr="00564B9D">
              <w:rPr>
                <w:rStyle w:val="FootnoteReference"/>
                <w:rFonts w:cs="Simplified Arabic"/>
                <w:b w:val="0"/>
                <w:sz w:val="20"/>
                <w:szCs w:val="20"/>
                <w:rtl/>
                <w:lang w:val="en-US"/>
              </w:rPr>
              <w:footnoteReference w:id="332"/>
            </w:r>
            <w:r w:rsidRPr="00564B9D">
              <w:rPr>
                <w:sz w:val="20"/>
                <w:szCs w:val="20"/>
                <w:vertAlign w:val="superscript"/>
                <w:rtl/>
              </w:rPr>
              <w:t>)</w:t>
            </w:r>
            <w:r w:rsidRPr="00564B9D">
              <w:rPr>
                <w:sz w:val="20"/>
                <w:szCs w:val="20"/>
                <w:rtl/>
              </w:rPr>
              <w:t xml:space="preserve">. </w:t>
            </w:r>
          </w:p>
        </w:tc>
        <w:tc>
          <w:tcPr>
            <w:tcW w:w="3239" w:type="dxa"/>
            <w:shd w:val="clear" w:color="auto" w:fill="auto"/>
          </w:tcPr>
          <w:p w14:paraId="4326FDC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اغتصاب: 51 حالة مبلّغ عنها</w:t>
            </w:r>
          </w:p>
          <w:p w14:paraId="49E1D9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تشويه الأعضاء التناسلية للإناث: لم يبلغ عن أية حالة</w:t>
            </w:r>
          </w:p>
          <w:p w14:paraId="78510F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جرائم شرف: حالة واحدة مبلغ عنها</w:t>
            </w:r>
          </w:p>
          <w:p w14:paraId="58D185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اعتداء بالأحماض: لم يبلغ عن أية حالة </w:t>
            </w:r>
          </w:p>
        </w:tc>
      </w:tr>
      <w:tr w:rsidR="007B5A24" w:rsidRPr="00564B9D" w14:paraId="4CA744D2" w14:textId="77777777" w:rsidTr="00804944">
        <w:tblPrEx>
          <w:tblLook w:val="0000" w:firstRow="0" w:lastRow="0" w:firstColumn="0" w:lastColumn="0" w:noHBand="0" w:noVBand="0"/>
        </w:tblPrEx>
        <w:trPr>
          <w:trHeight w:val="240"/>
        </w:trPr>
        <w:tc>
          <w:tcPr>
            <w:tcW w:w="4092" w:type="dxa"/>
            <w:shd w:val="clear" w:color="auto" w:fill="auto"/>
          </w:tcPr>
          <w:p w14:paraId="0493FD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3239" w:type="dxa"/>
            <w:shd w:val="clear" w:color="auto" w:fill="auto"/>
          </w:tcPr>
          <w:p w14:paraId="3C6368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80AC37B" w14:textId="77777777" w:rsidTr="00804944">
        <w:tblPrEx>
          <w:tblLook w:val="0000" w:firstRow="0" w:lastRow="0" w:firstColumn="0" w:lastColumn="0" w:noHBand="0" w:noVBand="0"/>
        </w:tblPrEx>
        <w:trPr>
          <w:trHeight w:val="240"/>
        </w:trPr>
        <w:tc>
          <w:tcPr>
            <w:tcW w:w="4092" w:type="dxa"/>
            <w:shd w:val="clear" w:color="auto" w:fill="auto"/>
          </w:tcPr>
          <w:p w14:paraId="48081D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3239" w:type="dxa"/>
            <w:shd w:val="clear" w:color="auto" w:fill="auto"/>
          </w:tcPr>
          <w:p w14:paraId="7A5B09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المساجين بسبب ارتكاب الجرائم</w:t>
            </w:r>
          </w:p>
          <w:p w14:paraId="118AF3E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مخالفة تتعلق بالمراقبة: 1</w:t>
            </w:r>
          </w:p>
          <w:p w14:paraId="1ABB41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مخدرات:</w:t>
            </w:r>
            <w:r w:rsidRPr="00564B9D">
              <w:rPr>
                <w:sz w:val="20"/>
                <w:szCs w:val="20"/>
                <w:rtl/>
              </w:rPr>
              <w:t xml:space="preserve"> </w:t>
            </w:r>
            <w:r w:rsidRPr="00564B9D">
              <w:rPr>
                <w:rFonts w:hint="cs"/>
                <w:sz w:val="20"/>
                <w:szCs w:val="20"/>
                <w:rtl/>
              </w:rPr>
              <w:t>40</w:t>
            </w:r>
          </w:p>
          <w:p w14:paraId="1CC042E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عنف:</w:t>
            </w:r>
            <w:r w:rsidRPr="00564B9D">
              <w:rPr>
                <w:sz w:val="20"/>
                <w:szCs w:val="20"/>
                <w:rtl/>
              </w:rPr>
              <w:t xml:space="preserve"> </w:t>
            </w:r>
            <w:r w:rsidRPr="00564B9D">
              <w:rPr>
                <w:rFonts w:hint="cs"/>
                <w:sz w:val="20"/>
                <w:szCs w:val="20"/>
                <w:rtl/>
              </w:rPr>
              <w:t>16</w:t>
            </w:r>
          </w:p>
          <w:p w14:paraId="16D34C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جرائم تتصل بالممتلكات:</w:t>
            </w:r>
            <w:r w:rsidRPr="00564B9D">
              <w:rPr>
                <w:sz w:val="20"/>
                <w:szCs w:val="20"/>
                <w:rtl/>
              </w:rPr>
              <w:t xml:space="preserve"> </w:t>
            </w:r>
            <w:r w:rsidRPr="00564B9D">
              <w:rPr>
                <w:rFonts w:hint="cs"/>
                <w:sz w:val="20"/>
                <w:szCs w:val="20"/>
                <w:rtl/>
              </w:rPr>
              <w:t>7</w:t>
            </w:r>
          </w:p>
          <w:p w14:paraId="432871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جرائم جنسية:</w:t>
            </w:r>
            <w:r w:rsidRPr="00564B9D">
              <w:rPr>
                <w:sz w:val="20"/>
                <w:szCs w:val="20"/>
                <w:rtl/>
              </w:rPr>
              <w:t xml:space="preserve"> </w:t>
            </w:r>
            <w:r w:rsidRPr="00564B9D">
              <w:rPr>
                <w:rFonts w:hint="cs"/>
                <w:sz w:val="20"/>
                <w:szCs w:val="20"/>
                <w:rtl/>
              </w:rPr>
              <w:t>19</w:t>
            </w:r>
          </w:p>
          <w:p w14:paraId="01991A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جرائم تتعلق بقيادة السيارات:</w:t>
            </w:r>
            <w:r w:rsidRPr="00564B9D">
              <w:rPr>
                <w:sz w:val="20"/>
                <w:szCs w:val="20"/>
                <w:rtl/>
              </w:rPr>
              <w:t xml:space="preserve"> </w:t>
            </w:r>
            <w:r w:rsidRPr="00564B9D">
              <w:rPr>
                <w:rFonts w:hint="cs"/>
                <w:sz w:val="20"/>
                <w:szCs w:val="20"/>
                <w:rtl/>
              </w:rPr>
              <w:t>5</w:t>
            </w:r>
          </w:p>
          <w:p w14:paraId="699FFF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جرائم النظام العام:</w:t>
            </w:r>
            <w:r w:rsidRPr="00564B9D">
              <w:rPr>
                <w:sz w:val="20"/>
                <w:szCs w:val="20"/>
                <w:rtl/>
              </w:rPr>
              <w:t xml:space="preserve"> </w:t>
            </w:r>
            <w:r w:rsidRPr="00564B9D">
              <w:rPr>
                <w:rFonts w:hint="cs"/>
                <w:sz w:val="20"/>
                <w:szCs w:val="20"/>
                <w:rtl/>
              </w:rPr>
              <w:t>5</w:t>
            </w:r>
          </w:p>
          <w:p w14:paraId="3A16465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المجموع:</w:t>
            </w:r>
            <w:r w:rsidRPr="00564B9D">
              <w:rPr>
                <w:sz w:val="20"/>
                <w:szCs w:val="20"/>
                <w:rtl/>
              </w:rPr>
              <w:t xml:space="preserve"> </w:t>
            </w:r>
            <w:r w:rsidRPr="00564B9D">
              <w:rPr>
                <w:rFonts w:hint="cs"/>
                <w:sz w:val="20"/>
                <w:szCs w:val="20"/>
                <w:rtl/>
              </w:rPr>
              <w:t>93</w:t>
            </w:r>
          </w:p>
          <w:p w14:paraId="0394A1A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(31 تشرين الأول/أكتوبر 2020)</w:t>
            </w:r>
          </w:p>
        </w:tc>
      </w:tr>
      <w:tr w:rsidR="007B5A24" w:rsidRPr="00564B9D" w14:paraId="19095AED" w14:textId="77777777" w:rsidTr="00804944">
        <w:tblPrEx>
          <w:tblLook w:val="0000" w:firstRow="0" w:lastRow="0" w:firstColumn="0" w:lastColumn="0" w:noHBand="0" w:noVBand="0"/>
        </w:tblPrEx>
        <w:trPr>
          <w:trHeight w:val="240"/>
        </w:trPr>
        <w:tc>
          <w:tcPr>
            <w:tcW w:w="4092" w:type="dxa"/>
            <w:shd w:val="clear" w:color="auto" w:fill="auto"/>
          </w:tcPr>
          <w:p w14:paraId="4FFA45E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حالات الوفاة في السجن</w:t>
            </w:r>
            <w:r w:rsidRPr="00564B9D">
              <w:rPr>
                <w:sz w:val="20"/>
                <w:szCs w:val="20"/>
                <w:vertAlign w:val="superscript"/>
                <w:rtl/>
              </w:rPr>
              <w:t>(</w:t>
            </w:r>
            <w:r w:rsidRPr="00564B9D">
              <w:rPr>
                <w:rStyle w:val="FootnoteReference"/>
                <w:rFonts w:cs="Simplified Arabic"/>
                <w:b w:val="0"/>
                <w:sz w:val="20"/>
                <w:szCs w:val="20"/>
                <w:rtl/>
                <w:lang w:val="en-US"/>
              </w:rPr>
              <w:footnoteReference w:id="333"/>
            </w:r>
            <w:r w:rsidRPr="00564B9D">
              <w:rPr>
                <w:sz w:val="20"/>
                <w:szCs w:val="20"/>
                <w:vertAlign w:val="superscript"/>
                <w:rtl/>
              </w:rPr>
              <w:t>)</w:t>
            </w:r>
            <w:r w:rsidRPr="00564B9D">
              <w:rPr>
                <w:sz w:val="20"/>
                <w:szCs w:val="20"/>
                <w:rtl/>
              </w:rPr>
              <w:t xml:space="preserve"> </w:t>
            </w:r>
          </w:p>
        </w:tc>
        <w:tc>
          <w:tcPr>
            <w:tcW w:w="3239" w:type="dxa"/>
            <w:shd w:val="clear" w:color="auto" w:fill="auto"/>
          </w:tcPr>
          <w:p w14:paraId="4F57E73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صفر </w:t>
            </w:r>
            <w:r w:rsidRPr="00564B9D">
              <w:rPr>
                <w:sz w:val="20"/>
                <w:szCs w:val="20"/>
                <w:rtl/>
              </w:rPr>
              <w:t xml:space="preserve">حالات الوفاة </w:t>
            </w:r>
            <w:r w:rsidRPr="00564B9D">
              <w:rPr>
                <w:rFonts w:hint="cs"/>
                <w:sz w:val="20"/>
                <w:szCs w:val="20"/>
                <w:rtl/>
              </w:rPr>
              <w:t>قيد</w:t>
            </w:r>
            <w:r w:rsidRPr="00564B9D">
              <w:rPr>
                <w:sz w:val="20"/>
                <w:szCs w:val="20"/>
                <w:rtl/>
              </w:rPr>
              <w:t xml:space="preserve"> </w:t>
            </w:r>
            <w:r w:rsidRPr="00564B9D">
              <w:rPr>
                <w:rFonts w:hint="cs"/>
                <w:sz w:val="20"/>
                <w:szCs w:val="20"/>
                <w:rtl/>
              </w:rPr>
              <w:t>الاحتجاز</w:t>
            </w:r>
          </w:p>
          <w:p w14:paraId="7A4DE2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 </w:t>
            </w:r>
            <w:r w:rsidRPr="00564B9D">
              <w:rPr>
                <w:sz w:val="20"/>
                <w:szCs w:val="20"/>
                <w:rtl/>
              </w:rPr>
              <w:t xml:space="preserve">حالات الوفاة في السجن </w:t>
            </w:r>
            <w:r w:rsidRPr="00564B9D">
              <w:rPr>
                <w:rFonts w:hint="cs"/>
                <w:sz w:val="20"/>
                <w:szCs w:val="20"/>
                <w:rtl/>
              </w:rPr>
              <w:t>(لأسباب طبيعية)</w:t>
            </w:r>
          </w:p>
        </w:tc>
      </w:tr>
      <w:tr w:rsidR="007B5A24" w:rsidRPr="00564B9D" w14:paraId="3DA7F836" w14:textId="77777777" w:rsidTr="00804944">
        <w:tblPrEx>
          <w:tblLook w:val="0000" w:firstRow="0" w:lastRow="0" w:firstColumn="0" w:lastColumn="0" w:noHBand="0" w:noVBand="0"/>
        </w:tblPrEx>
        <w:trPr>
          <w:trHeight w:val="240"/>
        </w:trPr>
        <w:tc>
          <w:tcPr>
            <w:tcW w:w="4092" w:type="dxa"/>
            <w:shd w:val="clear" w:color="auto" w:fill="auto"/>
          </w:tcPr>
          <w:p w14:paraId="16F202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334"/>
            </w:r>
            <w:r w:rsidRPr="00564B9D">
              <w:rPr>
                <w:sz w:val="20"/>
                <w:szCs w:val="20"/>
                <w:vertAlign w:val="superscript"/>
                <w:rtl/>
              </w:rPr>
              <w:t>)</w:t>
            </w:r>
            <w:r w:rsidRPr="00564B9D">
              <w:rPr>
                <w:sz w:val="20"/>
                <w:szCs w:val="20"/>
                <w:rtl/>
              </w:rPr>
              <w:t xml:space="preserve"> </w:t>
            </w:r>
          </w:p>
        </w:tc>
        <w:tc>
          <w:tcPr>
            <w:tcW w:w="3239" w:type="dxa"/>
            <w:shd w:val="clear" w:color="auto" w:fill="auto"/>
          </w:tcPr>
          <w:p w14:paraId="5D4F13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2B95654C" w14:textId="77777777" w:rsidTr="00804944">
        <w:tblPrEx>
          <w:tblLook w:val="0000" w:firstRow="0" w:lastRow="0" w:firstColumn="0" w:lastColumn="0" w:noHBand="0" w:noVBand="0"/>
        </w:tblPrEx>
        <w:trPr>
          <w:trHeight w:val="240"/>
        </w:trPr>
        <w:tc>
          <w:tcPr>
            <w:tcW w:w="4092" w:type="dxa"/>
            <w:shd w:val="clear" w:color="auto" w:fill="auto"/>
          </w:tcPr>
          <w:p w14:paraId="6FEA06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239" w:type="dxa"/>
            <w:shd w:val="clear" w:color="auto" w:fill="auto"/>
          </w:tcPr>
          <w:p w14:paraId="0003C47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77C937F" w14:textId="77777777" w:rsidTr="00804944">
        <w:tblPrEx>
          <w:tblLook w:val="0000" w:firstRow="0" w:lastRow="0" w:firstColumn="0" w:lastColumn="0" w:noHBand="0" w:noVBand="0"/>
        </w:tblPrEx>
        <w:trPr>
          <w:trHeight w:val="240"/>
        </w:trPr>
        <w:tc>
          <w:tcPr>
            <w:tcW w:w="4092" w:type="dxa"/>
            <w:shd w:val="clear" w:color="auto" w:fill="auto"/>
          </w:tcPr>
          <w:p w14:paraId="1D5BDA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رجال الشرطة/الأمن لكل 000 100 شخص</w:t>
            </w:r>
            <w:r w:rsidRPr="00564B9D">
              <w:rPr>
                <w:sz w:val="20"/>
                <w:szCs w:val="20"/>
                <w:vertAlign w:val="superscript"/>
                <w:rtl/>
              </w:rPr>
              <w:t>(</w:t>
            </w:r>
            <w:r w:rsidRPr="00564B9D">
              <w:rPr>
                <w:rStyle w:val="FootnoteReference"/>
                <w:rFonts w:cs="Simplified Arabic"/>
                <w:b w:val="0"/>
                <w:sz w:val="20"/>
                <w:szCs w:val="20"/>
                <w:rtl/>
                <w:lang w:val="en-US"/>
              </w:rPr>
              <w:footnoteReference w:id="335"/>
            </w:r>
            <w:r w:rsidRPr="00564B9D">
              <w:rPr>
                <w:sz w:val="20"/>
                <w:szCs w:val="20"/>
                <w:vertAlign w:val="superscript"/>
                <w:rtl/>
              </w:rPr>
              <w:t>)</w:t>
            </w:r>
            <w:r w:rsidRPr="00564B9D">
              <w:rPr>
                <w:sz w:val="20"/>
                <w:szCs w:val="20"/>
                <w:rtl/>
              </w:rPr>
              <w:t xml:space="preserve"> </w:t>
            </w:r>
          </w:p>
        </w:tc>
        <w:tc>
          <w:tcPr>
            <w:tcW w:w="3239" w:type="dxa"/>
            <w:shd w:val="clear" w:color="auto" w:fill="auto"/>
          </w:tcPr>
          <w:p w14:paraId="67D813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227,7</w:t>
            </w:r>
          </w:p>
        </w:tc>
      </w:tr>
      <w:tr w:rsidR="007B5A24" w:rsidRPr="00564B9D" w14:paraId="4F24CDF9" w14:textId="77777777" w:rsidTr="00804944">
        <w:tblPrEx>
          <w:tblLook w:val="0000" w:firstRow="0" w:lastRow="0" w:firstColumn="0" w:lastColumn="0" w:noHBand="0" w:noVBand="0"/>
        </w:tblPrEx>
        <w:trPr>
          <w:trHeight w:val="240"/>
        </w:trPr>
        <w:tc>
          <w:tcPr>
            <w:tcW w:w="4092" w:type="dxa"/>
            <w:shd w:val="clear" w:color="auto" w:fill="auto"/>
          </w:tcPr>
          <w:p w14:paraId="313366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000 100 شخص</w:t>
            </w:r>
          </w:p>
        </w:tc>
        <w:tc>
          <w:tcPr>
            <w:tcW w:w="3239" w:type="dxa"/>
            <w:shd w:val="clear" w:color="auto" w:fill="auto"/>
          </w:tcPr>
          <w:p w14:paraId="1BF2DD6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D23587E" w14:textId="77777777" w:rsidTr="00804944">
        <w:tblPrEx>
          <w:tblLook w:val="0000" w:firstRow="0" w:lastRow="0" w:firstColumn="0" w:lastColumn="0" w:noHBand="0" w:noVBand="0"/>
        </w:tblPrEx>
        <w:trPr>
          <w:trHeight w:val="240"/>
        </w:trPr>
        <w:tc>
          <w:tcPr>
            <w:tcW w:w="4092" w:type="dxa"/>
            <w:shd w:val="clear" w:color="auto" w:fill="auto"/>
          </w:tcPr>
          <w:p w14:paraId="51FEB8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r w:rsidRPr="00564B9D">
              <w:rPr>
                <w:sz w:val="20"/>
                <w:szCs w:val="20"/>
                <w:vertAlign w:val="superscript"/>
                <w:rtl/>
              </w:rPr>
              <w:t>(</w:t>
            </w:r>
            <w:r w:rsidRPr="00564B9D">
              <w:rPr>
                <w:rStyle w:val="FootnoteReference"/>
                <w:rFonts w:cs="Simplified Arabic"/>
                <w:b w:val="0"/>
                <w:sz w:val="20"/>
                <w:szCs w:val="20"/>
                <w:rtl/>
                <w:lang w:val="en-US"/>
              </w:rPr>
              <w:footnoteReference w:id="336"/>
            </w:r>
            <w:r w:rsidRPr="00564B9D">
              <w:rPr>
                <w:sz w:val="20"/>
                <w:szCs w:val="20"/>
                <w:vertAlign w:val="superscript"/>
                <w:rtl/>
              </w:rPr>
              <w:t>)</w:t>
            </w:r>
            <w:r w:rsidRPr="00564B9D">
              <w:rPr>
                <w:sz w:val="20"/>
                <w:szCs w:val="20"/>
                <w:rtl/>
              </w:rPr>
              <w:t xml:space="preserve"> </w:t>
            </w:r>
          </w:p>
        </w:tc>
        <w:tc>
          <w:tcPr>
            <w:tcW w:w="3239" w:type="dxa"/>
            <w:shd w:val="clear" w:color="auto" w:fill="auto"/>
          </w:tcPr>
          <w:p w14:paraId="33FBC7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11F2BCB" w14:textId="77777777" w:rsidTr="00804944">
        <w:tblPrEx>
          <w:tblLook w:val="0000" w:firstRow="0" w:lastRow="0" w:firstColumn="0" w:lastColumn="0" w:noHBand="0" w:noVBand="0"/>
        </w:tblPrEx>
        <w:trPr>
          <w:trHeight w:val="240"/>
        </w:trPr>
        <w:tc>
          <w:tcPr>
            <w:tcW w:w="4092" w:type="dxa"/>
            <w:shd w:val="clear" w:color="auto" w:fill="auto"/>
          </w:tcPr>
          <w:p w14:paraId="3006C5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3239" w:type="dxa"/>
            <w:shd w:val="clear" w:color="auto" w:fill="auto"/>
          </w:tcPr>
          <w:p w14:paraId="0EDA208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97285CE" w14:textId="77777777" w:rsidTr="00804944">
        <w:tblPrEx>
          <w:tblLook w:val="0000" w:firstRow="0" w:lastRow="0" w:firstColumn="0" w:lastColumn="0" w:noHBand="0" w:noVBand="0"/>
        </w:tblPrEx>
        <w:trPr>
          <w:trHeight w:val="240"/>
        </w:trPr>
        <w:tc>
          <w:tcPr>
            <w:tcW w:w="4092" w:type="dxa"/>
            <w:tcBorders>
              <w:bottom w:val="single" w:sz="12" w:space="0" w:color="auto"/>
            </w:tcBorders>
            <w:shd w:val="clear" w:color="auto" w:fill="auto"/>
          </w:tcPr>
          <w:p w14:paraId="03DFE68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الضحايا الذين تم تعويضهم بعد صدور الحكم القضائي، بحسب نوع الجريمة. </w:t>
            </w:r>
          </w:p>
        </w:tc>
        <w:tc>
          <w:tcPr>
            <w:tcW w:w="3239" w:type="dxa"/>
            <w:tcBorders>
              <w:bottom w:val="single" w:sz="12" w:space="0" w:color="auto"/>
            </w:tcBorders>
            <w:shd w:val="clear" w:color="auto" w:fill="auto"/>
          </w:tcPr>
          <w:p w14:paraId="3F9BDC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198407CE" w14:textId="77777777" w:rsidR="00494AE4" w:rsidRPr="00564B9D" w:rsidRDefault="00494AE4" w:rsidP="00494AE4">
      <w:pPr>
        <w:pStyle w:val="H1GA"/>
        <w:rPr>
          <w:rtl/>
        </w:rPr>
      </w:pPr>
      <w:r w:rsidRPr="00564B9D">
        <w:rPr>
          <w:rtl/>
        </w:rPr>
        <w:tab/>
      </w:r>
      <w:r w:rsidRPr="00564B9D">
        <w:rPr>
          <w:rFonts w:hint="cs"/>
          <w:rtl/>
        </w:rPr>
        <w:t xml:space="preserve"> </w:t>
      </w:r>
      <w:bookmarkStart w:id="426" w:name="_Toc123044208"/>
      <w:bookmarkStart w:id="427" w:name="_Toc123044431"/>
      <w:bookmarkStart w:id="428" w:name="_Toc123044693"/>
      <w:bookmarkStart w:id="429" w:name="_Toc123044955"/>
      <w:r w:rsidRPr="00564B9D">
        <w:rPr>
          <w:rFonts w:hint="cs"/>
          <w:rtl/>
        </w:rPr>
        <w:t>باء-</w:t>
      </w:r>
      <w:r w:rsidRPr="00564B9D">
        <w:rPr>
          <w:rtl/>
        </w:rPr>
        <w:tab/>
      </w:r>
      <w:r w:rsidRPr="00564B9D">
        <w:rPr>
          <w:rFonts w:hint="cs"/>
          <w:rtl/>
        </w:rPr>
        <w:t>الهيكل الدستوري والسياسي والقانوني</w:t>
      </w:r>
      <w:bookmarkEnd w:id="426"/>
      <w:bookmarkEnd w:id="427"/>
      <w:bookmarkEnd w:id="428"/>
      <w:bookmarkEnd w:id="429"/>
    </w:p>
    <w:p w14:paraId="792C26C0"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التشريعية والتنفيذية</w:t>
      </w:r>
    </w:p>
    <w:p w14:paraId="2DD78771" w14:textId="77777777" w:rsidR="00494AE4" w:rsidRPr="00564B9D" w:rsidRDefault="00494AE4" w:rsidP="00494AE4">
      <w:pPr>
        <w:pStyle w:val="H4GA"/>
        <w:rPr>
          <w:rtl/>
        </w:rPr>
      </w:pPr>
      <w:r w:rsidRPr="00564B9D">
        <w:rPr>
          <w:rtl/>
        </w:rPr>
        <w:tab/>
      </w:r>
      <w:r w:rsidRPr="00564B9D">
        <w:rPr>
          <w:rtl/>
        </w:rPr>
        <w:tab/>
      </w:r>
      <w:r w:rsidRPr="00564B9D">
        <w:rPr>
          <w:rFonts w:hint="cs"/>
          <w:rtl/>
        </w:rPr>
        <w:t>غيرنسي</w:t>
      </w:r>
      <w:r w:rsidRPr="00564B9D">
        <w:rPr>
          <w:i w:val="0"/>
          <w:iCs w:val="0"/>
          <w:vertAlign w:val="superscript"/>
          <w:rtl/>
        </w:rPr>
        <w:t>(</w:t>
      </w:r>
      <w:r w:rsidRPr="00564B9D">
        <w:rPr>
          <w:rStyle w:val="FootnoteReference"/>
          <w:rFonts w:cs="Simplified Arabic"/>
          <w:b w:val="0"/>
          <w:i w:val="0"/>
          <w:iCs w:val="0"/>
          <w:sz w:val="22"/>
          <w:szCs w:val="22"/>
          <w:rtl/>
          <w:lang w:val="en-US"/>
        </w:rPr>
        <w:footnoteReference w:id="337"/>
      </w:r>
      <w:r w:rsidRPr="00564B9D">
        <w:rPr>
          <w:i w:val="0"/>
          <w:iCs w:val="0"/>
          <w:vertAlign w:val="superscript"/>
          <w:rtl/>
        </w:rPr>
        <w:t>)</w:t>
      </w:r>
      <w:r w:rsidRPr="00564B9D">
        <w:rPr>
          <w:rFonts w:hint="cs"/>
          <w:rtl/>
        </w:rPr>
        <w:t xml:space="preserve"> </w:t>
      </w:r>
    </w:p>
    <w:p w14:paraId="4073BEE9" w14:textId="77777777" w:rsidR="00494AE4" w:rsidRPr="00564B9D" w:rsidRDefault="00494AE4" w:rsidP="00494AE4">
      <w:pPr>
        <w:pStyle w:val="SingleTxtGA"/>
        <w:rPr>
          <w:rtl/>
        </w:rPr>
      </w:pPr>
      <w:r w:rsidRPr="00564B9D">
        <w:rPr>
          <w:rFonts w:hint="cs"/>
          <w:rtl/>
        </w:rPr>
        <w:t>173</w:t>
      </w:r>
      <w:r w:rsidRPr="00564B9D">
        <w:rPr>
          <w:rtl/>
        </w:rPr>
        <w:t>-</w:t>
      </w:r>
      <w:r w:rsidRPr="00564B9D">
        <w:rPr>
          <w:rtl/>
        </w:rPr>
        <w:tab/>
      </w:r>
      <w:r w:rsidRPr="00564B9D">
        <w:rPr>
          <w:rFonts w:hint="cs"/>
          <w:rtl/>
        </w:rPr>
        <w:t>يدير ولاية غيرنسي مجلس ولاية غيرنسي، الذي تشكل بموجب قانون الإصلاح (غيرنسي) لعام 1948</w:t>
      </w:r>
      <w:r w:rsidRPr="00564B9D">
        <w:rPr>
          <w:vertAlign w:val="superscript"/>
          <w:rtl/>
        </w:rPr>
        <w:t>(</w:t>
      </w:r>
      <w:r w:rsidRPr="00564B9D">
        <w:rPr>
          <w:rStyle w:val="FootnoteReference"/>
          <w:rFonts w:cs="Simplified Arabic"/>
          <w:b w:val="0"/>
          <w:sz w:val="22"/>
          <w:szCs w:val="22"/>
          <w:rtl/>
          <w:lang w:val="en-US"/>
        </w:rPr>
        <w:footnoteReference w:id="338"/>
      </w:r>
      <w:r w:rsidRPr="00564B9D">
        <w:rPr>
          <w:vertAlign w:val="superscript"/>
          <w:rtl/>
        </w:rPr>
        <w:t>)</w:t>
      </w:r>
      <w:r w:rsidRPr="00564B9D">
        <w:rPr>
          <w:rFonts w:hint="cs"/>
          <w:rtl/>
        </w:rPr>
        <w:t>، بصيغته المعدلة، ويتألف من هيئتين هما هيئة المداولة والهيئة الانتخابية</w:t>
      </w:r>
      <w:r w:rsidRPr="00564B9D">
        <w:rPr>
          <w:vertAlign w:val="superscript"/>
          <w:rtl/>
        </w:rPr>
        <w:t>(</w:t>
      </w:r>
      <w:r w:rsidRPr="00564B9D">
        <w:rPr>
          <w:rStyle w:val="FootnoteReference"/>
          <w:rFonts w:cs="Simplified Arabic"/>
          <w:b w:val="0"/>
          <w:sz w:val="22"/>
          <w:szCs w:val="22"/>
          <w:rtl/>
          <w:lang w:val="en-US"/>
        </w:rPr>
        <w:footnoteReference w:id="339"/>
      </w:r>
      <w:r w:rsidRPr="00564B9D">
        <w:rPr>
          <w:vertAlign w:val="superscript"/>
          <w:rtl/>
        </w:rPr>
        <w:t>)</w:t>
      </w:r>
      <w:r w:rsidRPr="00564B9D">
        <w:rPr>
          <w:rFonts w:hint="cs"/>
          <w:rtl/>
        </w:rPr>
        <w:t>.</w:t>
      </w:r>
    </w:p>
    <w:p w14:paraId="336FC7B6" w14:textId="77777777" w:rsidR="00494AE4" w:rsidRPr="00564B9D" w:rsidRDefault="00494AE4" w:rsidP="00494AE4">
      <w:pPr>
        <w:pStyle w:val="SingleTxtGA"/>
        <w:rPr>
          <w:spacing w:val="-2"/>
          <w:rtl/>
        </w:rPr>
      </w:pPr>
      <w:r w:rsidRPr="00564B9D">
        <w:rPr>
          <w:rFonts w:hint="cs"/>
          <w:rtl/>
        </w:rPr>
        <w:t>174</w:t>
      </w:r>
      <w:r w:rsidRPr="00564B9D">
        <w:rPr>
          <w:rtl/>
        </w:rPr>
        <w:t>-</w:t>
      </w:r>
      <w:r w:rsidRPr="00564B9D">
        <w:rPr>
          <w:rtl/>
        </w:rPr>
        <w:tab/>
      </w:r>
      <w:r w:rsidRPr="00564B9D">
        <w:rPr>
          <w:rFonts w:hint="cs"/>
          <w:spacing w:val="-2"/>
          <w:rtl/>
        </w:rPr>
        <w:t>وهيئة المداولة (التي يشار إليها فيما بعد "بالهيئة") هي الجمعية التشريعية لغيرنسي التي تستمد سلطاتها وصلاحياتها من القانون العرفي وقانون (غيرنسي) الإصلاحي لعام 1948، بصيغته المعدلة</w:t>
      </w:r>
      <w:r w:rsidRPr="00564B9D">
        <w:rPr>
          <w:spacing w:val="-2"/>
          <w:vertAlign w:val="superscript"/>
          <w:rtl/>
        </w:rPr>
        <w:t>(</w:t>
      </w:r>
      <w:r w:rsidRPr="00564B9D">
        <w:rPr>
          <w:rStyle w:val="FootnoteReference"/>
          <w:rFonts w:cs="Simplified Arabic"/>
          <w:b w:val="0"/>
          <w:spacing w:val="-2"/>
          <w:sz w:val="22"/>
          <w:szCs w:val="22"/>
          <w:rtl/>
          <w:lang w:val="en-US"/>
        </w:rPr>
        <w:footnoteReference w:id="340"/>
      </w:r>
      <w:r w:rsidRPr="00564B9D">
        <w:rPr>
          <w:spacing w:val="-2"/>
          <w:vertAlign w:val="superscript"/>
          <w:rtl/>
        </w:rPr>
        <w:t>)</w:t>
      </w:r>
      <w:r w:rsidRPr="00564B9D">
        <w:rPr>
          <w:rFonts w:hint="cs"/>
          <w:spacing w:val="-2"/>
          <w:rtl/>
        </w:rPr>
        <w:t xml:space="preserve">. وتتألف من مأمور تنفيذ الأحكام بوصفه الرئيس بحكم منصبه (وهو يرأس المناقشات دون أن يكون له حق التصويت)، وضابطين قانونيين (المدعي العام والمراقب المالي لدى صاحب الجلالة) (وهما يقدمان المشورة الجمعية دون أن يكون لهما حق التصويت)، </w:t>
      </w:r>
      <w:r w:rsidRPr="00564B9D">
        <w:rPr>
          <w:spacing w:val="-2"/>
          <w:rtl/>
        </w:rPr>
        <w:t xml:space="preserve">والأربعين عضواً </w:t>
      </w:r>
      <w:r w:rsidRPr="00564B9D">
        <w:rPr>
          <w:rFonts w:hint="cs"/>
          <w:spacing w:val="-2"/>
          <w:rtl/>
        </w:rPr>
        <w:t>المتمتعين</w:t>
      </w:r>
      <w:r w:rsidRPr="00564B9D">
        <w:rPr>
          <w:spacing w:val="-2"/>
          <w:rtl/>
        </w:rPr>
        <w:t xml:space="preserve"> </w:t>
      </w:r>
      <w:r w:rsidRPr="00564B9D">
        <w:rPr>
          <w:rFonts w:hint="cs"/>
          <w:spacing w:val="-2"/>
          <w:rtl/>
        </w:rPr>
        <w:t>ب</w:t>
      </w:r>
      <w:r w:rsidRPr="00564B9D">
        <w:rPr>
          <w:spacing w:val="-2"/>
          <w:rtl/>
        </w:rPr>
        <w:t>حق التصويت</w:t>
      </w:r>
      <w:r w:rsidRPr="00564B9D">
        <w:rPr>
          <w:rFonts w:hint="cs"/>
          <w:spacing w:val="-2"/>
          <w:rtl/>
        </w:rPr>
        <w:t>،</w:t>
      </w:r>
      <w:r w:rsidRPr="00564B9D">
        <w:rPr>
          <w:spacing w:val="-2"/>
          <w:rtl/>
        </w:rPr>
        <w:t xml:space="preserve"> وهم ثمانية وثلاثون نائباً ("نائباً") واثن</w:t>
      </w:r>
      <w:r w:rsidRPr="00564B9D">
        <w:rPr>
          <w:rFonts w:hint="cs"/>
          <w:spacing w:val="-2"/>
          <w:rtl/>
        </w:rPr>
        <w:t>ا</w:t>
      </w:r>
      <w:r w:rsidRPr="00564B9D">
        <w:rPr>
          <w:spacing w:val="-2"/>
          <w:rtl/>
        </w:rPr>
        <w:t xml:space="preserve">ن </w:t>
      </w:r>
      <w:r w:rsidRPr="00564B9D">
        <w:rPr>
          <w:rFonts w:hint="cs"/>
          <w:spacing w:val="-2"/>
          <w:rtl/>
        </w:rPr>
        <w:t>يمثلان هيئة</w:t>
      </w:r>
      <w:r w:rsidRPr="00564B9D">
        <w:rPr>
          <w:spacing w:val="-2"/>
          <w:rtl/>
        </w:rPr>
        <w:t xml:space="preserve"> ألديرني</w:t>
      </w:r>
      <w:r w:rsidRPr="00564B9D">
        <w:rPr>
          <w:rFonts w:hint="cs"/>
          <w:spacing w:val="-2"/>
          <w:rtl/>
        </w:rPr>
        <w:t xml:space="preserve">. وتمارس الهيئة مهامها التنفيذية أو الإدارية من خلال </w:t>
      </w:r>
      <w:r w:rsidRPr="00564B9D">
        <w:rPr>
          <w:spacing w:val="-2"/>
          <w:rtl/>
        </w:rPr>
        <w:t xml:space="preserve">لجنتها العليا </w:t>
      </w:r>
      <w:r w:rsidRPr="00564B9D">
        <w:rPr>
          <w:spacing w:val="-2"/>
          <w:rtl/>
        </w:rPr>
        <w:lastRenderedPageBreak/>
        <w:t>(لجنة السياسات والموارد) وست لجان رئيسية</w:t>
      </w:r>
      <w:r w:rsidRPr="00564B9D">
        <w:rPr>
          <w:spacing w:val="-2"/>
          <w:vertAlign w:val="superscript"/>
          <w:rtl/>
        </w:rPr>
        <w:t>(</w:t>
      </w:r>
      <w:r w:rsidRPr="00564B9D">
        <w:rPr>
          <w:rStyle w:val="FootnoteReference"/>
          <w:rFonts w:cs="Simplified Arabic"/>
          <w:b w:val="0"/>
          <w:spacing w:val="-2"/>
          <w:sz w:val="22"/>
          <w:szCs w:val="22"/>
          <w:rtl/>
          <w:lang w:val="en-US"/>
        </w:rPr>
        <w:footnoteReference w:id="341"/>
      </w:r>
      <w:r w:rsidRPr="00564B9D">
        <w:rPr>
          <w:spacing w:val="-2"/>
          <w:vertAlign w:val="superscript"/>
          <w:rtl/>
        </w:rPr>
        <w:t>)</w:t>
      </w:r>
      <w:r w:rsidRPr="00564B9D">
        <w:rPr>
          <w:spacing w:val="-2"/>
          <w:rtl/>
        </w:rPr>
        <w:t xml:space="preserve">، </w:t>
      </w:r>
      <w:r w:rsidRPr="00564B9D">
        <w:rPr>
          <w:rFonts w:hint="cs"/>
          <w:spacing w:val="-2"/>
          <w:rtl/>
        </w:rPr>
        <w:t xml:space="preserve">تُعتبر </w:t>
      </w:r>
      <w:r w:rsidRPr="00564B9D">
        <w:rPr>
          <w:spacing w:val="-2"/>
          <w:rtl/>
        </w:rPr>
        <w:t xml:space="preserve">كل </w:t>
      </w:r>
      <w:r w:rsidRPr="00564B9D">
        <w:rPr>
          <w:rFonts w:hint="cs"/>
          <w:spacing w:val="-2"/>
          <w:rtl/>
        </w:rPr>
        <w:t xml:space="preserve">واحدة </w:t>
      </w:r>
      <w:r w:rsidRPr="00564B9D">
        <w:rPr>
          <w:spacing w:val="-2"/>
          <w:rtl/>
        </w:rPr>
        <w:t>منها مسؤول</w:t>
      </w:r>
      <w:r w:rsidRPr="00564B9D">
        <w:rPr>
          <w:rFonts w:hint="cs"/>
          <w:spacing w:val="-2"/>
          <w:rtl/>
        </w:rPr>
        <w:t>ة</w:t>
      </w:r>
      <w:r w:rsidRPr="00564B9D">
        <w:rPr>
          <w:spacing w:val="-2"/>
          <w:rtl/>
        </w:rPr>
        <w:t xml:space="preserve"> عن أعمالها أمام </w:t>
      </w:r>
      <w:r w:rsidRPr="00564B9D">
        <w:rPr>
          <w:rFonts w:hint="cs"/>
          <w:spacing w:val="-2"/>
          <w:rtl/>
        </w:rPr>
        <w:t>الهيئة وداخلها</w:t>
      </w:r>
      <w:r w:rsidRPr="00564B9D">
        <w:rPr>
          <w:spacing w:val="-2"/>
          <w:rtl/>
        </w:rPr>
        <w:t>. بالإضافة إلى ذلك، هناك عدد من الكيانات الأخرى المسؤولة عن أداء الوظائف الحكومية</w:t>
      </w:r>
      <w:r w:rsidRPr="00564B9D">
        <w:rPr>
          <w:spacing w:val="-2"/>
          <w:vertAlign w:val="superscript"/>
          <w:rtl/>
        </w:rPr>
        <w:t>(</w:t>
      </w:r>
      <w:r w:rsidRPr="00564B9D">
        <w:rPr>
          <w:rStyle w:val="FootnoteReference"/>
          <w:rFonts w:cs="Simplified Arabic"/>
          <w:b w:val="0"/>
          <w:spacing w:val="-2"/>
          <w:sz w:val="22"/>
          <w:szCs w:val="22"/>
          <w:rtl/>
          <w:lang w:val="en-US"/>
        </w:rPr>
        <w:footnoteReference w:id="342"/>
      </w:r>
      <w:r w:rsidRPr="00564B9D">
        <w:rPr>
          <w:spacing w:val="-2"/>
          <w:vertAlign w:val="superscript"/>
          <w:rtl/>
        </w:rPr>
        <w:t>)</w:t>
      </w:r>
      <w:r w:rsidRPr="00564B9D">
        <w:rPr>
          <w:spacing w:val="-2"/>
          <w:rtl/>
        </w:rPr>
        <w:t xml:space="preserve">. </w:t>
      </w:r>
      <w:r w:rsidRPr="00564B9D">
        <w:rPr>
          <w:rFonts w:hint="cs"/>
          <w:spacing w:val="-2"/>
          <w:rtl/>
        </w:rPr>
        <w:t>وقد أجريت</w:t>
      </w:r>
      <w:r w:rsidRPr="00564B9D">
        <w:rPr>
          <w:spacing w:val="-2"/>
          <w:rtl/>
        </w:rPr>
        <w:t xml:space="preserve"> أول انتخابات عامة "</w:t>
      </w:r>
      <w:r w:rsidRPr="00564B9D">
        <w:rPr>
          <w:rFonts w:hint="cs"/>
          <w:spacing w:val="-2"/>
          <w:rtl/>
        </w:rPr>
        <w:t>لل</w:t>
      </w:r>
      <w:r w:rsidRPr="00564B9D">
        <w:rPr>
          <w:spacing w:val="-2"/>
          <w:rtl/>
        </w:rPr>
        <w:t>جزيرة</w:t>
      </w:r>
      <w:r w:rsidRPr="00564B9D">
        <w:rPr>
          <w:rFonts w:hint="cs"/>
          <w:spacing w:val="-2"/>
          <w:rtl/>
        </w:rPr>
        <w:t xml:space="preserve"> كلها</w:t>
      </w:r>
      <w:r w:rsidRPr="00564B9D">
        <w:rPr>
          <w:spacing w:val="-2"/>
          <w:rtl/>
        </w:rPr>
        <w:t>"</w:t>
      </w:r>
      <w:r w:rsidRPr="00564B9D">
        <w:rPr>
          <w:spacing w:val="-2"/>
          <w:vertAlign w:val="superscript"/>
          <w:rtl/>
        </w:rPr>
        <w:t>(</w:t>
      </w:r>
      <w:r w:rsidRPr="00564B9D">
        <w:rPr>
          <w:rStyle w:val="FootnoteReference"/>
          <w:rFonts w:cs="Simplified Arabic"/>
          <w:b w:val="0"/>
          <w:spacing w:val="-2"/>
          <w:sz w:val="22"/>
          <w:szCs w:val="22"/>
          <w:rtl/>
          <w:lang w:val="en-US"/>
        </w:rPr>
        <w:footnoteReference w:id="343"/>
      </w:r>
      <w:r w:rsidRPr="00564B9D">
        <w:rPr>
          <w:spacing w:val="-2"/>
          <w:vertAlign w:val="superscript"/>
          <w:rtl/>
        </w:rPr>
        <w:t>)</w:t>
      </w:r>
      <w:r w:rsidRPr="00564B9D">
        <w:rPr>
          <w:spacing w:val="-2"/>
          <w:rtl/>
        </w:rPr>
        <w:t xml:space="preserve"> في عام 2020 عن طريق الاقتراع العام للبالغين.</w:t>
      </w:r>
      <w:r w:rsidRPr="00564B9D">
        <w:rPr>
          <w:rFonts w:hint="cs"/>
          <w:spacing w:val="-2"/>
          <w:rtl/>
        </w:rPr>
        <w:t xml:space="preserve"> أما السن القانونية للانتخاب فهي السادسة عشر. ويعمل النواب عادة لمدة أربع سنوات بعد كل انتخابات عامة</w:t>
      </w:r>
      <w:r w:rsidRPr="00564B9D">
        <w:rPr>
          <w:spacing w:val="-2"/>
          <w:vertAlign w:val="superscript"/>
          <w:rtl/>
        </w:rPr>
        <w:t>(</w:t>
      </w:r>
      <w:r w:rsidRPr="00564B9D">
        <w:rPr>
          <w:rStyle w:val="FootnoteReference"/>
          <w:rFonts w:cs="Simplified Arabic"/>
          <w:b w:val="0"/>
          <w:spacing w:val="-2"/>
          <w:sz w:val="22"/>
          <w:szCs w:val="22"/>
          <w:rtl/>
          <w:lang w:val="en-US"/>
        </w:rPr>
        <w:footnoteReference w:id="344"/>
      </w:r>
      <w:r w:rsidRPr="00564B9D">
        <w:rPr>
          <w:spacing w:val="-2"/>
          <w:vertAlign w:val="superscript"/>
          <w:rtl/>
        </w:rPr>
        <w:t>)</w:t>
      </w:r>
      <w:r w:rsidRPr="00564B9D">
        <w:rPr>
          <w:rFonts w:hint="cs"/>
          <w:spacing w:val="-2"/>
          <w:rtl/>
        </w:rPr>
        <w:t>. والوظيفة الوحيدة للهيئة الانتخابية</w:t>
      </w:r>
      <w:r w:rsidRPr="00564B9D">
        <w:rPr>
          <w:spacing w:val="-2"/>
          <w:vertAlign w:val="superscript"/>
          <w:rtl/>
        </w:rPr>
        <w:t>(</w:t>
      </w:r>
      <w:r w:rsidRPr="00564B9D">
        <w:rPr>
          <w:rStyle w:val="FootnoteReference"/>
          <w:rFonts w:cs="Simplified Arabic"/>
          <w:b w:val="0"/>
          <w:spacing w:val="-2"/>
          <w:sz w:val="22"/>
          <w:szCs w:val="22"/>
          <w:rtl/>
          <w:lang w:val="en-US"/>
        </w:rPr>
        <w:footnoteReference w:id="345"/>
      </w:r>
      <w:r w:rsidRPr="00564B9D">
        <w:rPr>
          <w:spacing w:val="-2"/>
          <w:vertAlign w:val="superscript"/>
          <w:rtl/>
        </w:rPr>
        <w:t>)</w:t>
      </w:r>
      <w:r w:rsidRPr="00564B9D">
        <w:rPr>
          <w:rFonts w:hint="cs"/>
          <w:spacing w:val="-2"/>
          <w:rtl/>
        </w:rPr>
        <w:t xml:space="preserve"> هي العمل كهيئة محلفين انتخابية، وهي وظيفة لا يوجد ما يماثلها بشكل مباشر في المملكة المتحدة لكنها قريبة من المحلفين الدائمين.</w:t>
      </w:r>
    </w:p>
    <w:p w14:paraId="624D6D81" w14:textId="77777777" w:rsidR="00494AE4" w:rsidRPr="00564B9D" w:rsidRDefault="00494AE4" w:rsidP="00494AE4">
      <w:pPr>
        <w:pStyle w:val="H4GA"/>
        <w:rPr>
          <w:rtl/>
        </w:rPr>
      </w:pPr>
      <w:r w:rsidRPr="00564B9D">
        <w:rPr>
          <w:rtl/>
        </w:rPr>
        <w:tab/>
      </w:r>
      <w:r w:rsidRPr="00564B9D">
        <w:rPr>
          <w:rtl/>
        </w:rPr>
        <w:tab/>
      </w:r>
      <w:r w:rsidRPr="00564B9D">
        <w:rPr>
          <w:rFonts w:hint="cs"/>
          <w:rtl/>
        </w:rPr>
        <w:t>ألديرني</w:t>
      </w:r>
      <w:r w:rsidRPr="00564B9D">
        <w:rPr>
          <w:i w:val="0"/>
          <w:iCs w:val="0"/>
          <w:vertAlign w:val="superscript"/>
          <w:rtl/>
        </w:rPr>
        <w:t>(</w:t>
      </w:r>
      <w:r w:rsidRPr="00564B9D">
        <w:rPr>
          <w:rStyle w:val="FootnoteReference"/>
          <w:rFonts w:cs="Simplified Arabic"/>
          <w:b w:val="0"/>
          <w:i w:val="0"/>
          <w:iCs w:val="0"/>
          <w:sz w:val="22"/>
          <w:szCs w:val="22"/>
          <w:rtl/>
          <w:lang w:val="en-US"/>
        </w:rPr>
        <w:footnoteReference w:id="346"/>
      </w:r>
      <w:r w:rsidRPr="00564B9D">
        <w:rPr>
          <w:i w:val="0"/>
          <w:iCs w:val="0"/>
          <w:vertAlign w:val="superscript"/>
          <w:rtl/>
        </w:rPr>
        <w:t>)</w:t>
      </w:r>
      <w:r w:rsidRPr="00564B9D">
        <w:rPr>
          <w:rFonts w:hint="cs"/>
          <w:rtl/>
        </w:rPr>
        <w:t xml:space="preserve"> </w:t>
      </w:r>
    </w:p>
    <w:p w14:paraId="4F6EC647" w14:textId="77777777" w:rsidR="00494AE4" w:rsidRPr="00564B9D" w:rsidRDefault="00494AE4" w:rsidP="00494AE4">
      <w:pPr>
        <w:pStyle w:val="SingleTxtGA"/>
        <w:rPr>
          <w:rtl/>
        </w:rPr>
      </w:pPr>
      <w:r w:rsidRPr="00564B9D">
        <w:rPr>
          <w:rtl/>
        </w:rPr>
        <w:t>175-</w:t>
      </w:r>
      <w:r w:rsidRPr="00564B9D">
        <w:rPr>
          <w:rtl/>
        </w:rPr>
        <w:tab/>
      </w:r>
      <w:r w:rsidRPr="00564B9D">
        <w:rPr>
          <w:rFonts w:hint="cs"/>
          <w:rtl/>
        </w:rPr>
        <w:t>مجلس ولاية ألديرني هو الجمعية التشريعية لألديرني ويستمد سلطته وصلاحياته من قانون ألديرني الحكومي لعام 2004</w:t>
      </w:r>
      <w:r w:rsidRPr="00564B9D">
        <w:rPr>
          <w:vertAlign w:val="superscript"/>
          <w:rtl/>
        </w:rPr>
        <w:t>(</w:t>
      </w:r>
      <w:r w:rsidRPr="00564B9D">
        <w:rPr>
          <w:rStyle w:val="FootnoteReference"/>
          <w:rFonts w:cs="Simplified Arabic"/>
          <w:b w:val="0"/>
          <w:sz w:val="22"/>
          <w:szCs w:val="22"/>
          <w:rtl/>
          <w:lang w:val="en-US"/>
        </w:rPr>
        <w:footnoteReference w:id="347"/>
      </w:r>
      <w:r w:rsidRPr="00564B9D">
        <w:rPr>
          <w:vertAlign w:val="superscript"/>
          <w:rtl/>
        </w:rPr>
        <w:t>)</w:t>
      </w:r>
      <w:r w:rsidRPr="00564B9D">
        <w:rPr>
          <w:rFonts w:hint="cs"/>
          <w:rtl/>
        </w:rPr>
        <w:t>. ويتألف المجلس من رئيس ألديرني</w:t>
      </w:r>
      <w:r w:rsidRPr="00564B9D">
        <w:rPr>
          <w:vertAlign w:val="superscript"/>
          <w:rtl/>
        </w:rPr>
        <w:t>(</w:t>
      </w:r>
      <w:r w:rsidRPr="00564B9D">
        <w:rPr>
          <w:rStyle w:val="FootnoteReference"/>
          <w:rFonts w:cs="Simplified Arabic"/>
          <w:b w:val="0"/>
          <w:sz w:val="22"/>
          <w:szCs w:val="22"/>
          <w:rtl/>
          <w:lang w:val="en-US"/>
        </w:rPr>
        <w:footnoteReference w:id="348"/>
      </w:r>
      <w:r w:rsidRPr="00564B9D">
        <w:rPr>
          <w:vertAlign w:val="superscript"/>
          <w:rtl/>
        </w:rPr>
        <w:t>)</w:t>
      </w:r>
      <w:r w:rsidRPr="00564B9D">
        <w:rPr>
          <w:rFonts w:hint="cs"/>
          <w:rtl/>
        </w:rPr>
        <w:t xml:space="preserve"> </w:t>
      </w:r>
      <w:r w:rsidRPr="00564B9D">
        <w:rPr>
          <w:rtl/>
        </w:rPr>
        <w:t xml:space="preserve">الذي يترأس الاجتماعات البرلمانية، ويمكن أن يشارك في المناقشة، ولكن ليس له حق التصويت (باستثناء </w:t>
      </w:r>
      <w:r w:rsidRPr="00564B9D">
        <w:rPr>
          <w:rFonts w:hint="cs"/>
          <w:rtl/>
        </w:rPr>
        <w:t>ال</w:t>
      </w:r>
      <w:r w:rsidRPr="00564B9D">
        <w:rPr>
          <w:rtl/>
        </w:rPr>
        <w:t xml:space="preserve">تصويت </w:t>
      </w:r>
      <w:r w:rsidRPr="00564B9D">
        <w:rPr>
          <w:rFonts w:hint="cs"/>
          <w:rtl/>
        </w:rPr>
        <w:t>عند تساوي أصوات الطرفين</w:t>
      </w:r>
      <w:r w:rsidRPr="00564B9D">
        <w:rPr>
          <w:rtl/>
        </w:rPr>
        <w:t>)،</w:t>
      </w:r>
      <w:r w:rsidRPr="00564B9D">
        <w:rPr>
          <w:rFonts w:hint="cs"/>
          <w:rtl/>
        </w:rPr>
        <w:t xml:space="preserve"> ومن عشرة أعضاء, وينتخب كل من الرئيس والأعضاء العشرة بالاقتراع العام </w:t>
      </w:r>
      <w:r w:rsidRPr="00564B9D">
        <w:rPr>
          <w:rtl/>
        </w:rPr>
        <w:t xml:space="preserve">للبالغين </w:t>
      </w:r>
      <w:r w:rsidRPr="00564B9D">
        <w:rPr>
          <w:rFonts w:hint="cs"/>
          <w:rtl/>
        </w:rPr>
        <w:t xml:space="preserve">لمدة أربعة أعوام </w:t>
      </w:r>
      <w:r w:rsidRPr="00564B9D">
        <w:rPr>
          <w:rtl/>
        </w:rPr>
        <w:t>(</w:t>
      </w:r>
      <w:r w:rsidRPr="00564B9D">
        <w:rPr>
          <w:rFonts w:hint="cs"/>
          <w:rtl/>
        </w:rPr>
        <w:t>يُنتخب</w:t>
      </w:r>
      <w:r w:rsidRPr="00564B9D">
        <w:rPr>
          <w:rtl/>
        </w:rPr>
        <w:t xml:space="preserve"> خمسة من هؤلاء الأعضاء كل عامين).</w:t>
      </w:r>
      <w:r w:rsidRPr="00564B9D">
        <w:rPr>
          <w:rFonts w:hint="cs"/>
          <w:rtl/>
        </w:rPr>
        <w:t xml:space="preserve"> و</w:t>
      </w:r>
      <w:r w:rsidRPr="00564B9D">
        <w:rPr>
          <w:rtl/>
        </w:rPr>
        <w:t>السن القانوني للتصويت هو 18 سنة</w:t>
      </w:r>
      <w:r w:rsidRPr="00564B9D">
        <w:rPr>
          <w:rFonts w:hint="cs"/>
          <w:rtl/>
        </w:rPr>
        <w:t>. وباستثناء تلك الخدمات التي تُشرَّع لغيرنسي وتدار من قبلها، فإن المهام المتبقية للحكومة في ألديرني تديرها لجان الجمعية التشريعية.</w:t>
      </w:r>
    </w:p>
    <w:p w14:paraId="67B97884" w14:textId="77777777" w:rsidR="00494AE4" w:rsidRPr="00564B9D" w:rsidRDefault="00494AE4" w:rsidP="00494AE4">
      <w:pPr>
        <w:pStyle w:val="SingleTxtGA"/>
      </w:pPr>
      <w:r w:rsidRPr="00564B9D">
        <w:rPr>
          <w:rtl/>
        </w:rPr>
        <w:t>176-</w:t>
      </w:r>
      <w:r w:rsidRPr="00564B9D">
        <w:rPr>
          <w:rtl/>
        </w:rPr>
        <w:tab/>
        <w:t xml:space="preserve">فيما يتعلق بالمسائل الجنائية وبعض "الخدمات المحجوزة" (التي تشمل خدمات رعاية الأطفال والتعليم والخدمات الصحية)، يمكن لدول المداولات أن تصدر تشريعات لألدرني دون هذه الموافقة. </w:t>
      </w:r>
      <w:r w:rsidRPr="00564B9D">
        <w:rPr>
          <w:rFonts w:hint="cs"/>
          <w:rtl/>
        </w:rPr>
        <w:t>و</w:t>
      </w:r>
      <w:r w:rsidRPr="00564B9D">
        <w:rPr>
          <w:rtl/>
        </w:rPr>
        <w:t xml:space="preserve">عندما </w:t>
      </w:r>
      <w:r w:rsidRPr="00564B9D">
        <w:rPr>
          <w:rFonts w:hint="cs"/>
          <w:rtl/>
        </w:rPr>
        <w:t>ت</w:t>
      </w:r>
      <w:r w:rsidRPr="00564B9D">
        <w:rPr>
          <w:rtl/>
        </w:rPr>
        <w:t xml:space="preserve">وضع تشريعات أخرى على مستوى </w:t>
      </w:r>
      <w:r w:rsidRPr="00564B9D">
        <w:rPr>
          <w:rFonts w:hint="cs"/>
          <w:rtl/>
        </w:rPr>
        <w:t>المقاطعة ككل</w:t>
      </w:r>
      <w:r w:rsidRPr="00564B9D">
        <w:rPr>
          <w:rtl/>
        </w:rPr>
        <w:t xml:space="preserve">، </w:t>
      </w:r>
      <w:r w:rsidRPr="00564B9D">
        <w:rPr>
          <w:rFonts w:hint="cs"/>
          <w:rtl/>
        </w:rPr>
        <w:t>فإنها تصدر</w:t>
      </w:r>
      <w:r w:rsidRPr="00564B9D">
        <w:rPr>
          <w:rtl/>
        </w:rPr>
        <w:t xml:space="preserve"> </w:t>
      </w:r>
      <w:r w:rsidRPr="00564B9D">
        <w:rPr>
          <w:rFonts w:hint="cs"/>
          <w:rtl/>
        </w:rPr>
        <w:t>ويوافق</w:t>
      </w:r>
      <w:r w:rsidRPr="00564B9D">
        <w:rPr>
          <w:rtl/>
        </w:rPr>
        <w:t xml:space="preserve"> عليها بشكل مشترك من قبل السلطات القضائية الثلاث في </w:t>
      </w:r>
      <w:r w:rsidRPr="00564B9D">
        <w:rPr>
          <w:rFonts w:hint="cs"/>
          <w:rtl/>
        </w:rPr>
        <w:t>المقاطعة</w:t>
      </w:r>
      <w:r w:rsidRPr="00564B9D">
        <w:rPr>
          <w:rtl/>
        </w:rPr>
        <w:t>، والتي تعني</w:t>
      </w:r>
      <w:r w:rsidRPr="00564B9D">
        <w:rPr>
          <w:rFonts w:hint="cs"/>
          <w:rtl/>
        </w:rPr>
        <w:t xml:space="preserve"> بالنسبة لألديرني</w:t>
      </w:r>
      <w:r w:rsidRPr="00564B9D">
        <w:rPr>
          <w:rtl/>
        </w:rPr>
        <w:t xml:space="preserve"> </w:t>
      </w:r>
      <w:r w:rsidRPr="00564B9D">
        <w:rPr>
          <w:rFonts w:hint="cs"/>
          <w:rtl/>
        </w:rPr>
        <w:t>مجلس ولاية ألديرني. و</w:t>
      </w:r>
      <w:r w:rsidRPr="00564B9D">
        <w:rPr>
          <w:rtl/>
        </w:rPr>
        <w:t xml:space="preserve">اعترافاً بمسؤوليات </w:t>
      </w:r>
      <w:r w:rsidRPr="00564B9D">
        <w:rPr>
          <w:rFonts w:hint="cs"/>
          <w:rtl/>
        </w:rPr>
        <w:t>غيرنسي با</w:t>
      </w:r>
      <w:r w:rsidRPr="00564B9D">
        <w:rPr>
          <w:rtl/>
        </w:rPr>
        <w:t xml:space="preserve">لخدمات المحجوزة، يشارك عضوان من </w:t>
      </w:r>
      <w:r w:rsidRPr="00564B9D">
        <w:rPr>
          <w:rFonts w:hint="cs"/>
          <w:rtl/>
        </w:rPr>
        <w:t xml:space="preserve">مجلس ولاية ألديرني </w:t>
      </w:r>
      <w:r w:rsidRPr="00564B9D">
        <w:rPr>
          <w:rtl/>
        </w:rPr>
        <w:t xml:space="preserve">في </w:t>
      </w:r>
      <w:r w:rsidRPr="00564B9D">
        <w:rPr>
          <w:rFonts w:hint="cs"/>
          <w:rtl/>
        </w:rPr>
        <w:t>هيئة المداولة في غيرنسي ويتمتعان بحقوق</w:t>
      </w:r>
      <w:r w:rsidRPr="00564B9D">
        <w:rPr>
          <w:rtl/>
        </w:rPr>
        <w:t xml:space="preserve"> تصويت كاملة </w:t>
      </w:r>
      <w:r w:rsidRPr="00564B9D">
        <w:rPr>
          <w:rFonts w:hint="cs"/>
          <w:rtl/>
        </w:rPr>
        <w:t>في تلك الهيئة</w:t>
      </w:r>
      <w:r w:rsidRPr="00564B9D">
        <w:rPr>
          <w:rtl/>
        </w:rPr>
        <w:t>.</w:t>
      </w:r>
    </w:p>
    <w:p w14:paraId="51516147" w14:textId="77777777" w:rsidR="00494AE4" w:rsidRPr="00564B9D" w:rsidRDefault="00494AE4" w:rsidP="00494AE4">
      <w:pPr>
        <w:pStyle w:val="H4GA"/>
        <w:rPr>
          <w:rtl/>
        </w:rPr>
      </w:pPr>
      <w:r w:rsidRPr="00564B9D">
        <w:rPr>
          <w:rtl/>
        </w:rPr>
        <w:lastRenderedPageBreak/>
        <w:tab/>
      </w:r>
      <w:r w:rsidRPr="00564B9D">
        <w:rPr>
          <w:rtl/>
        </w:rPr>
        <w:tab/>
      </w:r>
      <w:r w:rsidRPr="00564B9D">
        <w:rPr>
          <w:rFonts w:hint="cs"/>
          <w:rtl/>
        </w:rPr>
        <w:t>سارك</w:t>
      </w:r>
      <w:r w:rsidRPr="00564B9D">
        <w:rPr>
          <w:i w:val="0"/>
          <w:iCs w:val="0"/>
          <w:vertAlign w:val="superscript"/>
          <w:rtl/>
        </w:rPr>
        <w:t>(</w:t>
      </w:r>
      <w:r w:rsidRPr="00564B9D">
        <w:rPr>
          <w:rStyle w:val="FootnoteReference"/>
          <w:rFonts w:cs="Simplified Arabic"/>
          <w:b w:val="0"/>
          <w:i w:val="0"/>
          <w:iCs w:val="0"/>
          <w:sz w:val="22"/>
          <w:szCs w:val="22"/>
          <w:rtl/>
          <w:lang w:val="en-US"/>
        </w:rPr>
        <w:footnoteReference w:id="349"/>
      </w:r>
      <w:r w:rsidRPr="00564B9D">
        <w:rPr>
          <w:i w:val="0"/>
          <w:iCs w:val="0"/>
          <w:vertAlign w:val="superscript"/>
          <w:rtl/>
        </w:rPr>
        <w:t>)</w:t>
      </w:r>
      <w:r w:rsidRPr="00564B9D">
        <w:rPr>
          <w:rFonts w:hint="cs"/>
          <w:rtl/>
        </w:rPr>
        <w:t xml:space="preserve"> </w:t>
      </w:r>
    </w:p>
    <w:p w14:paraId="3A0DCE44" w14:textId="77ECFC79" w:rsidR="00494AE4" w:rsidRPr="00564B9D" w:rsidRDefault="00494AE4" w:rsidP="00494AE4">
      <w:pPr>
        <w:pStyle w:val="SingleTxtGA"/>
        <w:rPr>
          <w:rtl/>
        </w:rPr>
      </w:pPr>
      <w:r w:rsidRPr="00564B9D">
        <w:rPr>
          <w:rtl/>
        </w:rPr>
        <w:t>177-</w:t>
      </w:r>
      <w:r w:rsidRPr="00564B9D">
        <w:rPr>
          <w:rtl/>
        </w:rPr>
        <w:tab/>
      </w:r>
      <w:r w:rsidRPr="00564B9D">
        <w:rPr>
          <w:rFonts w:hint="cs"/>
          <w:rtl/>
        </w:rPr>
        <w:t>يعتبر برلمان سارك الجمعية التشريعية لسارك ويستمد سلطته وصلاحياته من قانون (سارك) الإصلاحي لعام 2008</w:t>
      </w:r>
      <w:r w:rsidRPr="00564B9D">
        <w:rPr>
          <w:vertAlign w:val="superscript"/>
          <w:rtl/>
        </w:rPr>
        <w:t>(</w:t>
      </w:r>
      <w:r w:rsidRPr="00564B9D">
        <w:rPr>
          <w:rStyle w:val="FootnoteReference"/>
          <w:rFonts w:cs="Simplified Arabic"/>
          <w:b w:val="0"/>
          <w:sz w:val="22"/>
          <w:szCs w:val="22"/>
          <w:rtl/>
          <w:lang w:val="en-US"/>
        </w:rPr>
        <w:footnoteReference w:id="350"/>
      </w:r>
      <w:r w:rsidRPr="00564B9D">
        <w:rPr>
          <w:vertAlign w:val="superscript"/>
          <w:rtl/>
        </w:rPr>
        <w:t>)</w:t>
      </w:r>
      <w:r w:rsidRPr="00564B9D">
        <w:rPr>
          <w:rFonts w:hint="cs"/>
          <w:rtl/>
        </w:rPr>
        <w:t>. ويتألف البرلمان من 18 عضواً منتخباً يعرفون بالمستشارين، ينتخبون بالاقتراع العام وتمتد ولايتهم لمدة أربع سنوات (تجري كل سنتين انتخابات تسعة من المستشارين)؛ ومن الحاكم الإقطاعي الذي يحق له الإدلاء برأيه في المن</w:t>
      </w:r>
      <w:r w:rsidR="00D70082" w:rsidRPr="00564B9D">
        <w:rPr>
          <w:rFonts w:hint="cs"/>
          <w:rtl/>
        </w:rPr>
        <w:t>ا</w:t>
      </w:r>
      <w:r w:rsidRPr="00564B9D">
        <w:rPr>
          <w:rFonts w:hint="cs"/>
          <w:rtl/>
        </w:rPr>
        <w:t>قشات دون أن يكون له حق التصويت؛ ورئيس البرلمان ونائب رئيسه، وهما لا يتمتعان لا بحق التكلم ولا بحق التصويت وينتخبهما البرلمان. وي</w:t>
      </w:r>
      <w:r w:rsidRPr="00564B9D">
        <w:rPr>
          <w:rtl/>
        </w:rPr>
        <w:t xml:space="preserve">تمتع </w:t>
      </w:r>
      <w:r w:rsidRPr="00564B9D">
        <w:rPr>
          <w:rFonts w:hint="cs"/>
          <w:rtl/>
        </w:rPr>
        <w:t>البرلمان</w:t>
      </w:r>
      <w:r w:rsidRPr="00564B9D">
        <w:rPr>
          <w:rtl/>
        </w:rPr>
        <w:t xml:space="preserve"> با</w:t>
      </w:r>
      <w:r w:rsidRPr="00564B9D">
        <w:rPr>
          <w:rFonts w:hint="cs"/>
          <w:rtl/>
        </w:rPr>
        <w:t>لا</w:t>
      </w:r>
      <w:r w:rsidRPr="00564B9D">
        <w:rPr>
          <w:rtl/>
        </w:rPr>
        <w:t xml:space="preserve">ستقلالية في التشريع لسارك، باستثناء المسائل الجنائية. </w:t>
      </w:r>
      <w:r w:rsidRPr="00564B9D">
        <w:rPr>
          <w:rFonts w:hint="cs"/>
          <w:rtl/>
        </w:rPr>
        <w:t>و</w:t>
      </w:r>
      <w:r w:rsidRPr="00564B9D">
        <w:rPr>
          <w:rtl/>
        </w:rPr>
        <w:t xml:space="preserve">عندما </w:t>
      </w:r>
      <w:r w:rsidRPr="00564B9D">
        <w:rPr>
          <w:rFonts w:hint="cs"/>
          <w:rtl/>
        </w:rPr>
        <w:t>ت</w:t>
      </w:r>
      <w:r w:rsidRPr="00564B9D">
        <w:rPr>
          <w:rtl/>
        </w:rPr>
        <w:t xml:space="preserve">وضع تشريعات أخرى على مستوى </w:t>
      </w:r>
      <w:r w:rsidRPr="00564B9D">
        <w:rPr>
          <w:rFonts w:hint="cs"/>
          <w:rtl/>
        </w:rPr>
        <w:t>المقاطعة ككل</w:t>
      </w:r>
      <w:r w:rsidRPr="00564B9D">
        <w:rPr>
          <w:rtl/>
        </w:rPr>
        <w:t xml:space="preserve">، </w:t>
      </w:r>
      <w:r w:rsidRPr="00564B9D">
        <w:rPr>
          <w:rFonts w:hint="cs"/>
          <w:rtl/>
        </w:rPr>
        <w:t>فإنها تصدر</w:t>
      </w:r>
      <w:r w:rsidRPr="00564B9D">
        <w:rPr>
          <w:rtl/>
        </w:rPr>
        <w:t xml:space="preserve"> </w:t>
      </w:r>
      <w:r w:rsidRPr="00564B9D">
        <w:rPr>
          <w:rFonts w:hint="cs"/>
          <w:rtl/>
        </w:rPr>
        <w:t>ويوافق</w:t>
      </w:r>
      <w:r w:rsidRPr="00564B9D">
        <w:rPr>
          <w:rtl/>
        </w:rPr>
        <w:t xml:space="preserve"> عليها بشكل مشترك من قبل السلطات القضائية الثلاث في </w:t>
      </w:r>
      <w:r w:rsidRPr="00564B9D">
        <w:rPr>
          <w:rFonts w:hint="cs"/>
          <w:rtl/>
        </w:rPr>
        <w:t>المقاطعة</w:t>
      </w:r>
      <w:r w:rsidRPr="00564B9D">
        <w:rPr>
          <w:rtl/>
        </w:rPr>
        <w:t>، والتي تعني</w:t>
      </w:r>
      <w:r w:rsidRPr="00564B9D">
        <w:rPr>
          <w:rFonts w:hint="cs"/>
          <w:rtl/>
        </w:rPr>
        <w:t xml:space="preserve"> بالنسبة لسارك</w:t>
      </w:r>
      <w:r w:rsidRPr="00564B9D">
        <w:rPr>
          <w:rtl/>
        </w:rPr>
        <w:t xml:space="preserve"> </w:t>
      </w:r>
      <w:r w:rsidRPr="00564B9D">
        <w:rPr>
          <w:rFonts w:hint="cs"/>
          <w:rtl/>
        </w:rPr>
        <w:t>برلمان سارك.</w:t>
      </w:r>
    </w:p>
    <w:p w14:paraId="3EAEC8A4"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p>
    <w:p w14:paraId="52540F6C" w14:textId="77777777" w:rsidR="00494AE4" w:rsidRPr="00564B9D" w:rsidRDefault="00494AE4" w:rsidP="00494AE4">
      <w:pPr>
        <w:pStyle w:val="H4GA"/>
        <w:rPr>
          <w:rtl/>
        </w:rPr>
      </w:pPr>
      <w:r w:rsidRPr="00564B9D">
        <w:rPr>
          <w:rtl/>
        </w:rPr>
        <w:tab/>
      </w:r>
      <w:r w:rsidRPr="00564B9D">
        <w:rPr>
          <w:rtl/>
        </w:rPr>
        <w:tab/>
      </w:r>
      <w:r w:rsidRPr="00564B9D">
        <w:rPr>
          <w:rFonts w:hint="cs"/>
          <w:rtl/>
        </w:rPr>
        <w:t>غيرنسي</w:t>
      </w:r>
      <w:r w:rsidRPr="00564B9D">
        <w:rPr>
          <w:i w:val="0"/>
          <w:iCs w:val="0"/>
          <w:vertAlign w:val="superscript"/>
          <w:rtl/>
        </w:rPr>
        <w:t>(</w:t>
      </w:r>
      <w:r w:rsidRPr="00564B9D">
        <w:rPr>
          <w:rStyle w:val="FootnoteReference"/>
          <w:rFonts w:cs="Simplified Arabic"/>
          <w:b w:val="0"/>
          <w:i w:val="0"/>
          <w:iCs w:val="0"/>
          <w:sz w:val="22"/>
          <w:szCs w:val="22"/>
          <w:rtl/>
          <w:lang w:val="en-US"/>
        </w:rPr>
        <w:footnoteReference w:id="351"/>
      </w:r>
      <w:r w:rsidRPr="00564B9D">
        <w:rPr>
          <w:i w:val="0"/>
          <w:iCs w:val="0"/>
          <w:vertAlign w:val="superscript"/>
          <w:rtl/>
        </w:rPr>
        <w:t>)</w:t>
      </w:r>
      <w:r w:rsidRPr="00564B9D">
        <w:rPr>
          <w:rFonts w:hint="cs"/>
          <w:rtl/>
        </w:rPr>
        <w:t xml:space="preserve"> </w:t>
      </w:r>
    </w:p>
    <w:p w14:paraId="7DE085E3" w14:textId="77777777" w:rsidR="00494AE4" w:rsidRPr="00564B9D" w:rsidRDefault="00494AE4" w:rsidP="00494AE4">
      <w:pPr>
        <w:pStyle w:val="SingleTxtGA"/>
        <w:rPr>
          <w:rtl/>
        </w:rPr>
      </w:pPr>
      <w:r w:rsidRPr="00564B9D">
        <w:rPr>
          <w:rtl/>
        </w:rPr>
        <w:t>178-</w:t>
      </w:r>
      <w:r w:rsidRPr="00564B9D">
        <w:rPr>
          <w:rtl/>
        </w:rPr>
        <w:tab/>
      </w:r>
      <w:r w:rsidRPr="00564B9D">
        <w:rPr>
          <w:rFonts w:hint="cs"/>
          <w:rtl/>
        </w:rPr>
        <w:t xml:space="preserve">تتألف </w:t>
      </w:r>
      <w:r w:rsidRPr="00564B9D">
        <w:rPr>
          <w:rtl/>
        </w:rPr>
        <w:t xml:space="preserve">المحاكم العليا في غيرنسي </w:t>
      </w:r>
      <w:r w:rsidRPr="00564B9D">
        <w:rPr>
          <w:rFonts w:hint="cs"/>
          <w:rtl/>
        </w:rPr>
        <w:t>من المحكمة الملكية ومحكمة الاستئناف واللجنة القضائية للمجلس الملكي الخاص. وهناك أيضاً محكمة كنسية ومحكمة جزئية. وتتعامل المحكمة الكنسية مع عملية إثبات الوصايا وإصدار إثباتات منح الوصاية وخطابات الإدارة فيما يتعلق بتركات المتوفين ومنح تراخيص الزواج، وإصدار تصاريح لإجراء تغييرات في الأراضي والمباني الموقوفة. وتعمل المحكمة الجزئية كمحكمة ابتدائية فيما يتعلق ببعض القضايا الجنائية والمدنية (تلك التي لا تتجاوز قيمتها 000</w:t>
      </w:r>
      <w:r w:rsidRPr="00564B9D">
        <w:rPr>
          <w:rtl/>
        </w:rPr>
        <w:t> </w:t>
      </w:r>
      <w:r w:rsidRPr="00564B9D">
        <w:rPr>
          <w:rFonts w:hint="cs"/>
          <w:rtl/>
        </w:rPr>
        <w:t>10 جنيه استرليني) وبعض المسائل العائلية. وتعالج المحكمة الملكية المسائل المدنية التي تتجاوز قيمتها ذلك المبلغ أو المسائل أو </w:t>
      </w:r>
      <w:r w:rsidRPr="00564B9D">
        <w:rPr>
          <w:rtl/>
        </w:rPr>
        <w:t>الأكثر تعقيداً والجرائم الجنائية الأكثر خطورة</w:t>
      </w:r>
      <w:r w:rsidRPr="00564B9D">
        <w:rPr>
          <w:rFonts w:hint="cs"/>
          <w:rtl/>
        </w:rPr>
        <w:t>. كما تنظر المحكمة في استئنافات الدعاوى الواردة من المحكمة الجزئية وفي استئنافات الدعاوى التي تنظر فيها المحاكم في ألديرني أو سارك. وتعمل محكمة الاستئناف في غيرنسي كمحكمة استئناف بشأن المسائل الجنائية والمدنية. أما اللجنة القضائية للمجلس الملكي الخاص في لندن فهي محكمة الملاذ الأخير للطعون الواردة على الأحكام الصادرة عن محاكم الإقليم.</w:t>
      </w:r>
    </w:p>
    <w:p w14:paraId="297D45A2" w14:textId="77777777" w:rsidR="00494AE4" w:rsidRPr="00564B9D" w:rsidRDefault="00494AE4" w:rsidP="00494AE4">
      <w:pPr>
        <w:pStyle w:val="H4GA"/>
        <w:rPr>
          <w:rtl/>
        </w:rPr>
      </w:pPr>
      <w:r w:rsidRPr="00564B9D">
        <w:rPr>
          <w:rtl/>
        </w:rPr>
        <w:tab/>
      </w:r>
      <w:r w:rsidRPr="00564B9D">
        <w:rPr>
          <w:rtl/>
        </w:rPr>
        <w:tab/>
      </w:r>
      <w:r w:rsidRPr="00564B9D">
        <w:rPr>
          <w:rFonts w:hint="cs"/>
          <w:rtl/>
        </w:rPr>
        <w:t>ألديرني</w:t>
      </w:r>
    </w:p>
    <w:p w14:paraId="45E52E8B" w14:textId="77777777" w:rsidR="00494AE4" w:rsidRPr="00564B9D" w:rsidRDefault="00494AE4" w:rsidP="00494AE4">
      <w:pPr>
        <w:pStyle w:val="SingleTxtGA"/>
        <w:rPr>
          <w:rtl/>
        </w:rPr>
      </w:pPr>
      <w:r w:rsidRPr="00564B9D">
        <w:rPr>
          <w:rFonts w:hint="cs"/>
          <w:rtl/>
        </w:rPr>
        <w:t>179</w:t>
      </w:r>
      <w:r w:rsidRPr="00564B9D">
        <w:rPr>
          <w:rtl/>
        </w:rPr>
        <w:t>-</w:t>
      </w:r>
      <w:r w:rsidRPr="00564B9D">
        <w:rPr>
          <w:rtl/>
        </w:rPr>
        <w:tab/>
        <w:t xml:space="preserve">يدير النظام القضائي في </w:t>
      </w:r>
      <w:r w:rsidRPr="00564B9D">
        <w:rPr>
          <w:rFonts w:hint="cs"/>
          <w:rtl/>
        </w:rPr>
        <w:t>ألديرني رئيس ومحلفو محكمة ألديرني. ويعيّن نائب حاكم إقليم غيرنسي المحلفين. وكاتب المحكمة هو رئيس قلم مجلس ألديرني</w:t>
      </w:r>
      <w:r w:rsidRPr="00564B9D">
        <w:rPr>
          <w:vertAlign w:val="superscript"/>
          <w:rtl/>
        </w:rPr>
        <w:t>(</w:t>
      </w:r>
      <w:r w:rsidRPr="00564B9D">
        <w:rPr>
          <w:rStyle w:val="FootnoteReference"/>
          <w:rFonts w:cs="Simplified Arabic"/>
          <w:b w:val="0"/>
          <w:sz w:val="22"/>
          <w:szCs w:val="22"/>
          <w:rtl/>
          <w:lang w:val="en-US"/>
        </w:rPr>
        <w:footnoteReference w:id="352"/>
      </w:r>
      <w:r w:rsidRPr="00564B9D">
        <w:rPr>
          <w:vertAlign w:val="superscript"/>
          <w:rtl/>
        </w:rPr>
        <w:t>)</w:t>
      </w:r>
      <w:r w:rsidRPr="00564B9D">
        <w:rPr>
          <w:rFonts w:hint="cs"/>
          <w:rtl/>
        </w:rPr>
        <w:t>. وتتمتع المحكمة بصلاحيات مدنية غير محدودة، حيث تحال دعاوى الاستئناف من محكمة ألديرني إلى المحكمة الملكية لغيرنسي، ومنها إلى محكمة استئناف غيرنسي، وفي نهاية المطاف إلى اللجنة القضائية للمجلس الملكي الخاص. وتتمتع محكمة ألديرني بولاية قضائية جنائية محدودة</w:t>
      </w:r>
      <w:r w:rsidRPr="00564B9D">
        <w:rPr>
          <w:vertAlign w:val="superscript"/>
          <w:rtl/>
        </w:rPr>
        <w:t>(</w:t>
      </w:r>
      <w:r w:rsidRPr="00564B9D">
        <w:rPr>
          <w:rStyle w:val="FootnoteReference"/>
          <w:rFonts w:cs="Simplified Arabic"/>
          <w:b w:val="0"/>
          <w:sz w:val="22"/>
          <w:szCs w:val="22"/>
          <w:rtl/>
          <w:lang w:val="en-US"/>
        </w:rPr>
        <w:footnoteReference w:id="353"/>
      </w:r>
      <w:r w:rsidRPr="00564B9D">
        <w:rPr>
          <w:vertAlign w:val="superscript"/>
          <w:rtl/>
        </w:rPr>
        <w:t>)</w:t>
      </w:r>
      <w:r w:rsidRPr="00564B9D">
        <w:rPr>
          <w:rFonts w:hint="cs"/>
          <w:rtl/>
        </w:rPr>
        <w:t xml:space="preserve"> لكنها قادرة على فرض حكم بالسجن لمدة أقصاها 12 شهراً وغرامة تصل إلى 000</w:t>
      </w:r>
      <w:r w:rsidRPr="00564B9D">
        <w:rPr>
          <w:rtl/>
        </w:rPr>
        <w:t> </w:t>
      </w:r>
      <w:r w:rsidRPr="00564B9D">
        <w:rPr>
          <w:rFonts w:hint="cs"/>
          <w:rtl/>
        </w:rPr>
        <w:t xml:space="preserve">10 جنيه استرليني لجرم واحد وضعف ذلك المبلغ إجمالاً لجرائم متعددة. </w:t>
      </w:r>
      <w:r w:rsidRPr="00564B9D">
        <w:rPr>
          <w:rFonts w:hint="cs"/>
          <w:rtl/>
        </w:rPr>
        <w:lastRenderedPageBreak/>
        <w:t xml:space="preserve">وتحال جميع القضايا التي قد تستحق حكماً يزيد على حد الحكم الصادر عن محكمة ألديرني إلى المحكمة الملكية لغيرنسي </w:t>
      </w:r>
      <w:r w:rsidRPr="00564B9D">
        <w:rPr>
          <w:rtl/>
        </w:rPr>
        <w:t>للمحاكمة</w:t>
      </w:r>
      <w:r w:rsidRPr="00564B9D">
        <w:rPr>
          <w:rFonts w:hint="cs"/>
          <w:rtl/>
        </w:rPr>
        <w:t xml:space="preserve"> فيها.</w:t>
      </w:r>
    </w:p>
    <w:p w14:paraId="04376A69" w14:textId="77777777" w:rsidR="00494AE4" w:rsidRPr="00564B9D" w:rsidRDefault="00494AE4" w:rsidP="00494AE4">
      <w:pPr>
        <w:pStyle w:val="H4GA"/>
        <w:rPr>
          <w:rtl/>
        </w:rPr>
      </w:pPr>
      <w:r w:rsidRPr="00564B9D">
        <w:rPr>
          <w:rtl/>
        </w:rPr>
        <w:tab/>
      </w:r>
      <w:r w:rsidRPr="00564B9D">
        <w:rPr>
          <w:rtl/>
        </w:rPr>
        <w:tab/>
      </w:r>
      <w:r w:rsidRPr="00564B9D">
        <w:rPr>
          <w:rFonts w:hint="cs"/>
          <w:rtl/>
        </w:rPr>
        <w:t>سارك</w:t>
      </w:r>
    </w:p>
    <w:p w14:paraId="5CF9DE70" w14:textId="77777777" w:rsidR="00494AE4" w:rsidRPr="00564B9D" w:rsidRDefault="00494AE4" w:rsidP="00494AE4">
      <w:pPr>
        <w:pStyle w:val="SingleTxtGA"/>
        <w:rPr>
          <w:rtl/>
        </w:rPr>
      </w:pPr>
      <w:r w:rsidRPr="00564B9D">
        <w:rPr>
          <w:rFonts w:hint="cs"/>
          <w:rtl/>
        </w:rPr>
        <w:t>180</w:t>
      </w:r>
      <w:r w:rsidRPr="00564B9D">
        <w:rPr>
          <w:rtl/>
        </w:rPr>
        <w:t>-</w:t>
      </w:r>
      <w:r w:rsidRPr="00564B9D">
        <w:rPr>
          <w:rtl/>
        </w:rPr>
        <w:tab/>
      </w:r>
      <w:r w:rsidRPr="00564B9D">
        <w:rPr>
          <w:rFonts w:hint="cs"/>
          <w:rtl/>
        </w:rPr>
        <w:t xml:space="preserve">تتمتع محكمة سينيشال (على غرار محكمة ألديرني) بولاية قضائية مدنية غير محدودة. ومع أن ولايتها القضائية الجنائية غير محدودة حالياً، فإن صلاحياتها بشأن إصدار الأحكام محدودة. وإذا ما ارتأت المحكمة، نظراً لطبيعة القضية أو صلاحياتها بشأن المعاقبة، أن مسألة معينة تتجاوز اختصاصاتها، يتعين عليها إحالة القضية إلى المحكمة الملكية لغيرنسي التي تنعقد كمحكمة عادية. وتحال جميع القضايا التي قد تستحق حكماً يزيد على حد الحكم الصادر عن محكمة سينيشال إلى المحكمة الملكية لغيرنسي </w:t>
      </w:r>
      <w:r w:rsidRPr="00564B9D">
        <w:rPr>
          <w:rtl/>
        </w:rPr>
        <w:t>للمحاكمة</w:t>
      </w:r>
      <w:r w:rsidRPr="00564B9D">
        <w:rPr>
          <w:rFonts w:hint="cs"/>
          <w:rtl/>
        </w:rPr>
        <w:t xml:space="preserve"> فيها.</w:t>
      </w:r>
    </w:p>
    <w:p w14:paraId="78D7538A" w14:textId="77777777" w:rsidR="00494AE4" w:rsidRPr="00564B9D" w:rsidRDefault="00494AE4" w:rsidP="00494AE4">
      <w:pPr>
        <w:pStyle w:val="H4GA"/>
        <w:rPr>
          <w:rtl/>
        </w:rPr>
      </w:pPr>
      <w:r w:rsidRPr="00564B9D">
        <w:rPr>
          <w:rtl/>
        </w:rPr>
        <w:tab/>
      </w:r>
      <w:r w:rsidRPr="00564B9D">
        <w:rPr>
          <w:rtl/>
        </w:rPr>
        <w:tab/>
      </w:r>
      <w:r w:rsidRPr="00564B9D">
        <w:rPr>
          <w:rFonts w:hint="cs"/>
          <w:rtl/>
        </w:rPr>
        <w:t>المنظمات غير الحكومية</w:t>
      </w:r>
    </w:p>
    <w:p w14:paraId="77ACC1B3" w14:textId="77777777" w:rsidR="00494AE4" w:rsidRPr="00564B9D" w:rsidRDefault="00494AE4" w:rsidP="00494AE4">
      <w:pPr>
        <w:pStyle w:val="SingleTxtGA"/>
        <w:rPr>
          <w:rtl/>
        </w:rPr>
      </w:pPr>
      <w:r w:rsidRPr="00564B9D">
        <w:rPr>
          <w:rFonts w:hint="cs"/>
          <w:rtl/>
        </w:rPr>
        <w:t>181</w:t>
      </w:r>
      <w:r w:rsidRPr="00564B9D">
        <w:rPr>
          <w:rtl/>
        </w:rPr>
        <w:t>-</w:t>
      </w:r>
      <w:r w:rsidRPr="00564B9D">
        <w:rPr>
          <w:rtl/>
        </w:rPr>
        <w:tab/>
      </w:r>
      <w:r w:rsidRPr="00564B9D">
        <w:rPr>
          <w:rFonts w:hint="cs"/>
          <w:rtl/>
        </w:rPr>
        <w:t xml:space="preserve">تجري مشاورات متكررة مع المنظمات غير الحكومية ذات الصلة. فعلى سبيل المثال، يعتبر تحالف غيرنسي للأشخاص ذوي الإعاقة أساسياً لما قدمه من مساهمات بشأن </w:t>
      </w:r>
      <w:r w:rsidRPr="00564B9D">
        <w:rPr>
          <w:rtl/>
        </w:rPr>
        <w:t xml:space="preserve">مسار عمل سياسة الإعاقة والمساواة والشمول </w:t>
      </w:r>
      <w:r w:rsidRPr="00564B9D">
        <w:rPr>
          <w:rFonts w:hint="cs"/>
          <w:rtl/>
        </w:rPr>
        <w:t>وتعزيزه</w:t>
      </w:r>
      <w:r w:rsidRPr="00564B9D">
        <w:rPr>
          <w:vertAlign w:val="superscript"/>
          <w:rtl/>
        </w:rPr>
        <w:t>(</w:t>
      </w:r>
      <w:r w:rsidRPr="00564B9D">
        <w:rPr>
          <w:rStyle w:val="FootnoteReference"/>
          <w:rFonts w:cs="Simplified Arabic"/>
          <w:b w:val="0"/>
          <w:sz w:val="22"/>
          <w:szCs w:val="22"/>
          <w:rtl/>
          <w:lang w:val="en-US"/>
        </w:rPr>
        <w:footnoteReference w:id="354"/>
      </w:r>
      <w:r w:rsidRPr="00564B9D">
        <w:rPr>
          <w:vertAlign w:val="superscript"/>
          <w:rtl/>
        </w:rPr>
        <w:t>)</w:t>
      </w:r>
      <w:r w:rsidRPr="00564B9D">
        <w:rPr>
          <w:rFonts w:hint="cs"/>
          <w:rtl/>
        </w:rPr>
        <w:t>، وتُستشار نقابة المحامين في غيرنسي بانتظام بشأن التشريعات والقضايا القانونية الأخرى.</w:t>
      </w:r>
    </w:p>
    <w:p w14:paraId="398FF7E0" w14:textId="77777777" w:rsidR="00494AE4" w:rsidRPr="00564B9D" w:rsidRDefault="00494AE4" w:rsidP="00494AE4">
      <w:pPr>
        <w:pStyle w:val="HChGA"/>
        <w:rPr>
          <w:rtl/>
        </w:rPr>
      </w:pPr>
      <w:r w:rsidRPr="00564B9D">
        <w:rPr>
          <w:rtl/>
        </w:rPr>
        <w:tab/>
      </w:r>
      <w:bookmarkStart w:id="430" w:name="_Toc123044209"/>
      <w:bookmarkStart w:id="431" w:name="_Toc123044432"/>
      <w:bookmarkStart w:id="432" w:name="_Toc123044694"/>
      <w:bookmarkStart w:id="433" w:name="_Toc123044956"/>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430"/>
      <w:bookmarkEnd w:id="431"/>
      <w:bookmarkEnd w:id="432"/>
      <w:bookmarkEnd w:id="433"/>
    </w:p>
    <w:p w14:paraId="63250BFD" w14:textId="77777777" w:rsidR="00494AE4" w:rsidRPr="00564B9D" w:rsidRDefault="00494AE4" w:rsidP="00494AE4">
      <w:pPr>
        <w:pStyle w:val="H1GA"/>
        <w:rPr>
          <w:rtl/>
        </w:rPr>
      </w:pPr>
      <w:r w:rsidRPr="00564B9D">
        <w:rPr>
          <w:rtl/>
        </w:rPr>
        <w:tab/>
      </w:r>
      <w:bookmarkStart w:id="434" w:name="_Toc123044210"/>
      <w:bookmarkStart w:id="435" w:name="_Toc123044433"/>
      <w:bookmarkStart w:id="436" w:name="_Toc123044695"/>
      <w:bookmarkStart w:id="437" w:name="_Toc123044957"/>
      <w:r w:rsidRPr="00564B9D">
        <w:rPr>
          <w:rtl/>
        </w:rPr>
        <w:t>ألف-</w:t>
      </w:r>
      <w:r w:rsidRPr="00564B9D">
        <w:rPr>
          <w:rtl/>
        </w:rPr>
        <w:tab/>
      </w:r>
      <w:r w:rsidRPr="00564B9D">
        <w:rPr>
          <w:rFonts w:hint="cs"/>
          <w:rtl/>
        </w:rPr>
        <w:t>قبول معايير حقوق الإنسان الدولية</w:t>
      </w:r>
      <w:bookmarkEnd w:id="434"/>
      <w:bookmarkEnd w:id="435"/>
      <w:bookmarkEnd w:id="436"/>
      <w:bookmarkEnd w:id="437"/>
    </w:p>
    <w:p w14:paraId="1F49CAEB" w14:textId="77777777" w:rsidR="00494AE4" w:rsidRPr="00564B9D" w:rsidRDefault="00494AE4" w:rsidP="00494AE4">
      <w:pPr>
        <w:pStyle w:val="SingleTxtGA"/>
        <w:rPr>
          <w:rtl/>
        </w:rPr>
      </w:pPr>
      <w:r w:rsidRPr="00564B9D">
        <w:rPr>
          <w:rFonts w:hint="cs"/>
          <w:rtl/>
        </w:rPr>
        <w:t>182</w:t>
      </w:r>
      <w:r w:rsidRPr="00564B9D">
        <w:rPr>
          <w:rtl/>
        </w:rPr>
        <w:t>-</w:t>
      </w:r>
      <w:r w:rsidRPr="00564B9D">
        <w:rPr>
          <w:rtl/>
        </w:rPr>
        <w:tab/>
      </w:r>
      <w:r w:rsidRPr="00564B9D">
        <w:rPr>
          <w:rFonts w:hint="cs"/>
          <w:rtl/>
        </w:rPr>
        <w:t>تم توسيع نطاق الصكوك الدولية الرئيسية التالية لتشمل إقليم غيرنسي.</w:t>
      </w:r>
    </w:p>
    <w:p w14:paraId="6CFA6353"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5CC14BB4"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الدولية للقضاء على جميع أشكال التمييز العنصري؛ العهد الدولي الخاص بالحقوق المدنية والسياسية؛ البروتوكول الاختياري الثاني الملحق بالعهد الدولي الخاص بالحقوق المدنية والسياسية؛ العهد الدولي الخاص بالحقوق الاقتصادية والاجتماعية والثقافية؛ اتفاقية مناهضة التعذيب وغيره من ضروب المعاملة أو العقوبة القاسية أو اللاإنسانية أو المهينة.</w:t>
      </w:r>
      <w:r w:rsidRPr="00564B9D">
        <w:rPr>
          <w:rtl/>
        </w:rPr>
        <w:t xml:space="preserve"> بالإضافة إلى ذلك، </w:t>
      </w:r>
      <w:r w:rsidRPr="00564B9D">
        <w:rPr>
          <w:rFonts w:hint="cs"/>
          <w:rtl/>
        </w:rPr>
        <w:t>تطبق</w:t>
      </w:r>
      <w:r w:rsidRPr="00564B9D">
        <w:rPr>
          <w:rtl/>
        </w:rPr>
        <w:t xml:space="preserve"> على غيرنسي وألدريني منذ عام 2020</w:t>
      </w:r>
      <w:r w:rsidRPr="00564B9D">
        <w:rPr>
          <w:rFonts w:hint="cs"/>
          <w:rtl/>
        </w:rPr>
        <w:t xml:space="preserve"> </w:t>
      </w:r>
      <w:r w:rsidRPr="00564B9D">
        <w:rPr>
          <w:rtl/>
        </w:rPr>
        <w:t>اتفاقية حقوق الطفل والبروتوكولين الاختياريين المتعلقين ببيع الأطفال وبغاء الأطفال واستغلال الأطفال في المواد الإباحية، وإشراك الأطفال في النزاعات المسلحة.</w:t>
      </w:r>
    </w:p>
    <w:p w14:paraId="7E822F99"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63690068"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الاتفاقية المتعلقة بوضع اللاجئين؛ الاتفاقية المتعلقة بوضع الأشخاص العديمي الجنسية.</w:t>
      </w:r>
    </w:p>
    <w:p w14:paraId="4E41917D"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اتفاقيات منظمة العمل الدولية</w:t>
      </w:r>
    </w:p>
    <w:p w14:paraId="44773DF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 C029</w:t>
      </w:r>
      <w:r w:rsidRPr="00564B9D">
        <w:rPr>
          <w:rFonts w:hint="cs"/>
          <w:rtl/>
        </w:rPr>
        <w:t xml:space="preserve"> - اتفاقية العمل الجبري؛ </w:t>
      </w:r>
      <w:r w:rsidRPr="00564B9D">
        <w:t>C081</w:t>
      </w:r>
      <w:r w:rsidRPr="00564B9D">
        <w:rPr>
          <w:rFonts w:hint="cs"/>
          <w:rtl/>
        </w:rPr>
        <w:t xml:space="preserve"> - الاتفاقية بشأن تفتيش العمل؛ </w:t>
      </w: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C097</w:t>
      </w:r>
      <w:r w:rsidRPr="00564B9D">
        <w:rPr>
          <w:rFonts w:hint="cs"/>
          <w:rtl/>
        </w:rPr>
        <w:t xml:space="preserve"> - الاتفاقية (المراجعة) بشأن الهجرة من أجل العمل؛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xml:space="preserve"> - اتفاقية الضمان الاجتماعي (المعايير الدنيا)؛ </w:t>
      </w:r>
      <w:r w:rsidRPr="00564B9D">
        <w:t>C105</w:t>
      </w:r>
      <w:r w:rsidRPr="00564B9D">
        <w:rPr>
          <w:rFonts w:hint="cs"/>
          <w:rtl/>
        </w:rPr>
        <w:t xml:space="preserve"> - اتفاقية إلغاء العمل الجبري؛ </w:t>
      </w:r>
      <w:r w:rsidRPr="00564B9D">
        <w:t>C122</w:t>
      </w:r>
      <w:r w:rsidRPr="00564B9D">
        <w:rPr>
          <w:rFonts w:hint="cs"/>
          <w:rtl/>
        </w:rPr>
        <w:t xml:space="preserve"> - الاتفاقية بشأن سياسة العمالة؛ </w:t>
      </w:r>
      <w:r w:rsidRPr="00564B9D">
        <w:t>C151</w:t>
      </w:r>
      <w:r w:rsidRPr="00564B9D">
        <w:rPr>
          <w:rFonts w:hint="cs"/>
          <w:rtl/>
        </w:rPr>
        <w:t xml:space="preserve">- الاتفاقية المتعلقة بعلاقات العمل (الخدمة العامة)؛ </w:t>
      </w:r>
      <w:r w:rsidRPr="00564B9D">
        <w:t>C182</w:t>
      </w:r>
      <w:r w:rsidRPr="00564B9D">
        <w:rPr>
          <w:rFonts w:hint="cs"/>
          <w:rtl/>
        </w:rPr>
        <w:t xml:space="preserve"> - الاتفاقية بشأن حظر أسوأ أشكال عمل الأطفال.</w:t>
      </w:r>
    </w:p>
    <w:p w14:paraId="2D918A4B"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43733D5B"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الاعتراف بالطلاق والانفصال القانوني.</w:t>
      </w:r>
    </w:p>
    <w:p w14:paraId="3705AB4B"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والمعاهدات الأخرى المتعلقة بالقانون الإنساني الدولي</w:t>
      </w:r>
    </w:p>
    <w:p w14:paraId="6F8930E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7D266496"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المتعلقة بحقوق الإنسان</w:t>
      </w:r>
    </w:p>
    <w:p w14:paraId="44EDB7C4"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 </w:t>
      </w:r>
      <w:r w:rsidRPr="00564B9D">
        <w:rPr>
          <w:rFonts w:hint="cs"/>
          <w:rtl/>
        </w:rPr>
        <w:t>الاتفاقية الأوروبية لحماية حقوق الإنسان والحريات الأساسية؛ الاتفاقية الأوروبية للاعتراف بالشخصية القانونية للمنظمات غير الحكومية الدولية؛ الاتفاقية الأوروبية لمناهضة التعذيب وغيره من ضروب المعاملة أو العقوبة القاسية أو اللاإنسانية أو المهينة.</w:t>
      </w:r>
    </w:p>
    <w:p w14:paraId="6EAFBBFB" w14:textId="77777777" w:rsidR="00494AE4" w:rsidRPr="00564B9D" w:rsidRDefault="00494AE4" w:rsidP="00494AE4">
      <w:pPr>
        <w:pStyle w:val="H1GA"/>
        <w:rPr>
          <w:rtl/>
        </w:rPr>
      </w:pPr>
      <w:r w:rsidRPr="00564B9D">
        <w:rPr>
          <w:rtl/>
        </w:rPr>
        <w:tab/>
      </w:r>
      <w:bookmarkStart w:id="438" w:name="_Toc123044211"/>
      <w:bookmarkStart w:id="439" w:name="_Toc123044434"/>
      <w:bookmarkStart w:id="440" w:name="_Toc123044696"/>
      <w:bookmarkStart w:id="441" w:name="_Toc123044958"/>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438"/>
      <w:bookmarkEnd w:id="439"/>
      <w:bookmarkEnd w:id="440"/>
      <w:bookmarkEnd w:id="441"/>
    </w:p>
    <w:p w14:paraId="66CB8DF5" w14:textId="77777777" w:rsidR="00494AE4" w:rsidRPr="00564B9D" w:rsidRDefault="00494AE4" w:rsidP="00494AE4">
      <w:pPr>
        <w:pStyle w:val="SingleTxtGA"/>
        <w:rPr>
          <w:rtl/>
        </w:rPr>
      </w:pPr>
      <w:r w:rsidRPr="00564B9D">
        <w:rPr>
          <w:rFonts w:hint="cs"/>
          <w:rtl/>
        </w:rPr>
        <w:t>183</w:t>
      </w:r>
      <w:r w:rsidRPr="00564B9D">
        <w:rPr>
          <w:rtl/>
        </w:rPr>
        <w:t>-</w:t>
      </w:r>
      <w:r w:rsidRPr="00564B9D">
        <w:rPr>
          <w:rtl/>
        </w:rPr>
        <w:tab/>
      </w:r>
      <w:r w:rsidRPr="00564B9D">
        <w:rPr>
          <w:rFonts w:hint="cs"/>
          <w:rtl/>
        </w:rPr>
        <w:t>تُفسر جميع التشريعات وفقاً للاتفاقية الأوروبية لحماية حقوق الإنسان والحريات الأساسية، من خلال قانون حقوق الإنسان (إقليم غيرنسي) لعام 2000</w:t>
      </w:r>
      <w:r w:rsidRPr="00564B9D">
        <w:rPr>
          <w:vertAlign w:val="superscript"/>
          <w:rtl/>
        </w:rPr>
        <w:t>(</w:t>
      </w:r>
      <w:r w:rsidRPr="00564B9D">
        <w:rPr>
          <w:rStyle w:val="FootnoteReference"/>
          <w:rFonts w:cs="Simplified Arabic"/>
          <w:b w:val="0"/>
          <w:sz w:val="22"/>
          <w:szCs w:val="22"/>
          <w:rtl/>
          <w:lang w:val="en-US"/>
        </w:rPr>
        <w:footnoteReference w:id="355"/>
      </w:r>
      <w:r w:rsidRPr="00564B9D">
        <w:rPr>
          <w:vertAlign w:val="superscript"/>
          <w:rtl/>
        </w:rPr>
        <w:t>)</w:t>
      </w:r>
      <w:r w:rsidRPr="00564B9D">
        <w:rPr>
          <w:rFonts w:hint="cs"/>
          <w:rtl/>
        </w:rPr>
        <w:t xml:space="preserve">، بصيغته المعدلة بموجب قانون (تنفيذ وتعديل) حقوق الإنسان (إقليم غيرنسي)، لعام 2004. </w:t>
      </w:r>
    </w:p>
    <w:p w14:paraId="2A11E0EC" w14:textId="77777777" w:rsidR="00494AE4" w:rsidRPr="00564B9D" w:rsidRDefault="00494AE4" w:rsidP="00494AE4">
      <w:pPr>
        <w:pStyle w:val="H1GA"/>
        <w:rPr>
          <w:rtl/>
        </w:rPr>
      </w:pPr>
      <w:r w:rsidRPr="00564B9D">
        <w:rPr>
          <w:rtl/>
        </w:rPr>
        <w:tab/>
      </w:r>
      <w:bookmarkStart w:id="442" w:name="_Toc123044212"/>
      <w:bookmarkStart w:id="443" w:name="_Toc123044435"/>
      <w:bookmarkStart w:id="444" w:name="_Toc123044697"/>
      <w:bookmarkStart w:id="445" w:name="_Toc123044959"/>
      <w:r w:rsidRPr="00564B9D">
        <w:rPr>
          <w:rFonts w:hint="cs"/>
          <w:rtl/>
        </w:rPr>
        <w:t>جيم</w:t>
      </w:r>
      <w:r w:rsidRPr="00564B9D">
        <w:rPr>
          <w:rtl/>
        </w:rPr>
        <w:t>-</w:t>
      </w:r>
      <w:r w:rsidRPr="00564B9D">
        <w:rPr>
          <w:rtl/>
        </w:rPr>
        <w:tab/>
      </w:r>
      <w:r w:rsidRPr="00564B9D">
        <w:rPr>
          <w:rFonts w:hint="cs"/>
          <w:rtl/>
        </w:rPr>
        <w:t>إطار تعزيز حقوق الإنسان على الصعيد الوطني</w:t>
      </w:r>
      <w:bookmarkEnd w:id="442"/>
      <w:bookmarkEnd w:id="443"/>
      <w:bookmarkEnd w:id="444"/>
      <w:bookmarkEnd w:id="445"/>
    </w:p>
    <w:p w14:paraId="0AEE8D50" w14:textId="77777777" w:rsidR="00494AE4" w:rsidRPr="00564B9D" w:rsidRDefault="00494AE4" w:rsidP="00494AE4">
      <w:pPr>
        <w:pStyle w:val="SingleTxtGA"/>
        <w:rPr>
          <w:rtl/>
        </w:rPr>
      </w:pPr>
      <w:r w:rsidRPr="00564B9D">
        <w:rPr>
          <w:rFonts w:hint="cs"/>
          <w:rtl/>
        </w:rPr>
        <w:t>184</w:t>
      </w:r>
      <w:r w:rsidRPr="00564B9D">
        <w:rPr>
          <w:rtl/>
        </w:rPr>
        <w:t>-</w:t>
      </w:r>
      <w:r w:rsidRPr="00564B9D">
        <w:rPr>
          <w:rtl/>
        </w:rPr>
        <w:tab/>
      </w:r>
      <w:r w:rsidRPr="00564B9D">
        <w:rPr>
          <w:rFonts w:hint="cs"/>
          <w:rtl/>
        </w:rPr>
        <w:t>يقدم الموقع الإلكتروني لولاية غيرنسي</w:t>
      </w:r>
      <w:r w:rsidRPr="00564B9D">
        <w:rPr>
          <w:vertAlign w:val="superscript"/>
          <w:rtl/>
        </w:rPr>
        <w:t>(</w:t>
      </w:r>
      <w:r w:rsidRPr="00564B9D">
        <w:rPr>
          <w:rStyle w:val="FootnoteReference"/>
          <w:rFonts w:cs="Simplified Arabic"/>
          <w:b w:val="0"/>
          <w:sz w:val="22"/>
          <w:szCs w:val="22"/>
          <w:rtl/>
          <w:lang w:val="en-US"/>
        </w:rPr>
        <w:footnoteReference w:id="356"/>
      </w:r>
      <w:r w:rsidRPr="00564B9D">
        <w:rPr>
          <w:vertAlign w:val="superscript"/>
          <w:rtl/>
        </w:rPr>
        <w:t>)</w:t>
      </w:r>
      <w:r w:rsidRPr="00564B9D">
        <w:rPr>
          <w:rFonts w:hint="cs"/>
          <w:rtl/>
        </w:rPr>
        <w:t xml:space="preserve"> معلومات وإرشادات مفصلة إلى السلطات العامة في إقليم غيرنسي بشأن قانون حقوق الإنسان (إقليم غيرنسي) لعام 2000. كما يعرض الموقع الإلكتروني نفسه معلومات عن الصكوك الدولية الرئيسية لحقوق الإنسان التي تم توسيع نطاقها لتشمل غيرنسي.</w:t>
      </w:r>
    </w:p>
    <w:p w14:paraId="7CAFE5CA" w14:textId="77777777" w:rsidR="00494AE4" w:rsidRPr="00564B9D" w:rsidRDefault="00494AE4" w:rsidP="00494AE4">
      <w:pPr>
        <w:pStyle w:val="HChGA"/>
        <w:rPr>
          <w:rtl/>
        </w:rPr>
      </w:pPr>
      <w:r w:rsidRPr="00564B9D">
        <w:rPr>
          <w:rtl/>
        </w:rPr>
        <w:lastRenderedPageBreak/>
        <w:tab/>
      </w:r>
      <w:bookmarkStart w:id="446" w:name="_Toc123044213"/>
      <w:bookmarkStart w:id="447" w:name="_Toc123044436"/>
      <w:bookmarkStart w:id="448" w:name="_Toc123044698"/>
      <w:bookmarkStart w:id="449" w:name="_Toc123044960"/>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446"/>
      <w:bookmarkEnd w:id="447"/>
      <w:bookmarkEnd w:id="448"/>
      <w:bookmarkEnd w:id="449"/>
    </w:p>
    <w:p w14:paraId="030F6B46" w14:textId="77777777" w:rsidR="00494AE4" w:rsidRPr="00564B9D" w:rsidRDefault="00494AE4" w:rsidP="00494AE4">
      <w:pPr>
        <w:pStyle w:val="SingleTxtGA"/>
        <w:rPr>
          <w:rtl/>
        </w:rPr>
      </w:pPr>
      <w:r w:rsidRPr="00564B9D">
        <w:rPr>
          <w:rFonts w:hint="cs"/>
          <w:rtl/>
        </w:rPr>
        <w:t>185</w:t>
      </w:r>
      <w:r w:rsidRPr="00564B9D">
        <w:rPr>
          <w:rtl/>
        </w:rPr>
        <w:t>-</w:t>
      </w:r>
      <w:r w:rsidRPr="00564B9D">
        <w:rPr>
          <w:rtl/>
        </w:rPr>
        <w:tab/>
      </w:r>
      <w:r w:rsidRPr="00564B9D">
        <w:rPr>
          <w:rFonts w:hint="cs"/>
          <w:rtl/>
        </w:rPr>
        <w:t>إلى جانب التشريعات المتعلقة بحقوق الإنسان الواردة أعلاه، اتخذت غيرنسي تدابير محددة بشأن مناهضة التمييز وتعزيز المساواة</w:t>
      </w:r>
      <w:r w:rsidRPr="00564B9D">
        <w:rPr>
          <w:vertAlign w:val="superscript"/>
          <w:rtl/>
        </w:rPr>
        <w:t>(</w:t>
      </w:r>
      <w:r w:rsidRPr="00564B9D">
        <w:rPr>
          <w:rStyle w:val="FootnoteReference"/>
          <w:rFonts w:cs="Simplified Arabic"/>
          <w:b w:val="0"/>
          <w:sz w:val="22"/>
          <w:szCs w:val="22"/>
          <w:rtl/>
          <w:lang w:val="en-US"/>
        </w:rPr>
        <w:footnoteReference w:id="357"/>
      </w:r>
      <w:r w:rsidRPr="00564B9D">
        <w:rPr>
          <w:vertAlign w:val="superscript"/>
          <w:rtl/>
        </w:rPr>
        <w:t>)</w:t>
      </w:r>
      <w:r w:rsidRPr="00564B9D">
        <w:rPr>
          <w:rFonts w:hint="cs"/>
          <w:rtl/>
        </w:rPr>
        <w:t>، بما </w:t>
      </w:r>
      <w:r w:rsidRPr="00564B9D">
        <w:rPr>
          <w:rtl/>
        </w:rPr>
        <w:t>في ذلك وضع تشريعات مناهضة للتمييز</w:t>
      </w:r>
      <w:r w:rsidRPr="00564B9D">
        <w:rPr>
          <w:vertAlign w:val="superscript"/>
          <w:rtl/>
        </w:rPr>
        <w:t>(</w:t>
      </w:r>
      <w:r w:rsidRPr="00564B9D">
        <w:rPr>
          <w:rStyle w:val="FootnoteReference"/>
          <w:rFonts w:cs="Simplified Arabic"/>
          <w:b w:val="0"/>
          <w:sz w:val="22"/>
          <w:szCs w:val="22"/>
          <w:rtl/>
          <w:lang w:val="en-US"/>
        </w:rPr>
        <w:footnoteReference w:id="358"/>
      </w:r>
      <w:r w:rsidRPr="00564B9D">
        <w:rPr>
          <w:vertAlign w:val="superscript"/>
          <w:rtl/>
        </w:rPr>
        <w:t>)</w:t>
      </w:r>
      <w:r w:rsidRPr="00564B9D">
        <w:rPr>
          <w:rFonts w:hint="cs"/>
          <w:rtl/>
        </w:rPr>
        <w:t>.</w:t>
      </w:r>
    </w:p>
    <w:p w14:paraId="01931DB2" w14:textId="77777777" w:rsidR="00494AE4" w:rsidRPr="00564B9D" w:rsidRDefault="00494AE4" w:rsidP="00494AE4">
      <w:pPr>
        <w:pStyle w:val="HChGA"/>
        <w:rPr>
          <w:rtl/>
        </w:rPr>
      </w:pPr>
      <w:r w:rsidRPr="00564B9D">
        <w:rPr>
          <w:rtl/>
        </w:rPr>
        <w:tab/>
      </w:r>
      <w:r w:rsidRPr="00564B9D">
        <w:rPr>
          <w:rtl/>
        </w:rPr>
        <w:tab/>
      </w:r>
      <w:bookmarkStart w:id="450" w:name="_Toc123044214"/>
      <w:bookmarkStart w:id="451" w:name="_Toc123044437"/>
      <w:bookmarkStart w:id="452" w:name="_Toc123044699"/>
      <w:bookmarkStart w:id="453" w:name="_Toc123044961"/>
      <w:r w:rsidRPr="00564B9D">
        <w:rPr>
          <w:rFonts w:hint="cs"/>
          <w:rtl/>
        </w:rPr>
        <w:t>إقليم جيرسي</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359"/>
      </w:r>
      <w:r w:rsidRPr="00564B9D">
        <w:rPr>
          <w:b w:val="0"/>
          <w:bCs w:val="0"/>
          <w:sz w:val="22"/>
          <w:szCs w:val="22"/>
          <w:vertAlign w:val="superscript"/>
          <w:rtl/>
        </w:rPr>
        <w:t>)</w:t>
      </w:r>
      <w:bookmarkEnd w:id="450"/>
      <w:bookmarkEnd w:id="451"/>
      <w:bookmarkEnd w:id="452"/>
      <w:bookmarkEnd w:id="453"/>
      <w:r w:rsidRPr="00564B9D">
        <w:rPr>
          <w:rFonts w:hint="cs"/>
          <w:rtl/>
        </w:rPr>
        <w:t xml:space="preserve"> </w:t>
      </w:r>
    </w:p>
    <w:p w14:paraId="03E6F12A" w14:textId="77777777" w:rsidR="00494AE4" w:rsidRPr="00564B9D" w:rsidRDefault="00494AE4" w:rsidP="00494AE4">
      <w:pPr>
        <w:pStyle w:val="HChGA"/>
        <w:rPr>
          <w:rtl/>
        </w:rPr>
      </w:pPr>
      <w:r w:rsidRPr="00564B9D">
        <w:rPr>
          <w:rtl/>
        </w:rPr>
        <w:tab/>
      </w:r>
      <w:bookmarkStart w:id="454" w:name="_Toc123044215"/>
      <w:bookmarkStart w:id="455" w:name="_Toc123044438"/>
      <w:bookmarkStart w:id="456" w:name="_Toc123044700"/>
      <w:bookmarkStart w:id="457" w:name="_Toc123044962"/>
      <w:r w:rsidRPr="00564B9D">
        <w:rPr>
          <w:rFonts w:hint="cs"/>
          <w:rtl/>
        </w:rPr>
        <w:t>أولاً</w:t>
      </w:r>
      <w:r w:rsidRPr="00564B9D">
        <w:rPr>
          <w:rtl/>
        </w:rPr>
        <w:t>-</w:t>
      </w:r>
      <w:r w:rsidRPr="00564B9D">
        <w:rPr>
          <w:rtl/>
        </w:rPr>
        <w:tab/>
      </w:r>
      <w:r w:rsidRPr="00564B9D">
        <w:rPr>
          <w:rFonts w:hint="cs"/>
          <w:rtl/>
        </w:rPr>
        <w:t>معلومات عامة</w:t>
      </w:r>
      <w:bookmarkEnd w:id="454"/>
      <w:bookmarkEnd w:id="455"/>
      <w:bookmarkEnd w:id="456"/>
      <w:bookmarkEnd w:id="457"/>
    </w:p>
    <w:p w14:paraId="4DBE84E9" w14:textId="77777777" w:rsidR="00494AE4" w:rsidRPr="00564B9D" w:rsidRDefault="00494AE4" w:rsidP="00494AE4">
      <w:pPr>
        <w:pStyle w:val="H1GA"/>
        <w:rPr>
          <w:rtl/>
        </w:rPr>
      </w:pPr>
      <w:r w:rsidRPr="00564B9D">
        <w:rPr>
          <w:rtl/>
        </w:rPr>
        <w:tab/>
      </w:r>
      <w:bookmarkStart w:id="458" w:name="_Toc123044216"/>
      <w:bookmarkStart w:id="459" w:name="_Toc123044439"/>
      <w:bookmarkStart w:id="460" w:name="_Toc123044701"/>
      <w:bookmarkStart w:id="461" w:name="_Toc123044963"/>
      <w:r w:rsidRPr="00564B9D">
        <w:rPr>
          <w:rtl/>
        </w:rPr>
        <w:t>ألف-</w:t>
      </w:r>
      <w:r w:rsidRPr="00564B9D">
        <w:rPr>
          <w:rtl/>
        </w:rPr>
        <w:tab/>
        <w:t>الخصائص الديمغرافية والاقتصادية والاجتماعية والثقافية</w:t>
      </w:r>
      <w:bookmarkEnd w:id="458"/>
      <w:bookmarkEnd w:id="459"/>
      <w:bookmarkEnd w:id="460"/>
      <w:bookmarkEnd w:id="461"/>
    </w:p>
    <w:tbl>
      <w:tblPr>
        <w:bidiVisual/>
        <w:tblW w:w="8392" w:type="dxa"/>
        <w:tblInd w:w="1247" w:type="dxa"/>
        <w:tblLayout w:type="fixed"/>
        <w:tblCellMar>
          <w:right w:w="113" w:type="dxa"/>
        </w:tblCellMar>
        <w:tblLook w:val="01E0" w:firstRow="1" w:lastRow="1" w:firstColumn="1" w:lastColumn="1" w:noHBand="0" w:noVBand="0"/>
      </w:tblPr>
      <w:tblGrid>
        <w:gridCol w:w="4432"/>
        <w:gridCol w:w="3960"/>
      </w:tblGrid>
      <w:tr w:rsidR="007B5A24" w:rsidRPr="00564B9D" w14:paraId="3F38F6AD" w14:textId="77777777" w:rsidTr="00804944">
        <w:trPr>
          <w:trHeight w:val="240"/>
          <w:tblHeader/>
        </w:trPr>
        <w:tc>
          <w:tcPr>
            <w:tcW w:w="7191" w:type="dxa"/>
            <w:gridSpan w:val="2"/>
            <w:tcBorders>
              <w:top w:val="single" w:sz="4" w:space="0" w:color="auto"/>
              <w:bottom w:val="single" w:sz="12" w:space="0" w:color="auto"/>
            </w:tcBorders>
            <w:shd w:val="clear" w:color="auto" w:fill="auto"/>
            <w:vAlign w:val="bottom"/>
          </w:tcPr>
          <w:p w14:paraId="20FDAF40"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الديمغرافية</w:t>
            </w:r>
          </w:p>
        </w:tc>
      </w:tr>
      <w:tr w:rsidR="007B5A24" w:rsidRPr="00564B9D" w14:paraId="421533C1" w14:textId="77777777" w:rsidTr="00804944">
        <w:trPr>
          <w:trHeight w:val="240"/>
        </w:trPr>
        <w:tc>
          <w:tcPr>
            <w:tcW w:w="3798" w:type="dxa"/>
            <w:tcBorders>
              <w:top w:val="single" w:sz="12" w:space="0" w:color="auto"/>
            </w:tcBorders>
            <w:shd w:val="clear" w:color="auto" w:fill="auto"/>
          </w:tcPr>
          <w:p w14:paraId="075C2F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3393" w:type="dxa"/>
            <w:tcBorders>
              <w:top w:val="single" w:sz="12" w:space="0" w:color="auto"/>
            </w:tcBorders>
            <w:shd w:val="clear" w:color="auto" w:fill="auto"/>
          </w:tcPr>
          <w:p w14:paraId="768AB3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800</w:t>
            </w:r>
            <w:r w:rsidRPr="00564B9D">
              <w:rPr>
                <w:sz w:val="20"/>
                <w:szCs w:val="20"/>
                <w:rtl/>
              </w:rPr>
              <w:t> </w:t>
            </w:r>
            <w:r w:rsidRPr="00564B9D">
              <w:rPr>
                <w:rFonts w:hint="cs"/>
                <w:sz w:val="20"/>
                <w:szCs w:val="20"/>
                <w:rtl/>
              </w:rPr>
              <w:t>107 (بنهاية عام 2019)</w:t>
            </w:r>
          </w:p>
        </w:tc>
      </w:tr>
      <w:tr w:rsidR="007B5A24" w:rsidRPr="00564B9D" w14:paraId="7E6E2CBB" w14:textId="77777777" w:rsidTr="00804944">
        <w:trPr>
          <w:trHeight w:val="240"/>
        </w:trPr>
        <w:tc>
          <w:tcPr>
            <w:tcW w:w="3798" w:type="dxa"/>
            <w:shd w:val="clear" w:color="auto" w:fill="auto"/>
          </w:tcPr>
          <w:p w14:paraId="426F4F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3393" w:type="dxa"/>
            <w:shd w:val="clear" w:color="auto" w:fill="auto"/>
          </w:tcPr>
          <w:p w14:paraId="4349B9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1,02 في المائة النمو السنوي (بنهاية عام 2019 بالمقارنة بنهاية عام 2018)</w:t>
            </w:r>
          </w:p>
        </w:tc>
      </w:tr>
      <w:tr w:rsidR="007B5A24" w:rsidRPr="00564B9D" w14:paraId="7A5C0574" w14:textId="77777777" w:rsidTr="00804944">
        <w:trPr>
          <w:trHeight w:val="240"/>
        </w:trPr>
        <w:tc>
          <w:tcPr>
            <w:tcW w:w="3798" w:type="dxa"/>
            <w:shd w:val="clear" w:color="auto" w:fill="auto"/>
          </w:tcPr>
          <w:p w14:paraId="63B703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3393" w:type="dxa"/>
            <w:shd w:val="clear" w:color="auto" w:fill="auto"/>
          </w:tcPr>
          <w:p w14:paraId="7F04E89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900</w:t>
            </w:r>
          </w:p>
        </w:tc>
      </w:tr>
      <w:tr w:rsidR="007B5A24" w:rsidRPr="00564B9D" w14:paraId="11F3F166" w14:textId="77777777" w:rsidTr="00804944">
        <w:trPr>
          <w:trHeight w:val="240"/>
        </w:trPr>
        <w:tc>
          <w:tcPr>
            <w:tcW w:w="3798" w:type="dxa"/>
            <w:shd w:val="clear" w:color="auto" w:fill="auto"/>
          </w:tcPr>
          <w:p w14:paraId="374A25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3393" w:type="dxa"/>
            <w:shd w:val="clear" w:color="auto" w:fill="auto"/>
          </w:tcPr>
          <w:p w14:paraId="3284210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419D26F" w14:textId="77777777" w:rsidTr="00804944">
        <w:trPr>
          <w:trHeight w:val="240"/>
        </w:trPr>
        <w:tc>
          <w:tcPr>
            <w:tcW w:w="3798" w:type="dxa"/>
            <w:shd w:val="clear" w:color="auto" w:fill="auto"/>
          </w:tcPr>
          <w:p w14:paraId="568080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3393" w:type="dxa"/>
            <w:shd w:val="clear" w:color="auto" w:fill="auto"/>
          </w:tcPr>
          <w:p w14:paraId="1ABEC8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767081F" w14:textId="77777777" w:rsidTr="00804944">
        <w:trPr>
          <w:trHeight w:val="240"/>
        </w:trPr>
        <w:tc>
          <w:tcPr>
            <w:tcW w:w="3798" w:type="dxa"/>
            <w:shd w:val="clear" w:color="auto" w:fill="auto"/>
          </w:tcPr>
          <w:p w14:paraId="0DAAB1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الفئات الإثنية</w:t>
            </w:r>
          </w:p>
        </w:tc>
        <w:tc>
          <w:tcPr>
            <w:tcW w:w="3393" w:type="dxa"/>
            <w:shd w:val="clear" w:color="auto" w:fill="auto"/>
          </w:tcPr>
          <w:p w14:paraId="68704E3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 من جيرسي 46 في المائة</w:t>
            </w:r>
          </w:p>
          <w:p w14:paraId="377639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 بريطانيون 32,7 في المائة</w:t>
            </w:r>
          </w:p>
          <w:p w14:paraId="4D90631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 آيرلنديون 2,4 في المائة</w:t>
            </w:r>
          </w:p>
          <w:p w14:paraId="373551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 فرنسيون 0,9 في المائة</w:t>
            </w:r>
          </w:p>
          <w:p w14:paraId="137AE86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 برتغاليون/من ماديرا 8,2 في المائة</w:t>
            </w:r>
          </w:p>
          <w:p w14:paraId="6D33982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 بولنديون 3,3 في المائة</w:t>
            </w:r>
          </w:p>
          <w:p w14:paraId="6F61FC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 من مناطق أخرى 3,8 في المائة</w:t>
            </w:r>
          </w:p>
          <w:p w14:paraId="1D2DC6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هنود آسيويون 0,4 في المائة</w:t>
            </w:r>
          </w:p>
          <w:p w14:paraId="0015D9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باكستانيون آسيويون 0,1 في المائة</w:t>
            </w:r>
          </w:p>
          <w:p w14:paraId="613FCF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بنغلاديشيون آسيويون 0,1 في المائة</w:t>
            </w:r>
          </w:p>
          <w:p w14:paraId="67FAB7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تايلنديون آسيويون 0,2 في المائة</w:t>
            </w:r>
          </w:p>
          <w:p w14:paraId="186DEA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فئات آسيوية أخرى 0,3 في المائة</w:t>
            </w:r>
          </w:p>
          <w:p w14:paraId="4BD8FB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سود كاريبيون 0,1 في المائة</w:t>
            </w:r>
          </w:p>
          <w:p w14:paraId="5E3DF2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سود أفارقة 0,3 في المائة</w:t>
            </w:r>
          </w:p>
          <w:p w14:paraId="0993A41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سود آخرون صفر في المائة</w:t>
            </w:r>
          </w:p>
          <w:p w14:paraId="000B37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آسيويون مختلطون 0,3 في المائة</w:t>
            </w:r>
          </w:p>
          <w:p w14:paraId="4956B9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كاريبيون مختلطون 0,1 في المائة</w:t>
            </w:r>
          </w:p>
          <w:p w14:paraId="1F148CF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أفارقة مختلطون 0,1 في المائة</w:t>
            </w:r>
          </w:p>
          <w:p w14:paraId="7271160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فئات مختلطة أخرى 0,2 في المائة </w:t>
            </w:r>
          </w:p>
        </w:tc>
      </w:tr>
      <w:tr w:rsidR="007B5A24" w:rsidRPr="00564B9D" w14:paraId="681FD172" w14:textId="77777777" w:rsidTr="00804944">
        <w:trPr>
          <w:trHeight w:val="240"/>
        </w:trPr>
        <w:tc>
          <w:tcPr>
            <w:tcW w:w="3798" w:type="dxa"/>
            <w:shd w:val="clear" w:color="auto" w:fill="auto"/>
          </w:tcPr>
          <w:p w14:paraId="46AF779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 xml:space="preserve">التركيب العمري للسكان </w:t>
            </w:r>
          </w:p>
        </w:tc>
        <w:tc>
          <w:tcPr>
            <w:tcW w:w="3393" w:type="dxa"/>
            <w:shd w:val="clear" w:color="auto" w:fill="auto"/>
          </w:tcPr>
          <w:p w14:paraId="548B85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أقل من سنة: 522 (إناث)؛ 509 (ذكور)</w:t>
            </w:r>
          </w:p>
          <w:p w14:paraId="079692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1-4:</w:t>
            </w:r>
            <w:r w:rsidRPr="00564B9D">
              <w:rPr>
                <w:sz w:val="20"/>
                <w:szCs w:val="20"/>
                <w:rtl/>
              </w:rPr>
              <w:tab/>
            </w:r>
            <w:r w:rsidRPr="00564B9D">
              <w:rPr>
                <w:rFonts w:hint="cs"/>
                <w:sz w:val="20"/>
                <w:szCs w:val="20"/>
                <w:rtl/>
              </w:rPr>
              <w:t>027</w:t>
            </w:r>
            <w:r w:rsidRPr="00564B9D">
              <w:rPr>
                <w:sz w:val="20"/>
                <w:szCs w:val="20"/>
                <w:rtl/>
              </w:rPr>
              <w:t> </w:t>
            </w:r>
            <w:r w:rsidRPr="00564B9D">
              <w:rPr>
                <w:rFonts w:hint="cs"/>
                <w:sz w:val="20"/>
                <w:szCs w:val="20"/>
                <w:rtl/>
              </w:rPr>
              <w:t>2 (إناث)؛ 957</w:t>
            </w:r>
            <w:r w:rsidRPr="00564B9D">
              <w:rPr>
                <w:sz w:val="20"/>
                <w:szCs w:val="20"/>
                <w:rtl/>
              </w:rPr>
              <w:t> </w:t>
            </w:r>
            <w:r w:rsidRPr="00564B9D">
              <w:rPr>
                <w:rFonts w:hint="cs"/>
                <w:sz w:val="20"/>
                <w:szCs w:val="20"/>
                <w:rtl/>
              </w:rPr>
              <w:t>1 (ذكور)</w:t>
            </w:r>
          </w:p>
          <w:p w14:paraId="366FE5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5</w:t>
            </w:r>
            <w:r w:rsidRPr="00564B9D">
              <w:rPr>
                <w:sz w:val="20"/>
                <w:szCs w:val="20"/>
                <w:rtl/>
              </w:rPr>
              <w:t>-</w:t>
            </w:r>
            <w:r w:rsidRPr="00564B9D">
              <w:rPr>
                <w:rFonts w:hint="cs"/>
                <w:sz w:val="20"/>
                <w:szCs w:val="20"/>
                <w:rtl/>
              </w:rPr>
              <w:t>9:</w:t>
            </w:r>
            <w:r w:rsidRPr="00564B9D">
              <w:rPr>
                <w:sz w:val="20"/>
                <w:szCs w:val="20"/>
                <w:rtl/>
              </w:rPr>
              <w:tab/>
            </w:r>
            <w:r w:rsidRPr="00564B9D">
              <w:rPr>
                <w:rFonts w:hint="cs"/>
                <w:sz w:val="20"/>
                <w:szCs w:val="20"/>
                <w:rtl/>
              </w:rPr>
              <w:t>382</w:t>
            </w:r>
            <w:r w:rsidRPr="00564B9D">
              <w:rPr>
                <w:sz w:val="20"/>
                <w:szCs w:val="20"/>
                <w:rtl/>
              </w:rPr>
              <w:t> </w:t>
            </w:r>
            <w:r w:rsidRPr="00564B9D">
              <w:rPr>
                <w:rFonts w:hint="cs"/>
                <w:sz w:val="20"/>
                <w:szCs w:val="20"/>
                <w:rtl/>
              </w:rPr>
              <w:t>2 (ذكور)؛ 470</w:t>
            </w:r>
            <w:r w:rsidRPr="00564B9D">
              <w:rPr>
                <w:sz w:val="20"/>
                <w:szCs w:val="20"/>
                <w:rtl/>
              </w:rPr>
              <w:t> </w:t>
            </w:r>
            <w:r w:rsidRPr="00564B9D">
              <w:rPr>
                <w:rFonts w:hint="cs"/>
                <w:sz w:val="20"/>
                <w:szCs w:val="20"/>
                <w:rtl/>
              </w:rPr>
              <w:t>2(إناث)</w:t>
            </w:r>
          </w:p>
          <w:p w14:paraId="7DC856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10</w:t>
            </w:r>
            <w:r w:rsidRPr="00564B9D">
              <w:rPr>
                <w:sz w:val="20"/>
                <w:szCs w:val="20"/>
                <w:rtl/>
              </w:rPr>
              <w:t>-</w:t>
            </w:r>
            <w:r w:rsidRPr="00564B9D">
              <w:rPr>
                <w:rFonts w:hint="cs"/>
                <w:sz w:val="20"/>
                <w:szCs w:val="20"/>
                <w:rtl/>
              </w:rPr>
              <w:t>14:</w:t>
            </w:r>
            <w:r w:rsidRPr="00564B9D">
              <w:rPr>
                <w:sz w:val="20"/>
                <w:szCs w:val="20"/>
                <w:rtl/>
              </w:rPr>
              <w:tab/>
            </w:r>
            <w:r w:rsidRPr="00564B9D">
              <w:rPr>
                <w:rFonts w:hint="cs"/>
                <w:sz w:val="20"/>
                <w:szCs w:val="20"/>
                <w:rtl/>
              </w:rPr>
              <w:t>573</w:t>
            </w:r>
            <w:r w:rsidRPr="00564B9D">
              <w:rPr>
                <w:sz w:val="20"/>
                <w:szCs w:val="20"/>
                <w:rtl/>
              </w:rPr>
              <w:t> </w:t>
            </w:r>
            <w:r w:rsidRPr="00564B9D">
              <w:rPr>
                <w:rFonts w:hint="cs"/>
                <w:sz w:val="20"/>
                <w:szCs w:val="20"/>
                <w:rtl/>
              </w:rPr>
              <w:t>2 (إناث)؛ 729</w:t>
            </w:r>
            <w:r w:rsidRPr="00564B9D">
              <w:rPr>
                <w:sz w:val="20"/>
                <w:szCs w:val="20"/>
                <w:rtl/>
              </w:rPr>
              <w:t> </w:t>
            </w:r>
            <w:r w:rsidRPr="00564B9D">
              <w:rPr>
                <w:rFonts w:hint="cs"/>
                <w:sz w:val="20"/>
                <w:szCs w:val="20"/>
                <w:rtl/>
              </w:rPr>
              <w:t>2 (ذكور)</w:t>
            </w:r>
          </w:p>
          <w:p w14:paraId="09A3D6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15</w:t>
            </w:r>
            <w:r w:rsidRPr="00564B9D">
              <w:rPr>
                <w:sz w:val="20"/>
                <w:szCs w:val="20"/>
                <w:rtl/>
              </w:rPr>
              <w:t>-</w:t>
            </w:r>
            <w:r w:rsidRPr="00564B9D">
              <w:rPr>
                <w:rFonts w:hint="cs"/>
                <w:sz w:val="20"/>
                <w:szCs w:val="20"/>
                <w:rtl/>
              </w:rPr>
              <w:t>19:</w:t>
            </w:r>
            <w:r w:rsidRPr="00564B9D">
              <w:rPr>
                <w:sz w:val="20"/>
                <w:szCs w:val="20"/>
                <w:rtl/>
              </w:rPr>
              <w:tab/>
            </w:r>
            <w:r w:rsidRPr="00564B9D">
              <w:rPr>
                <w:rFonts w:hint="cs"/>
                <w:sz w:val="20"/>
                <w:szCs w:val="20"/>
                <w:rtl/>
              </w:rPr>
              <w:t>632</w:t>
            </w:r>
            <w:r w:rsidRPr="00564B9D">
              <w:rPr>
                <w:sz w:val="20"/>
                <w:szCs w:val="20"/>
                <w:rtl/>
              </w:rPr>
              <w:t> </w:t>
            </w:r>
            <w:r w:rsidRPr="00564B9D">
              <w:rPr>
                <w:rFonts w:hint="cs"/>
                <w:sz w:val="20"/>
                <w:szCs w:val="20"/>
                <w:rtl/>
              </w:rPr>
              <w:t>2 (إناث)؛ 863</w:t>
            </w:r>
            <w:r w:rsidRPr="00564B9D">
              <w:rPr>
                <w:sz w:val="20"/>
                <w:szCs w:val="20"/>
                <w:rtl/>
              </w:rPr>
              <w:t> </w:t>
            </w:r>
            <w:r w:rsidRPr="00564B9D">
              <w:rPr>
                <w:rFonts w:hint="cs"/>
                <w:sz w:val="20"/>
                <w:szCs w:val="20"/>
                <w:rtl/>
              </w:rPr>
              <w:t>2 (ذكور)</w:t>
            </w:r>
          </w:p>
          <w:p w14:paraId="6D769E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20</w:t>
            </w:r>
            <w:r w:rsidRPr="00564B9D">
              <w:rPr>
                <w:sz w:val="20"/>
                <w:szCs w:val="20"/>
                <w:rtl/>
              </w:rPr>
              <w:t>-</w:t>
            </w:r>
            <w:r w:rsidRPr="00564B9D">
              <w:rPr>
                <w:rFonts w:hint="cs"/>
                <w:sz w:val="20"/>
                <w:szCs w:val="20"/>
                <w:rtl/>
              </w:rPr>
              <w:t>24:</w:t>
            </w:r>
            <w:r w:rsidRPr="00564B9D">
              <w:rPr>
                <w:sz w:val="20"/>
                <w:szCs w:val="20"/>
                <w:rtl/>
              </w:rPr>
              <w:tab/>
            </w:r>
            <w:r w:rsidRPr="00564B9D">
              <w:rPr>
                <w:rFonts w:hint="cs"/>
                <w:sz w:val="20"/>
                <w:szCs w:val="20"/>
                <w:rtl/>
              </w:rPr>
              <w:t>938</w:t>
            </w:r>
            <w:r w:rsidRPr="00564B9D">
              <w:rPr>
                <w:sz w:val="20"/>
                <w:szCs w:val="20"/>
                <w:rtl/>
              </w:rPr>
              <w:t> </w:t>
            </w:r>
            <w:r w:rsidRPr="00564B9D">
              <w:rPr>
                <w:rFonts w:hint="cs"/>
                <w:sz w:val="20"/>
                <w:szCs w:val="20"/>
                <w:rtl/>
              </w:rPr>
              <w:t>2 (إناث)؛ 006</w:t>
            </w:r>
            <w:r w:rsidRPr="00564B9D">
              <w:rPr>
                <w:sz w:val="20"/>
                <w:szCs w:val="20"/>
                <w:rtl/>
              </w:rPr>
              <w:t> </w:t>
            </w:r>
            <w:r w:rsidRPr="00564B9D">
              <w:rPr>
                <w:rFonts w:hint="cs"/>
                <w:sz w:val="20"/>
                <w:szCs w:val="20"/>
                <w:rtl/>
              </w:rPr>
              <w:t>3 (ذكور)</w:t>
            </w:r>
          </w:p>
          <w:p w14:paraId="7AB4E3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25</w:t>
            </w:r>
            <w:r w:rsidRPr="00564B9D">
              <w:rPr>
                <w:sz w:val="20"/>
                <w:szCs w:val="20"/>
                <w:rtl/>
              </w:rPr>
              <w:t>-</w:t>
            </w:r>
            <w:r w:rsidRPr="00564B9D">
              <w:rPr>
                <w:rFonts w:hint="cs"/>
                <w:sz w:val="20"/>
                <w:szCs w:val="20"/>
                <w:rtl/>
              </w:rPr>
              <w:t>29:</w:t>
            </w:r>
            <w:r w:rsidRPr="00564B9D">
              <w:rPr>
                <w:sz w:val="20"/>
                <w:szCs w:val="20"/>
                <w:rtl/>
              </w:rPr>
              <w:tab/>
            </w:r>
            <w:r w:rsidRPr="00564B9D">
              <w:rPr>
                <w:rFonts w:hint="cs"/>
                <w:sz w:val="20"/>
                <w:szCs w:val="20"/>
                <w:rtl/>
              </w:rPr>
              <w:t>354</w:t>
            </w:r>
            <w:r w:rsidRPr="00564B9D">
              <w:rPr>
                <w:sz w:val="20"/>
                <w:szCs w:val="20"/>
                <w:rtl/>
              </w:rPr>
              <w:t> </w:t>
            </w:r>
            <w:r w:rsidRPr="00564B9D">
              <w:rPr>
                <w:rFonts w:hint="cs"/>
                <w:sz w:val="20"/>
                <w:szCs w:val="20"/>
                <w:rtl/>
              </w:rPr>
              <w:t>3 (إناث)؛ 351</w:t>
            </w:r>
            <w:r w:rsidRPr="00564B9D">
              <w:rPr>
                <w:sz w:val="20"/>
                <w:szCs w:val="20"/>
                <w:rtl/>
              </w:rPr>
              <w:t> </w:t>
            </w:r>
            <w:r w:rsidRPr="00564B9D">
              <w:rPr>
                <w:rFonts w:hint="cs"/>
                <w:sz w:val="20"/>
                <w:szCs w:val="20"/>
                <w:rtl/>
              </w:rPr>
              <w:t>3 (ذكور)</w:t>
            </w:r>
          </w:p>
          <w:p w14:paraId="088E1E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30</w:t>
            </w:r>
            <w:r w:rsidRPr="00564B9D">
              <w:rPr>
                <w:sz w:val="20"/>
                <w:szCs w:val="20"/>
                <w:rtl/>
              </w:rPr>
              <w:t>-</w:t>
            </w:r>
            <w:r w:rsidRPr="00564B9D">
              <w:rPr>
                <w:rFonts w:hint="cs"/>
                <w:sz w:val="20"/>
                <w:szCs w:val="20"/>
                <w:rtl/>
              </w:rPr>
              <w:t>34:</w:t>
            </w:r>
            <w:r w:rsidRPr="00564B9D">
              <w:rPr>
                <w:sz w:val="20"/>
                <w:szCs w:val="20"/>
                <w:rtl/>
              </w:rPr>
              <w:tab/>
            </w:r>
            <w:r w:rsidRPr="00564B9D">
              <w:rPr>
                <w:rFonts w:hint="cs"/>
                <w:sz w:val="20"/>
                <w:szCs w:val="20"/>
                <w:rtl/>
              </w:rPr>
              <w:t>566</w:t>
            </w:r>
            <w:r w:rsidRPr="00564B9D">
              <w:rPr>
                <w:sz w:val="20"/>
                <w:szCs w:val="20"/>
                <w:rtl/>
              </w:rPr>
              <w:t> </w:t>
            </w:r>
            <w:r w:rsidRPr="00564B9D">
              <w:rPr>
                <w:rFonts w:hint="cs"/>
                <w:sz w:val="20"/>
                <w:szCs w:val="20"/>
                <w:rtl/>
              </w:rPr>
              <w:t>3 (إناث)؛ 670</w:t>
            </w:r>
            <w:r w:rsidRPr="00564B9D">
              <w:rPr>
                <w:sz w:val="20"/>
                <w:szCs w:val="20"/>
                <w:rtl/>
              </w:rPr>
              <w:t> </w:t>
            </w:r>
            <w:r w:rsidRPr="00564B9D">
              <w:rPr>
                <w:rFonts w:hint="cs"/>
                <w:sz w:val="20"/>
                <w:szCs w:val="20"/>
                <w:rtl/>
              </w:rPr>
              <w:t>3 (ذكور)</w:t>
            </w:r>
          </w:p>
          <w:p w14:paraId="4F2BCA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35</w:t>
            </w:r>
            <w:r w:rsidRPr="00564B9D">
              <w:rPr>
                <w:sz w:val="20"/>
                <w:szCs w:val="20"/>
                <w:rtl/>
              </w:rPr>
              <w:t>-</w:t>
            </w:r>
            <w:r w:rsidRPr="00564B9D">
              <w:rPr>
                <w:rFonts w:hint="cs"/>
                <w:sz w:val="20"/>
                <w:szCs w:val="20"/>
                <w:rtl/>
              </w:rPr>
              <w:t>39:</w:t>
            </w:r>
            <w:r w:rsidRPr="00564B9D">
              <w:rPr>
                <w:sz w:val="20"/>
                <w:szCs w:val="20"/>
                <w:rtl/>
              </w:rPr>
              <w:tab/>
            </w:r>
            <w:r w:rsidRPr="00564B9D">
              <w:rPr>
                <w:rFonts w:hint="cs"/>
                <w:sz w:val="20"/>
                <w:szCs w:val="20"/>
                <w:rtl/>
              </w:rPr>
              <w:t>610</w:t>
            </w:r>
            <w:r w:rsidRPr="00564B9D">
              <w:rPr>
                <w:sz w:val="20"/>
                <w:szCs w:val="20"/>
                <w:rtl/>
              </w:rPr>
              <w:t> </w:t>
            </w:r>
            <w:r w:rsidRPr="00564B9D">
              <w:rPr>
                <w:rFonts w:hint="cs"/>
                <w:sz w:val="20"/>
                <w:szCs w:val="20"/>
                <w:rtl/>
              </w:rPr>
              <w:t>3(إناث)؛ 615</w:t>
            </w:r>
            <w:r w:rsidRPr="00564B9D">
              <w:rPr>
                <w:sz w:val="20"/>
                <w:szCs w:val="20"/>
                <w:rtl/>
              </w:rPr>
              <w:t> </w:t>
            </w:r>
            <w:r w:rsidRPr="00564B9D">
              <w:rPr>
                <w:rFonts w:hint="cs"/>
                <w:sz w:val="20"/>
                <w:szCs w:val="20"/>
                <w:rtl/>
              </w:rPr>
              <w:t>3 (ذكور)</w:t>
            </w:r>
          </w:p>
          <w:p w14:paraId="5E0F17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40</w:t>
            </w:r>
            <w:r w:rsidRPr="00564B9D">
              <w:rPr>
                <w:sz w:val="20"/>
                <w:szCs w:val="20"/>
                <w:rtl/>
              </w:rPr>
              <w:t>-</w:t>
            </w:r>
            <w:r w:rsidRPr="00564B9D">
              <w:rPr>
                <w:rFonts w:hint="cs"/>
                <w:sz w:val="20"/>
                <w:szCs w:val="20"/>
                <w:rtl/>
              </w:rPr>
              <w:t>44:</w:t>
            </w:r>
            <w:r w:rsidRPr="00564B9D">
              <w:rPr>
                <w:sz w:val="20"/>
                <w:szCs w:val="20"/>
                <w:rtl/>
              </w:rPr>
              <w:tab/>
            </w:r>
            <w:r w:rsidRPr="00564B9D">
              <w:rPr>
                <w:rFonts w:hint="cs"/>
                <w:sz w:val="20"/>
                <w:szCs w:val="20"/>
                <w:rtl/>
              </w:rPr>
              <w:t>180</w:t>
            </w:r>
            <w:r w:rsidRPr="00564B9D">
              <w:rPr>
                <w:sz w:val="20"/>
                <w:szCs w:val="20"/>
                <w:rtl/>
              </w:rPr>
              <w:t> </w:t>
            </w:r>
            <w:r w:rsidRPr="00564B9D">
              <w:rPr>
                <w:rFonts w:hint="cs"/>
                <w:sz w:val="20"/>
                <w:szCs w:val="20"/>
                <w:rtl/>
              </w:rPr>
              <w:t>4 (إناث)؛ 183</w:t>
            </w:r>
            <w:r w:rsidRPr="00564B9D">
              <w:rPr>
                <w:sz w:val="20"/>
                <w:szCs w:val="20"/>
                <w:rtl/>
              </w:rPr>
              <w:t> </w:t>
            </w:r>
            <w:r w:rsidRPr="00564B9D">
              <w:rPr>
                <w:rFonts w:hint="cs"/>
                <w:sz w:val="20"/>
                <w:szCs w:val="20"/>
                <w:rtl/>
              </w:rPr>
              <w:t>4 (ذكور)</w:t>
            </w:r>
          </w:p>
          <w:p w14:paraId="03FF901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45</w:t>
            </w:r>
            <w:r w:rsidRPr="00564B9D">
              <w:rPr>
                <w:sz w:val="20"/>
                <w:szCs w:val="20"/>
                <w:rtl/>
              </w:rPr>
              <w:t>-</w:t>
            </w:r>
            <w:r w:rsidRPr="00564B9D">
              <w:rPr>
                <w:rFonts w:hint="cs"/>
                <w:sz w:val="20"/>
                <w:szCs w:val="20"/>
                <w:rtl/>
              </w:rPr>
              <w:t>49:</w:t>
            </w:r>
            <w:r w:rsidRPr="00564B9D">
              <w:rPr>
                <w:sz w:val="20"/>
                <w:szCs w:val="20"/>
                <w:rtl/>
              </w:rPr>
              <w:tab/>
            </w:r>
            <w:r w:rsidRPr="00564B9D">
              <w:rPr>
                <w:rFonts w:hint="cs"/>
                <w:sz w:val="20"/>
                <w:szCs w:val="20"/>
                <w:rtl/>
              </w:rPr>
              <w:t>170</w:t>
            </w:r>
            <w:r w:rsidRPr="00564B9D">
              <w:rPr>
                <w:sz w:val="20"/>
                <w:szCs w:val="20"/>
                <w:rtl/>
              </w:rPr>
              <w:t> </w:t>
            </w:r>
            <w:r w:rsidRPr="00564B9D">
              <w:rPr>
                <w:rFonts w:hint="cs"/>
                <w:sz w:val="20"/>
                <w:szCs w:val="20"/>
                <w:rtl/>
              </w:rPr>
              <w:t>4 (إناث)؛ 187</w:t>
            </w:r>
            <w:r w:rsidRPr="00564B9D">
              <w:rPr>
                <w:sz w:val="20"/>
                <w:szCs w:val="20"/>
                <w:rtl/>
              </w:rPr>
              <w:t> </w:t>
            </w:r>
            <w:r w:rsidRPr="00564B9D">
              <w:rPr>
                <w:rFonts w:hint="cs"/>
                <w:sz w:val="20"/>
                <w:szCs w:val="20"/>
                <w:rtl/>
              </w:rPr>
              <w:t>4 (ذكور)</w:t>
            </w:r>
          </w:p>
          <w:p w14:paraId="7E48A01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50</w:t>
            </w:r>
            <w:r w:rsidRPr="00564B9D">
              <w:rPr>
                <w:sz w:val="20"/>
                <w:szCs w:val="20"/>
                <w:rtl/>
              </w:rPr>
              <w:t>-</w:t>
            </w:r>
            <w:r w:rsidRPr="00564B9D">
              <w:rPr>
                <w:rFonts w:hint="cs"/>
                <w:sz w:val="20"/>
                <w:szCs w:val="20"/>
                <w:rtl/>
              </w:rPr>
              <w:t>54:</w:t>
            </w:r>
            <w:r w:rsidRPr="00564B9D">
              <w:rPr>
                <w:sz w:val="20"/>
                <w:szCs w:val="20"/>
                <w:rtl/>
              </w:rPr>
              <w:tab/>
            </w:r>
            <w:r w:rsidRPr="00564B9D">
              <w:rPr>
                <w:rFonts w:hint="cs"/>
                <w:sz w:val="20"/>
                <w:szCs w:val="20"/>
                <w:rtl/>
              </w:rPr>
              <w:t>662</w:t>
            </w:r>
            <w:r w:rsidRPr="00564B9D">
              <w:rPr>
                <w:sz w:val="20"/>
                <w:szCs w:val="20"/>
                <w:rtl/>
              </w:rPr>
              <w:t> </w:t>
            </w:r>
            <w:r w:rsidRPr="00564B9D">
              <w:rPr>
                <w:rFonts w:hint="cs"/>
                <w:sz w:val="20"/>
                <w:szCs w:val="20"/>
                <w:rtl/>
              </w:rPr>
              <w:t>3 (إناث)؛ 536</w:t>
            </w:r>
            <w:r w:rsidRPr="00564B9D">
              <w:rPr>
                <w:sz w:val="20"/>
                <w:szCs w:val="20"/>
                <w:rtl/>
              </w:rPr>
              <w:t> </w:t>
            </w:r>
            <w:r w:rsidRPr="00564B9D">
              <w:rPr>
                <w:rFonts w:hint="cs"/>
                <w:sz w:val="20"/>
                <w:szCs w:val="20"/>
                <w:rtl/>
              </w:rPr>
              <w:t>3 (ذكور)</w:t>
            </w:r>
          </w:p>
          <w:p w14:paraId="43339B34" w14:textId="622B9386"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55</w:t>
            </w:r>
            <w:r w:rsidRPr="00564B9D">
              <w:rPr>
                <w:sz w:val="20"/>
                <w:szCs w:val="20"/>
                <w:rtl/>
              </w:rPr>
              <w:t>-</w:t>
            </w:r>
            <w:r w:rsidRPr="00564B9D">
              <w:rPr>
                <w:rFonts w:hint="cs"/>
                <w:sz w:val="20"/>
                <w:szCs w:val="20"/>
                <w:rtl/>
              </w:rPr>
              <w:t>59:</w:t>
            </w:r>
            <w:r w:rsidRPr="00564B9D">
              <w:rPr>
                <w:sz w:val="20"/>
                <w:szCs w:val="20"/>
                <w:rtl/>
              </w:rPr>
              <w:tab/>
            </w:r>
            <w:r w:rsidRPr="00564B9D">
              <w:rPr>
                <w:rFonts w:hint="cs"/>
                <w:sz w:val="20"/>
                <w:szCs w:val="20"/>
                <w:rtl/>
              </w:rPr>
              <w:t>087</w:t>
            </w:r>
            <w:r w:rsidRPr="00564B9D">
              <w:rPr>
                <w:sz w:val="20"/>
                <w:szCs w:val="20"/>
                <w:rtl/>
              </w:rPr>
              <w:t> </w:t>
            </w:r>
            <w:r w:rsidRPr="00564B9D">
              <w:rPr>
                <w:rFonts w:hint="cs"/>
                <w:sz w:val="20"/>
                <w:szCs w:val="20"/>
                <w:rtl/>
              </w:rPr>
              <w:t xml:space="preserve">3 (إناث)؛ </w:t>
            </w:r>
            <w:r w:rsidR="00590D08" w:rsidRPr="00564B9D">
              <w:rPr>
                <w:rFonts w:hint="cs"/>
                <w:sz w:val="20"/>
                <w:szCs w:val="20"/>
                <w:rtl/>
              </w:rPr>
              <w:t>955 2</w:t>
            </w:r>
            <w:r w:rsidRPr="00564B9D">
              <w:rPr>
                <w:rFonts w:hint="cs"/>
                <w:sz w:val="20"/>
                <w:szCs w:val="20"/>
                <w:rtl/>
              </w:rPr>
              <w:t xml:space="preserve"> (ذكور)</w:t>
            </w:r>
          </w:p>
          <w:p w14:paraId="2DD600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60</w:t>
            </w:r>
            <w:r w:rsidRPr="00564B9D">
              <w:rPr>
                <w:sz w:val="20"/>
                <w:szCs w:val="20"/>
                <w:rtl/>
              </w:rPr>
              <w:t>-</w:t>
            </w:r>
            <w:r w:rsidRPr="00564B9D">
              <w:rPr>
                <w:rFonts w:hint="cs"/>
                <w:sz w:val="20"/>
                <w:szCs w:val="20"/>
                <w:rtl/>
              </w:rPr>
              <w:t>64:</w:t>
            </w:r>
            <w:r w:rsidRPr="00564B9D">
              <w:rPr>
                <w:sz w:val="20"/>
                <w:szCs w:val="20"/>
                <w:rtl/>
              </w:rPr>
              <w:tab/>
            </w:r>
            <w:r w:rsidRPr="00564B9D">
              <w:rPr>
                <w:rFonts w:hint="cs"/>
                <w:sz w:val="20"/>
                <w:szCs w:val="20"/>
                <w:rtl/>
              </w:rPr>
              <w:t>818</w:t>
            </w:r>
            <w:r w:rsidRPr="00564B9D">
              <w:rPr>
                <w:sz w:val="20"/>
                <w:szCs w:val="20"/>
                <w:rtl/>
              </w:rPr>
              <w:t> </w:t>
            </w:r>
            <w:r w:rsidRPr="00564B9D">
              <w:rPr>
                <w:rFonts w:hint="cs"/>
                <w:sz w:val="20"/>
                <w:szCs w:val="20"/>
                <w:rtl/>
              </w:rPr>
              <w:t>2 (إناث)؛ 832</w:t>
            </w:r>
            <w:r w:rsidRPr="00564B9D">
              <w:rPr>
                <w:sz w:val="20"/>
                <w:szCs w:val="20"/>
                <w:rtl/>
              </w:rPr>
              <w:t> </w:t>
            </w:r>
            <w:r w:rsidRPr="00564B9D">
              <w:rPr>
                <w:rFonts w:hint="cs"/>
                <w:sz w:val="20"/>
                <w:szCs w:val="20"/>
                <w:rtl/>
              </w:rPr>
              <w:t>2 (ذكور)</w:t>
            </w:r>
          </w:p>
          <w:p w14:paraId="05EE07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65</w:t>
            </w:r>
            <w:r w:rsidRPr="00564B9D">
              <w:rPr>
                <w:sz w:val="20"/>
                <w:szCs w:val="20"/>
                <w:rtl/>
              </w:rPr>
              <w:t>-</w:t>
            </w:r>
            <w:r w:rsidRPr="00564B9D">
              <w:rPr>
                <w:rFonts w:hint="cs"/>
                <w:sz w:val="20"/>
                <w:szCs w:val="20"/>
                <w:rtl/>
              </w:rPr>
              <w:t>69:</w:t>
            </w:r>
            <w:r w:rsidRPr="00564B9D">
              <w:rPr>
                <w:sz w:val="20"/>
                <w:szCs w:val="20"/>
                <w:rtl/>
              </w:rPr>
              <w:tab/>
            </w:r>
            <w:r w:rsidRPr="00564B9D">
              <w:rPr>
                <w:rFonts w:hint="cs"/>
                <w:sz w:val="20"/>
                <w:szCs w:val="20"/>
                <w:rtl/>
              </w:rPr>
              <w:t>110</w:t>
            </w:r>
            <w:r w:rsidRPr="00564B9D">
              <w:rPr>
                <w:sz w:val="20"/>
                <w:szCs w:val="20"/>
                <w:rtl/>
              </w:rPr>
              <w:t> </w:t>
            </w:r>
            <w:r w:rsidRPr="00564B9D">
              <w:rPr>
                <w:rFonts w:hint="cs"/>
                <w:sz w:val="20"/>
                <w:szCs w:val="20"/>
                <w:rtl/>
              </w:rPr>
              <w:t>2 (إناث)؛ 938</w:t>
            </w:r>
            <w:r w:rsidRPr="00564B9D">
              <w:rPr>
                <w:sz w:val="20"/>
                <w:szCs w:val="20"/>
                <w:rtl/>
              </w:rPr>
              <w:t> </w:t>
            </w:r>
            <w:r w:rsidRPr="00564B9D">
              <w:rPr>
                <w:rFonts w:hint="cs"/>
                <w:sz w:val="20"/>
                <w:szCs w:val="20"/>
                <w:rtl/>
              </w:rPr>
              <w:t>1 (ذكور)</w:t>
            </w:r>
          </w:p>
          <w:p w14:paraId="17AFC6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70</w:t>
            </w:r>
            <w:r w:rsidRPr="00564B9D">
              <w:rPr>
                <w:sz w:val="20"/>
                <w:szCs w:val="20"/>
                <w:rtl/>
              </w:rPr>
              <w:t>-</w:t>
            </w:r>
            <w:r w:rsidRPr="00564B9D">
              <w:rPr>
                <w:rFonts w:hint="cs"/>
                <w:sz w:val="20"/>
                <w:szCs w:val="20"/>
                <w:rtl/>
              </w:rPr>
              <w:t>74:</w:t>
            </w:r>
            <w:r w:rsidRPr="00564B9D">
              <w:rPr>
                <w:sz w:val="20"/>
                <w:szCs w:val="20"/>
                <w:rtl/>
              </w:rPr>
              <w:tab/>
            </w:r>
            <w:r w:rsidRPr="00564B9D">
              <w:rPr>
                <w:rFonts w:hint="cs"/>
                <w:sz w:val="20"/>
                <w:szCs w:val="20"/>
                <w:rtl/>
              </w:rPr>
              <w:t>900</w:t>
            </w:r>
            <w:r w:rsidRPr="00564B9D">
              <w:rPr>
                <w:sz w:val="20"/>
                <w:szCs w:val="20"/>
                <w:rtl/>
              </w:rPr>
              <w:t> </w:t>
            </w:r>
            <w:r w:rsidRPr="00564B9D">
              <w:rPr>
                <w:rFonts w:hint="cs"/>
                <w:sz w:val="20"/>
                <w:szCs w:val="20"/>
                <w:rtl/>
              </w:rPr>
              <w:t>1 (إناث)؛ 732</w:t>
            </w:r>
            <w:r w:rsidRPr="00564B9D">
              <w:rPr>
                <w:sz w:val="20"/>
                <w:szCs w:val="20"/>
                <w:rtl/>
              </w:rPr>
              <w:t> </w:t>
            </w:r>
            <w:r w:rsidRPr="00564B9D">
              <w:rPr>
                <w:rFonts w:hint="cs"/>
                <w:sz w:val="20"/>
                <w:szCs w:val="20"/>
                <w:rtl/>
              </w:rPr>
              <w:t>1 (ذكور)</w:t>
            </w:r>
          </w:p>
          <w:p w14:paraId="4D5D39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75</w:t>
            </w:r>
            <w:r w:rsidRPr="00564B9D">
              <w:rPr>
                <w:sz w:val="20"/>
                <w:szCs w:val="20"/>
                <w:rtl/>
              </w:rPr>
              <w:t>-</w:t>
            </w:r>
            <w:r w:rsidRPr="00564B9D">
              <w:rPr>
                <w:rFonts w:hint="cs"/>
                <w:sz w:val="20"/>
                <w:szCs w:val="20"/>
                <w:rtl/>
              </w:rPr>
              <w:t>79:</w:t>
            </w:r>
            <w:r w:rsidRPr="00564B9D">
              <w:rPr>
                <w:sz w:val="20"/>
                <w:szCs w:val="20"/>
                <w:rtl/>
              </w:rPr>
              <w:tab/>
            </w:r>
            <w:r w:rsidRPr="00564B9D">
              <w:rPr>
                <w:rFonts w:hint="cs"/>
                <w:sz w:val="20"/>
                <w:szCs w:val="20"/>
                <w:rtl/>
              </w:rPr>
              <w:t>550</w:t>
            </w:r>
            <w:r w:rsidRPr="00564B9D">
              <w:rPr>
                <w:sz w:val="20"/>
                <w:szCs w:val="20"/>
                <w:rtl/>
              </w:rPr>
              <w:t> </w:t>
            </w:r>
            <w:r w:rsidRPr="00564B9D">
              <w:rPr>
                <w:rFonts w:hint="cs"/>
                <w:sz w:val="20"/>
                <w:szCs w:val="20"/>
                <w:rtl/>
              </w:rPr>
              <w:t>1 (إناث)؛ 343</w:t>
            </w:r>
            <w:r w:rsidRPr="00564B9D">
              <w:rPr>
                <w:sz w:val="20"/>
                <w:szCs w:val="20"/>
                <w:rtl/>
              </w:rPr>
              <w:t> </w:t>
            </w:r>
            <w:r w:rsidRPr="00564B9D">
              <w:rPr>
                <w:rFonts w:hint="cs"/>
                <w:sz w:val="20"/>
                <w:szCs w:val="20"/>
                <w:rtl/>
              </w:rPr>
              <w:t>1 (ذكور)</w:t>
            </w:r>
          </w:p>
          <w:p w14:paraId="0C8498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80</w:t>
            </w:r>
            <w:r w:rsidRPr="00564B9D">
              <w:rPr>
                <w:sz w:val="20"/>
                <w:szCs w:val="20"/>
                <w:rtl/>
              </w:rPr>
              <w:t>-</w:t>
            </w:r>
            <w:r w:rsidRPr="00564B9D">
              <w:rPr>
                <w:rFonts w:hint="cs"/>
                <w:sz w:val="20"/>
                <w:szCs w:val="20"/>
                <w:rtl/>
              </w:rPr>
              <w:t>84:</w:t>
            </w:r>
            <w:r w:rsidRPr="00564B9D">
              <w:rPr>
                <w:sz w:val="20"/>
                <w:szCs w:val="20"/>
                <w:rtl/>
              </w:rPr>
              <w:tab/>
            </w:r>
            <w:r w:rsidRPr="00564B9D">
              <w:rPr>
                <w:rFonts w:hint="cs"/>
                <w:sz w:val="20"/>
                <w:szCs w:val="20"/>
                <w:rtl/>
              </w:rPr>
              <w:t>183</w:t>
            </w:r>
            <w:r w:rsidRPr="00564B9D">
              <w:rPr>
                <w:sz w:val="20"/>
                <w:szCs w:val="20"/>
                <w:rtl/>
              </w:rPr>
              <w:t> </w:t>
            </w:r>
            <w:r w:rsidRPr="00564B9D">
              <w:rPr>
                <w:rFonts w:hint="cs"/>
                <w:sz w:val="20"/>
                <w:szCs w:val="20"/>
                <w:rtl/>
              </w:rPr>
              <w:t>1 (إناث)؛ 822 (ذكور)</w:t>
            </w:r>
          </w:p>
          <w:p w14:paraId="55D3EC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85</w:t>
            </w:r>
            <w:r w:rsidRPr="00564B9D">
              <w:rPr>
                <w:sz w:val="20"/>
                <w:szCs w:val="20"/>
                <w:rtl/>
              </w:rPr>
              <w:t>-</w:t>
            </w:r>
            <w:r w:rsidRPr="00564B9D">
              <w:rPr>
                <w:rFonts w:hint="cs"/>
                <w:sz w:val="20"/>
                <w:szCs w:val="20"/>
                <w:rtl/>
              </w:rPr>
              <w:t>89:</w:t>
            </w:r>
            <w:r w:rsidRPr="00564B9D">
              <w:rPr>
                <w:sz w:val="20"/>
                <w:szCs w:val="20"/>
                <w:rtl/>
              </w:rPr>
              <w:tab/>
            </w:r>
            <w:r w:rsidRPr="00564B9D">
              <w:rPr>
                <w:rFonts w:hint="cs"/>
                <w:sz w:val="20"/>
                <w:szCs w:val="20"/>
                <w:rtl/>
              </w:rPr>
              <w:t>779 (إناث)؛ 446 (ذكور)</w:t>
            </w:r>
          </w:p>
          <w:p w14:paraId="3E2AE0B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90</w:t>
            </w:r>
            <w:r w:rsidRPr="00564B9D">
              <w:rPr>
                <w:sz w:val="20"/>
                <w:szCs w:val="20"/>
                <w:rtl/>
              </w:rPr>
              <w:t>-</w:t>
            </w:r>
            <w:r w:rsidRPr="00564B9D">
              <w:rPr>
                <w:rFonts w:hint="cs"/>
                <w:sz w:val="20"/>
                <w:szCs w:val="20"/>
                <w:rtl/>
              </w:rPr>
              <w:t>94:</w:t>
            </w:r>
            <w:r w:rsidRPr="00564B9D">
              <w:rPr>
                <w:sz w:val="20"/>
                <w:szCs w:val="20"/>
                <w:rtl/>
              </w:rPr>
              <w:tab/>
            </w:r>
            <w:r w:rsidRPr="00564B9D">
              <w:rPr>
                <w:rFonts w:hint="cs"/>
                <w:sz w:val="20"/>
                <w:szCs w:val="20"/>
                <w:rtl/>
              </w:rPr>
              <w:t>368 (إناث)؛ 115 (ذكور)</w:t>
            </w:r>
          </w:p>
          <w:p w14:paraId="0DFAC3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95 </w:t>
            </w:r>
            <w:r w:rsidRPr="00564B9D">
              <w:rPr>
                <w:sz w:val="20"/>
                <w:szCs w:val="20"/>
                <w:rtl/>
              </w:rPr>
              <w:t>-</w:t>
            </w:r>
            <w:r w:rsidRPr="00564B9D">
              <w:rPr>
                <w:rFonts w:hint="cs"/>
                <w:sz w:val="20"/>
                <w:szCs w:val="20"/>
                <w:rtl/>
              </w:rPr>
              <w:t xml:space="preserve"> فما فوق:</w:t>
            </w:r>
            <w:r w:rsidRPr="00564B9D">
              <w:rPr>
                <w:sz w:val="20"/>
                <w:szCs w:val="20"/>
                <w:rtl/>
              </w:rPr>
              <w:tab/>
            </w:r>
            <w:r w:rsidRPr="00564B9D">
              <w:rPr>
                <w:rFonts w:hint="cs"/>
                <w:sz w:val="20"/>
                <w:szCs w:val="20"/>
                <w:rtl/>
              </w:rPr>
              <w:t>150 (إناث)؛ 37 (ذكور)</w:t>
            </w:r>
          </w:p>
        </w:tc>
      </w:tr>
      <w:tr w:rsidR="007B5A24" w:rsidRPr="00564B9D" w14:paraId="739C2637" w14:textId="77777777" w:rsidTr="00804944">
        <w:trPr>
          <w:trHeight w:val="240"/>
        </w:trPr>
        <w:tc>
          <w:tcPr>
            <w:tcW w:w="3798" w:type="dxa"/>
            <w:shd w:val="clear" w:color="auto" w:fill="auto"/>
          </w:tcPr>
          <w:p w14:paraId="27B2F2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تقل أعمارهم عن 15 سنة والذين تزيد أعمارهم على 65 سنة</w:t>
            </w:r>
          </w:p>
        </w:tc>
        <w:tc>
          <w:tcPr>
            <w:tcW w:w="3393" w:type="dxa"/>
            <w:shd w:val="clear" w:color="auto" w:fill="auto"/>
          </w:tcPr>
          <w:p w14:paraId="1713F49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32 في المائة </w:t>
            </w:r>
          </w:p>
        </w:tc>
      </w:tr>
      <w:tr w:rsidR="007B5A24" w:rsidRPr="00564B9D" w14:paraId="3C529E14" w14:textId="77777777" w:rsidTr="00804944">
        <w:trPr>
          <w:trHeight w:val="240"/>
        </w:trPr>
        <w:tc>
          <w:tcPr>
            <w:tcW w:w="3798" w:type="dxa"/>
            <w:shd w:val="clear" w:color="auto" w:fill="auto"/>
          </w:tcPr>
          <w:p w14:paraId="4872FD7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3393" w:type="dxa"/>
            <w:shd w:val="clear" w:color="auto" w:fill="auto"/>
          </w:tcPr>
          <w:p w14:paraId="7E73D2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8,2 (2019)</w:t>
            </w:r>
          </w:p>
        </w:tc>
      </w:tr>
      <w:tr w:rsidR="007B5A24" w:rsidRPr="00564B9D" w14:paraId="18A53202" w14:textId="77777777" w:rsidTr="00804944">
        <w:trPr>
          <w:trHeight w:val="240"/>
        </w:trPr>
        <w:tc>
          <w:tcPr>
            <w:tcW w:w="3798" w:type="dxa"/>
            <w:shd w:val="clear" w:color="auto" w:fill="auto"/>
          </w:tcPr>
          <w:p w14:paraId="488732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الوفيات - لكل 000</w:t>
            </w:r>
            <w:r w:rsidRPr="00564B9D">
              <w:rPr>
                <w:sz w:val="20"/>
                <w:szCs w:val="20"/>
                <w:rtl/>
              </w:rPr>
              <w:t> </w:t>
            </w:r>
            <w:r w:rsidRPr="00564B9D">
              <w:rPr>
                <w:rFonts w:hint="cs"/>
                <w:sz w:val="20"/>
                <w:szCs w:val="20"/>
                <w:rtl/>
              </w:rPr>
              <w:t>1 من السكان</w:t>
            </w:r>
          </w:p>
        </w:tc>
        <w:tc>
          <w:tcPr>
            <w:tcW w:w="3393" w:type="dxa"/>
            <w:shd w:val="clear" w:color="auto" w:fill="auto"/>
          </w:tcPr>
          <w:p w14:paraId="05B555B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7,4 (2019)</w:t>
            </w:r>
          </w:p>
        </w:tc>
      </w:tr>
      <w:tr w:rsidR="007B5A24" w:rsidRPr="00564B9D" w14:paraId="32C05858" w14:textId="77777777" w:rsidTr="00804944">
        <w:trPr>
          <w:trHeight w:val="240"/>
        </w:trPr>
        <w:tc>
          <w:tcPr>
            <w:tcW w:w="3798" w:type="dxa"/>
            <w:shd w:val="clear" w:color="auto" w:fill="auto"/>
          </w:tcPr>
          <w:p w14:paraId="147C2D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العمر المتوقع عند الولادة </w:t>
            </w:r>
          </w:p>
        </w:tc>
        <w:tc>
          <w:tcPr>
            <w:tcW w:w="3393" w:type="dxa"/>
            <w:shd w:val="clear" w:color="auto" w:fill="auto"/>
          </w:tcPr>
          <w:p w14:paraId="7AF8B83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80,8 سنة </w:t>
            </w:r>
            <w:r w:rsidRPr="00564B9D">
              <w:rPr>
                <w:rFonts w:hint="cs"/>
                <w:sz w:val="20"/>
                <w:szCs w:val="20"/>
                <w:rtl/>
              </w:rPr>
              <w:t>لل</w:t>
            </w:r>
            <w:r w:rsidRPr="00564B9D">
              <w:rPr>
                <w:sz w:val="20"/>
                <w:szCs w:val="20"/>
                <w:rtl/>
              </w:rPr>
              <w:t>ذكور حديثي الولادة، و84,6</w:t>
            </w:r>
            <w:r w:rsidRPr="00564B9D">
              <w:rPr>
                <w:rFonts w:hint="cs"/>
                <w:sz w:val="20"/>
                <w:szCs w:val="20"/>
                <w:rtl/>
              </w:rPr>
              <w:t xml:space="preserve"> </w:t>
            </w:r>
            <w:r w:rsidRPr="00564B9D">
              <w:rPr>
                <w:sz w:val="20"/>
                <w:szCs w:val="20"/>
                <w:rtl/>
              </w:rPr>
              <w:t xml:space="preserve">سنة </w:t>
            </w:r>
            <w:r w:rsidRPr="00564B9D">
              <w:rPr>
                <w:rFonts w:hint="cs"/>
                <w:sz w:val="20"/>
                <w:szCs w:val="20"/>
                <w:rtl/>
              </w:rPr>
              <w:t>ل</w:t>
            </w:r>
            <w:r w:rsidRPr="00564B9D">
              <w:rPr>
                <w:sz w:val="20"/>
                <w:szCs w:val="20"/>
                <w:rtl/>
              </w:rPr>
              <w:t>لإناث حديث</w:t>
            </w:r>
            <w:r w:rsidRPr="00564B9D">
              <w:rPr>
                <w:rFonts w:hint="cs"/>
                <w:sz w:val="20"/>
                <w:szCs w:val="20"/>
                <w:rtl/>
              </w:rPr>
              <w:t>ات</w:t>
            </w:r>
            <w:r w:rsidRPr="00564B9D">
              <w:rPr>
                <w:sz w:val="20"/>
                <w:szCs w:val="20"/>
                <w:rtl/>
              </w:rPr>
              <w:t xml:space="preserve"> الولادة (كلاهما من 2016 إلى 2018)</w:t>
            </w:r>
          </w:p>
        </w:tc>
      </w:tr>
      <w:tr w:rsidR="007B5A24" w:rsidRPr="00564B9D" w14:paraId="1EC4D958" w14:textId="77777777" w:rsidTr="00804944">
        <w:trPr>
          <w:trHeight w:val="240"/>
        </w:trPr>
        <w:tc>
          <w:tcPr>
            <w:tcW w:w="3798" w:type="dxa"/>
            <w:shd w:val="clear" w:color="auto" w:fill="auto"/>
          </w:tcPr>
          <w:p w14:paraId="180A08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الخصوبة الإجمالي </w:t>
            </w:r>
          </w:p>
        </w:tc>
        <w:tc>
          <w:tcPr>
            <w:tcW w:w="3393" w:type="dxa"/>
            <w:shd w:val="clear" w:color="auto" w:fill="auto"/>
          </w:tcPr>
          <w:p w14:paraId="53FCA7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46,6 (2018)</w:t>
            </w:r>
          </w:p>
        </w:tc>
      </w:tr>
      <w:tr w:rsidR="007B5A24" w:rsidRPr="00564B9D" w14:paraId="4665B109" w14:textId="77777777" w:rsidTr="00804944">
        <w:trPr>
          <w:trHeight w:val="240"/>
        </w:trPr>
        <w:tc>
          <w:tcPr>
            <w:tcW w:w="3798" w:type="dxa"/>
            <w:shd w:val="clear" w:color="auto" w:fill="auto"/>
          </w:tcPr>
          <w:p w14:paraId="00D2CF4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حجم الأسرة المعيشية</w:t>
            </w:r>
          </w:p>
        </w:tc>
        <w:tc>
          <w:tcPr>
            <w:tcW w:w="3393" w:type="dxa"/>
            <w:shd w:val="clear" w:color="auto" w:fill="auto"/>
          </w:tcPr>
          <w:p w14:paraId="326777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2,3 (2016)</w:t>
            </w:r>
          </w:p>
        </w:tc>
      </w:tr>
      <w:tr w:rsidR="007B5A24" w:rsidRPr="00564B9D" w14:paraId="1070132A" w14:textId="77777777" w:rsidTr="00804944">
        <w:trPr>
          <w:trHeight w:val="240"/>
        </w:trPr>
        <w:tc>
          <w:tcPr>
            <w:tcW w:w="3798" w:type="dxa"/>
            <w:tcBorders>
              <w:bottom w:val="single" w:sz="12" w:space="0" w:color="auto"/>
            </w:tcBorders>
            <w:shd w:val="clear" w:color="auto" w:fill="auto"/>
          </w:tcPr>
          <w:p w14:paraId="46457F2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الأسر المعيشية الوحيدة العائل</w:t>
            </w:r>
          </w:p>
        </w:tc>
        <w:tc>
          <w:tcPr>
            <w:tcW w:w="3393" w:type="dxa"/>
            <w:tcBorders>
              <w:bottom w:val="single" w:sz="12" w:space="0" w:color="auto"/>
            </w:tcBorders>
            <w:shd w:val="clear" w:color="auto" w:fill="auto"/>
          </w:tcPr>
          <w:p w14:paraId="732C957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 في المائة (2011)</w:t>
            </w:r>
          </w:p>
        </w:tc>
      </w:tr>
    </w:tbl>
    <w:p w14:paraId="369BE6A2"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432"/>
        <w:gridCol w:w="3960"/>
      </w:tblGrid>
      <w:tr w:rsidR="007B5A24" w:rsidRPr="00564B9D" w14:paraId="0D68B02D" w14:textId="77777777" w:rsidTr="00804944">
        <w:trPr>
          <w:trHeight w:val="240"/>
          <w:tblHeader/>
        </w:trPr>
        <w:tc>
          <w:tcPr>
            <w:tcW w:w="7191" w:type="dxa"/>
            <w:gridSpan w:val="2"/>
            <w:tcBorders>
              <w:top w:val="single" w:sz="4" w:space="0" w:color="auto"/>
              <w:bottom w:val="single" w:sz="12" w:space="0" w:color="auto"/>
            </w:tcBorders>
            <w:shd w:val="clear" w:color="auto" w:fill="auto"/>
            <w:vAlign w:val="bottom"/>
          </w:tcPr>
          <w:p w14:paraId="15EBAD6B"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2EF8D6EE" w14:textId="77777777" w:rsidTr="00804944">
        <w:trPr>
          <w:trHeight w:val="240"/>
        </w:trPr>
        <w:tc>
          <w:tcPr>
            <w:tcW w:w="3798" w:type="dxa"/>
            <w:tcBorders>
              <w:top w:val="single" w:sz="12" w:space="0" w:color="auto"/>
            </w:tcBorders>
            <w:shd w:val="clear" w:color="auto" w:fill="auto"/>
          </w:tcPr>
          <w:p w14:paraId="043B5A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3393" w:type="dxa"/>
            <w:tcBorders>
              <w:top w:val="single" w:sz="12" w:space="0" w:color="auto"/>
            </w:tcBorders>
            <w:shd w:val="clear" w:color="auto" w:fill="auto"/>
          </w:tcPr>
          <w:p w14:paraId="7413999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46 في المائة</w:t>
            </w:r>
          </w:p>
        </w:tc>
      </w:tr>
      <w:tr w:rsidR="007B5A24" w:rsidRPr="00564B9D" w14:paraId="73307903" w14:textId="77777777" w:rsidTr="00804944">
        <w:trPr>
          <w:trHeight w:val="240"/>
        </w:trPr>
        <w:tc>
          <w:tcPr>
            <w:tcW w:w="3798" w:type="dxa"/>
            <w:shd w:val="clear" w:color="auto" w:fill="auto"/>
          </w:tcPr>
          <w:p w14:paraId="1B5A399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3393" w:type="dxa"/>
            <w:shd w:val="clear" w:color="auto" w:fill="auto"/>
          </w:tcPr>
          <w:p w14:paraId="6F60E4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23 في المائة </w:t>
            </w:r>
            <w:r w:rsidRPr="00564B9D">
              <w:rPr>
                <w:rFonts w:hint="cs"/>
                <w:sz w:val="20"/>
                <w:szCs w:val="20"/>
                <w:rtl/>
              </w:rPr>
              <w:t xml:space="preserve">تعرّف </w:t>
            </w:r>
            <w:r w:rsidRPr="00564B9D">
              <w:rPr>
                <w:sz w:val="20"/>
                <w:szCs w:val="20"/>
                <w:rtl/>
              </w:rPr>
              <w:t xml:space="preserve">على أنها دخل منخفض نسبياً بعد تكاليف السكن (أقل من 60 في المائة من المتوسط) </w:t>
            </w:r>
            <w:r w:rsidRPr="00564B9D">
              <w:rPr>
                <w:rFonts w:hint="cs"/>
                <w:sz w:val="20"/>
                <w:szCs w:val="20"/>
                <w:rtl/>
              </w:rPr>
              <w:t>في</w:t>
            </w:r>
            <w:r w:rsidRPr="00564B9D">
              <w:rPr>
                <w:sz w:val="20"/>
                <w:szCs w:val="20"/>
                <w:rtl/>
              </w:rPr>
              <w:t xml:space="preserve"> 2014/2015</w:t>
            </w:r>
          </w:p>
        </w:tc>
      </w:tr>
      <w:tr w:rsidR="007B5A24" w:rsidRPr="00564B9D" w14:paraId="35E4DAE8" w14:textId="77777777" w:rsidTr="00804944">
        <w:trPr>
          <w:trHeight w:val="240"/>
        </w:trPr>
        <w:tc>
          <w:tcPr>
            <w:tcW w:w="3798" w:type="dxa"/>
            <w:shd w:val="clear" w:color="auto" w:fill="auto"/>
          </w:tcPr>
          <w:p w14:paraId="259F57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393" w:type="dxa"/>
            <w:shd w:val="clear" w:color="auto" w:fill="auto"/>
          </w:tcPr>
          <w:p w14:paraId="6CF2B3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C7FC843" w14:textId="77777777" w:rsidTr="00804944">
        <w:trPr>
          <w:trHeight w:val="240"/>
        </w:trPr>
        <w:tc>
          <w:tcPr>
            <w:tcW w:w="3798" w:type="dxa"/>
            <w:shd w:val="clear" w:color="auto" w:fill="auto"/>
          </w:tcPr>
          <w:p w14:paraId="27AEB9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3393" w:type="dxa"/>
            <w:shd w:val="clear" w:color="auto" w:fill="auto"/>
          </w:tcPr>
          <w:p w14:paraId="6E736893" w14:textId="1ADFBEF8" w:rsidR="00494AE4" w:rsidRPr="00564B9D" w:rsidRDefault="00494AE4" w:rsidP="00590D08">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0,41 بعد تكاليف السكن، 0,34 قبل تكاليف السكن</w:t>
            </w:r>
          </w:p>
        </w:tc>
      </w:tr>
      <w:tr w:rsidR="007B5A24" w:rsidRPr="00564B9D" w14:paraId="0AAE17A7" w14:textId="77777777" w:rsidTr="00804944">
        <w:trPr>
          <w:trHeight w:val="240"/>
        </w:trPr>
        <w:tc>
          <w:tcPr>
            <w:tcW w:w="3798" w:type="dxa"/>
            <w:shd w:val="clear" w:color="auto" w:fill="auto"/>
          </w:tcPr>
          <w:p w14:paraId="2D328B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انتشار الأطفال ناقصي الوزن الذين تتراوح أعمارهم بين 4 و5 سنوات</w:t>
            </w:r>
          </w:p>
        </w:tc>
        <w:tc>
          <w:tcPr>
            <w:tcW w:w="3393" w:type="dxa"/>
            <w:shd w:val="clear" w:color="auto" w:fill="auto"/>
          </w:tcPr>
          <w:p w14:paraId="072753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5</w:t>
            </w:r>
            <w:r w:rsidRPr="00564B9D">
              <w:rPr>
                <w:sz w:val="20"/>
                <w:szCs w:val="20"/>
                <w:rtl/>
              </w:rPr>
              <w:t>/1016 (0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360"/>
            </w:r>
            <w:r w:rsidRPr="00564B9D">
              <w:rPr>
                <w:sz w:val="20"/>
                <w:szCs w:val="20"/>
                <w:vertAlign w:val="superscript"/>
                <w:rtl/>
              </w:rPr>
              <w:t>)</w:t>
            </w:r>
            <w:r w:rsidRPr="00564B9D">
              <w:rPr>
                <w:sz w:val="20"/>
                <w:szCs w:val="20"/>
                <w:rtl/>
              </w:rPr>
              <w:t xml:space="preserve"> </w:t>
            </w:r>
          </w:p>
        </w:tc>
      </w:tr>
      <w:tr w:rsidR="007B5A24" w:rsidRPr="00564B9D" w14:paraId="16F7F228" w14:textId="77777777" w:rsidTr="00804944">
        <w:trPr>
          <w:trHeight w:val="240"/>
        </w:trPr>
        <w:tc>
          <w:tcPr>
            <w:tcW w:w="3798" w:type="dxa"/>
            <w:shd w:val="clear" w:color="auto" w:fill="auto"/>
          </w:tcPr>
          <w:p w14:paraId="53CE07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3393" w:type="dxa"/>
            <w:shd w:val="clear" w:color="auto" w:fill="auto"/>
          </w:tcPr>
          <w:p w14:paraId="21FA36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وفيات الرضع: 2,4 لكل 000</w:t>
            </w:r>
            <w:r w:rsidRPr="00564B9D">
              <w:rPr>
                <w:sz w:val="20"/>
                <w:szCs w:val="20"/>
                <w:rtl/>
              </w:rPr>
              <w:t> </w:t>
            </w:r>
            <w:r w:rsidRPr="00564B9D">
              <w:rPr>
                <w:rFonts w:hint="cs"/>
                <w:sz w:val="20"/>
                <w:szCs w:val="20"/>
                <w:rtl/>
              </w:rPr>
              <w:t>1 مولود حي (الرضع دون السنة الواحدة من العمر)</w:t>
            </w:r>
            <w:r w:rsidRPr="00564B9D">
              <w:rPr>
                <w:sz w:val="20"/>
                <w:szCs w:val="20"/>
                <w:vertAlign w:val="superscript"/>
                <w:rtl/>
              </w:rPr>
              <w:t>(</w:t>
            </w:r>
            <w:r w:rsidRPr="00564B9D">
              <w:rPr>
                <w:rStyle w:val="FootnoteReference"/>
                <w:rFonts w:cs="Simplified Arabic"/>
                <w:b w:val="0"/>
                <w:sz w:val="20"/>
                <w:szCs w:val="20"/>
                <w:rtl/>
                <w:lang w:val="en-US"/>
              </w:rPr>
              <w:footnoteReference w:id="361"/>
            </w:r>
            <w:r w:rsidRPr="00564B9D">
              <w:rPr>
                <w:sz w:val="20"/>
                <w:szCs w:val="20"/>
                <w:vertAlign w:val="superscript"/>
                <w:rtl/>
              </w:rPr>
              <w:t>)</w:t>
            </w:r>
            <w:r w:rsidRPr="00564B9D">
              <w:rPr>
                <w:sz w:val="20"/>
                <w:szCs w:val="20"/>
                <w:rtl/>
              </w:rPr>
              <w:t xml:space="preserve"> </w:t>
            </w:r>
          </w:p>
        </w:tc>
      </w:tr>
      <w:tr w:rsidR="007B5A24" w:rsidRPr="00564B9D" w14:paraId="3CEC5A91" w14:textId="77777777" w:rsidTr="00804944">
        <w:trPr>
          <w:trHeight w:val="240"/>
        </w:trPr>
        <w:tc>
          <w:tcPr>
            <w:tcW w:w="3798" w:type="dxa"/>
            <w:shd w:val="clear" w:color="auto" w:fill="auto"/>
          </w:tcPr>
          <w:p w14:paraId="411197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3393" w:type="dxa"/>
            <w:shd w:val="clear" w:color="auto" w:fill="auto"/>
          </w:tcPr>
          <w:p w14:paraId="5AF9D1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3E383819" w14:textId="77777777" w:rsidTr="00804944">
        <w:trPr>
          <w:trHeight w:val="240"/>
        </w:trPr>
        <w:tc>
          <w:tcPr>
            <w:tcW w:w="3798" w:type="dxa"/>
            <w:shd w:val="clear" w:color="auto" w:fill="auto"/>
          </w:tcPr>
          <w:p w14:paraId="525B4C4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3393" w:type="dxa"/>
            <w:shd w:val="clear" w:color="auto" w:fill="auto"/>
          </w:tcPr>
          <w:p w14:paraId="138A5DA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135/890 - 15 في المائة </w:t>
            </w:r>
          </w:p>
        </w:tc>
      </w:tr>
      <w:tr w:rsidR="007B5A24" w:rsidRPr="00564B9D" w14:paraId="3FE6B550" w14:textId="77777777" w:rsidTr="00804944">
        <w:trPr>
          <w:trHeight w:val="240"/>
        </w:trPr>
        <w:tc>
          <w:tcPr>
            <w:tcW w:w="3798" w:type="dxa"/>
            <w:shd w:val="clear" w:color="auto" w:fill="auto"/>
          </w:tcPr>
          <w:p w14:paraId="0DCCDBC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393" w:type="dxa"/>
            <w:shd w:val="clear" w:color="auto" w:fill="auto"/>
          </w:tcPr>
          <w:p w14:paraId="0718C3E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الوفيات من فيروس نقص المناعة البشرية/الإيدز: </w:t>
            </w:r>
            <w:r w:rsidRPr="00564B9D">
              <w:rPr>
                <w:rFonts w:hint="cs"/>
                <w:sz w:val="20"/>
                <w:szCs w:val="20"/>
                <w:rtl/>
              </w:rPr>
              <w:t>20-24</w:t>
            </w:r>
            <w:r w:rsidRPr="00564B9D">
              <w:rPr>
                <w:sz w:val="20"/>
                <w:szCs w:val="20"/>
                <w:rtl/>
              </w:rPr>
              <w:t xml:space="preserve"> </w:t>
            </w:r>
            <w:r w:rsidRPr="00564B9D">
              <w:rPr>
                <w:rFonts w:hint="cs"/>
                <w:sz w:val="20"/>
                <w:szCs w:val="20"/>
                <w:rtl/>
              </w:rPr>
              <w:t>- أقل من 5</w:t>
            </w:r>
          </w:p>
          <w:p w14:paraId="5C1F4D0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الوفيات بسبب الملاريا: </w:t>
            </w:r>
            <w:r w:rsidRPr="00564B9D">
              <w:rPr>
                <w:rFonts w:hint="cs"/>
                <w:sz w:val="20"/>
                <w:szCs w:val="20"/>
                <w:rtl/>
              </w:rPr>
              <w:t>50</w:t>
            </w:r>
            <w:r w:rsidRPr="00564B9D">
              <w:rPr>
                <w:sz w:val="20"/>
                <w:szCs w:val="20"/>
              </w:rPr>
              <w:t>B</w:t>
            </w:r>
            <w:r w:rsidRPr="00564B9D">
              <w:rPr>
                <w:rFonts w:hint="cs"/>
                <w:sz w:val="20"/>
                <w:szCs w:val="20"/>
                <w:rtl/>
              </w:rPr>
              <w:t>-54</w:t>
            </w:r>
            <w:r w:rsidRPr="00564B9D">
              <w:rPr>
                <w:sz w:val="20"/>
                <w:szCs w:val="20"/>
              </w:rPr>
              <w:t>B</w:t>
            </w:r>
            <w:r w:rsidRPr="00564B9D">
              <w:rPr>
                <w:rFonts w:hint="cs"/>
                <w:sz w:val="20"/>
                <w:szCs w:val="20"/>
                <w:rtl/>
              </w:rPr>
              <w:t xml:space="preserve"> - صفر</w:t>
            </w:r>
          </w:p>
          <w:p w14:paraId="37D9F70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الوفيات من مرض السل: </w:t>
            </w:r>
            <w:r w:rsidRPr="00564B9D">
              <w:rPr>
                <w:rFonts w:hint="cs"/>
                <w:sz w:val="20"/>
                <w:szCs w:val="20"/>
                <w:rtl/>
              </w:rPr>
              <w:t>15</w:t>
            </w:r>
            <w:r w:rsidRPr="00564B9D">
              <w:rPr>
                <w:sz w:val="20"/>
                <w:szCs w:val="20"/>
              </w:rPr>
              <w:t>A</w:t>
            </w:r>
            <w:r w:rsidRPr="00564B9D">
              <w:rPr>
                <w:rFonts w:hint="cs"/>
                <w:sz w:val="20"/>
                <w:szCs w:val="20"/>
                <w:rtl/>
              </w:rPr>
              <w:t>-19</w:t>
            </w:r>
            <w:r w:rsidRPr="00564B9D">
              <w:rPr>
                <w:sz w:val="20"/>
                <w:szCs w:val="20"/>
              </w:rPr>
              <w:t>A</w:t>
            </w:r>
            <w:r w:rsidRPr="00564B9D">
              <w:rPr>
                <w:rFonts w:hint="cs"/>
                <w:sz w:val="20"/>
                <w:szCs w:val="20"/>
                <w:rtl/>
              </w:rPr>
              <w:t xml:space="preserve"> - صفر</w:t>
            </w:r>
          </w:p>
        </w:tc>
      </w:tr>
      <w:tr w:rsidR="007B5A24" w:rsidRPr="00564B9D" w14:paraId="1FF213E7" w14:textId="77777777" w:rsidTr="00804944">
        <w:trPr>
          <w:trHeight w:val="240"/>
        </w:trPr>
        <w:tc>
          <w:tcPr>
            <w:tcW w:w="3798" w:type="dxa"/>
            <w:shd w:val="clear" w:color="auto" w:fill="auto"/>
          </w:tcPr>
          <w:p w14:paraId="10C69BE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انتشار الأمراض السارية وغير السارية الرئيسية </w:t>
            </w:r>
          </w:p>
        </w:tc>
        <w:tc>
          <w:tcPr>
            <w:tcW w:w="3393" w:type="dxa"/>
            <w:shd w:val="clear" w:color="auto" w:fill="auto"/>
          </w:tcPr>
          <w:p w14:paraId="2E56A3BD" w14:textId="0D02180A"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معدل الوفيات من مرض السكري (رموز الإصدار 10 من التصنيف الدولي للأمراض </w:t>
            </w:r>
            <w:r w:rsidRPr="00564B9D">
              <w:rPr>
                <w:sz w:val="20"/>
                <w:szCs w:val="20"/>
              </w:rPr>
              <w:t>E14-E10</w:t>
            </w:r>
            <w:r w:rsidRPr="00564B9D">
              <w:rPr>
                <w:sz w:val="20"/>
                <w:szCs w:val="20"/>
                <w:rtl/>
              </w:rPr>
              <w:t xml:space="preserve">)، المعدل الأوروبي المعياري للعمر لكل </w:t>
            </w:r>
            <w:r w:rsidR="00590D08" w:rsidRPr="00564B9D">
              <w:rPr>
                <w:rFonts w:hint="cs"/>
                <w:sz w:val="20"/>
                <w:szCs w:val="20"/>
                <w:rtl/>
              </w:rPr>
              <w:t>000 100</w:t>
            </w:r>
            <w:r w:rsidRPr="00564B9D">
              <w:rPr>
                <w:sz w:val="20"/>
                <w:szCs w:val="20"/>
                <w:rtl/>
              </w:rPr>
              <w:t xml:space="preserve">: </w:t>
            </w:r>
            <w:r w:rsidRPr="00564B9D">
              <w:rPr>
                <w:sz w:val="20"/>
                <w:szCs w:val="20"/>
              </w:rPr>
              <w:t>ASR</w:t>
            </w:r>
            <w:r w:rsidRPr="00564B9D">
              <w:rPr>
                <w:sz w:val="20"/>
                <w:szCs w:val="20"/>
                <w:rtl/>
              </w:rPr>
              <w:t xml:space="preserve"> </w:t>
            </w:r>
            <w:r w:rsidRPr="00564B9D">
              <w:rPr>
                <w:rFonts w:hint="cs"/>
                <w:sz w:val="20"/>
                <w:szCs w:val="20"/>
                <w:rtl/>
              </w:rPr>
              <w:t>- 14,2</w:t>
            </w:r>
          </w:p>
          <w:p w14:paraId="4CD44873" w14:textId="4DF6AC6C"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معدل الوفيات من جميع أنواع السرطان (رموز الإصدار 10 من التصنيف الدولي للأمراض </w:t>
            </w:r>
            <w:r w:rsidRPr="00564B9D">
              <w:rPr>
                <w:sz w:val="20"/>
                <w:szCs w:val="20"/>
              </w:rPr>
              <w:t>C97-C00</w:t>
            </w:r>
            <w:r w:rsidRPr="00564B9D">
              <w:rPr>
                <w:sz w:val="20"/>
                <w:szCs w:val="20"/>
                <w:rtl/>
              </w:rPr>
              <w:t xml:space="preserve">)، المعدل الأوروبي المعياري للعمر لكل </w:t>
            </w:r>
            <w:r w:rsidR="00590D08" w:rsidRPr="00564B9D">
              <w:rPr>
                <w:rFonts w:hint="cs"/>
                <w:sz w:val="20"/>
                <w:szCs w:val="20"/>
                <w:rtl/>
              </w:rPr>
              <w:t>000 100</w:t>
            </w:r>
            <w:r w:rsidRPr="00564B9D">
              <w:rPr>
                <w:sz w:val="20"/>
                <w:szCs w:val="20"/>
                <w:rtl/>
              </w:rPr>
              <w:t xml:space="preserve">: </w:t>
            </w:r>
            <w:r w:rsidRPr="00564B9D">
              <w:rPr>
                <w:sz w:val="20"/>
                <w:szCs w:val="20"/>
              </w:rPr>
              <w:t>ASR</w:t>
            </w:r>
            <w:r w:rsidRPr="00564B9D">
              <w:rPr>
                <w:sz w:val="20"/>
                <w:szCs w:val="20"/>
                <w:rtl/>
              </w:rPr>
              <w:t xml:space="preserve"> </w:t>
            </w:r>
            <w:r w:rsidRPr="00564B9D">
              <w:rPr>
                <w:rFonts w:hint="cs"/>
                <w:sz w:val="20"/>
                <w:szCs w:val="20"/>
                <w:rtl/>
              </w:rPr>
              <w:t>- 246,8</w:t>
            </w:r>
          </w:p>
          <w:p w14:paraId="3140D9D8" w14:textId="0EE57B16" w:rsidR="00494AE4" w:rsidRPr="00564B9D" w:rsidRDefault="00494AE4" w:rsidP="00590D08">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معدل الوفيات من أمراض القلب والأوعية الدموية (رموز الإصدار 10 من التصنيف الدولي للأمراض </w:t>
            </w:r>
            <w:r w:rsidRPr="00564B9D">
              <w:rPr>
                <w:sz w:val="20"/>
                <w:szCs w:val="20"/>
              </w:rPr>
              <w:t>I99-I00</w:t>
            </w:r>
            <w:r w:rsidRPr="00564B9D">
              <w:rPr>
                <w:sz w:val="20"/>
                <w:szCs w:val="20"/>
                <w:rtl/>
              </w:rPr>
              <w:t xml:space="preserve">)، المعدل الأوروبي المعياري للعمر لكل </w:t>
            </w:r>
            <w:r w:rsidR="00590D08" w:rsidRPr="00564B9D">
              <w:rPr>
                <w:rFonts w:hint="cs"/>
                <w:sz w:val="20"/>
                <w:szCs w:val="20"/>
                <w:rtl/>
              </w:rPr>
              <w:t>000 100</w:t>
            </w:r>
            <w:r w:rsidRPr="00564B9D">
              <w:rPr>
                <w:sz w:val="20"/>
                <w:szCs w:val="20"/>
                <w:rtl/>
              </w:rPr>
              <w:t xml:space="preserve">: </w:t>
            </w:r>
            <w:r w:rsidRPr="00564B9D">
              <w:rPr>
                <w:sz w:val="20"/>
                <w:szCs w:val="20"/>
              </w:rPr>
              <w:t>ASR</w:t>
            </w:r>
            <w:r w:rsidRPr="00564B9D">
              <w:rPr>
                <w:sz w:val="20"/>
                <w:szCs w:val="20"/>
                <w:rtl/>
              </w:rPr>
              <w:t xml:space="preserve"> </w:t>
            </w:r>
            <w:r w:rsidRPr="00564B9D">
              <w:rPr>
                <w:rFonts w:hint="cs"/>
                <w:sz w:val="20"/>
                <w:szCs w:val="20"/>
                <w:rtl/>
              </w:rPr>
              <w:t>- 227,2</w:t>
            </w:r>
          </w:p>
        </w:tc>
      </w:tr>
      <w:tr w:rsidR="007B5A24" w:rsidRPr="00564B9D" w14:paraId="6B424123" w14:textId="77777777" w:rsidTr="00804944">
        <w:trPr>
          <w:trHeight w:val="240"/>
        </w:trPr>
        <w:tc>
          <w:tcPr>
            <w:tcW w:w="3798" w:type="dxa"/>
            <w:shd w:val="clear" w:color="auto" w:fill="auto"/>
          </w:tcPr>
          <w:p w14:paraId="24F255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الأسباب العشرة الرئيسية المؤدية إلى الوفاة</w:t>
            </w:r>
          </w:p>
        </w:tc>
        <w:tc>
          <w:tcPr>
            <w:tcW w:w="3393" w:type="dxa"/>
            <w:shd w:val="clear" w:color="auto" w:fill="auto"/>
          </w:tcPr>
          <w:p w14:paraId="7FD9B9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الأورام - 245</w:t>
            </w:r>
          </w:p>
          <w:p w14:paraId="5EA5C7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الدوري - 210</w:t>
            </w:r>
          </w:p>
          <w:p w14:paraId="18F5FDA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الاضطرابات العقلية والسلوكية - 85</w:t>
            </w:r>
          </w:p>
          <w:p w14:paraId="30114AE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التنفسي - 40</w:t>
            </w:r>
          </w:p>
          <w:p w14:paraId="2273928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العصبي - 40</w:t>
            </w:r>
          </w:p>
          <w:p w14:paraId="46CA171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الهضمي - 30</w:t>
            </w:r>
          </w:p>
          <w:p w14:paraId="51E5C9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الغدد الصماء والتغذية والتمثيل الغذائي - 20</w:t>
            </w:r>
          </w:p>
          <w:p w14:paraId="776906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الأسباب الخارجية للاعتلال والوفيات - 20</w:t>
            </w:r>
          </w:p>
          <w:p w14:paraId="131B55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البولي التناسلي - 15</w:t>
            </w:r>
          </w:p>
          <w:p w14:paraId="1AB6A0C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بعض الأمراض المعدية والطفيلية - 15</w:t>
            </w:r>
          </w:p>
        </w:tc>
      </w:tr>
      <w:tr w:rsidR="007B5A24" w:rsidRPr="00564B9D" w14:paraId="10058002" w14:textId="77777777" w:rsidTr="00804944">
        <w:trPr>
          <w:trHeight w:val="430"/>
        </w:trPr>
        <w:tc>
          <w:tcPr>
            <w:tcW w:w="3798" w:type="dxa"/>
            <w:shd w:val="clear" w:color="auto" w:fill="auto"/>
          </w:tcPr>
          <w:p w14:paraId="67C9D5E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393" w:type="dxa"/>
            <w:shd w:val="clear" w:color="auto" w:fill="auto"/>
          </w:tcPr>
          <w:p w14:paraId="4520A2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99,5 في المائة (وهذا يشمل تعليم الأطفال غير </w:t>
            </w:r>
            <w:r w:rsidRPr="00564B9D">
              <w:rPr>
                <w:rFonts w:hint="cs"/>
                <w:sz w:val="20"/>
                <w:szCs w:val="20"/>
                <w:rtl/>
              </w:rPr>
              <w:t xml:space="preserve">التعليم في </w:t>
            </w:r>
            <w:r w:rsidRPr="00564B9D">
              <w:rPr>
                <w:sz w:val="20"/>
                <w:szCs w:val="20"/>
                <w:rtl/>
              </w:rPr>
              <w:t>المدرسة)</w:t>
            </w:r>
          </w:p>
        </w:tc>
      </w:tr>
      <w:tr w:rsidR="007B5A24" w:rsidRPr="00564B9D" w14:paraId="2839A8D2" w14:textId="77777777" w:rsidTr="00804944">
        <w:trPr>
          <w:trHeight w:val="484"/>
        </w:trPr>
        <w:tc>
          <w:tcPr>
            <w:tcW w:w="3798" w:type="dxa"/>
            <w:shd w:val="clear" w:color="auto" w:fill="auto"/>
          </w:tcPr>
          <w:p w14:paraId="3E0C78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3393" w:type="dxa"/>
            <w:shd w:val="clear" w:color="auto" w:fill="auto"/>
          </w:tcPr>
          <w:p w14:paraId="7F85693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معدل الحضور في المدرسة الابتدائية: 96 في المائة؛ معدل الحضور في المدرسة الثانوية: 93,4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362"/>
            </w:r>
            <w:r w:rsidRPr="00564B9D">
              <w:rPr>
                <w:sz w:val="20"/>
                <w:szCs w:val="20"/>
                <w:vertAlign w:val="superscript"/>
                <w:rtl/>
              </w:rPr>
              <w:t>)</w:t>
            </w:r>
            <w:r w:rsidRPr="00564B9D">
              <w:rPr>
                <w:rFonts w:hint="cs"/>
                <w:sz w:val="20"/>
                <w:szCs w:val="20"/>
                <w:rtl/>
              </w:rPr>
              <w:t>؛</w:t>
            </w:r>
            <w:r w:rsidRPr="00564B9D">
              <w:rPr>
                <w:sz w:val="20"/>
                <w:szCs w:val="20"/>
                <w:rtl/>
              </w:rPr>
              <w:t xml:space="preserve"> </w:t>
            </w:r>
          </w:p>
          <w:p w14:paraId="3C2310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معلومات التسرب غير متوفرة</w:t>
            </w:r>
          </w:p>
        </w:tc>
      </w:tr>
      <w:tr w:rsidR="007B5A24" w:rsidRPr="00564B9D" w14:paraId="05276295" w14:textId="77777777" w:rsidTr="00804944">
        <w:trPr>
          <w:trHeight w:val="240"/>
        </w:trPr>
        <w:tc>
          <w:tcPr>
            <w:tcW w:w="3798" w:type="dxa"/>
            <w:shd w:val="clear" w:color="auto" w:fill="auto"/>
          </w:tcPr>
          <w:p w14:paraId="470E52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3393" w:type="dxa"/>
            <w:shd w:val="clear" w:color="auto" w:fill="auto"/>
          </w:tcPr>
          <w:p w14:paraId="0B8DA23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المدارس الابتدائية: 17,6 (معلمون مؤهلون)؛ 10,5 (بما في ذلك المساعدون والتقنيون)؛</w:t>
            </w:r>
          </w:p>
          <w:p w14:paraId="53948E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المدارس الثانوية: 12,2 (معلمون مؤهلون)؛ 9,5 (بما في ذلك المساعدون والتقنيون)</w:t>
            </w:r>
          </w:p>
        </w:tc>
      </w:tr>
      <w:tr w:rsidR="007B5A24" w:rsidRPr="00564B9D" w14:paraId="41BCD67C" w14:textId="77777777" w:rsidTr="00804944">
        <w:trPr>
          <w:trHeight w:val="240"/>
        </w:trPr>
        <w:tc>
          <w:tcPr>
            <w:tcW w:w="3798" w:type="dxa"/>
            <w:shd w:val="clear" w:color="auto" w:fill="auto"/>
          </w:tcPr>
          <w:p w14:paraId="52FD8F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معدل الإلمام بالقراءة والكتابة بين البالغين</w:t>
            </w:r>
          </w:p>
        </w:tc>
        <w:tc>
          <w:tcPr>
            <w:tcW w:w="3393" w:type="dxa"/>
            <w:shd w:val="clear" w:color="auto" w:fill="auto"/>
          </w:tcPr>
          <w:p w14:paraId="648447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p>
        </w:tc>
      </w:tr>
      <w:tr w:rsidR="007B5A24" w:rsidRPr="00564B9D" w14:paraId="208674AD" w14:textId="77777777" w:rsidTr="00804944">
        <w:trPr>
          <w:trHeight w:val="240"/>
        </w:trPr>
        <w:tc>
          <w:tcPr>
            <w:tcW w:w="3798" w:type="dxa"/>
            <w:shd w:val="clear" w:color="auto" w:fill="auto"/>
          </w:tcPr>
          <w:p w14:paraId="047D3B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3393" w:type="dxa"/>
            <w:shd w:val="clear" w:color="auto" w:fill="auto"/>
          </w:tcPr>
          <w:p w14:paraId="536338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 في المائة (2014/2015)</w:t>
            </w:r>
          </w:p>
        </w:tc>
      </w:tr>
      <w:tr w:rsidR="007B5A24" w:rsidRPr="00564B9D" w14:paraId="05CA70D3" w14:textId="77777777" w:rsidTr="00804944">
        <w:trPr>
          <w:trHeight w:val="240"/>
        </w:trPr>
        <w:tc>
          <w:tcPr>
            <w:tcW w:w="3798" w:type="dxa"/>
            <w:shd w:val="clear" w:color="auto" w:fill="auto"/>
          </w:tcPr>
          <w:p w14:paraId="6136DBC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العمالة حسب القطاعات الرئيسية للنشاط الاقتصادي، بما في ذلك القطاعات الرسمية وغير الرسمية</w:t>
            </w:r>
          </w:p>
        </w:tc>
        <w:tc>
          <w:tcPr>
            <w:tcW w:w="3393" w:type="dxa"/>
            <w:shd w:val="clear" w:color="auto" w:fill="auto"/>
          </w:tcPr>
          <w:p w14:paraId="109A2D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r w:rsidR="007B5A24" w:rsidRPr="00564B9D" w14:paraId="492D94B2" w14:textId="77777777" w:rsidTr="00804944">
        <w:trPr>
          <w:trHeight w:val="240"/>
        </w:trPr>
        <w:tc>
          <w:tcPr>
            <w:tcW w:w="3798" w:type="dxa"/>
            <w:shd w:val="clear" w:color="auto" w:fill="auto"/>
          </w:tcPr>
          <w:p w14:paraId="4256F8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3393" w:type="dxa"/>
            <w:shd w:val="clear" w:color="auto" w:fill="auto"/>
          </w:tcPr>
          <w:p w14:paraId="1D8F4D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 82 في المائة من السكان في سن العمل ناشطون اقتصادياً (2011)</w:t>
            </w:r>
          </w:p>
          <w:p w14:paraId="1DAE77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78 في المائة من السكان في سن العمل يعملون </w:t>
            </w:r>
          </w:p>
        </w:tc>
      </w:tr>
      <w:tr w:rsidR="007B5A24" w:rsidRPr="00564B9D" w14:paraId="2AFB7A02" w14:textId="77777777" w:rsidTr="00804944">
        <w:trPr>
          <w:trHeight w:val="240"/>
        </w:trPr>
        <w:tc>
          <w:tcPr>
            <w:tcW w:w="3798" w:type="dxa"/>
            <w:shd w:val="clear" w:color="auto" w:fill="auto"/>
          </w:tcPr>
          <w:p w14:paraId="74AE522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393" w:type="dxa"/>
            <w:shd w:val="clear" w:color="auto" w:fill="auto"/>
          </w:tcPr>
          <w:p w14:paraId="5E923B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EDA52E4" w14:textId="77777777" w:rsidTr="00804944">
        <w:trPr>
          <w:trHeight w:val="240"/>
        </w:trPr>
        <w:tc>
          <w:tcPr>
            <w:tcW w:w="3798" w:type="dxa"/>
            <w:shd w:val="clear" w:color="auto" w:fill="auto"/>
          </w:tcPr>
          <w:p w14:paraId="0C846CC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3393" w:type="dxa"/>
            <w:shd w:val="clear" w:color="auto" w:fill="auto"/>
          </w:tcPr>
          <w:p w14:paraId="4F4ED8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196106EF" w14:textId="77777777" w:rsidTr="00804944">
        <w:trPr>
          <w:trHeight w:val="240"/>
        </w:trPr>
        <w:tc>
          <w:tcPr>
            <w:tcW w:w="3798" w:type="dxa"/>
            <w:shd w:val="clear" w:color="auto" w:fill="auto"/>
          </w:tcPr>
          <w:p w14:paraId="38AAAE9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بالبلايين </w:t>
            </w:r>
          </w:p>
        </w:tc>
        <w:tc>
          <w:tcPr>
            <w:tcW w:w="3393" w:type="dxa"/>
            <w:shd w:val="clear" w:color="auto" w:fill="auto"/>
          </w:tcPr>
          <w:p w14:paraId="06F8FF26" w14:textId="0FED342B"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885</w:t>
            </w:r>
            <w:r w:rsidRPr="00564B9D">
              <w:rPr>
                <w:sz w:val="20"/>
                <w:szCs w:val="20"/>
                <w:rtl/>
              </w:rPr>
              <w:t> </w:t>
            </w:r>
            <w:r w:rsidRPr="00564B9D">
              <w:rPr>
                <w:rFonts w:hint="cs"/>
                <w:sz w:val="20"/>
                <w:szCs w:val="20"/>
                <w:rtl/>
              </w:rPr>
              <w:t xml:space="preserve">4 مليون جنيه </w:t>
            </w:r>
            <w:r w:rsidR="00590D08" w:rsidRPr="00564B9D">
              <w:rPr>
                <w:rFonts w:hint="cs"/>
                <w:sz w:val="20"/>
                <w:szCs w:val="20"/>
                <w:rtl/>
              </w:rPr>
              <w:t>إسترليني (2019)</w:t>
            </w:r>
          </w:p>
        </w:tc>
      </w:tr>
      <w:tr w:rsidR="007B5A24" w:rsidRPr="00564B9D" w14:paraId="1B85015C" w14:textId="77777777" w:rsidTr="00804944">
        <w:trPr>
          <w:trHeight w:val="240"/>
        </w:trPr>
        <w:tc>
          <w:tcPr>
            <w:tcW w:w="3798" w:type="dxa"/>
            <w:shd w:val="clear" w:color="auto" w:fill="auto"/>
          </w:tcPr>
          <w:p w14:paraId="3A53C6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3393" w:type="dxa"/>
            <w:shd w:val="clear" w:color="auto" w:fill="auto"/>
          </w:tcPr>
          <w:p w14:paraId="3AE5C36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1,7 في المائة بالقيمة الحقيقية (2019) </w:t>
            </w:r>
          </w:p>
        </w:tc>
      </w:tr>
      <w:tr w:rsidR="007B5A24" w:rsidRPr="00564B9D" w14:paraId="02F9D480" w14:textId="77777777" w:rsidTr="00804944">
        <w:trPr>
          <w:trHeight w:val="240"/>
        </w:trPr>
        <w:tc>
          <w:tcPr>
            <w:tcW w:w="3798" w:type="dxa"/>
            <w:shd w:val="clear" w:color="auto" w:fill="auto"/>
          </w:tcPr>
          <w:p w14:paraId="5891E4D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الدخل القومي الإجمالي بالبلايين</w:t>
            </w:r>
          </w:p>
        </w:tc>
        <w:tc>
          <w:tcPr>
            <w:tcW w:w="3393" w:type="dxa"/>
            <w:shd w:val="clear" w:color="auto" w:fill="auto"/>
          </w:tcPr>
          <w:p w14:paraId="7004CB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4 بلايين جنيه استرليني (تقديرات عام 2011)</w:t>
            </w:r>
          </w:p>
        </w:tc>
      </w:tr>
      <w:tr w:rsidR="007B5A24" w:rsidRPr="00564B9D" w14:paraId="3154402B" w14:textId="77777777" w:rsidTr="00804944">
        <w:trPr>
          <w:trHeight w:val="240"/>
        </w:trPr>
        <w:tc>
          <w:tcPr>
            <w:tcW w:w="3798" w:type="dxa"/>
            <w:shd w:val="clear" w:color="auto" w:fill="auto"/>
          </w:tcPr>
          <w:p w14:paraId="4559EAC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p>
        </w:tc>
        <w:tc>
          <w:tcPr>
            <w:tcW w:w="3393" w:type="dxa"/>
            <w:shd w:val="clear" w:color="auto" w:fill="auto"/>
          </w:tcPr>
          <w:p w14:paraId="259071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لا يوجد مؤشر أسعار المستهلك - كان مؤشر أسعار التجزئة في جيرسي 0,9 في المائة في </w:t>
            </w:r>
            <w:r w:rsidRPr="00564B9D">
              <w:rPr>
                <w:rFonts w:hint="cs"/>
                <w:sz w:val="20"/>
                <w:szCs w:val="20"/>
                <w:rtl/>
              </w:rPr>
              <w:t>كانون الأول/</w:t>
            </w:r>
            <w:r w:rsidRPr="00564B9D">
              <w:rPr>
                <w:sz w:val="20"/>
                <w:szCs w:val="20"/>
                <w:rtl/>
              </w:rPr>
              <w:t>ديسمبر 2020</w:t>
            </w:r>
          </w:p>
        </w:tc>
      </w:tr>
      <w:tr w:rsidR="007B5A24" w:rsidRPr="00564B9D" w14:paraId="6769EDE6" w14:textId="77777777" w:rsidTr="00804944">
        <w:trPr>
          <w:trHeight w:val="240"/>
        </w:trPr>
        <w:tc>
          <w:tcPr>
            <w:tcW w:w="3798" w:type="dxa"/>
            <w:shd w:val="clear" w:color="auto" w:fill="auto"/>
          </w:tcPr>
          <w:p w14:paraId="082E8EC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393" w:type="dxa"/>
            <w:shd w:val="clear" w:color="auto" w:fill="auto"/>
          </w:tcPr>
          <w:p w14:paraId="7D2779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كنسبة مئوية من إجمالي الإنفاق 63 في المائة.</w:t>
            </w:r>
          </w:p>
          <w:p w14:paraId="6E7A5DB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كنسبة مئوية من الناتج المحلي الإجمالي 1,7 في المائة.</w:t>
            </w:r>
          </w:p>
        </w:tc>
      </w:tr>
      <w:tr w:rsidR="007B5A24" w:rsidRPr="00564B9D" w14:paraId="197AA559" w14:textId="77777777" w:rsidTr="00804944">
        <w:trPr>
          <w:trHeight w:val="240"/>
        </w:trPr>
        <w:tc>
          <w:tcPr>
            <w:tcW w:w="3798" w:type="dxa"/>
            <w:shd w:val="clear" w:color="auto" w:fill="auto"/>
          </w:tcPr>
          <w:p w14:paraId="65D8883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الديون العامة الخارجية والمحلية</w:t>
            </w:r>
          </w:p>
        </w:tc>
        <w:tc>
          <w:tcPr>
            <w:tcW w:w="3393" w:type="dxa"/>
            <w:shd w:val="clear" w:color="auto" w:fill="auto"/>
          </w:tcPr>
          <w:p w14:paraId="3EEE82E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w:t>
            </w:r>
            <w:r w:rsidRPr="00564B9D">
              <w:rPr>
                <w:sz w:val="20"/>
                <w:szCs w:val="20"/>
                <w:rtl/>
              </w:rPr>
              <w:t xml:space="preserve">لدين الخارجي </w:t>
            </w:r>
            <w:r w:rsidRPr="00564B9D">
              <w:rPr>
                <w:rFonts w:hint="cs"/>
                <w:sz w:val="20"/>
                <w:szCs w:val="20"/>
                <w:rtl/>
              </w:rPr>
              <w:t>لإقليم</w:t>
            </w:r>
            <w:r w:rsidRPr="00564B9D">
              <w:rPr>
                <w:sz w:val="20"/>
                <w:szCs w:val="20"/>
                <w:rtl/>
              </w:rPr>
              <w:t xml:space="preserve"> جيرسي:</w:t>
            </w:r>
          </w:p>
          <w:p w14:paraId="5F2047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المبالغ المستحقة في غضون سنة واحدة - قروض </w:t>
            </w:r>
            <w:r w:rsidRPr="00564B9D">
              <w:rPr>
                <w:rFonts w:hint="cs"/>
                <w:sz w:val="20"/>
                <w:szCs w:val="20"/>
                <w:rtl/>
              </w:rPr>
              <w:t>مصرفية ل</w:t>
            </w:r>
            <w:r w:rsidRPr="00564B9D">
              <w:rPr>
                <w:sz w:val="20"/>
                <w:szCs w:val="20"/>
                <w:rtl/>
              </w:rPr>
              <w:t>شركة</w:t>
            </w:r>
            <w:r w:rsidRPr="00564B9D">
              <w:rPr>
                <w:rFonts w:hint="cs"/>
                <w:sz w:val="20"/>
                <w:szCs w:val="20"/>
                <w:rtl/>
              </w:rPr>
              <w:t xml:space="preserve"> إقليم</w:t>
            </w:r>
            <w:r w:rsidRPr="00564B9D">
              <w:rPr>
                <w:sz w:val="20"/>
                <w:szCs w:val="20"/>
                <w:rtl/>
              </w:rPr>
              <w:t xml:space="preserve"> جيرسي للتنمية - 658 ألف</w:t>
            </w:r>
          </w:p>
          <w:p w14:paraId="7469E8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المبالغ المستحقة بعد أكثر من عام - قروض </w:t>
            </w:r>
            <w:r w:rsidRPr="00564B9D">
              <w:rPr>
                <w:rFonts w:hint="cs"/>
                <w:sz w:val="20"/>
                <w:szCs w:val="20"/>
                <w:rtl/>
              </w:rPr>
              <w:t>مصرفية ل</w:t>
            </w:r>
            <w:r w:rsidRPr="00564B9D">
              <w:rPr>
                <w:sz w:val="20"/>
                <w:szCs w:val="20"/>
                <w:rtl/>
              </w:rPr>
              <w:t>شركة</w:t>
            </w:r>
            <w:r w:rsidRPr="00564B9D">
              <w:rPr>
                <w:rFonts w:hint="cs"/>
                <w:sz w:val="20"/>
                <w:szCs w:val="20"/>
                <w:rtl/>
              </w:rPr>
              <w:t xml:space="preserve"> إقليم</w:t>
            </w:r>
            <w:r w:rsidRPr="00564B9D">
              <w:rPr>
                <w:sz w:val="20"/>
                <w:szCs w:val="20"/>
                <w:rtl/>
              </w:rPr>
              <w:t xml:space="preserve"> جيرسي للتنمية - 100 </w:t>
            </w:r>
            <w:r w:rsidRPr="00564B9D">
              <w:rPr>
                <w:rFonts w:hint="cs"/>
                <w:sz w:val="20"/>
                <w:szCs w:val="20"/>
                <w:rtl/>
              </w:rPr>
              <w:t xml:space="preserve">11 </w:t>
            </w:r>
            <w:r w:rsidRPr="00564B9D">
              <w:rPr>
                <w:sz w:val="20"/>
                <w:szCs w:val="20"/>
                <w:rtl/>
              </w:rPr>
              <w:t>ألف</w:t>
            </w:r>
          </w:p>
          <w:p w14:paraId="1E00A30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المتداولة الخارجية والعامة: السندات الخارجية - </w:t>
            </w:r>
            <w:r w:rsidRPr="00564B9D">
              <w:rPr>
                <w:rFonts w:hint="cs"/>
                <w:sz w:val="20"/>
                <w:szCs w:val="20"/>
                <w:rtl/>
              </w:rPr>
              <w:t>726</w:t>
            </w:r>
            <w:r w:rsidRPr="00564B9D">
              <w:rPr>
                <w:sz w:val="20"/>
                <w:szCs w:val="20"/>
                <w:rtl/>
              </w:rPr>
              <w:t> 244 ألف</w:t>
            </w:r>
          </w:p>
        </w:tc>
      </w:tr>
      <w:tr w:rsidR="007B5A24" w:rsidRPr="00564B9D" w14:paraId="4CB703D4" w14:textId="77777777" w:rsidTr="00804944">
        <w:trPr>
          <w:trHeight w:val="240"/>
        </w:trPr>
        <w:tc>
          <w:tcPr>
            <w:tcW w:w="3798" w:type="dxa"/>
            <w:tcBorders>
              <w:bottom w:val="single" w:sz="12" w:space="0" w:color="auto"/>
            </w:tcBorders>
            <w:shd w:val="clear" w:color="auto" w:fill="auto"/>
          </w:tcPr>
          <w:p w14:paraId="1126197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3393" w:type="dxa"/>
            <w:tcBorders>
              <w:bottom w:val="single" w:sz="12" w:space="0" w:color="auto"/>
            </w:tcBorders>
            <w:shd w:val="clear" w:color="auto" w:fill="auto"/>
          </w:tcPr>
          <w:p w14:paraId="7DAB53F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ميزانيات </w:t>
            </w:r>
            <w:r w:rsidRPr="00564B9D">
              <w:rPr>
                <w:rFonts w:hint="cs"/>
                <w:sz w:val="20"/>
                <w:szCs w:val="20"/>
                <w:rtl/>
              </w:rPr>
              <w:t>الإدارات</w:t>
            </w:r>
            <w:r w:rsidRPr="00564B9D">
              <w:rPr>
                <w:sz w:val="20"/>
                <w:szCs w:val="20"/>
                <w:rtl/>
              </w:rPr>
              <w:t xml:space="preserve"> لعام 2019 (</w:t>
            </w:r>
            <w:r w:rsidRPr="00564B9D">
              <w:rPr>
                <w:rFonts w:hint="cs"/>
                <w:sz w:val="20"/>
                <w:szCs w:val="20"/>
                <w:rtl/>
              </w:rPr>
              <w:t>معونات جيرسي الخارجية</w:t>
            </w:r>
            <w:r w:rsidRPr="00564B9D">
              <w:rPr>
                <w:sz w:val="20"/>
                <w:szCs w:val="20"/>
                <w:rtl/>
              </w:rPr>
              <w:t xml:space="preserve"> كنسبة مئوية لكل </w:t>
            </w:r>
            <w:r w:rsidRPr="00564B9D">
              <w:rPr>
                <w:rFonts w:hint="cs"/>
                <w:sz w:val="20"/>
                <w:szCs w:val="20"/>
                <w:rtl/>
              </w:rPr>
              <w:t>إدارة</w:t>
            </w:r>
            <w:r w:rsidRPr="00564B9D">
              <w:rPr>
                <w:sz w:val="20"/>
                <w:szCs w:val="20"/>
                <w:rtl/>
              </w:rPr>
              <w:t xml:space="preserve"> </w:t>
            </w:r>
            <w:r w:rsidRPr="00564B9D">
              <w:rPr>
                <w:rFonts w:hint="cs"/>
                <w:sz w:val="20"/>
                <w:szCs w:val="20"/>
                <w:rtl/>
              </w:rPr>
              <w:t>أخرى</w:t>
            </w:r>
            <w:r w:rsidRPr="00564B9D">
              <w:rPr>
                <w:sz w:val="20"/>
                <w:szCs w:val="20"/>
                <w:rtl/>
              </w:rPr>
              <w:t>)</w:t>
            </w:r>
          </w:p>
          <w:p w14:paraId="30C179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D00</w:t>
            </w:r>
            <w:r w:rsidRPr="00564B9D">
              <w:rPr>
                <w:sz w:val="20"/>
                <w:szCs w:val="20"/>
                <w:rtl/>
              </w:rPr>
              <w:t xml:space="preserve"> - مكتب الرئيس التنفيذي - 319 784 28 (36 في المائة)</w:t>
            </w:r>
          </w:p>
          <w:p w14:paraId="0965FC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D05</w:t>
            </w:r>
            <w:r w:rsidRPr="00564B9D">
              <w:rPr>
                <w:sz w:val="20"/>
                <w:szCs w:val="20"/>
                <w:rtl/>
              </w:rPr>
              <w:t xml:space="preserve"> - مكتب العمليات الرئيسي - 795 270 39 (26 في المائة)</w:t>
            </w:r>
          </w:p>
          <w:p w14:paraId="289D30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D10</w:t>
            </w:r>
            <w:r w:rsidRPr="00564B9D">
              <w:rPr>
                <w:sz w:val="20"/>
                <w:szCs w:val="20"/>
                <w:rtl/>
              </w:rPr>
              <w:t xml:space="preserve"> - الأطفال والشباب والتعليم - 024 477 142 (7 في المائة)</w:t>
            </w:r>
          </w:p>
          <w:p w14:paraId="3154E3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D15</w:t>
            </w:r>
            <w:r w:rsidRPr="00564B9D">
              <w:rPr>
                <w:sz w:val="20"/>
                <w:szCs w:val="20"/>
                <w:rtl/>
              </w:rPr>
              <w:t xml:space="preserve"> - العملاء والخدمات المحلية - 393 176 84 (12 في المائة)</w:t>
            </w:r>
          </w:p>
          <w:p w14:paraId="209B56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D20</w:t>
            </w:r>
            <w:r w:rsidRPr="00564B9D">
              <w:rPr>
                <w:sz w:val="20"/>
                <w:szCs w:val="20"/>
                <w:rtl/>
              </w:rPr>
              <w:t xml:space="preserve"> - البنية التحتية والإسكان والبيئة - 626 237 101 (10 في المائة)</w:t>
            </w:r>
          </w:p>
          <w:p w14:paraId="024095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D25</w:t>
            </w:r>
            <w:r w:rsidRPr="00564B9D">
              <w:rPr>
                <w:sz w:val="20"/>
                <w:szCs w:val="20"/>
                <w:rtl/>
              </w:rPr>
              <w:t xml:space="preserve"> - خدمات الصحة والمجتمع - 077 405 212 (5 في المائة)</w:t>
            </w:r>
          </w:p>
          <w:p w14:paraId="02BAD1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D30</w:t>
            </w:r>
            <w:r w:rsidRPr="00564B9D">
              <w:rPr>
                <w:sz w:val="20"/>
                <w:szCs w:val="20"/>
                <w:rtl/>
              </w:rPr>
              <w:t xml:space="preserve"> - العدل والشؤون الداخلية - </w:t>
            </w:r>
            <w:r w:rsidRPr="00564B9D">
              <w:rPr>
                <w:rFonts w:hint="cs"/>
                <w:sz w:val="20"/>
                <w:szCs w:val="20"/>
                <w:rtl/>
              </w:rPr>
              <w:t xml:space="preserve">293 924 53 </w:t>
            </w:r>
            <w:r w:rsidRPr="00564B9D">
              <w:rPr>
                <w:sz w:val="20"/>
                <w:szCs w:val="20"/>
                <w:rtl/>
              </w:rPr>
              <w:t>(19 في المائة)</w:t>
            </w:r>
          </w:p>
          <w:p w14:paraId="540CE2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D35</w:t>
            </w:r>
            <w:r w:rsidRPr="00564B9D">
              <w:rPr>
                <w:sz w:val="20"/>
                <w:szCs w:val="20"/>
                <w:rtl/>
              </w:rPr>
              <w:t xml:space="preserve"> - الخزانة والخزانة - </w:t>
            </w:r>
            <w:r w:rsidRPr="00564B9D">
              <w:rPr>
                <w:rFonts w:hint="cs"/>
                <w:sz w:val="20"/>
                <w:szCs w:val="20"/>
                <w:rtl/>
              </w:rPr>
              <w:t xml:space="preserve">290 055 124 </w:t>
            </w:r>
            <w:r w:rsidRPr="00564B9D">
              <w:rPr>
                <w:sz w:val="20"/>
                <w:szCs w:val="20"/>
                <w:rtl/>
              </w:rPr>
              <w:t>(8 في المائة)</w:t>
            </w:r>
          </w:p>
          <w:p w14:paraId="0D5A4B1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lastRenderedPageBreak/>
              <w:t>D40</w:t>
            </w:r>
            <w:r w:rsidRPr="00564B9D">
              <w:rPr>
                <w:sz w:val="20"/>
                <w:szCs w:val="20"/>
                <w:rtl/>
              </w:rPr>
              <w:t xml:space="preserve"> - السياسة الاستراتيجية، الأداء - 823 519 9 (109 في المائة)</w:t>
            </w:r>
          </w:p>
          <w:p w14:paraId="5BFFC0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D55</w:t>
            </w:r>
            <w:r w:rsidRPr="00564B9D">
              <w:rPr>
                <w:sz w:val="20"/>
                <w:szCs w:val="20"/>
                <w:rtl/>
              </w:rPr>
              <w:t xml:space="preserve"> - مساعدة جيرسي للخارج - 500 340 10 (100 في المائة)</w:t>
            </w:r>
          </w:p>
          <w:p w14:paraId="7D98D21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D60</w:t>
            </w:r>
            <w:r w:rsidRPr="00564B9D">
              <w:rPr>
                <w:sz w:val="20"/>
                <w:szCs w:val="20"/>
                <w:rtl/>
              </w:rPr>
              <w:t xml:space="preserve"> - غير وزاري - 480 152 23 (45 في المائة)</w:t>
            </w:r>
          </w:p>
          <w:p w14:paraId="6AC154B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Pr>
              <w:t>D65</w:t>
            </w:r>
            <w:r w:rsidRPr="00564B9D">
              <w:rPr>
                <w:sz w:val="20"/>
                <w:szCs w:val="20"/>
                <w:rtl/>
              </w:rPr>
              <w:t xml:space="preserve"> - جمعية الدول - 845 592 6 (157 في المائة)</w:t>
            </w:r>
          </w:p>
          <w:p w14:paraId="15DCA5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دخل الإيرادات العامة: - 000 179 824 (1 في المائة)</w:t>
            </w:r>
          </w:p>
        </w:tc>
      </w:tr>
    </w:tbl>
    <w:p w14:paraId="241AC1FF"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432"/>
        <w:gridCol w:w="3960"/>
      </w:tblGrid>
      <w:tr w:rsidR="007B5A24" w:rsidRPr="00564B9D" w14:paraId="2504071D" w14:textId="77777777" w:rsidTr="00804944">
        <w:trPr>
          <w:trHeight w:val="240"/>
          <w:tblHeader/>
        </w:trPr>
        <w:tc>
          <w:tcPr>
            <w:tcW w:w="7191" w:type="dxa"/>
            <w:gridSpan w:val="2"/>
            <w:tcBorders>
              <w:top w:val="single" w:sz="4" w:space="0" w:color="auto"/>
              <w:bottom w:val="single" w:sz="12" w:space="0" w:color="auto"/>
            </w:tcBorders>
            <w:shd w:val="clear" w:color="auto" w:fill="auto"/>
            <w:vAlign w:val="bottom"/>
          </w:tcPr>
          <w:p w14:paraId="31910F48"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6E337B97" w14:textId="77777777" w:rsidTr="00804944">
        <w:trPr>
          <w:trHeight w:val="240"/>
        </w:trPr>
        <w:tc>
          <w:tcPr>
            <w:tcW w:w="3798" w:type="dxa"/>
            <w:tcBorders>
              <w:top w:val="single" w:sz="12" w:space="0" w:color="auto"/>
            </w:tcBorders>
            <w:shd w:val="clear" w:color="auto" w:fill="auto"/>
          </w:tcPr>
          <w:p w14:paraId="2691A1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الأحزاب السياسية المعترف بها على المستوى الوطني</w:t>
            </w:r>
          </w:p>
        </w:tc>
        <w:tc>
          <w:tcPr>
            <w:tcW w:w="3393" w:type="dxa"/>
            <w:tcBorders>
              <w:top w:val="single" w:sz="12" w:space="0" w:color="auto"/>
            </w:tcBorders>
            <w:shd w:val="clear" w:color="auto" w:fill="auto"/>
          </w:tcPr>
          <w:p w14:paraId="3BF62D4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حزبان - حزب جيرسي الإصلاحي، والحزب التقدمي</w:t>
            </w:r>
          </w:p>
        </w:tc>
      </w:tr>
      <w:tr w:rsidR="007B5A24" w:rsidRPr="00564B9D" w14:paraId="55373646" w14:textId="77777777" w:rsidTr="00804944">
        <w:trPr>
          <w:trHeight w:val="240"/>
        </w:trPr>
        <w:tc>
          <w:tcPr>
            <w:tcW w:w="3798" w:type="dxa"/>
            <w:shd w:val="clear" w:color="auto" w:fill="auto"/>
          </w:tcPr>
          <w:p w14:paraId="481953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المؤهلين للتصويت</w:t>
            </w:r>
          </w:p>
        </w:tc>
        <w:tc>
          <w:tcPr>
            <w:tcW w:w="3393" w:type="dxa"/>
            <w:shd w:val="clear" w:color="auto" w:fill="auto"/>
          </w:tcPr>
          <w:p w14:paraId="0EAB1AF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69579C6" w14:textId="77777777" w:rsidTr="00804944">
        <w:trPr>
          <w:trHeight w:val="240"/>
        </w:trPr>
        <w:tc>
          <w:tcPr>
            <w:tcW w:w="3798" w:type="dxa"/>
            <w:shd w:val="clear" w:color="auto" w:fill="auto"/>
          </w:tcPr>
          <w:p w14:paraId="4229F7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غير المواطنين المسجلين للتصويت</w:t>
            </w:r>
          </w:p>
        </w:tc>
        <w:tc>
          <w:tcPr>
            <w:tcW w:w="3393" w:type="dxa"/>
            <w:shd w:val="clear" w:color="auto" w:fill="auto"/>
          </w:tcPr>
          <w:p w14:paraId="5F0965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لم تتوفر المعلومات بعد - في الانتخابات الأخيرة، المسجلون للتصويت 62 في المائة </w:t>
            </w:r>
          </w:p>
        </w:tc>
      </w:tr>
      <w:tr w:rsidR="007B5A24" w:rsidRPr="00564B9D" w14:paraId="24348914" w14:textId="77777777" w:rsidTr="00804944">
        <w:trPr>
          <w:trHeight w:val="240"/>
        </w:trPr>
        <w:tc>
          <w:tcPr>
            <w:tcW w:w="3798" w:type="dxa"/>
            <w:shd w:val="clear" w:color="auto" w:fill="auto"/>
          </w:tcPr>
          <w:p w14:paraId="2F6D540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المرفوعة بشأن سير الانتخابات المسجلة، حسب نوع المخالفة المدعاة</w:t>
            </w:r>
          </w:p>
        </w:tc>
        <w:tc>
          <w:tcPr>
            <w:tcW w:w="3393" w:type="dxa"/>
            <w:shd w:val="clear" w:color="auto" w:fill="auto"/>
          </w:tcPr>
          <w:p w14:paraId="103D8C1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74B505A0" w14:textId="77777777" w:rsidTr="00804944">
        <w:trPr>
          <w:trHeight w:val="240"/>
        </w:trPr>
        <w:tc>
          <w:tcPr>
            <w:tcW w:w="3798" w:type="dxa"/>
            <w:shd w:val="clear" w:color="auto" w:fill="auto"/>
          </w:tcPr>
          <w:p w14:paraId="0E7B909F" w14:textId="2A1DA972"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393" w:type="dxa"/>
            <w:shd w:val="clear" w:color="auto" w:fill="auto"/>
          </w:tcPr>
          <w:p w14:paraId="6C402A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توفر الصحافة والتلفزيون والإذاعة في جيرسي تغطية على امتداد الجزيرة </w:t>
            </w:r>
          </w:p>
        </w:tc>
      </w:tr>
      <w:tr w:rsidR="007B5A24" w:rsidRPr="00564B9D" w14:paraId="23CE2CF4" w14:textId="77777777" w:rsidTr="00804944">
        <w:trPr>
          <w:trHeight w:val="240"/>
        </w:trPr>
        <w:tc>
          <w:tcPr>
            <w:tcW w:w="3798" w:type="dxa"/>
            <w:shd w:val="clear" w:color="auto" w:fill="auto"/>
          </w:tcPr>
          <w:p w14:paraId="5FA5D15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المنظمات غير الحكومية المعترف بها</w:t>
            </w:r>
          </w:p>
        </w:tc>
        <w:tc>
          <w:tcPr>
            <w:tcW w:w="3393" w:type="dxa"/>
            <w:shd w:val="clear" w:color="auto" w:fill="auto"/>
          </w:tcPr>
          <w:p w14:paraId="775C1CE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ينطبق</w:t>
            </w:r>
          </w:p>
        </w:tc>
      </w:tr>
      <w:tr w:rsidR="007B5A24" w:rsidRPr="00564B9D" w14:paraId="35657570" w14:textId="77777777" w:rsidTr="00804944">
        <w:trPr>
          <w:trHeight w:val="240"/>
        </w:trPr>
        <w:tc>
          <w:tcPr>
            <w:tcW w:w="3798" w:type="dxa"/>
            <w:shd w:val="clear" w:color="auto" w:fill="auto"/>
          </w:tcPr>
          <w:p w14:paraId="379F4E8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المقاعد التشريعية بحسب الحزب</w:t>
            </w:r>
          </w:p>
        </w:tc>
        <w:tc>
          <w:tcPr>
            <w:tcW w:w="3393" w:type="dxa"/>
            <w:shd w:val="clear" w:color="auto" w:fill="auto"/>
          </w:tcPr>
          <w:p w14:paraId="759377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ينطبق - 5 أعضاء من أصل 49 ينتمون إلى أحد الأحزاب</w:t>
            </w:r>
          </w:p>
        </w:tc>
      </w:tr>
      <w:tr w:rsidR="007B5A24" w:rsidRPr="00564B9D" w14:paraId="3C3CF0B5" w14:textId="77777777" w:rsidTr="00804944">
        <w:trPr>
          <w:trHeight w:val="240"/>
        </w:trPr>
        <w:tc>
          <w:tcPr>
            <w:tcW w:w="3798" w:type="dxa"/>
            <w:shd w:val="clear" w:color="auto" w:fill="auto"/>
          </w:tcPr>
          <w:p w14:paraId="1057133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في البرلمان</w:t>
            </w:r>
          </w:p>
        </w:tc>
        <w:tc>
          <w:tcPr>
            <w:tcW w:w="3393" w:type="dxa"/>
            <w:shd w:val="clear" w:color="auto" w:fill="auto"/>
          </w:tcPr>
          <w:p w14:paraId="77881F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14 امرأة من أصل 49 (28 في المائة)</w:t>
            </w:r>
          </w:p>
        </w:tc>
      </w:tr>
      <w:tr w:rsidR="007B5A24" w:rsidRPr="00564B9D" w14:paraId="30126D46" w14:textId="77777777" w:rsidTr="00804944">
        <w:trPr>
          <w:trHeight w:val="570"/>
        </w:trPr>
        <w:tc>
          <w:tcPr>
            <w:tcW w:w="3798" w:type="dxa"/>
            <w:shd w:val="clear" w:color="auto" w:fill="auto"/>
          </w:tcPr>
          <w:p w14:paraId="08EB19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 الانتخابات الوطنية ودون الوطنية التي تجري ضمن الجدول الزمني المنصوص عليه في القانون</w:t>
            </w:r>
          </w:p>
        </w:tc>
        <w:tc>
          <w:tcPr>
            <w:tcW w:w="3393" w:type="dxa"/>
            <w:shd w:val="clear" w:color="auto" w:fill="auto"/>
          </w:tcPr>
          <w:p w14:paraId="3E2F1A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ينطبق</w:t>
            </w:r>
          </w:p>
        </w:tc>
      </w:tr>
      <w:tr w:rsidR="007B5A24" w:rsidRPr="00564B9D" w14:paraId="770B974E" w14:textId="77777777" w:rsidTr="00804944">
        <w:trPr>
          <w:trHeight w:val="699"/>
        </w:trPr>
        <w:tc>
          <w:tcPr>
            <w:tcW w:w="3798" w:type="dxa"/>
            <w:tcBorders>
              <w:bottom w:val="single" w:sz="12" w:space="0" w:color="auto"/>
            </w:tcBorders>
            <w:shd w:val="clear" w:color="auto" w:fill="auto"/>
          </w:tcPr>
          <w:p w14:paraId="4DF6DEF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عدد الناخبين الفعليين في الانتخابات الوطنية ودون الوطنية حسب الوحدة الإدارية</w:t>
            </w:r>
          </w:p>
        </w:tc>
        <w:tc>
          <w:tcPr>
            <w:tcW w:w="3393" w:type="dxa"/>
            <w:tcBorders>
              <w:bottom w:val="single" w:sz="12" w:space="0" w:color="auto"/>
            </w:tcBorders>
            <w:shd w:val="clear" w:color="auto" w:fill="auto"/>
          </w:tcPr>
          <w:p w14:paraId="12D4569E" w14:textId="0E806059"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بلغت نسبة الناخبين الفعليين في الانتخابات الأخيرة 43 </w:t>
            </w:r>
            <w:r w:rsidR="00F97347" w:rsidRPr="00564B9D">
              <w:rPr>
                <w:sz w:val="20"/>
                <w:szCs w:val="20"/>
                <w:rtl/>
              </w:rPr>
              <w:br/>
            </w:r>
            <w:r w:rsidRPr="00564B9D">
              <w:rPr>
                <w:rFonts w:hint="cs"/>
                <w:sz w:val="20"/>
                <w:szCs w:val="20"/>
                <w:rtl/>
              </w:rPr>
              <w:t>في المائة</w:t>
            </w:r>
          </w:p>
        </w:tc>
      </w:tr>
    </w:tbl>
    <w:p w14:paraId="12B8761D"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440"/>
        <w:gridCol w:w="3952"/>
      </w:tblGrid>
      <w:tr w:rsidR="007B5A24" w:rsidRPr="00564B9D" w14:paraId="630D915D" w14:textId="77777777" w:rsidTr="00804944">
        <w:trPr>
          <w:trHeight w:val="240"/>
          <w:tblHeader/>
        </w:trPr>
        <w:tc>
          <w:tcPr>
            <w:tcW w:w="7205" w:type="dxa"/>
            <w:gridSpan w:val="2"/>
            <w:tcBorders>
              <w:top w:val="single" w:sz="4" w:space="0" w:color="auto"/>
              <w:bottom w:val="single" w:sz="12" w:space="0" w:color="auto"/>
            </w:tcBorders>
            <w:shd w:val="clear" w:color="auto" w:fill="auto"/>
            <w:vAlign w:val="bottom"/>
          </w:tcPr>
          <w:p w14:paraId="4997E3DE"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بالجريمة وإقامة العدل </w:t>
            </w:r>
          </w:p>
        </w:tc>
      </w:tr>
      <w:tr w:rsidR="007B5A24" w:rsidRPr="00564B9D" w14:paraId="3EDC93E4" w14:textId="77777777" w:rsidTr="00804944">
        <w:tblPrEx>
          <w:tblLook w:val="0000" w:firstRow="0" w:lastRow="0" w:firstColumn="0" w:lastColumn="0" w:noHBand="0" w:noVBand="0"/>
        </w:tblPrEx>
        <w:trPr>
          <w:trHeight w:val="240"/>
        </w:trPr>
        <w:tc>
          <w:tcPr>
            <w:tcW w:w="3812" w:type="dxa"/>
            <w:tcBorders>
              <w:top w:val="single" w:sz="12" w:space="0" w:color="auto"/>
            </w:tcBorders>
            <w:shd w:val="clear" w:color="auto" w:fill="auto"/>
          </w:tcPr>
          <w:p w14:paraId="1A8E95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000 100 من السكان</w:t>
            </w:r>
            <w:r w:rsidRPr="00564B9D">
              <w:rPr>
                <w:sz w:val="20"/>
                <w:szCs w:val="20"/>
                <w:vertAlign w:val="superscript"/>
                <w:rtl/>
              </w:rPr>
              <w:t>(</w:t>
            </w:r>
            <w:r w:rsidRPr="00564B9D">
              <w:rPr>
                <w:rStyle w:val="FootnoteReference"/>
                <w:rFonts w:cs="Simplified Arabic"/>
                <w:b w:val="0"/>
                <w:sz w:val="20"/>
                <w:szCs w:val="20"/>
                <w:rtl/>
                <w:lang w:val="en-US"/>
              </w:rPr>
              <w:footnoteReference w:id="363"/>
            </w:r>
            <w:r w:rsidRPr="00564B9D">
              <w:rPr>
                <w:sz w:val="20"/>
                <w:szCs w:val="20"/>
                <w:vertAlign w:val="superscript"/>
                <w:rtl/>
              </w:rPr>
              <w:t>)</w:t>
            </w:r>
            <w:r w:rsidRPr="00564B9D">
              <w:rPr>
                <w:sz w:val="20"/>
                <w:szCs w:val="20"/>
                <w:rtl/>
              </w:rPr>
              <w:t xml:space="preserve"> </w:t>
            </w:r>
          </w:p>
        </w:tc>
        <w:tc>
          <w:tcPr>
            <w:tcW w:w="3393" w:type="dxa"/>
            <w:tcBorders>
              <w:top w:val="single" w:sz="12" w:space="0" w:color="auto"/>
            </w:tcBorders>
            <w:shd w:val="clear" w:color="auto" w:fill="auto"/>
          </w:tcPr>
          <w:p w14:paraId="6AFE750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2,01</w:t>
            </w:r>
          </w:p>
        </w:tc>
      </w:tr>
      <w:tr w:rsidR="007B5A24" w:rsidRPr="00564B9D" w14:paraId="245E52DA" w14:textId="77777777" w:rsidTr="00804944">
        <w:tblPrEx>
          <w:tblLook w:val="0000" w:firstRow="0" w:lastRow="0" w:firstColumn="0" w:lastColumn="0" w:noHBand="0" w:noVBand="0"/>
        </w:tblPrEx>
        <w:trPr>
          <w:trHeight w:val="240"/>
        </w:trPr>
        <w:tc>
          <w:tcPr>
            <w:tcW w:w="3812" w:type="dxa"/>
            <w:shd w:val="clear" w:color="auto" w:fill="auto"/>
          </w:tcPr>
          <w:p w14:paraId="2F225F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000 100 شخص) الذين تم توقيفهم/تقديمهم إلى القضاء/إدانتهم/إصدار أحكام ضدهم/حبسهم لارتكابهم جرائم عنف أو غير ذلك من الجرائم الخطيرة (مثل القتل والسرقة والاعتداء و</w:t>
            </w:r>
            <w:r w:rsidRPr="00564B9D">
              <w:rPr>
                <w:rFonts w:hint="cs"/>
                <w:sz w:val="20"/>
                <w:szCs w:val="20"/>
                <w:rtl/>
              </w:rPr>
              <w:t>الا</w:t>
            </w:r>
            <w:r w:rsidRPr="00564B9D">
              <w:rPr>
                <w:sz w:val="20"/>
                <w:szCs w:val="20"/>
                <w:rtl/>
              </w:rPr>
              <w:t>تجار غير المشروع)</w:t>
            </w:r>
            <w:r w:rsidRPr="00564B9D">
              <w:rPr>
                <w:sz w:val="20"/>
                <w:szCs w:val="20"/>
                <w:vertAlign w:val="superscript"/>
                <w:rtl/>
              </w:rPr>
              <w:t>(</w:t>
            </w:r>
            <w:r w:rsidRPr="00564B9D">
              <w:rPr>
                <w:rStyle w:val="FootnoteReference"/>
                <w:rFonts w:cs="Simplified Arabic"/>
                <w:b w:val="0"/>
                <w:sz w:val="20"/>
                <w:szCs w:val="20"/>
                <w:rtl/>
                <w:lang w:val="en-US"/>
              </w:rPr>
              <w:footnoteReference w:id="364"/>
            </w:r>
            <w:r w:rsidRPr="00564B9D">
              <w:rPr>
                <w:sz w:val="20"/>
                <w:szCs w:val="20"/>
                <w:vertAlign w:val="superscript"/>
                <w:rtl/>
              </w:rPr>
              <w:t>)</w:t>
            </w:r>
            <w:r w:rsidRPr="00564B9D">
              <w:rPr>
                <w:sz w:val="20"/>
                <w:szCs w:val="20"/>
                <w:rtl/>
              </w:rPr>
              <w:t xml:space="preserve"> </w:t>
            </w:r>
          </w:p>
        </w:tc>
        <w:tc>
          <w:tcPr>
            <w:tcW w:w="3393" w:type="dxa"/>
            <w:shd w:val="clear" w:color="auto" w:fill="auto"/>
          </w:tcPr>
          <w:p w14:paraId="54B7A5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المجموع 13 (12,05 لكل 000 100)</w:t>
            </w:r>
          </w:p>
        </w:tc>
      </w:tr>
      <w:tr w:rsidR="007B5A24" w:rsidRPr="00564B9D" w14:paraId="0FCEDF79" w14:textId="77777777" w:rsidTr="00804944">
        <w:tblPrEx>
          <w:tblLook w:val="0000" w:firstRow="0" w:lastRow="0" w:firstColumn="0" w:lastColumn="0" w:noHBand="0" w:noVBand="0"/>
        </w:tblPrEx>
        <w:trPr>
          <w:trHeight w:val="240"/>
        </w:trPr>
        <w:tc>
          <w:tcPr>
            <w:tcW w:w="3812" w:type="dxa"/>
            <w:shd w:val="clear" w:color="auto" w:fill="auto"/>
          </w:tcPr>
          <w:p w14:paraId="519D2D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عدد الحالات المبلغ عنها التي شملت العنف بدافع الجنس</w:t>
            </w:r>
            <w:r w:rsidRPr="00564B9D">
              <w:rPr>
                <w:rFonts w:hint="cs"/>
                <w:sz w:val="20"/>
                <w:szCs w:val="20"/>
                <w:rtl/>
              </w:rPr>
              <w:t xml:space="preserve"> </w:t>
            </w:r>
            <w:r w:rsidRPr="00564B9D">
              <w:rPr>
                <w:sz w:val="20"/>
                <w:szCs w:val="20"/>
                <w:rtl/>
              </w:rPr>
              <w:t>(مثل الاغتصاب، وتشويه الأعضاء الجنسية عند الإناث، وجرائم الشرف، والاعتداء بالأحماض)</w:t>
            </w:r>
            <w:r w:rsidRPr="00564B9D">
              <w:rPr>
                <w:sz w:val="20"/>
                <w:szCs w:val="20"/>
                <w:vertAlign w:val="superscript"/>
                <w:rtl/>
              </w:rPr>
              <w:t>(</w:t>
            </w:r>
            <w:r w:rsidRPr="00564B9D">
              <w:rPr>
                <w:rStyle w:val="FootnoteReference"/>
                <w:rFonts w:cs="Simplified Arabic"/>
                <w:b w:val="0"/>
                <w:sz w:val="20"/>
                <w:szCs w:val="20"/>
                <w:rtl/>
                <w:lang w:val="en-US"/>
              </w:rPr>
              <w:footnoteReference w:id="365"/>
            </w:r>
            <w:r w:rsidRPr="00564B9D">
              <w:rPr>
                <w:sz w:val="20"/>
                <w:szCs w:val="20"/>
                <w:vertAlign w:val="superscript"/>
                <w:rtl/>
              </w:rPr>
              <w:t>)</w:t>
            </w:r>
            <w:r w:rsidRPr="00564B9D">
              <w:rPr>
                <w:sz w:val="20"/>
                <w:szCs w:val="20"/>
                <w:rtl/>
              </w:rPr>
              <w:t xml:space="preserve"> </w:t>
            </w:r>
          </w:p>
        </w:tc>
        <w:tc>
          <w:tcPr>
            <w:tcW w:w="3393" w:type="dxa"/>
            <w:shd w:val="clear" w:color="auto" w:fill="auto"/>
          </w:tcPr>
          <w:p w14:paraId="15D7B8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المجموع 36 (33,4 لكل 000 100)</w:t>
            </w:r>
          </w:p>
        </w:tc>
      </w:tr>
      <w:tr w:rsidR="007B5A24" w:rsidRPr="00564B9D" w14:paraId="563257B8" w14:textId="77777777" w:rsidTr="00804944">
        <w:tblPrEx>
          <w:tblLook w:val="0000" w:firstRow="0" w:lastRow="0" w:firstColumn="0" w:lastColumn="0" w:noHBand="0" w:noVBand="0"/>
        </w:tblPrEx>
        <w:trPr>
          <w:trHeight w:val="240"/>
        </w:trPr>
        <w:tc>
          <w:tcPr>
            <w:tcW w:w="3812" w:type="dxa"/>
            <w:shd w:val="clear" w:color="auto" w:fill="auto"/>
          </w:tcPr>
          <w:p w14:paraId="0E5FE2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3393" w:type="dxa"/>
            <w:shd w:val="clear" w:color="auto" w:fill="auto"/>
          </w:tcPr>
          <w:p w14:paraId="0F9159E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لم تتوفر المعلومات بعد </w:t>
            </w:r>
          </w:p>
        </w:tc>
      </w:tr>
      <w:tr w:rsidR="007B5A24" w:rsidRPr="00564B9D" w14:paraId="595715CC" w14:textId="77777777" w:rsidTr="00804944">
        <w:tblPrEx>
          <w:tblLook w:val="0000" w:firstRow="0" w:lastRow="0" w:firstColumn="0" w:lastColumn="0" w:noHBand="0" w:noVBand="0"/>
        </w:tblPrEx>
        <w:trPr>
          <w:trHeight w:val="240"/>
        </w:trPr>
        <w:tc>
          <w:tcPr>
            <w:tcW w:w="3812" w:type="dxa"/>
            <w:shd w:val="clear" w:color="auto" w:fill="auto"/>
          </w:tcPr>
          <w:p w14:paraId="645C0A2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المساجين وتوزيعهم بحسب نوع الجريمة وطول مدة الحكم </w:t>
            </w:r>
          </w:p>
        </w:tc>
        <w:tc>
          <w:tcPr>
            <w:tcW w:w="3393" w:type="dxa"/>
            <w:shd w:val="clear" w:color="auto" w:fill="auto"/>
          </w:tcPr>
          <w:p w14:paraId="39FE71F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في </w:t>
            </w:r>
            <w:r w:rsidRPr="00564B9D">
              <w:rPr>
                <w:rFonts w:hint="cs"/>
                <w:sz w:val="20"/>
                <w:szCs w:val="20"/>
                <w:rtl/>
              </w:rPr>
              <w:t>تموز/</w:t>
            </w:r>
            <w:r w:rsidRPr="00564B9D">
              <w:rPr>
                <w:sz w:val="20"/>
                <w:szCs w:val="20"/>
                <w:rtl/>
              </w:rPr>
              <w:t>يولي</w:t>
            </w:r>
            <w:r w:rsidRPr="00564B9D">
              <w:rPr>
                <w:rFonts w:hint="cs"/>
                <w:sz w:val="20"/>
                <w:szCs w:val="20"/>
                <w:rtl/>
              </w:rPr>
              <w:t>ه</w:t>
            </w:r>
            <w:r w:rsidRPr="00564B9D">
              <w:rPr>
                <w:sz w:val="20"/>
                <w:szCs w:val="20"/>
                <w:rtl/>
              </w:rPr>
              <w:t xml:space="preserve"> 2020:</w:t>
            </w:r>
          </w:p>
          <w:p w14:paraId="71676EA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مجموع السجناء: 151. </w:t>
            </w:r>
          </w:p>
          <w:p w14:paraId="280D70B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التوزيع حسب الحكم</w:t>
            </w:r>
            <w:r w:rsidRPr="00564B9D">
              <w:rPr>
                <w:sz w:val="20"/>
                <w:szCs w:val="20"/>
                <w:rtl/>
              </w:rPr>
              <w:t xml:space="preserve">: أقل من 6 أشهر (1)؛ 6 أشهر إلى أقل من 12 شهراً (10)؛ 12 شهراً إلى أقل من سنتين (7)؛ من سنتين إلى أقل من 4 سنوات (23)؛ 4 سنوات إلى أقل من 10 سنوات (60)؛ 10 سنوات فأكثر - </w:t>
            </w:r>
            <w:r w:rsidRPr="00564B9D">
              <w:rPr>
                <w:rFonts w:hint="cs"/>
                <w:sz w:val="20"/>
                <w:szCs w:val="20"/>
                <w:rtl/>
              </w:rPr>
              <w:t>أقل من السجن المؤبد</w:t>
            </w:r>
            <w:r w:rsidRPr="00564B9D">
              <w:rPr>
                <w:sz w:val="20"/>
                <w:szCs w:val="20"/>
                <w:rtl/>
              </w:rPr>
              <w:t xml:space="preserve"> (22).</w:t>
            </w:r>
          </w:p>
          <w:p w14:paraId="26A9C0D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التوزيع </w:t>
            </w:r>
            <w:r w:rsidRPr="00564B9D">
              <w:rPr>
                <w:sz w:val="20"/>
                <w:szCs w:val="20"/>
                <w:rtl/>
              </w:rPr>
              <w:t xml:space="preserve">حسب </w:t>
            </w:r>
            <w:r w:rsidRPr="00564B9D">
              <w:rPr>
                <w:rFonts w:hint="cs"/>
                <w:sz w:val="20"/>
                <w:szCs w:val="20"/>
                <w:rtl/>
              </w:rPr>
              <w:t>فترة السجن</w:t>
            </w:r>
            <w:r w:rsidRPr="00564B9D">
              <w:rPr>
                <w:sz w:val="20"/>
                <w:szCs w:val="20"/>
                <w:rtl/>
              </w:rPr>
              <w:t xml:space="preserve"> بدون محاكمة: أقل من شهر واحد (4)؛ من 1 إلى 3 أشهر (10)؛ من 3 إلى 6 أشهر (9)؛ 6 أشهر إلى 1 سنة (4)؛ من 2 إلى 4 سنوات (1).</w:t>
            </w:r>
          </w:p>
        </w:tc>
      </w:tr>
      <w:tr w:rsidR="007B5A24" w:rsidRPr="00564B9D" w14:paraId="39D8B855" w14:textId="77777777" w:rsidTr="00804944">
        <w:tblPrEx>
          <w:tblLook w:val="0000" w:firstRow="0" w:lastRow="0" w:firstColumn="0" w:lastColumn="0" w:noHBand="0" w:noVBand="0"/>
        </w:tblPrEx>
        <w:trPr>
          <w:trHeight w:val="240"/>
        </w:trPr>
        <w:tc>
          <w:tcPr>
            <w:tcW w:w="3812" w:type="dxa"/>
            <w:shd w:val="clear" w:color="auto" w:fill="auto"/>
          </w:tcPr>
          <w:p w14:paraId="7CEC275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3393" w:type="dxa"/>
            <w:shd w:val="clear" w:color="auto" w:fill="auto"/>
          </w:tcPr>
          <w:p w14:paraId="0AAD6A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70C50571" w14:textId="77777777" w:rsidTr="00804944">
        <w:tblPrEx>
          <w:tblLook w:val="0000" w:firstRow="0" w:lastRow="0" w:firstColumn="0" w:lastColumn="0" w:noHBand="0" w:noVBand="0"/>
        </w:tblPrEx>
        <w:trPr>
          <w:trHeight w:val="240"/>
        </w:trPr>
        <w:tc>
          <w:tcPr>
            <w:tcW w:w="3812" w:type="dxa"/>
            <w:shd w:val="clear" w:color="auto" w:fill="auto"/>
          </w:tcPr>
          <w:p w14:paraId="4A245B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366"/>
            </w:r>
            <w:r w:rsidRPr="00564B9D">
              <w:rPr>
                <w:sz w:val="20"/>
                <w:szCs w:val="20"/>
                <w:vertAlign w:val="superscript"/>
                <w:rtl/>
              </w:rPr>
              <w:t>)</w:t>
            </w:r>
            <w:r w:rsidRPr="00564B9D">
              <w:rPr>
                <w:sz w:val="20"/>
                <w:szCs w:val="20"/>
                <w:rtl/>
              </w:rPr>
              <w:t xml:space="preserve"> </w:t>
            </w:r>
          </w:p>
        </w:tc>
        <w:tc>
          <w:tcPr>
            <w:tcW w:w="3393" w:type="dxa"/>
            <w:shd w:val="clear" w:color="auto" w:fill="auto"/>
          </w:tcPr>
          <w:p w14:paraId="6FD59B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0CCF4A44" w14:textId="77777777" w:rsidTr="00804944">
        <w:tblPrEx>
          <w:tblLook w:val="0000" w:firstRow="0" w:lastRow="0" w:firstColumn="0" w:lastColumn="0" w:noHBand="0" w:noVBand="0"/>
        </w:tblPrEx>
        <w:trPr>
          <w:trHeight w:val="240"/>
        </w:trPr>
        <w:tc>
          <w:tcPr>
            <w:tcW w:w="3812" w:type="dxa"/>
            <w:shd w:val="clear" w:color="auto" w:fill="auto"/>
          </w:tcPr>
          <w:p w14:paraId="516EA1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393" w:type="dxa"/>
            <w:shd w:val="clear" w:color="auto" w:fill="auto"/>
          </w:tcPr>
          <w:p w14:paraId="1C26852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3B5CB79" w14:textId="77777777" w:rsidTr="00804944">
        <w:tblPrEx>
          <w:tblLook w:val="0000" w:firstRow="0" w:lastRow="0" w:firstColumn="0" w:lastColumn="0" w:noHBand="0" w:noVBand="0"/>
        </w:tblPrEx>
        <w:trPr>
          <w:trHeight w:val="240"/>
        </w:trPr>
        <w:tc>
          <w:tcPr>
            <w:tcW w:w="3812" w:type="dxa"/>
            <w:shd w:val="clear" w:color="auto" w:fill="auto"/>
          </w:tcPr>
          <w:p w14:paraId="0760DA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رجال الشرطة/الأمن لكل 000 100 شخص </w:t>
            </w:r>
          </w:p>
        </w:tc>
        <w:tc>
          <w:tcPr>
            <w:tcW w:w="3393" w:type="dxa"/>
            <w:shd w:val="clear" w:color="auto" w:fill="auto"/>
          </w:tcPr>
          <w:p w14:paraId="29A7C17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09BC655" w14:textId="77777777" w:rsidTr="00804944">
        <w:tblPrEx>
          <w:tblLook w:val="0000" w:firstRow="0" w:lastRow="0" w:firstColumn="0" w:lastColumn="0" w:noHBand="0" w:noVBand="0"/>
        </w:tblPrEx>
        <w:trPr>
          <w:trHeight w:val="240"/>
        </w:trPr>
        <w:tc>
          <w:tcPr>
            <w:tcW w:w="3812" w:type="dxa"/>
            <w:shd w:val="clear" w:color="auto" w:fill="auto"/>
          </w:tcPr>
          <w:p w14:paraId="104BA14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000 100 شخص</w:t>
            </w:r>
          </w:p>
        </w:tc>
        <w:tc>
          <w:tcPr>
            <w:tcW w:w="3393" w:type="dxa"/>
            <w:shd w:val="clear" w:color="auto" w:fill="auto"/>
          </w:tcPr>
          <w:p w14:paraId="4075C1E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لم تتوفر المعلومات بعد </w:t>
            </w:r>
          </w:p>
        </w:tc>
      </w:tr>
      <w:tr w:rsidR="007B5A24" w:rsidRPr="00564B9D" w14:paraId="6316A04E" w14:textId="77777777" w:rsidTr="00804944">
        <w:tblPrEx>
          <w:tblLook w:val="0000" w:firstRow="0" w:lastRow="0" w:firstColumn="0" w:lastColumn="0" w:noHBand="0" w:noVBand="0"/>
        </w:tblPrEx>
        <w:trPr>
          <w:trHeight w:val="240"/>
        </w:trPr>
        <w:tc>
          <w:tcPr>
            <w:tcW w:w="3812" w:type="dxa"/>
            <w:shd w:val="clear" w:color="auto" w:fill="auto"/>
          </w:tcPr>
          <w:p w14:paraId="73146C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3393" w:type="dxa"/>
            <w:shd w:val="clear" w:color="auto" w:fill="auto"/>
          </w:tcPr>
          <w:p w14:paraId="7191026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2EA3EEEE" w14:textId="77777777" w:rsidTr="00804944">
        <w:tblPrEx>
          <w:tblLook w:val="0000" w:firstRow="0" w:lastRow="0" w:firstColumn="0" w:lastColumn="0" w:noHBand="0" w:noVBand="0"/>
        </w:tblPrEx>
        <w:trPr>
          <w:trHeight w:val="240"/>
        </w:trPr>
        <w:tc>
          <w:tcPr>
            <w:tcW w:w="3812" w:type="dxa"/>
            <w:shd w:val="clear" w:color="auto" w:fill="auto"/>
          </w:tcPr>
          <w:p w14:paraId="7610BD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نسبة الأشخاص الذين يتلقون مساعدة قضائية من بين المتهمين والمعتقلين الذين يتقدمون بطلبها </w:t>
            </w:r>
          </w:p>
        </w:tc>
        <w:tc>
          <w:tcPr>
            <w:tcW w:w="3393" w:type="dxa"/>
            <w:shd w:val="clear" w:color="auto" w:fill="auto"/>
          </w:tcPr>
          <w:p w14:paraId="7B48B0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C138AA2" w14:textId="77777777" w:rsidTr="00804944">
        <w:tblPrEx>
          <w:tblLook w:val="0000" w:firstRow="0" w:lastRow="0" w:firstColumn="0" w:lastColumn="0" w:noHBand="0" w:noVBand="0"/>
        </w:tblPrEx>
        <w:trPr>
          <w:trHeight w:val="240"/>
        </w:trPr>
        <w:tc>
          <w:tcPr>
            <w:tcW w:w="3812" w:type="dxa"/>
            <w:tcBorders>
              <w:bottom w:val="single" w:sz="12" w:space="0" w:color="auto"/>
            </w:tcBorders>
            <w:shd w:val="clear" w:color="auto" w:fill="auto"/>
          </w:tcPr>
          <w:p w14:paraId="6211EB0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نسبة الضحايا الذين تم تعويضهم بعد صدور الحكم القضائي، بحسب نوع الجريمة</w:t>
            </w:r>
          </w:p>
        </w:tc>
        <w:tc>
          <w:tcPr>
            <w:tcW w:w="3393" w:type="dxa"/>
            <w:tcBorders>
              <w:bottom w:val="single" w:sz="12" w:space="0" w:color="auto"/>
            </w:tcBorders>
            <w:shd w:val="clear" w:color="auto" w:fill="auto"/>
          </w:tcPr>
          <w:p w14:paraId="6471C8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bl>
    <w:p w14:paraId="14BA5DBE" w14:textId="77777777" w:rsidR="00494AE4" w:rsidRPr="00564B9D" w:rsidRDefault="00494AE4" w:rsidP="00494AE4">
      <w:pPr>
        <w:pStyle w:val="H1GA"/>
        <w:rPr>
          <w:rtl/>
        </w:rPr>
      </w:pPr>
      <w:r w:rsidRPr="00564B9D">
        <w:rPr>
          <w:rtl/>
        </w:rPr>
        <w:tab/>
      </w:r>
      <w:r w:rsidRPr="00564B9D">
        <w:rPr>
          <w:rFonts w:hint="cs"/>
          <w:rtl/>
        </w:rPr>
        <w:t xml:space="preserve"> </w:t>
      </w:r>
      <w:bookmarkStart w:id="462" w:name="_Toc123044217"/>
      <w:bookmarkStart w:id="463" w:name="_Toc123044440"/>
      <w:bookmarkStart w:id="464" w:name="_Toc123044702"/>
      <w:bookmarkStart w:id="465" w:name="_Toc123044964"/>
      <w:r w:rsidRPr="00564B9D">
        <w:rPr>
          <w:rFonts w:hint="cs"/>
          <w:rtl/>
        </w:rPr>
        <w:t>باء-</w:t>
      </w:r>
      <w:r w:rsidRPr="00564B9D">
        <w:rPr>
          <w:rtl/>
        </w:rPr>
        <w:tab/>
      </w:r>
      <w:r w:rsidRPr="00564B9D">
        <w:rPr>
          <w:rFonts w:hint="cs"/>
          <w:rtl/>
        </w:rPr>
        <w:t>الهيكل الدستوري والسياسي والقانوني</w:t>
      </w:r>
      <w:bookmarkEnd w:id="462"/>
      <w:bookmarkEnd w:id="463"/>
      <w:bookmarkEnd w:id="464"/>
      <w:bookmarkEnd w:id="465"/>
    </w:p>
    <w:p w14:paraId="4CAB0349" w14:textId="77777777" w:rsidR="00494AE4" w:rsidRPr="00564B9D" w:rsidRDefault="00494AE4" w:rsidP="00494AE4">
      <w:pPr>
        <w:pStyle w:val="SingleTxtGA"/>
        <w:rPr>
          <w:rtl/>
        </w:rPr>
      </w:pPr>
      <w:r w:rsidRPr="00564B9D">
        <w:rPr>
          <w:rtl/>
        </w:rPr>
        <w:t>186-</w:t>
      </w:r>
      <w:r w:rsidRPr="00564B9D">
        <w:rPr>
          <w:rtl/>
        </w:rPr>
        <w:tab/>
      </w:r>
      <w:r w:rsidRPr="00564B9D">
        <w:rPr>
          <w:rFonts w:hint="cs"/>
          <w:rtl/>
        </w:rPr>
        <w:t>إقليم جيرسي هو إقليم تابع للتاج البريطاني</w:t>
      </w:r>
      <w:r w:rsidRPr="00564B9D">
        <w:rPr>
          <w:rtl/>
        </w:rPr>
        <w:t xml:space="preserve"> </w:t>
      </w:r>
      <w:r w:rsidRPr="00564B9D">
        <w:rPr>
          <w:rFonts w:hint="cs"/>
          <w:rtl/>
        </w:rPr>
        <w:t>ي</w:t>
      </w:r>
      <w:r w:rsidRPr="00564B9D">
        <w:rPr>
          <w:rtl/>
        </w:rPr>
        <w:t>تمتع بالحكم الذاتي،</w:t>
      </w:r>
      <w:r w:rsidRPr="00564B9D">
        <w:rPr>
          <w:rFonts w:hint="cs"/>
          <w:rtl/>
        </w:rPr>
        <w:t xml:space="preserve"> ولا يشكل جزءاً من المملكة المتحدة ولديه جمعية تشريعية خاصة به ومنتخبة مباشرة، ونظام إداري ومالي وقانوني ومحاكم قانونية. وعلاقة جيرسي الدستورية مع المملكة المتحدة تتم من خلال التاج. و</w:t>
      </w:r>
      <w:r w:rsidRPr="00564B9D">
        <w:rPr>
          <w:rtl/>
        </w:rPr>
        <w:t xml:space="preserve">ينعكس </w:t>
      </w:r>
      <w:r w:rsidRPr="00564B9D">
        <w:rPr>
          <w:rFonts w:hint="cs"/>
          <w:rtl/>
        </w:rPr>
        <w:t>ذلك</w:t>
      </w:r>
      <w:r w:rsidRPr="00564B9D">
        <w:rPr>
          <w:rtl/>
        </w:rPr>
        <w:t xml:space="preserve"> في المواثيق الملكية التي منحها الملوك المتعاقبون، والتي تمنح حقوقاً لشعب جيرسي</w:t>
      </w:r>
      <w:r w:rsidRPr="00564B9D">
        <w:rPr>
          <w:rFonts w:hint="cs"/>
          <w:rtl/>
        </w:rPr>
        <w:t>.</w:t>
      </w:r>
    </w:p>
    <w:p w14:paraId="57A9E960" w14:textId="77777777" w:rsidR="00494AE4" w:rsidRPr="00564B9D" w:rsidRDefault="00494AE4" w:rsidP="00494AE4">
      <w:pPr>
        <w:pStyle w:val="SingleTxtGA"/>
        <w:rPr>
          <w:rtl/>
        </w:rPr>
      </w:pPr>
      <w:r w:rsidRPr="00564B9D">
        <w:rPr>
          <w:rFonts w:hint="cs"/>
          <w:rtl/>
        </w:rPr>
        <w:t>187</w:t>
      </w:r>
      <w:r w:rsidRPr="00564B9D">
        <w:rPr>
          <w:rtl/>
        </w:rPr>
        <w:t>-</w:t>
      </w:r>
      <w:r w:rsidRPr="00564B9D">
        <w:rPr>
          <w:rtl/>
        </w:rPr>
        <w:tab/>
      </w:r>
      <w:r w:rsidRPr="00564B9D">
        <w:rPr>
          <w:rFonts w:hint="cs"/>
          <w:rtl/>
        </w:rPr>
        <w:t>والعاهل</w:t>
      </w:r>
      <w:r w:rsidRPr="00564B9D">
        <w:rPr>
          <w:rtl/>
        </w:rPr>
        <w:t xml:space="preserve"> هو رئيس الدولة</w:t>
      </w:r>
      <w:r w:rsidRPr="00564B9D">
        <w:rPr>
          <w:rFonts w:hint="cs"/>
          <w:rtl/>
        </w:rPr>
        <w:t>،</w:t>
      </w:r>
      <w:r w:rsidRPr="00564B9D">
        <w:rPr>
          <w:rtl/>
        </w:rPr>
        <w:t xml:space="preserve"> ونائب الحاكم هو الممثل الشخصي لصاحب الجلالة. </w:t>
      </w:r>
      <w:r w:rsidRPr="00564B9D">
        <w:rPr>
          <w:rFonts w:hint="cs"/>
          <w:rtl/>
        </w:rPr>
        <w:t xml:space="preserve">ويعتبر وزير العدل ووزير الدولة للعدل لدى حكومة المملكة المتحدة المستشار الخاص للتاج وتناط به مسؤولية </w:t>
      </w:r>
      <w:r w:rsidRPr="00564B9D">
        <w:rPr>
          <w:rtl/>
        </w:rPr>
        <w:t xml:space="preserve">تقديم المشورة </w:t>
      </w:r>
      <w:r w:rsidRPr="00564B9D">
        <w:rPr>
          <w:rFonts w:hint="cs"/>
          <w:rtl/>
        </w:rPr>
        <w:t>للعاهل</w:t>
      </w:r>
      <w:r w:rsidRPr="00564B9D">
        <w:rPr>
          <w:rtl/>
        </w:rPr>
        <w:t xml:space="preserve"> بشأن ممارسة مسؤولياته فيما يتعلق </w:t>
      </w:r>
      <w:r w:rsidRPr="00564B9D">
        <w:rPr>
          <w:rFonts w:hint="cs"/>
          <w:rtl/>
        </w:rPr>
        <w:t>ب</w:t>
      </w:r>
      <w:r w:rsidRPr="00564B9D">
        <w:rPr>
          <w:rtl/>
        </w:rPr>
        <w:t>جيرسي</w:t>
      </w:r>
      <w:r w:rsidRPr="00564B9D">
        <w:rPr>
          <w:rFonts w:hint="cs"/>
          <w:rtl/>
        </w:rPr>
        <w:t>.</w:t>
      </w:r>
      <w:r w:rsidRPr="00564B9D">
        <w:rPr>
          <w:rtl/>
        </w:rPr>
        <w:t xml:space="preserve"> والمملكة المتحدة مسؤولة عن الدفاع عن </w:t>
      </w:r>
      <w:r w:rsidRPr="00564B9D">
        <w:rPr>
          <w:rtl/>
        </w:rPr>
        <w:lastRenderedPageBreak/>
        <w:t>جيرسي و</w:t>
      </w:r>
      <w:r w:rsidRPr="00564B9D">
        <w:rPr>
          <w:rFonts w:hint="cs"/>
          <w:rtl/>
        </w:rPr>
        <w:t xml:space="preserve">عن </w:t>
      </w:r>
      <w:r w:rsidRPr="00564B9D">
        <w:rPr>
          <w:rtl/>
        </w:rPr>
        <w:t xml:space="preserve">علاقاتها الدولية في القانون الدولي. </w:t>
      </w:r>
      <w:r w:rsidRPr="00564B9D">
        <w:rPr>
          <w:rFonts w:hint="cs"/>
          <w:rtl/>
        </w:rPr>
        <w:t>على أن جيرسي</w:t>
      </w:r>
      <w:r w:rsidRPr="00564B9D">
        <w:rPr>
          <w:rtl/>
        </w:rPr>
        <w:t xml:space="preserve"> </w:t>
      </w:r>
      <w:r w:rsidRPr="00564B9D">
        <w:rPr>
          <w:rFonts w:hint="cs"/>
          <w:rtl/>
        </w:rPr>
        <w:t>ليست،</w:t>
      </w:r>
      <w:r w:rsidRPr="00564B9D">
        <w:rPr>
          <w:rtl/>
        </w:rPr>
        <w:t xml:space="preserve"> ولم تكن أبداً</w:t>
      </w:r>
      <w:r w:rsidRPr="00564B9D">
        <w:rPr>
          <w:rFonts w:hint="cs"/>
          <w:rtl/>
        </w:rPr>
        <w:t>،</w:t>
      </w:r>
      <w:r w:rsidRPr="00564B9D">
        <w:rPr>
          <w:rtl/>
        </w:rPr>
        <w:t xml:space="preserve"> جزءاً من المملكة المتحدة ولا إقليماً لما وراء البحار، </w:t>
      </w:r>
      <w:r w:rsidRPr="00564B9D">
        <w:rPr>
          <w:rFonts w:hint="cs"/>
          <w:rtl/>
        </w:rPr>
        <w:t>وهي</w:t>
      </w:r>
      <w:r w:rsidRPr="00564B9D">
        <w:rPr>
          <w:rtl/>
        </w:rPr>
        <w:t xml:space="preserve"> ليست ممثلة في برلمان المملكة المتحدة</w:t>
      </w:r>
      <w:r w:rsidRPr="00564B9D">
        <w:rPr>
          <w:rFonts w:hint="cs"/>
          <w:rtl/>
        </w:rPr>
        <w:t>.</w:t>
      </w:r>
    </w:p>
    <w:p w14:paraId="2C6AEA42" w14:textId="77777777" w:rsidR="00494AE4" w:rsidRPr="00564B9D" w:rsidRDefault="00494AE4" w:rsidP="00494AE4">
      <w:pPr>
        <w:pStyle w:val="H23GA"/>
        <w:rPr>
          <w:rtl/>
        </w:rPr>
      </w:pPr>
      <w:r w:rsidRPr="00564B9D">
        <w:rPr>
          <w:rtl/>
        </w:rPr>
        <w:tab/>
      </w:r>
      <w:r w:rsidRPr="00564B9D">
        <w:rPr>
          <w:rtl/>
        </w:rPr>
        <w:tab/>
      </w:r>
      <w:r w:rsidRPr="00564B9D">
        <w:rPr>
          <w:rFonts w:hint="cs"/>
          <w:rtl/>
        </w:rPr>
        <w:t>مجلس الولاية</w:t>
      </w:r>
      <w:r w:rsidRPr="00564B9D">
        <w:rPr>
          <w:b w:val="0"/>
          <w:bCs w:val="0"/>
          <w:vertAlign w:val="superscript"/>
          <w:rtl/>
        </w:rPr>
        <w:t>(</w:t>
      </w:r>
      <w:r w:rsidRPr="00564B9D">
        <w:rPr>
          <w:rStyle w:val="FootnoteReference"/>
          <w:rFonts w:cs="Simplified Arabic"/>
          <w:bCs w:val="0"/>
          <w:sz w:val="22"/>
          <w:szCs w:val="22"/>
          <w:rtl/>
          <w:lang w:val="en-US"/>
        </w:rPr>
        <w:footnoteReference w:id="367"/>
      </w:r>
      <w:r w:rsidRPr="00564B9D">
        <w:rPr>
          <w:b w:val="0"/>
          <w:bCs w:val="0"/>
          <w:vertAlign w:val="superscript"/>
          <w:rtl/>
        </w:rPr>
        <w:t>)</w:t>
      </w:r>
      <w:r w:rsidRPr="00564B9D">
        <w:rPr>
          <w:rFonts w:hint="cs"/>
          <w:rtl/>
        </w:rPr>
        <w:t xml:space="preserve"> </w:t>
      </w:r>
    </w:p>
    <w:p w14:paraId="1CA9AC69" w14:textId="77777777" w:rsidR="00494AE4" w:rsidRPr="00564B9D" w:rsidRDefault="00494AE4" w:rsidP="00494AE4">
      <w:pPr>
        <w:pStyle w:val="SingleTxtGA"/>
        <w:rPr>
          <w:rtl/>
        </w:rPr>
      </w:pPr>
      <w:r w:rsidRPr="00564B9D">
        <w:rPr>
          <w:rFonts w:hint="cs"/>
          <w:rtl/>
        </w:rPr>
        <w:t>188</w:t>
      </w:r>
      <w:r w:rsidRPr="00564B9D">
        <w:rPr>
          <w:rtl/>
        </w:rPr>
        <w:t>-</w:t>
      </w:r>
      <w:r w:rsidRPr="00564B9D">
        <w:rPr>
          <w:rtl/>
        </w:rPr>
        <w:tab/>
      </w:r>
      <w:r w:rsidRPr="00564B9D">
        <w:rPr>
          <w:rFonts w:hint="cs"/>
          <w:rtl/>
        </w:rPr>
        <w:t>مجلس الولاية، أو كما هو معروف أيضاً بمجلس ولايات جيرسي، هو برلمان جيرسي. ومجلس الولاية مسؤول عن سن القوانين التي تخضع للموافقة الملكية، واللوائح، وعن اعتماد الإنفاق العام والضرائب. ويعين المجلس رئيس الوزراء والوزراء وكذلك رؤساء مختلف اللجان والأفرقة. ويناقش المجلس مجموعة واسعة منوعة من المسائل المتعلقة بالسياسات التي يمكن أن يطرحها مجلس الوزراء أو الوزراء أو فرادى الأعضاء. كما يمكن للأعضاء أن يطرحوا الأسئلة لمحاسبة الوزراء. ويسمح للأعضاء غير التنفيذيين في مجلس الولاية المشاركة في أفرقة التدقيق التي تكون مسؤولة عن معاينة السياسات ومحاسبة مجلس الوزراء. أما أفرقة التدقيق الستة فهي: الخدمات المؤسسية، والشؤون الاقتصادية</w:t>
      </w:r>
      <w:r w:rsidRPr="00564B9D">
        <w:rPr>
          <w:rtl/>
        </w:rPr>
        <w:t xml:space="preserve"> والدولية (بما في ذلك الخدمات المالية)،</w:t>
      </w:r>
      <w:r w:rsidRPr="00564B9D">
        <w:rPr>
          <w:rFonts w:hint="cs"/>
          <w:rtl/>
        </w:rPr>
        <w:t xml:space="preserve"> والتعليم والشؤون والداخلية، </w:t>
      </w:r>
      <w:r w:rsidRPr="00564B9D">
        <w:rPr>
          <w:rtl/>
        </w:rPr>
        <w:t>البيئة والإسكان والبنية التحتية</w:t>
      </w:r>
      <w:r w:rsidRPr="00564B9D">
        <w:rPr>
          <w:rFonts w:hint="cs"/>
          <w:rtl/>
        </w:rPr>
        <w:t>، والصحة والضمان الاجتماعي، ولجنة الحسابات العامة.</w:t>
      </w:r>
    </w:p>
    <w:p w14:paraId="34480818" w14:textId="77777777" w:rsidR="00494AE4" w:rsidRPr="00564B9D" w:rsidRDefault="00494AE4" w:rsidP="00494AE4">
      <w:pPr>
        <w:pStyle w:val="H23GA"/>
        <w:rPr>
          <w:rtl/>
        </w:rPr>
      </w:pPr>
      <w:r w:rsidRPr="00564B9D">
        <w:rPr>
          <w:rtl/>
        </w:rPr>
        <w:tab/>
      </w:r>
      <w:r w:rsidRPr="00564B9D">
        <w:rPr>
          <w:rtl/>
        </w:rPr>
        <w:tab/>
      </w:r>
      <w:r w:rsidRPr="00564B9D">
        <w:rPr>
          <w:rFonts w:hint="cs"/>
          <w:rtl/>
        </w:rPr>
        <w:t>مجلس الوزراء</w:t>
      </w:r>
      <w:r w:rsidRPr="00564B9D">
        <w:rPr>
          <w:b w:val="0"/>
          <w:bCs w:val="0"/>
          <w:vertAlign w:val="superscript"/>
          <w:rtl/>
        </w:rPr>
        <w:t>(</w:t>
      </w:r>
      <w:r w:rsidRPr="00564B9D">
        <w:rPr>
          <w:rStyle w:val="FootnoteReference"/>
          <w:rFonts w:cs="Simplified Arabic"/>
          <w:bCs w:val="0"/>
          <w:sz w:val="22"/>
          <w:szCs w:val="22"/>
          <w:rtl/>
          <w:lang w:val="en-US"/>
        </w:rPr>
        <w:footnoteReference w:id="368"/>
      </w:r>
      <w:r w:rsidRPr="00564B9D">
        <w:rPr>
          <w:b w:val="0"/>
          <w:bCs w:val="0"/>
          <w:vertAlign w:val="superscript"/>
          <w:rtl/>
        </w:rPr>
        <w:t>)</w:t>
      </w:r>
      <w:r w:rsidRPr="00564B9D">
        <w:rPr>
          <w:rFonts w:hint="cs"/>
          <w:rtl/>
        </w:rPr>
        <w:t xml:space="preserve"> </w:t>
      </w:r>
    </w:p>
    <w:p w14:paraId="4A6B534A" w14:textId="77777777" w:rsidR="00494AE4" w:rsidRPr="00564B9D" w:rsidRDefault="00494AE4" w:rsidP="00494AE4">
      <w:pPr>
        <w:pStyle w:val="SingleTxtGA"/>
        <w:rPr>
          <w:rtl/>
        </w:rPr>
      </w:pPr>
      <w:r w:rsidRPr="00564B9D">
        <w:rPr>
          <w:rFonts w:hint="cs"/>
          <w:rtl/>
        </w:rPr>
        <w:t>189</w:t>
      </w:r>
      <w:r w:rsidRPr="00564B9D">
        <w:rPr>
          <w:rtl/>
        </w:rPr>
        <w:t>-</w:t>
      </w:r>
      <w:r w:rsidRPr="00564B9D">
        <w:rPr>
          <w:rtl/>
        </w:rPr>
        <w:tab/>
      </w:r>
      <w:r w:rsidRPr="00564B9D">
        <w:rPr>
          <w:rFonts w:hint="cs"/>
          <w:rtl/>
        </w:rPr>
        <w:t xml:space="preserve">مجلس الوزراء هو السلطة التنفيذية في جيرسي، ويضم رئيس الوزراء وأحد عشر وزيراً </w:t>
      </w:r>
      <w:r w:rsidRPr="00564B9D">
        <w:rPr>
          <w:rtl/>
        </w:rPr>
        <w:t>آخر،</w:t>
      </w:r>
      <w:r w:rsidRPr="00564B9D">
        <w:rPr>
          <w:rFonts w:hint="cs"/>
          <w:rtl/>
        </w:rPr>
        <w:t xml:space="preserve"> كل منهم مسؤول عن وزارة من الوزارات الحكومية. وهناك بالإضافة إلى ذلك 12 وزيراً مساعداً يضطلعون بمهام وزارية مختلفة ولديهم</w:t>
      </w:r>
      <w:r w:rsidRPr="00564B9D">
        <w:rPr>
          <w:rtl/>
        </w:rPr>
        <w:t xml:space="preserve"> اختصاصاتهم الفردية</w:t>
      </w:r>
      <w:r w:rsidRPr="00564B9D">
        <w:rPr>
          <w:rFonts w:hint="cs"/>
          <w:rtl/>
        </w:rPr>
        <w:t>.</w:t>
      </w:r>
    </w:p>
    <w:p w14:paraId="12671E2B" w14:textId="77777777" w:rsidR="00494AE4" w:rsidRPr="00564B9D" w:rsidRDefault="00494AE4" w:rsidP="00494AE4">
      <w:pPr>
        <w:pStyle w:val="SingleTxtGA"/>
        <w:rPr>
          <w:rtl/>
        </w:rPr>
      </w:pPr>
      <w:r w:rsidRPr="00564B9D">
        <w:rPr>
          <w:rFonts w:hint="cs"/>
          <w:rtl/>
        </w:rPr>
        <w:t>190</w:t>
      </w:r>
      <w:r w:rsidRPr="00564B9D">
        <w:rPr>
          <w:rtl/>
        </w:rPr>
        <w:t>-</w:t>
      </w:r>
      <w:r w:rsidRPr="00564B9D">
        <w:rPr>
          <w:rtl/>
        </w:rPr>
        <w:tab/>
      </w:r>
      <w:r w:rsidRPr="00564B9D">
        <w:rPr>
          <w:rFonts w:hint="cs"/>
          <w:rtl/>
        </w:rPr>
        <w:t>ولدى الوزراء سلطة سن تشريعات ثانوية وصنع القرارات، التي تدون وتنشر رسمياً، وذلك في إطار الخطة الحكومية التي أقرها مجلس الولاية.</w:t>
      </w:r>
    </w:p>
    <w:p w14:paraId="18FD1AC2"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r w:rsidRPr="00564B9D">
        <w:rPr>
          <w:b w:val="0"/>
          <w:bCs w:val="0"/>
          <w:vertAlign w:val="superscript"/>
          <w:rtl/>
        </w:rPr>
        <w:t>(</w:t>
      </w:r>
      <w:r w:rsidRPr="00564B9D">
        <w:rPr>
          <w:rStyle w:val="FootnoteReference"/>
          <w:rFonts w:cs="Simplified Arabic"/>
          <w:bCs w:val="0"/>
          <w:sz w:val="22"/>
          <w:szCs w:val="22"/>
          <w:rtl/>
          <w:lang w:val="en-US"/>
        </w:rPr>
        <w:footnoteReference w:id="369"/>
      </w:r>
      <w:r w:rsidRPr="00564B9D">
        <w:rPr>
          <w:b w:val="0"/>
          <w:bCs w:val="0"/>
          <w:vertAlign w:val="superscript"/>
          <w:rtl/>
        </w:rPr>
        <w:t>)</w:t>
      </w:r>
      <w:r w:rsidRPr="00564B9D">
        <w:rPr>
          <w:rFonts w:hint="cs"/>
          <w:rtl/>
        </w:rPr>
        <w:t xml:space="preserve"> </w:t>
      </w:r>
    </w:p>
    <w:p w14:paraId="40F854BA" w14:textId="77777777" w:rsidR="00494AE4" w:rsidRPr="00564B9D" w:rsidRDefault="00494AE4" w:rsidP="00494AE4">
      <w:pPr>
        <w:pStyle w:val="SingleTxtGA"/>
        <w:rPr>
          <w:rtl/>
        </w:rPr>
      </w:pPr>
      <w:r w:rsidRPr="00564B9D">
        <w:rPr>
          <w:rFonts w:hint="cs"/>
          <w:rtl/>
        </w:rPr>
        <w:t>191</w:t>
      </w:r>
      <w:r w:rsidRPr="00564B9D">
        <w:rPr>
          <w:rtl/>
        </w:rPr>
        <w:t>-</w:t>
      </w:r>
      <w:r w:rsidRPr="00564B9D">
        <w:rPr>
          <w:rtl/>
        </w:rPr>
        <w:tab/>
      </w:r>
      <w:r w:rsidRPr="00564B9D">
        <w:rPr>
          <w:rFonts w:hint="cs"/>
          <w:rtl/>
        </w:rPr>
        <w:t>تتألف العناصر الرئيسية للجهاز القضائي في جيرسي من المحاكم والمحاكم الخاصة التالية: محكمة الاستئناف، والمحكمة الملكية، والمحكمة الجزئية، ومحكمة الشباب، ومحكمة الديون الزهيدة، ومحكمة جيرسي للعمل والتمييز، ومحكمة الاستئناف الخاصة بالضمان الاجتماعي، ومحكمة الاستئناف الخاصة بالضمان الصحي الاجتماعي، ومحكمة الاستئناف الخاصة بدعم الدخل في المجال الطبي، ومحكمة الاستئناف الخاصة بالصحة والسلامة،</w:t>
      </w:r>
      <w:r w:rsidRPr="00564B9D">
        <w:rPr>
          <w:rtl/>
        </w:rPr>
        <w:t xml:space="preserve"> ومحكمة الصحة العقلية</w:t>
      </w:r>
      <w:r w:rsidRPr="00564B9D">
        <w:rPr>
          <w:rFonts w:hint="cs"/>
          <w:rtl/>
        </w:rPr>
        <w:t>.</w:t>
      </w:r>
    </w:p>
    <w:p w14:paraId="11D72BA8" w14:textId="77777777" w:rsidR="00494AE4" w:rsidRPr="00564B9D" w:rsidRDefault="00494AE4" w:rsidP="00494AE4">
      <w:pPr>
        <w:pStyle w:val="SingleTxtGA"/>
        <w:rPr>
          <w:rtl/>
        </w:rPr>
      </w:pPr>
      <w:r w:rsidRPr="00564B9D">
        <w:rPr>
          <w:rFonts w:hint="cs"/>
          <w:rtl/>
        </w:rPr>
        <w:t>192</w:t>
      </w:r>
      <w:r w:rsidRPr="00564B9D">
        <w:rPr>
          <w:rtl/>
        </w:rPr>
        <w:t>-</w:t>
      </w:r>
      <w:r w:rsidRPr="00564B9D">
        <w:rPr>
          <w:rtl/>
        </w:rPr>
        <w:tab/>
      </w:r>
      <w:r w:rsidRPr="00564B9D">
        <w:rPr>
          <w:rFonts w:hint="cs"/>
          <w:rtl/>
        </w:rPr>
        <w:t xml:space="preserve">والمأمور القضائي في جيرسي هو رئيس الجهاز القضائي فيما يقدم كاتب المحكمة الدعم الإداري والدعم السكرتاري لضمان </w:t>
      </w:r>
      <w:r w:rsidRPr="00564B9D">
        <w:rPr>
          <w:rtl/>
        </w:rPr>
        <w:t xml:space="preserve">التشغيل الفعال لمحاكم </w:t>
      </w:r>
      <w:r w:rsidRPr="00564B9D">
        <w:rPr>
          <w:rFonts w:hint="cs"/>
          <w:rtl/>
        </w:rPr>
        <w:t>جيرسي.</w:t>
      </w:r>
    </w:p>
    <w:p w14:paraId="06B27578" w14:textId="77777777" w:rsidR="00494AE4" w:rsidRPr="00564B9D" w:rsidRDefault="00494AE4" w:rsidP="00494AE4">
      <w:pPr>
        <w:pStyle w:val="SingleTxtGA"/>
        <w:rPr>
          <w:rtl/>
        </w:rPr>
      </w:pPr>
      <w:r w:rsidRPr="00564B9D">
        <w:rPr>
          <w:rFonts w:hint="cs"/>
          <w:rtl/>
        </w:rPr>
        <w:t>193</w:t>
      </w:r>
      <w:r w:rsidRPr="00564B9D">
        <w:rPr>
          <w:rtl/>
        </w:rPr>
        <w:t>-</w:t>
      </w:r>
      <w:r w:rsidRPr="00564B9D">
        <w:rPr>
          <w:rtl/>
        </w:rPr>
        <w:tab/>
      </w:r>
      <w:r w:rsidRPr="00564B9D">
        <w:rPr>
          <w:rFonts w:hint="cs"/>
          <w:rtl/>
        </w:rPr>
        <w:t xml:space="preserve">وتُعتبر </w:t>
      </w:r>
      <w:r w:rsidRPr="00564B9D">
        <w:rPr>
          <w:rtl/>
        </w:rPr>
        <w:t xml:space="preserve">جيرسي ولاية قضائية منفصلة ولها نظام قانوني "مختلط" تنبع جذوره من القانون العرفي لنورماندي. </w:t>
      </w:r>
      <w:r w:rsidRPr="00564B9D">
        <w:rPr>
          <w:rFonts w:hint="cs"/>
          <w:rtl/>
        </w:rPr>
        <w:t>و</w:t>
      </w:r>
      <w:r w:rsidRPr="00564B9D">
        <w:rPr>
          <w:rtl/>
        </w:rPr>
        <w:t xml:space="preserve">يعتمد قانون جيرسي الحديث على تأثيرات من التقاليد القانونية للقانون المدني والقانون العام. </w:t>
      </w:r>
      <w:r w:rsidRPr="00564B9D">
        <w:rPr>
          <w:rFonts w:hint="cs"/>
          <w:rtl/>
        </w:rPr>
        <w:t>و</w:t>
      </w:r>
      <w:r w:rsidRPr="00564B9D">
        <w:rPr>
          <w:rtl/>
        </w:rPr>
        <w:t>التشريعات والأحكام الصادرة عن المحاكم في جيرسي، مع استثناءات محدودة، متاحة مجاناً للجمهور على موقع مجلس المعلومات القانونية في جيرسي</w:t>
      </w:r>
      <w:r w:rsidRPr="00564B9D">
        <w:rPr>
          <w:rFonts w:hint="cs"/>
          <w:rtl/>
        </w:rPr>
        <w:t>.</w:t>
      </w:r>
    </w:p>
    <w:p w14:paraId="0751413B"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المنظمات غير الحكومية</w:t>
      </w:r>
    </w:p>
    <w:p w14:paraId="53403698" w14:textId="77777777" w:rsidR="00494AE4" w:rsidRPr="00564B9D" w:rsidRDefault="00494AE4" w:rsidP="00494AE4">
      <w:pPr>
        <w:pStyle w:val="SingleTxtGA"/>
        <w:rPr>
          <w:rtl/>
        </w:rPr>
      </w:pPr>
      <w:r w:rsidRPr="00564B9D">
        <w:rPr>
          <w:rFonts w:hint="cs"/>
          <w:rtl/>
        </w:rPr>
        <w:t>194</w:t>
      </w:r>
      <w:r w:rsidRPr="00564B9D">
        <w:rPr>
          <w:rtl/>
        </w:rPr>
        <w:t>-</w:t>
      </w:r>
      <w:r w:rsidRPr="00564B9D">
        <w:rPr>
          <w:rtl/>
        </w:rPr>
        <w:tab/>
      </w:r>
      <w:r w:rsidRPr="00564B9D">
        <w:rPr>
          <w:rFonts w:hint="cs"/>
          <w:rtl/>
        </w:rPr>
        <w:t>تنشط في مجتمع جيرسي أعداد كبيرة من المنظمات غير الحكومية ومجموعات المصالح والمنظمات التطوعية والخيرية وتقدم مساهمات قيمة إلى المجتمع المدني في الجزيرة.</w:t>
      </w:r>
      <w:r w:rsidRPr="00564B9D">
        <w:rPr>
          <w:rtl/>
        </w:rPr>
        <w:t xml:space="preserve"> </w:t>
      </w:r>
      <w:r w:rsidRPr="00564B9D">
        <w:rPr>
          <w:rFonts w:hint="cs"/>
          <w:rtl/>
        </w:rPr>
        <w:t>و</w:t>
      </w:r>
      <w:r w:rsidRPr="00564B9D">
        <w:rPr>
          <w:rtl/>
        </w:rPr>
        <w:t xml:space="preserve">يشمل </w:t>
      </w:r>
      <w:r w:rsidRPr="00564B9D">
        <w:rPr>
          <w:rFonts w:hint="cs"/>
          <w:rtl/>
        </w:rPr>
        <w:t xml:space="preserve">ذلك </w:t>
      </w:r>
      <w:r w:rsidRPr="00564B9D">
        <w:rPr>
          <w:rtl/>
        </w:rPr>
        <w:t>مجموع</w:t>
      </w:r>
      <w:r w:rsidRPr="00564B9D">
        <w:rPr>
          <w:rFonts w:hint="cs"/>
          <w:rtl/>
        </w:rPr>
        <w:t>ات</w:t>
      </w:r>
      <w:r w:rsidRPr="00564B9D">
        <w:rPr>
          <w:rtl/>
        </w:rPr>
        <w:t xml:space="preserve"> متنوعة تركز على القضايا الاجتماعية والبيئية والثقافية والتراثية</w:t>
      </w:r>
      <w:r w:rsidRPr="00564B9D">
        <w:rPr>
          <w:rFonts w:hint="cs"/>
          <w:rtl/>
        </w:rPr>
        <w:t>.</w:t>
      </w:r>
    </w:p>
    <w:p w14:paraId="617B4DF7" w14:textId="77777777" w:rsidR="00494AE4" w:rsidRPr="00564B9D" w:rsidRDefault="00494AE4" w:rsidP="00494AE4">
      <w:pPr>
        <w:pStyle w:val="HChGA"/>
        <w:rPr>
          <w:rtl/>
        </w:rPr>
      </w:pPr>
      <w:r w:rsidRPr="00564B9D">
        <w:rPr>
          <w:rtl/>
        </w:rPr>
        <w:tab/>
      </w:r>
      <w:bookmarkStart w:id="466" w:name="_Toc123044218"/>
      <w:bookmarkStart w:id="467" w:name="_Toc123044441"/>
      <w:bookmarkStart w:id="468" w:name="_Toc123044703"/>
      <w:bookmarkStart w:id="469" w:name="_Toc123044965"/>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466"/>
      <w:bookmarkEnd w:id="467"/>
      <w:bookmarkEnd w:id="468"/>
      <w:bookmarkEnd w:id="469"/>
    </w:p>
    <w:p w14:paraId="526AFA62" w14:textId="77777777" w:rsidR="00494AE4" w:rsidRPr="00564B9D" w:rsidRDefault="00494AE4" w:rsidP="00494AE4">
      <w:pPr>
        <w:pStyle w:val="H1GA"/>
        <w:rPr>
          <w:rtl/>
        </w:rPr>
      </w:pPr>
      <w:r w:rsidRPr="00564B9D">
        <w:rPr>
          <w:rtl/>
        </w:rPr>
        <w:tab/>
      </w:r>
      <w:bookmarkStart w:id="470" w:name="_Toc123044219"/>
      <w:bookmarkStart w:id="471" w:name="_Toc123044442"/>
      <w:bookmarkStart w:id="472" w:name="_Toc123044704"/>
      <w:bookmarkStart w:id="473" w:name="_Toc123044966"/>
      <w:r w:rsidRPr="00564B9D">
        <w:rPr>
          <w:rtl/>
        </w:rPr>
        <w:t>ألف-</w:t>
      </w:r>
      <w:r w:rsidRPr="00564B9D">
        <w:rPr>
          <w:rtl/>
        </w:rPr>
        <w:tab/>
      </w:r>
      <w:r w:rsidRPr="00564B9D">
        <w:rPr>
          <w:rFonts w:hint="cs"/>
          <w:rtl/>
        </w:rPr>
        <w:t>قبول معايير حقوق الإنسان الدولية</w:t>
      </w:r>
      <w:bookmarkEnd w:id="470"/>
      <w:bookmarkEnd w:id="471"/>
      <w:bookmarkEnd w:id="472"/>
      <w:bookmarkEnd w:id="473"/>
    </w:p>
    <w:p w14:paraId="6D1472E4" w14:textId="77777777" w:rsidR="00494AE4" w:rsidRPr="00564B9D" w:rsidRDefault="00494AE4" w:rsidP="00494AE4">
      <w:pPr>
        <w:pStyle w:val="SingleTxtGA"/>
        <w:rPr>
          <w:rtl/>
        </w:rPr>
      </w:pPr>
      <w:r w:rsidRPr="00564B9D">
        <w:rPr>
          <w:rtl/>
        </w:rPr>
        <w:t>195-</w:t>
      </w:r>
      <w:r w:rsidRPr="00564B9D">
        <w:rPr>
          <w:rtl/>
        </w:rPr>
        <w:tab/>
      </w:r>
      <w:r w:rsidRPr="00564B9D">
        <w:rPr>
          <w:rFonts w:hint="cs"/>
          <w:rtl/>
        </w:rPr>
        <w:t>تم توسيع نطاق الصكوك الدولية الرئيسية التالية لتشمل إقليم جيرسي.</w:t>
      </w:r>
    </w:p>
    <w:p w14:paraId="4488873E"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44B93D73"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 xml:space="preserve">الاتفاقية الدولية للقضاء على جميع أشكال التمييز العنصري؛ العهد الدولي الخاص بالحقوق المدنية والسياسية؛ البروتوكول الاختياري الثاني الملحق بالعهد الدولي الخاص بالحقوق المدنية والسياسية؛ العهد الدولي الخاص بالحقوق الاقتصادية والاجتماعية والثقافية؛ اتفاقية مناهضة التعذيب وغيره من ضروب المعاملة أو العقوبة القاسية أو اللاإنسانية أو المهينة؛ اتفاقية حقوق الطفل؛ البروتوكول الاختياري لاتفاقية حقوق الطفل بشأن اشتراك الأطفال في المنازعات المسلحة؛ البروتوكول الاختياري المتعلق ببيع الأطفال واستغلالهم في البغاء وفي إنتاج المواد الإباحية الملحق باتفاقية حقوق الطفل؛ </w:t>
      </w:r>
      <w:r w:rsidRPr="00564B9D">
        <w:rPr>
          <w:rtl/>
        </w:rPr>
        <w:t>اتفاقية القضاء على جميع أشكال التمييز ضد المرأة</w:t>
      </w:r>
      <w:r w:rsidRPr="00564B9D">
        <w:rPr>
          <w:rFonts w:hint="cs"/>
          <w:rtl/>
        </w:rPr>
        <w:t>.</w:t>
      </w:r>
    </w:p>
    <w:p w14:paraId="11773C26"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264B2957"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الاتفاقية المتعلقة بوضع اللاجئين (وبروتوكولها لعام 1967)؛ الاتفاقية المتعلقة بوضع الأشخاص العديمي الجنسية؛ الاتفاقية بشأن خفض حالات انعدام الجنسية.</w:t>
      </w:r>
    </w:p>
    <w:p w14:paraId="2C7DB68A" w14:textId="77777777" w:rsidR="00494AE4" w:rsidRPr="00564B9D" w:rsidRDefault="00494AE4" w:rsidP="00494AE4">
      <w:pPr>
        <w:pStyle w:val="H23GA"/>
      </w:pPr>
      <w:r w:rsidRPr="00564B9D">
        <w:rPr>
          <w:rtl/>
        </w:rPr>
        <w:tab/>
      </w:r>
      <w:r w:rsidRPr="00564B9D">
        <w:rPr>
          <w:rtl/>
        </w:rPr>
        <w:tab/>
      </w:r>
      <w:r w:rsidRPr="00564B9D">
        <w:rPr>
          <w:rFonts w:hint="cs"/>
          <w:rtl/>
        </w:rPr>
        <w:t>اتفاقيات منظمة العمل الدولية</w:t>
      </w:r>
    </w:p>
    <w:p w14:paraId="6DD08DFE"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 xml:space="preserve"> C029</w:t>
      </w:r>
      <w:r w:rsidRPr="00564B9D">
        <w:rPr>
          <w:rFonts w:hint="cs"/>
          <w:rtl/>
        </w:rPr>
        <w:t xml:space="preserve"> - اتفاقية العمل الجبري؛ </w:t>
      </w:r>
      <w:r w:rsidRPr="00564B9D">
        <w:t>C081</w:t>
      </w:r>
      <w:r w:rsidRPr="00564B9D">
        <w:rPr>
          <w:rFonts w:hint="cs"/>
          <w:rtl/>
        </w:rPr>
        <w:t xml:space="preserve"> - الاتفاقية بشأن التفتيش العمل؛ </w:t>
      </w: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C097</w:t>
      </w:r>
      <w:r w:rsidRPr="00564B9D">
        <w:rPr>
          <w:rFonts w:hint="cs"/>
          <w:rtl/>
        </w:rPr>
        <w:t xml:space="preserve"> - الاتفاقية (المراجعة) بشأن الهجرة من أجل العمل؛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xml:space="preserve"> - اتفاقية الضمان الاجتماعي (المعايير الدنيا)؛ </w:t>
      </w:r>
      <w:r w:rsidRPr="00564B9D">
        <w:t>C105</w:t>
      </w:r>
      <w:r w:rsidRPr="00564B9D">
        <w:rPr>
          <w:rFonts w:hint="cs"/>
          <w:rtl/>
        </w:rPr>
        <w:t xml:space="preserve"> - اتفاقية إلغاء العمل الجبري.</w:t>
      </w:r>
    </w:p>
    <w:p w14:paraId="74E43C83"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72F25583"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الاعتراف بالطلاق والانفصال القانوني؛ الاتفاقية بشأن الاعتراف بأحكام التزامات النفقة وتنفيذها؛ الاتفاقية بشأن الجوانب المدنية لاختطاف الأطفال على الصعيد الدولي.</w:t>
      </w:r>
    </w:p>
    <w:p w14:paraId="55C78065"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والمعاهدات الأخرى المتعلقة بالقانون الإنساني الدولي</w:t>
      </w:r>
    </w:p>
    <w:p w14:paraId="61957BA1" w14:textId="77777777" w:rsidR="00494AE4" w:rsidRPr="00564B9D" w:rsidRDefault="00494AE4" w:rsidP="00494AE4">
      <w:pPr>
        <w:pStyle w:val="Bullet1GA"/>
        <w:numPr>
          <w:ilvl w:val="0"/>
          <w:numId w:val="14"/>
        </w:numPr>
        <w:tabs>
          <w:tab w:val="clear" w:pos="1361"/>
          <w:tab w:val="num" w:pos="1475"/>
        </w:tabs>
        <w:ind w:left="1985" w:hanging="545"/>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w:t>
      </w:r>
    </w:p>
    <w:p w14:paraId="3EB4C0A1" w14:textId="77777777" w:rsidR="00494AE4" w:rsidRPr="00564B9D" w:rsidRDefault="00494AE4" w:rsidP="00494AE4">
      <w:pPr>
        <w:pStyle w:val="H23GA"/>
        <w:rPr>
          <w:rtl/>
        </w:rPr>
      </w:pPr>
      <w:r w:rsidRPr="00564B9D">
        <w:rPr>
          <w:rtl/>
        </w:rPr>
        <w:lastRenderedPageBreak/>
        <w:tab/>
      </w:r>
      <w:r w:rsidRPr="00564B9D">
        <w:rPr>
          <w:rtl/>
        </w:rPr>
        <w:tab/>
      </w:r>
      <w:r w:rsidRPr="00564B9D">
        <w:rPr>
          <w:rFonts w:hint="cs"/>
          <w:rtl/>
        </w:rPr>
        <w:t>الصكوك الإقليمية المتعلقة بحقوق الإنسان</w:t>
      </w:r>
    </w:p>
    <w:p w14:paraId="374EC4F8"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 الاتفاقية الأوروبية بشأن الاعتراف بالشخصية القانونية للمنظمات غير الحكومية الدولية؛ الاتفاقية الأوروبية لمناهضة التعذيب وغيره من ضروب المعاملة أو العقوبة القاسية أو اللاإنسانية أو المهينة.</w:t>
      </w:r>
    </w:p>
    <w:p w14:paraId="63E727D2" w14:textId="77777777" w:rsidR="00494AE4" w:rsidRPr="00564B9D" w:rsidRDefault="00494AE4" w:rsidP="00494AE4">
      <w:pPr>
        <w:pStyle w:val="H1GA"/>
        <w:rPr>
          <w:rtl/>
        </w:rPr>
      </w:pPr>
      <w:r w:rsidRPr="00564B9D">
        <w:rPr>
          <w:rtl/>
        </w:rPr>
        <w:tab/>
      </w:r>
      <w:bookmarkStart w:id="474" w:name="_Toc123044220"/>
      <w:bookmarkStart w:id="475" w:name="_Toc123044443"/>
      <w:bookmarkStart w:id="476" w:name="_Toc123044705"/>
      <w:bookmarkStart w:id="477" w:name="_Toc123044967"/>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474"/>
      <w:bookmarkEnd w:id="475"/>
      <w:bookmarkEnd w:id="476"/>
      <w:bookmarkEnd w:id="477"/>
    </w:p>
    <w:p w14:paraId="35EF994D" w14:textId="0216E3C2" w:rsidR="00494AE4" w:rsidRPr="00564B9D" w:rsidRDefault="00494AE4" w:rsidP="00494AE4">
      <w:pPr>
        <w:pStyle w:val="SingleTxtGA"/>
        <w:rPr>
          <w:rtl/>
        </w:rPr>
      </w:pPr>
      <w:r w:rsidRPr="00564B9D">
        <w:rPr>
          <w:rFonts w:hint="cs"/>
          <w:rtl/>
        </w:rPr>
        <w:t>196</w:t>
      </w:r>
      <w:r w:rsidRPr="00564B9D">
        <w:rPr>
          <w:rtl/>
        </w:rPr>
        <w:t>-</w:t>
      </w:r>
      <w:r w:rsidRPr="00564B9D">
        <w:rPr>
          <w:rtl/>
        </w:rPr>
        <w:tab/>
      </w:r>
      <w:r w:rsidRPr="00564B9D">
        <w:rPr>
          <w:rFonts w:hint="cs"/>
          <w:rtl/>
        </w:rPr>
        <w:t>أَدرج قانون حقوق الإنسان (في جيرسي) لعام 2000</w:t>
      </w:r>
      <w:r w:rsidRPr="00564B9D">
        <w:rPr>
          <w:vertAlign w:val="superscript"/>
          <w:rtl/>
        </w:rPr>
        <w:t>(</w:t>
      </w:r>
      <w:r w:rsidRPr="00564B9D">
        <w:rPr>
          <w:rStyle w:val="FootnoteReference"/>
          <w:rFonts w:cs="Simplified Arabic"/>
          <w:b w:val="0"/>
          <w:sz w:val="22"/>
          <w:szCs w:val="22"/>
          <w:rtl/>
          <w:lang w:val="en-US"/>
        </w:rPr>
        <w:footnoteReference w:id="370"/>
      </w:r>
      <w:r w:rsidRPr="00564B9D">
        <w:rPr>
          <w:vertAlign w:val="superscript"/>
          <w:rtl/>
        </w:rPr>
        <w:t>)</w:t>
      </w:r>
      <w:r w:rsidRPr="00564B9D">
        <w:rPr>
          <w:rtl/>
        </w:rPr>
        <w:t xml:space="preserve"> </w:t>
      </w:r>
      <w:r w:rsidRPr="00564B9D">
        <w:rPr>
          <w:rFonts w:hint="cs"/>
          <w:rtl/>
        </w:rPr>
        <w:t>الاتفاقية الأوروبية لحماية حقوق</w:t>
      </w:r>
      <w:r w:rsidR="00777024" w:rsidRPr="00564B9D">
        <w:rPr>
          <w:rFonts w:hint="eastAsia"/>
          <w:rtl/>
        </w:rPr>
        <w:t> </w:t>
      </w:r>
      <w:r w:rsidRPr="00564B9D">
        <w:rPr>
          <w:rFonts w:hint="cs"/>
          <w:rtl/>
        </w:rPr>
        <w:t>الإنسان والحريات الأساسية في القانون المحلي للجزيرة. ودخل هذا القانون حيز النفاذ في</w:t>
      </w:r>
      <w:r w:rsidRPr="00564B9D">
        <w:rPr>
          <w:rFonts w:hint="eastAsia"/>
          <w:rtl/>
        </w:rPr>
        <w:t xml:space="preserve"> </w:t>
      </w:r>
      <w:r w:rsidRPr="00564B9D">
        <w:rPr>
          <w:rFonts w:hint="cs"/>
          <w:rtl/>
        </w:rPr>
        <w:t>10 كانون الأول/ديسمبر 2006. كما تتم حماية حقوق الإنسان بموجب القانون العام أو القانون العرفي للجزيرة، وبموجب الاتفاقيات الدولية بشأن حماية حقوق الإنسان التي تعتبر الجزيرة طرفاً فيها من خلال المملكة المتحدة</w:t>
      </w:r>
      <w:r w:rsidRPr="00564B9D">
        <w:rPr>
          <w:rtl/>
        </w:rPr>
        <w:t>.</w:t>
      </w:r>
    </w:p>
    <w:p w14:paraId="43D8FC09" w14:textId="77777777" w:rsidR="00494AE4" w:rsidRPr="00564B9D" w:rsidRDefault="00494AE4" w:rsidP="00494AE4">
      <w:pPr>
        <w:pStyle w:val="H1GA"/>
        <w:rPr>
          <w:rtl/>
        </w:rPr>
      </w:pPr>
      <w:r w:rsidRPr="00564B9D">
        <w:rPr>
          <w:rtl/>
        </w:rPr>
        <w:tab/>
      </w:r>
      <w:bookmarkStart w:id="478" w:name="_Toc123044221"/>
      <w:bookmarkStart w:id="479" w:name="_Toc123044444"/>
      <w:bookmarkStart w:id="480" w:name="_Toc123044706"/>
      <w:bookmarkStart w:id="481" w:name="_Toc123044968"/>
      <w:r w:rsidRPr="00564B9D">
        <w:rPr>
          <w:rFonts w:hint="cs"/>
          <w:rtl/>
        </w:rPr>
        <w:t>جيم</w:t>
      </w:r>
      <w:r w:rsidRPr="00564B9D">
        <w:rPr>
          <w:rtl/>
        </w:rPr>
        <w:t>-</w:t>
      </w:r>
      <w:r w:rsidRPr="00564B9D">
        <w:rPr>
          <w:rtl/>
        </w:rPr>
        <w:tab/>
      </w:r>
      <w:r w:rsidRPr="00564B9D">
        <w:rPr>
          <w:rFonts w:hint="cs"/>
          <w:rtl/>
        </w:rPr>
        <w:t>إطار مؤسسات حقوق الإنسان لتعزيز حقوق الإنسان على الصعيد الوطني</w:t>
      </w:r>
      <w:bookmarkEnd w:id="478"/>
      <w:bookmarkEnd w:id="479"/>
      <w:bookmarkEnd w:id="480"/>
      <w:bookmarkEnd w:id="481"/>
    </w:p>
    <w:p w14:paraId="7649AFAC" w14:textId="77777777" w:rsidR="00494AE4" w:rsidRPr="00564B9D" w:rsidRDefault="00494AE4" w:rsidP="00494AE4">
      <w:pPr>
        <w:pStyle w:val="SingleTxtGA"/>
        <w:rPr>
          <w:spacing w:val="-2"/>
          <w:rtl/>
        </w:rPr>
      </w:pPr>
      <w:r w:rsidRPr="00564B9D">
        <w:rPr>
          <w:rtl/>
        </w:rPr>
        <w:t>197-</w:t>
      </w:r>
      <w:r w:rsidRPr="00564B9D">
        <w:rPr>
          <w:rtl/>
        </w:rPr>
        <w:tab/>
      </w:r>
      <w:r w:rsidRPr="00564B9D">
        <w:rPr>
          <w:spacing w:val="-2"/>
          <w:rtl/>
        </w:rPr>
        <w:t xml:space="preserve">حدد قانون </w:t>
      </w:r>
      <w:r w:rsidRPr="00564B9D">
        <w:rPr>
          <w:rFonts w:hint="cs"/>
          <w:spacing w:val="-2"/>
          <w:rtl/>
        </w:rPr>
        <w:t>ال</w:t>
      </w:r>
      <w:r w:rsidRPr="00564B9D">
        <w:rPr>
          <w:spacing w:val="-2"/>
          <w:rtl/>
        </w:rPr>
        <w:t xml:space="preserve">مفوض </w:t>
      </w:r>
      <w:r w:rsidRPr="00564B9D">
        <w:rPr>
          <w:rFonts w:hint="cs"/>
          <w:spacing w:val="-2"/>
          <w:rtl/>
        </w:rPr>
        <w:t xml:space="preserve">العني بشؤون </w:t>
      </w:r>
      <w:r w:rsidRPr="00564B9D">
        <w:rPr>
          <w:spacing w:val="-2"/>
          <w:rtl/>
        </w:rPr>
        <w:t>الأطفال والشباب (جيرسي) لعام 2019</w:t>
      </w:r>
      <w:r w:rsidRPr="00564B9D">
        <w:rPr>
          <w:spacing w:val="-2"/>
          <w:vertAlign w:val="superscript"/>
          <w:rtl/>
        </w:rPr>
        <w:t>(</w:t>
      </w:r>
      <w:r w:rsidRPr="00564B9D">
        <w:rPr>
          <w:rStyle w:val="FootnoteReference"/>
          <w:rFonts w:cs="Simplified Arabic"/>
          <w:b w:val="0"/>
          <w:spacing w:val="-2"/>
          <w:sz w:val="22"/>
          <w:szCs w:val="22"/>
          <w:rtl/>
          <w:lang w:val="en-US"/>
        </w:rPr>
        <w:footnoteReference w:id="371"/>
      </w:r>
      <w:r w:rsidRPr="00564B9D">
        <w:rPr>
          <w:spacing w:val="-2"/>
          <w:vertAlign w:val="superscript"/>
          <w:rtl/>
        </w:rPr>
        <w:t>)</w:t>
      </w:r>
      <w:r w:rsidRPr="00564B9D">
        <w:rPr>
          <w:spacing w:val="-2"/>
          <w:rtl/>
        </w:rPr>
        <w:t xml:space="preserve"> سلطات مفوض الأطفال المعين حديثاً في جيرسي. </w:t>
      </w:r>
      <w:r w:rsidRPr="00564B9D">
        <w:rPr>
          <w:rFonts w:hint="cs"/>
          <w:spacing w:val="-2"/>
          <w:rtl/>
        </w:rPr>
        <w:t>و</w:t>
      </w:r>
      <w:r w:rsidRPr="00564B9D">
        <w:rPr>
          <w:spacing w:val="-2"/>
          <w:rtl/>
        </w:rPr>
        <w:t>يتمثل دور المفوض في تعزيز وحماية حقوق الأطفال والشباب من خلال فحص عمل المنظمات</w:t>
      </w:r>
      <w:r w:rsidRPr="00564B9D">
        <w:rPr>
          <w:rFonts w:hint="cs"/>
          <w:spacing w:val="-2"/>
          <w:rtl/>
        </w:rPr>
        <w:t>،</w:t>
      </w:r>
      <w:r w:rsidRPr="00564B9D">
        <w:rPr>
          <w:spacing w:val="-2"/>
          <w:rtl/>
        </w:rPr>
        <w:t xml:space="preserve"> بما في ذلك حكومة جيرسي، وتقديم المشورة </w:t>
      </w:r>
      <w:r w:rsidRPr="00564B9D">
        <w:rPr>
          <w:rFonts w:hint="cs"/>
          <w:spacing w:val="-2"/>
          <w:rtl/>
        </w:rPr>
        <w:t>لها</w:t>
      </w:r>
      <w:r w:rsidRPr="00564B9D">
        <w:rPr>
          <w:spacing w:val="-2"/>
          <w:rtl/>
        </w:rPr>
        <w:t>، فيما يتعلق بحقوق الشباب.</w:t>
      </w:r>
    </w:p>
    <w:p w14:paraId="03E5417D" w14:textId="77777777" w:rsidR="00494AE4" w:rsidRPr="00564B9D" w:rsidRDefault="00494AE4" w:rsidP="00494AE4">
      <w:pPr>
        <w:pStyle w:val="SingleTxtGA"/>
        <w:rPr>
          <w:rtl/>
        </w:rPr>
      </w:pPr>
      <w:r w:rsidRPr="00564B9D">
        <w:rPr>
          <w:rtl/>
        </w:rPr>
        <w:t>198-</w:t>
      </w:r>
      <w:r w:rsidRPr="00564B9D">
        <w:rPr>
          <w:rtl/>
        </w:rPr>
        <w:tab/>
      </w:r>
      <w:r w:rsidRPr="00564B9D">
        <w:rPr>
          <w:rFonts w:hint="cs"/>
          <w:rtl/>
        </w:rPr>
        <w:t>ويخضع</w:t>
      </w:r>
      <w:r w:rsidRPr="00564B9D">
        <w:rPr>
          <w:rtl/>
        </w:rPr>
        <w:t xml:space="preserve"> </w:t>
      </w:r>
      <w:r w:rsidRPr="00564B9D">
        <w:rPr>
          <w:rFonts w:hint="cs"/>
          <w:rtl/>
        </w:rPr>
        <w:t>ل</w:t>
      </w:r>
      <w:r w:rsidRPr="00564B9D">
        <w:rPr>
          <w:rtl/>
        </w:rPr>
        <w:t xml:space="preserve">رئاسة المفوض فريق الشباب الاستشاري، والفريق الاستشاري للبالغين، والفريق الاستشاري للمراجعة والمخاطر. </w:t>
      </w:r>
      <w:r w:rsidRPr="00564B9D">
        <w:rPr>
          <w:rFonts w:hint="cs"/>
          <w:rtl/>
        </w:rPr>
        <w:t>وتضم هذه الأفرقة</w:t>
      </w:r>
      <w:r w:rsidRPr="00564B9D">
        <w:rPr>
          <w:rtl/>
        </w:rPr>
        <w:t xml:space="preserve"> مواطنين وخبراء يقدمون المشورة بشأن عمل المفوض</w:t>
      </w:r>
      <w:r w:rsidRPr="00564B9D">
        <w:rPr>
          <w:rFonts w:hint="eastAsia"/>
          <w:rtl/>
        </w:rPr>
        <w:t> </w:t>
      </w:r>
      <w:r w:rsidRPr="00564B9D">
        <w:rPr>
          <w:rFonts w:hint="cs"/>
          <w:rtl/>
        </w:rPr>
        <w:t>ويرشدونه</w:t>
      </w:r>
      <w:r w:rsidRPr="00564B9D">
        <w:rPr>
          <w:rtl/>
        </w:rPr>
        <w:t>.</w:t>
      </w:r>
    </w:p>
    <w:p w14:paraId="0D0E1063" w14:textId="77777777" w:rsidR="00494AE4" w:rsidRPr="00564B9D" w:rsidRDefault="00494AE4" w:rsidP="00494AE4">
      <w:pPr>
        <w:pStyle w:val="H1GA"/>
        <w:rPr>
          <w:rtl/>
        </w:rPr>
      </w:pPr>
      <w:r w:rsidRPr="00564B9D">
        <w:rPr>
          <w:rtl/>
        </w:rPr>
        <w:tab/>
      </w:r>
      <w:bookmarkStart w:id="482" w:name="_Toc123044222"/>
      <w:bookmarkStart w:id="483" w:name="_Toc123044445"/>
      <w:bookmarkStart w:id="484" w:name="_Toc123044707"/>
      <w:bookmarkStart w:id="485" w:name="_Toc123044969"/>
      <w:r w:rsidRPr="00564B9D">
        <w:rPr>
          <w:rFonts w:hint="cs"/>
          <w:rtl/>
        </w:rPr>
        <w:t>دال</w:t>
      </w:r>
      <w:r w:rsidRPr="00564B9D">
        <w:rPr>
          <w:rtl/>
        </w:rPr>
        <w:t>-</w:t>
      </w:r>
      <w:r w:rsidRPr="00564B9D">
        <w:rPr>
          <w:rtl/>
        </w:rPr>
        <w:tab/>
      </w:r>
      <w:r w:rsidRPr="00564B9D">
        <w:rPr>
          <w:rFonts w:hint="cs"/>
          <w:rtl/>
        </w:rPr>
        <w:t>إطار تعزيز حقوق الإنسان على الصعيد الوطني</w:t>
      </w:r>
      <w:bookmarkEnd w:id="482"/>
      <w:bookmarkEnd w:id="483"/>
      <w:bookmarkEnd w:id="484"/>
      <w:bookmarkEnd w:id="485"/>
    </w:p>
    <w:p w14:paraId="6F974D60" w14:textId="77777777" w:rsidR="00494AE4" w:rsidRPr="00564B9D" w:rsidRDefault="00494AE4" w:rsidP="00494AE4">
      <w:pPr>
        <w:pStyle w:val="SingleTxtGA"/>
        <w:rPr>
          <w:rtl/>
        </w:rPr>
      </w:pPr>
      <w:r w:rsidRPr="00564B9D">
        <w:rPr>
          <w:rtl/>
        </w:rPr>
        <w:t>199-</w:t>
      </w:r>
      <w:r w:rsidRPr="00564B9D">
        <w:rPr>
          <w:rtl/>
        </w:rPr>
        <w:tab/>
        <w:t>نشرت حكومة جيرسي معلومات عن التنفيذ وسبل الانتصاف بموجب قانون حقوق الإنسان (جيرسي) لعام 2000 على موقع الحكومة على الإنترنت</w:t>
      </w:r>
      <w:r w:rsidRPr="00564B9D">
        <w:rPr>
          <w:vertAlign w:val="superscript"/>
          <w:rtl/>
        </w:rPr>
        <w:t>(</w:t>
      </w:r>
      <w:r w:rsidRPr="00564B9D">
        <w:rPr>
          <w:rStyle w:val="FootnoteReference"/>
          <w:rFonts w:cs="Simplified Arabic"/>
          <w:b w:val="0"/>
          <w:sz w:val="22"/>
          <w:szCs w:val="22"/>
          <w:rtl/>
          <w:lang w:val="en-US"/>
        </w:rPr>
        <w:footnoteReference w:id="372"/>
      </w:r>
      <w:r w:rsidRPr="00564B9D">
        <w:rPr>
          <w:vertAlign w:val="superscript"/>
          <w:rtl/>
        </w:rPr>
        <w:t>)</w:t>
      </w:r>
      <w:r w:rsidRPr="00564B9D">
        <w:rPr>
          <w:rtl/>
        </w:rPr>
        <w:t xml:space="preserve"> وقدمت أيضاً التدريب والإرشاد إلى الإدارات الحكومية والسلطات العامة.</w:t>
      </w:r>
    </w:p>
    <w:p w14:paraId="1A804A8C" w14:textId="77777777" w:rsidR="00494AE4" w:rsidRPr="00564B9D" w:rsidRDefault="00494AE4" w:rsidP="00494AE4">
      <w:pPr>
        <w:pStyle w:val="SingleTxtGA"/>
      </w:pPr>
      <w:r w:rsidRPr="00564B9D">
        <w:rPr>
          <w:rtl/>
        </w:rPr>
        <w:t>200-</w:t>
      </w:r>
      <w:r w:rsidRPr="00564B9D">
        <w:rPr>
          <w:rtl/>
        </w:rPr>
        <w:tab/>
      </w:r>
      <w:r w:rsidRPr="00564B9D">
        <w:rPr>
          <w:rFonts w:hint="cs"/>
          <w:rtl/>
        </w:rPr>
        <w:t>و</w:t>
      </w:r>
      <w:r w:rsidRPr="00564B9D">
        <w:rPr>
          <w:rtl/>
        </w:rPr>
        <w:t>تقر سياسة جيرسي المشتركة للعلاقات الخارجية</w:t>
      </w:r>
      <w:r w:rsidRPr="00564B9D">
        <w:rPr>
          <w:vertAlign w:val="superscript"/>
          <w:rtl/>
        </w:rPr>
        <w:t>(</w:t>
      </w:r>
      <w:r w:rsidRPr="00564B9D">
        <w:rPr>
          <w:rStyle w:val="FootnoteReference"/>
          <w:rFonts w:cs="Simplified Arabic"/>
          <w:b w:val="0"/>
          <w:sz w:val="22"/>
          <w:szCs w:val="22"/>
          <w:rtl/>
          <w:lang w:val="en-US"/>
        </w:rPr>
        <w:footnoteReference w:id="373"/>
      </w:r>
      <w:r w:rsidRPr="00564B9D">
        <w:rPr>
          <w:vertAlign w:val="superscript"/>
          <w:rtl/>
        </w:rPr>
        <w:t>)</w:t>
      </w:r>
      <w:r w:rsidRPr="00564B9D">
        <w:rPr>
          <w:rtl/>
        </w:rPr>
        <w:t xml:space="preserve"> بأن "الهوية الدولية تتطور بشكل فعال من خلال الوفاء بالمعايير والالتزامات الدولية، بما في ذلك الالتزامات الدولية لحقوق الإنسان". </w:t>
      </w:r>
      <w:r w:rsidRPr="00564B9D">
        <w:rPr>
          <w:rFonts w:hint="cs"/>
          <w:rtl/>
        </w:rPr>
        <w:t>و</w:t>
      </w:r>
      <w:r w:rsidRPr="00564B9D">
        <w:rPr>
          <w:rtl/>
        </w:rPr>
        <w:t xml:space="preserve">جيرسي </w:t>
      </w:r>
      <w:r w:rsidRPr="00564B9D">
        <w:rPr>
          <w:rFonts w:hint="cs"/>
          <w:rtl/>
        </w:rPr>
        <w:t xml:space="preserve">متوائمة </w:t>
      </w:r>
      <w:r w:rsidRPr="00564B9D">
        <w:rPr>
          <w:rtl/>
        </w:rPr>
        <w:t xml:space="preserve">مع المملكة المتحدة والولايات المتحدة الأمريكية والاتحاد الأوروبي في الاعتقاد بأن تعزيز التقدم في مجال حقوق الإنسان في البلدان ذات السجل السيئ يمكن </w:t>
      </w:r>
      <w:r w:rsidRPr="00564B9D">
        <w:rPr>
          <w:rFonts w:hint="cs"/>
          <w:rtl/>
        </w:rPr>
        <w:t>أن يتحقق</w:t>
      </w:r>
      <w:r w:rsidRPr="00564B9D">
        <w:rPr>
          <w:rtl/>
        </w:rPr>
        <w:t xml:space="preserve"> بشكل أفضل من خلال عملية المشاركة البناءة، على المستو السياسي و</w:t>
      </w:r>
      <w:r w:rsidRPr="00564B9D">
        <w:rPr>
          <w:rFonts w:hint="cs"/>
          <w:rtl/>
        </w:rPr>
        <w:t>على مستوى الأعمال</w:t>
      </w:r>
      <w:r w:rsidRPr="00564B9D">
        <w:rPr>
          <w:rtl/>
        </w:rPr>
        <w:t>.</w:t>
      </w:r>
    </w:p>
    <w:p w14:paraId="46B89B46" w14:textId="77777777" w:rsidR="00494AE4" w:rsidRPr="00564B9D" w:rsidRDefault="00494AE4" w:rsidP="00494AE4">
      <w:pPr>
        <w:pStyle w:val="HChGA"/>
        <w:rPr>
          <w:rtl/>
        </w:rPr>
      </w:pPr>
      <w:r w:rsidRPr="00564B9D">
        <w:rPr>
          <w:rtl/>
        </w:rPr>
        <w:lastRenderedPageBreak/>
        <w:tab/>
      </w:r>
      <w:bookmarkStart w:id="486" w:name="_Toc123044223"/>
      <w:bookmarkStart w:id="487" w:name="_Toc123044446"/>
      <w:bookmarkStart w:id="488" w:name="_Toc123044708"/>
      <w:bookmarkStart w:id="489" w:name="_Toc123044970"/>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486"/>
      <w:bookmarkEnd w:id="487"/>
      <w:bookmarkEnd w:id="488"/>
      <w:bookmarkEnd w:id="489"/>
    </w:p>
    <w:p w14:paraId="3329B209" w14:textId="77777777" w:rsidR="00494AE4" w:rsidRPr="00564B9D" w:rsidRDefault="00494AE4" w:rsidP="00494AE4">
      <w:pPr>
        <w:pStyle w:val="SingleTxtGA"/>
        <w:rPr>
          <w:rtl/>
        </w:rPr>
      </w:pPr>
      <w:r w:rsidRPr="00564B9D">
        <w:rPr>
          <w:rtl/>
        </w:rPr>
        <w:t>201-</w:t>
      </w:r>
      <w:r w:rsidRPr="00564B9D">
        <w:rPr>
          <w:rtl/>
        </w:rPr>
        <w:tab/>
        <w:t>اعتمدت ولايات جيرسي قانون التمييز (جيرسي) لعام</w:t>
      </w:r>
      <w:r w:rsidRPr="00564B9D">
        <w:rPr>
          <w:rFonts w:hint="cs"/>
          <w:rtl/>
        </w:rPr>
        <w:t xml:space="preserve"> </w:t>
      </w:r>
      <w:r w:rsidRPr="00564B9D">
        <w:rPr>
          <w:rtl/>
        </w:rPr>
        <w:t>2013</w:t>
      </w:r>
      <w:r w:rsidRPr="00564B9D">
        <w:rPr>
          <w:vertAlign w:val="superscript"/>
          <w:rtl/>
        </w:rPr>
        <w:t>(</w:t>
      </w:r>
      <w:r w:rsidRPr="00564B9D">
        <w:rPr>
          <w:rStyle w:val="FootnoteReference"/>
          <w:rFonts w:cs="Simplified Arabic"/>
          <w:b w:val="0"/>
          <w:sz w:val="22"/>
          <w:szCs w:val="22"/>
          <w:rtl/>
          <w:lang w:val="en-US"/>
        </w:rPr>
        <w:footnoteReference w:id="374"/>
      </w:r>
      <w:r w:rsidRPr="00564B9D">
        <w:rPr>
          <w:vertAlign w:val="superscript"/>
          <w:rtl/>
        </w:rPr>
        <w:t>)</w:t>
      </w:r>
      <w:r w:rsidRPr="00564B9D">
        <w:rPr>
          <w:rtl/>
        </w:rPr>
        <w:t xml:space="preserve"> الذي يحظر أعمال التمييز (المباشرة وغير المباشرة) على أساس السم</w:t>
      </w:r>
      <w:r w:rsidRPr="00564B9D">
        <w:rPr>
          <w:rFonts w:hint="cs"/>
          <w:rtl/>
        </w:rPr>
        <w:t>ات</w:t>
      </w:r>
      <w:r w:rsidRPr="00564B9D">
        <w:rPr>
          <w:rtl/>
        </w:rPr>
        <w:t xml:space="preserve"> المحمية للفرد. </w:t>
      </w:r>
      <w:r w:rsidRPr="00564B9D">
        <w:rPr>
          <w:rFonts w:hint="cs"/>
          <w:rtl/>
        </w:rPr>
        <w:t>وتشمل</w:t>
      </w:r>
      <w:r w:rsidRPr="00564B9D">
        <w:rPr>
          <w:rtl/>
        </w:rPr>
        <w:t xml:space="preserve"> الحماية التمييز في مجالات تشمل التوظيف والتعليم والحصول على الخدمات والسكن. </w:t>
      </w:r>
      <w:r w:rsidRPr="00564B9D">
        <w:rPr>
          <w:rFonts w:hint="cs"/>
          <w:rtl/>
        </w:rPr>
        <w:t>و</w:t>
      </w:r>
      <w:r w:rsidRPr="00564B9D">
        <w:rPr>
          <w:rtl/>
        </w:rPr>
        <w:t xml:space="preserve">ينص </w:t>
      </w:r>
      <w:r w:rsidRPr="00564B9D">
        <w:rPr>
          <w:rFonts w:hint="cs"/>
          <w:rtl/>
        </w:rPr>
        <w:t xml:space="preserve">قانون (جيرسي) المتعلق بالتمييز على إمكانية حماية خصائص </w:t>
      </w:r>
      <w:r w:rsidRPr="00564B9D">
        <w:rPr>
          <w:rtl/>
        </w:rPr>
        <w:t>محمية إضافية في المستقبل.</w:t>
      </w:r>
    </w:p>
    <w:p w14:paraId="619FC26F" w14:textId="4622E13F" w:rsidR="00494AE4" w:rsidRPr="00564B9D" w:rsidRDefault="00494AE4" w:rsidP="00494AE4">
      <w:pPr>
        <w:pStyle w:val="SingleTxtGA"/>
      </w:pPr>
      <w:r w:rsidRPr="00564B9D">
        <w:rPr>
          <w:rtl/>
        </w:rPr>
        <w:t>202-</w:t>
      </w:r>
      <w:r w:rsidRPr="00564B9D">
        <w:rPr>
          <w:rtl/>
        </w:rPr>
        <w:tab/>
      </w:r>
      <w:r w:rsidRPr="00564B9D">
        <w:rPr>
          <w:rFonts w:hint="cs"/>
          <w:rtl/>
        </w:rPr>
        <w:t>و</w:t>
      </w:r>
      <w:r w:rsidRPr="00564B9D">
        <w:rPr>
          <w:rtl/>
        </w:rPr>
        <w:t xml:space="preserve">الخصائص المحمية لهذا الغرض هي العرق والجنسية (بما في ذلك الأصل العرقي والأصل القومي) والجنس والتوجه الجنسي وإعادة تحديد </w:t>
      </w:r>
      <w:r w:rsidRPr="00564B9D">
        <w:rPr>
          <w:rFonts w:hint="cs"/>
          <w:rtl/>
        </w:rPr>
        <w:t xml:space="preserve">الصفة </w:t>
      </w:r>
      <w:r w:rsidRPr="00564B9D">
        <w:rPr>
          <w:rtl/>
        </w:rPr>
        <w:t>الجنس</w:t>
      </w:r>
      <w:r w:rsidRPr="00564B9D">
        <w:rPr>
          <w:rFonts w:hint="cs"/>
          <w:rtl/>
        </w:rPr>
        <w:t>انية</w:t>
      </w:r>
      <w:r w:rsidRPr="00564B9D">
        <w:rPr>
          <w:rtl/>
        </w:rPr>
        <w:t xml:space="preserve"> والحمل والأمومة (منذ 1 أيلول/سبتمبر</w:t>
      </w:r>
      <w:r w:rsidRPr="00564B9D">
        <w:rPr>
          <w:rFonts w:hint="cs"/>
          <w:rtl/>
        </w:rPr>
        <w:t> </w:t>
      </w:r>
      <w:r w:rsidRPr="00564B9D">
        <w:rPr>
          <w:rtl/>
        </w:rPr>
        <w:t xml:space="preserve">2015) والعمر (منذ 1 أيلول/سبتمبر 2016) والإعاقة (منذ 1 أيلول/سبتمبر 2018). </w:t>
      </w:r>
      <w:r w:rsidRPr="00564B9D">
        <w:rPr>
          <w:rFonts w:hint="cs"/>
          <w:rtl/>
        </w:rPr>
        <w:t>وتشمل ال</w:t>
      </w:r>
      <w:r w:rsidRPr="00564B9D">
        <w:rPr>
          <w:rtl/>
        </w:rPr>
        <w:t xml:space="preserve">تشريعات </w:t>
      </w:r>
      <w:r w:rsidRPr="00564B9D">
        <w:rPr>
          <w:rFonts w:hint="cs"/>
          <w:rtl/>
        </w:rPr>
        <w:t>الأخرى الخاصة ب</w:t>
      </w:r>
      <w:r w:rsidRPr="00564B9D">
        <w:rPr>
          <w:rtl/>
        </w:rPr>
        <w:t xml:space="preserve">المساواة </w:t>
      </w:r>
      <w:r w:rsidRPr="00564B9D">
        <w:rPr>
          <w:rFonts w:hint="cs"/>
          <w:rtl/>
        </w:rPr>
        <w:t>و</w:t>
      </w:r>
      <w:r w:rsidRPr="00564B9D">
        <w:rPr>
          <w:rtl/>
        </w:rPr>
        <w:t xml:space="preserve">التي تم سنها: قانون الاعتراف </w:t>
      </w:r>
      <w:r w:rsidRPr="00564B9D">
        <w:rPr>
          <w:rFonts w:hint="cs"/>
          <w:rtl/>
        </w:rPr>
        <w:t>بالهوية الجنسانية</w:t>
      </w:r>
      <w:r w:rsidRPr="00564B9D">
        <w:rPr>
          <w:rtl/>
        </w:rPr>
        <w:t xml:space="preserve"> (جيرسي) لعام 2010</w:t>
      </w:r>
      <w:r w:rsidRPr="00564B9D">
        <w:rPr>
          <w:vertAlign w:val="superscript"/>
          <w:rtl/>
        </w:rPr>
        <w:t>(</w:t>
      </w:r>
      <w:r w:rsidRPr="00564B9D">
        <w:rPr>
          <w:rStyle w:val="FootnoteReference"/>
          <w:rFonts w:cs="Simplified Arabic"/>
          <w:b w:val="0"/>
          <w:sz w:val="22"/>
          <w:szCs w:val="22"/>
          <w:rtl/>
          <w:lang w:val="en-US"/>
        </w:rPr>
        <w:footnoteReference w:id="375"/>
      </w:r>
      <w:r w:rsidRPr="00564B9D">
        <w:rPr>
          <w:vertAlign w:val="superscript"/>
          <w:rtl/>
        </w:rPr>
        <w:t>)</w:t>
      </w:r>
      <w:r w:rsidRPr="00564B9D">
        <w:rPr>
          <w:rtl/>
        </w:rPr>
        <w:t>؛ قانون الشراكات المدنية (جيرسي) لعام </w:t>
      </w:r>
      <w:r w:rsidRPr="00564B9D">
        <w:rPr>
          <w:vertAlign w:val="superscript"/>
          <w:rtl/>
        </w:rPr>
        <w:t>(</w:t>
      </w:r>
      <w:r w:rsidRPr="00564B9D">
        <w:rPr>
          <w:rStyle w:val="FootnoteReference"/>
          <w:rFonts w:cs="Simplified Arabic"/>
          <w:b w:val="0"/>
          <w:sz w:val="22"/>
          <w:szCs w:val="22"/>
          <w:rtl/>
          <w:lang w:val="en-US"/>
        </w:rPr>
        <w:footnoteReference w:id="376"/>
      </w:r>
      <w:r w:rsidRPr="00564B9D">
        <w:rPr>
          <w:vertAlign w:val="superscript"/>
          <w:rtl/>
        </w:rPr>
        <w:t>)</w:t>
      </w:r>
      <w:r w:rsidRPr="00564B9D">
        <w:rPr>
          <w:rtl/>
        </w:rPr>
        <w:t xml:space="preserve"> 2012</w:t>
      </w:r>
      <w:r w:rsidRPr="00564B9D">
        <w:rPr>
          <w:rFonts w:hint="cs"/>
          <w:rtl/>
        </w:rPr>
        <w:t>؛</w:t>
      </w:r>
      <w:r w:rsidRPr="00564B9D">
        <w:rPr>
          <w:rtl/>
        </w:rPr>
        <w:t xml:space="preserve"> والتعديلات على قانون الزواج والحالة المدنية (جيرسي) بحيث يمكن</w:t>
      </w:r>
      <w:r w:rsidRPr="00564B9D">
        <w:rPr>
          <w:rFonts w:hint="cs"/>
          <w:rtl/>
        </w:rPr>
        <w:t xml:space="preserve"> زواج ا</w:t>
      </w:r>
      <w:r w:rsidRPr="00564B9D">
        <w:rPr>
          <w:rtl/>
        </w:rPr>
        <w:t>لأزواج من نفس الجنس.</w:t>
      </w:r>
    </w:p>
    <w:p w14:paraId="48F2FAE2" w14:textId="77777777" w:rsidR="00494AE4" w:rsidRPr="00564B9D" w:rsidRDefault="00494AE4" w:rsidP="00494AE4">
      <w:pPr>
        <w:pStyle w:val="HChGA"/>
        <w:rPr>
          <w:rtl/>
        </w:rPr>
      </w:pPr>
      <w:r w:rsidRPr="00564B9D">
        <w:rPr>
          <w:rtl/>
        </w:rPr>
        <w:tab/>
      </w:r>
      <w:r w:rsidRPr="00564B9D">
        <w:rPr>
          <w:rtl/>
        </w:rPr>
        <w:tab/>
      </w:r>
      <w:bookmarkStart w:id="490" w:name="_Toc123044224"/>
      <w:bookmarkStart w:id="491" w:name="_Toc123044447"/>
      <w:bookmarkStart w:id="492" w:name="_Toc123044709"/>
      <w:bookmarkStart w:id="493" w:name="_Toc123044971"/>
      <w:r w:rsidRPr="00564B9D">
        <w:rPr>
          <w:rFonts w:hint="cs"/>
          <w:rtl/>
        </w:rPr>
        <w:t>جزيرة مان</w:t>
      </w:r>
      <w:r w:rsidRPr="00564B9D">
        <w:rPr>
          <w:b w:val="0"/>
          <w:bCs w:val="0"/>
          <w:sz w:val="22"/>
          <w:szCs w:val="22"/>
          <w:vertAlign w:val="superscript"/>
          <w:rtl/>
        </w:rPr>
        <w:t>(</w:t>
      </w:r>
      <w:r w:rsidRPr="00564B9D">
        <w:rPr>
          <w:rStyle w:val="FootnoteReference"/>
          <w:rFonts w:cs="Simplified Arabic"/>
          <w:bCs w:val="0"/>
          <w:sz w:val="22"/>
          <w:szCs w:val="22"/>
          <w:rtl/>
          <w:lang w:val="en-US"/>
        </w:rPr>
        <w:footnoteReference w:id="377"/>
      </w:r>
      <w:r w:rsidRPr="00564B9D">
        <w:rPr>
          <w:b w:val="0"/>
          <w:bCs w:val="0"/>
          <w:sz w:val="22"/>
          <w:szCs w:val="22"/>
          <w:vertAlign w:val="superscript"/>
          <w:rtl/>
        </w:rPr>
        <w:t>)</w:t>
      </w:r>
      <w:bookmarkEnd w:id="490"/>
      <w:bookmarkEnd w:id="491"/>
      <w:bookmarkEnd w:id="492"/>
      <w:bookmarkEnd w:id="493"/>
      <w:r w:rsidRPr="00564B9D">
        <w:rPr>
          <w:rFonts w:hint="cs"/>
          <w:rtl/>
        </w:rPr>
        <w:t xml:space="preserve"> </w:t>
      </w:r>
    </w:p>
    <w:p w14:paraId="2C8F92C9" w14:textId="77777777" w:rsidR="00494AE4" w:rsidRPr="00564B9D" w:rsidRDefault="00494AE4" w:rsidP="00494AE4">
      <w:pPr>
        <w:pStyle w:val="HChGA"/>
        <w:rPr>
          <w:rtl/>
        </w:rPr>
      </w:pPr>
      <w:r w:rsidRPr="00564B9D">
        <w:rPr>
          <w:rtl/>
        </w:rPr>
        <w:tab/>
      </w:r>
      <w:bookmarkStart w:id="494" w:name="_Toc123044225"/>
      <w:bookmarkStart w:id="495" w:name="_Toc123044448"/>
      <w:bookmarkStart w:id="496" w:name="_Toc123044710"/>
      <w:bookmarkStart w:id="497" w:name="_Toc123044972"/>
      <w:r w:rsidRPr="00564B9D">
        <w:rPr>
          <w:rFonts w:hint="cs"/>
          <w:rtl/>
        </w:rPr>
        <w:t>أولاً</w:t>
      </w:r>
      <w:r w:rsidRPr="00564B9D">
        <w:rPr>
          <w:rtl/>
        </w:rPr>
        <w:t>-</w:t>
      </w:r>
      <w:r w:rsidRPr="00564B9D">
        <w:rPr>
          <w:rtl/>
        </w:rPr>
        <w:tab/>
      </w:r>
      <w:r w:rsidRPr="00564B9D">
        <w:rPr>
          <w:rFonts w:hint="cs"/>
          <w:rtl/>
        </w:rPr>
        <w:t>معلومات عامة</w:t>
      </w:r>
      <w:bookmarkEnd w:id="494"/>
      <w:bookmarkEnd w:id="495"/>
      <w:bookmarkEnd w:id="496"/>
      <w:bookmarkEnd w:id="497"/>
    </w:p>
    <w:p w14:paraId="1AFEE4F7" w14:textId="77777777" w:rsidR="00494AE4" w:rsidRPr="00564B9D" w:rsidRDefault="00494AE4" w:rsidP="00494AE4">
      <w:pPr>
        <w:pStyle w:val="H1GA"/>
        <w:rPr>
          <w:rtl/>
        </w:rPr>
      </w:pPr>
      <w:r w:rsidRPr="00564B9D">
        <w:rPr>
          <w:rtl/>
        </w:rPr>
        <w:tab/>
      </w:r>
      <w:bookmarkStart w:id="498" w:name="_Toc123044226"/>
      <w:bookmarkStart w:id="499" w:name="_Toc123044449"/>
      <w:bookmarkStart w:id="500" w:name="_Toc123044711"/>
      <w:bookmarkStart w:id="501" w:name="_Toc123044973"/>
      <w:r w:rsidRPr="00564B9D">
        <w:rPr>
          <w:rtl/>
        </w:rPr>
        <w:t>ألف-</w:t>
      </w:r>
      <w:r w:rsidRPr="00564B9D">
        <w:rPr>
          <w:rtl/>
        </w:rPr>
        <w:tab/>
        <w:t>الخصائص الديمغرافية والاقتصادية والاجتماعية والثقافية</w:t>
      </w:r>
      <w:bookmarkEnd w:id="498"/>
      <w:bookmarkEnd w:id="499"/>
      <w:bookmarkEnd w:id="500"/>
      <w:bookmarkEnd w:id="501"/>
    </w:p>
    <w:tbl>
      <w:tblPr>
        <w:bidiVisual/>
        <w:tblW w:w="8392" w:type="dxa"/>
        <w:tblInd w:w="1247" w:type="dxa"/>
        <w:tblLayout w:type="fixed"/>
        <w:tblCellMar>
          <w:right w:w="113" w:type="dxa"/>
        </w:tblCellMar>
        <w:tblLook w:val="01E0" w:firstRow="1" w:lastRow="1" w:firstColumn="1" w:lastColumn="1" w:noHBand="0" w:noVBand="0"/>
      </w:tblPr>
      <w:tblGrid>
        <w:gridCol w:w="4404"/>
        <w:gridCol w:w="3988"/>
      </w:tblGrid>
      <w:tr w:rsidR="007B5A24" w:rsidRPr="00564B9D" w14:paraId="5B8F2D3B" w14:textId="77777777" w:rsidTr="00804944">
        <w:trPr>
          <w:trHeight w:val="240"/>
          <w:tblHeader/>
        </w:trPr>
        <w:tc>
          <w:tcPr>
            <w:tcW w:w="7270" w:type="dxa"/>
            <w:gridSpan w:val="2"/>
            <w:tcBorders>
              <w:top w:val="single" w:sz="4" w:space="0" w:color="auto"/>
              <w:bottom w:val="single" w:sz="12" w:space="0" w:color="auto"/>
            </w:tcBorders>
            <w:shd w:val="clear" w:color="auto" w:fill="auto"/>
            <w:vAlign w:val="bottom"/>
          </w:tcPr>
          <w:p w14:paraId="3FA29732"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الديمغرافية</w:t>
            </w:r>
          </w:p>
        </w:tc>
      </w:tr>
      <w:tr w:rsidR="007B5A24" w:rsidRPr="00564B9D" w14:paraId="17B0E302" w14:textId="77777777" w:rsidTr="00804944">
        <w:trPr>
          <w:trHeight w:val="240"/>
        </w:trPr>
        <w:tc>
          <w:tcPr>
            <w:tcW w:w="3815" w:type="dxa"/>
            <w:tcBorders>
              <w:top w:val="single" w:sz="12" w:space="0" w:color="auto"/>
            </w:tcBorders>
            <w:shd w:val="clear" w:color="auto" w:fill="auto"/>
          </w:tcPr>
          <w:p w14:paraId="1EC728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حجم السكان </w:t>
            </w:r>
          </w:p>
        </w:tc>
        <w:tc>
          <w:tcPr>
            <w:tcW w:w="3455" w:type="dxa"/>
            <w:tcBorders>
              <w:top w:val="single" w:sz="12" w:space="0" w:color="auto"/>
            </w:tcBorders>
            <w:shd w:val="clear" w:color="auto" w:fill="auto"/>
          </w:tcPr>
          <w:p w14:paraId="597C7C1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314</w:t>
            </w:r>
            <w:r w:rsidRPr="00564B9D">
              <w:rPr>
                <w:sz w:val="20"/>
                <w:szCs w:val="20"/>
                <w:rtl/>
              </w:rPr>
              <w:t> </w:t>
            </w:r>
            <w:r w:rsidRPr="00564B9D">
              <w:rPr>
                <w:rFonts w:hint="cs"/>
                <w:sz w:val="20"/>
                <w:szCs w:val="20"/>
                <w:rtl/>
              </w:rPr>
              <w:t>83 (السكان المقيمون - التعداد السكاني لعام 2016): 269</w:t>
            </w:r>
            <w:r w:rsidRPr="00564B9D">
              <w:rPr>
                <w:sz w:val="20"/>
                <w:szCs w:val="20"/>
                <w:rtl/>
              </w:rPr>
              <w:t> </w:t>
            </w:r>
            <w:r w:rsidRPr="00564B9D">
              <w:rPr>
                <w:rFonts w:hint="cs"/>
                <w:sz w:val="20"/>
                <w:szCs w:val="20"/>
                <w:rtl/>
              </w:rPr>
              <w:t>41 ذكور، 045</w:t>
            </w:r>
            <w:r w:rsidRPr="00564B9D">
              <w:rPr>
                <w:sz w:val="20"/>
                <w:szCs w:val="20"/>
                <w:rtl/>
              </w:rPr>
              <w:t> </w:t>
            </w:r>
            <w:r w:rsidRPr="00564B9D">
              <w:rPr>
                <w:rFonts w:hint="cs"/>
                <w:sz w:val="20"/>
                <w:szCs w:val="20"/>
                <w:rtl/>
              </w:rPr>
              <w:t>42 إناث</w:t>
            </w:r>
          </w:p>
        </w:tc>
      </w:tr>
      <w:tr w:rsidR="007B5A24" w:rsidRPr="00564B9D" w14:paraId="3C870787" w14:textId="77777777" w:rsidTr="00804944">
        <w:trPr>
          <w:trHeight w:val="240"/>
        </w:trPr>
        <w:tc>
          <w:tcPr>
            <w:tcW w:w="3815" w:type="dxa"/>
            <w:shd w:val="clear" w:color="auto" w:fill="auto"/>
          </w:tcPr>
          <w:p w14:paraId="7801921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النمو السكاني </w:t>
            </w:r>
          </w:p>
        </w:tc>
        <w:tc>
          <w:tcPr>
            <w:tcW w:w="3455" w:type="dxa"/>
            <w:shd w:val="clear" w:color="auto" w:fill="auto"/>
          </w:tcPr>
          <w:p w14:paraId="6F4EC92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يمثل عدد السكان المقيمين في عام 2016 نقصاً بنسبة 1,4 في المائة بالمقارنة بـعدد السكان المسجل في التعداد السكاني لعام 2006 والبالغ 058</w:t>
            </w:r>
            <w:r w:rsidRPr="00564B9D">
              <w:rPr>
                <w:sz w:val="20"/>
                <w:szCs w:val="20"/>
                <w:rtl/>
              </w:rPr>
              <w:t> </w:t>
            </w:r>
            <w:r w:rsidRPr="00564B9D">
              <w:rPr>
                <w:rFonts w:hint="cs"/>
                <w:sz w:val="20"/>
                <w:szCs w:val="20"/>
                <w:rtl/>
              </w:rPr>
              <w:t>80</w:t>
            </w:r>
          </w:p>
        </w:tc>
      </w:tr>
      <w:tr w:rsidR="007B5A24" w:rsidRPr="00564B9D" w14:paraId="3C940DA7" w14:textId="77777777" w:rsidTr="00804944">
        <w:trPr>
          <w:trHeight w:val="240"/>
        </w:trPr>
        <w:tc>
          <w:tcPr>
            <w:tcW w:w="3815" w:type="dxa"/>
            <w:shd w:val="clear" w:color="auto" w:fill="auto"/>
          </w:tcPr>
          <w:p w14:paraId="233888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الكثافة السكانية (عدد الأشخاص في الكيلومتر المربع)</w:t>
            </w:r>
          </w:p>
        </w:tc>
        <w:tc>
          <w:tcPr>
            <w:tcW w:w="3455" w:type="dxa"/>
            <w:shd w:val="clear" w:color="auto" w:fill="auto"/>
          </w:tcPr>
          <w:p w14:paraId="4AD3DB6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145,7 </w:t>
            </w:r>
          </w:p>
        </w:tc>
      </w:tr>
      <w:tr w:rsidR="007B5A24" w:rsidRPr="00564B9D" w14:paraId="4E5FE09C" w14:textId="77777777" w:rsidTr="00804944">
        <w:trPr>
          <w:trHeight w:val="240"/>
        </w:trPr>
        <w:tc>
          <w:tcPr>
            <w:tcW w:w="3815" w:type="dxa"/>
            <w:shd w:val="clear" w:color="auto" w:fill="auto"/>
          </w:tcPr>
          <w:p w14:paraId="16DC8B5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السكان بحسب اللغة الأم</w:t>
            </w:r>
          </w:p>
        </w:tc>
        <w:tc>
          <w:tcPr>
            <w:tcW w:w="3455" w:type="dxa"/>
            <w:shd w:val="clear" w:color="auto" w:fill="auto"/>
          </w:tcPr>
          <w:p w14:paraId="25DA9A5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اللغة الإنكليزية هي اللغة الرسمية والمهيمنة في جزيرة مان. ولم يطرح التعداد السكاني لعام 2016 أي سؤال بخصوص اللغة ولذا فإن المعلومات غير</w:t>
            </w:r>
            <w:r w:rsidRPr="00564B9D">
              <w:rPr>
                <w:rFonts w:hint="eastAsia"/>
                <w:sz w:val="20"/>
                <w:szCs w:val="20"/>
                <w:rtl/>
              </w:rPr>
              <w:t> </w:t>
            </w:r>
            <w:r w:rsidRPr="00564B9D">
              <w:rPr>
                <w:rFonts w:hint="cs"/>
                <w:sz w:val="20"/>
                <w:szCs w:val="20"/>
                <w:rtl/>
              </w:rPr>
              <w:t>متوفرة</w:t>
            </w:r>
          </w:p>
        </w:tc>
      </w:tr>
      <w:tr w:rsidR="007B5A24" w:rsidRPr="00564B9D" w14:paraId="6D2E2509" w14:textId="77777777" w:rsidTr="00804944">
        <w:trPr>
          <w:trHeight w:val="240"/>
        </w:trPr>
        <w:tc>
          <w:tcPr>
            <w:tcW w:w="3815" w:type="dxa"/>
            <w:shd w:val="clear" w:color="auto" w:fill="auto"/>
          </w:tcPr>
          <w:p w14:paraId="4F3894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توزيع السكان بحسب الديانة </w:t>
            </w:r>
          </w:p>
        </w:tc>
        <w:tc>
          <w:tcPr>
            <w:tcW w:w="3455" w:type="dxa"/>
            <w:shd w:val="clear" w:color="auto" w:fill="auto"/>
          </w:tcPr>
          <w:p w14:paraId="48B1EF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المعلومات غير متوفرة</w:t>
            </w:r>
          </w:p>
        </w:tc>
      </w:tr>
      <w:tr w:rsidR="007B5A24" w:rsidRPr="00564B9D" w14:paraId="625045D6" w14:textId="77777777" w:rsidTr="00804944">
        <w:trPr>
          <w:trHeight w:val="2590"/>
        </w:trPr>
        <w:tc>
          <w:tcPr>
            <w:tcW w:w="3815" w:type="dxa"/>
            <w:shd w:val="clear" w:color="auto" w:fill="auto"/>
          </w:tcPr>
          <w:p w14:paraId="1E4FC8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توزيع السكان بحسب الفئات الإثنية</w:t>
            </w:r>
          </w:p>
        </w:tc>
        <w:tc>
          <w:tcPr>
            <w:tcW w:w="3455" w:type="dxa"/>
            <w:shd w:val="clear" w:color="auto" w:fill="auto"/>
          </w:tcPr>
          <w:p w14:paraId="75D538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سجل التعداد السكاني لعام 2011 الأرقام التالية فيما يتعلق بالأصل الإثني للسكان المقيمين:</w:t>
            </w:r>
          </w:p>
          <w:p w14:paraId="0FE957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بيض</w:t>
            </w:r>
            <w:r w:rsidRPr="00564B9D">
              <w:rPr>
                <w:sz w:val="20"/>
                <w:szCs w:val="20"/>
                <w:rtl/>
              </w:rPr>
              <w:t xml:space="preserve"> </w:t>
            </w:r>
            <w:r w:rsidRPr="00564B9D">
              <w:rPr>
                <w:rFonts w:hint="cs"/>
                <w:sz w:val="20"/>
                <w:szCs w:val="20"/>
                <w:rtl/>
              </w:rPr>
              <w:t>572</w:t>
            </w:r>
            <w:r w:rsidRPr="00564B9D">
              <w:rPr>
                <w:sz w:val="20"/>
                <w:szCs w:val="20"/>
                <w:rtl/>
              </w:rPr>
              <w:t> </w:t>
            </w:r>
            <w:r w:rsidRPr="00564B9D">
              <w:rPr>
                <w:rFonts w:hint="cs"/>
                <w:sz w:val="20"/>
                <w:szCs w:val="20"/>
                <w:rtl/>
              </w:rPr>
              <w:t>81</w:t>
            </w:r>
            <w:r w:rsidRPr="00564B9D">
              <w:rPr>
                <w:sz w:val="20"/>
                <w:szCs w:val="20"/>
                <w:rtl/>
              </w:rPr>
              <w:t xml:space="preserve"> </w:t>
            </w:r>
            <w:r w:rsidRPr="00564B9D">
              <w:rPr>
                <w:rFonts w:hint="cs"/>
                <w:sz w:val="20"/>
                <w:szCs w:val="20"/>
                <w:rtl/>
              </w:rPr>
              <w:t>(96,5 في المائة)</w:t>
            </w:r>
          </w:p>
          <w:p w14:paraId="05CA837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مختلطون</w:t>
            </w:r>
            <w:r w:rsidRPr="00564B9D">
              <w:rPr>
                <w:sz w:val="20"/>
                <w:szCs w:val="20"/>
                <w:rtl/>
              </w:rPr>
              <w:t xml:space="preserve"> </w:t>
            </w:r>
            <w:r w:rsidRPr="00564B9D">
              <w:rPr>
                <w:rFonts w:hint="cs"/>
                <w:sz w:val="20"/>
                <w:szCs w:val="20"/>
                <w:rtl/>
              </w:rPr>
              <w:t>748</w:t>
            </w:r>
            <w:r w:rsidRPr="00564B9D">
              <w:rPr>
                <w:sz w:val="20"/>
                <w:szCs w:val="20"/>
                <w:rtl/>
              </w:rPr>
              <w:t xml:space="preserve"> </w:t>
            </w:r>
            <w:r w:rsidRPr="00564B9D">
              <w:rPr>
                <w:rFonts w:hint="cs"/>
                <w:sz w:val="20"/>
                <w:szCs w:val="20"/>
                <w:rtl/>
              </w:rPr>
              <w:t>(0,9 في المائة)</w:t>
            </w:r>
          </w:p>
          <w:p w14:paraId="4521B0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آسيويون/آسيويون بريطانيون 624</w:t>
            </w:r>
            <w:r w:rsidRPr="00564B9D">
              <w:rPr>
                <w:sz w:val="20"/>
                <w:szCs w:val="20"/>
                <w:rtl/>
              </w:rPr>
              <w:t> </w:t>
            </w:r>
            <w:r w:rsidRPr="00564B9D">
              <w:rPr>
                <w:rFonts w:hint="cs"/>
                <w:sz w:val="20"/>
                <w:szCs w:val="20"/>
                <w:rtl/>
              </w:rPr>
              <w:t>1 (1,9 في المائة)</w:t>
            </w:r>
          </w:p>
          <w:p w14:paraId="388613F5" w14:textId="68FA6AA2"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سود/سود بريطانيون 199 (0,2 في المائة</w:t>
            </w:r>
            <w:r w:rsidR="00577EF7" w:rsidRPr="00564B9D">
              <w:rPr>
                <w:rFonts w:hint="cs"/>
                <w:sz w:val="20"/>
                <w:szCs w:val="20"/>
                <w:rtl/>
              </w:rPr>
              <w:t>)</w:t>
            </w:r>
          </w:p>
          <w:p w14:paraId="0AB87AE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آخرون</w:t>
            </w:r>
            <w:r w:rsidRPr="00564B9D">
              <w:rPr>
                <w:sz w:val="20"/>
                <w:szCs w:val="20"/>
                <w:rtl/>
              </w:rPr>
              <w:t xml:space="preserve"> </w:t>
            </w:r>
            <w:r w:rsidRPr="00564B9D">
              <w:rPr>
                <w:rFonts w:hint="cs"/>
                <w:sz w:val="20"/>
                <w:szCs w:val="20"/>
                <w:rtl/>
              </w:rPr>
              <w:t>354</w:t>
            </w:r>
            <w:r w:rsidRPr="00564B9D">
              <w:rPr>
                <w:sz w:val="20"/>
                <w:szCs w:val="20"/>
                <w:rtl/>
              </w:rPr>
              <w:t xml:space="preserve"> </w:t>
            </w:r>
            <w:r w:rsidRPr="00564B9D">
              <w:rPr>
                <w:rFonts w:hint="cs"/>
                <w:sz w:val="20"/>
                <w:szCs w:val="20"/>
                <w:rtl/>
              </w:rPr>
              <w:t>(0,4 في المائة)</w:t>
            </w:r>
          </w:p>
        </w:tc>
      </w:tr>
      <w:tr w:rsidR="007B5A24" w:rsidRPr="00564B9D" w14:paraId="294E0DFC" w14:textId="77777777" w:rsidTr="00804944">
        <w:trPr>
          <w:trHeight w:val="1059"/>
        </w:trPr>
        <w:tc>
          <w:tcPr>
            <w:tcW w:w="3815" w:type="dxa"/>
            <w:shd w:val="clear" w:color="auto" w:fill="auto"/>
          </w:tcPr>
          <w:p w14:paraId="3C9412F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التركيب العمري للسكان </w:t>
            </w:r>
          </w:p>
        </w:tc>
        <w:tc>
          <w:tcPr>
            <w:tcW w:w="3455" w:type="dxa"/>
            <w:shd w:val="clear" w:color="auto" w:fill="auto"/>
          </w:tcPr>
          <w:p w14:paraId="17A92B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من التعداد السكاني لعام 2016:</w:t>
            </w:r>
          </w:p>
          <w:p w14:paraId="4FE88C2B" w14:textId="0EE3426B"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rFonts w:hint="cs"/>
                <w:sz w:val="20"/>
                <w:szCs w:val="20"/>
                <w:rtl/>
              </w:rPr>
              <w:t>العمر</w:t>
            </w:r>
            <w:r w:rsidRPr="00564B9D">
              <w:rPr>
                <w:sz w:val="20"/>
                <w:szCs w:val="20"/>
                <w:rtl/>
              </w:rPr>
              <w:t xml:space="preserve"> </w:t>
            </w:r>
            <w:r w:rsidR="00577EF7" w:rsidRPr="00564B9D">
              <w:rPr>
                <w:sz w:val="20"/>
                <w:szCs w:val="20"/>
                <w:rtl/>
              </w:rPr>
              <w:tab/>
            </w:r>
            <w:r w:rsidRPr="00564B9D">
              <w:rPr>
                <w:rFonts w:hint="cs"/>
                <w:sz w:val="20"/>
                <w:szCs w:val="20"/>
                <w:rtl/>
              </w:rPr>
              <w:t>ذكور</w:t>
            </w:r>
            <w:r w:rsidR="00577EF7" w:rsidRPr="00564B9D">
              <w:rPr>
                <w:sz w:val="20"/>
                <w:szCs w:val="20"/>
                <w:rtl/>
              </w:rPr>
              <w:tab/>
            </w:r>
            <w:r w:rsidRPr="00564B9D">
              <w:rPr>
                <w:rFonts w:hint="cs"/>
                <w:sz w:val="20"/>
                <w:szCs w:val="20"/>
                <w:rtl/>
              </w:rPr>
              <w:t>إناث</w:t>
            </w:r>
            <w:r w:rsidR="00577EF7" w:rsidRPr="00564B9D">
              <w:rPr>
                <w:sz w:val="20"/>
                <w:szCs w:val="20"/>
                <w:rtl/>
              </w:rPr>
              <w:tab/>
            </w:r>
            <w:r w:rsidRPr="00564B9D">
              <w:rPr>
                <w:rFonts w:hint="cs"/>
                <w:sz w:val="20"/>
                <w:szCs w:val="20"/>
                <w:rtl/>
              </w:rPr>
              <w:t>المجموع</w:t>
            </w:r>
          </w:p>
          <w:p w14:paraId="27563F24"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0-4</w:t>
            </w:r>
            <w:r w:rsidRPr="00564B9D">
              <w:rPr>
                <w:sz w:val="20"/>
                <w:szCs w:val="20"/>
                <w:rtl/>
              </w:rPr>
              <w:tab/>
              <w:t>186 2</w:t>
            </w:r>
            <w:r w:rsidRPr="00564B9D">
              <w:rPr>
                <w:sz w:val="20"/>
                <w:szCs w:val="20"/>
                <w:rtl/>
              </w:rPr>
              <w:tab/>
              <w:t>958 </w:t>
            </w:r>
            <w:r w:rsidRPr="00564B9D">
              <w:rPr>
                <w:rFonts w:hint="cs"/>
                <w:sz w:val="20"/>
                <w:szCs w:val="20"/>
                <w:rtl/>
              </w:rPr>
              <w:t>1</w:t>
            </w:r>
            <w:r w:rsidRPr="00564B9D">
              <w:rPr>
                <w:sz w:val="20"/>
                <w:szCs w:val="20"/>
                <w:rtl/>
              </w:rPr>
              <w:tab/>
              <w:t>144 4</w:t>
            </w:r>
          </w:p>
          <w:p w14:paraId="32C102AC"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5-9</w:t>
            </w:r>
            <w:r w:rsidRPr="00564B9D">
              <w:rPr>
                <w:sz w:val="20"/>
                <w:szCs w:val="20"/>
                <w:rtl/>
              </w:rPr>
              <w:tab/>
              <w:t>436 2</w:t>
            </w:r>
            <w:r w:rsidRPr="00564B9D">
              <w:rPr>
                <w:sz w:val="20"/>
                <w:szCs w:val="20"/>
                <w:rtl/>
              </w:rPr>
              <w:tab/>
              <w:t>297 2</w:t>
            </w:r>
            <w:r w:rsidRPr="00564B9D">
              <w:rPr>
                <w:sz w:val="20"/>
                <w:szCs w:val="20"/>
                <w:rtl/>
              </w:rPr>
              <w:tab/>
              <w:t>733 4</w:t>
            </w:r>
          </w:p>
          <w:p w14:paraId="31905BF9"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10-14</w:t>
            </w:r>
            <w:r w:rsidRPr="00564B9D">
              <w:rPr>
                <w:sz w:val="20"/>
                <w:szCs w:val="20"/>
                <w:rtl/>
              </w:rPr>
              <w:tab/>
              <w:t>346 2</w:t>
            </w:r>
            <w:r w:rsidRPr="00564B9D">
              <w:rPr>
                <w:sz w:val="20"/>
                <w:szCs w:val="20"/>
                <w:rtl/>
              </w:rPr>
              <w:tab/>
              <w:t>123 </w:t>
            </w:r>
            <w:r w:rsidRPr="00564B9D">
              <w:rPr>
                <w:rFonts w:hint="cs"/>
                <w:sz w:val="20"/>
                <w:szCs w:val="20"/>
                <w:rtl/>
              </w:rPr>
              <w:t>2</w:t>
            </w:r>
            <w:r w:rsidRPr="00564B9D">
              <w:rPr>
                <w:sz w:val="20"/>
                <w:szCs w:val="20"/>
                <w:rtl/>
              </w:rPr>
              <w:tab/>
              <w:t>469 4</w:t>
            </w:r>
          </w:p>
          <w:p w14:paraId="0A2530FC"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15-19</w:t>
            </w:r>
            <w:r w:rsidRPr="00564B9D">
              <w:rPr>
                <w:sz w:val="20"/>
                <w:szCs w:val="20"/>
                <w:rtl/>
              </w:rPr>
              <w:tab/>
              <w:t>506 2</w:t>
            </w:r>
            <w:r w:rsidRPr="00564B9D">
              <w:rPr>
                <w:sz w:val="20"/>
                <w:szCs w:val="20"/>
                <w:rtl/>
              </w:rPr>
              <w:tab/>
              <w:t>283 2</w:t>
            </w:r>
            <w:r w:rsidRPr="00564B9D">
              <w:rPr>
                <w:sz w:val="20"/>
                <w:szCs w:val="20"/>
                <w:rtl/>
              </w:rPr>
              <w:tab/>
              <w:t>789 </w:t>
            </w:r>
            <w:r w:rsidRPr="00564B9D">
              <w:rPr>
                <w:rFonts w:hint="cs"/>
                <w:sz w:val="20"/>
                <w:szCs w:val="20"/>
                <w:rtl/>
              </w:rPr>
              <w:t>4</w:t>
            </w:r>
          </w:p>
          <w:p w14:paraId="4FD4D8A3"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20-24</w:t>
            </w:r>
            <w:r w:rsidRPr="00564B9D">
              <w:rPr>
                <w:sz w:val="20"/>
                <w:szCs w:val="20"/>
                <w:rtl/>
              </w:rPr>
              <w:tab/>
              <w:t>252 2</w:t>
            </w:r>
            <w:r w:rsidRPr="00564B9D">
              <w:rPr>
                <w:sz w:val="20"/>
                <w:szCs w:val="20"/>
                <w:rtl/>
              </w:rPr>
              <w:tab/>
              <w:t>170 2</w:t>
            </w:r>
            <w:r w:rsidRPr="00564B9D">
              <w:rPr>
                <w:sz w:val="20"/>
                <w:szCs w:val="20"/>
                <w:rtl/>
              </w:rPr>
              <w:tab/>
              <w:t>422 4</w:t>
            </w:r>
          </w:p>
          <w:p w14:paraId="3387BBAF"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25-29</w:t>
            </w:r>
            <w:r w:rsidRPr="00564B9D">
              <w:rPr>
                <w:sz w:val="20"/>
                <w:szCs w:val="20"/>
                <w:rtl/>
              </w:rPr>
              <w:tab/>
              <w:t>131 2</w:t>
            </w:r>
            <w:r w:rsidRPr="00564B9D">
              <w:rPr>
                <w:sz w:val="20"/>
                <w:szCs w:val="20"/>
                <w:rtl/>
              </w:rPr>
              <w:tab/>
              <w:t>195 2</w:t>
            </w:r>
            <w:r w:rsidRPr="00564B9D">
              <w:rPr>
                <w:sz w:val="20"/>
                <w:szCs w:val="20"/>
                <w:rtl/>
              </w:rPr>
              <w:tab/>
              <w:t>326 4</w:t>
            </w:r>
          </w:p>
          <w:p w14:paraId="7937F393"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30-34</w:t>
            </w:r>
            <w:r w:rsidRPr="00564B9D">
              <w:rPr>
                <w:sz w:val="20"/>
                <w:szCs w:val="20"/>
                <w:rtl/>
              </w:rPr>
              <w:tab/>
              <w:t>148 2</w:t>
            </w:r>
            <w:r w:rsidRPr="00564B9D">
              <w:rPr>
                <w:sz w:val="20"/>
                <w:szCs w:val="20"/>
                <w:rtl/>
              </w:rPr>
              <w:tab/>
              <w:t>358 2</w:t>
            </w:r>
            <w:r w:rsidRPr="00564B9D">
              <w:rPr>
                <w:sz w:val="20"/>
                <w:szCs w:val="20"/>
                <w:rtl/>
              </w:rPr>
              <w:tab/>
              <w:t>506 4</w:t>
            </w:r>
          </w:p>
          <w:p w14:paraId="728847C9"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35-39</w:t>
            </w:r>
            <w:r w:rsidRPr="00564B9D">
              <w:rPr>
                <w:sz w:val="20"/>
                <w:szCs w:val="20"/>
                <w:rtl/>
              </w:rPr>
              <w:tab/>
              <w:t>371 2</w:t>
            </w:r>
            <w:r w:rsidRPr="00564B9D">
              <w:rPr>
                <w:sz w:val="20"/>
                <w:szCs w:val="20"/>
                <w:rtl/>
              </w:rPr>
              <w:tab/>
              <w:t>502 2</w:t>
            </w:r>
            <w:r w:rsidRPr="00564B9D">
              <w:rPr>
                <w:sz w:val="20"/>
                <w:szCs w:val="20"/>
                <w:rtl/>
              </w:rPr>
              <w:tab/>
              <w:t>873 4</w:t>
            </w:r>
          </w:p>
          <w:p w14:paraId="7136CDBF"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40-44</w:t>
            </w:r>
            <w:r w:rsidRPr="00564B9D">
              <w:rPr>
                <w:sz w:val="20"/>
                <w:szCs w:val="20"/>
                <w:rtl/>
              </w:rPr>
              <w:tab/>
              <w:t>715 2</w:t>
            </w:r>
            <w:r w:rsidRPr="00564B9D">
              <w:rPr>
                <w:sz w:val="20"/>
                <w:szCs w:val="20"/>
                <w:rtl/>
              </w:rPr>
              <w:tab/>
              <w:t>897 2</w:t>
            </w:r>
            <w:r w:rsidRPr="00564B9D">
              <w:rPr>
                <w:sz w:val="20"/>
                <w:szCs w:val="20"/>
                <w:rtl/>
              </w:rPr>
              <w:tab/>
              <w:t>612 5</w:t>
            </w:r>
          </w:p>
          <w:p w14:paraId="5E800F99" w14:textId="43280F85"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45-49</w:t>
            </w:r>
            <w:r w:rsidRPr="00564B9D">
              <w:rPr>
                <w:sz w:val="20"/>
                <w:szCs w:val="20"/>
                <w:rtl/>
              </w:rPr>
              <w:tab/>
              <w:t>255 3</w:t>
            </w:r>
            <w:r w:rsidRPr="00564B9D">
              <w:rPr>
                <w:sz w:val="20"/>
                <w:szCs w:val="20"/>
                <w:rtl/>
              </w:rPr>
              <w:tab/>
            </w:r>
            <w:r w:rsidR="00577EF7" w:rsidRPr="00564B9D">
              <w:rPr>
                <w:sz w:val="20"/>
                <w:szCs w:val="20"/>
                <w:rtl/>
              </w:rPr>
              <w:t>2</w:t>
            </w:r>
            <w:r w:rsidR="00577EF7" w:rsidRPr="00564B9D">
              <w:rPr>
                <w:rFonts w:hint="cs"/>
                <w:sz w:val="20"/>
                <w:szCs w:val="20"/>
                <w:rtl/>
              </w:rPr>
              <w:t>42</w:t>
            </w:r>
            <w:r w:rsidR="00577EF7" w:rsidRPr="00564B9D">
              <w:rPr>
                <w:sz w:val="20"/>
                <w:szCs w:val="20"/>
                <w:rtl/>
              </w:rPr>
              <w:t> </w:t>
            </w:r>
            <w:r w:rsidRPr="00564B9D">
              <w:rPr>
                <w:sz w:val="20"/>
                <w:szCs w:val="20"/>
                <w:rtl/>
              </w:rPr>
              <w:t>3</w:t>
            </w:r>
            <w:r w:rsidRPr="00564B9D">
              <w:rPr>
                <w:sz w:val="20"/>
                <w:szCs w:val="20"/>
                <w:rtl/>
              </w:rPr>
              <w:tab/>
              <w:t>497 6</w:t>
            </w:r>
          </w:p>
          <w:p w14:paraId="71E33A1E"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50-54</w:t>
            </w:r>
            <w:r w:rsidRPr="00564B9D">
              <w:rPr>
                <w:sz w:val="20"/>
                <w:szCs w:val="20"/>
                <w:rtl/>
              </w:rPr>
              <w:tab/>
              <w:t>359 3</w:t>
            </w:r>
            <w:r w:rsidRPr="00564B9D">
              <w:rPr>
                <w:sz w:val="20"/>
                <w:szCs w:val="20"/>
                <w:rtl/>
              </w:rPr>
              <w:tab/>
              <w:t>322 3</w:t>
            </w:r>
            <w:r w:rsidRPr="00564B9D">
              <w:rPr>
                <w:sz w:val="20"/>
                <w:szCs w:val="20"/>
                <w:rtl/>
              </w:rPr>
              <w:tab/>
              <w:t>681 6</w:t>
            </w:r>
          </w:p>
          <w:p w14:paraId="3539936D"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55-59</w:t>
            </w:r>
            <w:r w:rsidRPr="00564B9D">
              <w:rPr>
                <w:sz w:val="20"/>
                <w:szCs w:val="20"/>
                <w:rtl/>
              </w:rPr>
              <w:tab/>
              <w:t>889 2</w:t>
            </w:r>
            <w:r w:rsidRPr="00564B9D">
              <w:rPr>
                <w:sz w:val="20"/>
                <w:szCs w:val="20"/>
                <w:rtl/>
              </w:rPr>
              <w:tab/>
              <w:t>998 2</w:t>
            </w:r>
            <w:r w:rsidRPr="00564B9D">
              <w:rPr>
                <w:sz w:val="20"/>
                <w:szCs w:val="20"/>
                <w:rtl/>
              </w:rPr>
              <w:tab/>
              <w:t>887 5</w:t>
            </w:r>
          </w:p>
          <w:p w14:paraId="7CD98041"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60-64</w:t>
            </w:r>
            <w:r w:rsidRPr="00564B9D">
              <w:rPr>
                <w:sz w:val="20"/>
                <w:szCs w:val="20"/>
                <w:rtl/>
              </w:rPr>
              <w:tab/>
              <w:t>612 2</w:t>
            </w:r>
            <w:r w:rsidRPr="00564B9D">
              <w:rPr>
                <w:sz w:val="20"/>
                <w:szCs w:val="20"/>
                <w:rtl/>
              </w:rPr>
              <w:tab/>
              <w:t>558 2</w:t>
            </w:r>
            <w:r w:rsidRPr="00564B9D">
              <w:rPr>
                <w:sz w:val="20"/>
                <w:szCs w:val="20"/>
                <w:rtl/>
              </w:rPr>
              <w:tab/>
              <w:t>170 5</w:t>
            </w:r>
          </w:p>
          <w:p w14:paraId="3F1A3EA4"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65-69</w:t>
            </w:r>
            <w:r w:rsidRPr="00564B9D">
              <w:rPr>
                <w:sz w:val="20"/>
                <w:szCs w:val="20"/>
                <w:rtl/>
              </w:rPr>
              <w:tab/>
              <w:t>715 2</w:t>
            </w:r>
            <w:r w:rsidRPr="00564B9D">
              <w:rPr>
                <w:sz w:val="20"/>
                <w:szCs w:val="20"/>
                <w:rtl/>
              </w:rPr>
              <w:tab/>
              <w:t>762 2</w:t>
            </w:r>
            <w:r w:rsidRPr="00564B9D">
              <w:rPr>
                <w:sz w:val="20"/>
                <w:szCs w:val="20"/>
                <w:rtl/>
              </w:rPr>
              <w:tab/>
              <w:t>441 5</w:t>
            </w:r>
          </w:p>
          <w:p w14:paraId="6CE1EB53" w14:textId="72E82ECA"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70-74</w:t>
            </w:r>
            <w:r w:rsidRPr="00564B9D">
              <w:rPr>
                <w:sz w:val="20"/>
                <w:szCs w:val="20"/>
                <w:rtl/>
              </w:rPr>
              <w:tab/>
            </w:r>
            <w:r w:rsidR="00577EF7" w:rsidRPr="00564B9D">
              <w:rPr>
                <w:rFonts w:hint="cs"/>
                <w:sz w:val="20"/>
                <w:szCs w:val="20"/>
                <w:rtl/>
              </w:rPr>
              <w:t>074 2</w:t>
            </w:r>
            <w:r w:rsidRPr="00564B9D">
              <w:rPr>
                <w:sz w:val="20"/>
                <w:szCs w:val="20"/>
                <w:rtl/>
              </w:rPr>
              <w:tab/>
              <w:t>138 2</w:t>
            </w:r>
            <w:r w:rsidRPr="00564B9D">
              <w:rPr>
                <w:sz w:val="20"/>
                <w:szCs w:val="20"/>
                <w:rtl/>
              </w:rPr>
              <w:tab/>
              <w:t>212 4</w:t>
            </w:r>
          </w:p>
          <w:p w14:paraId="320DAF83"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75-79</w:t>
            </w:r>
            <w:r w:rsidRPr="00564B9D">
              <w:rPr>
                <w:sz w:val="20"/>
                <w:szCs w:val="20"/>
                <w:rtl/>
              </w:rPr>
              <w:tab/>
              <w:t>529 1</w:t>
            </w:r>
            <w:r w:rsidRPr="00564B9D">
              <w:rPr>
                <w:sz w:val="20"/>
                <w:szCs w:val="20"/>
                <w:rtl/>
              </w:rPr>
              <w:tab/>
              <w:t>626 1</w:t>
            </w:r>
            <w:r w:rsidRPr="00564B9D">
              <w:rPr>
                <w:sz w:val="20"/>
                <w:szCs w:val="20"/>
                <w:rtl/>
              </w:rPr>
              <w:tab/>
              <w:t>155 </w:t>
            </w:r>
            <w:r w:rsidRPr="00564B9D">
              <w:rPr>
                <w:rFonts w:hint="cs"/>
                <w:sz w:val="20"/>
                <w:szCs w:val="20"/>
                <w:rtl/>
              </w:rPr>
              <w:t>3</w:t>
            </w:r>
          </w:p>
          <w:p w14:paraId="5212FED8" w14:textId="5057F48B"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80-84</w:t>
            </w:r>
            <w:r w:rsidRPr="00564B9D">
              <w:rPr>
                <w:sz w:val="20"/>
                <w:szCs w:val="20"/>
                <w:rtl/>
              </w:rPr>
              <w:tab/>
              <w:t>958</w:t>
            </w:r>
            <w:r w:rsidRPr="00564B9D">
              <w:rPr>
                <w:sz w:val="20"/>
                <w:szCs w:val="20"/>
                <w:rtl/>
              </w:rPr>
              <w:tab/>
              <w:t>171 1</w:t>
            </w:r>
            <w:r w:rsidRPr="00564B9D">
              <w:rPr>
                <w:sz w:val="20"/>
                <w:szCs w:val="20"/>
                <w:rtl/>
              </w:rPr>
              <w:tab/>
            </w:r>
            <w:r w:rsidR="00577EF7" w:rsidRPr="00564B9D">
              <w:rPr>
                <w:sz w:val="20"/>
                <w:szCs w:val="20"/>
                <w:rtl/>
              </w:rPr>
              <w:t>1</w:t>
            </w:r>
            <w:r w:rsidR="00577EF7" w:rsidRPr="00564B9D">
              <w:rPr>
                <w:rFonts w:hint="cs"/>
                <w:sz w:val="20"/>
                <w:szCs w:val="20"/>
                <w:rtl/>
              </w:rPr>
              <w:t>2</w:t>
            </w:r>
            <w:r w:rsidR="00577EF7" w:rsidRPr="00564B9D">
              <w:rPr>
                <w:sz w:val="20"/>
                <w:szCs w:val="20"/>
                <w:rtl/>
              </w:rPr>
              <w:t>9 </w:t>
            </w:r>
            <w:r w:rsidRPr="00564B9D">
              <w:rPr>
                <w:sz w:val="20"/>
                <w:szCs w:val="20"/>
                <w:rtl/>
              </w:rPr>
              <w:t>2</w:t>
            </w:r>
          </w:p>
          <w:p w14:paraId="3DC77E88" w14:textId="77777777" w:rsidR="00494AE4" w:rsidRPr="00564B9D" w:rsidRDefault="00494AE4" w:rsidP="00804944">
            <w:pPr>
              <w:pStyle w:val="SingleTxtGA"/>
              <w:tabs>
                <w:tab w:val="clear" w:pos="1928"/>
                <w:tab w:val="clear" w:pos="2608"/>
                <w:tab w:val="clear" w:pos="3289"/>
                <w:tab w:val="clear" w:pos="3969"/>
                <w:tab w:val="clear" w:pos="4649"/>
                <w:tab w:val="clear" w:pos="5330"/>
                <w:tab w:val="left" w:pos="1072"/>
                <w:tab w:val="left" w:pos="1838"/>
                <w:tab w:val="left" w:pos="2526"/>
              </w:tabs>
              <w:spacing w:before="40" w:after="40" w:line="280" w:lineRule="exact"/>
              <w:ind w:left="0" w:right="0"/>
              <w:rPr>
                <w:sz w:val="20"/>
                <w:szCs w:val="20"/>
                <w:rtl/>
              </w:rPr>
            </w:pPr>
            <w:r w:rsidRPr="00564B9D">
              <w:rPr>
                <w:sz w:val="20"/>
                <w:szCs w:val="20"/>
                <w:rtl/>
              </w:rPr>
              <w:t>85+</w:t>
            </w:r>
            <w:r w:rsidRPr="00564B9D">
              <w:rPr>
                <w:sz w:val="20"/>
                <w:szCs w:val="20"/>
                <w:rtl/>
              </w:rPr>
              <w:tab/>
              <w:t>787</w:t>
            </w:r>
            <w:r w:rsidRPr="00564B9D">
              <w:rPr>
                <w:sz w:val="20"/>
                <w:szCs w:val="20"/>
                <w:rtl/>
              </w:rPr>
              <w:tab/>
              <w:t>481 1</w:t>
            </w:r>
            <w:r w:rsidRPr="00564B9D">
              <w:rPr>
                <w:sz w:val="20"/>
                <w:szCs w:val="20"/>
                <w:rtl/>
              </w:rPr>
              <w:tab/>
              <w:t>268 2</w:t>
            </w:r>
          </w:p>
        </w:tc>
      </w:tr>
      <w:tr w:rsidR="007B5A24" w:rsidRPr="00564B9D" w14:paraId="4146BC4D" w14:textId="77777777" w:rsidTr="00804944">
        <w:trPr>
          <w:trHeight w:val="789"/>
        </w:trPr>
        <w:tc>
          <w:tcPr>
            <w:tcW w:w="3815" w:type="dxa"/>
            <w:shd w:val="clear" w:color="auto" w:fill="auto"/>
          </w:tcPr>
          <w:p w14:paraId="327B499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نسبة الإعالة - النسبة المئوية من السكان الذين تقل أعمارهم عن 15 سنة </w:t>
            </w:r>
          </w:p>
        </w:tc>
        <w:tc>
          <w:tcPr>
            <w:tcW w:w="3455" w:type="dxa"/>
            <w:shd w:val="clear" w:color="auto" w:fill="auto"/>
          </w:tcPr>
          <w:p w14:paraId="3EC25BC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16 في المائة من السكان المقيمين الذين تقل أعمارهم عن 15 سنة (تعداد 2016)</w:t>
            </w:r>
          </w:p>
        </w:tc>
      </w:tr>
      <w:tr w:rsidR="007B5A24" w:rsidRPr="00564B9D" w14:paraId="2AF6F1A8" w14:textId="77777777" w:rsidTr="00804944">
        <w:trPr>
          <w:trHeight w:val="240"/>
        </w:trPr>
        <w:tc>
          <w:tcPr>
            <w:tcW w:w="3815" w:type="dxa"/>
            <w:shd w:val="clear" w:color="auto" w:fill="auto"/>
          </w:tcPr>
          <w:p w14:paraId="51B2B0D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الإعالة - النسبة المئوية من السكان الذين تزيد أعمارهم على 65 سنة</w:t>
            </w:r>
          </w:p>
        </w:tc>
        <w:tc>
          <w:tcPr>
            <w:tcW w:w="3455" w:type="dxa"/>
            <w:shd w:val="clear" w:color="auto" w:fill="auto"/>
          </w:tcPr>
          <w:p w14:paraId="4F37CE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19,4 في المائة من السكان المقيمين الذين تزيد أعمارهم على 65 سنة (تعداد 2016)</w:t>
            </w:r>
          </w:p>
        </w:tc>
      </w:tr>
      <w:tr w:rsidR="007B5A24" w:rsidRPr="00564B9D" w14:paraId="7DDD2141" w14:textId="77777777" w:rsidTr="00804944">
        <w:trPr>
          <w:trHeight w:val="240"/>
        </w:trPr>
        <w:tc>
          <w:tcPr>
            <w:tcW w:w="3815" w:type="dxa"/>
            <w:shd w:val="clear" w:color="auto" w:fill="auto"/>
          </w:tcPr>
          <w:p w14:paraId="5EA18D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المواليد (لكل 000</w:t>
            </w:r>
            <w:r w:rsidRPr="00564B9D">
              <w:rPr>
                <w:sz w:val="20"/>
                <w:szCs w:val="20"/>
                <w:rtl/>
              </w:rPr>
              <w:t> </w:t>
            </w:r>
            <w:r w:rsidRPr="00564B9D">
              <w:rPr>
                <w:rFonts w:hint="cs"/>
                <w:sz w:val="20"/>
                <w:szCs w:val="20"/>
                <w:rtl/>
              </w:rPr>
              <w:t>1 من السكان)</w:t>
            </w:r>
          </w:p>
        </w:tc>
        <w:tc>
          <w:tcPr>
            <w:tcW w:w="3455" w:type="dxa"/>
            <w:shd w:val="clear" w:color="auto" w:fill="auto"/>
          </w:tcPr>
          <w:p w14:paraId="76BE4EA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العدد الإجمالي للمواليد بين 1 كانون الثاني/يناير و31 كانون الأول/ديسمبر 2016: 758 (9,1 مولود لكل 000</w:t>
            </w:r>
            <w:r w:rsidRPr="00564B9D">
              <w:rPr>
                <w:sz w:val="20"/>
                <w:szCs w:val="20"/>
                <w:rtl/>
              </w:rPr>
              <w:t> </w:t>
            </w:r>
            <w:r w:rsidRPr="00564B9D">
              <w:rPr>
                <w:rFonts w:hint="cs"/>
                <w:sz w:val="20"/>
                <w:szCs w:val="20"/>
                <w:rtl/>
              </w:rPr>
              <w:t>1 من السكان)</w:t>
            </w:r>
          </w:p>
        </w:tc>
      </w:tr>
      <w:tr w:rsidR="007B5A24" w:rsidRPr="00564B9D" w14:paraId="382A4747" w14:textId="77777777" w:rsidTr="00804944">
        <w:trPr>
          <w:trHeight w:val="240"/>
        </w:trPr>
        <w:tc>
          <w:tcPr>
            <w:tcW w:w="3815" w:type="dxa"/>
            <w:shd w:val="clear" w:color="auto" w:fill="auto"/>
          </w:tcPr>
          <w:p w14:paraId="2751B5B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العمر المتوقع عند الولادة</w:t>
            </w:r>
          </w:p>
        </w:tc>
        <w:tc>
          <w:tcPr>
            <w:tcW w:w="3455" w:type="dxa"/>
            <w:shd w:val="clear" w:color="auto" w:fill="auto"/>
          </w:tcPr>
          <w:p w14:paraId="04B53E7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p>
        </w:tc>
      </w:tr>
      <w:tr w:rsidR="007B5A24" w:rsidRPr="00564B9D" w14:paraId="1FBC763A" w14:textId="77777777" w:rsidTr="00804944">
        <w:trPr>
          <w:trHeight w:val="240"/>
        </w:trPr>
        <w:tc>
          <w:tcPr>
            <w:tcW w:w="3815" w:type="dxa"/>
            <w:shd w:val="clear" w:color="auto" w:fill="auto"/>
          </w:tcPr>
          <w:p w14:paraId="48FD45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ذكور</w:t>
            </w:r>
          </w:p>
        </w:tc>
        <w:tc>
          <w:tcPr>
            <w:tcW w:w="3455" w:type="dxa"/>
            <w:shd w:val="clear" w:color="auto" w:fill="auto"/>
          </w:tcPr>
          <w:p w14:paraId="376B057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78,9 (تقديرات الفترة 2016-2018)</w:t>
            </w:r>
          </w:p>
        </w:tc>
      </w:tr>
      <w:tr w:rsidR="007B5A24" w:rsidRPr="00564B9D" w14:paraId="321D3C8A" w14:textId="77777777" w:rsidTr="00804944">
        <w:trPr>
          <w:trHeight w:val="240"/>
        </w:trPr>
        <w:tc>
          <w:tcPr>
            <w:tcW w:w="3815" w:type="dxa"/>
            <w:shd w:val="clear" w:color="auto" w:fill="auto"/>
          </w:tcPr>
          <w:p w14:paraId="1C104F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إناث</w:t>
            </w:r>
          </w:p>
        </w:tc>
        <w:tc>
          <w:tcPr>
            <w:tcW w:w="3455" w:type="dxa"/>
            <w:shd w:val="clear" w:color="auto" w:fill="auto"/>
          </w:tcPr>
          <w:p w14:paraId="38B5D0E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83 (تقديرات الفترة 2016-2018)</w:t>
            </w:r>
          </w:p>
        </w:tc>
      </w:tr>
      <w:tr w:rsidR="007B5A24" w:rsidRPr="00564B9D" w14:paraId="47B0A6B5" w14:textId="77777777" w:rsidTr="00804944">
        <w:trPr>
          <w:trHeight w:val="240"/>
        </w:trPr>
        <w:tc>
          <w:tcPr>
            <w:tcW w:w="3815" w:type="dxa"/>
            <w:shd w:val="clear" w:color="auto" w:fill="auto"/>
          </w:tcPr>
          <w:p w14:paraId="26A83A3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الخصوبة الإجمالي - عدد الأطفال للمرأة الواحدة</w:t>
            </w:r>
          </w:p>
        </w:tc>
        <w:tc>
          <w:tcPr>
            <w:tcW w:w="3455" w:type="dxa"/>
            <w:shd w:val="clear" w:color="auto" w:fill="auto"/>
          </w:tcPr>
          <w:p w14:paraId="1ECD759F" w14:textId="594D4765" w:rsidR="00494AE4" w:rsidRPr="00564B9D" w:rsidRDefault="00D52779"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في </w:t>
            </w:r>
            <w:r w:rsidR="00494AE4" w:rsidRPr="00564B9D">
              <w:rPr>
                <w:rFonts w:hint="cs"/>
                <w:sz w:val="20"/>
                <w:szCs w:val="20"/>
                <w:rtl/>
              </w:rPr>
              <w:t>الفترة</w:t>
            </w:r>
            <w:r w:rsidR="00494AE4" w:rsidRPr="00564B9D">
              <w:rPr>
                <w:sz w:val="20"/>
                <w:szCs w:val="20"/>
                <w:rtl/>
              </w:rPr>
              <w:t xml:space="preserve"> 2016-</w:t>
            </w:r>
            <w:r w:rsidR="00494AE4" w:rsidRPr="00564B9D">
              <w:rPr>
                <w:rFonts w:hint="cs"/>
                <w:sz w:val="20"/>
                <w:szCs w:val="20"/>
                <w:rtl/>
              </w:rPr>
              <w:t>2018</w:t>
            </w:r>
            <w:r w:rsidR="00494AE4" w:rsidRPr="00564B9D">
              <w:rPr>
                <w:sz w:val="20"/>
                <w:szCs w:val="20"/>
                <w:rtl/>
              </w:rPr>
              <w:t>،</w:t>
            </w:r>
          </w:p>
          <w:p w14:paraId="4B2605F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عدد المواليد: 192 2</w:t>
            </w:r>
          </w:p>
          <w:p w14:paraId="0CC0A1B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أعداد الاناث: 215</w:t>
            </w:r>
            <w:r w:rsidRPr="00564B9D">
              <w:rPr>
                <w:rFonts w:hint="cs"/>
                <w:sz w:val="20"/>
                <w:szCs w:val="20"/>
                <w:rtl/>
              </w:rPr>
              <w:t xml:space="preserve"> </w:t>
            </w:r>
            <w:r w:rsidRPr="00564B9D">
              <w:rPr>
                <w:sz w:val="20"/>
                <w:szCs w:val="20"/>
                <w:rtl/>
              </w:rPr>
              <w:t>43</w:t>
            </w:r>
          </w:p>
          <w:p w14:paraId="5508A50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 xml:space="preserve">معدل الخصوبة العام (المواليد الأحياء لكل </w:t>
            </w:r>
            <w:r w:rsidRPr="00564B9D">
              <w:rPr>
                <w:rFonts w:hint="cs"/>
                <w:sz w:val="20"/>
                <w:szCs w:val="20"/>
                <w:rtl/>
              </w:rPr>
              <w:t>000 1</w:t>
            </w:r>
            <w:r w:rsidRPr="00564B9D">
              <w:rPr>
                <w:sz w:val="20"/>
                <w:szCs w:val="20"/>
                <w:rtl/>
              </w:rPr>
              <w:t xml:space="preserve"> أنثى في سن 15-44): 50,7</w:t>
            </w:r>
          </w:p>
        </w:tc>
      </w:tr>
      <w:tr w:rsidR="007B5A24" w:rsidRPr="00564B9D" w14:paraId="607DE191" w14:textId="77777777" w:rsidTr="00804944">
        <w:trPr>
          <w:trHeight w:val="240"/>
        </w:trPr>
        <w:tc>
          <w:tcPr>
            <w:tcW w:w="3815" w:type="dxa"/>
            <w:shd w:val="clear" w:color="auto" w:fill="auto"/>
          </w:tcPr>
          <w:p w14:paraId="5EF856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متوسط حجم الأسرة المعيشية</w:t>
            </w:r>
          </w:p>
        </w:tc>
        <w:tc>
          <w:tcPr>
            <w:tcW w:w="3455" w:type="dxa"/>
            <w:shd w:val="clear" w:color="auto" w:fill="auto"/>
          </w:tcPr>
          <w:p w14:paraId="78188A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2,28 شخص (التعداد السكاني لعام 2016)</w:t>
            </w:r>
          </w:p>
        </w:tc>
      </w:tr>
      <w:tr w:rsidR="007B5A24" w:rsidRPr="00564B9D" w14:paraId="7B268B04" w14:textId="77777777" w:rsidTr="00804944">
        <w:trPr>
          <w:trHeight w:val="240"/>
        </w:trPr>
        <w:tc>
          <w:tcPr>
            <w:tcW w:w="3815" w:type="dxa"/>
            <w:tcBorders>
              <w:bottom w:val="single" w:sz="12" w:space="0" w:color="auto"/>
            </w:tcBorders>
            <w:shd w:val="clear" w:color="auto" w:fill="auto"/>
          </w:tcPr>
          <w:p w14:paraId="584369C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نسبة الأسر المعيشية الوحيدة العائل</w:t>
            </w:r>
          </w:p>
        </w:tc>
        <w:tc>
          <w:tcPr>
            <w:tcW w:w="3455" w:type="dxa"/>
            <w:tcBorders>
              <w:bottom w:val="single" w:sz="12" w:space="0" w:color="auto"/>
            </w:tcBorders>
            <w:shd w:val="clear" w:color="auto" w:fill="auto"/>
          </w:tcPr>
          <w:p w14:paraId="2D3E5C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5,3 في المائة</w:t>
            </w:r>
          </w:p>
          <w:p w14:paraId="4C780617" w14:textId="04B8D1CD"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84</w:t>
            </w:r>
            <w:r w:rsidR="00D52779" w:rsidRPr="00564B9D">
              <w:rPr>
                <w:rFonts w:hint="cs"/>
                <w:sz w:val="20"/>
                <w:szCs w:val="20"/>
                <w:rtl/>
              </w:rPr>
              <w:t>,</w:t>
            </w:r>
            <w:r w:rsidRPr="00564B9D">
              <w:rPr>
                <w:sz w:val="20"/>
                <w:szCs w:val="20"/>
                <w:rtl/>
              </w:rPr>
              <w:t>7</w:t>
            </w:r>
            <w:r w:rsidRPr="00564B9D">
              <w:rPr>
                <w:rFonts w:hint="cs"/>
                <w:sz w:val="20"/>
                <w:szCs w:val="20"/>
                <w:rtl/>
              </w:rPr>
              <w:t xml:space="preserve"> </w:t>
            </w:r>
            <w:r w:rsidRPr="00564B9D">
              <w:rPr>
                <w:sz w:val="20"/>
                <w:szCs w:val="20"/>
                <w:rtl/>
              </w:rPr>
              <w:t xml:space="preserve">في المائة </w:t>
            </w:r>
            <w:r w:rsidRPr="00564B9D">
              <w:rPr>
                <w:rFonts w:hint="cs"/>
                <w:sz w:val="20"/>
                <w:szCs w:val="20"/>
                <w:rtl/>
              </w:rPr>
              <w:t>من</w:t>
            </w:r>
            <w:r w:rsidRPr="00564B9D">
              <w:rPr>
                <w:sz w:val="20"/>
                <w:szCs w:val="20"/>
                <w:rtl/>
              </w:rPr>
              <w:t xml:space="preserve"> الأسر </w:t>
            </w:r>
            <w:r w:rsidRPr="00564B9D">
              <w:rPr>
                <w:rFonts w:hint="cs"/>
                <w:sz w:val="20"/>
                <w:szCs w:val="20"/>
                <w:rtl/>
              </w:rPr>
              <w:t>ال</w:t>
            </w:r>
            <w:r w:rsidRPr="00564B9D">
              <w:rPr>
                <w:sz w:val="20"/>
                <w:szCs w:val="20"/>
                <w:rtl/>
              </w:rPr>
              <w:t xml:space="preserve">وحيدة </w:t>
            </w:r>
            <w:r w:rsidRPr="00564B9D">
              <w:rPr>
                <w:rFonts w:hint="cs"/>
                <w:sz w:val="20"/>
                <w:szCs w:val="20"/>
                <w:rtl/>
              </w:rPr>
              <w:t xml:space="preserve">العائل </w:t>
            </w:r>
            <w:r w:rsidRPr="00564B9D">
              <w:rPr>
                <w:sz w:val="20"/>
                <w:szCs w:val="20"/>
                <w:rtl/>
              </w:rPr>
              <w:t>ترأسها نساء.</w:t>
            </w:r>
          </w:p>
          <w:p w14:paraId="338E74E0" w14:textId="41554C5C"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37</w:t>
            </w:r>
            <w:r w:rsidR="00D52779" w:rsidRPr="00564B9D">
              <w:rPr>
                <w:rFonts w:hint="cs"/>
                <w:sz w:val="20"/>
                <w:szCs w:val="20"/>
                <w:rtl/>
              </w:rPr>
              <w:t>,</w:t>
            </w:r>
            <w:r w:rsidRPr="00564B9D">
              <w:rPr>
                <w:sz w:val="20"/>
                <w:szCs w:val="20"/>
                <w:rtl/>
              </w:rPr>
              <w:t>4</w:t>
            </w:r>
            <w:r w:rsidRPr="00564B9D">
              <w:rPr>
                <w:rFonts w:hint="cs"/>
                <w:sz w:val="20"/>
                <w:szCs w:val="20"/>
                <w:rtl/>
              </w:rPr>
              <w:t xml:space="preserve"> </w:t>
            </w:r>
            <w:r w:rsidRPr="00564B9D">
              <w:rPr>
                <w:sz w:val="20"/>
                <w:szCs w:val="20"/>
                <w:rtl/>
              </w:rPr>
              <w:t xml:space="preserve">في المائة من </w:t>
            </w:r>
            <w:r w:rsidRPr="00564B9D">
              <w:rPr>
                <w:rFonts w:hint="cs"/>
                <w:sz w:val="20"/>
                <w:szCs w:val="20"/>
                <w:rtl/>
              </w:rPr>
              <w:t xml:space="preserve">جميع </w:t>
            </w:r>
            <w:r w:rsidRPr="00564B9D">
              <w:rPr>
                <w:sz w:val="20"/>
                <w:szCs w:val="20"/>
                <w:rtl/>
              </w:rPr>
              <w:t>الأسر ترأسها نساء.</w:t>
            </w:r>
          </w:p>
        </w:tc>
      </w:tr>
    </w:tbl>
    <w:p w14:paraId="10B009E6"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413"/>
        <w:gridCol w:w="3979"/>
      </w:tblGrid>
      <w:tr w:rsidR="007B5A24" w:rsidRPr="00564B9D" w14:paraId="437A3410" w14:textId="77777777" w:rsidTr="00804944">
        <w:trPr>
          <w:trHeight w:val="240"/>
          <w:tblHeader/>
        </w:trPr>
        <w:tc>
          <w:tcPr>
            <w:tcW w:w="7275" w:type="dxa"/>
            <w:gridSpan w:val="2"/>
            <w:tcBorders>
              <w:top w:val="single" w:sz="4" w:space="0" w:color="auto"/>
              <w:bottom w:val="single" w:sz="12" w:space="0" w:color="auto"/>
            </w:tcBorders>
            <w:shd w:val="clear" w:color="auto" w:fill="auto"/>
            <w:vAlign w:val="bottom"/>
          </w:tcPr>
          <w:p w14:paraId="4C787054"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t>المؤشرات الاجتماعية والاقتصادية والثقافية</w:t>
            </w:r>
          </w:p>
        </w:tc>
      </w:tr>
      <w:tr w:rsidR="007B5A24" w:rsidRPr="00564B9D" w14:paraId="42A289C1" w14:textId="77777777" w:rsidTr="00804944">
        <w:trPr>
          <w:trHeight w:val="240"/>
        </w:trPr>
        <w:tc>
          <w:tcPr>
            <w:tcW w:w="3826" w:type="dxa"/>
            <w:tcBorders>
              <w:top w:val="single" w:sz="12" w:space="0" w:color="auto"/>
            </w:tcBorders>
            <w:shd w:val="clear" w:color="auto" w:fill="auto"/>
          </w:tcPr>
          <w:p w14:paraId="422C12B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حصة نفقات الاستهلاك (للأسرة المعيشية) على الطعام والإسكان والصحة والتعليم</w:t>
            </w:r>
          </w:p>
        </w:tc>
        <w:tc>
          <w:tcPr>
            <w:tcW w:w="3449" w:type="dxa"/>
            <w:tcBorders>
              <w:top w:val="single" w:sz="12" w:space="0" w:color="auto"/>
            </w:tcBorders>
            <w:shd w:val="clear" w:color="auto" w:fill="auto"/>
          </w:tcPr>
          <w:p w14:paraId="2FD6EC9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الطعام: 7 في المائة</w:t>
            </w:r>
          </w:p>
          <w:p w14:paraId="633E5AB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السكن والوقود: 11 في المائة</w:t>
            </w:r>
          </w:p>
          <w:p w14:paraId="6A2A98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الصحة: 1 في المائة</w:t>
            </w:r>
          </w:p>
          <w:p w14:paraId="7F1779A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التعليم: 2 في المائة</w:t>
            </w:r>
          </w:p>
        </w:tc>
      </w:tr>
      <w:tr w:rsidR="007B5A24" w:rsidRPr="00564B9D" w14:paraId="65EE3A4A" w14:textId="77777777" w:rsidTr="00804944">
        <w:trPr>
          <w:trHeight w:val="240"/>
        </w:trPr>
        <w:tc>
          <w:tcPr>
            <w:tcW w:w="3826" w:type="dxa"/>
            <w:shd w:val="clear" w:color="auto" w:fill="auto"/>
          </w:tcPr>
          <w:p w14:paraId="708B90A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يعيشون تحت خط الفقر الوطني</w:t>
            </w:r>
          </w:p>
        </w:tc>
        <w:tc>
          <w:tcPr>
            <w:tcW w:w="3449" w:type="dxa"/>
            <w:shd w:val="clear" w:color="auto" w:fill="auto"/>
          </w:tcPr>
          <w:p w14:paraId="3538FA7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3634643" w14:textId="77777777" w:rsidTr="00804944">
        <w:trPr>
          <w:trHeight w:val="240"/>
        </w:trPr>
        <w:tc>
          <w:tcPr>
            <w:tcW w:w="3826" w:type="dxa"/>
            <w:shd w:val="clear" w:color="auto" w:fill="auto"/>
          </w:tcPr>
          <w:p w14:paraId="7F3F218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الذين هم دون الحد الأدنى للاستهلاك الغذائي</w:t>
            </w:r>
          </w:p>
        </w:tc>
        <w:tc>
          <w:tcPr>
            <w:tcW w:w="3449" w:type="dxa"/>
            <w:shd w:val="clear" w:color="auto" w:fill="auto"/>
          </w:tcPr>
          <w:p w14:paraId="33F5AFB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02E91107" w14:textId="77777777" w:rsidTr="00804944">
        <w:trPr>
          <w:trHeight w:val="240"/>
        </w:trPr>
        <w:tc>
          <w:tcPr>
            <w:tcW w:w="3826" w:type="dxa"/>
            <w:shd w:val="clear" w:color="auto" w:fill="auto"/>
          </w:tcPr>
          <w:p w14:paraId="428B74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معامل جيني (المتصل بتوزيع الدخل) </w:t>
            </w:r>
          </w:p>
        </w:tc>
        <w:tc>
          <w:tcPr>
            <w:tcW w:w="3449" w:type="dxa"/>
            <w:shd w:val="clear" w:color="auto" w:fill="auto"/>
          </w:tcPr>
          <w:p w14:paraId="7AFE254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6D0F2C9E" w14:textId="77777777" w:rsidTr="00804944">
        <w:trPr>
          <w:trHeight w:val="240"/>
        </w:trPr>
        <w:tc>
          <w:tcPr>
            <w:tcW w:w="3826" w:type="dxa"/>
            <w:shd w:val="clear" w:color="auto" w:fill="auto"/>
          </w:tcPr>
          <w:p w14:paraId="423EF3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الأطفال ناقصي الوزن الذين تقل أعمارهم عن 4-5 سنوات</w:t>
            </w:r>
          </w:p>
        </w:tc>
        <w:tc>
          <w:tcPr>
            <w:tcW w:w="3449" w:type="dxa"/>
            <w:shd w:val="clear" w:color="auto" w:fill="auto"/>
          </w:tcPr>
          <w:p w14:paraId="04091FA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2018-2019: 0,5 في المائة</w:t>
            </w:r>
          </w:p>
        </w:tc>
      </w:tr>
      <w:tr w:rsidR="007B5A24" w:rsidRPr="00564B9D" w14:paraId="6917DDE0" w14:textId="77777777" w:rsidTr="00804944">
        <w:trPr>
          <w:trHeight w:val="240"/>
        </w:trPr>
        <w:tc>
          <w:tcPr>
            <w:tcW w:w="3826" w:type="dxa"/>
            <w:shd w:val="clear" w:color="auto" w:fill="auto"/>
          </w:tcPr>
          <w:p w14:paraId="7A2F8E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وفيات الرضّع والأمهات (لكل 000</w:t>
            </w:r>
            <w:r w:rsidRPr="00564B9D">
              <w:rPr>
                <w:sz w:val="20"/>
                <w:szCs w:val="20"/>
                <w:rtl/>
              </w:rPr>
              <w:t> </w:t>
            </w:r>
            <w:r w:rsidRPr="00564B9D">
              <w:rPr>
                <w:rFonts w:hint="cs"/>
                <w:sz w:val="20"/>
                <w:szCs w:val="20"/>
                <w:rtl/>
              </w:rPr>
              <w:t>1 مولود حي)</w:t>
            </w:r>
          </w:p>
        </w:tc>
        <w:tc>
          <w:tcPr>
            <w:tcW w:w="3449" w:type="dxa"/>
            <w:shd w:val="clear" w:color="auto" w:fill="auto"/>
          </w:tcPr>
          <w:p w14:paraId="0D687A4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2016-</w:t>
            </w:r>
            <w:r w:rsidRPr="00564B9D">
              <w:rPr>
                <w:rFonts w:hint="cs"/>
                <w:sz w:val="20"/>
                <w:szCs w:val="20"/>
                <w:rtl/>
              </w:rPr>
              <w:t>2018</w:t>
            </w:r>
          </w:p>
          <w:p w14:paraId="7C2810F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معدل وفيات الرضع: 4,7</w:t>
            </w:r>
          </w:p>
          <w:p w14:paraId="281FDAC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وفيات الأمهات: 0</w:t>
            </w:r>
          </w:p>
        </w:tc>
      </w:tr>
      <w:tr w:rsidR="007B5A24" w:rsidRPr="00564B9D" w14:paraId="642B836F" w14:textId="77777777" w:rsidTr="00804944">
        <w:trPr>
          <w:trHeight w:val="240"/>
        </w:trPr>
        <w:tc>
          <w:tcPr>
            <w:tcW w:w="3826" w:type="dxa"/>
            <w:shd w:val="clear" w:color="auto" w:fill="auto"/>
          </w:tcPr>
          <w:p w14:paraId="53A7CA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اللاتي في سن الحمل ويستخدمن وسائل منع الحمل أو اللاتي يستخدم شركاؤهن وسائل منع الحمل</w:t>
            </w:r>
            <w:r w:rsidRPr="00564B9D">
              <w:rPr>
                <w:sz w:val="20"/>
                <w:szCs w:val="20"/>
                <w:rtl/>
              </w:rPr>
              <w:t xml:space="preserve"> </w:t>
            </w:r>
          </w:p>
        </w:tc>
        <w:tc>
          <w:tcPr>
            <w:tcW w:w="3449" w:type="dxa"/>
            <w:shd w:val="clear" w:color="auto" w:fill="auto"/>
          </w:tcPr>
          <w:p w14:paraId="67096D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i/>
                <w:iCs/>
                <w:sz w:val="20"/>
                <w:szCs w:val="20"/>
                <w:rtl/>
              </w:rPr>
              <w:t xml:space="preserve">من بحث وتقرير </w:t>
            </w:r>
            <w:r w:rsidRPr="00564B9D">
              <w:rPr>
                <w:i/>
                <w:iCs/>
                <w:sz w:val="20"/>
                <w:szCs w:val="20"/>
              </w:rPr>
              <w:t>EMIS GP</w:t>
            </w:r>
          </w:p>
          <w:p w14:paraId="6FBAACC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عدد النساء في سن الإنجاب في نهاية عام 2019 (15-44 وفقاً لـ </w:t>
            </w:r>
            <w:r w:rsidRPr="00564B9D">
              <w:rPr>
                <w:sz w:val="20"/>
                <w:szCs w:val="20"/>
              </w:rPr>
              <w:t>NHS Digital</w:t>
            </w:r>
            <w:r w:rsidRPr="00564B9D">
              <w:rPr>
                <w:rFonts w:hint="cs"/>
                <w:sz w:val="20"/>
                <w:szCs w:val="20"/>
                <w:rtl/>
              </w:rPr>
              <w:t xml:space="preserve">): </w:t>
            </w:r>
            <w:r w:rsidRPr="00564B9D">
              <w:rPr>
                <w:sz w:val="20"/>
                <w:szCs w:val="20"/>
              </w:rPr>
              <w:t>526</w:t>
            </w:r>
            <w:r w:rsidRPr="00564B9D">
              <w:rPr>
                <w:rFonts w:hint="cs"/>
                <w:sz w:val="20"/>
                <w:szCs w:val="20"/>
                <w:rtl/>
              </w:rPr>
              <w:t xml:space="preserve"> </w:t>
            </w:r>
            <w:r w:rsidRPr="00564B9D">
              <w:rPr>
                <w:sz w:val="20"/>
                <w:szCs w:val="20"/>
              </w:rPr>
              <w:t>14</w:t>
            </w:r>
          </w:p>
          <w:p w14:paraId="678424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عدد النساء من الفئات الأعلى من السكان اللائي يستخدمن وسائل منع الحمل (حيث تم ترميزهن في </w:t>
            </w:r>
            <w:r w:rsidRPr="00564B9D">
              <w:rPr>
                <w:sz w:val="20"/>
                <w:szCs w:val="20"/>
              </w:rPr>
              <w:t>EMIS</w:t>
            </w:r>
            <w:r w:rsidRPr="00564B9D">
              <w:rPr>
                <w:sz w:val="20"/>
                <w:szCs w:val="20"/>
                <w:rtl/>
              </w:rPr>
              <w:t xml:space="preserve"> على أنهن يستخدمن وسائل منع الحمل أو </w:t>
            </w:r>
            <w:r w:rsidRPr="00564B9D">
              <w:rPr>
                <w:rFonts w:hint="cs"/>
                <w:sz w:val="20"/>
                <w:szCs w:val="20"/>
                <w:rtl/>
              </w:rPr>
              <w:t>حصلن على</w:t>
            </w:r>
            <w:r w:rsidRPr="00564B9D">
              <w:rPr>
                <w:sz w:val="20"/>
                <w:szCs w:val="20"/>
                <w:rtl/>
              </w:rPr>
              <w:t xml:space="preserve"> وسائل منع الحمل): </w:t>
            </w:r>
            <w:r w:rsidRPr="00564B9D">
              <w:rPr>
                <w:rFonts w:hint="cs"/>
                <w:sz w:val="20"/>
                <w:szCs w:val="20"/>
                <w:rtl/>
              </w:rPr>
              <w:t>554 9</w:t>
            </w:r>
          </w:p>
          <w:p w14:paraId="5378BE8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i/>
                <w:iCs/>
                <w:sz w:val="20"/>
                <w:szCs w:val="20"/>
                <w:rtl/>
              </w:rPr>
              <w:t>من فريق الأطفال والعائلة</w:t>
            </w:r>
            <w:r w:rsidRPr="00564B9D">
              <w:rPr>
                <w:sz w:val="20"/>
                <w:szCs w:val="20"/>
                <w:vertAlign w:val="superscript"/>
                <w:rtl/>
              </w:rPr>
              <w:t>(</w:t>
            </w:r>
            <w:r w:rsidRPr="00564B9D">
              <w:rPr>
                <w:rStyle w:val="FootnoteReference"/>
                <w:rFonts w:cs="Simplified Arabic"/>
                <w:b w:val="0"/>
                <w:sz w:val="20"/>
                <w:szCs w:val="20"/>
                <w:rtl/>
                <w:lang w:val="en-US"/>
              </w:rPr>
              <w:footnoteReference w:id="378"/>
            </w:r>
            <w:r w:rsidRPr="00564B9D">
              <w:rPr>
                <w:sz w:val="20"/>
                <w:szCs w:val="20"/>
                <w:vertAlign w:val="superscript"/>
                <w:rtl/>
              </w:rPr>
              <w:t>)</w:t>
            </w:r>
            <w:r w:rsidRPr="00564B9D">
              <w:rPr>
                <w:sz w:val="20"/>
                <w:szCs w:val="20"/>
                <w:rtl/>
              </w:rPr>
              <w:t xml:space="preserve"> </w:t>
            </w:r>
          </w:p>
          <w:p w14:paraId="5A3229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عدد النساء في سن الإنجاب في نهاية عام 2019 (14-35 +): </w:t>
            </w:r>
            <w:r w:rsidRPr="00564B9D">
              <w:rPr>
                <w:rFonts w:hint="cs"/>
                <w:sz w:val="20"/>
                <w:szCs w:val="20"/>
                <w:rtl/>
              </w:rPr>
              <w:t>967 1</w:t>
            </w:r>
          </w:p>
          <w:p w14:paraId="5163291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النساء اللواتي يستخدمن وسائل منع الحمل من </w:t>
            </w:r>
            <w:r w:rsidRPr="00564B9D">
              <w:rPr>
                <w:rFonts w:hint="cs"/>
                <w:sz w:val="20"/>
                <w:szCs w:val="20"/>
                <w:rtl/>
              </w:rPr>
              <w:t>المجموع</w:t>
            </w:r>
            <w:r w:rsidRPr="00564B9D">
              <w:rPr>
                <w:sz w:val="20"/>
                <w:szCs w:val="20"/>
                <w:rtl/>
              </w:rPr>
              <w:t xml:space="preserve"> أعلاه: </w:t>
            </w:r>
            <w:r w:rsidRPr="00564B9D">
              <w:rPr>
                <w:rFonts w:hint="cs"/>
                <w:sz w:val="20"/>
                <w:szCs w:val="20"/>
                <w:rtl/>
              </w:rPr>
              <w:t>379 1</w:t>
            </w:r>
          </w:p>
        </w:tc>
      </w:tr>
      <w:tr w:rsidR="007B5A24" w:rsidRPr="00564B9D" w14:paraId="5564BB83" w14:textId="77777777" w:rsidTr="00804944">
        <w:trPr>
          <w:trHeight w:val="240"/>
        </w:trPr>
        <w:tc>
          <w:tcPr>
            <w:tcW w:w="3826" w:type="dxa"/>
            <w:shd w:val="clear" w:color="auto" w:fill="auto"/>
          </w:tcPr>
          <w:p w14:paraId="745E28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الإنهاء الطبي للحمل كنسبة للمواليد الأحياء</w:t>
            </w:r>
          </w:p>
        </w:tc>
        <w:tc>
          <w:tcPr>
            <w:tcW w:w="3449" w:type="dxa"/>
            <w:shd w:val="clear" w:color="auto" w:fill="auto"/>
          </w:tcPr>
          <w:p w14:paraId="5B4DDEA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58B67059" w14:textId="77777777" w:rsidTr="00804944">
        <w:trPr>
          <w:trHeight w:val="240"/>
        </w:trPr>
        <w:tc>
          <w:tcPr>
            <w:tcW w:w="3826" w:type="dxa"/>
            <w:shd w:val="clear" w:color="auto" w:fill="auto"/>
          </w:tcPr>
          <w:p w14:paraId="147A659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الإصابة بفيروس نقص المناعة البشرية/متلازمة نقص المناعة المكتسب (الإيدز) والأمراض السارية الرئيسية</w:t>
            </w:r>
          </w:p>
        </w:tc>
        <w:tc>
          <w:tcPr>
            <w:tcW w:w="3449" w:type="dxa"/>
            <w:shd w:val="clear" w:color="auto" w:fill="auto"/>
          </w:tcPr>
          <w:p w14:paraId="3696F8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يوجد في الجزيرة 42 مريضاً مصاب</w:t>
            </w:r>
            <w:r w:rsidRPr="00564B9D">
              <w:rPr>
                <w:rFonts w:hint="cs"/>
                <w:sz w:val="20"/>
                <w:szCs w:val="20"/>
                <w:rtl/>
              </w:rPr>
              <w:t>اً</w:t>
            </w:r>
            <w:r w:rsidRPr="00564B9D">
              <w:rPr>
                <w:sz w:val="20"/>
                <w:szCs w:val="20"/>
                <w:rtl/>
              </w:rPr>
              <w:t xml:space="preserve"> بفيروس نقص المناعة البشرية أو الإيدز</w:t>
            </w:r>
          </w:p>
        </w:tc>
      </w:tr>
      <w:tr w:rsidR="007B5A24" w:rsidRPr="00564B9D" w14:paraId="5525C28E" w14:textId="77777777" w:rsidTr="00804944">
        <w:trPr>
          <w:trHeight w:val="240"/>
        </w:trPr>
        <w:tc>
          <w:tcPr>
            <w:tcW w:w="3826" w:type="dxa"/>
            <w:shd w:val="clear" w:color="auto" w:fill="auto"/>
          </w:tcPr>
          <w:p w14:paraId="6A00E29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انتشار الأمراض السارية وغير السارية الرئيسية (الشائعة)</w:t>
            </w:r>
          </w:p>
        </w:tc>
        <w:tc>
          <w:tcPr>
            <w:tcW w:w="3449" w:type="dxa"/>
            <w:shd w:val="clear" w:color="auto" w:fill="auto"/>
          </w:tcPr>
          <w:p w14:paraId="3F00C5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معدلات 2017-2019 للأشخاص الذين تقل أعمارهم عن 75 عاماً، وفقاً للعمر الأوروبي </w:t>
            </w:r>
            <w:r w:rsidRPr="00564B9D">
              <w:rPr>
                <w:rFonts w:hint="cs"/>
                <w:sz w:val="20"/>
                <w:szCs w:val="20"/>
                <w:rtl/>
              </w:rPr>
              <w:t>ال</w:t>
            </w:r>
            <w:r w:rsidRPr="00564B9D">
              <w:rPr>
                <w:sz w:val="20"/>
                <w:szCs w:val="20"/>
                <w:rtl/>
              </w:rPr>
              <w:t>موحد لكل 000 100 من السكان:</w:t>
            </w:r>
          </w:p>
          <w:p w14:paraId="1BA647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معدل الوفيات من جميع أمراض القلب والأوعية الدموية = 74,7 (مجال الموثوقية 95 في المائة: 63,8 إلى 85,6)</w:t>
            </w:r>
          </w:p>
          <w:p w14:paraId="552202F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معدل الوفيات بسبب أمراض القلب = 46,5 (مجال الموثوقية 95 في المائة: 38,0 إلى 55,1)</w:t>
            </w:r>
          </w:p>
          <w:p w14:paraId="14D7F26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معدل الوفيات بسبب السرطان = 155,5 (مجال الموثوقية 95 في المائة: 139,9 إلى 171,3)</w:t>
            </w:r>
          </w:p>
          <w:p w14:paraId="3B7C2AB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معدل الوفيات من أمراض الجهاز التنفسي = 31,8 (مجال الموثوقية 95 في المائة: 24,7 إلى 39,0)</w:t>
            </w:r>
          </w:p>
          <w:p w14:paraId="2580B17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معدل الوفيات من أمراض الكبد = 14,4 (مجال الموثوقية 95 في المائة: 9,7 إلى 19,2)</w:t>
            </w:r>
          </w:p>
        </w:tc>
      </w:tr>
      <w:tr w:rsidR="007B5A24" w:rsidRPr="00564B9D" w14:paraId="11C03B1D" w14:textId="77777777" w:rsidTr="00804944">
        <w:trPr>
          <w:trHeight w:val="240"/>
        </w:trPr>
        <w:tc>
          <w:tcPr>
            <w:tcW w:w="3826" w:type="dxa"/>
            <w:shd w:val="clear" w:color="auto" w:fill="auto"/>
          </w:tcPr>
          <w:p w14:paraId="24A599A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الأسباب العشرة الرئيسية المؤدية إلى الوفاة</w:t>
            </w:r>
          </w:p>
        </w:tc>
        <w:tc>
          <w:tcPr>
            <w:tcW w:w="3449" w:type="dxa"/>
            <w:shd w:val="clear" w:color="auto" w:fill="auto"/>
          </w:tcPr>
          <w:p w14:paraId="0003796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2017-</w:t>
            </w:r>
            <w:r w:rsidRPr="00564B9D">
              <w:rPr>
                <w:rFonts w:hint="cs"/>
                <w:sz w:val="20"/>
                <w:szCs w:val="20"/>
                <w:rtl/>
              </w:rPr>
              <w:t>2019</w:t>
            </w:r>
            <w:r w:rsidRPr="00564B9D">
              <w:rPr>
                <w:sz w:val="20"/>
                <w:szCs w:val="20"/>
                <w:rtl/>
              </w:rPr>
              <w:t>:</w:t>
            </w:r>
          </w:p>
          <w:p w14:paraId="2054211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الأورام: 782 حالة وفاة</w:t>
            </w:r>
          </w:p>
          <w:p w14:paraId="5685E7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الدوري: 662 حالة وفاة</w:t>
            </w:r>
          </w:p>
          <w:p w14:paraId="6A1CEAA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التنفسي: 377 حالة وفاة</w:t>
            </w:r>
          </w:p>
          <w:p w14:paraId="7262F74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الاضطرابات النفسية والسلوكية: 228 حالة وفاة</w:t>
            </w:r>
          </w:p>
          <w:p w14:paraId="59B4A31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العصبي: 151 حالة وفاة</w:t>
            </w:r>
          </w:p>
          <w:p w14:paraId="01E0F2B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الهضمي: 115 حالة وفاة</w:t>
            </w:r>
          </w:p>
          <w:p w14:paraId="2DCCE02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الأسباب الخارجية للمراضة والوفيات: 110 حالة وفاة</w:t>
            </w:r>
          </w:p>
          <w:p w14:paraId="27C0FBF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الجهاز البولي التناسلي: 61 حالة وفاة</w:t>
            </w:r>
          </w:p>
          <w:p w14:paraId="318DEB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أمراض معدية وطفيلية معينة: 27 حالة وفاة</w:t>
            </w:r>
          </w:p>
          <w:p w14:paraId="2C9601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أمراض الغدد الصماء والتغذية والتمثيل الغذائي: 27 حالة وفاة</w:t>
            </w:r>
          </w:p>
        </w:tc>
      </w:tr>
      <w:tr w:rsidR="007B5A24" w:rsidRPr="00564B9D" w14:paraId="344D8EEB" w14:textId="77777777" w:rsidTr="00804944">
        <w:trPr>
          <w:trHeight w:val="240"/>
        </w:trPr>
        <w:tc>
          <w:tcPr>
            <w:tcW w:w="3826" w:type="dxa"/>
            <w:shd w:val="clear" w:color="auto" w:fill="auto"/>
          </w:tcPr>
          <w:p w14:paraId="16A87C9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الالتحاق الصافي في التعليم الابتدائي والثانوي</w:t>
            </w:r>
          </w:p>
        </w:tc>
        <w:tc>
          <w:tcPr>
            <w:tcW w:w="3449" w:type="dxa"/>
            <w:shd w:val="clear" w:color="auto" w:fill="auto"/>
          </w:tcPr>
          <w:p w14:paraId="58C0510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2016: في المدارس الابتدائية الممولة حكومياً: 98,46 في المائة (لا تشمل التلاميذ </w:t>
            </w:r>
            <w:r w:rsidRPr="00564B9D">
              <w:rPr>
                <w:rFonts w:hint="cs"/>
                <w:sz w:val="20"/>
                <w:szCs w:val="20"/>
                <w:rtl/>
              </w:rPr>
              <w:t>الذين يتعلمون</w:t>
            </w:r>
            <w:r w:rsidRPr="00564B9D">
              <w:rPr>
                <w:sz w:val="20"/>
                <w:szCs w:val="20"/>
                <w:rtl/>
              </w:rPr>
              <w:t xml:space="preserve"> من المنزل أو في القطاع الخاص)</w:t>
            </w:r>
          </w:p>
          <w:p w14:paraId="64F208E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2016: في المدارس الثانوية الممولة من القطاع العام: 96,83 في المائة (لا تشمل الطلاب </w:t>
            </w:r>
            <w:r w:rsidRPr="00564B9D">
              <w:rPr>
                <w:rFonts w:hint="cs"/>
                <w:sz w:val="20"/>
                <w:szCs w:val="20"/>
                <w:rtl/>
              </w:rPr>
              <w:t>الذين يتعلمون</w:t>
            </w:r>
            <w:r w:rsidRPr="00564B9D">
              <w:rPr>
                <w:sz w:val="20"/>
                <w:szCs w:val="20"/>
                <w:rtl/>
              </w:rPr>
              <w:t xml:space="preserve"> من المنزل أو في القطاع الخاص)</w:t>
            </w:r>
          </w:p>
        </w:tc>
      </w:tr>
      <w:tr w:rsidR="007B5A24" w:rsidRPr="00564B9D" w14:paraId="76748310" w14:textId="77777777" w:rsidTr="00804944">
        <w:trPr>
          <w:trHeight w:val="306"/>
        </w:trPr>
        <w:tc>
          <w:tcPr>
            <w:tcW w:w="3826" w:type="dxa"/>
            <w:shd w:val="clear" w:color="auto" w:fill="auto"/>
          </w:tcPr>
          <w:p w14:paraId="1E709BE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معدلات الحضور والتسرب في التعليم الابتدائي والثانوي</w:t>
            </w:r>
          </w:p>
        </w:tc>
        <w:tc>
          <w:tcPr>
            <w:tcW w:w="3449" w:type="dxa"/>
            <w:shd w:val="clear" w:color="auto" w:fill="auto"/>
          </w:tcPr>
          <w:p w14:paraId="611987D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التعليم الابتدائي:</w:t>
            </w:r>
            <w:r w:rsidRPr="00564B9D">
              <w:rPr>
                <w:sz w:val="20"/>
                <w:szCs w:val="20"/>
                <w:rtl/>
              </w:rPr>
              <w:t xml:space="preserve"> 95,2 في المائة</w:t>
            </w:r>
          </w:p>
          <w:p w14:paraId="2B7C3EC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 xml:space="preserve">التعليم </w:t>
            </w:r>
            <w:r w:rsidRPr="00564B9D">
              <w:rPr>
                <w:sz w:val="20"/>
                <w:szCs w:val="20"/>
                <w:rtl/>
              </w:rPr>
              <w:t>الثانوي</w:t>
            </w:r>
            <w:r w:rsidRPr="00564B9D">
              <w:rPr>
                <w:rFonts w:hint="cs"/>
                <w:sz w:val="20"/>
                <w:szCs w:val="20"/>
                <w:rtl/>
              </w:rPr>
              <w:t>:</w:t>
            </w:r>
            <w:r w:rsidRPr="00564B9D">
              <w:rPr>
                <w:sz w:val="20"/>
                <w:szCs w:val="20"/>
                <w:rtl/>
              </w:rPr>
              <w:t xml:space="preserve"> 92,2 في المائة</w:t>
            </w:r>
          </w:p>
          <w:p w14:paraId="588161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(بناءً على آخر مجموعة أرقام "طبيعية" قبل كوفيد-19 - 2018/2019)</w:t>
            </w:r>
          </w:p>
        </w:tc>
      </w:tr>
      <w:tr w:rsidR="007B5A24" w:rsidRPr="00564B9D" w14:paraId="178B6F65" w14:textId="77777777" w:rsidTr="00804944">
        <w:trPr>
          <w:trHeight w:val="623"/>
        </w:trPr>
        <w:tc>
          <w:tcPr>
            <w:tcW w:w="3826" w:type="dxa"/>
            <w:shd w:val="clear" w:color="auto" w:fill="auto"/>
          </w:tcPr>
          <w:p w14:paraId="6ED4F31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المعلمين إلى الطلاب في المدارس التي تمولها الحكومة</w:t>
            </w:r>
          </w:p>
        </w:tc>
        <w:tc>
          <w:tcPr>
            <w:tcW w:w="3449" w:type="dxa"/>
            <w:shd w:val="clear" w:color="auto" w:fill="auto"/>
          </w:tcPr>
          <w:p w14:paraId="7A7FE545" w14:textId="005F49AE"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اعتباراً من العام الدراسي الذي يبدأ 2020/2021، كان هناك </w:t>
            </w:r>
            <w:r w:rsidR="00F97347" w:rsidRPr="00564B9D">
              <w:rPr>
                <w:sz w:val="20"/>
                <w:szCs w:val="20"/>
                <w:rtl/>
              </w:rPr>
              <w:t>569</w:t>
            </w:r>
            <w:r w:rsidR="00F97347" w:rsidRPr="00564B9D">
              <w:rPr>
                <w:rFonts w:hint="cs"/>
                <w:sz w:val="20"/>
                <w:szCs w:val="20"/>
                <w:rtl/>
              </w:rPr>
              <w:t xml:space="preserve"> </w:t>
            </w:r>
            <w:r w:rsidRPr="00564B9D">
              <w:rPr>
                <w:sz w:val="20"/>
                <w:szCs w:val="20"/>
                <w:rtl/>
              </w:rPr>
              <w:t xml:space="preserve">11 طالباً في المدارس الابتدائية والثانوية المدعومة و788,62 مدرساً. المعلم: نسبة الطلاب </w:t>
            </w:r>
            <w:r w:rsidRPr="00564B9D">
              <w:rPr>
                <w:rFonts w:hint="cs"/>
                <w:sz w:val="20"/>
                <w:szCs w:val="20"/>
                <w:rtl/>
              </w:rPr>
              <w:t>هي</w:t>
            </w:r>
            <w:r w:rsidRPr="00564B9D">
              <w:rPr>
                <w:sz w:val="20"/>
                <w:szCs w:val="20"/>
                <w:rtl/>
              </w:rPr>
              <w:t xml:space="preserve"> 1: 14,67</w:t>
            </w:r>
            <w:r w:rsidRPr="00564B9D">
              <w:rPr>
                <w:sz w:val="20"/>
                <w:szCs w:val="20"/>
                <w:vertAlign w:val="superscript"/>
                <w:rtl/>
              </w:rPr>
              <w:t>(</w:t>
            </w:r>
            <w:r w:rsidRPr="00564B9D">
              <w:rPr>
                <w:rStyle w:val="FootnoteReference"/>
                <w:rFonts w:cs="Simplified Arabic"/>
                <w:b w:val="0"/>
                <w:sz w:val="20"/>
                <w:szCs w:val="20"/>
                <w:rtl/>
                <w:lang w:val="en-US"/>
              </w:rPr>
              <w:footnoteReference w:id="379"/>
            </w:r>
            <w:r w:rsidRPr="00564B9D">
              <w:rPr>
                <w:sz w:val="20"/>
                <w:szCs w:val="20"/>
                <w:vertAlign w:val="superscript"/>
                <w:rtl/>
              </w:rPr>
              <w:t>)</w:t>
            </w:r>
            <w:r w:rsidRPr="00564B9D">
              <w:rPr>
                <w:sz w:val="20"/>
                <w:szCs w:val="20"/>
                <w:rtl/>
              </w:rPr>
              <w:t xml:space="preserve"> </w:t>
            </w:r>
          </w:p>
        </w:tc>
      </w:tr>
      <w:tr w:rsidR="007B5A24" w:rsidRPr="00564B9D" w14:paraId="028A3386" w14:textId="77777777" w:rsidTr="00804944">
        <w:trPr>
          <w:trHeight w:val="240"/>
        </w:trPr>
        <w:tc>
          <w:tcPr>
            <w:tcW w:w="3826" w:type="dxa"/>
            <w:shd w:val="clear" w:color="auto" w:fill="auto"/>
          </w:tcPr>
          <w:p w14:paraId="5B3D3BB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الإلمام بالقراءة والكتابة بين البالغين</w:t>
            </w:r>
          </w:p>
        </w:tc>
        <w:tc>
          <w:tcPr>
            <w:tcW w:w="3449" w:type="dxa"/>
            <w:shd w:val="clear" w:color="auto" w:fill="auto"/>
          </w:tcPr>
          <w:p w14:paraId="572A083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r w:rsidR="007B5A24" w:rsidRPr="00564B9D" w14:paraId="48818D9B" w14:textId="77777777" w:rsidTr="00804944">
        <w:trPr>
          <w:trHeight w:val="240"/>
        </w:trPr>
        <w:tc>
          <w:tcPr>
            <w:tcW w:w="3826" w:type="dxa"/>
            <w:shd w:val="clear" w:color="auto" w:fill="auto"/>
          </w:tcPr>
          <w:p w14:paraId="0AE753B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 البطالة </w:t>
            </w:r>
          </w:p>
        </w:tc>
        <w:tc>
          <w:tcPr>
            <w:tcW w:w="3449" w:type="dxa"/>
            <w:shd w:val="clear" w:color="auto" w:fill="auto"/>
          </w:tcPr>
          <w:p w14:paraId="6783DB5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2,1 في المائة</w:t>
            </w:r>
            <w:r w:rsidRPr="00564B9D">
              <w:rPr>
                <w:sz w:val="20"/>
                <w:szCs w:val="20"/>
                <w:vertAlign w:val="superscript"/>
                <w:rtl/>
              </w:rPr>
              <w:t>(</w:t>
            </w:r>
            <w:r w:rsidRPr="00564B9D">
              <w:rPr>
                <w:rStyle w:val="FootnoteReference"/>
                <w:rFonts w:cs="Simplified Arabic"/>
                <w:b w:val="0"/>
                <w:sz w:val="20"/>
                <w:szCs w:val="20"/>
                <w:rtl/>
                <w:lang w:val="en-US"/>
              </w:rPr>
              <w:footnoteReference w:id="380"/>
            </w:r>
            <w:r w:rsidRPr="00564B9D">
              <w:rPr>
                <w:sz w:val="20"/>
                <w:szCs w:val="20"/>
                <w:vertAlign w:val="superscript"/>
                <w:rtl/>
              </w:rPr>
              <w:t>)</w:t>
            </w:r>
            <w:r w:rsidRPr="00564B9D">
              <w:rPr>
                <w:rFonts w:hint="cs"/>
                <w:sz w:val="20"/>
                <w:szCs w:val="20"/>
                <w:rtl/>
              </w:rPr>
              <w:t xml:space="preserve"> (أيلول/سبتمبر 2020)</w:t>
            </w:r>
          </w:p>
        </w:tc>
      </w:tr>
      <w:tr w:rsidR="007B5A24" w:rsidRPr="00564B9D" w14:paraId="11973FA7" w14:textId="77777777" w:rsidTr="00804944">
        <w:trPr>
          <w:trHeight w:val="240"/>
        </w:trPr>
        <w:tc>
          <w:tcPr>
            <w:tcW w:w="3826" w:type="dxa"/>
            <w:shd w:val="clear" w:color="auto" w:fill="auto"/>
          </w:tcPr>
          <w:p w14:paraId="2D22400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العمالة حسب القطاعات الرئيسية للنشاط الاقتصادي، بما في ذلك القطاعات الرسمية وغير الرسمية</w:t>
            </w:r>
          </w:p>
        </w:tc>
        <w:tc>
          <w:tcPr>
            <w:tcW w:w="3449" w:type="dxa"/>
            <w:shd w:val="clear" w:color="auto" w:fill="auto"/>
          </w:tcPr>
          <w:p w14:paraId="15FF731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تظهر المعلومات الواردة أدناه المأخوذة من التعداد السكاني لعام 2016 النسب المئوية التقريبية حسب القطاع للمستخدمين في ذلك الوقت في جزيرة مان:</w:t>
            </w:r>
          </w:p>
          <w:p w14:paraId="03EFCAD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القطاع النسبة المئوية</w:t>
            </w:r>
          </w:p>
          <w:p w14:paraId="214599DC"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الزراعة والغابات وصيد الأسماك 2</w:t>
            </w:r>
          </w:p>
          <w:p w14:paraId="062C5B27"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التصنيع: الطعام والشراب 1,2</w:t>
            </w:r>
          </w:p>
          <w:p w14:paraId="6EB18C8E"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التصنيع: الهندسة 2,4</w:t>
            </w:r>
          </w:p>
          <w:p w14:paraId="2C6A15EE"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التصنيع: أخرى 1,1</w:t>
            </w:r>
          </w:p>
          <w:p w14:paraId="7CD80620"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المناجم واستغلال المحاجر 0,1</w:t>
            </w:r>
          </w:p>
          <w:p w14:paraId="06700273"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البناء 8,4</w:t>
            </w:r>
          </w:p>
          <w:p w14:paraId="121A9CF8"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الكهرباء والماء والغاز والطاقة الأخرى 1,2</w:t>
            </w:r>
          </w:p>
          <w:p w14:paraId="2204897F"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النقل والاتصالات 5,9</w:t>
            </w:r>
          </w:p>
          <w:p w14:paraId="231B97D8"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التوزيع بالجملة 1</w:t>
            </w:r>
          </w:p>
          <w:p w14:paraId="749CF09D"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التوزيع بالتجزئة 7,8</w:t>
            </w:r>
          </w:p>
          <w:p w14:paraId="43C7AB40"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التأمين 4,5</w:t>
            </w:r>
          </w:p>
          <w:p w14:paraId="5E018599"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البنوك 5,5</w:t>
            </w:r>
          </w:p>
          <w:p w14:paraId="7B6F2621"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المؤسسات المالية الأخرى 2,7</w:t>
            </w:r>
          </w:p>
          <w:p w14:paraId="7216C13D"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امتلاك وإدارة الممتلكات 1,4</w:t>
            </w:r>
          </w:p>
          <w:p w14:paraId="6E0027BC"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خدمات الأعمال الأخرى 3,1</w:t>
            </w:r>
          </w:p>
          <w:p w14:paraId="17014AC4"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الترفيه والتموين 4,2</w:t>
            </w:r>
          </w:p>
          <w:p w14:paraId="279DF13C" w14:textId="541E6A7B" w:rsidR="00494AE4" w:rsidRPr="00564B9D" w:rsidRDefault="00F97347"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 xml:space="preserve">الألعاب الشبكية </w:t>
            </w:r>
            <w:r w:rsidR="00494AE4" w:rsidRPr="00564B9D">
              <w:rPr>
                <w:sz w:val="20"/>
                <w:szCs w:val="20"/>
              </w:rPr>
              <w:t>1,6</w:t>
            </w:r>
          </w:p>
          <w:p w14:paraId="713C4ED4"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خدمات متنوعة 9,3</w:t>
            </w:r>
          </w:p>
          <w:p w14:paraId="31A91886"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الإدارة العامة 7,3</w:t>
            </w:r>
          </w:p>
          <w:p w14:paraId="3F1E89BF"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Pr>
            </w:pPr>
            <w:r w:rsidRPr="00564B9D">
              <w:rPr>
                <w:sz w:val="20"/>
                <w:szCs w:val="20"/>
                <w:rtl/>
              </w:rPr>
              <w:t xml:space="preserve">مقدمو خدمات الشركات </w:t>
            </w:r>
            <w:r w:rsidRPr="00564B9D">
              <w:rPr>
                <w:rFonts w:hint="cs"/>
                <w:sz w:val="20"/>
                <w:szCs w:val="20"/>
                <w:rtl/>
              </w:rPr>
              <w:t>3,8</w:t>
            </w:r>
          </w:p>
        </w:tc>
      </w:tr>
      <w:tr w:rsidR="007B5A24" w:rsidRPr="00564B9D" w14:paraId="1736B697" w14:textId="77777777" w:rsidTr="00804944">
        <w:trPr>
          <w:trHeight w:val="240"/>
        </w:trPr>
        <w:tc>
          <w:tcPr>
            <w:tcW w:w="3826" w:type="dxa"/>
            <w:shd w:val="clear" w:color="auto" w:fill="auto"/>
          </w:tcPr>
          <w:p w14:paraId="7271A64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معدلات المشاركة في العمل </w:t>
            </w:r>
          </w:p>
        </w:tc>
        <w:tc>
          <w:tcPr>
            <w:tcW w:w="3449" w:type="dxa"/>
            <w:shd w:val="clear" w:color="auto" w:fill="auto"/>
          </w:tcPr>
          <w:p w14:paraId="0D0516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في التعداد السكاني لعام 2016، كان 51,3 في المائة من السكان ناشطين اقتصادياً</w:t>
            </w:r>
          </w:p>
        </w:tc>
      </w:tr>
      <w:tr w:rsidR="007B5A24" w:rsidRPr="00564B9D" w14:paraId="74D37ED7" w14:textId="77777777" w:rsidTr="00804944">
        <w:trPr>
          <w:trHeight w:val="240"/>
        </w:trPr>
        <w:tc>
          <w:tcPr>
            <w:tcW w:w="3826" w:type="dxa"/>
            <w:shd w:val="clear" w:color="auto" w:fill="auto"/>
          </w:tcPr>
          <w:p w14:paraId="29076E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القوى العاملة المسجلة في نقابات العمال</w:t>
            </w:r>
          </w:p>
        </w:tc>
        <w:tc>
          <w:tcPr>
            <w:tcW w:w="3449" w:type="dxa"/>
            <w:shd w:val="clear" w:color="auto" w:fill="auto"/>
          </w:tcPr>
          <w:p w14:paraId="1D161FE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لم تتوفر المعلومات بعد</w:t>
            </w:r>
          </w:p>
        </w:tc>
      </w:tr>
      <w:tr w:rsidR="007B5A24" w:rsidRPr="00564B9D" w14:paraId="7D3B33F9" w14:textId="77777777" w:rsidTr="00804944">
        <w:trPr>
          <w:trHeight w:val="240"/>
        </w:trPr>
        <w:tc>
          <w:tcPr>
            <w:tcW w:w="3826" w:type="dxa"/>
            <w:shd w:val="clear" w:color="auto" w:fill="auto"/>
          </w:tcPr>
          <w:p w14:paraId="70B603B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نصيب الفرد من الدخل </w:t>
            </w:r>
          </w:p>
        </w:tc>
        <w:tc>
          <w:tcPr>
            <w:tcW w:w="3449" w:type="dxa"/>
            <w:shd w:val="clear" w:color="auto" w:fill="auto"/>
          </w:tcPr>
          <w:p w14:paraId="11B8E5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163</w:t>
            </w:r>
            <w:r w:rsidRPr="00564B9D">
              <w:rPr>
                <w:rFonts w:hint="cs"/>
                <w:sz w:val="20"/>
                <w:szCs w:val="20"/>
                <w:rtl/>
              </w:rPr>
              <w:t xml:space="preserve"> </w:t>
            </w:r>
            <w:r w:rsidRPr="00564B9D">
              <w:rPr>
                <w:sz w:val="20"/>
                <w:szCs w:val="20"/>
                <w:rtl/>
              </w:rPr>
              <w:t>65 جنيه إسترليني (2018/</w:t>
            </w:r>
            <w:r w:rsidRPr="00564B9D">
              <w:rPr>
                <w:rFonts w:hint="cs"/>
                <w:sz w:val="20"/>
                <w:szCs w:val="20"/>
                <w:rtl/>
              </w:rPr>
              <w:t>2019</w:t>
            </w:r>
            <w:r w:rsidRPr="00564B9D">
              <w:rPr>
                <w:sz w:val="20"/>
                <w:szCs w:val="20"/>
                <w:rtl/>
              </w:rPr>
              <w:t>)</w:t>
            </w:r>
          </w:p>
        </w:tc>
      </w:tr>
      <w:tr w:rsidR="007B5A24" w:rsidRPr="00564B9D" w14:paraId="2C0220B8" w14:textId="77777777" w:rsidTr="00804944">
        <w:trPr>
          <w:trHeight w:val="240"/>
        </w:trPr>
        <w:tc>
          <w:tcPr>
            <w:tcW w:w="3826" w:type="dxa"/>
            <w:shd w:val="clear" w:color="auto" w:fill="auto"/>
          </w:tcPr>
          <w:p w14:paraId="6345C38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الناتج المحلي الإجمالي </w:t>
            </w:r>
          </w:p>
        </w:tc>
        <w:tc>
          <w:tcPr>
            <w:tcW w:w="3449" w:type="dxa"/>
            <w:shd w:val="clear" w:color="auto" w:fill="auto"/>
          </w:tcPr>
          <w:p w14:paraId="066A030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5,4 بلايين جنيه إسترليني (2018/</w:t>
            </w:r>
            <w:r w:rsidRPr="00564B9D">
              <w:rPr>
                <w:rFonts w:hint="cs"/>
                <w:sz w:val="20"/>
                <w:szCs w:val="20"/>
                <w:rtl/>
              </w:rPr>
              <w:t>2019</w:t>
            </w:r>
            <w:r w:rsidRPr="00564B9D">
              <w:rPr>
                <w:sz w:val="20"/>
                <w:szCs w:val="20"/>
                <w:rtl/>
              </w:rPr>
              <w:t>)</w:t>
            </w:r>
          </w:p>
        </w:tc>
      </w:tr>
      <w:tr w:rsidR="007B5A24" w:rsidRPr="00564B9D" w14:paraId="0710195F" w14:textId="77777777" w:rsidTr="00804944">
        <w:trPr>
          <w:trHeight w:val="240"/>
        </w:trPr>
        <w:tc>
          <w:tcPr>
            <w:tcW w:w="3826" w:type="dxa"/>
            <w:shd w:val="clear" w:color="auto" w:fill="auto"/>
          </w:tcPr>
          <w:p w14:paraId="68AE07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معدل النمو السنوي</w:t>
            </w:r>
          </w:p>
        </w:tc>
        <w:tc>
          <w:tcPr>
            <w:tcW w:w="3449" w:type="dxa"/>
            <w:shd w:val="clear" w:color="auto" w:fill="auto"/>
          </w:tcPr>
          <w:p w14:paraId="7754B0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1,9 في المائة</w:t>
            </w:r>
          </w:p>
        </w:tc>
      </w:tr>
      <w:tr w:rsidR="007B5A24" w:rsidRPr="00564B9D" w14:paraId="267749D5" w14:textId="77777777" w:rsidTr="00804944">
        <w:trPr>
          <w:trHeight w:val="240"/>
        </w:trPr>
        <w:tc>
          <w:tcPr>
            <w:tcW w:w="3826" w:type="dxa"/>
            <w:shd w:val="clear" w:color="auto" w:fill="auto"/>
          </w:tcPr>
          <w:p w14:paraId="0FAA041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الدخل القومي الإجمالي</w:t>
            </w:r>
          </w:p>
        </w:tc>
        <w:tc>
          <w:tcPr>
            <w:tcW w:w="3449" w:type="dxa"/>
            <w:shd w:val="clear" w:color="auto" w:fill="auto"/>
          </w:tcPr>
          <w:p w14:paraId="086BB12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5,3 بلايين جنيه إسترليني (2018/</w:t>
            </w:r>
            <w:r w:rsidRPr="00564B9D">
              <w:rPr>
                <w:rFonts w:hint="cs"/>
                <w:sz w:val="20"/>
                <w:szCs w:val="20"/>
                <w:rtl/>
              </w:rPr>
              <w:t>2019</w:t>
            </w:r>
            <w:r w:rsidRPr="00564B9D">
              <w:rPr>
                <w:sz w:val="20"/>
                <w:szCs w:val="20"/>
                <w:rtl/>
              </w:rPr>
              <w:t>)</w:t>
            </w:r>
          </w:p>
        </w:tc>
      </w:tr>
      <w:tr w:rsidR="007B5A24" w:rsidRPr="00564B9D" w14:paraId="75973C59" w14:textId="77777777" w:rsidTr="00804944">
        <w:trPr>
          <w:trHeight w:val="240"/>
        </w:trPr>
        <w:tc>
          <w:tcPr>
            <w:tcW w:w="3826" w:type="dxa"/>
            <w:shd w:val="clear" w:color="auto" w:fill="auto"/>
          </w:tcPr>
          <w:p w14:paraId="49583A1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مؤشر أسعار الاستهلاك </w:t>
            </w:r>
          </w:p>
        </w:tc>
        <w:tc>
          <w:tcPr>
            <w:tcW w:w="3449" w:type="dxa"/>
            <w:shd w:val="clear" w:color="auto" w:fill="auto"/>
          </w:tcPr>
          <w:p w14:paraId="58BA13D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- 1,3 في المائة (</w:t>
            </w:r>
            <w:r w:rsidRPr="00564B9D">
              <w:rPr>
                <w:rFonts w:hint="cs"/>
                <w:sz w:val="20"/>
                <w:szCs w:val="20"/>
                <w:rtl/>
              </w:rPr>
              <w:t>أيلول/</w:t>
            </w:r>
            <w:r w:rsidRPr="00564B9D">
              <w:rPr>
                <w:sz w:val="20"/>
                <w:szCs w:val="20"/>
                <w:rtl/>
              </w:rPr>
              <w:t>سبتمبر 2020)</w:t>
            </w:r>
          </w:p>
        </w:tc>
      </w:tr>
      <w:tr w:rsidR="007B5A24" w:rsidRPr="00564B9D" w14:paraId="4CFE6178" w14:textId="77777777" w:rsidTr="00804944">
        <w:trPr>
          <w:trHeight w:val="240"/>
        </w:trPr>
        <w:tc>
          <w:tcPr>
            <w:tcW w:w="3826" w:type="dxa"/>
            <w:shd w:val="clear" w:color="auto" w:fill="auto"/>
          </w:tcPr>
          <w:p w14:paraId="45F3131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الإنفاق الاجتماعي (مثل الطعام والإسكان والصحة والتعليم والضمان الاجتماعي ونحو ذلك) كنسبة من الإنفاق الإجمالي والناتج المحلي الإجمالي</w:t>
            </w:r>
          </w:p>
        </w:tc>
        <w:tc>
          <w:tcPr>
            <w:tcW w:w="3449" w:type="dxa"/>
            <w:shd w:val="clear" w:color="auto" w:fill="auto"/>
          </w:tcPr>
          <w:p w14:paraId="19308E2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w:t>
            </w:r>
            <w:r w:rsidRPr="00564B9D">
              <w:rPr>
                <w:sz w:val="20"/>
                <w:szCs w:val="20"/>
                <w:rtl/>
              </w:rPr>
              <w:t xml:space="preserve">نسبة </w:t>
            </w:r>
            <w:r w:rsidRPr="00564B9D">
              <w:rPr>
                <w:rFonts w:hint="cs"/>
                <w:sz w:val="20"/>
                <w:szCs w:val="20"/>
                <w:rtl/>
              </w:rPr>
              <w:t xml:space="preserve">من </w:t>
            </w:r>
            <w:r w:rsidRPr="00564B9D">
              <w:rPr>
                <w:sz w:val="20"/>
                <w:szCs w:val="20"/>
                <w:rtl/>
              </w:rPr>
              <w:t>الإنفاق العام</w:t>
            </w:r>
          </w:p>
          <w:p w14:paraId="76CA79D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التعليم: 13 في المائة</w:t>
            </w:r>
          </w:p>
          <w:p w14:paraId="50B0D06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الطعام</w:t>
            </w:r>
            <w:r w:rsidRPr="00564B9D">
              <w:rPr>
                <w:sz w:val="20"/>
                <w:szCs w:val="20"/>
                <w:rtl/>
              </w:rPr>
              <w:t xml:space="preserve"> والثروة السمكية: 1 في المائة</w:t>
            </w:r>
          </w:p>
          <w:p w14:paraId="2A37A1D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الصحة: 28 في المائة</w:t>
            </w:r>
          </w:p>
          <w:p w14:paraId="33476A5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الإسكان</w:t>
            </w:r>
            <w:r w:rsidRPr="00564B9D">
              <w:rPr>
                <w:sz w:val="20"/>
                <w:szCs w:val="20"/>
                <w:rtl/>
              </w:rPr>
              <w:t>: 0 في المائة</w:t>
            </w:r>
          </w:p>
          <w:p w14:paraId="55C7C4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الضمان الاجتماعي: 35 في المائة</w:t>
            </w:r>
          </w:p>
          <w:p w14:paraId="6BCE33D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w:t>
            </w:r>
            <w:r w:rsidRPr="00564B9D">
              <w:rPr>
                <w:sz w:val="20"/>
                <w:szCs w:val="20"/>
                <w:rtl/>
              </w:rPr>
              <w:t>نسبة من الناتج المحلي الإجمالي</w:t>
            </w:r>
          </w:p>
          <w:p w14:paraId="60A7AE8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التعليم: 2 في المائة</w:t>
            </w:r>
          </w:p>
          <w:p w14:paraId="1BDF28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الطعام</w:t>
            </w:r>
            <w:r w:rsidRPr="00564B9D">
              <w:rPr>
                <w:sz w:val="20"/>
                <w:szCs w:val="20"/>
                <w:rtl/>
              </w:rPr>
              <w:t xml:space="preserve"> والثروة السمكية: 0 في المائة</w:t>
            </w:r>
          </w:p>
          <w:p w14:paraId="5B1E4D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الصحة: 4 في المائة</w:t>
            </w:r>
          </w:p>
          <w:p w14:paraId="3486EC9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lastRenderedPageBreak/>
              <w:t>الإسكان</w:t>
            </w:r>
            <w:r w:rsidRPr="00564B9D">
              <w:rPr>
                <w:sz w:val="20"/>
                <w:szCs w:val="20"/>
                <w:rtl/>
              </w:rPr>
              <w:t>: 0 في المائة</w:t>
            </w:r>
          </w:p>
          <w:p w14:paraId="373024B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الضمان الاجتماعي: 5 في المائة</w:t>
            </w:r>
          </w:p>
        </w:tc>
      </w:tr>
      <w:tr w:rsidR="007B5A24" w:rsidRPr="00564B9D" w14:paraId="4E325751" w14:textId="77777777" w:rsidTr="00804944">
        <w:trPr>
          <w:trHeight w:val="240"/>
        </w:trPr>
        <w:tc>
          <w:tcPr>
            <w:tcW w:w="3826" w:type="dxa"/>
            <w:shd w:val="clear" w:color="auto" w:fill="auto"/>
          </w:tcPr>
          <w:p w14:paraId="55EE07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lastRenderedPageBreak/>
              <w:t>الديون العامة الخارجية والمحلية</w:t>
            </w:r>
          </w:p>
        </w:tc>
        <w:tc>
          <w:tcPr>
            <w:tcW w:w="3449" w:type="dxa"/>
            <w:shd w:val="clear" w:color="auto" w:fill="auto"/>
          </w:tcPr>
          <w:p w14:paraId="2799B14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r w:rsidR="007B5A24" w:rsidRPr="00564B9D" w14:paraId="533998DB" w14:textId="77777777" w:rsidTr="00804944">
        <w:trPr>
          <w:trHeight w:val="240"/>
        </w:trPr>
        <w:tc>
          <w:tcPr>
            <w:tcW w:w="3826" w:type="dxa"/>
            <w:tcBorders>
              <w:bottom w:val="single" w:sz="12" w:space="0" w:color="auto"/>
            </w:tcBorders>
            <w:shd w:val="clear" w:color="auto" w:fill="auto"/>
          </w:tcPr>
          <w:p w14:paraId="7C4CA1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المساعدة الدولية المقدمة نسبة الى ميزانية الدولة بحسب القطاع ونسبة إلى الدخل القومي الإجمالي</w:t>
            </w:r>
          </w:p>
        </w:tc>
        <w:tc>
          <w:tcPr>
            <w:tcW w:w="3449" w:type="dxa"/>
            <w:tcBorders>
              <w:bottom w:val="single" w:sz="12" w:space="0" w:color="auto"/>
            </w:tcBorders>
            <w:shd w:val="clear" w:color="auto" w:fill="auto"/>
          </w:tcPr>
          <w:p w14:paraId="22DEAA5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لم تتوفر المعلومات بعد</w:t>
            </w:r>
          </w:p>
        </w:tc>
      </w:tr>
    </w:tbl>
    <w:p w14:paraId="63A9EDD0" w14:textId="77777777" w:rsidR="00494AE4" w:rsidRPr="00564B9D" w:rsidRDefault="00494AE4" w:rsidP="00494AE4">
      <w:pPr>
        <w:pStyle w:val="SingleTxtGA"/>
        <w:rPr>
          <w:rtl/>
        </w:rPr>
      </w:pPr>
    </w:p>
    <w:tbl>
      <w:tblPr>
        <w:bidiVisual/>
        <w:tblW w:w="8392" w:type="dxa"/>
        <w:tblInd w:w="1247" w:type="dxa"/>
        <w:tblLayout w:type="fixed"/>
        <w:tblCellMar>
          <w:right w:w="113" w:type="dxa"/>
        </w:tblCellMar>
        <w:tblLook w:val="01E0" w:firstRow="1" w:lastRow="1" w:firstColumn="1" w:lastColumn="1" w:noHBand="0" w:noVBand="0"/>
      </w:tblPr>
      <w:tblGrid>
        <w:gridCol w:w="4413"/>
        <w:gridCol w:w="3979"/>
      </w:tblGrid>
      <w:tr w:rsidR="007B5A24" w:rsidRPr="00564B9D" w14:paraId="0A6FE4C4" w14:textId="77777777" w:rsidTr="00804944">
        <w:trPr>
          <w:trHeight w:val="240"/>
          <w:tblHeader/>
        </w:trPr>
        <w:tc>
          <w:tcPr>
            <w:tcW w:w="7284" w:type="dxa"/>
            <w:gridSpan w:val="2"/>
            <w:tcBorders>
              <w:top w:val="single" w:sz="4" w:space="0" w:color="auto"/>
              <w:bottom w:val="single" w:sz="12" w:space="0" w:color="auto"/>
            </w:tcBorders>
            <w:shd w:val="clear" w:color="auto" w:fill="auto"/>
            <w:vAlign w:val="bottom"/>
          </w:tcPr>
          <w:p w14:paraId="09151FC1"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Pr>
            </w:pPr>
            <w:r w:rsidRPr="00564B9D">
              <w:rPr>
                <w:rFonts w:hint="cs"/>
                <w:i/>
                <w:iCs/>
                <w:sz w:val="20"/>
                <w:szCs w:val="20"/>
                <w:rtl/>
              </w:rPr>
              <w:t xml:space="preserve">المؤشرات المتعلقة بالنظام السياسي </w:t>
            </w:r>
          </w:p>
        </w:tc>
      </w:tr>
      <w:tr w:rsidR="007B5A24" w:rsidRPr="00564B9D" w14:paraId="40486F3C" w14:textId="77777777" w:rsidTr="00804944">
        <w:trPr>
          <w:trHeight w:val="282"/>
        </w:trPr>
        <w:tc>
          <w:tcPr>
            <w:tcW w:w="3830" w:type="dxa"/>
            <w:tcBorders>
              <w:top w:val="single" w:sz="12" w:space="0" w:color="auto"/>
            </w:tcBorders>
            <w:shd w:val="clear" w:color="auto" w:fill="auto"/>
          </w:tcPr>
          <w:p w14:paraId="01A7E8C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عدد الأحزاب السياسية المعترف بها على المستوى الوطني</w:t>
            </w:r>
          </w:p>
        </w:tc>
        <w:tc>
          <w:tcPr>
            <w:tcW w:w="3454" w:type="dxa"/>
            <w:tcBorders>
              <w:top w:val="single" w:sz="12" w:space="0" w:color="auto"/>
            </w:tcBorders>
            <w:shd w:val="clear" w:color="auto" w:fill="auto"/>
          </w:tcPr>
          <w:p w14:paraId="306F7E2E" w14:textId="5CEA760F" w:rsidR="00494AE4" w:rsidRPr="00564B9D" w:rsidRDefault="00494AE4" w:rsidP="00564B9D">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3</w:t>
            </w:r>
            <w:r w:rsidRPr="00564B9D">
              <w:rPr>
                <w:sz w:val="20"/>
                <w:szCs w:val="20"/>
                <w:vertAlign w:val="superscript"/>
                <w:rtl/>
              </w:rPr>
              <w:t>(</w:t>
            </w:r>
            <w:r w:rsidRPr="00564B9D">
              <w:rPr>
                <w:rStyle w:val="FootnoteReference"/>
                <w:rFonts w:cs="Simplified Arabic"/>
                <w:b w:val="0"/>
                <w:sz w:val="20"/>
                <w:szCs w:val="20"/>
                <w:rtl/>
                <w:lang w:val="en-US"/>
              </w:rPr>
              <w:footnoteReference w:id="381"/>
            </w:r>
            <w:r w:rsidRPr="00564B9D">
              <w:rPr>
                <w:sz w:val="20"/>
                <w:szCs w:val="20"/>
                <w:vertAlign w:val="superscript"/>
                <w:rtl/>
              </w:rPr>
              <w:t>)</w:t>
            </w:r>
            <w:r w:rsidRPr="00564B9D">
              <w:rPr>
                <w:sz w:val="20"/>
                <w:szCs w:val="20"/>
                <w:rtl/>
              </w:rPr>
              <w:t xml:space="preserve"> </w:t>
            </w:r>
          </w:p>
        </w:tc>
      </w:tr>
      <w:tr w:rsidR="007B5A24" w:rsidRPr="00564B9D" w14:paraId="310C68BC" w14:textId="77777777" w:rsidTr="00804944">
        <w:trPr>
          <w:trHeight w:val="240"/>
        </w:trPr>
        <w:tc>
          <w:tcPr>
            <w:tcW w:w="3830" w:type="dxa"/>
            <w:shd w:val="clear" w:color="auto" w:fill="auto"/>
          </w:tcPr>
          <w:p w14:paraId="35E01B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المؤهلين للتصويت</w:t>
            </w:r>
          </w:p>
        </w:tc>
        <w:tc>
          <w:tcPr>
            <w:tcW w:w="3454" w:type="dxa"/>
            <w:shd w:val="clear" w:color="auto" w:fill="auto"/>
          </w:tcPr>
          <w:p w14:paraId="71930AA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يمكن لأي شخص يبلغ من العمر 16 عاماً أو أكثر التصويت في جزيرة مان، بشرط أن يكون قد أقام في جزيرة مان لمدة عام واحد. وفي وقت</w:t>
            </w:r>
            <w:r w:rsidRPr="00564B9D">
              <w:rPr>
                <w:rFonts w:hint="cs"/>
                <w:sz w:val="20"/>
                <w:szCs w:val="20"/>
                <w:rtl/>
              </w:rPr>
              <w:t xml:space="preserve"> إجراء</w:t>
            </w:r>
            <w:r w:rsidRPr="00564B9D">
              <w:rPr>
                <w:sz w:val="20"/>
                <w:szCs w:val="20"/>
                <w:rtl/>
              </w:rPr>
              <w:t xml:space="preserve"> التعداد السكاني لعام 2016، كان عدد السكان الذين يبلغون من العمر 16 عاماً فأكثر 081 69 أي ما يعادل 82.9 في المائة من السكان.</w:t>
            </w:r>
          </w:p>
        </w:tc>
      </w:tr>
      <w:tr w:rsidR="007B5A24" w:rsidRPr="00564B9D" w14:paraId="3A41FC47" w14:textId="77777777" w:rsidTr="00804944">
        <w:trPr>
          <w:trHeight w:val="240"/>
        </w:trPr>
        <w:tc>
          <w:tcPr>
            <w:tcW w:w="3830" w:type="dxa"/>
            <w:shd w:val="clear" w:color="auto" w:fill="auto"/>
          </w:tcPr>
          <w:p w14:paraId="441AB37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نسبة السكان غير المواطنين المسجلين للتصويت</w:t>
            </w:r>
          </w:p>
        </w:tc>
        <w:tc>
          <w:tcPr>
            <w:tcW w:w="3454" w:type="dxa"/>
            <w:shd w:val="clear" w:color="auto" w:fill="auto"/>
          </w:tcPr>
          <w:p w14:paraId="4F63946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الأرقام غير متوفرة - أثناء التسجيل يشترط أن يكون الشخص قد أقام في الجزيرة لمدة 12 شهراً.</w:t>
            </w:r>
          </w:p>
        </w:tc>
      </w:tr>
      <w:tr w:rsidR="007B5A24" w:rsidRPr="00564B9D" w14:paraId="6A2374B6" w14:textId="77777777" w:rsidTr="00804944">
        <w:trPr>
          <w:trHeight w:val="240"/>
        </w:trPr>
        <w:tc>
          <w:tcPr>
            <w:tcW w:w="3830" w:type="dxa"/>
            <w:shd w:val="clear" w:color="auto" w:fill="auto"/>
          </w:tcPr>
          <w:p w14:paraId="1078121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الشكاوى المرفوعة بشأن سير الانتخابات المسجلة، حسب نوع المخالفة المدعاة</w:t>
            </w:r>
          </w:p>
        </w:tc>
        <w:tc>
          <w:tcPr>
            <w:tcW w:w="3454" w:type="dxa"/>
            <w:shd w:val="clear" w:color="auto" w:fill="auto"/>
          </w:tcPr>
          <w:p w14:paraId="695B2EE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تم استلام شكوى واحدة بخصوص إدارة </w:t>
            </w:r>
            <w:r w:rsidRPr="00564B9D">
              <w:rPr>
                <w:rFonts w:hint="cs"/>
                <w:sz w:val="20"/>
                <w:szCs w:val="20"/>
                <w:rtl/>
              </w:rPr>
              <w:t>أحد أماكن فرز الأصوات</w:t>
            </w:r>
            <w:r w:rsidRPr="00564B9D">
              <w:rPr>
                <w:sz w:val="20"/>
                <w:szCs w:val="20"/>
                <w:rtl/>
              </w:rPr>
              <w:t xml:space="preserve"> خلال الانتخابات العامة لعام 2016. وقد دحض الموظف المسؤول جميع المخاوف التي أثيرت.</w:t>
            </w:r>
          </w:p>
        </w:tc>
      </w:tr>
      <w:tr w:rsidR="007B5A24" w:rsidRPr="00564B9D" w14:paraId="66CF6068" w14:textId="77777777" w:rsidTr="00804944">
        <w:trPr>
          <w:trHeight w:val="240"/>
        </w:trPr>
        <w:tc>
          <w:tcPr>
            <w:tcW w:w="3830" w:type="dxa"/>
            <w:shd w:val="clear" w:color="auto" w:fill="auto"/>
          </w:tcPr>
          <w:p w14:paraId="6D4162A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التغطية السكانية وتحليل ملكية القنوات الإعلامية الرئيسية (إلكترونية، مطبوعة، سمعية ونحو ذلك)</w:t>
            </w:r>
          </w:p>
        </w:tc>
        <w:tc>
          <w:tcPr>
            <w:tcW w:w="3454" w:type="dxa"/>
            <w:shd w:val="clear" w:color="auto" w:fill="auto"/>
          </w:tcPr>
          <w:p w14:paraId="00736AA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وسائط الإعلام الوطنية للمملكة المتحدة إلى جانب المحطات الإذاعية والصحافة في جزيرة مان تغطي الجزيرة بكاملها</w:t>
            </w:r>
          </w:p>
        </w:tc>
      </w:tr>
      <w:tr w:rsidR="007B5A24" w:rsidRPr="00564B9D" w14:paraId="4BB4BEAD" w14:textId="77777777" w:rsidTr="00804944">
        <w:trPr>
          <w:trHeight w:val="240"/>
        </w:trPr>
        <w:tc>
          <w:tcPr>
            <w:tcW w:w="3830" w:type="dxa"/>
            <w:shd w:val="clear" w:color="auto" w:fill="auto"/>
          </w:tcPr>
          <w:p w14:paraId="3CB26A8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عدد المنظمات غير الحكومية المعترف بها</w:t>
            </w:r>
          </w:p>
        </w:tc>
        <w:tc>
          <w:tcPr>
            <w:tcW w:w="3454" w:type="dxa"/>
            <w:shd w:val="clear" w:color="auto" w:fill="auto"/>
          </w:tcPr>
          <w:p w14:paraId="23AD557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يوجد حالياً 699 جمعية خيرية مسجلة بموجب قانون تسجيل وتنظيم المؤسسات الخيرية لعام 2019. تتوفر قائمة بالمؤسسات الخيرية المسجلة حالياً على موقع </w:t>
            </w:r>
            <w:r w:rsidRPr="00564B9D">
              <w:rPr>
                <w:sz w:val="20"/>
                <w:szCs w:val="20"/>
              </w:rPr>
              <w:t>gov.im</w:t>
            </w:r>
            <w:r w:rsidRPr="00564B9D">
              <w:rPr>
                <w:sz w:val="20"/>
                <w:szCs w:val="20"/>
                <w:rtl/>
              </w:rPr>
              <w:t xml:space="preserve"> الإلكتروني</w:t>
            </w:r>
            <w:r w:rsidRPr="00564B9D">
              <w:rPr>
                <w:sz w:val="20"/>
                <w:szCs w:val="20"/>
                <w:vertAlign w:val="superscript"/>
                <w:rtl/>
              </w:rPr>
              <w:t>(</w:t>
            </w:r>
            <w:r w:rsidRPr="00564B9D">
              <w:rPr>
                <w:rStyle w:val="FootnoteReference"/>
                <w:rFonts w:cs="Simplified Arabic"/>
                <w:b w:val="0"/>
                <w:sz w:val="20"/>
                <w:szCs w:val="20"/>
                <w:rtl/>
                <w:lang w:val="en-US"/>
              </w:rPr>
              <w:footnoteReference w:id="382"/>
            </w:r>
            <w:r w:rsidRPr="00564B9D">
              <w:rPr>
                <w:sz w:val="20"/>
                <w:szCs w:val="20"/>
                <w:vertAlign w:val="superscript"/>
                <w:rtl/>
              </w:rPr>
              <w:t>)</w:t>
            </w:r>
            <w:r w:rsidRPr="00564B9D">
              <w:rPr>
                <w:sz w:val="20"/>
                <w:szCs w:val="20"/>
                <w:rtl/>
              </w:rPr>
              <w:t xml:space="preserve">. </w:t>
            </w:r>
            <w:r w:rsidRPr="00564B9D">
              <w:rPr>
                <w:sz w:val="20"/>
                <w:szCs w:val="20"/>
              </w:rPr>
              <w:t>.</w:t>
            </w:r>
          </w:p>
        </w:tc>
      </w:tr>
      <w:tr w:rsidR="007B5A24" w:rsidRPr="00564B9D" w14:paraId="7B82FA25" w14:textId="77777777" w:rsidTr="00804944">
        <w:trPr>
          <w:trHeight w:val="240"/>
        </w:trPr>
        <w:tc>
          <w:tcPr>
            <w:tcW w:w="3830" w:type="dxa"/>
            <w:shd w:val="clear" w:color="auto" w:fill="auto"/>
          </w:tcPr>
          <w:p w14:paraId="7003C3C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توزيع المقاعد التشريعية بحسب الحزب</w:t>
            </w:r>
          </w:p>
        </w:tc>
        <w:tc>
          <w:tcPr>
            <w:tcW w:w="3454" w:type="dxa"/>
            <w:shd w:val="clear" w:color="auto" w:fill="auto"/>
          </w:tcPr>
          <w:p w14:paraId="5B7A3CF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يشغل مقعد واحد في </w:t>
            </w:r>
            <w:r w:rsidRPr="00564B9D">
              <w:rPr>
                <w:rFonts w:hint="cs"/>
                <w:sz w:val="20"/>
                <w:szCs w:val="20"/>
                <w:rtl/>
              </w:rPr>
              <w:t>مجلس الأعيان</w:t>
            </w:r>
            <w:r w:rsidRPr="00564B9D">
              <w:rPr>
                <w:sz w:val="20"/>
                <w:szCs w:val="20"/>
                <w:rtl/>
              </w:rPr>
              <w:t xml:space="preserve"> عضو </w:t>
            </w:r>
            <w:r w:rsidRPr="00564B9D">
              <w:rPr>
                <w:rFonts w:hint="cs"/>
                <w:sz w:val="20"/>
                <w:szCs w:val="20"/>
                <w:rtl/>
              </w:rPr>
              <w:t>من</w:t>
            </w:r>
            <w:r w:rsidRPr="00564B9D">
              <w:rPr>
                <w:sz w:val="20"/>
                <w:szCs w:val="20"/>
                <w:rtl/>
              </w:rPr>
              <w:t xml:space="preserve"> حزب </w:t>
            </w:r>
            <w:r w:rsidRPr="00564B9D">
              <w:rPr>
                <w:rFonts w:hint="cs"/>
                <w:sz w:val="20"/>
                <w:szCs w:val="20"/>
                <w:rtl/>
              </w:rPr>
              <w:t>فانين الليبرالي</w:t>
            </w:r>
            <w:r w:rsidRPr="00564B9D">
              <w:rPr>
                <w:sz w:val="20"/>
                <w:szCs w:val="20"/>
                <w:rtl/>
              </w:rPr>
              <w:t xml:space="preserve">، </w:t>
            </w:r>
            <w:r w:rsidRPr="00564B9D">
              <w:rPr>
                <w:rFonts w:hint="cs"/>
                <w:sz w:val="20"/>
                <w:szCs w:val="20"/>
                <w:rtl/>
              </w:rPr>
              <w:t xml:space="preserve">وبقية الأعضاء مستقلون </w:t>
            </w:r>
          </w:p>
        </w:tc>
      </w:tr>
      <w:tr w:rsidR="007B5A24" w:rsidRPr="00564B9D" w14:paraId="76795E33" w14:textId="77777777" w:rsidTr="00804944">
        <w:trPr>
          <w:trHeight w:val="240"/>
        </w:trPr>
        <w:tc>
          <w:tcPr>
            <w:tcW w:w="3830" w:type="dxa"/>
            <w:shd w:val="clear" w:color="auto" w:fill="auto"/>
          </w:tcPr>
          <w:p w14:paraId="6AC352C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النسبة المئوية للنساء في البرلمان</w:t>
            </w:r>
          </w:p>
        </w:tc>
        <w:tc>
          <w:tcPr>
            <w:tcW w:w="3454" w:type="dxa"/>
            <w:shd w:val="clear" w:color="auto" w:fill="auto"/>
          </w:tcPr>
          <w:p w14:paraId="624B878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20,8 في المائة من أعضاء مجلس الأعيان</w:t>
            </w:r>
          </w:p>
          <w:p w14:paraId="069AAA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55,5 في المائة من بين أعضاء المجلس التشريعي </w:t>
            </w:r>
          </w:p>
        </w:tc>
      </w:tr>
      <w:tr w:rsidR="007B5A24" w:rsidRPr="00564B9D" w14:paraId="51C1ECC6" w14:textId="77777777" w:rsidTr="00804944">
        <w:trPr>
          <w:trHeight w:val="240"/>
        </w:trPr>
        <w:tc>
          <w:tcPr>
            <w:tcW w:w="3830" w:type="dxa"/>
            <w:shd w:val="clear" w:color="auto" w:fill="auto"/>
          </w:tcPr>
          <w:p w14:paraId="291FC94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نسب الانتخابات الوطنية ودون الوطنية التي تجري ضمن الجدول الزمني المنصوص عليه في القانون</w:t>
            </w:r>
          </w:p>
        </w:tc>
        <w:tc>
          <w:tcPr>
            <w:tcW w:w="3454" w:type="dxa"/>
            <w:shd w:val="clear" w:color="auto" w:fill="auto"/>
          </w:tcPr>
          <w:p w14:paraId="437A9C1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 xml:space="preserve">100 في المائة </w:t>
            </w:r>
          </w:p>
        </w:tc>
      </w:tr>
      <w:tr w:rsidR="007B5A24" w:rsidRPr="00564B9D" w14:paraId="2F2F00E8" w14:textId="77777777" w:rsidTr="00804944">
        <w:trPr>
          <w:trHeight w:val="240"/>
        </w:trPr>
        <w:tc>
          <w:tcPr>
            <w:tcW w:w="3830" w:type="dxa"/>
            <w:tcBorders>
              <w:bottom w:val="single" w:sz="12" w:space="0" w:color="auto"/>
            </w:tcBorders>
            <w:shd w:val="clear" w:color="auto" w:fill="auto"/>
          </w:tcPr>
          <w:p w14:paraId="17A55567"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متوسط عدد الناخبين الفعليين في الانتخابات الوطنية ودون الوطنية حسب الوحدة الإدارية</w:t>
            </w:r>
          </w:p>
        </w:tc>
        <w:tc>
          <w:tcPr>
            <w:tcW w:w="3454" w:type="dxa"/>
            <w:tcBorders>
              <w:bottom w:val="single" w:sz="12" w:space="0" w:color="auto"/>
            </w:tcBorders>
            <w:shd w:val="clear" w:color="auto" w:fill="auto"/>
          </w:tcPr>
          <w:p w14:paraId="3CCA125B" w14:textId="2762ADE1"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في الانتخابات العامة لعام 2016، بلغ عدد الأصوات المسجلين في الدوائر الانتخابية الاثنتي عشرة 963</w:t>
            </w:r>
            <w:r w:rsidRPr="00564B9D">
              <w:rPr>
                <w:sz w:val="20"/>
                <w:szCs w:val="20"/>
                <w:rtl/>
              </w:rPr>
              <w:t> </w:t>
            </w:r>
            <w:r w:rsidRPr="00564B9D">
              <w:rPr>
                <w:rFonts w:hint="cs"/>
                <w:sz w:val="20"/>
                <w:szCs w:val="20"/>
                <w:rtl/>
              </w:rPr>
              <w:t>55 شخصاً وبلغ مجموع الناخبين الفعليين 757</w:t>
            </w:r>
            <w:r w:rsidRPr="00564B9D">
              <w:rPr>
                <w:sz w:val="20"/>
                <w:szCs w:val="20"/>
                <w:rtl/>
              </w:rPr>
              <w:t> </w:t>
            </w:r>
            <w:r w:rsidRPr="00564B9D">
              <w:rPr>
                <w:rFonts w:hint="cs"/>
                <w:sz w:val="20"/>
                <w:szCs w:val="20"/>
                <w:rtl/>
              </w:rPr>
              <w:t xml:space="preserve">31 (أي 53 </w:t>
            </w:r>
            <w:r w:rsidR="00F97347" w:rsidRPr="00564B9D">
              <w:rPr>
                <w:sz w:val="20"/>
                <w:szCs w:val="20"/>
                <w:rtl/>
              </w:rPr>
              <w:br/>
            </w:r>
            <w:r w:rsidRPr="00564B9D">
              <w:rPr>
                <w:rFonts w:hint="cs"/>
                <w:sz w:val="20"/>
                <w:szCs w:val="20"/>
                <w:rtl/>
              </w:rPr>
              <w:t>في المائة)</w:t>
            </w:r>
          </w:p>
        </w:tc>
      </w:tr>
    </w:tbl>
    <w:p w14:paraId="39428193" w14:textId="77777777" w:rsidR="00494AE4" w:rsidRPr="00564B9D" w:rsidRDefault="00494AE4" w:rsidP="00494AE4">
      <w:pPr>
        <w:pStyle w:val="SingleTxtGA"/>
        <w:rPr>
          <w:rtl/>
        </w:rPr>
      </w:pPr>
    </w:p>
    <w:tbl>
      <w:tblPr>
        <w:bidiVisual/>
        <w:tblW w:w="8392" w:type="dxa"/>
        <w:tblInd w:w="1247" w:type="dxa"/>
        <w:tblCellMar>
          <w:right w:w="113" w:type="dxa"/>
        </w:tblCellMar>
        <w:tblLook w:val="01E0" w:firstRow="1" w:lastRow="1" w:firstColumn="1" w:lastColumn="1" w:noHBand="0" w:noVBand="0"/>
      </w:tblPr>
      <w:tblGrid>
        <w:gridCol w:w="4388"/>
        <w:gridCol w:w="4004"/>
      </w:tblGrid>
      <w:tr w:rsidR="007B5A24" w:rsidRPr="00564B9D" w14:paraId="6F34FDDE" w14:textId="77777777" w:rsidTr="00804944">
        <w:trPr>
          <w:trHeight w:val="240"/>
          <w:tblHeader/>
        </w:trPr>
        <w:tc>
          <w:tcPr>
            <w:tcW w:w="7298" w:type="dxa"/>
            <w:gridSpan w:val="2"/>
            <w:tcBorders>
              <w:top w:val="single" w:sz="4" w:space="0" w:color="auto"/>
              <w:bottom w:val="single" w:sz="12" w:space="0" w:color="auto"/>
            </w:tcBorders>
            <w:shd w:val="clear" w:color="auto" w:fill="auto"/>
            <w:vAlign w:val="bottom"/>
          </w:tcPr>
          <w:p w14:paraId="4771AE35" w14:textId="77777777" w:rsidR="00494AE4" w:rsidRPr="00564B9D" w:rsidRDefault="00494AE4" w:rsidP="00804944">
            <w:pPr>
              <w:pStyle w:val="SingleTxtGA"/>
              <w:keepNext/>
              <w:tabs>
                <w:tab w:val="clear" w:pos="1928"/>
                <w:tab w:val="clear" w:pos="2608"/>
                <w:tab w:val="clear" w:pos="3289"/>
                <w:tab w:val="clear" w:pos="3969"/>
                <w:tab w:val="clear" w:pos="4649"/>
                <w:tab w:val="clear" w:pos="5330"/>
              </w:tabs>
              <w:spacing w:before="40" w:after="40" w:line="280" w:lineRule="exact"/>
              <w:ind w:left="0" w:right="0"/>
              <w:rPr>
                <w:i/>
                <w:iCs/>
                <w:sz w:val="20"/>
                <w:szCs w:val="20"/>
                <w:rtl/>
              </w:rPr>
            </w:pPr>
            <w:r w:rsidRPr="00564B9D">
              <w:rPr>
                <w:rFonts w:hint="cs"/>
                <w:i/>
                <w:iCs/>
                <w:sz w:val="20"/>
                <w:szCs w:val="20"/>
                <w:rtl/>
              </w:rPr>
              <w:lastRenderedPageBreak/>
              <w:t>المؤشرات المتعلقة بالجريمة وإقامة العدل</w:t>
            </w:r>
          </w:p>
        </w:tc>
      </w:tr>
      <w:tr w:rsidR="007B5A24" w:rsidRPr="00564B9D" w14:paraId="640A6838" w14:textId="77777777" w:rsidTr="00804944">
        <w:tblPrEx>
          <w:tblLook w:val="0000" w:firstRow="0" w:lastRow="0" w:firstColumn="0" w:lastColumn="0" w:noHBand="0" w:noVBand="0"/>
        </w:tblPrEx>
        <w:trPr>
          <w:trHeight w:val="240"/>
        </w:trPr>
        <w:tc>
          <w:tcPr>
            <w:tcW w:w="3816" w:type="dxa"/>
            <w:tcBorders>
              <w:top w:val="single" w:sz="12" w:space="0" w:color="auto"/>
            </w:tcBorders>
            <w:shd w:val="clear" w:color="auto" w:fill="auto"/>
          </w:tcPr>
          <w:p w14:paraId="5EFC2CF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حالات الموت العنيف والجرائم المهددة للحياة المبلغ عنها لكل 000 100 من السكان</w:t>
            </w:r>
          </w:p>
        </w:tc>
        <w:tc>
          <w:tcPr>
            <w:tcW w:w="3482" w:type="dxa"/>
            <w:tcBorders>
              <w:top w:val="single" w:sz="12" w:space="0" w:color="auto"/>
            </w:tcBorders>
            <w:shd w:val="clear" w:color="auto" w:fill="auto"/>
          </w:tcPr>
          <w:p w14:paraId="0B55577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36 (43,2 لكل 000 100 شخص) في 2019-2020</w:t>
            </w:r>
          </w:p>
        </w:tc>
      </w:tr>
      <w:tr w:rsidR="007B5A24" w:rsidRPr="00564B9D" w14:paraId="24803452" w14:textId="77777777" w:rsidTr="00804944">
        <w:tblPrEx>
          <w:tblLook w:val="0000" w:firstRow="0" w:lastRow="0" w:firstColumn="0" w:lastColumn="0" w:noHBand="0" w:noVBand="0"/>
        </w:tblPrEx>
        <w:trPr>
          <w:trHeight w:val="240"/>
        </w:trPr>
        <w:tc>
          <w:tcPr>
            <w:tcW w:w="3816" w:type="dxa"/>
            <w:shd w:val="clear" w:color="auto" w:fill="auto"/>
          </w:tcPr>
          <w:p w14:paraId="7E4D18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ومعدل الأشخاص (لكل 000 100 شخص) الذين تم توقيفهم/تقديمهم إلى القضاء/إدانتهم/إصدار أحكام ضدهم/حبسهم لارتكابهم جرائم عنف أو غير ذلك من الجرائم الخطيرة (مثل القتل والسرقة والاعتداء و</w:t>
            </w:r>
            <w:r w:rsidRPr="00564B9D">
              <w:rPr>
                <w:rFonts w:hint="cs"/>
                <w:sz w:val="20"/>
                <w:szCs w:val="20"/>
                <w:rtl/>
              </w:rPr>
              <w:t>الا</w:t>
            </w:r>
            <w:r w:rsidRPr="00564B9D">
              <w:rPr>
                <w:sz w:val="20"/>
                <w:szCs w:val="20"/>
                <w:rtl/>
              </w:rPr>
              <w:t>تجار غير المشروع)</w:t>
            </w:r>
          </w:p>
        </w:tc>
        <w:tc>
          <w:tcPr>
            <w:tcW w:w="3482" w:type="dxa"/>
            <w:shd w:val="clear" w:color="auto" w:fill="auto"/>
          </w:tcPr>
          <w:p w14:paraId="6EAAAB72"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722 (86,6 لكل 000 100 شخص) في 2019-2020</w:t>
            </w:r>
          </w:p>
        </w:tc>
      </w:tr>
      <w:tr w:rsidR="007B5A24" w:rsidRPr="00564B9D" w14:paraId="5D18DBC4" w14:textId="77777777" w:rsidTr="00804944">
        <w:tblPrEx>
          <w:tblLook w:val="0000" w:firstRow="0" w:lastRow="0" w:firstColumn="0" w:lastColumn="0" w:noHBand="0" w:noVBand="0"/>
        </w:tblPrEx>
        <w:trPr>
          <w:trHeight w:val="240"/>
        </w:trPr>
        <w:tc>
          <w:tcPr>
            <w:tcW w:w="3816" w:type="dxa"/>
            <w:shd w:val="clear" w:color="auto" w:fill="auto"/>
          </w:tcPr>
          <w:p w14:paraId="6563E3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الحالات المبلغ عنها التي شملت العنف بدافع الجنس</w:t>
            </w:r>
            <w:r w:rsidRPr="00564B9D">
              <w:rPr>
                <w:rFonts w:hint="cs"/>
                <w:sz w:val="20"/>
                <w:szCs w:val="20"/>
                <w:rtl/>
              </w:rPr>
              <w:t xml:space="preserve"> </w:t>
            </w:r>
            <w:r w:rsidRPr="00564B9D">
              <w:rPr>
                <w:sz w:val="20"/>
                <w:szCs w:val="20"/>
                <w:rtl/>
              </w:rPr>
              <w:t>(مثل الاغتصاب، وتشويه الأعضاء الجنسية عند الإناث، وجرائم الشرف، والاعتداء بالأحماض)</w:t>
            </w:r>
          </w:p>
        </w:tc>
        <w:tc>
          <w:tcPr>
            <w:tcW w:w="3482" w:type="dxa"/>
            <w:shd w:val="clear" w:color="auto" w:fill="auto"/>
          </w:tcPr>
          <w:p w14:paraId="4421BB3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733 في 2019-2020</w:t>
            </w:r>
          </w:p>
        </w:tc>
      </w:tr>
      <w:tr w:rsidR="007B5A24" w:rsidRPr="00564B9D" w14:paraId="0141CDF8" w14:textId="77777777" w:rsidTr="00804944">
        <w:tblPrEx>
          <w:tblLook w:val="0000" w:firstRow="0" w:lastRow="0" w:firstColumn="0" w:lastColumn="0" w:noHBand="0" w:noVBand="0"/>
        </w:tblPrEx>
        <w:trPr>
          <w:trHeight w:val="240"/>
        </w:trPr>
        <w:tc>
          <w:tcPr>
            <w:tcW w:w="3816" w:type="dxa"/>
            <w:shd w:val="clear" w:color="auto" w:fill="auto"/>
          </w:tcPr>
          <w:p w14:paraId="1DB3C86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المدة الزمنية القصوى للتوقيف قبل المحاكمة (الاحتجاز الاحتياطي)</w:t>
            </w:r>
          </w:p>
        </w:tc>
        <w:tc>
          <w:tcPr>
            <w:tcW w:w="3482" w:type="dxa"/>
            <w:shd w:val="clear" w:color="auto" w:fill="auto"/>
          </w:tcPr>
          <w:p w14:paraId="151C7F0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654</w:t>
            </w:r>
          </w:p>
        </w:tc>
      </w:tr>
      <w:tr w:rsidR="007B5A24" w:rsidRPr="00564B9D" w14:paraId="38D1B8DA" w14:textId="77777777" w:rsidTr="00804944">
        <w:tblPrEx>
          <w:tblLook w:val="0000" w:firstRow="0" w:lastRow="0" w:firstColumn="0" w:lastColumn="0" w:noHBand="0" w:noVBand="0"/>
        </w:tblPrEx>
        <w:trPr>
          <w:trHeight w:val="240"/>
        </w:trPr>
        <w:tc>
          <w:tcPr>
            <w:tcW w:w="3816" w:type="dxa"/>
            <w:shd w:val="clear" w:color="auto" w:fill="auto"/>
          </w:tcPr>
          <w:p w14:paraId="54874CD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المساجين وتوزيعهم بحسب نوع الجريمة وطول مدة الحكم</w:t>
            </w:r>
          </w:p>
        </w:tc>
        <w:tc>
          <w:tcPr>
            <w:tcW w:w="3482" w:type="dxa"/>
            <w:shd w:val="clear" w:color="auto" w:fill="auto"/>
          </w:tcPr>
          <w:p w14:paraId="659B4186" w14:textId="29C0097F"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 ك</w:t>
            </w:r>
            <w:r w:rsidR="00D70082" w:rsidRPr="00564B9D">
              <w:rPr>
                <w:rFonts w:hint="cs"/>
                <w:sz w:val="20"/>
                <w:szCs w:val="20"/>
                <w:rtl/>
              </w:rPr>
              <w:t>ا</w:t>
            </w:r>
            <w:r w:rsidRPr="00564B9D">
              <w:rPr>
                <w:rFonts w:hint="cs"/>
                <w:sz w:val="20"/>
                <w:szCs w:val="20"/>
                <w:rtl/>
              </w:rPr>
              <w:t>نون الأول/</w:t>
            </w:r>
            <w:r w:rsidRPr="00564B9D">
              <w:rPr>
                <w:sz w:val="20"/>
                <w:szCs w:val="20"/>
                <w:rtl/>
              </w:rPr>
              <w:t>ديسمبر 2019: 16</w:t>
            </w:r>
          </w:p>
          <w:p w14:paraId="102D953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غير محكوم عليهم: 30</w:t>
            </w:r>
          </w:p>
          <w:p w14:paraId="3FC10E4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أقل من شهر: 14</w:t>
            </w:r>
          </w:p>
          <w:p w14:paraId="6C4EA53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من 1 إلى 6 أشهر: 4</w:t>
            </w:r>
          </w:p>
          <w:p w14:paraId="202447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من 6 إلى 12 شهراً: 2</w:t>
            </w:r>
          </w:p>
          <w:p w14:paraId="2AD23FF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من 12 إلى 48 شهراً: 16</w:t>
            </w:r>
          </w:p>
          <w:p w14:paraId="5EEC61E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من 48 إلى 120 شهراً: 30</w:t>
            </w:r>
          </w:p>
          <w:p w14:paraId="2D75F60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أكثر من 120 شهراً: 10</w:t>
            </w:r>
          </w:p>
          <w:p w14:paraId="216D1D9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سجن مؤبد</w:t>
            </w:r>
            <w:r w:rsidRPr="00564B9D">
              <w:rPr>
                <w:sz w:val="20"/>
                <w:szCs w:val="20"/>
                <w:rtl/>
              </w:rPr>
              <w:t>: 0</w:t>
            </w:r>
          </w:p>
          <w:p w14:paraId="72155E5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المجموع: 106</w:t>
            </w:r>
          </w:p>
        </w:tc>
      </w:tr>
      <w:tr w:rsidR="007B5A24" w:rsidRPr="00564B9D" w14:paraId="0B72E582" w14:textId="77777777" w:rsidTr="00804944">
        <w:tblPrEx>
          <w:tblLook w:val="0000" w:firstRow="0" w:lastRow="0" w:firstColumn="0" w:lastColumn="0" w:noHBand="0" w:noVBand="0"/>
        </w:tblPrEx>
        <w:trPr>
          <w:trHeight w:val="240"/>
        </w:trPr>
        <w:tc>
          <w:tcPr>
            <w:tcW w:w="3816" w:type="dxa"/>
            <w:shd w:val="clear" w:color="auto" w:fill="auto"/>
          </w:tcPr>
          <w:p w14:paraId="60AD5D55"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حالات الوفاة في السجن </w:t>
            </w:r>
          </w:p>
        </w:tc>
        <w:tc>
          <w:tcPr>
            <w:tcW w:w="3482" w:type="dxa"/>
            <w:shd w:val="clear" w:color="auto" w:fill="auto"/>
          </w:tcPr>
          <w:p w14:paraId="75E2736C"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2019: صفر</w:t>
            </w:r>
          </w:p>
        </w:tc>
      </w:tr>
      <w:tr w:rsidR="007B5A24" w:rsidRPr="00564B9D" w14:paraId="432B27DA" w14:textId="77777777" w:rsidTr="00804944">
        <w:tblPrEx>
          <w:tblLook w:val="0000" w:firstRow="0" w:lastRow="0" w:firstColumn="0" w:lastColumn="0" w:noHBand="0" w:noVBand="0"/>
        </w:tblPrEx>
        <w:trPr>
          <w:trHeight w:val="240"/>
        </w:trPr>
        <w:tc>
          <w:tcPr>
            <w:tcW w:w="3816" w:type="dxa"/>
            <w:shd w:val="clear" w:color="auto" w:fill="auto"/>
          </w:tcPr>
          <w:p w14:paraId="51DB55A9"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الأشخاص الذين تطبق عليهم عقوبة الإعدام في السنة</w:t>
            </w:r>
            <w:r w:rsidRPr="00564B9D">
              <w:rPr>
                <w:sz w:val="20"/>
                <w:szCs w:val="20"/>
                <w:vertAlign w:val="superscript"/>
                <w:rtl/>
              </w:rPr>
              <w:t>(</w:t>
            </w:r>
            <w:r w:rsidRPr="00564B9D">
              <w:rPr>
                <w:rStyle w:val="FootnoteReference"/>
                <w:rFonts w:cs="Simplified Arabic"/>
                <w:b w:val="0"/>
                <w:sz w:val="20"/>
                <w:szCs w:val="20"/>
                <w:rtl/>
                <w:lang w:val="en-US"/>
              </w:rPr>
              <w:footnoteReference w:id="383"/>
            </w:r>
            <w:r w:rsidRPr="00564B9D">
              <w:rPr>
                <w:sz w:val="20"/>
                <w:szCs w:val="20"/>
                <w:vertAlign w:val="superscript"/>
                <w:rtl/>
              </w:rPr>
              <w:t>)</w:t>
            </w:r>
            <w:r w:rsidRPr="00564B9D">
              <w:rPr>
                <w:sz w:val="20"/>
                <w:szCs w:val="20"/>
                <w:rtl/>
              </w:rPr>
              <w:t xml:space="preserve"> </w:t>
            </w:r>
          </w:p>
        </w:tc>
        <w:tc>
          <w:tcPr>
            <w:tcW w:w="3482" w:type="dxa"/>
            <w:shd w:val="clear" w:color="auto" w:fill="auto"/>
          </w:tcPr>
          <w:p w14:paraId="66721F6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صفر</w:t>
            </w:r>
          </w:p>
        </w:tc>
      </w:tr>
      <w:tr w:rsidR="007B5A24" w:rsidRPr="00564B9D" w14:paraId="1A8CB92F" w14:textId="77777777" w:rsidTr="00804944">
        <w:tblPrEx>
          <w:tblLook w:val="0000" w:firstRow="0" w:lastRow="0" w:firstColumn="0" w:lastColumn="0" w:noHBand="0" w:noVBand="0"/>
        </w:tblPrEx>
        <w:trPr>
          <w:trHeight w:val="240"/>
        </w:trPr>
        <w:tc>
          <w:tcPr>
            <w:tcW w:w="3816" w:type="dxa"/>
            <w:shd w:val="clear" w:color="auto" w:fill="auto"/>
          </w:tcPr>
          <w:p w14:paraId="69A4BEF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متوسط القضايا المتراكمة للقاضي الواحد عند مستويات مختلفة من النظام القضائي</w:t>
            </w:r>
          </w:p>
        </w:tc>
        <w:tc>
          <w:tcPr>
            <w:tcW w:w="3482" w:type="dxa"/>
            <w:shd w:val="clear" w:color="auto" w:fill="auto"/>
          </w:tcPr>
          <w:p w14:paraId="703E2134"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لا يوجد</w:t>
            </w:r>
          </w:p>
        </w:tc>
      </w:tr>
      <w:tr w:rsidR="007B5A24" w:rsidRPr="00564B9D" w14:paraId="52B58BB8" w14:textId="77777777" w:rsidTr="00804944">
        <w:tblPrEx>
          <w:tblLook w:val="0000" w:firstRow="0" w:lastRow="0" w:firstColumn="0" w:lastColumn="0" w:noHBand="0" w:noVBand="0"/>
        </w:tblPrEx>
        <w:trPr>
          <w:trHeight w:val="240"/>
        </w:trPr>
        <w:tc>
          <w:tcPr>
            <w:tcW w:w="3816" w:type="dxa"/>
            <w:shd w:val="clear" w:color="auto" w:fill="auto"/>
          </w:tcPr>
          <w:p w14:paraId="23A90C2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عدد رجال الشرطة/الأمن لكل 000 100 شخص </w:t>
            </w:r>
          </w:p>
        </w:tc>
        <w:tc>
          <w:tcPr>
            <w:tcW w:w="3482" w:type="dxa"/>
            <w:shd w:val="clear" w:color="auto" w:fill="auto"/>
          </w:tcPr>
          <w:p w14:paraId="27430F7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rFonts w:hint="cs"/>
                <w:sz w:val="20"/>
                <w:szCs w:val="20"/>
                <w:rtl/>
              </w:rPr>
              <w:t>231 (277,3 لكل 000</w:t>
            </w:r>
            <w:r w:rsidRPr="00564B9D">
              <w:rPr>
                <w:sz w:val="20"/>
                <w:szCs w:val="20"/>
                <w:rtl/>
              </w:rPr>
              <w:t> </w:t>
            </w:r>
            <w:r w:rsidRPr="00564B9D">
              <w:rPr>
                <w:rFonts w:hint="cs"/>
                <w:sz w:val="20"/>
                <w:szCs w:val="20"/>
                <w:rtl/>
              </w:rPr>
              <w:t>100 شخص) في الفترة 2019-2020</w:t>
            </w:r>
          </w:p>
        </w:tc>
      </w:tr>
      <w:tr w:rsidR="007B5A24" w:rsidRPr="00564B9D" w14:paraId="5ED655C9" w14:textId="77777777" w:rsidTr="00804944">
        <w:tblPrEx>
          <w:tblLook w:val="0000" w:firstRow="0" w:lastRow="0" w:firstColumn="0" w:lastColumn="0" w:noHBand="0" w:noVBand="0"/>
        </w:tblPrEx>
        <w:trPr>
          <w:trHeight w:val="240"/>
        </w:trPr>
        <w:tc>
          <w:tcPr>
            <w:tcW w:w="3816" w:type="dxa"/>
            <w:shd w:val="clear" w:color="auto" w:fill="auto"/>
          </w:tcPr>
          <w:p w14:paraId="19BDE7D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عدد المدعين العامين والقضاة لكل 000 100 شخص</w:t>
            </w:r>
          </w:p>
        </w:tc>
        <w:tc>
          <w:tcPr>
            <w:tcW w:w="3482" w:type="dxa"/>
            <w:shd w:val="clear" w:color="auto" w:fill="auto"/>
          </w:tcPr>
          <w:p w14:paraId="2574D0D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المدعون</w:t>
            </w:r>
            <w:r w:rsidRPr="00564B9D">
              <w:rPr>
                <w:rFonts w:hint="cs"/>
                <w:sz w:val="20"/>
                <w:szCs w:val="20"/>
                <w:rtl/>
              </w:rPr>
              <w:t xml:space="preserve"> العامون</w:t>
            </w:r>
            <w:r w:rsidRPr="00564B9D">
              <w:rPr>
                <w:sz w:val="20"/>
                <w:szCs w:val="20"/>
                <w:rtl/>
              </w:rPr>
              <w:t>: 7</w:t>
            </w:r>
          </w:p>
          <w:p w14:paraId="0D7CB3DB"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القضاة:</w:t>
            </w:r>
          </w:p>
          <w:p w14:paraId="040C93AE"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موظفون بدوام كامل يتقاضون رواتب</w:t>
            </w:r>
            <w:r w:rsidRPr="00564B9D">
              <w:rPr>
                <w:sz w:val="20"/>
                <w:szCs w:val="20"/>
                <w:vertAlign w:val="superscript"/>
                <w:rtl/>
              </w:rPr>
              <w:t>(</w:t>
            </w:r>
            <w:r w:rsidRPr="00564B9D">
              <w:rPr>
                <w:rStyle w:val="FootnoteReference"/>
                <w:rFonts w:cs="Simplified Arabic"/>
                <w:b w:val="0"/>
                <w:sz w:val="20"/>
                <w:szCs w:val="20"/>
                <w:rtl/>
                <w:lang w:val="en-US"/>
              </w:rPr>
              <w:footnoteReference w:id="384"/>
            </w:r>
            <w:r w:rsidRPr="00564B9D">
              <w:rPr>
                <w:sz w:val="20"/>
                <w:szCs w:val="20"/>
                <w:vertAlign w:val="superscript"/>
                <w:rtl/>
              </w:rPr>
              <w:t>)</w:t>
            </w:r>
            <w:r w:rsidRPr="00564B9D">
              <w:rPr>
                <w:sz w:val="20"/>
                <w:szCs w:val="20"/>
                <w:rtl/>
              </w:rPr>
              <w:t xml:space="preserve">: 3 </w:t>
            </w:r>
            <w:r w:rsidRPr="00564B9D">
              <w:rPr>
                <w:rFonts w:hint="cs"/>
                <w:sz w:val="20"/>
                <w:szCs w:val="20"/>
                <w:rtl/>
              </w:rPr>
              <w:t>قضاة</w:t>
            </w:r>
            <w:r w:rsidRPr="00564B9D">
              <w:rPr>
                <w:sz w:val="20"/>
                <w:szCs w:val="20"/>
                <w:rtl/>
              </w:rPr>
              <w:t>، كبير المحضرين، ونائب كبير المحضرين</w:t>
            </w:r>
            <w:r w:rsidRPr="00564B9D">
              <w:rPr>
                <w:rFonts w:hint="cs"/>
                <w:sz w:val="20"/>
                <w:szCs w:val="20"/>
                <w:rtl/>
              </w:rPr>
              <w:t>،</w:t>
            </w:r>
            <w:r w:rsidRPr="00564B9D">
              <w:rPr>
                <w:sz w:val="20"/>
                <w:szCs w:val="20"/>
                <w:rtl/>
              </w:rPr>
              <w:t xml:space="preserve"> وقاضي الاستئناف.</w:t>
            </w:r>
          </w:p>
          <w:p w14:paraId="718A39BF"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 xml:space="preserve">الموظفون الذين لا يتقاضون رواتب: </w:t>
            </w:r>
            <w:r w:rsidRPr="00564B9D">
              <w:rPr>
                <w:rFonts w:hint="cs"/>
                <w:sz w:val="20"/>
                <w:szCs w:val="20"/>
                <w:rtl/>
              </w:rPr>
              <w:t>ينعقد فريق القضاة حسب الاقتضاء</w:t>
            </w:r>
            <w:r w:rsidRPr="00564B9D">
              <w:rPr>
                <w:sz w:val="20"/>
                <w:szCs w:val="20"/>
                <w:rtl/>
              </w:rPr>
              <w:t xml:space="preserve"> و</w:t>
            </w:r>
            <w:r w:rsidRPr="00564B9D">
              <w:rPr>
                <w:rFonts w:hint="cs"/>
                <w:sz w:val="20"/>
                <w:szCs w:val="20"/>
                <w:rtl/>
              </w:rPr>
              <w:t>ت</w:t>
            </w:r>
            <w:r w:rsidRPr="00564B9D">
              <w:rPr>
                <w:sz w:val="20"/>
                <w:szCs w:val="20"/>
                <w:rtl/>
              </w:rPr>
              <w:t xml:space="preserve">دفع أجورهم على أساس يومي. </w:t>
            </w:r>
            <w:r w:rsidRPr="00564B9D">
              <w:rPr>
                <w:rFonts w:hint="cs"/>
                <w:sz w:val="20"/>
                <w:szCs w:val="20"/>
                <w:rtl/>
              </w:rPr>
              <w:t>ويجري</w:t>
            </w:r>
            <w:r w:rsidRPr="00564B9D">
              <w:rPr>
                <w:sz w:val="20"/>
                <w:szCs w:val="20"/>
                <w:rtl/>
              </w:rPr>
              <w:t xml:space="preserve"> اختيار قضاة </w:t>
            </w:r>
            <w:r w:rsidRPr="00564B9D">
              <w:rPr>
                <w:rFonts w:hint="cs"/>
                <w:sz w:val="20"/>
                <w:szCs w:val="20"/>
                <w:rtl/>
              </w:rPr>
              <w:t xml:space="preserve">المحاكم الجزئية </w:t>
            </w:r>
            <w:r w:rsidRPr="00564B9D">
              <w:rPr>
                <w:sz w:val="20"/>
                <w:szCs w:val="20"/>
                <w:rtl/>
              </w:rPr>
              <w:t xml:space="preserve">من </w:t>
            </w:r>
            <w:r w:rsidRPr="00564B9D">
              <w:rPr>
                <w:rFonts w:hint="cs"/>
                <w:sz w:val="20"/>
                <w:szCs w:val="20"/>
                <w:rtl/>
              </w:rPr>
              <w:t>أصل فريق</w:t>
            </w:r>
            <w:r w:rsidRPr="00564B9D">
              <w:rPr>
                <w:sz w:val="20"/>
                <w:szCs w:val="20"/>
                <w:rtl/>
              </w:rPr>
              <w:t xml:space="preserve"> ولكن</w:t>
            </w:r>
            <w:r w:rsidRPr="00564B9D">
              <w:rPr>
                <w:rFonts w:hint="cs"/>
                <w:sz w:val="20"/>
                <w:szCs w:val="20"/>
                <w:rtl/>
              </w:rPr>
              <w:t>هم</w:t>
            </w:r>
            <w:r w:rsidRPr="00564B9D">
              <w:rPr>
                <w:sz w:val="20"/>
                <w:szCs w:val="20"/>
                <w:rtl/>
              </w:rPr>
              <w:t xml:space="preserve"> لا </w:t>
            </w:r>
            <w:r w:rsidRPr="00564B9D">
              <w:rPr>
                <w:rFonts w:hint="cs"/>
                <w:sz w:val="20"/>
                <w:szCs w:val="20"/>
                <w:rtl/>
              </w:rPr>
              <w:t xml:space="preserve">يتلقون </w:t>
            </w:r>
            <w:r w:rsidRPr="00564B9D">
              <w:rPr>
                <w:sz w:val="20"/>
                <w:szCs w:val="20"/>
                <w:rtl/>
              </w:rPr>
              <w:t xml:space="preserve">أي أجر ولكن لديهم خيار المطالبة بالنفقات ذات الصلة (مثل نفقات السفر). تختلف أعداد الموظفين الذين لا يتقاضون رواتب إلا أنها تزيد عن 30 </w:t>
            </w:r>
            <w:r w:rsidRPr="00564B9D">
              <w:rPr>
                <w:rFonts w:hint="cs"/>
                <w:sz w:val="20"/>
                <w:szCs w:val="20"/>
                <w:rtl/>
              </w:rPr>
              <w:t>للفئتين معاً</w:t>
            </w:r>
            <w:r w:rsidRPr="00564B9D">
              <w:rPr>
                <w:sz w:val="20"/>
                <w:szCs w:val="20"/>
                <w:rtl/>
              </w:rPr>
              <w:t>.</w:t>
            </w:r>
          </w:p>
        </w:tc>
      </w:tr>
      <w:tr w:rsidR="007B5A24" w:rsidRPr="00564B9D" w14:paraId="6F7B95FE" w14:textId="77777777" w:rsidTr="00804944">
        <w:tblPrEx>
          <w:tblLook w:val="0000" w:firstRow="0" w:lastRow="0" w:firstColumn="0" w:lastColumn="0" w:noHBand="0" w:noVBand="0"/>
        </w:tblPrEx>
        <w:trPr>
          <w:trHeight w:val="240"/>
        </w:trPr>
        <w:tc>
          <w:tcPr>
            <w:tcW w:w="3816" w:type="dxa"/>
            <w:shd w:val="clear" w:color="auto" w:fill="auto"/>
          </w:tcPr>
          <w:p w14:paraId="5FA5F48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الحصة من النفقات العامة على جهاز الشرطة/الأمن والجهاز القضائي</w:t>
            </w:r>
          </w:p>
        </w:tc>
        <w:tc>
          <w:tcPr>
            <w:tcW w:w="3482" w:type="dxa"/>
            <w:shd w:val="clear" w:color="auto" w:fill="auto"/>
          </w:tcPr>
          <w:p w14:paraId="7CA2F08D"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rFonts w:hint="cs"/>
                <w:sz w:val="20"/>
                <w:szCs w:val="20"/>
                <w:rtl/>
              </w:rPr>
              <w:t>في</w:t>
            </w:r>
            <w:r w:rsidRPr="00564B9D">
              <w:rPr>
                <w:sz w:val="20"/>
                <w:szCs w:val="20"/>
                <w:rtl/>
              </w:rPr>
              <w:t xml:space="preserve"> 2018-</w:t>
            </w:r>
            <w:r w:rsidRPr="00564B9D">
              <w:rPr>
                <w:rFonts w:hint="cs"/>
                <w:sz w:val="20"/>
                <w:szCs w:val="20"/>
                <w:rtl/>
              </w:rPr>
              <w:t>2019</w:t>
            </w:r>
            <w:r w:rsidRPr="00564B9D">
              <w:rPr>
                <w:sz w:val="20"/>
                <w:szCs w:val="20"/>
                <w:rtl/>
              </w:rPr>
              <w:t>:</w:t>
            </w:r>
          </w:p>
          <w:p w14:paraId="11F347B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نفقات السجل العام: 0,47 في المائة</w:t>
            </w:r>
          </w:p>
          <w:p w14:paraId="3D11E528"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إنفاق شرطة جزيرة مان: 1,48 في المائة</w:t>
            </w:r>
          </w:p>
          <w:p w14:paraId="72910E8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السجن والمراقبة: 0,82 في المائة</w:t>
            </w:r>
          </w:p>
          <w:p w14:paraId="41E7AA43"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lastRenderedPageBreak/>
              <w:t>إجمالي نفقات احتياطي التكاليف القانونية: 0,1 في المائة</w:t>
            </w:r>
          </w:p>
        </w:tc>
      </w:tr>
      <w:tr w:rsidR="007B5A24" w:rsidRPr="00564B9D" w14:paraId="74F77E84" w14:textId="77777777" w:rsidTr="00804944">
        <w:tblPrEx>
          <w:tblLook w:val="0000" w:firstRow="0" w:lastRow="0" w:firstColumn="0" w:lastColumn="0" w:noHBand="0" w:noVBand="0"/>
        </w:tblPrEx>
        <w:trPr>
          <w:trHeight w:val="240"/>
        </w:trPr>
        <w:tc>
          <w:tcPr>
            <w:tcW w:w="3816" w:type="dxa"/>
            <w:shd w:val="clear" w:color="auto" w:fill="auto"/>
          </w:tcPr>
          <w:p w14:paraId="73362050"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lastRenderedPageBreak/>
              <w:t xml:space="preserve">نسبة الأشخاص الذين يتلقون مساعدة قضائية من بين المتهمين والمعتقلين الذين يتقدمون بطلبها </w:t>
            </w:r>
          </w:p>
        </w:tc>
        <w:tc>
          <w:tcPr>
            <w:tcW w:w="3482" w:type="dxa"/>
            <w:shd w:val="clear" w:color="auto" w:fill="auto"/>
          </w:tcPr>
          <w:p w14:paraId="7E82A4C1"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 xml:space="preserve">في عام 2020، تقدم 427 شخصاً بطلبات للحصول على مساعدة قانونية مجانية، وتم منحها </w:t>
            </w:r>
            <w:r w:rsidRPr="00564B9D">
              <w:rPr>
                <w:rFonts w:hint="cs"/>
                <w:sz w:val="20"/>
                <w:szCs w:val="20"/>
                <w:rtl/>
              </w:rPr>
              <w:t xml:space="preserve">لـ </w:t>
            </w:r>
            <w:r w:rsidRPr="00564B9D">
              <w:rPr>
                <w:sz w:val="20"/>
                <w:szCs w:val="20"/>
                <w:rtl/>
              </w:rPr>
              <w:t>398 شخصاً (93 في المائة).</w:t>
            </w:r>
          </w:p>
        </w:tc>
      </w:tr>
      <w:tr w:rsidR="007B5A24" w:rsidRPr="00564B9D" w14:paraId="7D7AE56D" w14:textId="77777777" w:rsidTr="00804944">
        <w:tblPrEx>
          <w:tblLook w:val="0000" w:firstRow="0" w:lastRow="0" w:firstColumn="0" w:lastColumn="0" w:noHBand="0" w:noVBand="0"/>
        </w:tblPrEx>
        <w:trPr>
          <w:trHeight w:val="240"/>
        </w:trPr>
        <w:tc>
          <w:tcPr>
            <w:tcW w:w="3816" w:type="dxa"/>
            <w:tcBorders>
              <w:bottom w:val="single" w:sz="12" w:space="0" w:color="auto"/>
            </w:tcBorders>
            <w:shd w:val="clear" w:color="auto" w:fill="auto"/>
          </w:tcPr>
          <w:p w14:paraId="55BD7846"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Pr>
            </w:pPr>
            <w:r w:rsidRPr="00564B9D">
              <w:rPr>
                <w:sz w:val="20"/>
                <w:szCs w:val="20"/>
                <w:rtl/>
              </w:rPr>
              <w:t>نسبة الضحايا الذين تم تعويضهم بعد صدور الحكم القضائي، بحسب نوع الجريمة</w:t>
            </w:r>
          </w:p>
        </w:tc>
        <w:tc>
          <w:tcPr>
            <w:tcW w:w="3482" w:type="dxa"/>
            <w:tcBorders>
              <w:bottom w:val="single" w:sz="12" w:space="0" w:color="auto"/>
            </w:tcBorders>
            <w:shd w:val="clear" w:color="auto" w:fill="auto"/>
          </w:tcPr>
          <w:p w14:paraId="60BC0C0A" w14:textId="77777777" w:rsidR="00494AE4" w:rsidRPr="00564B9D" w:rsidRDefault="00494AE4" w:rsidP="00804944">
            <w:pPr>
              <w:pStyle w:val="SingleTxtGA"/>
              <w:tabs>
                <w:tab w:val="clear" w:pos="1928"/>
                <w:tab w:val="clear" w:pos="2608"/>
                <w:tab w:val="clear" w:pos="3289"/>
                <w:tab w:val="clear" w:pos="3969"/>
                <w:tab w:val="clear" w:pos="4649"/>
                <w:tab w:val="clear" w:pos="5330"/>
              </w:tabs>
              <w:spacing w:before="40" w:after="40" w:line="280" w:lineRule="exact"/>
              <w:ind w:left="0" w:right="0"/>
              <w:rPr>
                <w:sz w:val="20"/>
                <w:szCs w:val="20"/>
                <w:rtl/>
              </w:rPr>
            </w:pPr>
            <w:r w:rsidRPr="00564B9D">
              <w:rPr>
                <w:sz w:val="20"/>
                <w:szCs w:val="20"/>
                <w:rtl/>
              </w:rPr>
              <w:t>تفصيل نوع الحادث للطلبات المستلمة بين 2014-2019:</w:t>
            </w:r>
          </w:p>
          <w:p w14:paraId="2926CA14"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مجموع الطلبات: 163</w:t>
            </w:r>
          </w:p>
          <w:p w14:paraId="50233110"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rFonts w:hint="cs"/>
                <w:sz w:val="20"/>
                <w:szCs w:val="20"/>
                <w:rtl/>
              </w:rPr>
              <w:t>الأذى</w:t>
            </w:r>
            <w:r w:rsidRPr="00564B9D">
              <w:rPr>
                <w:sz w:val="20"/>
                <w:szCs w:val="20"/>
                <w:rtl/>
              </w:rPr>
              <w:t xml:space="preserve"> المادي: 104</w:t>
            </w:r>
          </w:p>
          <w:p w14:paraId="711E1DCF"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الاعتداء الجنسي/الاغتصاب: 59</w:t>
            </w:r>
          </w:p>
          <w:p w14:paraId="2B6A76BA"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الإصاب</w:t>
            </w:r>
            <w:r w:rsidRPr="00564B9D">
              <w:rPr>
                <w:rFonts w:hint="cs"/>
                <w:sz w:val="20"/>
                <w:szCs w:val="20"/>
                <w:rtl/>
              </w:rPr>
              <w:t>ات</w:t>
            </w:r>
            <w:r w:rsidRPr="00564B9D">
              <w:rPr>
                <w:sz w:val="20"/>
                <w:szCs w:val="20"/>
                <w:rtl/>
              </w:rPr>
              <w:t xml:space="preserve"> في دوغلاس: 91 (55,8 في المائة)</w:t>
            </w:r>
          </w:p>
          <w:p w14:paraId="2E598008"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الإصابات التي لحقت بباقي الجزيرة: 72 (44,2 في المائة)</w:t>
            </w:r>
          </w:p>
          <w:p w14:paraId="3A91912B" w14:textId="77777777" w:rsidR="00494AE4" w:rsidRPr="00564B9D" w:rsidRDefault="00494AE4" w:rsidP="00494AE4">
            <w:pPr>
              <w:pStyle w:val="SingleTxtGA"/>
              <w:numPr>
                <w:ilvl w:val="0"/>
                <w:numId w:val="9"/>
              </w:numPr>
              <w:tabs>
                <w:tab w:val="clear" w:pos="1928"/>
                <w:tab w:val="clear" w:pos="2608"/>
                <w:tab w:val="clear" w:pos="3289"/>
                <w:tab w:val="clear" w:pos="3969"/>
                <w:tab w:val="clear" w:pos="4649"/>
                <w:tab w:val="clear" w:pos="5330"/>
              </w:tabs>
              <w:spacing w:before="40" w:after="40" w:line="280" w:lineRule="exact"/>
              <w:ind w:right="0"/>
              <w:rPr>
                <w:sz w:val="20"/>
                <w:szCs w:val="20"/>
                <w:rtl/>
              </w:rPr>
            </w:pPr>
            <w:r w:rsidRPr="00564B9D">
              <w:rPr>
                <w:sz w:val="20"/>
                <w:szCs w:val="20"/>
                <w:rtl/>
              </w:rPr>
              <w:t xml:space="preserve">في المجموع، </w:t>
            </w:r>
            <w:r w:rsidRPr="00564B9D">
              <w:rPr>
                <w:rFonts w:hint="cs"/>
                <w:sz w:val="20"/>
                <w:szCs w:val="20"/>
                <w:rtl/>
              </w:rPr>
              <w:t>صدر</w:t>
            </w:r>
            <w:r w:rsidRPr="00564B9D">
              <w:rPr>
                <w:sz w:val="20"/>
                <w:szCs w:val="20"/>
                <w:rtl/>
              </w:rPr>
              <w:t xml:space="preserve"> الحكم في 65 قضية، </w:t>
            </w:r>
            <w:r w:rsidRPr="00564B9D">
              <w:rPr>
                <w:rFonts w:hint="cs"/>
                <w:sz w:val="20"/>
                <w:szCs w:val="20"/>
                <w:rtl/>
              </w:rPr>
              <w:t>ورُفض</w:t>
            </w:r>
            <w:r w:rsidRPr="00564B9D">
              <w:rPr>
                <w:sz w:val="20"/>
                <w:szCs w:val="20"/>
                <w:rtl/>
              </w:rPr>
              <w:t xml:space="preserve"> 22 </w:t>
            </w:r>
            <w:r w:rsidRPr="00564B9D">
              <w:rPr>
                <w:rFonts w:hint="cs"/>
                <w:sz w:val="20"/>
                <w:szCs w:val="20"/>
                <w:rtl/>
              </w:rPr>
              <w:t>قضية</w:t>
            </w:r>
            <w:r w:rsidRPr="00564B9D">
              <w:rPr>
                <w:sz w:val="20"/>
                <w:szCs w:val="20"/>
                <w:rtl/>
              </w:rPr>
              <w:t>، وس</w:t>
            </w:r>
            <w:r w:rsidRPr="00564B9D">
              <w:rPr>
                <w:rFonts w:hint="cs"/>
                <w:sz w:val="20"/>
                <w:szCs w:val="20"/>
                <w:rtl/>
              </w:rPr>
              <w:t>ُ</w:t>
            </w:r>
            <w:r w:rsidRPr="00564B9D">
              <w:rPr>
                <w:sz w:val="20"/>
                <w:szCs w:val="20"/>
                <w:rtl/>
              </w:rPr>
              <w:t>حب</w:t>
            </w:r>
            <w:r w:rsidRPr="00564B9D">
              <w:rPr>
                <w:rFonts w:hint="cs"/>
                <w:sz w:val="20"/>
                <w:szCs w:val="20"/>
                <w:rtl/>
              </w:rPr>
              <w:t>ت</w:t>
            </w:r>
            <w:r w:rsidRPr="00564B9D">
              <w:rPr>
                <w:sz w:val="20"/>
                <w:szCs w:val="20"/>
                <w:rtl/>
              </w:rPr>
              <w:t xml:space="preserve"> </w:t>
            </w:r>
            <w:r w:rsidRPr="00564B9D">
              <w:rPr>
                <w:rFonts w:hint="cs"/>
                <w:sz w:val="20"/>
                <w:szCs w:val="20"/>
                <w:rtl/>
              </w:rPr>
              <w:t xml:space="preserve">قضية </w:t>
            </w:r>
            <w:r w:rsidRPr="00564B9D">
              <w:rPr>
                <w:sz w:val="20"/>
                <w:szCs w:val="20"/>
                <w:rtl/>
              </w:rPr>
              <w:t>واحدة، و</w:t>
            </w:r>
            <w:r w:rsidRPr="00564B9D">
              <w:rPr>
                <w:rFonts w:hint="cs"/>
                <w:sz w:val="20"/>
                <w:szCs w:val="20"/>
                <w:rtl/>
              </w:rPr>
              <w:t>بقي</w:t>
            </w:r>
            <w:r w:rsidRPr="00564B9D">
              <w:rPr>
                <w:sz w:val="20"/>
                <w:szCs w:val="20"/>
                <w:rtl/>
              </w:rPr>
              <w:t xml:space="preserve"> 73 معلقة.</w:t>
            </w:r>
          </w:p>
        </w:tc>
      </w:tr>
    </w:tbl>
    <w:p w14:paraId="6EC07963" w14:textId="77777777" w:rsidR="00494AE4" w:rsidRPr="00564B9D" w:rsidRDefault="00494AE4" w:rsidP="00494AE4">
      <w:pPr>
        <w:pStyle w:val="H1GA"/>
        <w:rPr>
          <w:rtl/>
        </w:rPr>
      </w:pPr>
      <w:r w:rsidRPr="00564B9D">
        <w:rPr>
          <w:rtl/>
        </w:rPr>
        <w:tab/>
      </w:r>
      <w:r w:rsidRPr="00564B9D">
        <w:rPr>
          <w:rFonts w:hint="cs"/>
          <w:rtl/>
        </w:rPr>
        <w:t xml:space="preserve"> </w:t>
      </w:r>
      <w:bookmarkStart w:id="502" w:name="_Toc123044227"/>
      <w:bookmarkStart w:id="503" w:name="_Toc123044450"/>
      <w:bookmarkStart w:id="504" w:name="_Toc123044712"/>
      <w:bookmarkStart w:id="505" w:name="_Toc123044974"/>
      <w:r w:rsidRPr="00564B9D">
        <w:rPr>
          <w:rFonts w:hint="cs"/>
          <w:rtl/>
        </w:rPr>
        <w:t>باء-</w:t>
      </w:r>
      <w:r w:rsidRPr="00564B9D">
        <w:rPr>
          <w:rtl/>
        </w:rPr>
        <w:tab/>
      </w:r>
      <w:r w:rsidRPr="00564B9D">
        <w:rPr>
          <w:rFonts w:hint="cs"/>
          <w:rtl/>
        </w:rPr>
        <w:t>الهيكل الدستوري والسياسي والقانوني</w:t>
      </w:r>
      <w:bookmarkEnd w:id="502"/>
      <w:bookmarkEnd w:id="503"/>
      <w:bookmarkEnd w:id="504"/>
      <w:bookmarkEnd w:id="505"/>
    </w:p>
    <w:p w14:paraId="68FDAF4B" w14:textId="77777777" w:rsidR="00494AE4" w:rsidRPr="00564B9D" w:rsidRDefault="00494AE4" w:rsidP="00494AE4">
      <w:pPr>
        <w:pStyle w:val="SingleTxtGA"/>
        <w:rPr>
          <w:rtl/>
        </w:rPr>
      </w:pPr>
      <w:r w:rsidRPr="00564B9D">
        <w:rPr>
          <w:rtl/>
        </w:rPr>
        <w:t>203-</w:t>
      </w:r>
      <w:r w:rsidRPr="00564B9D">
        <w:rPr>
          <w:rtl/>
        </w:rPr>
        <w:tab/>
      </w:r>
      <w:r w:rsidRPr="00564B9D">
        <w:rPr>
          <w:rFonts w:hint="cs"/>
          <w:rtl/>
        </w:rPr>
        <w:t xml:space="preserve">جزيرة مان هي إقليم تابع للتاج البريطاني </w:t>
      </w:r>
      <w:r w:rsidRPr="00564B9D">
        <w:rPr>
          <w:rtl/>
        </w:rPr>
        <w:t xml:space="preserve">("تابعة للتاج") </w:t>
      </w:r>
      <w:r w:rsidRPr="00564B9D">
        <w:rPr>
          <w:rFonts w:hint="cs"/>
          <w:rtl/>
        </w:rPr>
        <w:t>وتتمتع بحكم ذاتي ولديها هيئة تشريعية منتخبة مباشرة وأنظمة إدارية ومالية وقانونية ومحاكم قانونية خاصة بها. والعاهل، في إطار دوره كحاكم لجزيرة مان، هو رئيس الدولة، ويعتبر نائب الحاكم الممثل الشخصي لصاحب الجلالة في الجزيرة. وجزيرة مان ليست ولم تكن على الإطلاق جزءاً من المملكة المتحدة، علماً بأن حكومة المملكة المتحدة هي، بالنيابة عن التاج، مسؤولة عن الدفاع والعلاقات الدولية والحكم السديد في الجزيرة.</w:t>
      </w:r>
    </w:p>
    <w:p w14:paraId="673AB27A" w14:textId="77777777" w:rsidR="00494AE4" w:rsidRPr="00564B9D" w:rsidRDefault="00494AE4" w:rsidP="00494AE4">
      <w:pPr>
        <w:pStyle w:val="H23GA"/>
        <w:rPr>
          <w:rtl/>
        </w:rPr>
      </w:pPr>
      <w:r w:rsidRPr="00564B9D">
        <w:rPr>
          <w:rtl/>
        </w:rPr>
        <w:tab/>
      </w:r>
      <w:r w:rsidRPr="00564B9D">
        <w:rPr>
          <w:rtl/>
        </w:rPr>
        <w:tab/>
      </w:r>
      <w:r w:rsidRPr="00564B9D">
        <w:rPr>
          <w:rFonts w:hint="cs"/>
          <w:rtl/>
        </w:rPr>
        <w:t>تينوالد (برلمان جزيرة مان)</w:t>
      </w:r>
      <w:r w:rsidRPr="00564B9D">
        <w:rPr>
          <w:b w:val="0"/>
          <w:bCs w:val="0"/>
          <w:vertAlign w:val="superscript"/>
          <w:rtl/>
        </w:rPr>
        <w:t>(</w:t>
      </w:r>
      <w:r w:rsidRPr="00564B9D">
        <w:rPr>
          <w:rStyle w:val="FootnoteReference"/>
          <w:rFonts w:cs="Simplified Arabic"/>
          <w:bCs w:val="0"/>
          <w:sz w:val="22"/>
          <w:szCs w:val="22"/>
          <w:rtl/>
          <w:lang w:val="en-US"/>
        </w:rPr>
        <w:footnoteReference w:id="385"/>
      </w:r>
      <w:r w:rsidRPr="00564B9D">
        <w:rPr>
          <w:b w:val="0"/>
          <w:bCs w:val="0"/>
          <w:vertAlign w:val="superscript"/>
          <w:rtl/>
        </w:rPr>
        <w:t>)</w:t>
      </w:r>
      <w:r w:rsidRPr="00564B9D">
        <w:rPr>
          <w:rtl/>
        </w:rPr>
        <w:t xml:space="preserve"> </w:t>
      </w:r>
    </w:p>
    <w:p w14:paraId="51DDD12E" w14:textId="1550359E" w:rsidR="00494AE4" w:rsidRPr="00564B9D" w:rsidRDefault="00494AE4" w:rsidP="00494AE4">
      <w:pPr>
        <w:pStyle w:val="SingleTxtGA"/>
        <w:rPr>
          <w:rtl/>
        </w:rPr>
      </w:pPr>
      <w:r w:rsidRPr="00564B9D">
        <w:rPr>
          <w:rFonts w:hint="cs"/>
          <w:rtl/>
        </w:rPr>
        <w:t>204</w:t>
      </w:r>
      <w:r w:rsidRPr="00564B9D">
        <w:rPr>
          <w:rtl/>
        </w:rPr>
        <w:t>-</w:t>
      </w:r>
      <w:r w:rsidRPr="00564B9D">
        <w:rPr>
          <w:rtl/>
        </w:rPr>
        <w:tab/>
      </w:r>
      <w:r w:rsidRPr="00564B9D">
        <w:rPr>
          <w:rFonts w:hint="cs"/>
          <w:rtl/>
        </w:rPr>
        <w:t>يتألف تينوالد، أي البرلمان القديم لجزيرة مان، من فرعين: مجلس الأعيان الذي ينتخبه الشعب، والمجلس التشريعي الذي يُنتخب إجمالاً من جانب أعضاء مجلس الأعيان. ويتألف مجلس الأعيان من</w:t>
      </w:r>
      <w:r w:rsidR="00777024" w:rsidRPr="00564B9D">
        <w:rPr>
          <w:rFonts w:hint="eastAsia"/>
          <w:rtl/>
        </w:rPr>
        <w:t> </w:t>
      </w:r>
      <w:r w:rsidRPr="00564B9D">
        <w:rPr>
          <w:rFonts w:hint="cs"/>
          <w:rtl/>
        </w:rPr>
        <w:t>24 عضواً يتم انتخابهم لعدد من الدوائر الانتخابية في انتخابات عامة تجري كل خمس سنوات. وبعد كل انتخابات عامة، ينتخب أعضاء مجلس الأعيان واحداً منهم ليكون الرئيس (رئيس المجلس). وبالرغم من وجود بعض التوجهات لإنشاء أحزاب سياسية، فإن الغالبية العظمى من الأعضاء المنتخبين هم من المستقلين. ويتألف المجلس التشريعي من 8 أعضاء ينتخبهم أعضاء مجلس الأعيان لولاية مدتها أربع سنوات (يجري ذلك على نحو تعاقبي بحيث ينتخب مجلس الأعيان أربعة أعضاء في كل مرة)، ومن كبير الأساقفة (الذي يحق له التصويت) والنائب العام لجلالة الملك (الذي لا يحق له التصويت) كعضوين بحكم منصبهما. ويرأس المجلس التشريعي رئيس البرلمان (تينوالد) الذي يُنتخَب لولاية مدتها خمس سنوات من قبل أعضاء الفرعين حين يجتمعان معاً.</w:t>
      </w:r>
    </w:p>
    <w:p w14:paraId="45AEA9E7" w14:textId="77777777" w:rsidR="00494AE4" w:rsidRPr="00564B9D" w:rsidRDefault="00494AE4" w:rsidP="00494AE4">
      <w:pPr>
        <w:pStyle w:val="SingleTxtGA"/>
        <w:rPr>
          <w:rtl/>
        </w:rPr>
      </w:pPr>
      <w:r w:rsidRPr="00564B9D">
        <w:rPr>
          <w:rFonts w:hint="cs"/>
          <w:rtl/>
        </w:rPr>
        <w:t>205</w:t>
      </w:r>
      <w:r w:rsidRPr="00564B9D">
        <w:rPr>
          <w:rtl/>
        </w:rPr>
        <w:t>-</w:t>
      </w:r>
      <w:r w:rsidRPr="00564B9D">
        <w:rPr>
          <w:rtl/>
        </w:rPr>
        <w:tab/>
      </w:r>
      <w:r w:rsidRPr="00564B9D">
        <w:rPr>
          <w:rFonts w:hint="cs"/>
          <w:rtl/>
        </w:rPr>
        <w:t xml:space="preserve">والغرض الرئيسي لمجلس الأعيان والمجلس التشريعي حين يجتمع كل منهما على حدة هو إقرار التشريعات الأولية ("قوانين تينوالد")، على أن يقوم المجلس التشريعي بدور هيئة المراجعة. وتجتاز مشاريع القوانين مراحل مماثلة في فرعي تينوالد على غرار مشاريع القوانين في مجالس برلمان وستمنستر. وتتطلب مشاريع القوانين موافقة ملكية من العاهل لكي تتحول إلى قوانين، مع أن هذه العملية تُفوّض الآن إلى حد </w:t>
      </w:r>
      <w:r w:rsidRPr="00564B9D">
        <w:rPr>
          <w:rFonts w:hint="cs"/>
          <w:rtl/>
        </w:rPr>
        <w:lastRenderedPageBreak/>
        <w:t>كبير لنائب الحاكم. ويقوم أعضاء البرلمان الذين لا يشغلون مناصب وزارية، سواء من خلال لجان البرلمان أو بشكل إفرادي، بالتدقيق في أداء السلطة التنفيذية ومحاسبتها. وتجتمع محكمة تينوالد في 5 تموز/يوليه من كل عام لتصريف الأعمال البرلمانية وتلقي الالتماسات من سكان الجزيرة طلباً للانتصاف من المظالم. وفي هذه المناسبة يتم "إصدار" قوانين تينوالد التي أقرها البرلمان في السنة الفائتة (حيث يُقرأ موجز لكل قانون باللغة الإنكليزية وباللغة جزيرة مان الغايلية). ويتوقف سريان مفعول كل قانون لا يصدر في غضون 18 شهراً من تاريخ إقراره.</w:t>
      </w:r>
    </w:p>
    <w:p w14:paraId="58B8D4BD" w14:textId="77777777" w:rsidR="00494AE4" w:rsidRPr="00564B9D" w:rsidRDefault="00494AE4" w:rsidP="00494AE4">
      <w:pPr>
        <w:pStyle w:val="H23GA"/>
        <w:rPr>
          <w:rtl/>
        </w:rPr>
      </w:pPr>
      <w:r w:rsidRPr="00564B9D">
        <w:rPr>
          <w:rtl/>
        </w:rPr>
        <w:tab/>
      </w:r>
      <w:r w:rsidRPr="00564B9D">
        <w:rPr>
          <w:rtl/>
        </w:rPr>
        <w:tab/>
      </w:r>
      <w:r w:rsidRPr="00564B9D">
        <w:rPr>
          <w:rFonts w:hint="cs"/>
          <w:rtl/>
        </w:rPr>
        <w:t>السلطة التنفيذية</w:t>
      </w:r>
      <w:r w:rsidRPr="00564B9D">
        <w:rPr>
          <w:b w:val="0"/>
          <w:bCs w:val="0"/>
          <w:vertAlign w:val="superscript"/>
          <w:rtl/>
        </w:rPr>
        <w:t>(</w:t>
      </w:r>
      <w:r w:rsidRPr="00564B9D">
        <w:rPr>
          <w:rStyle w:val="FootnoteReference"/>
          <w:rFonts w:cs="Simplified Arabic"/>
          <w:bCs w:val="0"/>
          <w:sz w:val="22"/>
          <w:szCs w:val="22"/>
          <w:rtl/>
          <w:lang w:val="en-US"/>
        </w:rPr>
        <w:footnoteReference w:id="386"/>
      </w:r>
      <w:r w:rsidRPr="00564B9D">
        <w:rPr>
          <w:b w:val="0"/>
          <w:bCs w:val="0"/>
          <w:vertAlign w:val="superscript"/>
          <w:rtl/>
        </w:rPr>
        <w:t>)</w:t>
      </w:r>
      <w:r w:rsidRPr="00564B9D">
        <w:rPr>
          <w:rFonts w:hint="cs"/>
          <w:rtl/>
        </w:rPr>
        <w:t xml:space="preserve"> </w:t>
      </w:r>
    </w:p>
    <w:p w14:paraId="45C63DFC" w14:textId="77777777" w:rsidR="00494AE4" w:rsidRPr="00564B9D" w:rsidRDefault="00494AE4" w:rsidP="00494AE4">
      <w:pPr>
        <w:pStyle w:val="SingleTxtGA"/>
        <w:rPr>
          <w:rtl/>
        </w:rPr>
      </w:pPr>
      <w:r w:rsidRPr="00564B9D">
        <w:rPr>
          <w:rFonts w:hint="cs"/>
          <w:rtl/>
        </w:rPr>
        <w:t>206</w:t>
      </w:r>
      <w:r w:rsidRPr="00564B9D">
        <w:rPr>
          <w:rtl/>
        </w:rPr>
        <w:t>-</w:t>
      </w:r>
      <w:r w:rsidRPr="00564B9D">
        <w:rPr>
          <w:rtl/>
        </w:rPr>
        <w:tab/>
      </w:r>
      <w:r w:rsidRPr="00564B9D">
        <w:rPr>
          <w:rFonts w:hint="cs"/>
          <w:rtl/>
        </w:rPr>
        <w:t>لدى جزيرة مان نظام حكم وزاري. ورئيس الوزراء هو الرئيس السياسي لحكومة جزيرة مان، ويختاره مجلس الأعيان من بين أعضائه بعد كل انتخابات عامة، ومن ثم يعيّنه نائب الحاكم بناء على ترشيح مجلس الأعيان له. بعد ذلك يختار رئيس الوزراء وزراءه (الذين يعينهم رسمياً نائب الحاكم بناء على مشورة وموافقة رئيس الوزراء) الذين تناط بهم مسؤولية الوزارات الحكومية الرئيسية الثماني. ويتشكل مجلس وزراء جزيرة مان من رئيس الوزراء والوزراء، وهو ينسق أعمال الوزارات على أساس مبادئ الحوكمة المؤسسية والمسؤولية الجماعية.</w:t>
      </w:r>
    </w:p>
    <w:p w14:paraId="6144D8E4" w14:textId="77777777" w:rsidR="00494AE4" w:rsidRPr="00564B9D" w:rsidRDefault="00494AE4" w:rsidP="00494AE4">
      <w:pPr>
        <w:pStyle w:val="SingleTxtGA"/>
        <w:rPr>
          <w:rtl/>
        </w:rPr>
      </w:pPr>
      <w:r w:rsidRPr="00564B9D">
        <w:rPr>
          <w:rFonts w:hint="cs"/>
          <w:rtl/>
        </w:rPr>
        <w:t>207</w:t>
      </w:r>
      <w:r w:rsidRPr="00564B9D">
        <w:rPr>
          <w:rtl/>
        </w:rPr>
        <w:t>-</w:t>
      </w:r>
      <w:r w:rsidRPr="00564B9D">
        <w:rPr>
          <w:rtl/>
        </w:rPr>
        <w:tab/>
      </w:r>
      <w:r w:rsidRPr="00564B9D">
        <w:rPr>
          <w:rFonts w:hint="cs"/>
          <w:rtl/>
        </w:rPr>
        <w:t>ويعتبر مجلس الوزراء مسؤولاً أمام البرلمان (تينوالد) ويلتمس موافقته بشأن مبادرات السياسات الرئيسية لجزيرة مان. وما لم يتقدم رئيس الوزراء بالاستقالة، فإنه يبقى في منصبه إلى أن تحين الانتخابات العامة التالية لأعضاء مجلس الأعيان أو حتى انعقاد جلسة للمجلس يُتخذ فيها قرار بحجب الثقة عن مجلس الوزراء بموافقة ما لا يقل عن 16 عضواً. ويشغل الوزراء مناصبهم وفق ما تقتضيه ولاية الحاكم، بناء على موافقة رئيس الوزراء أو في حال نجاح اقتراح بسحب الثقة كما أشير إليه أعلاه.</w:t>
      </w:r>
    </w:p>
    <w:p w14:paraId="294195B2" w14:textId="77777777" w:rsidR="00494AE4" w:rsidRPr="00564B9D" w:rsidRDefault="00494AE4" w:rsidP="00494AE4">
      <w:pPr>
        <w:pStyle w:val="H23GA"/>
        <w:rPr>
          <w:rtl/>
        </w:rPr>
      </w:pPr>
      <w:r w:rsidRPr="00564B9D">
        <w:rPr>
          <w:rtl/>
        </w:rPr>
        <w:tab/>
      </w:r>
      <w:r w:rsidRPr="00564B9D">
        <w:rPr>
          <w:rtl/>
        </w:rPr>
        <w:tab/>
      </w:r>
      <w:r w:rsidRPr="00564B9D">
        <w:rPr>
          <w:rFonts w:hint="cs"/>
          <w:rtl/>
        </w:rPr>
        <w:t>الجهاز القضائي وإقامة العدل</w:t>
      </w:r>
      <w:r w:rsidRPr="00564B9D">
        <w:rPr>
          <w:b w:val="0"/>
          <w:bCs w:val="0"/>
          <w:vertAlign w:val="superscript"/>
          <w:rtl/>
        </w:rPr>
        <w:t>(</w:t>
      </w:r>
      <w:r w:rsidRPr="00564B9D">
        <w:rPr>
          <w:rStyle w:val="FootnoteReference"/>
          <w:rFonts w:cs="Simplified Arabic"/>
          <w:bCs w:val="0"/>
          <w:sz w:val="22"/>
          <w:szCs w:val="22"/>
          <w:rtl/>
          <w:lang w:val="en-US"/>
        </w:rPr>
        <w:footnoteReference w:id="387"/>
      </w:r>
      <w:r w:rsidRPr="00564B9D">
        <w:rPr>
          <w:b w:val="0"/>
          <w:bCs w:val="0"/>
          <w:vertAlign w:val="superscript"/>
          <w:rtl/>
        </w:rPr>
        <w:t>)</w:t>
      </w:r>
      <w:r w:rsidRPr="00564B9D">
        <w:rPr>
          <w:rFonts w:hint="cs"/>
          <w:rtl/>
        </w:rPr>
        <w:t xml:space="preserve"> </w:t>
      </w:r>
    </w:p>
    <w:p w14:paraId="54189299" w14:textId="77777777" w:rsidR="00494AE4" w:rsidRPr="00564B9D" w:rsidRDefault="00494AE4" w:rsidP="00494AE4">
      <w:pPr>
        <w:pStyle w:val="SingleTxtGA"/>
        <w:rPr>
          <w:rtl/>
        </w:rPr>
      </w:pPr>
      <w:r w:rsidRPr="00564B9D">
        <w:rPr>
          <w:rtl/>
        </w:rPr>
        <w:t>208-</w:t>
      </w:r>
      <w:r w:rsidRPr="00564B9D">
        <w:rPr>
          <w:rtl/>
        </w:rPr>
        <w:tab/>
      </w:r>
      <w:r w:rsidRPr="00564B9D">
        <w:rPr>
          <w:rFonts w:hint="cs"/>
          <w:rtl/>
        </w:rPr>
        <w:t>مع أن نطاق القانون الإنكليزي لا يشمل جزيرة مان، فإن النظام القانوني للجزيرة يقوم على مبادئ القانون العام الإنكليزي، الذي تم تكييفه ليتناسب مع الأوضاع الخاصة للجزيرة، ولا سيّما فيما يتعلق بالضرائب المباشرة وقانون الشركات والإشراف المالي</w:t>
      </w:r>
      <w:r w:rsidRPr="00564B9D">
        <w:rPr>
          <w:rtl/>
        </w:rPr>
        <w:t>.</w:t>
      </w:r>
    </w:p>
    <w:p w14:paraId="4DBCD59E" w14:textId="77777777" w:rsidR="00494AE4" w:rsidRPr="00564B9D" w:rsidRDefault="00494AE4" w:rsidP="00494AE4">
      <w:pPr>
        <w:pStyle w:val="SingleTxtGA"/>
        <w:rPr>
          <w:rtl/>
        </w:rPr>
      </w:pPr>
      <w:r w:rsidRPr="00564B9D">
        <w:rPr>
          <w:rFonts w:hint="cs"/>
          <w:rtl/>
        </w:rPr>
        <w:t>209</w:t>
      </w:r>
      <w:r w:rsidRPr="00564B9D">
        <w:rPr>
          <w:rtl/>
        </w:rPr>
        <w:t>-</w:t>
      </w:r>
      <w:r w:rsidRPr="00564B9D">
        <w:rPr>
          <w:rtl/>
        </w:rPr>
        <w:tab/>
      </w:r>
      <w:r w:rsidRPr="00564B9D">
        <w:rPr>
          <w:rFonts w:hint="cs"/>
          <w:rtl/>
        </w:rPr>
        <w:t>وتتألف محاكم جزيرة مان مما يلي: شعبة موظفي الحكومة لدى محكمة العدل العليا (عملياً محكمة الاستئناف لجزيرة مان)، والمحكمة العليا (ولديها شعبتان: الشعبة المدنية، ومحكمة الموقوفين في السجون (للمسائل الجنائية)، ومحكمة القضاء المستعجل، والمحكمة الجزئية (التي تتعامل مع المسائل الجنائية الأقل خطورة)؛ وقاضي التحقيق في الوفيات، ومحاكم أخرى (لجان الإنابة القضائية (التي تطلب الأدلة من ولايات قضائية أجنبية)، ومحكمة المخصصات المالية المستعجلة (التي تنظر في قضايا الأطفال المولودين خارج كنف الزواج)، والمحكمة المعنية بالكنوز المكتشفة (حيث يقوم المأمور القضائي الأول بالاستماع إلى التحقيقات المتعلقة بالكنوز المكتشفة)، والمحاكم الخاصة، ومحكمة إصدار التراخيص، ومحكمة الأحداث). وتحال الطعون النهائية من شعبة الموظفين الحكوميين (شعبة الاستئناف) إلى اللجنة القضائية للمجلس الملكي الخاص في لندن.</w:t>
      </w:r>
    </w:p>
    <w:p w14:paraId="605BE6AA" w14:textId="47392421" w:rsidR="00494AE4" w:rsidRPr="00564B9D" w:rsidRDefault="00494AE4" w:rsidP="00494AE4">
      <w:pPr>
        <w:pStyle w:val="SingleTxtGA"/>
        <w:rPr>
          <w:rtl/>
        </w:rPr>
      </w:pPr>
      <w:r w:rsidRPr="00564B9D">
        <w:rPr>
          <w:rFonts w:hint="cs"/>
          <w:rtl/>
        </w:rPr>
        <w:t>210</w:t>
      </w:r>
      <w:r w:rsidRPr="00564B9D">
        <w:rPr>
          <w:rtl/>
        </w:rPr>
        <w:t>-</w:t>
      </w:r>
      <w:r w:rsidRPr="00564B9D">
        <w:rPr>
          <w:rtl/>
        </w:rPr>
        <w:tab/>
      </w:r>
      <w:r w:rsidRPr="00564B9D">
        <w:rPr>
          <w:rFonts w:hint="cs"/>
          <w:rtl/>
        </w:rPr>
        <w:t xml:space="preserve">ويُعرف المحامون في جزيرة مان باسم محاميي الدفاع، وهم </w:t>
      </w:r>
      <w:r w:rsidR="00D70082" w:rsidRPr="00564B9D">
        <w:rPr>
          <w:rFonts w:hint="cs"/>
          <w:rtl/>
        </w:rPr>
        <w:t xml:space="preserve">يجمعون </w:t>
      </w:r>
      <w:r w:rsidRPr="00564B9D">
        <w:rPr>
          <w:rFonts w:hint="cs"/>
          <w:rtl/>
        </w:rPr>
        <w:t xml:space="preserve">بين أدوار محامي الإجراءات ومحامي المرافعات في إنكلترا وويلز. ويضطلع محامو الدفاع في جزيرة مان بمجموعة كبيرة </w:t>
      </w:r>
      <w:r w:rsidRPr="00564B9D">
        <w:rPr>
          <w:rFonts w:hint="cs"/>
          <w:rtl/>
        </w:rPr>
        <w:lastRenderedPageBreak/>
        <w:t>من الأعمال ولديهم الحق الحصري في المرافعة أمام محاكم الجزيرة (علماً بأنه قد يسمح لمحامي المرافعات من إنكلترا وويلز بحضور المحاكمات في بعض القضايا). أما الأعمال القانونية الأخرى (باستثناء تحرير صكوك التنازل عن الملكية) فيضطلع بها في الجزيرة مختصون قضائيون مسجلون مؤهلون لممارسة العمل في اختصاصات أخرى.</w:t>
      </w:r>
    </w:p>
    <w:p w14:paraId="40ACE08C" w14:textId="77777777" w:rsidR="00494AE4" w:rsidRPr="00564B9D" w:rsidRDefault="00494AE4" w:rsidP="00494AE4">
      <w:pPr>
        <w:pStyle w:val="H23GA"/>
        <w:rPr>
          <w:rtl/>
        </w:rPr>
      </w:pPr>
      <w:r w:rsidRPr="00564B9D">
        <w:rPr>
          <w:rtl/>
        </w:rPr>
        <w:tab/>
      </w:r>
      <w:r w:rsidRPr="00564B9D">
        <w:rPr>
          <w:rtl/>
        </w:rPr>
        <w:tab/>
      </w:r>
      <w:r w:rsidRPr="00564B9D">
        <w:rPr>
          <w:rFonts w:hint="cs"/>
          <w:rtl/>
        </w:rPr>
        <w:t>المنظمات غير الحكومية</w:t>
      </w:r>
    </w:p>
    <w:p w14:paraId="432F3E11" w14:textId="77777777" w:rsidR="00494AE4" w:rsidRPr="00564B9D" w:rsidRDefault="00494AE4" w:rsidP="00494AE4">
      <w:pPr>
        <w:pStyle w:val="SingleTxtGA"/>
        <w:rPr>
          <w:rtl/>
        </w:rPr>
      </w:pPr>
      <w:r w:rsidRPr="00564B9D">
        <w:rPr>
          <w:rFonts w:hint="cs"/>
          <w:rtl/>
        </w:rPr>
        <w:t>211</w:t>
      </w:r>
      <w:r w:rsidRPr="00564B9D">
        <w:rPr>
          <w:rtl/>
        </w:rPr>
        <w:t>-</w:t>
      </w:r>
      <w:r w:rsidRPr="00564B9D">
        <w:rPr>
          <w:rtl/>
        </w:rPr>
        <w:tab/>
      </w:r>
      <w:r w:rsidRPr="00564B9D">
        <w:rPr>
          <w:rFonts w:hint="cs"/>
          <w:rtl/>
        </w:rPr>
        <w:t>لهيئات المجتمع المدني/القطاع الثالث أهميتها في جزيرة مان. ويجب أن تكون المؤسسات الخيرية في جزيرة مان (مع بعض الإعفاءات المحدودة) مسجلة لدى المدعي العام بموجب قانون تسجيل المؤسسات الخيرية لعام 2019</w:t>
      </w:r>
      <w:r w:rsidRPr="00564B9D">
        <w:rPr>
          <w:vertAlign w:val="superscript"/>
          <w:rtl/>
        </w:rPr>
        <w:t>(</w:t>
      </w:r>
      <w:r w:rsidRPr="00564B9D">
        <w:rPr>
          <w:rStyle w:val="FootnoteReference"/>
          <w:rFonts w:cs="Simplified Arabic"/>
          <w:b w:val="0"/>
          <w:sz w:val="22"/>
          <w:szCs w:val="22"/>
          <w:rtl/>
          <w:lang w:val="en-US"/>
        </w:rPr>
        <w:footnoteReference w:id="388"/>
      </w:r>
      <w:r w:rsidRPr="00564B9D">
        <w:rPr>
          <w:vertAlign w:val="superscript"/>
          <w:rtl/>
        </w:rPr>
        <w:t>)</w:t>
      </w:r>
      <w:r w:rsidRPr="00564B9D">
        <w:rPr>
          <w:rFonts w:hint="cs"/>
          <w:rtl/>
        </w:rPr>
        <w:t>. وبالإضافة إلى المنظمات غير الحكومية المحلية الصرف، يوجد فروع في جزيرة مان لعدد من المؤسسات الموجودة في المملكة المتحدة (مثل تلك المعنية بمجال المساعدة الإنمائية الدولية).</w:t>
      </w:r>
    </w:p>
    <w:p w14:paraId="066CD88A" w14:textId="77777777" w:rsidR="00494AE4" w:rsidRPr="00564B9D" w:rsidRDefault="00494AE4" w:rsidP="00494AE4">
      <w:pPr>
        <w:pStyle w:val="HChGA"/>
        <w:rPr>
          <w:rtl/>
        </w:rPr>
      </w:pPr>
      <w:r w:rsidRPr="00564B9D">
        <w:rPr>
          <w:rtl/>
        </w:rPr>
        <w:tab/>
      </w:r>
      <w:bookmarkStart w:id="506" w:name="_Toc123044228"/>
      <w:bookmarkStart w:id="507" w:name="_Toc123044451"/>
      <w:bookmarkStart w:id="508" w:name="_Toc123044713"/>
      <w:bookmarkStart w:id="509" w:name="_Toc123044975"/>
      <w:r w:rsidRPr="00564B9D">
        <w:rPr>
          <w:rFonts w:hint="cs"/>
          <w:rtl/>
        </w:rPr>
        <w:t>ثانياً</w:t>
      </w:r>
      <w:r w:rsidRPr="00564B9D">
        <w:rPr>
          <w:rtl/>
        </w:rPr>
        <w:t>-</w:t>
      </w:r>
      <w:r w:rsidRPr="00564B9D">
        <w:rPr>
          <w:rtl/>
        </w:rPr>
        <w:tab/>
      </w:r>
      <w:r w:rsidRPr="00564B9D">
        <w:rPr>
          <w:rFonts w:hint="cs"/>
          <w:rtl/>
        </w:rPr>
        <w:t>الإطار العام لتعزيز حقوق الإنسان وحمايتها</w:t>
      </w:r>
      <w:bookmarkEnd w:id="506"/>
      <w:bookmarkEnd w:id="507"/>
      <w:bookmarkEnd w:id="508"/>
      <w:bookmarkEnd w:id="509"/>
    </w:p>
    <w:p w14:paraId="18BBC8C1" w14:textId="77777777" w:rsidR="00494AE4" w:rsidRPr="00564B9D" w:rsidRDefault="00494AE4" w:rsidP="00494AE4">
      <w:pPr>
        <w:pStyle w:val="H1GA"/>
        <w:rPr>
          <w:rtl/>
        </w:rPr>
      </w:pPr>
      <w:r w:rsidRPr="00564B9D">
        <w:rPr>
          <w:rtl/>
        </w:rPr>
        <w:tab/>
      </w:r>
      <w:bookmarkStart w:id="510" w:name="_Toc123044229"/>
      <w:bookmarkStart w:id="511" w:name="_Toc123044452"/>
      <w:bookmarkStart w:id="512" w:name="_Toc123044714"/>
      <w:bookmarkStart w:id="513" w:name="_Toc123044976"/>
      <w:r w:rsidRPr="00564B9D">
        <w:rPr>
          <w:rtl/>
        </w:rPr>
        <w:t>ألف-</w:t>
      </w:r>
      <w:r w:rsidRPr="00564B9D">
        <w:rPr>
          <w:rtl/>
        </w:rPr>
        <w:tab/>
      </w:r>
      <w:r w:rsidRPr="00564B9D">
        <w:rPr>
          <w:rFonts w:hint="cs"/>
          <w:rtl/>
        </w:rPr>
        <w:t>قبول معايير حقوق الإنسان الدولية</w:t>
      </w:r>
      <w:bookmarkEnd w:id="510"/>
      <w:bookmarkEnd w:id="511"/>
      <w:bookmarkEnd w:id="512"/>
      <w:bookmarkEnd w:id="513"/>
    </w:p>
    <w:p w14:paraId="77114470" w14:textId="77777777" w:rsidR="00494AE4" w:rsidRPr="00564B9D" w:rsidRDefault="00494AE4" w:rsidP="00494AE4">
      <w:pPr>
        <w:pStyle w:val="SingleTxtGA"/>
        <w:rPr>
          <w:rtl/>
        </w:rPr>
      </w:pPr>
      <w:r w:rsidRPr="00564B9D">
        <w:rPr>
          <w:rtl/>
        </w:rPr>
        <w:t>212-</w:t>
      </w:r>
      <w:r w:rsidRPr="00564B9D">
        <w:rPr>
          <w:rtl/>
        </w:rPr>
        <w:tab/>
      </w:r>
      <w:r w:rsidRPr="00564B9D">
        <w:rPr>
          <w:rFonts w:hint="cs"/>
          <w:rtl/>
        </w:rPr>
        <w:t>تم توسيع نطاق الصكوك الدولية الرئيسية التالية لتشمل جزيرة مان.</w:t>
      </w:r>
    </w:p>
    <w:p w14:paraId="6C7B82F5" w14:textId="77777777" w:rsidR="00494AE4" w:rsidRPr="00564B9D" w:rsidRDefault="00494AE4" w:rsidP="00494AE4">
      <w:pPr>
        <w:pStyle w:val="H23GA"/>
        <w:rPr>
          <w:rtl/>
        </w:rPr>
      </w:pPr>
      <w:r w:rsidRPr="00564B9D">
        <w:rPr>
          <w:rtl/>
        </w:rPr>
        <w:tab/>
      </w:r>
      <w:r w:rsidRPr="00564B9D">
        <w:rPr>
          <w:rtl/>
        </w:rPr>
        <w:tab/>
      </w:r>
      <w:r w:rsidRPr="00564B9D">
        <w:rPr>
          <w:rFonts w:hint="cs"/>
          <w:rtl/>
        </w:rPr>
        <w:t>الاتفاقيات والبروتوكولات الدولية الرئيسية المتعلقة بحقوق الإنسان التابعة للأمم المتحدة</w:t>
      </w:r>
    </w:p>
    <w:p w14:paraId="595BDE06"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الدولية للقضاء على جميع أشكال التمييز العنصري؛ العهد الدولي الخاص بالحقوق المدنية والسياسية؛ البروتوكول الاختياري الثاني الملحق بالعهد الدولي الخاص بالحقوق المدنية والسياسية؛ العهد الدولي الخاص بالحقوق الاقتصادية والاجتماعية والثقافية؛ اتفاقية القضاء على جميع أشكال التمييز ضد المرأة؛ البروتوكول الاختياري الملحق باتفاقية القضاء على جميع أشكال التمييز ضد المرأة؛ اتفاقية مناهضة التعذيب وغيره من ضروب المعاملة أو العقوبة القاسية أو اللاإنسانية أو المهينة؛ البروتوكول الاختياري الملحق باتفاقية مناهضة التعذيب وغيره من ضروب المعاملة أو العقوبة القاسية أو اللاإنسانية أو المهينة؛ اتفاقية حقوق الطفل.</w:t>
      </w:r>
    </w:p>
    <w:p w14:paraId="3461711C"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حقوق الإنسان الأخرى وذات الصلة التابعة للأمم المتحدة</w:t>
      </w:r>
    </w:p>
    <w:p w14:paraId="193D0C5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tl/>
        </w:rPr>
        <w:t>اتفاقية منع جريمة الإبادة الجماعية والمعاقبة عليها</w:t>
      </w:r>
      <w:r w:rsidRPr="00564B9D">
        <w:rPr>
          <w:rFonts w:hint="cs"/>
          <w:rtl/>
        </w:rPr>
        <w:t>؛ الاتفاقية المتعلقة بوضع اللاجئين (وبروتوكول عام 1967)؛ الاتفاقية بشأن وضع الأشخاص عديمي الجنسية؛ الاتفاقية بشأن خفض حالات انعدام الجنسية؛ نظام روما الأساسي للمحكمة الجنائية الدولية؛ اتفاقية الأمم المتحدة لمكافحة الجريمة المنظمة عبر الوطنية.</w:t>
      </w:r>
    </w:p>
    <w:p w14:paraId="560F8F9E"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منظمة العمل الدولية</w:t>
      </w:r>
    </w:p>
    <w:p w14:paraId="2E057FB5"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t>C029</w:t>
      </w:r>
      <w:r w:rsidRPr="00564B9D">
        <w:rPr>
          <w:rFonts w:hint="cs"/>
          <w:rtl/>
        </w:rPr>
        <w:t xml:space="preserve"> - اتفاقية العمل الجبري؛ </w:t>
      </w:r>
      <w:r w:rsidRPr="00564B9D">
        <w:t>C081</w:t>
      </w:r>
      <w:r w:rsidRPr="00564B9D">
        <w:rPr>
          <w:rFonts w:hint="cs"/>
          <w:rtl/>
        </w:rPr>
        <w:t xml:space="preserve"> - الاتفاقية بشأن تفتيش العمل؛ </w:t>
      </w:r>
      <w:r w:rsidRPr="00564B9D">
        <w:t>C087</w:t>
      </w:r>
      <w:r w:rsidRPr="00564B9D">
        <w:rPr>
          <w:rFonts w:hint="cs"/>
          <w:rtl/>
        </w:rPr>
        <w:t xml:space="preserve"> - الاتفاقية الخاصة </w:t>
      </w:r>
      <w:r w:rsidRPr="00564B9D">
        <w:rPr>
          <w:rtl/>
        </w:rPr>
        <w:t>بالحرية النقابية وحماية حق التنظيم</w:t>
      </w:r>
      <w:r w:rsidRPr="00564B9D">
        <w:rPr>
          <w:rFonts w:hint="cs"/>
          <w:rtl/>
        </w:rPr>
        <w:t xml:space="preserve">؛ </w:t>
      </w:r>
      <w:r w:rsidRPr="00564B9D">
        <w:t>C097</w:t>
      </w:r>
      <w:r w:rsidRPr="00564B9D">
        <w:rPr>
          <w:rFonts w:hint="cs"/>
          <w:rtl/>
        </w:rPr>
        <w:t xml:space="preserve">- الاتفاقية (المراجعة) بشأن الهجرة من أجل العمل؛ </w:t>
      </w:r>
      <w:r w:rsidRPr="00564B9D">
        <w:t>C098</w:t>
      </w:r>
      <w:r w:rsidRPr="00564B9D">
        <w:rPr>
          <w:rFonts w:hint="cs"/>
          <w:rtl/>
        </w:rPr>
        <w:t xml:space="preserve"> - الاتفاقية الخاصة بحق التنظيم والمفاوضة الجماعية؛ </w:t>
      </w:r>
      <w:r w:rsidRPr="00564B9D">
        <w:t>C102</w:t>
      </w:r>
      <w:r w:rsidRPr="00564B9D">
        <w:rPr>
          <w:rFonts w:hint="cs"/>
          <w:rtl/>
        </w:rPr>
        <w:t xml:space="preserve"> - اتفاقية </w:t>
      </w:r>
      <w:r w:rsidRPr="00564B9D">
        <w:rPr>
          <w:rFonts w:hint="cs"/>
          <w:rtl/>
        </w:rPr>
        <w:lastRenderedPageBreak/>
        <w:t xml:space="preserve">الضمان الاجتماعي (المعايير الدنيا)؛ </w:t>
      </w:r>
      <w:r w:rsidRPr="00564B9D">
        <w:t>C105</w:t>
      </w:r>
      <w:r w:rsidRPr="00564B9D">
        <w:rPr>
          <w:rFonts w:hint="cs"/>
          <w:rtl/>
        </w:rPr>
        <w:t xml:space="preserve"> - اتفاقية إلغاء العمل الجبري؛ </w:t>
      </w:r>
      <w:r w:rsidRPr="00564B9D">
        <w:t>C122</w:t>
      </w:r>
      <w:r w:rsidRPr="00564B9D">
        <w:rPr>
          <w:rFonts w:hint="cs"/>
          <w:rtl/>
        </w:rPr>
        <w:t>- الاتفاقية بشأن سياسة العمالة.</w:t>
      </w:r>
    </w:p>
    <w:p w14:paraId="24011E65"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مؤتمر لاهاي بشأن القانون الدولي الخاص</w:t>
      </w:r>
    </w:p>
    <w:p w14:paraId="59F7C1C9"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اتفاقية الاعتراف بالطلاق والانفصال القانوني؛ الاتفاقية بشأن الاعتراف بأحكام التزامات النفقة وتنفيذها؛ الاتفاقية بشأن الجوانب المدنية لاختطاف الأطفال على الصعيد الدولي؛ اتفاقية حماية الأطفال والتعاون في مجال التبني في ما بين البلدان.</w:t>
      </w:r>
    </w:p>
    <w:p w14:paraId="10D22599" w14:textId="77777777" w:rsidR="00494AE4" w:rsidRPr="00564B9D" w:rsidRDefault="00494AE4" w:rsidP="00494AE4">
      <w:pPr>
        <w:pStyle w:val="H23GA"/>
        <w:rPr>
          <w:rtl/>
        </w:rPr>
      </w:pPr>
      <w:r w:rsidRPr="00564B9D">
        <w:rPr>
          <w:rtl/>
        </w:rPr>
        <w:tab/>
      </w:r>
      <w:r w:rsidRPr="00564B9D">
        <w:rPr>
          <w:rtl/>
        </w:rPr>
        <w:tab/>
      </w:r>
      <w:r w:rsidRPr="00564B9D">
        <w:rPr>
          <w:rFonts w:hint="cs"/>
          <w:rtl/>
        </w:rPr>
        <w:t>اتفاقيات جنيف والمعاهدات الأخرى المتعلقة بالقانون الإنساني الدولي</w:t>
      </w:r>
    </w:p>
    <w:p w14:paraId="68F90F6F"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جنيف 1؛ جنيف 2؛ جنيف 3؛ جنيف 4؛ البروتوكول الأول؛ البروتوكول الثاني؛ البروتوكول الثالث؛ اتفاقية حظر استعمال وتخزين وإنتاج ونقل الألغام المضادة للأفراد وتدمير تلك الألغام؛ اتفاقية الذخائر العنقودية.</w:t>
      </w:r>
    </w:p>
    <w:p w14:paraId="35D1FFA6" w14:textId="77777777" w:rsidR="00494AE4" w:rsidRPr="00564B9D" w:rsidRDefault="00494AE4" w:rsidP="00494AE4">
      <w:pPr>
        <w:pStyle w:val="H23GA"/>
        <w:rPr>
          <w:rtl/>
        </w:rPr>
      </w:pPr>
      <w:r w:rsidRPr="00564B9D">
        <w:rPr>
          <w:rtl/>
        </w:rPr>
        <w:tab/>
      </w:r>
      <w:r w:rsidRPr="00564B9D">
        <w:rPr>
          <w:rtl/>
        </w:rPr>
        <w:tab/>
      </w:r>
      <w:r w:rsidRPr="00564B9D">
        <w:rPr>
          <w:rFonts w:hint="cs"/>
          <w:rtl/>
        </w:rPr>
        <w:t>الصكوك الإقليمية المتعلقة بحقوق الإنسان</w:t>
      </w:r>
    </w:p>
    <w:p w14:paraId="5449537A" w14:textId="77777777" w:rsidR="00494AE4" w:rsidRPr="00564B9D" w:rsidRDefault="00494AE4" w:rsidP="00494AE4">
      <w:pPr>
        <w:pStyle w:val="Bullet1GA"/>
        <w:numPr>
          <w:ilvl w:val="0"/>
          <w:numId w:val="14"/>
        </w:numPr>
        <w:tabs>
          <w:tab w:val="clear" w:pos="1361"/>
          <w:tab w:val="num" w:pos="1475"/>
        </w:tabs>
        <w:ind w:left="1985" w:hanging="545"/>
        <w:rPr>
          <w:rtl/>
        </w:rPr>
      </w:pPr>
      <w:r w:rsidRPr="00564B9D">
        <w:rPr>
          <w:rFonts w:hint="cs"/>
          <w:rtl/>
        </w:rPr>
        <w:t>الاتفاقية الأوروبية لحماية حقوق الإنسان والحريات الأساسية؛ الميثاق الاجتماعي الأوروبي (1961)؛ الاتفاقية الأوروبية بشأن الاعتراف بالشخصية القانونية للمنظمات غير الحكومية الدولية؛ الاتفاقية الأوروبية لمناهضة التعذيب وغيره من ضروب المعاملة أو العقوبة القاسية أو اللاإنسانية أو المهينة؛ الميثاق الأوروبي للغات الإقليمية أو لغات الأقليات.</w:t>
      </w:r>
    </w:p>
    <w:p w14:paraId="1C1456CC" w14:textId="77777777" w:rsidR="00494AE4" w:rsidRPr="00564B9D" w:rsidRDefault="00494AE4" w:rsidP="00494AE4">
      <w:pPr>
        <w:pStyle w:val="H1GA"/>
        <w:rPr>
          <w:rtl/>
        </w:rPr>
      </w:pPr>
      <w:r w:rsidRPr="00564B9D">
        <w:rPr>
          <w:rtl/>
        </w:rPr>
        <w:tab/>
      </w:r>
      <w:bookmarkStart w:id="514" w:name="_Toc123044230"/>
      <w:bookmarkStart w:id="515" w:name="_Toc123044453"/>
      <w:bookmarkStart w:id="516" w:name="_Toc123044715"/>
      <w:bookmarkStart w:id="517" w:name="_Toc123044977"/>
      <w:r w:rsidRPr="00564B9D">
        <w:rPr>
          <w:rFonts w:hint="cs"/>
          <w:rtl/>
        </w:rPr>
        <w:t>باء</w:t>
      </w:r>
      <w:r w:rsidRPr="00564B9D">
        <w:rPr>
          <w:rtl/>
        </w:rPr>
        <w:t>-</w:t>
      </w:r>
      <w:r w:rsidRPr="00564B9D">
        <w:rPr>
          <w:rtl/>
        </w:rPr>
        <w:tab/>
      </w:r>
      <w:r w:rsidRPr="00564B9D">
        <w:rPr>
          <w:rFonts w:hint="cs"/>
          <w:rtl/>
        </w:rPr>
        <w:t>الإطار القانوني لحماية حقوق الإنسان على الصعيد الوطني</w:t>
      </w:r>
      <w:bookmarkEnd w:id="514"/>
      <w:bookmarkEnd w:id="515"/>
      <w:bookmarkEnd w:id="516"/>
      <w:bookmarkEnd w:id="517"/>
    </w:p>
    <w:p w14:paraId="5352A407" w14:textId="77777777" w:rsidR="00494AE4" w:rsidRPr="00564B9D" w:rsidRDefault="00494AE4" w:rsidP="00494AE4">
      <w:pPr>
        <w:pStyle w:val="SingleTxtGA"/>
        <w:rPr>
          <w:rtl/>
        </w:rPr>
      </w:pPr>
      <w:r w:rsidRPr="00564B9D">
        <w:rPr>
          <w:rFonts w:hint="cs"/>
          <w:rtl/>
        </w:rPr>
        <w:t>213</w:t>
      </w:r>
      <w:r w:rsidRPr="00564B9D">
        <w:rPr>
          <w:rtl/>
        </w:rPr>
        <w:t>-</w:t>
      </w:r>
      <w:r w:rsidRPr="00564B9D">
        <w:rPr>
          <w:rtl/>
        </w:rPr>
        <w:tab/>
      </w:r>
      <w:r w:rsidRPr="00564B9D">
        <w:rPr>
          <w:rFonts w:hint="cs"/>
          <w:rtl/>
        </w:rPr>
        <w:t>يسمح قانون حقوق الإنسان لعام 2001</w:t>
      </w:r>
      <w:r w:rsidRPr="00564B9D">
        <w:rPr>
          <w:vertAlign w:val="superscript"/>
          <w:rtl/>
        </w:rPr>
        <w:t>(</w:t>
      </w:r>
      <w:r w:rsidRPr="00564B9D">
        <w:rPr>
          <w:rStyle w:val="FootnoteReference"/>
          <w:rFonts w:cs="Simplified Arabic"/>
          <w:b w:val="0"/>
          <w:sz w:val="22"/>
          <w:szCs w:val="22"/>
          <w:rtl/>
          <w:lang w:val="en-US"/>
        </w:rPr>
        <w:footnoteReference w:id="389"/>
      </w:r>
      <w:r w:rsidRPr="00564B9D">
        <w:rPr>
          <w:vertAlign w:val="superscript"/>
          <w:rtl/>
        </w:rPr>
        <w:t>)</w:t>
      </w:r>
      <w:r w:rsidRPr="00564B9D">
        <w:rPr>
          <w:rtl/>
        </w:rPr>
        <w:t xml:space="preserve"> </w:t>
      </w:r>
      <w:r w:rsidRPr="00564B9D">
        <w:rPr>
          <w:rFonts w:hint="cs"/>
          <w:rtl/>
        </w:rPr>
        <w:t>لأي شخص يعتقد بأن الحقوق الخاصة به الواردة في الاتفاقية الأوروبية لحماية حقوق الإنسان والحريات الأساسية قد انتُهكت برفع شكوى مباشرة إلى المحكمة المناسبة أو الهيئة القضائية للحصول على سبل الانتصاف، بما في ذلك تعويضات عن الأضرار في حال استنتاج حدوث خرق. ويجب أن يتضمن كل مشروع قانون يقدم إلى البرلمان بياناً بشأن ما إذا كانت أحكامه تعتبر متوافقة مع أحكام الاتفاقية بالمعنى المقصود في قانون حقوق الإنسان لعام 2001. كما يتطلب القانون أن يتم تفسير جميع التشريعات وتنفيذها قدر الإمكان بطريقة تتوافق مع الحقوق الواردة في الاتفاقية. ويمكن للمحكمة العليا (أو، عند الاستئناف، اللجنة القضائية للمجلس الملكي الخاص) أن تعلن أن قانون تينوالد لا يمكن إعطاؤه معنى يتوافق مع الحقوق الواردة في الاتفاقية؛ وعندئذ يتعين على حكومة جزيرة مان، وعلى تينوالد في نهاية الأمر، أن تقرر ما إذا كانت ستعدل التشريعات وكيفية فعل ذلك (يجوز للمحاكم الأعلى رتبة نقض/العزوف عن تطبيق التشريعات الفرعية إذا لم تتوافق مع أحكام الاتفاقية الأوروبية لحماية حقوق الإنسان والحريات الأساسية). وبموجب قانون حقوق الإنسان، لا يجوز قانوناً لأي سلطة عامة، بما في ذلك المحاكم والمحاكم الإدارية، أن تتصرف بشكل لا يتوافق مع الحقوق الواردة في الاتفاقية. وبالإضافة إلى ذلك، يجب على محاكم الجزيرة ومحاكمها الإدارية أن تأخذ في الاعتبار السوابق القضائية الخاصة بالمحكمة الأوروبية لحقوق الإنسان.</w:t>
      </w:r>
    </w:p>
    <w:p w14:paraId="246B8B2B" w14:textId="77777777" w:rsidR="00494AE4" w:rsidRPr="00564B9D" w:rsidRDefault="00494AE4" w:rsidP="00494AE4">
      <w:pPr>
        <w:pStyle w:val="SingleTxtGA"/>
        <w:rPr>
          <w:rtl/>
        </w:rPr>
      </w:pPr>
      <w:r w:rsidRPr="00564B9D">
        <w:rPr>
          <w:rFonts w:hint="cs"/>
          <w:rtl/>
        </w:rPr>
        <w:lastRenderedPageBreak/>
        <w:t>214</w:t>
      </w:r>
      <w:r w:rsidRPr="00564B9D">
        <w:rPr>
          <w:rtl/>
        </w:rPr>
        <w:t>-</w:t>
      </w:r>
      <w:r w:rsidRPr="00564B9D">
        <w:rPr>
          <w:rtl/>
        </w:rPr>
        <w:tab/>
      </w:r>
      <w:r w:rsidRPr="00564B9D">
        <w:rPr>
          <w:rFonts w:hint="cs"/>
          <w:rtl/>
        </w:rPr>
        <w:t xml:space="preserve">ويوجد لدى جزيرة مان خطة للمساعدة القانونية موضوعة موضع التنفيذ، تُتاح في القضايا الجنائية والمدنية، </w:t>
      </w:r>
      <w:r w:rsidRPr="00564B9D">
        <w:rPr>
          <w:rtl/>
        </w:rPr>
        <w:t>وتديرها محاكم الجزيرة ووزارة الخزانة على التوالي</w:t>
      </w:r>
      <w:r w:rsidRPr="00564B9D">
        <w:rPr>
          <w:vertAlign w:val="superscript"/>
          <w:rtl/>
        </w:rPr>
        <w:t>(</w:t>
      </w:r>
      <w:r w:rsidRPr="00564B9D">
        <w:rPr>
          <w:rStyle w:val="FootnoteReference"/>
          <w:rFonts w:cs="Simplified Arabic"/>
          <w:b w:val="0"/>
          <w:sz w:val="22"/>
          <w:szCs w:val="22"/>
          <w:rtl/>
          <w:lang w:val="en-US"/>
        </w:rPr>
        <w:footnoteReference w:id="390"/>
      </w:r>
      <w:r w:rsidRPr="00564B9D">
        <w:rPr>
          <w:vertAlign w:val="superscript"/>
          <w:rtl/>
        </w:rPr>
        <w:t>)</w:t>
      </w:r>
      <w:r w:rsidRPr="00564B9D">
        <w:rPr>
          <w:rFonts w:hint="cs"/>
          <w:rtl/>
        </w:rPr>
        <w:t>.</w:t>
      </w:r>
    </w:p>
    <w:p w14:paraId="4CC6B64E" w14:textId="77777777" w:rsidR="00494AE4" w:rsidRPr="00564B9D" w:rsidRDefault="00494AE4" w:rsidP="00494AE4">
      <w:pPr>
        <w:pStyle w:val="SingleTxtGA"/>
        <w:rPr>
          <w:rtl/>
        </w:rPr>
      </w:pPr>
      <w:r w:rsidRPr="00564B9D">
        <w:rPr>
          <w:rFonts w:hint="cs"/>
          <w:rtl/>
        </w:rPr>
        <w:t>215</w:t>
      </w:r>
      <w:r w:rsidRPr="00564B9D">
        <w:rPr>
          <w:rtl/>
        </w:rPr>
        <w:t>-</w:t>
      </w:r>
      <w:r w:rsidRPr="00564B9D">
        <w:rPr>
          <w:rtl/>
        </w:rPr>
        <w:tab/>
      </w:r>
      <w:r w:rsidRPr="00564B9D">
        <w:rPr>
          <w:rFonts w:hint="cs"/>
          <w:rtl/>
        </w:rPr>
        <w:t>وتسمح خطة التعويض عن الأضرار الجنائية</w:t>
      </w:r>
      <w:r w:rsidRPr="00564B9D">
        <w:rPr>
          <w:vertAlign w:val="superscript"/>
          <w:rtl/>
        </w:rPr>
        <w:t>(</w:t>
      </w:r>
      <w:r w:rsidRPr="00564B9D">
        <w:rPr>
          <w:rStyle w:val="FootnoteReference"/>
          <w:rFonts w:cs="Simplified Arabic"/>
          <w:b w:val="0"/>
          <w:sz w:val="22"/>
          <w:szCs w:val="22"/>
          <w:rtl/>
          <w:lang w:val="en-US"/>
        </w:rPr>
        <w:footnoteReference w:id="391"/>
      </w:r>
      <w:r w:rsidRPr="00564B9D">
        <w:rPr>
          <w:vertAlign w:val="superscript"/>
          <w:rtl/>
        </w:rPr>
        <w:t>)</w:t>
      </w:r>
      <w:r w:rsidRPr="00564B9D">
        <w:rPr>
          <w:rFonts w:hint="cs"/>
          <w:rtl/>
        </w:rPr>
        <w:t xml:space="preserve"> في جزيرة مان بتقديم تعويضات مالية </w:t>
      </w:r>
      <w:r w:rsidRPr="00564B9D">
        <w:rPr>
          <w:rtl/>
        </w:rPr>
        <w:t xml:space="preserve">لضحايا </w:t>
      </w:r>
      <w:r w:rsidRPr="00564B9D">
        <w:rPr>
          <w:rFonts w:hint="cs"/>
          <w:rtl/>
        </w:rPr>
        <w:t>جرائم العنف.</w:t>
      </w:r>
    </w:p>
    <w:p w14:paraId="7E4CA553" w14:textId="77777777" w:rsidR="00494AE4" w:rsidRPr="00564B9D" w:rsidRDefault="00494AE4" w:rsidP="00494AE4">
      <w:pPr>
        <w:pStyle w:val="SingleTxtGA"/>
        <w:rPr>
          <w:rtl/>
        </w:rPr>
      </w:pPr>
      <w:r w:rsidRPr="00564B9D">
        <w:rPr>
          <w:rFonts w:hint="cs"/>
          <w:rtl/>
        </w:rPr>
        <w:t>216</w:t>
      </w:r>
      <w:r w:rsidRPr="00564B9D">
        <w:rPr>
          <w:rtl/>
        </w:rPr>
        <w:t>-</w:t>
      </w:r>
      <w:r w:rsidRPr="00564B9D">
        <w:rPr>
          <w:rtl/>
        </w:rPr>
        <w:tab/>
      </w:r>
      <w:r w:rsidRPr="00564B9D">
        <w:rPr>
          <w:rFonts w:hint="cs"/>
          <w:rtl/>
        </w:rPr>
        <w:t>وينص قانون حماية البيانات لعام 2018 على حماية معالجة البيانات الشخصية. و</w:t>
      </w:r>
      <w:r w:rsidRPr="00564B9D">
        <w:rPr>
          <w:rtl/>
        </w:rPr>
        <w:t xml:space="preserve">يقوم مفوض المعلومات المستقل </w:t>
      </w:r>
      <w:r w:rsidRPr="00564B9D">
        <w:rPr>
          <w:rFonts w:hint="cs"/>
          <w:rtl/>
        </w:rPr>
        <w:t>برصد</w:t>
      </w:r>
      <w:r w:rsidRPr="00564B9D">
        <w:rPr>
          <w:rtl/>
        </w:rPr>
        <w:t xml:space="preserve"> وفرض الامتثال لتشريعات حماية البيانات وحرية المعلومات</w:t>
      </w:r>
      <w:r w:rsidRPr="00564B9D">
        <w:rPr>
          <w:vertAlign w:val="superscript"/>
          <w:rtl/>
        </w:rPr>
        <w:t>(</w:t>
      </w:r>
      <w:r w:rsidRPr="00564B9D">
        <w:rPr>
          <w:rStyle w:val="FootnoteReference"/>
          <w:rFonts w:cs="Simplified Arabic"/>
          <w:b w:val="0"/>
          <w:sz w:val="22"/>
          <w:szCs w:val="22"/>
          <w:rtl/>
          <w:lang w:val="en-US"/>
        </w:rPr>
        <w:footnoteReference w:id="392"/>
      </w:r>
      <w:r w:rsidRPr="00564B9D">
        <w:rPr>
          <w:vertAlign w:val="superscript"/>
          <w:rtl/>
        </w:rPr>
        <w:t>)</w:t>
      </w:r>
      <w:r w:rsidRPr="00564B9D">
        <w:rPr>
          <w:rFonts w:hint="cs"/>
          <w:rtl/>
        </w:rPr>
        <w:t>.</w:t>
      </w:r>
    </w:p>
    <w:p w14:paraId="5D6F5CEF" w14:textId="77777777" w:rsidR="00494AE4" w:rsidRPr="00564B9D" w:rsidRDefault="00494AE4" w:rsidP="00494AE4">
      <w:pPr>
        <w:pStyle w:val="SingleTxtGA"/>
        <w:rPr>
          <w:rtl/>
        </w:rPr>
      </w:pPr>
      <w:r w:rsidRPr="00564B9D">
        <w:rPr>
          <w:rFonts w:hint="cs"/>
          <w:rtl/>
        </w:rPr>
        <w:t>217</w:t>
      </w:r>
      <w:r w:rsidRPr="00564B9D">
        <w:rPr>
          <w:rtl/>
        </w:rPr>
        <w:t>-</w:t>
      </w:r>
      <w:r w:rsidRPr="00564B9D">
        <w:rPr>
          <w:rtl/>
        </w:rPr>
        <w:tab/>
      </w:r>
      <w:r w:rsidRPr="00564B9D">
        <w:rPr>
          <w:rFonts w:hint="cs"/>
          <w:rtl/>
        </w:rPr>
        <w:t>ويشرف المفوض المسؤول عن الشكاوى المتعلقة بالشرطة في جزيرة مان</w:t>
      </w:r>
      <w:r w:rsidRPr="00564B9D">
        <w:rPr>
          <w:vertAlign w:val="superscript"/>
          <w:rtl/>
        </w:rPr>
        <w:t>(</w:t>
      </w:r>
      <w:r w:rsidRPr="00564B9D">
        <w:rPr>
          <w:rStyle w:val="FootnoteReference"/>
          <w:rFonts w:cs="Simplified Arabic"/>
          <w:b w:val="0"/>
          <w:sz w:val="22"/>
          <w:szCs w:val="22"/>
          <w:rtl/>
          <w:lang w:val="en-US"/>
        </w:rPr>
        <w:footnoteReference w:id="393"/>
      </w:r>
      <w:r w:rsidRPr="00564B9D">
        <w:rPr>
          <w:vertAlign w:val="superscript"/>
          <w:rtl/>
        </w:rPr>
        <w:t>)</w:t>
      </w:r>
      <w:r w:rsidRPr="00564B9D">
        <w:rPr>
          <w:rFonts w:hint="cs"/>
          <w:rtl/>
        </w:rPr>
        <w:t xml:space="preserve"> على الشكاوى المتعلقة بسلوك الشرطة.</w:t>
      </w:r>
    </w:p>
    <w:p w14:paraId="144D195D" w14:textId="77777777" w:rsidR="00494AE4" w:rsidRPr="00564B9D" w:rsidRDefault="00494AE4" w:rsidP="00494AE4">
      <w:pPr>
        <w:pStyle w:val="H1GA"/>
        <w:rPr>
          <w:rtl/>
        </w:rPr>
      </w:pPr>
      <w:r w:rsidRPr="00564B9D">
        <w:rPr>
          <w:rtl/>
        </w:rPr>
        <w:tab/>
      </w:r>
      <w:bookmarkStart w:id="518" w:name="_Toc123044231"/>
      <w:bookmarkStart w:id="519" w:name="_Toc123044454"/>
      <w:bookmarkStart w:id="520" w:name="_Toc123044716"/>
      <w:bookmarkStart w:id="521" w:name="_Toc123044978"/>
      <w:r w:rsidRPr="00564B9D">
        <w:rPr>
          <w:rFonts w:hint="cs"/>
          <w:rtl/>
        </w:rPr>
        <w:t>جيم</w:t>
      </w:r>
      <w:r w:rsidRPr="00564B9D">
        <w:rPr>
          <w:rtl/>
        </w:rPr>
        <w:t>-</w:t>
      </w:r>
      <w:r w:rsidRPr="00564B9D">
        <w:rPr>
          <w:rtl/>
        </w:rPr>
        <w:tab/>
      </w:r>
      <w:r w:rsidRPr="00564B9D">
        <w:rPr>
          <w:rFonts w:hint="cs"/>
          <w:rtl/>
        </w:rPr>
        <w:t>إطار تعزيز حقوق الإنسان على الصعيد الدولي</w:t>
      </w:r>
      <w:bookmarkEnd w:id="518"/>
      <w:bookmarkEnd w:id="519"/>
      <w:bookmarkEnd w:id="520"/>
      <w:bookmarkEnd w:id="521"/>
    </w:p>
    <w:p w14:paraId="6CD2C4C6" w14:textId="77777777" w:rsidR="00494AE4" w:rsidRPr="00564B9D" w:rsidRDefault="00494AE4" w:rsidP="00494AE4">
      <w:pPr>
        <w:pStyle w:val="SingleTxtGA"/>
        <w:rPr>
          <w:rtl/>
        </w:rPr>
      </w:pPr>
      <w:r w:rsidRPr="00564B9D">
        <w:rPr>
          <w:rFonts w:hint="cs"/>
          <w:rtl/>
        </w:rPr>
        <w:t>218</w:t>
      </w:r>
      <w:r w:rsidRPr="00564B9D">
        <w:rPr>
          <w:rtl/>
        </w:rPr>
        <w:t>-</w:t>
      </w:r>
      <w:r w:rsidRPr="00564B9D">
        <w:rPr>
          <w:rtl/>
        </w:rPr>
        <w:tab/>
      </w:r>
      <w:r w:rsidRPr="00564B9D">
        <w:rPr>
          <w:rFonts w:hint="cs"/>
          <w:rtl/>
        </w:rPr>
        <w:t>تتاح على الموقع الإلكتروني لحكومة جزيرة مان</w:t>
      </w:r>
      <w:r w:rsidRPr="00564B9D">
        <w:rPr>
          <w:vertAlign w:val="superscript"/>
          <w:rtl/>
        </w:rPr>
        <w:t>(</w:t>
      </w:r>
      <w:r w:rsidRPr="00564B9D">
        <w:rPr>
          <w:rStyle w:val="FootnoteReference"/>
          <w:rFonts w:cs="Simplified Arabic"/>
          <w:b w:val="0"/>
          <w:sz w:val="22"/>
          <w:szCs w:val="22"/>
          <w:rtl/>
          <w:lang w:val="en-US"/>
        </w:rPr>
        <w:footnoteReference w:id="394"/>
      </w:r>
      <w:r w:rsidRPr="00564B9D">
        <w:rPr>
          <w:vertAlign w:val="superscript"/>
          <w:rtl/>
        </w:rPr>
        <w:t>)</w:t>
      </w:r>
      <w:r w:rsidRPr="00564B9D">
        <w:rPr>
          <w:rFonts w:hint="cs"/>
          <w:rtl/>
        </w:rPr>
        <w:t xml:space="preserve"> معلومات، بما في ذلك إرشادات، بشأن قانون حقوق الإنسان لعام 2001 والاتفاقية الأوروبية لحماية حقوق الإنسان والحريات الأساسية. وهناك أيضاً إرشادات للموظفين الحكوميين بشأن الالتزامات المترتبة على السلطات العامة بموجب هذا القانون.</w:t>
      </w:r>
    </w:p>
    <w:p w14:paraId="6CD3BE69" w14:textId="77777777" w:rsidR="00494AE4" w:rsidRPr="00564B9D" w:rsidRDefault="00494AE4" w:rsidP="00494AE4">
      <w:pPr>
        <w:pStyle w:val="HChGA"/>
        <w:rPr>
          <w:rtl/>
        </w:rPr>
      </w:pPr>
      <w:r w:rsidRPr="00564B9D">
        <w:rPr>
          <w:rtl/>
        </w:rPr>
        <w:tab/>
      </w:r>
      <w:bookmarkStart w:id="522" w:name="_Toc123044232"/>
      <w:bookmarkStart w:id="523" w:name="_Toc123044455"/>
      <w:bookmarkStart w:id="524" w:name="_Toc123044717"/>
      <w:bookmarkStart w:id="525" w:name="_Toc123044979"/>
      <w:r w:rsidRPr="00564B9D">
        <w:rPr>
          <w:rFonts w:hint="cs"/>
          <w:rtl/>
        </w:rPr>
        <w:t>ثالثاً</w:t>
      </w:r>
      <w:r w:rsidRPr="00564B9D">
        <w:rPr>
          <w:rtl/>
        </w:rPr>
        <w:t>-</w:t>
      </w:r>
      <w:r w:rsidRPr="00564B9D">
        <w:rPr>
          <w:rtl/>
        </w:rPr>
        <w:tab/>
      </w:r>
      <w:r w:rsidRPr="00564B9D">
        <w:rPr>
          <w:rFonts w:hint="cs"/>
          <w:rtl/>
        </w:rPr>
        <w:t>معلومات عن عدم التمييز والمساواة وسبل الانتصاف الفعالة</w:t>
      </w:r>
      <w:bookmarkEnd w:id="522"/>
      <w:bookmarkEnd w:id="523"/>
      <w:bookmarkEnd w:id="524"/>
      <w:bookmarkEnd w:id="525"/>
    </w:p>
    <w:p w14:paraId="123CC44C" w14:textId="77777777" w:rsidR="00494AE4" w:rsidRPr="00564B9D" w:rsidRDefault="00494AE4" w:rsidP="00494AE4">
      <w:pPr>
        <w:pStyle w:val="SingleTxtGA"/>
        <w:rPr>
          <w:rtl/>
        </w:rPr>
      </w:pPr>
      <w:r w:rsidRPr="00564B9D">
        <w:rPr>
          <w:rtl/>
        </w:rPr>
        <w:t>219-</w:t>
      </w:r>
      <w:r w:rsidRPr="00564B9D">
        <w:rPr>
          <w:rtl/>
        </w:rPr>
        <w:tab/>
        <w:t>دخل قانون المساواة في جزيرة مان لعام 2017</w:t>
      </w:r>
      <w:r w:rsidRPr="00564B9D">
        <w:rPr>
          <w:vertAlign w:val="superscript"/>
          <w:rtl/>
        </w:rPr>
        <w:t>(</w:t>
      </w:r>
      <w:r w:rsidRPr="00564B9D">
        <w:rPr>
          <w:rStyle w:val="FootnoteReference"/>
          <w:rFonts w:cs="Simplified Arabic"/>
          <w:b w:val="0"/>
          <w:sz w:val="22"/>
          <w:szCs w:val="22"/>
          <w:rtl/>
          <w:lang w:val="en-US"/>
        </w:rPr>
        <w:footnoteReference w:id="395"/>
      </w:r>
      <w:r w:rsidRPr="00564B9D">
        <w:rPr>
          <w:vertAlign w:val="superscript"/>
          <w:rtl/>
        </w:rPr>
        <w:t>)</w:t>
      </w:r>
      <w:r w:rsidRPr="00564B9D">
        <w:rPr>
          <w:rFonts w:hint="cs"/>
          <w:rtl/>
        </w:rPr>
        <w:t xml:space="preserve"> </w:t>
      </w:r>
      <w:r w:rsidRPr="00564B9D">
        <w:rPr>
          <w:rtl/>
        </w:rPr>
        <w:t xml:space="preserve">(الذي يستند بشكل وثيق إلى قانون المساواة في المملكة المتحدة 2010) حيز التنفيذ بالكامل في 1 </w:t>
      </w:r>
      <w:r w:rsidRPr="00564B9D">
        <w:rPr>
          <w:rFonts w:hint="cs"/>
          <w:rtl/>
        </w:rPr>
        <w:t>كانون الثاني/</w:t>
      </w:r>
      <w:r w:rsidRPr="00564B9D">
        <w:rPr>
          <w:rtl/>
        </w:rPr>
        <w:t>يناير 2020. و</w:t>
      </w:r>
      <w:r w:rsidRPr="00564B9D">
        <w:rPr>
          <w:rFonts w:hint="cs"/>
          <w:rtl/>
        </w:rPr>
        <w:t xml:space="preserve">هو </w:t>
      </w:r>
      <w:r w:rsidRPr="00564B9D">
        <w:rPr>
          <w:rtl/>
        </w:rPr>
        <w:t xml:space="preserve">يغطي نفس الخصائص </w:t>
      </w:r>
      <w:r w:rsidRPr="00564B9D">
        <w:rPr>
          <w:rFonts w:hint="cs"/>
          <w:rtl/>
        </w:rPr>
        <w:t>التي يحميها</w:t>
      </w:r>
      <w:r w:rsidRPr="00564B9D">
        <w:rPr>
          <w:rtl/>
        </w:rPr>
        <w:t xml:space="preserve"> قانون المملكة المتحدة: العمر؛ </w:t>
      </w:r>
      <w:r w:rsidRPr="00564B9D">
        <w:rPr>
          <w:rFonts w:hint="cs"/>
          <w:rtl/>
        </w:rPr>
        <w:t>ال</w:t>
      </w:r>
      <w:r w:rsidRPr="00564B9D">
        <w:rPr>
          <w:rtl/>
        </w:rPr>
        <w:t xml:space="preserve">عجز؛ تغيير </w:t>
      </w:r>
      <w:r w:rsidRPr="00564B9D">
        <w:rPr>
          <w:rFonts w:hint="cs"/>
          <w:rtl/>
        </w:rPr>
        <w:t xml:space="preserve">نوع </w:t>
      </w:r>
      <w:r w:rsidRPr="00564B9D">
        <w:rPr>
          <w:rtl/>
        </w:rPr>
        <w:t>الجنس؛ الزواج والشراكة المدنية؛ الحمل والأمومة</w:t>
      </w:r>
      <w:r w:rsidRPr="00564B9D">
        <w:rPr>
          <w:rFonts w:hint="cs"/>
          <w:rtl/>
        </w:rPr>
        <w:t>، العرق</w:t>
      </w:r>
      <w:r w:rsidRPr="00564B9D">
        <w:rPr>
          <w:rtl/>
        </w:rPr>
        <w:t>؛ الدين أو المعتقد؛ الجنس؛ التوجه الجنسي.</w:t>
      </w:r>
      <w:r w:rsidRPr="00564B9D">
        <w:rPr>
          <w:rFonts w:hint="cs"/>
          <w:rtl/>
        </w:rPr>
        <w:t xml:space="preserve"> و</w:t>
      </w:r>
      <w:r w:rsidRPr="00564B9D">
        <w:rPr>
          <w:rtl/>
        </w:rPr>
        <w:t xml:space="preserve">يمكن لأي شخص يعتبر أنه تعرض لتمييز غير قانوني أن يرفع قضية </w:t>
      </w:r>
      <w:r w:rsidRPr="00564B9D">
        <w:rPr>
          <w:rFonts w:hint="cs"/>
          <w:rtl/>
        </w:rPr>
        <w:t>أمام</w:t>
      </w:r>
      <w:r w:rsidRPr="00564B9D">
        <w:rPr>
          <w:rtl/>
        </w:rPr>
        <w:t xml:space="preserve"> محكمة العمل والمساواة.</w:t>
      </w:r>
    </w:p>
    <w:p w14:paraId="40435EB7" w14:textId="77777777" w:rsidR="00494AE4" w:rsidRPr="00564B9D" w:rsidRDefault="00494AE4" w:rsidP="00494AE4">
      <w:pPr>
        <w:pStyle w:val="SingleTxtGA"/>
        <w:rPr>
          <w:rtl/>
        </w:rPr>
      </w:pPr>
      <w:r w:rsidRPr="00564B9D">
        <w:rPr>
          <w:rtl/>
        </w:rPr>
        <w:t>220-</w:t>
      </w:r>
      <w:r w:rsidRPr="00564B9D">
        <w:rPr>
          <w:rtl/>
        </w:rPr>
        <w:tab/>
      </w:r>
      <w:r w:rsidRPr="00564B9D">
        <w:rPr>
          <w:rFonts w:hint="cs"/>
          <w:rtl/>
        </w:rPr>
        <w:t>و</w:t>
      </w:r>
      <w:r w:rsidRPr="00564B9D">
        <w:rPr>
          <w:rtl/>
        </w:rPr>
        <w:t>يمكن للزوجين</w:t>
      </w:r>
      <w:r w:rsidRPr="00564B9D">
        <w:rPr>
          <w:rFonts w:hint="cs"/>
          <w:rtl/>
        </w:rPr>
        <w:t>، سواء كانا مختلفي</w:t>
      </w:r>
      <w:r w:rsidRPr="00564B9D">
        <w:rPr>
          <w:rtl/>
        </w:rPr>
        <w:t xml:space="preserve"> الجنس أو من نفس الجنس</w:t>
      </w:r>
      <w:r w:rsidRPr="00564B9D">
        <w:rPr>
          <w:rFonts w:hint="cs"/>
          <w:rtl/>
        </w:rPr>
        <w:t>،</w:t>
      </w:r>
      <w:r w:rsidRPr="00564B9D">
        <w:rPr>
          <w:rtl/>
        </w:rPr>
        <w:t xml:space="preserve"> الزواج أو الدخول في شراكة مدنية بموجب قانون الزواج لعام 1984 وقانون الشراكة المدنية لعام 2011 بصيغته المعدلة بموجب قانون الزواج والشراكة المدنية (المعدل) لعام 2016. </w:t>
      </w:r>
    </w:p>
    <w:p w14:paraId="73957AC7" w14:textId="77777777" w:rsidR="00494AE4" w:rsidRPr="007B5A24" w:rsidRDefault="00494AE4" w:rsidP="00494AE4">
      <w:pPr>
        <w:pStyle w:val="SingleTxtGA"/>
        <w:rPr>
          <w:rtl/>
        </w:rPr>
      </w:pPr>
      <w:r w:rsidRPr="00564B9D">
        <w:rPr>
          <w:rtl/>
        </w:rPr>
        <w:t>221-</w:t>
      </w:r>
      <w:r w:rsidRPr="00564B9D">
        <w:rPr>
          <w:rtl/>
        </w:rPr>
        <w:tab/>
        <w:t xml:space="preserve">بالإضافة إلى ذلك، ينص قانون </w:t>
      </w:r>
      <w:r w:rsidRPr="00564B9D">
        <w:rPr>
          <w:rFonts w:hint="cs"/>
          <w:rtl/>
        </w:rPr>
        <w:t>الاعتراف بنوع الجنس لعام 2009</w:t>
      </w:r>
      <w:r w:rsidRPr="00564B9D">
        <w:rPr>
          <w:vertAlign w:val="superscript"/>
          <w:rtl/>
        </w:rPr>
        <w:t>(</w:t>
      </w:r>
      <w:r w:rsidRPr="00564B9D">
        <w:rPr>
          <w:rStyle w:val="FootnoteReference"/>
          <w:rFonts w:cs="Simplified Arabic"/>
          <w:b w:val="0"/>
          <w:sz w:val="22"/>
          <w:szCs w:val="22"/>
          <w:rtl/>
          <w:lang w:val="en-US"/>
        </w:rPr>
        <w:footnoteReference w:id="396"/>
      </w:r>
      <w:r w:rsidRPr="00564B9D">
        <w:rPr>
          <w:vertAlign w:val="superscript"/>
          <w:rtl/>
        </w:rPr>
        <w:t>)</w:t>
      </w:r>
      <w:r w:rsidRPr="00564B9D">
        <w:rPr>
          <w:rtl/>
        </w:rPr>
        <w:t xml:space="preserve"> على الاعتراف القانوني </w:t>
      </w:r>
      <w:r w:rsidRPr="00564B9D">
        <w:rPr>
          <w:rFonts w:hint="cs"/>
          <w:rtl/>
        </w:rPr>
        <w:t>بالجنس المكتسب للمتحول جنسياً/حامل صفات الجنس الآخر</w:t>
      </w:r>
      <w:r w:rsidRPr="00564B9D">
        <w:rPr>
          <w:rtl/>
        </w:rPr>
        <w:t>.</w:t>
      </w:r>
    </w:p>
    <w:p w14:paraId="48941E80" w14:textId="77777777" w:rsidR="00494AE4" w:rsidRPr="00020ED2" w:rsidRDefault="00494AE4" w:rsidP="00494AE4">
      <w:pPr>
        <w:pStyle w:val="SingleTxtGA"/>
        <w:jc w:val="center"/>
        <w:rPr>
          <w:u w:val="single"/>
          <w:lang w:val="en-US"/>
        </w:rPr>
      </w:pPr>
      <w:r w:rsidRPr="007B5A24">
        <w:rPr>
          <w:u w:val="single"/>
          <w:rtl/>
        </w:rPr>
        <w:tab/>
      </w:r>
      <w:r w:rsidRPr="007B5A24">
        <w:rPr>
          <w:u w:val="single"/>
          <w:rtl/>
        </w:rPr>
        <w:tab/>
      </w:r>
      <w:r w:rsidRPr="007B5A24">
        <w:rPr>
          <w:u w:val="single"/>
          <w:rtl/>
        </w:rPr>
        <w:tab/>
      </w:r>
    </w:p>
    <w:sectPr w:rsidR="00494AE4" w:rsidRPr="00020ED2" w:rsidSect="008846B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1EF0A" w14:textId="77777777" w:rsidR="00F73188" w:rsidRPr="002901D9" w:rsidRDefault="00F73188" w:rsidP="009815E4">
      <w:pPr>
        <w:spacing w:after="60" w:line="240" w:lineRule="auto"/>
        <w:ind w:left="57"/>
        <w:rPr>
          <w:i/>
          <w:iCs/>
        </w:rPr>
      </w:pPr>
      <w:r>
        <w:rPr>
          <w:rFonts w:hint="cs"/>
          <w:i/>
          <w:iCs/>
          <w:rtl/>
        </w:rPr>
        <w:t>الحواشي</w:t>
      </w:r>
    </w:p>
  </w:endnote>
  <w:endnote w:type="continuationSeparator" w:id="0">
    <w:p w14:paraId="32D40FA5" w14:textId="77777777" w:rsidR="00F73188" w:rsidRDefault="00F731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8A331" w14:textId="3DF18838" w:rsidR="008436E6" w:rsidRPr="008436E6" w:rsidRDefault="008436E6" w:rsidP="008436E6">
    <w:pPr>
      <w:pStyle w:val="Footer"/>
      <w:tabs>
        <w:tab w:val="right" w:pos="9638"/>
      </w:tabs>
      <w:rPr>
        <w:b/>
        <w:sz w:val="18"/>
        <w:lang w:val="en-US"/>
      </w:rPr>
    </w:pPr>
    <w:r>
      <w:rPr>
        <w:lang w:val="en-US"/>
      </w:rPr>
      <w:t>GE.22-15687</w:t>
    </w:r>
    <w:r>
      <w:rPr>
        <w:lang w:val="en-US"/>
      </w:rPr>
      <w:tab/>
    </w:r>
    <w:r w:rsidRPr="008436E6">
      <w:rPr>
        <w:b/>
        <w:sz w:val="18"/>
        <w:lang w:val="en-US"/>
      </w:rPr>
      <w:fldChar w:fldCharType="begin"/>
    </w:r>
    <w:r w:rsidRPr="008436E6">
      <w:rPr>
        <w:b/>
        <w:sz w:val="18"/>
        <w:lang w:val="en-US"/>
      </w:rPr>
      <w:instrText xml:space="preserve"> PAGE  \* MERGEFORMAT </w:instrText>
    </w:r>
    <w:r w:rsidRPr="008436E6">
      <w:rPr>
        <w:b/>
        <w:sz w:val="18"/>
        <w:lang w:val="en-US"/>
      </w:rPr>
      <w:fldChar w:fldCharType="separate"/>
    </w:r>
    <w:r w:rsidRPr="008436E6">
      <w:rPr>
        <w:b/>
        <w:noProof/>
        <w:sz w:val="18"/>
        <w:lang w:val="en-US"/>
      </w:rPr>
      <w:t>2</w:t>
    </w:r>
    <w:r w:rsidRPr="008436E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48D98" w14:textId="56924243" w:rsidR="006959B0" w:rsidRPr="008436E6" w:rsidRDefault="008436E6" w:rsidP="008436E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GE.22-15687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C9E56" w14:textId="2DA3CD16" w:rsidR="007E37A9" w:rsidRPr="008436E6" w:rsidRDefault="008436E6" w:rsidP="008436E6">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05397E9A" wp14:editId="3400FAB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22-15687 (A)</w:t>
    </w:r>
    <w:r>
      <w:rPr>
        <w:noProof/>
        <w:sz w:val="20"/>
        <w:lang w:val="en-US"/>
      </w:rPr>
      <w:drawing>
        <wp:anchor distT="0" distB="0" distL="114300" distR="114300" simplePos="0" relativeHeight="251659264" behindDoc="0" locked="0" layoutInCell="1" allowOverlap="1" wp14:anchorId="08A67639" wp14:editId="76B84C17">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B539F" w14:textId="77777777" w:rsidR="00F73188" w:rsidRPr="00CA22EA" w:rsidRDefault="00F73188"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1DE3CD1" w14:textId="77777777" w:rsidR="00F73188" w:rsidRDefault="00F73188" w:rsidP="00656392">
      <w:pPr>
        <w:spacing w:line="240" w:lineRule="auto"/>
      </w:pPr>
      <w:r>
        <w:continuationSeparator/>
      </w:r>
    </w:p>
  </w:footnote>
  <w:footnote w:id="1">
    <w:p w14:paraId="1EBB0397" w14:textId="659BB31E" w:rsidR="00467D1F" w:rsidRPr="00BD7822" w:rsidRDefault="00467D1F" w:rsidP="00467D1F">
      <w:pPr>
        <w:pStyle w:val="FootnoteText1"/>
      </w:pPr>
      <w:r w:rsidRPr="00BD7822">
        <w:rPr>
          <w:rtl/>
        </w:rPr>
        <w:t>*</w:t>
      </w:r>
      <w:r w:rsidRPr="00BD7822">
        <w:rPr>
          <w:rtl/>
        </w:rPr>
        <w:tab/>
        <w:t>لم تُحرّر هذه الوثيقة رسمياً قبل إصدارها.</w:t>
      </w:r>
    </w:p>
  </w:footnote>
  <w:footnote w:id="2">
    <w:p w14:paraId="70D9C03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OHCHR/HRTD/CBH</w:t>
      </w:r>
      <w:r w:rsidRPr="00BD7822">
        <w:rPr>
          <w:rFonts w:hint="cs"/>
          <w:rtl/>
        </w:rPr>
        <w:t xml:space="preserve"> بتاريخ 8 أيار/مايو 2014.</w:t>
      </w:r>
    </w:p>
  </w:footnote>
  <w:footnote w:id="3">
    <w:p w14:paraId="6CAF83E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1" w:history="1">
        <w:r w:rsidRPr="00BD7822">
          <w:rPr>
            <w:rStyle w:val="Hyperlink"/>
            <w:rFonts w:hint="cs"/>
            <w:rtl/>
          </w:rPr>
          <w:t>التقديرات السكانية، منتصف عام 2020</w:t>
        </w:r>
      </w:hyperlink>
      <w:r w:rsidRPr="00BD7822">
        <w:rPr>
          <w:rFonts w:hint="cs"/>
          <w:rtl/>
        </w:rPr>
        <w:t>.</w:t>
      </w:r>
    </w:p>
  </w:footnote>
  <w:footnote w:id="4">
    <w:p w14:paraId="2463F5E2" w14:textId="7DBFE22B"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 w:history="1">
        <w:r w:rsidRPr="00BD7822">
          <w:rPr>
            <w:rStyle w:val="Hyperlink"/>
            <w:rFonts w:hint="cs"/>
            <w:rtl/>
          </w:rPr>
          <w:t>التقديرات السكانية للمملكة المتحدة، وإنكلترا وويلز، واسكتلندا، و</w:t>
        </w:r>
        <w:r w:rsidR="000F4858" w:rsidRPr="00BD7822">
          <w:rPr>
            <w:rStyle w:val="Hyperlink"/>
            <w:rFonts w:hint="cs"/>
            <w:rtl/>
          </w:rPr>
          <w:t>أيرلندا الشمالية</w:t>
        </w:r>
        <w:r w:rsidRPr="00BD7822">
          <w:rPr>
            <w:rStyle w:val="Hyperlink"/>
            <w:rFonts w:hint="cs"/>
            <w:rtl/>
          </w:rPr>
          <w:t>، منتصف عام 2020</w:t>
        </w:r>
      </w:hyperlink>
      <w:r w:rsidRPr="00BD7822">
        <w:rPr>
          <w:rFonts w:hint="cs"/>
          <w:rtl/>
        </w:rPr>
        <w:t>.</w:t>
      </w:r>
    </w:p>
  </w:footnote>
  <w:footnote w:id="5">
    <w:p w14:paraId="29DCA52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3" w:history="1">
        <w:r w:rsidRPr="00BD7822">
          <w:rPr>
            <w:rStyle w:val="Hyperlink"/>
            <w:rFonts w:hint="cs"/>
            <w:rtl/>
          </w:rPr>
          <w:t>التقديرات السكانية، منتصف عام 2020</w:t>
        </w:r>
      </w:hyperlink>
      <w:r w:rsidRPr="00BD7822">
        <w:rPr>
          <w:rFonts w:hint="cs"/>
          <w:rtl/>
        </w:rPr>
        <w:t>.</w:t>
      </w:r>
    </w:p>
  </w:footnote>
  <w:footnote w:id="6">
    <w:p w14:paraId="10B8E95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بيانات التوزيع في المناطق الريفية والحضرية غير متيسرة.</w:t>
      </w:r>
    </w:p>
  </w:footnote>
  <w:footnote w:id="7">
    <w:p w14:paraId="20DD7BF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النظام الوطني الإلكتروني لإدارة المعلومات، </w:t>
      </w:r>
      <w:hyperlink r:id="rId4" w:history="1">
        <w:r w:rsidRPr="00BD7822">
          <w:rPr>
            <w:rStyle w:val="Hyperlink"/>
            <w:rFonts w:hint="cs"/>
            <w:rtl/>
          </w:rPr>
          <w:t>التعداد السكاني لعام 2011: اللغة الرئيسية بحسب الجنس.</w:t>
        </w:r>
      </w:hyperlink>
    </w:p>
  </w:footnote>
  <w:footnote w:id="8">
    <w:p w14:paraId="6BE96AC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السجلات الوطنية في اسكتلندا، </w:t>
      </w:r>
      <w:hyperlink r:id="rId5" w:history="1">
        <w:r w:rsidRPr="00BD7822">
          <w:rPr>
            <w:rStyle w:val="Hyperlink"/>
            <w:rFonts w:hint="cs"/>
            <w:rtl/>
          </w:rPr>
          <w:t>التعداد السكاني لاسكتلندا في عام 2011 - الإصدار 2 ألف</w:t>
        </w:r>
      </w:hyperlink>
      <w:r w:rsidRPr="00BD7822">
        <w:rPr>
          <w:rFonts w:hint="cs"/>
          <w:rtl/>
        </w:rPr>
        <w:t>، 26 أيلول/سبتمبر 2013.</w:t>
      </w:r>
    </w:p>
  </w:footnote>
  <w:footnote w:id="9">
    <w:p w14:paraId="74B22909" w14:textId="59F50483"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الوكالة الوطنية للإحصاءات والبحوث في </w:t>
      </w:r>
      <w:r w:rsidR="000F4858" w:rsidRPr="00BD7822">
        <w:rPr>
          <w:rFonts w:hint="cs"/>
          <w:rtl/>
        </w:rPr>
        <w:t>أيرلندا الشمالية</w:t>
      </w:r>
      <w:r w:rsidRPr="00BD7822">
        <w:rPr>
          <w:rFonts w:hint="cs"/>
          <w:rtl/>
        </w:rPr>
        <w:t xml:space="preserve">، </w:t>
      </w:r>
      <w:hyperlink r:id="rId6" w:history="1">
        <w:r w:rsidRPr="00BD7822">
          <w:rPr>
            <w:rStyle w:val="Hyperlink"/>
            <w:rFonts w:hint="cs"/>
            <w:rtl/>
          </w:rPr>
          <w:t>التعداد السكاني لعام 2011: الخصائص التفصيلية ل</w:t>
        </w:r>
        <w:r w:rsidR="000F4858" w:rsidRPr="00BD7822">
          <w:rPr>
            <w:rStyle w:val="Hyperlink"/>
            <w:rFonts w:hint="cs"/>
            <w:rtl/>
          </w:rPr>
          <w:t>أيرلندا الشمالية</w:t>
        </w:r>
        <w:r w:rsidRPr="00BD7822">
          <w:rPr>
            <w:rStyle w:val="Hyperlink"/>
            <w:rFonts w:hint="cs"/>
            <w:rtl/>
          </w:rPr>
          <w:t xml:space="preserve"> بشأن الأصل الإثني وبلد المولد واللغة.</w:t>
        </w:r>
      </w:hyperlink>
    </w:p>
  </w:footnote>
  <w:footnote w:id="10">
    <w:p w14:paraId="71DD28E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بيانات التوزيع في المناطق الريفية والحضرية غير متوفرة.</w:t>
      </w:r>
    </w:p>
  </w:footnote>
  <w:footnote w:id="11">
    <w:p w14:paraId="4C769EF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النظام الوطني الإلكتروني لإدارة المعلومات، </w:t>
      </w:r>
      <w:hyperlink r:id="rId7" w:history="1">
        <w:r w:rsidRPr="00BD7822">
          <w:rPr>
            <w:rStyle w:val="Hyperlink"/>
            <w:rFonts w:hint="cs"/>
            <w:rtl/>
          </w:rPr>
          <w:t>التعداد السكاني لعام 2011: الديانة والجنس.</w:t>
        </w:r>
      </w:hyperlink>
    </w:p>
  </w:footnote>
  <w:footnote w:id="12">
    <w:p w14:paraId="7DBCAE4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السجلات الوطنية في اسكتلندا، </w:t>
      </w:r>
      <w:hyperlink r:id="rId8" w:history="1">
        <w:r w:rsidRPr="00BD7822">
          <w:rPr>
            <w:rStyle w:val="Hyperlink"/>
            <w:rFonts w:hint="cs"/>
            <w:rtl/>
          </w:rPr>
          <w:t>التعداد السكاني لاسكتلندا في عام 2011 - الإصدار 2 ألف،</w:t>
        </w:r>
      </w:hyperlink>
      <w:r w:rsidRPr="00BD7822">
        <w:rPr>
          <w:rFonts w:hint="cs"/>
          <w:rtl/>
        </w:rPr>
        <w:t xml:space="preserve"> 26 أيلول/سبتمبر 2013.</w:t>
      </w:r>
    </w:p>
  </w:footnote>
  <w:footnote w:id="13">
    <w:p w14:paraId="4A780B54" w14:textId="1075A755"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الوكالة الوطنية للإحصاءات والبحوث في </w:t>
      </w:r>
      <w:r w:rsidR="000F4858" w:rsidRPr="00BD7822">
        <w:rPr>
          <w:rFonts w:hint="cs"/>
          <w:rtl/>
        </w:rPr>
        <w:t>أيرلندا الشمالية</w:t>
      </w:r>
      <w:r w:rsidRPr="00BD7822">
        <w:rPr>
          <w:rFonts w:hint="cs"/>
          <w:rtl/>
        </w:rPr>
        <w:t xml:space="preserve">، </w:t>
      </w:r>
      <w:hyperlink r:id="rId9" w:history="1">
        <w:r w:rsidRPr="00BD7822">
          <w:rPr>
            <w:rStyle w:val="Hyperlink"/>
            <w:rFonts w:hint="cs"/>
            <w:rtl/>
          </w:rPr>
          <w:t>التعداد السكاني لعام 2011: الخصائص التفصيلية ل</w:t>
        </w:r>
        <w:r w:rsidR="000F4858" w:rsidRPr="00BD7822">
          <w:rPr>
            <w:rStyle w:val="Hyperlink"/>
            <w:rFonts w:hint="cs"/>
            <w:rtl/>
          </w:rPr>
          <w:t>أيرلندا الشمالية</w:t>
        </w:r>
        <w:r w:rsidRPr="00BD7822">
          <w:rPr>
            <w:rStyle w:val="Hyperlink"/>
            <w:rFonts w:hint="cs"/>
            <w:rtl/>
          </w:rPr>
          <w:t xml:space="preserve"> بشأن الصحة والديانة والهوية الوطنية.</w:t>
        </w:r>
      </w:hyperlink>
    </w:p>
  </w:footnote>
  <w:footnote w:id="14">
    <w:p w14:paraId="7A576E7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بيانات التوزيع في المناطق الريفية والحضرية غير متوفرة.</w:t>
      </w:r>
    </w:p>
  </w:footnote>
  <w:footnote w:id="15">
    <w:p w14:paraId="0735494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النظام الوطني الإلكتروني لإدارة المعلومات، </w:t>
      </w:r>
      <w:hyperlink r:id="rId10" w:history="1">
        <w:r w:rsidRPr="00BD7822">
          <w:rPr>
            <w:rStyle w:val="Hyperlink"/>
            <w:rFonts w:hint="cs"/>
            <w:rtl/>
          </w:rPr>
          <w:t>التعداد السكاني لعام 2011: الفئة الإثنية بحسب الجنس.</w:t>
        </w:r>
      </w:hyperlink>
    </w:p>
  </w:footnote>
  <w:footnote w:id="16">
    <w:p w14:paraId="224933C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السجلات الوطنية في اسكتلندا، </w:t>
      </w:r>
      <w:hyperlink r:id="rId11" w:history="1">
        <w:r w:rsidRPr="00BD7822">
          <w:rPr>
            <w:rStyle w:val="Hyperlink"/>
            <w:rFonts w:hint="cs"/>
            <w:rtl/>
          </w:rPr>
          <w:t>التعداد السكاني لاسكتلندا في عام 2011- الإصدار 2 ألف،</w:t>
        </w:r>
      </w:hyperlink>
      <w:r w:rsidRPr="00BD7822">
        <w:rPr>
          <w:rFonts w:hint="cs"/>
          <w:rtl/>
        </w:rPr>
        <w:t xml:space="preserve"> 26 أيلول/سبتمبر 2013.</w:t>
      </w:r>
    </w:p>
  </w:footnote>
  <w:footnote w:id="17">
    <w:p w14:paraId="6D547DAF" w14:textId="13BB08F8"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الوكالة الوطنية للإحصاءات والبحوث في </w:t>
      </w:r>
      <w:r w:rsidR="000F4858" w:rsidRPr="00BD7822">
        <w:rPr>
          <w:rFonts w:hint="cs"/>
          <w:rtl/>
        </w:rPr>
        <w:t>أيرلندا الشمالية</w:t>
      </w:r>
      <w:r w:rsidRPr="00BD7822">
        <w:rPr>
          <w:rFonts w:hint="cs"/>
          <w:rtl/>
        </w:rPr>
        <w:t xml:space="preserve">، </w:t>
      </w:r>
      <w:hyperlink r:id="rId12" w:history="1">
        <w:r w:rsidRPr="00BD7822">
          <w:rPr>
            <w:rStyle w:val="Hyperlink"/>
            <w:rFonts w:hint="cs"/>
            <w:rtl/>
          </w:rPr>
          <w:t>التعداد السكاني لعام 2011: الخصائص التفصيلية ل</w:t>
        </w:r>
        <w:r w:rsidR="000F4858" w:rsidRPr="00BD7822">
          <w:rPr>
            <w:rStyle w:val="Hyperlink"/>
            <w:rFonts w:hint="cs"/>
            <w:rtl/>
          </w:rPr>
          <w:t>أيرلندا الشمالية</w:t>
        </w:r>
        <w:r w:rsidRPr="00BD7822">
          <w:rPr>
            <w:rStyle w:val="Hyperlink"/>
            <w:rFonts w:hint="cs"/>
            <w:rtl/>
          </w:rPr>
          <w:t xml:space="preserve"> بشأن الصحة والديانة والهوية الوطنية.</w:t>
        </w:r>
      </w:hyperlink>
    </w:p>
  </w:footnote>
  <w:footnote w:id="18">
    <w:p w14:paraId="5D66905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13" w:history="1">
        <w:r w:rsidRPr="00BD7822">
          <w:rPr>
            <w:rStyle w:val="Hyperlink"/>
            <w:rFonts w:hint="cs"/>
            <w:rtl/>
          </w:rPr>
          <w:t>التقديرات السكانية، منتصف عام 2020</w:t>
        </w:r>
      </w:hyperlink>
      <w:r w:rsidRPr="00BD7822">
        <w:rPr>
          <w:rFonts w:hint="cs"/>
          <w:rtl/>
        </w:rPr>
        <w:t>.</w:t>
      </w:r>
    </w:p>
  </w:footnote>
  <w:footnote w:id="19">
    <w:p w14:paraId="42BC5DD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14" w:history="1">
        <w:r w:rsidRPr="00BD7822">
          <w:rPr>
            <w:rStyle w:val="Hyperlink"/>
            <w:rFonts w:hint="cs"/>
            <w:rtl/>
          </w:rPr>
          <w:t>التعداد السكاني لعام 2011: التقديرات السكانية للسلطات المحلية في المملكة المتحدة حسب سنة واحدة من العمر والجنس</w:t>
        </w:r>
      </w:hyperlink>
      <w:r w:rsidRPr="00BD7822">
        <w:rPr>
          <w:rFonts w:hint="cs"/>
          <w:rtl/>
        </w:rPr>
        <w:t>، تموز/يوليه 2013.</w:t>
      </w:r>
    </w:p>
  </w:footnote>
  <w:footnote w:id="20">
    <w:p w14:paraId="4F6964E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15" w:history="1">
        <w:r w:rsidRPr="00BD7822">
          <w:rPr>
            <w:rStyle w:val="Hyperlink"/>
            <w:rFonts w:hint="cs"/>
            <w:rtl/>
          </w:rPr>
          <w:t>التعداد السكاني لعام 2011: التقديرات السكانية للسلطات المحلية في المملكة المتحدة حسب سنة واحدة من العمر والجنس</w:t>
        </w:r>
      </w:hyperlink>
      <w:r w:rsidRPr="00BD7822">
        <w:rPr>
          <w:rFonts w:hint="cs"/>
          <w:rtl/>
        </w:rPr>
        <w:t>، تموز/يوليه 2013.</w:t>
      </w:r>
    </w:p>
  </w:footnote>
  <w:footnote w:id="21">
    <w:p w14:paraId="1950398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انظر مكتب الإحصاءات الوطنية</w:t>
      </w:r>
      <w:hyperlink r:id="rId16" w:history="1">
        <w:r w:rsidRPr="00BD7822">
          <w:rPr>
            <w:rStyle w:val="Hyperlink"/>
            <w:rFonts w:hint="cs"/>
            <w:rtl/>
          </w:rPr>
          <w:t>، المواليد في إنكلترا وويلز -2019</w:t>
        </w:r>
      </w:hyperlink>
      <w:r w:rsidRPr="00BD7822">
        <w:rPr>
          <w:rFonts w:hint="cs"/>
          <w:rtl/>
        </w:rPr>
        <w:t>، تموز/يوليه 2020.</w:t>
      </w:r>
    </w:p>
  </w:footnote>
  <w:footnote w:id="22">
    <w:p w14:paraId="35BA9F9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انظر مكتب السجل العام في اسكتلندا،</w:t>
      </w:r>
      <w:hyperlink r:id="rId17" w:history="1">
        <w:r w:rsidRPr="00BD7822">
          <w:rPr>
            <w:rStyle w:val="Hyperlink"/>
            <w:rFonts w:hint="cs"/>
            <w:rtl/>
          </w:rPr>
          <w:t xml:space="preserve"> الجداول المرجعية للوقائع الحيوية 2018،</w:t>
        </w:r>
      </w:hyperlink>
      <w:r w:rsidRPr="00BD7822">
        <w:rPr>
          <w:rFonts w:hint="cs"/>
          <w:rtl/>
        </w:rPr>
        <w:t xml:space="preserve"> حزيران/يونيه 2019.</w:t>
      </w:r>
    </w:p>
  </w:footnote>
  <w:footnote w:id="23">
    <w:p w14:paraId="5389579E" w14:textId="71C5F60E"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الوكالة الوطنية للإحصاءات والبحوث في </w:t>
      </w:r>
      <w:r w:rsidR="000F4858" w:rsidRPr="00BD7822">
        <w:rPr>
          <w:rFonts w:hint="cs"/>
          <w:rtl/>
        </w:rPr>
        <w:t>أيرلندا الشمالية</w:t>
      </w:r>
      <w:r w:rsidRPr="00BD7822">
        <w:rPr>
          <w:rFonts w:hint="cs"/>
          <w:rtl/>
        </w:rPr>
        <w:t xml:space="preserve">، </w:t>
      </w:r>
      <w:hyperlink r:id="rId18" w:history="1">
        <w:r w:rsidRPr="00BD7822">
          <w:rPr>
            <w:rStyle w:val="Hyperlink"/>
            <w:rFonts w:hint="cs"/>
            <w:rtl/>
          </w:rPr>
          <w:t>جداول السجل العام الفصلية</w:t>
        </w:r>
      </w:hyperlink>
      <w:r w:rsidRPr="00BD7822">
        <w:rPr>
          <w:rFonts w:hint="cs"/>
          <w:rtl/>
        </w:rPr>
        <w:t>، 2020.</w:t>
      </w:r>
    </w:p>
  </w:footnote>
  <w:footnote w:id="24">
    <w:p w14:paraId="56F33A9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spacing w:val="-4"/>
          <w:rtl/>
        </w:rPr>
        <w:t>انظر مكتب الإحصاءات الوطنية</w:t>
      </w:r>
      <w:hyperlink r:id="rId19" w:history="1">
        <w:r w:rsidRPr="00BD7822">
          <w:rPr>
            <w:rStyle w:val="Hyperlink"/>
            <w:rFonts w:hint="cs"/>
            <w:spacing w:val="-4"/>
            <w:rtl/>
          </w:rPr>
          <w:t>، إحصاءات وفيات الرضّع: الأطفال والرضّع والفترة المحيطة بالولادة،</w:t>
        </w:r>
      </w:hyperlink>
      <w:r w:rsidRPr="00BD7822">
        <w:rPr>
          <w:rFonts w:hint="cs"/>
          <w:spacing w:val="-4"/>
          <w:rtl/>
        </w:rPr>
        <w:t xml:space="preserve"> 2019، شباط/فبراير 2021.</w:t>
      </w:r>
    </w:p>
  </w:footnote>
  <w:footnote w:id="25">
    <w:p w14:paraId="4C1B85C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انظر مكتب السجل العام في اسكتلندا،</w:t>
      </w:r>
      <w:hyperlink r:id="rId20" w:history="1">
        <w:r w:rsidRPr="00BD7822">
          <w:rPr>
            <w:rStyle w:val="Hyperlink"/>
            <w:rFonts w:hint="cs"/>
            <w:rtl/>
          </w:rPr>
          <w:t xml:space="preserve"> الجداول المرجعية للوقائع الحيوية 2018</w:t>
        </w:r>
      </w:hyperlink>
      <w:r w:rsidRPr="00BD7822">
        <w:rPr>
          <w:rFonts w:hint="cs"/>
          <w:rtl/>
        </w:rPr>
        <w:t>، حزيران/يونيه 2019.</w:t>
      </w:r>
    </w:p>
  </w:footnote>
  <w:footnote w:id="26">
    <w:p w14:paraId="56E8E63C" w14:textId="32BABF2E"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الوكالة الوطنية للإحصاءات والبحوث في </w:t>
      </w:r>
      <w:r w:rsidR="000F4858" w:rsidRPr="00BD7822">
        <w:rPr>
          <w:rFonts w:hint="cs"/>
          <w:rtl/>
        </w:rPr>
        <w:t>أيرلندا الشمالية</w:t>
      </w:r>
      <w:r w:rsidRPr="00BD7822">
        <w:rPr>
          <w:rFonts w:hint="cs"/>
          <w:rtl/>
        </w:rPr>
        <w:t xml:space="preserve">، </w:t>
      </w:r>
      <w:hyperlink r:id="rId21" w:history="1">
        <w:r w:rsidRPr="00BD7822">
          <w:rPr>
            <w:rStyle w:val="Hyperlink"/>
            <w:rFonts w:hint="cs"/>
            <w:rtl/>
          </w:rPr>
          <w:t>جداول السجل العام الفصلية، 2020، الربع الأول</w:t>
        </w:r>
      </w:hyperlink>
      <w:r w:rsidRPr="00BD7822">
        <w:rPr>
          <w:rFonts w:hint="cs"/>
          <w:rtl/>
        </w:rPr>
        <w:t>.</w:t>
      </w:r>
    </w:p>
  </w:footnote>
  <w:footnote w:id="27">
    <w:p w14:paraId="3FD560B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spacing w:val="-4"/>
          <w:rtl/>
        </w:rPr>
        <w:t>انظر مكتب الإحصاءات الوطنية</w:t>
      </w:r>
      <w:hyperlink r:id="rId22" w:history="1">
        <w:r w:rsidRPr="00BD7822">
          <w:rPr>
            <w:rStyle w:val="Hyperlink"/>
            <w:rFonts w:hint="cs"/>
            <w:spacing w:val="-4"/>
            <w:rtl/>
          </w:rPr>
          <w:t xml:space="preserve">، </w:t>
        </w:r>
        <w:r w:rsidRPr="00BD7822">
          <w:rPr>
            <w:rStyle w:val="Hyperlink"/>
            <w:spacing w:val="-4"/>
            <w:rtl/>
          </w:rPr>
          <w:t xml:space="preserve">تسجيلات الوفاة حسب سنة واحدة </w:t>
        </w:r>
        <w:r w:rsidRPr="00BD7822">
          <w:rPr>
            <w:rStyle w:val="Hyperlink"/>
            <w:rFonts w:hint="cs"/>
            <w:spacing w:val="-4"/>
            <w:rtl/>
          </w:rPr>
          <w:t xml:space="preserve">من العمر </w:t>
        </w:r>
        <w:r w:rsidRPr="00BD7822">
          <w:rPr>
            <w:rStyle w:val="Hyperlink"/>
            <w:spacing w:val="-4"/>
            <w:rtl/>
          </w:rPr>
          <w:t xml:space="preserve">- المملكة المتحدة، 2019، </w:t>
        </w:r>
        <w:r w:rsidRPr="00BD7822">
          <w:rPr>
            <w:rStyle w:val="Hyperlink"/>
            <w:rFonts w:hint="cs"/>
            <w:spacing w:val="-4"/>
            <w:rtl/>
          </w:rPr>
          <w:t>كانون الثاني/</w:t>
        </w:r>
        <w:r w:rsidRPr="00BD7822">
          <w:rPr>
            <w:rStyle w:val="Hyperlink"/>
            <w:spacing w:val="-4"/>
            <w:rtl/>
          </w:rPr>
          <w:t>يناير</w:t>
        </w:r>
        <w:r w:rsidRPr="00BD7822">
          <w:rPr>
            <w:rStyle w:val="Hyperlink"/>
            <w:rFonts w:hint="cs"/>
            <w:spacing w:val="-4"/>
            <w:rtl/>
          </w:rPr>
          <w:t xml:space="preserve"> 2020</w:t>
        </w:r>
      </w:hyperlink>
      <w:r w:rsidRPr="00BD7822">
        <w:rPr>
          <w:rFonts w:hint="cs"/>
          <w:spacing w:val="-4"/>
          <w:rtl/>
        </w:rPr>
        <w:t>.</w:t>
      </w:r>
    </w:p>
  </w:footnote>
  <w:footnote w:id="28">
    <w:p w14:paraId="77EB386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مكتب الإحصاءات الوطنية، </w:t>
      </w:r>
      <w:hyperlink r:id="rId23" w:history="1">
        <w:r w:rsidRPr="00BD7822">
          <w:rPr>
            <w:rStyle w:val="Hyperlink"/>
            <w:rFonts w:hint="cs"/>
            <w:rtl/>
          </w:rPr>
          <w:t>العمر المتوقع عند الولادة للمناطق المحلية في المملكة المتحدة: بين عامي 2017 و2019</w:t>
        </w:r>
      </w:hyperlink>
      <w:r w:rsidRPr="00BD7822">
        <w:rPr>
          <w:rFonts w:hint="cs"/>
          <w:rtl/>
        </w:rPr>
        <w:t>.</w:t>
      </w:r>
    </w:p>
  </w:footnote>
  <w:footnote w:id="29">
    <w:p w14:paraId="15E0641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24" w:history="1">
        <w:r w:rsidRPr="00BD7822">
          <w:rPr>
            <w:rStyle w:val="Hyperlink"/>
            <w:rFonts w:hint="cs"/>
            <w:rtl/>
          </w:rPr>
          <w:t>جداول موجزة بالمواليد، إنكلترا وويلز، 2019، تموز/يوليه 2020</w:t>
        </w:r>
      </w:hyperlink>
      <w:r w:rsidRPr="00BD7822">
        <w:rPr>
          <w:rFonts w:hint="cs"/>
          <w:rtl/>
        </w:rPr>
        <w:t>.</w:t>
      </w:r>
    </w:p>
  </w:footnote>
  <w:footnote w:id="30">
    <w:p w14:paraId="5C6BE27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مكتب السجل العام في اسكتلندا، </w:t>
      </w:r>
      <w:hyperlink r:id="rId25" w:anchor=":~:text=In%202019%2C%20the%20Total%20Fertility,is%20lowest%20in%20the%20cities." w:history="1">
        <w:r w:rsidRPr="00BD7822">
          <w:rPr>
            <w:rStyle w:val="Hyperlink"/>
            <w:rFonts w:hint="cs"/>
            <w:rtl/>
          </w:rPr>
          <w:t>معدلات الخصوبة العامة، بلدان المملكة المتحدة</w:t>
        </w:r>
      </w:hyperlink>
      <w:r w:rsidRPr="00BD7822">
        <w:rPr>
          <w:rFonts w:hint="cs"/>
          <w:rtl/>
        </w:rPr>
        <w:t>، 1971-2019.</w:t>
      </w:r>
    </w:p>
  </w:footnote>
  <w:footnote w:id="31">
    <w:p w14:paraId="31DC374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26" w:history="1">
        <w:r w:rsidRPr="00BD7822">
          <w:rPr>
            <w:rStyle w:val="Hyperlink"/>
            <w:rFonts w:hint="cs"/>
            <w:rtl/>
          </w:rPr>
          <w:t>الأسر والأسر المعيشية في المملكة المتحدة: 2020</w:t>
        </w:r>
      </w:hyperlink>
      <w:r w:rsidRPr="00BD7822">
        <w:rPr>
          <w:rFonts w:hint="cs"/>
          <w:rtl/>
        </w:rPr>
        <w:t>.</w:t>
      </w:r>
    </w:p>
  </w:footnote>
  <w:footnote w:id="32">
    <w:p w14:paraId="6841EAF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27" w:history="1">
        <w:r w:rsidRPr="00BD7822">
          <w:rPr>
            <w:rStyle w:val="Hyperlink"/>
            <w:rFonts w:hint="cs"/>
            <w:rtl/>
          </w:rPr>
          <w:t>الأسر والأسر المعيشية، 2019، تشرين الثاني/نوفمبر 2019</w:t>
        </w:r>
      </w:hyperlink>
      <w:r w:rsidRPr="00BD7822">
        <w:rPr>
          <w:rFonts w:hint="cs"/>
          <w:rtl/>
        </w:rPr>
        <w:t>.</w:t>
      </w:r>
    </w:p>
  </w:footnote>
  <w:footnote w:id="33">
    <w:p w14:paraId="43E02B2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انظر مكتب الإحصاءات الوطنية</w:t>
      </w:r>
      <w:hyperlink r:id="rId28" w:history="1">
        <w:r w:rsidRPr="00BD7822">
          <w:rPr>
            <w:rStyle w:val="Hyperlink"/>
            <w:rFonts w:hint="cs"/>
            <w:rtl/>
          </w:rPr>
          <w:t>، الإنفاق الأسري، إصدار عام 2019</w:t>
        </w:r>
      </w:hyperlink>
      <w:r w:rsidRPr="00BD7822">
        <w:rPr>
          <w:rFonts w:hint="cs"/>
          <w:rtl/>
        </w:rPr>
        <w:t>، آذار/مارس 2020.</w:t>
      </w:r>
    </w:p>
  </w:footnote>
  <w:footnote w:id="34">
    <w:p w14:paraId="09E5133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وزارة العمل والمعاشات التقاعدية، </w:t>
      </w:r>
      <w:hyperlink r:id="rId29" w:history="1">
        <w:r w:rsidRPr="00BD7822">
          <w:rPr>
            <w:rStyle w:val="Hyperlink"/>
            <w:rFonts w:hint="cs"/>
            <w:rtl/>
          </w:rPr>
          <w:t>الأسر المعيشية ذات الدخل الأقل من المتوسط</w:t>
        </w:r>
      </w:hyperlink>
      <w:r w:rsidRPr="00BD7822">
        <w:rPr>
          <w:rFonts w:hint="cs"/>
          <w:rtl/>
        </w:rPr>
        <w:t>، 1994/1995 إلى 2017/2018.</w:t>
      </w:r>
    </w:p>
  </w:footnote>
  <w:footnote w:id="35">
    <w:p w14:paraId="341F3C3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البنك الدولي، </w:t>
      </w:r>
      <w:hyperlink r:id="rId30" w:history="1">
        <w:r w:rsidRPr="00BD7822">
          <w:rPr>
            <w:rStyle w:val="Hyperlink"/>
            <w:rFonts w:hint="cs"/>
            <w:rtl/>
          </w:rPr>
          <w:t>انتشار نقص التغذية (نسبة مئوية من السكان)</w:t>
        </w:r>
      </w:hyperlink>
      <w:r w:rsidRPr="00BD7822">
        <w:rPr>
          <w:rFonts w:hint="cs"/>
          <w:rtl/>
        </w:rPr>
        <w:t>.</w:t>
      </w:r>
    </w:p>
  </w:footnote>
  <w:footnote w:id="36">
    <w:p w14:paraId="2D54C60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31" w:history="1">
        <w:r w:rsidRPr="00BD7822">
          <w:rPr>
            <w:rStyle w:val="Hyperlink"/>
            <w:rFonts w:hint="cs"/>
            <w:rtl/>
          </w:rPr>
          <w:t>تأثير الضرائب والاستحقاقات على دخل الأسرة المعيشية، 2019</w:t>
        </w:r>
      </w:hyperlink>
      <w:r w:rsidRPr="00BD7822">
        <w:rPr>
          <w:rFonts w:hint="cs"/>
          <w:rtl/>
        </w:rPr>
        <w:t>، حزيران/يونيه 2020.</w:t>
      </w:r>
    </w:p>
  </w:footnote>
  <w:footnote w:id="37">
    <w:p w14:paraId="283E6E36"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spacing w:val="-4"/>
          <w:rtl/>
        </w:rPr>
        <w:t xml:space="preserve">انظر </w:t>
      </w:r>
      <w:hyperlink r:id="rId32" w:history="1">
        <w:r w:rsidRPr="00BD7822">
          <w:rPr>
            <w:rStyle w:val="Hyperlink"/>
            <w:rFonts w:eastAsia="SimSun"/>
            <w:spacing w:val="-4"/>
          </w:rPr>
          <w:t>https://digital.nhs.uk/data-and-information/publications/statistical/national-child-measurement-programme/2019-20-school-year</w:t>
        </w:r>
      </w:hyperlink>
      <w:r w:rsidRPr="00BD7822">
        <w:rPr>
          <w:rFonts w:hint="cs"/>
          <w:spacing w:val="-4"/>
          <w:rtl/>
        </w:rPr>
        <w:t>.</w:t>
      </w:r>
    </w:p>
  </w:footnote>
  <w:footnote w:id="38">
    <w:p w14:paraId="7E16DBC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w:t>
      </w:r>
      <w:hyperlink r:id="rId33" w:history="1">
        <w:r w:rsidRPr="00BD7822">
          <w:rPr>
            <w:rStyle w:val="Hyperlink"/>
            <w:rFonts w:eastAsia="SimSun"/>
          </w:rPr>
          <w:t>https://phw.nhs.wales/services-and-teams/child-measurement-programme/cmp-2018-19/</w:t>
        </w:r>
      </w:hyperlink>
      <w:r w:rsidRPr="00BD7822">
        <w:rPr>
          <w:rFonts w:hint="cs"/>
          <w:rtl/>
        </w:rPr>
        <w:t>.</w:t>
      </w:r>
    </w:p>
  </w:footnote>
  <w:footnote w:id="39">
    <w:p w14:paraId="4DF9D95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شعبة خدمات المعلومات في اسكتلندا، </w:t>
      </w:r>
      <w:hyperlink r:id="rId34" w:anchor=":~:text=Based%20on%20the%20epidemiological%20thresholds,of%20overweight%20or%20obesity%20combined)." w:history="1">
        <w:r w:rsidRPr="00BD7822">
          <w:rPr>
            <w:rStyle w:val="Hyperlink"/>
            <w:rFonts w:hint="cs"/>
            <w:rtl/>
          </w:rPr>
          <w:t>إحصاءات مؤشر كتلة الجسم في الصف الابتدائي الأول</w:t>
        </w:r>
      </w:hyperlink>
      <w:r w:rsidRPr="00BD7822">
        <w:rPr>
          <w:rFonts w:hint="cs"/>
          <w:rtl/>
        </w:rPr>
        <w:t xml:space="preserve">، 2018-2019. </w:t>
      </w:r>
    </w:p>
  </w:footnote>
  <w:footnote w:id="40">
    <w:p w14:paraId="051421F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إدارة الرعاية الصحية والاجتماعية، تقبل </w:t>
      </w:r>
      <w:hyperlink r:id="rId35" w:history="1">
        <w:r w:rsidRPr="00BD7822">
          <w:rPr>
            <w:rStyle w:val="Hyperlink"/>
            <w:rFonts w:hint="cs"/>
            <w:rtl/>
          </w:rPr>
          <w:t>مستويات البدانة في الصف الابتدائي الأول</w:t>
        </w:r>
      </w:hyperlink>
      <w:r w:rsidRPr="00BD7822">
        <w:rPr>
          <w:rFonts w:hint="cs"/>
          <w:rtl/>
        </w:rPr>
        <w:t>، 2012/2013 - 2017/2018.</w:t>
      </w:r>
    </w:p>
  </w:footnote>
  <w:footnote w:id="41">
    <w:p w14:paraId="706708F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w:t>
      </w:r>
      <w:hyperlink r:id="rId36" w:history="1">
        <w:r w:rsidRPr="00BD7822">
          <w:rPr>
            <w:rStyle w:val="Hyperlink"/>
            <w:rFonts w:hint="cs"/>
            <w:rtl/>
          </w:rPr>
          <w:t>مكتب الإحصاءات الوطنية، إحصاءات وفيات الرضّع: الأطفال والرضّع والفترة المحيطة بالولادة، 2019</w:t>
        </w:r>
      </w:hyperlink>
      <w:r w:rsidRPr="00BD7822">
        <w:rPr>
          <w:rFonts w:hint="cs"/>
          <w:rtl/>
        </w:rPr>
        <w:t>، شباط/فبراير 2021.</w:t>
      </w:r>
    </w:p>
  </w:footnote>
  <w:footnote w:id="42">
    <w:p w14:paraId="3BD0EE7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انظر </w:t>
      </w:r>
      <w:hyperlink r:id="rId37" w:history="1">
        <w:r w:rsidRPr="00BD7822">
          <w:rPr>
            <w:rStyle w:val="Hyperlink"/>
            <w:rtl/>
          </w:rPr>
          <w:t>التقرير الاسكتلندي للوفيات والمراضة في الفترة المحيطة بالولادة و</w:t>
        </w:r>
        <w:r w:rsidRPr="00BD7822">
          <w:rPr>
            <w:rStyle w:val="Hyperlink"/>
            <w:rFonts w:hint="cs"/>
            <w:rtl/>
          </w:rPr>
          <w:t xml:space="preserve">بين </w:t>
        </w:r>
        <w:r w:rsidRPr="00BD7822">
          <w:rPr>
            <w:rStyle w:val="Hyperlink"/>
            <w:rtl/>
          </w:rPr>
          <w:t>الرضع - 2012</w:t>
        </w:r>
      </w:hyperlink>
      <w:r w:rsidRPr="00BD7822">
        <w:rPr>
          <w:rtl/>
        </w:rPr>
        <w:t>.</w:t>
      </w:r>
    </w:p>
  </w:footnote>
  <w:footnote w:id="43">
    <w:p w14:paraId="59580365" w14:textId="11CC2AED"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الوكالة الوطنية للإحصاءات والبحوث في </w:t>
      </w:r>
      <w:r w:rsidR="000F4858" w:rsidRPr="00BD7822">
        <w:rPr>
          <w:rFonts w:hint="cs"/>
          <w:rtl/>
        </w:rPr>
        <w:t>أيرلندا الشمالية</w:t>
      </w:r>
      <w:r w:rsidRPr="00BD7822">
        <w:rPr>
          <w:rFonts w:hint="cs"/>
          <w:rtl/>
        </w:rPr>
        <w:t xml:space="preserve">، </w:t>
      </w:r>
      <w:hyperlink r:id="rId38" w:history="1">
        <w:r w:rsidRPr="00BD7822">
          <w:rPr>
            <w:rStyle w:val="Hyperlink"/>
            <w:rFonts w:hint="cs"/>
            <w:rtl/>
          </w:rPr>
          <w:t xml:space="preserve">التقرير السنوي الصادر عن مكتب السجل العام، 2019، </w:t>
        </w:r>
        <w:r w:rsidRPr="00BD7822">
          <w:rPr>
            <w:rStyle w:val="Hyperlink"/>
            <w:rtl/>
          </w:rPr>
          <w:t>المواليد الموتى ووفيات الأطفال</w:t>
        </w:r>
      </w:hyperlink>
      <w:r w:rsidRPr="00BD7822">
        <w:rPr>
          <w:rFonts w:hint="cs"/>
          <w:rtl/>
        </w:rPr>
        <w:t>.</w:t>
      </w:r>
    </w:p>
  </w:footnote>
  <w:footnote w:id="44">
    <w:p w14:paraId="2087293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مكتب الإحصاءات الوطنية، </w:t>
      </w:r>
      <w:hyperlink r:id="rId39" w:history="1">
        <w:r w:rsidRPr="00BD7822">
          <w:rPr>
            <w:rStyle w:val="Hyperlink"/>
            <w:rFonts w:hint="cs"/>
            <w:rtl/>
          </w:rPr>
          <w:t>مضادات الحمل والصحة الجنسية، 2008-2009</w:t>
        </w:r>
      </w:hyperlink>
      <w:r w:rsidRPr="00BD7822">
        <w:rPr>
          <w:rFonts w:hint="cs"/>
          <w:rtl/>
        </w:rPr>
        <w:t>، تشرين الأول/أكتوبر 2009.</w:t>
      </w:r>
    </w:p>
  </w:footnote>
  <w:footnote w:id="45">
    <w:p w14:paraId="7C43D4B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وزارة الصحة، </w:t>
      </w:r>
      <w:hyperlink r:id="rId40" w:history="1">
        <w:r w:rsidRPr="00BD7822">
          <w:rPr>
            <w:rStyle w:val="Hyperlink"/>
            <w:rFonts w:hint="cs"/>
            <w:rtl/>
          </w:rPr>
          <w:t>إحصاءات الإجهاض - إنكلترا وويلز: 2019</w:t>
        </w:r>
      </w:hyperlink>
      <w:r w:rsidRPr="00BD7822">
        <w:rPr>
          <w:rFonts w:hint="cs"/>
          <w:rtl/>
        </w:rPr>
        <w:t xml:space="preserve">، 2019؛ </w:t>
      </w:r>
      <w:hyperlink r:id="rId41" w:history="1">
        <w:r w:rsidRPr="00BD7822">
          <w:rPr>
            <w:rStyle w:val="Hyperlink"/>
            <w:rFonts w:hint="cs"/>
            <w:rtl/>
          </w:rPr>
          <w:t>والولادات في إنكلترا وويلز: جداول موجزة</w:t>
        </w:r>
      </w:hyperlink>
      <w:r w:rsidRPr="00BD7822">
        <w:rPr>
          <w:rFonts w:hint="cs"/>
          <w:rtl/>
        </w:rPr>
        <w:t>.</w:t>
      </w:r>
    </w:p>
  </w:footnote>
  <w:footnote w:id="46">
    <w:p w14:paraId="5143D50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شعبة خدمات المعلومات في اسكتلندا، </w:t>
      </w:r>
      <w:hyperlink r:id="rId42" w:history="1">
        <w:r w:rsidRPr="00BD7822">
          <w:rPr>
            <w:rStyle w:val="Hyperlink"/>
            <w:rFonts w:hint="cs"/>
            <w:rtl/>
          </w:rPr>
          <w:t>إحصاءات الإجهاض. السنة المنتهية في كانون الأول/ديسمبر 2020</w:t>
        </w:r>
      </w:hyperlink>
      <w:r w:rsidRPr="00BD7822">
        <w:rPr>
          <w:rFonts w:hint="cs"/>
          <w:rtl/>
        </w:rPr>
        <w:t>، و</w:t>
      </w:r>
      <w:hyperlink r:id="rId43" w:history="1">
        <w:r w:rsidRPr="00BD7822">
          <w:rPr>
            <w:rStyle w:val="Hyperlink"/>
            <w:rFonts w:hint="cs"/>
            <w:rtl/>
          </w:rPr>
          <w:t>الولادات الحية - الجداول المرجعية للأحداث الحيوية 2019</w:t>
        </w:r>
      </w:hyperlink>
      <w:r w:rsidRPr="00BD7822">
        <w:rPr>
          <w:rFonts w:hint="cs"/>
          <w:rtl/>
        </w:rPr>
        <w:t>.</w:t>
      </w:r>
    </w:p>
  </w:footnote>
  <w:footnote w:id="47">
    <w:p w14:paraId="32516802" w14:textId="6874D399"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w:t>
      </w:r>
      <w:hyperlink r:id="rId44" w:history="1">
        <w:r w:rsidRPr="00BD7822">
          <w:rPr>
            <w:rStyle w:val="Hyperlink"/>
            <w:rFonts w:hint="cs"/>
            <w:rtl/>
          </w:rPr>
          <w:t xml:space="preserve">احصاءات </w:t>
        </w:r>
        <w:r w:rsidR="000F4858" w:rsidRPr="00BD7822">
          <w:rPr>
            <w:rStyle w:val="Hyperlink"/>
            <w:rFonts w:hint="cs"/>
            <w:rtl/>
          </w:rPr>
          <w:t>أيرلندا الشمالية</w:t>
        </w:r>
        <w:r w:rsidRPr="00BD7822">
          <w:rPr>
            <w:rStyle w:val="Hyperlink"/>
            <w:rFonts w:hint="cs"/>
            <w:rtl/>
          </w:rPr>
          <w:t xml:space="preserve"> بشأن إنهاء الحمل، 2019/2020</w:t>
        </w:r>
      </w:hyperlink>
      <w:r w:rsidRPr="00BD7822">
        <w:rPr>
          <w:rFonts w:hint="cs"/>
          <w:rtl/>
        </w:rPr>
        <w:t xml:space="preserve">؛ والولادات الحية - </w:t>
      </w:r>
      <w:hyperlink r:id="rId45" w:history="1">
        <w:r w:rsidRPr="00BD7822">
          <w:rPr>
            <w:rStyle w:val="Hyperlink"/>
            <w:rFonts w:hint="cs"/>
            <w:rtl/>
          </w:rPr>
          <w:t xml:space="preserve">الوكالة الوطنية للإحصاءات والبحوث في </w:t>
        </w:r>
        <w:r w:rsidR="000F4858" w:rsidRPr="00BD7822">
          <w:rPr>
            <w:rStyle w:val="Hyperlink"/>
            <w:rFonts w:hint="cs"/>
            <w:rtl/>
          </w:rPr>
          <w:t>أيرلندا الشمالية</w:t>
        </w:r>
        <w:r w:rsidRPr="00BD7822">
          <w:rPr>
            <w:rStyle w:val="Hyperlink"/>
            <w:rFonts w:hint="cs"/>
            <w:rtl/>
          </w:rPr>
          <w:t xml:space="preserve">: عدد الولادات الحية بين المقيمين في </w:t>
        </w:r>
        <w:r w:rsidR="000F4858" w:rsidRPr="00BD7822">
          <w:rPr>
            <w:rStyle w:val="Hyperlink"/>
            <w:rFonts w:hint="cs"/>
            <w:rtl/>
          </w:rPr>
          <w:t>أيرلندا الشمالية</w:t>
        </w:r>
        <w:r w:rsidRPr="00BD7822">
          <w:rPr>
            <w:rStyle w:val="Hyperlink"/>
            <w:rFonts w:hint="cs"/>
            <w:rtl/>
          </w:rPr>
          <w:t>، المسجلة شهرياً خلال الفترة 2006-2021</w:t>
        </w:r>
      </w:hyperlink>
      <w:r w:rsidRPr="00BD7822">
        <w:rPr>
          <w:rFonts w:hint="cs"/>
          <w:rtl/>
        </w:rPr>
        <w:t>.</w:t>
      </w:r>
    </w:p>
  </w:footnote>
  <w:footnote w:id="48">
    <w:p w14:paraId="780FDA1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في إطار المملكة المتحدة، الأمراض السارية الرئيسية هي: الإصابة بفيروس نقص المناعة البشرية والملاريا والسل والإنفلونزا.</w:t>
      </w:r>
    </w:p>
  </w:footnote>
  <w:footnote w:id="49">
    <w:p w14:paraId="132F45A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الصحة العامة في إنكلترا، </w:t>
      </w:r>
      <w:hyperlink r:id="rId46" w:history="1">
        <w:r w:rsidRPr="00BD7822">
          <w:rPr>
            <w:rStyle w:val="Hyperlink"/>
            <w:rFonts w:hint="cs"/>
            <w:rtl/>
          </w:rPr>
          <w:t>تقرير عن داء السل في المملكة المتحدة</w:t>
        </w:r>
      </w:hyperlink>
      <w:r w:rsidRPr="00BD7822">
        <w:rPr>
          <w:rFonts w:hint="cs"/>
          <w:rtl/>
        </w:rPr>
        <w:t>، للفترة 2000-2019.</w:t>
      </w:r>
    </w:p>
  </w:footnote>
  <w:footnote w:id="50">
    <w:p w14:paraId="178FFDA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w:t>
      </w:r>
      <w:hyperlink r:id="rId47" w:history="1">
        <w:r w:rsidRPr="00BD7822">
          <w:rPr>
            <w:rStyle w:val="Hyperlink"/>
            <w:rtl/>
          </w:rPr>
          <w:t>التقرير الوبائي السنوي لعام 2019</w:t>
        </w:r>
      </w:hyperlink>
      <w:r w:rsidRPr="00BD7822">
        <w:rPr>
          <w:rtl/>
        </w:rPr>
        <w:t xml:space="preserve"> (الصفحة 2).</w:t>
      </w:r>
    </w:p>
  </w:footnote>
  <w:footnote w:id="51">
    <w:p w14:paraId="0A0284F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في إطار المملكة المتحدة، الأمراض غير السارية الرئيسية هي: الأورام (السرطان/أورام أخرى)؛ مرض القلب التاجي؛ المرض القلبي الوعائي؛ داء السكري.</w:t>
      </w:r>
    </w:p>
  </w:footnote>
  <w:footnote w:id="52">
    <w:p w14:paraId="1DB3283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الأبحاث بشأن السرطان في المملكة المتحدة، </w:t>
      </w:r>
      <w:r w:rsidRPr="00BD7822">
        <w:rPr>
          <w:rtl/>
        </w:rPr>
        <w:t xml:space="preserve">المعدل الخام: </w:t>
      </w:r>
      <w:hyperlink r:id="rId48" w:history="1">
        <w:r w:rsidRPr="00BD7822">
          <w:rPr>
            <w:rStyle w:val="Hyperlink"/>
            <w:rtl/>
          </w:rPr>
          <w:t>جميع أنواع السرطان باستثناء سرطان الجلد غير الميلان</w:t>
        </w:r>
        <w:r w:rsidRPr="00BD7822">
          <w:rPr>
            <w:rStyle w:val="Hyperlink"/>
            <w:rFonts w:hint="cs"/>
            <w:rtl/>
          </w:rPr>
          <w:t>وما (</w:t>
        </w:r>
        <w:r w:rsidRPr="00BD7822">
          <w:rPr>
            <w:rStyle w:val="Hyperlink"/>
          </w:rPr>
          <w:t>C00</w:t>
        </w:r>
        <w:r w:rsidRPr="00BD7822">
          <w:rPr>
            <w:rStyle w:val="Hyperlink"/>
            <w:rFonts w:hint="cs"/>
          </w:rPr>
          <w:t>-</w:t>
        </w:r>
        <w:r w:rsidRPr="00BD7822">
          <w:rPr>
            <w:rStyle w:val="Hyperlink"/>
          </w:rPr>
          <w:t>C97</w:t>
        </w:r>
        <w:r w:rsidRPr="00BD7822">
          <w:rPr>
            <w:rStyle w:val="Hyperlink"/>
            <w:rFonts w:hint="cs"/>
            <w:rtl/>
          </w:rPr>
          <w:t xml:space="preserve"> ما عدا </w:t>
        </w:r>
        <w:r w:rsidRPr="00BD7822">
          <w:rPr>
            <w:rStyle w:val="Hyperlink"/>
          </w:rPr>
          <w:t>C44</w:t>
        </w:r>
        <w:r w:rsidRPr="00BD7822">
          <w:rPr>
            <w:rStyle w:val="Hyperlink"/>
            <w:rFonts w:hint="cs"/>
            <w:rtl/>
          </w:rPr>
          <w:t>) 2016-2018</w:t>
        </w:r>
      </w:hyperlink>
      <w:r w:rsidRPr="00BD7822">
        <w:rPr>
          <w:rFonts w:hint="cs"/>
          <w:rtl/>
        </w:rPr>
        <w:t>.</w:t>
      </w:r>
    </w:p>
  </w:footnote>
  <w:footnote w:id="53">
    <w:p w14:paraId="7D1B43F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المؤسسة البريطانية المعنية بالقلب، </w:t>
      </w:r>
      <w:hyperlink r:id="rId49" w:history="1">
        <w:r w:rsidRPr="00BD7822">
          <w:rPr>
            <w:rStyle w:val="Hyperlink"/>
            <w:rtl/>
          </w:rPr>
          <w:t xml:space="preserve">إحصاءات أمراض القلب والدورة الدموية 2021 - الفصل الثاني - المراضة </w:t>
        </w:r>
        <w:r w:rsidRPr="00BD7822">
          <w:rPr>
            <w:rStyle w:val="Hyperlink"/>
            <w:rFonts w:hint="cs"/>
            <w:rtl/>
          </w:rPr>
          <w:t>و</w:t>
        </w:r>
        <w:r w:rsidRPr="00BD7822">
          <w:rPr>
            <w:rStyle w:val="Hyperlink"/>
            <w:rtl/>
          </w:rPr>
          <w:t>الانتشار</w:t>
        </w:r>
      </w:hyperlink>
      <w:r w:rsidRPr="00BD7822">
        <w:rPr>
          <w:rFonts w:hint="cs"/>
          <w:rtl/>
        </w:rPr>
        <w:t>.</w:t>
      </w:r>
    </w:p>
  </w:footnote>
  <w:footnote w:id="54">
    <w:p w14:paraId="1A0C119C" w14:textId="78D343A2"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المؤسسة البريطانية المعنية بالقلب، </w:t>
      </w:r>
      <w:hyperlink r:id="rId50" w:history="1">
        <w:r w:rsidRPr="00BD7822">
          <w:rPr>
            <w:rStyle w:val="Hyperlink"/>
            <w:rtl/>
          </w:rPr>
          <w:t>إحصاءات أمراض القلب والدورة الدموية 2021 - الفصل الثاني - الإصابة بالأمراض وانتشارها</w:t>
        </w:r>
      </w:hyperlink>
      <w:r w:rsidRPr="00BD7822">
        <w:rPr>
          <w:rFonts w:hint="cs"/>
          <w:rtl/>
        </w:rPr>
        <w:t>.</w:t>
      </w:r>
      <w:r w:rsidRPr="00BD7822">
        <w:rPr>
          <w:rtl/>
        </w:rPr>
        <w:t xml:space="preserve"> أرقام ويلز و</w:t>
      </w:r>
      <w:r w:rsidR="000F4858" w:rsidRPr="00BD7822">
        <w:rPr>
          <w:rtl/>
        </w:rPr>
        <w:t>أيرلندا الشمالية</w:t>
      </w:r>
      <w:r w:rsidRPr="00BD7822">
        <w:rPr>
          <w:rtl/>
        </w:rPr>
        <w:t xml:space="preserve">: </w:t>
      </w:r>
      <w:hyperlink r:id="rId51" w:history="1">
        <w:r w:rsidRPr="00BD7822">
          <w:rPr>
            <w:rStyle w:val="Hyperlink"/>
            <w:rtl/>
          </w:rPr>
          <w:t>إحصاءات أمراض القلب والدورة الدموية لعام 2020 - الفصل 2 ب - المراضة - الانتشار (الرعاية الأولية، المسوح الصحية، الأمراض المصاحبة)</w:t>
        </w:r>
      </w:hyperlink>
      <w:r w:rsidRPr="00BD7822">
        <w:rPr>
          <w:rFonts w:hint="cs"/>
          <w:rtl/>
        </w:rPr>
        <w:t>.</w:t>
      </w:r>
    </w:p>
  </w:footnote>
  <w:footnote w:id="55">
    <w:p w14:paraId="5C0C594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داء السكري في المملكة المتحدة، </w:t>
      </w:r>
      <w:hyperlink r:id="rId52" w:history="1">
        <w:r w:rsidRPr="00BD7822">
          <w:rPr>
            <w:rStyle w:val="Hyperlink"/>
            <w:rFonts w:hint="cs"/>
            <w:rtl/>
          </w:rPr>
          <w:t>انتشار داء السكري في عام 2019</w:t>
        </w:r>
      </w:hyperlink>
      <w:r w:rsidRPr="00BD7822">
        <w:rPr>
          <w:rFonts w:hint="cs"/>
          <w:rtl/>
        </w:rPr>
        <w:t>،</w:t>
      </w:r>
      <w:hyperlink r:id="rId53" w:history="1">
        <w:r w:rsidRPr="00BD7822">
          <w:rPr>
            <w:rStyle w:val="Hyperlink"/>
            <w:rFonts w:hint="cs"/>
            <w:rtl/>
          </w:rPr>
          <w:t xml:space="preserve"> السكان في منتصف عام 2018</w:t>
        </w:r>
      </w:hyperlink>
      <w:r w:rsidRPr="00BD7822">
        <w:rPr>
          <w:rFonts w:hint="cs"/>
          <w:rtl/>
        </w:rPr>
        <w:t>.</w:t>
      </w:r>
    </w:p>
  </w:footnote>
  <w:footnote w:id="56">
    <w:p w14:paraId="60C9B6D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مكتب الإحصاءات الوطنية،</w:t>
      </w:r>
      <w:r w:rsidRPr="00BD7822">
        <w:rPr>
          <w:rtl/>
        </w:rPr>
        <w:t xml:space="preserve"> </w:t>
      </w:r>
      <w:r w:rsidRPr="00BD7822">
        <w:rPr>
          <w:rFonts w:hint="cs"/>
          <w:rtl/>
        </w:rPr>
        <w:t>الوفيات المسجلة في إنكلترا وويلز، 2019.</w:t>
      </w:r>
    </w:p>
  </w:footnote>
  <w:footnote w:id="57">
    <w:p w14:paraId="3577F28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مكتب السجل العام في اسكتلندا</w:t>
      </w:r>
      <w:r w:rsidRPr="00BD7822">
        <w:rPr>
          <w:rStyle w:val="Hyperlink"/>
          <w:rFonts w:hint="cs"/>
          <w:rtl/>
        </w:rPr>
        <w:t xml:space="preserve">، </w:t>
      </w:r>
      <w:hyperlink r:id="rId54" w:history="1">
        <w:r w:rsidRPr="00BD7822">
          <w:rPr>
            <w:rStyle w:val="Hyperlink"/>
            <w:rFonts w:hint="cs"/>
            <w:rtl/>
          </w:rPr>
          <w:t>الأسباب الرئيسية للوفاة في اسكتلندا</w:t>
        </w:r>
      </w:hyperlink>
      <w:r w:rsidRPr="00BD7822">
        <w:rPr>
          <w:rFonts w:hint="cs"/>
          <w:noProof/>
          <w:rtl/>
        </w:rPr>
        <w:t>، 2018</w:t>
      </w:r>
      <w:r w:rsidRPr="00BD7822">
        <w:rPr>
          <w:rFonts w:hint="cs"/>
          <w:rtl/>
        </w:rPr>
        <w:t>.</w:t>
      </w:r>
    </w:p>
  </w:footnote>
  <w:footnote w:id="58">
    <w:p w14:paraId="559F12A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https://stats.oecd.org/- education at a glance; population data and enrolment by age, 2018</w:t>
      </w:r>
      <w:r w:rsidRPr="00BD7822">
        <w:rPr>
          <w:rFonts w:hint="cs"/>
          <w:rtl/>
        </w:rPr>
        <w:t>.</w:t>
      </w:r>
    </w:p>
  </w:footnote>
  <w:footnote w:id="59">
    <w:p w14:paraId="529AAD8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غياب التلميذ عن المدارس في إنكلترا: فصل الخريف، فصل الخريف 2019/20 - استكشف إحصاءات التعليم</w:t>
      </w:r>
      <w:r w:rsidRPr="00BD7822">
        <w:rPr>
          <w:rFonts w:hint="cs"/>
          <w:rtl/>
        </w:rPr>
        <w:t xml:space="preserve"> - </w:t>
      </w:r>
      <w:r w:rsidRPr="00BD7822">
        <w:t>GOV.UK</w:t>
      </w:r>
      <w:r w:rsidRPr="00BD7822">
        <w:rPr>
          <w:rFonts w:hint="cs"/>
        </w:rPr>
        <w:t xml:space="preserve"> (</w:t>
      </w:r>
      <w:r w:rsidRPr="00BD7822">
        <w:t>explore-education-statistics.service.gov.uk</w:t>
      </w:r>
      <w:r w:rsidRPr="00BD7822">
        <w:rPr>
          <w:rFonts w:hint="cs"/>
        </w:rPr>
        <w:t>)</w:t>
      </w:r>
      <w:r w:rsidRPr="00BD7822">
        <w:rPr>
          <w:rFonts w:hint="cs"/>
          <w:rtl/>
        </w:rPr>
        <w:t>.</w:t>
      </w:r>
    </w:p>
  </w:footnote>
  <w:footnote w:id="60">
    <w:p w14:paraId="1300551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https://statswales.gov.wales/Catalogue/Education-and-Skills/Schools-and-Teachers/Absenteeism/absenteeismbypupilsofcompulsoryschoolageinsecondaryschools-by-schooltype-year</w:t>
      </w:r>
      <w:r w:rsidRPr="00BD7822">
        <w:rPr>
          <w:rFonts w:hint="cs"/>
          <w:rtl/>
        </w:rPr>
        <w:t>.</w:t>
      </w:r>
    </w:p>
  </w:footnote>
  <w:footnote w:id="61">
    <w:p w14:paraId="0ECBF6B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https://www.gov.scot/publications/summary-statistics-schools-scotland-no-10-2019-edition/pages/7</w:t>
      </w:r>
      <w:r w:rsidRPr="00BD7822">
        <w:rPr>
          <w:rtl/>
        </w:rPr>
        <w:t>.</w:t>
      </w:r>
    </w:p>
  </w:footnote>
  <w:footnote w:id="62">
    <w:p w14:paraId="41C3C0C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https://www.education-ni.gov.uk/publications/attendance-grant-aided-primary-post-primary-and-special-schools-201718</w:t>
      </w:r>
      <w:r w:rsidRPr="00BD7822">
        <w:rPr>
          <w:rFonts w:hint="cs"/>
          <w:rtl/>
        </w:rPr>
        <w:t>.</w:t>
      </w:r>
    </w:p>
  </w:footnote>
  <w:footnote w:id="63">
    <w:p w14:paraId="0DC6D83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https://explore-education-statistics.service.gov.uk/find-statistics/education-and-training-statistics-for-the-uk</w:t>
      </w:r>
      <w:r w:rsidRPr="00BD7822">
        <w:rPr>
          <w:rFonts w:hint="cs"/>
          <w:rtl/>
        </w:rPr>
        <w:t>.</w:t>
      </w:r>
    </w:p>
  </w:footnote>
  <w:footnote w:id="64">
    <w:p w14:paraId="2061E551" w14:textId="794143D4"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وزارة التعليم في </w:t>
      </w:r>
      <w:r w:rsidR="000F4858" w:rsidRPr="00BD7822">
        <w:rPr>
          <w:rFonts w:hint="cs"/>
          <w:rtl/>
        </w:rPr>
        <w:t>أيرلندا الشمالية</w:t>
      </w:r>
      <w:r w:rsidRPr="00BD7822">
        <w:rPr>
          <w:rFonts w:hint="cs"/>
          <w:rtl/>
        </w:rPr>
        <w:t xml:space="preserve">، </w:t>
      </w:r>
      <w:hyperlink r:id="rId55" w:history="1">
        <w:r w:rsidRPr="00BD7822">
          <w:rPr>
            <w:rStyle w:val="Hyperlink"/>
            <w:rFonts w:hint="cs"/>
            <w:rtl/>
          </w:rPr>
          <w:t xml:space="preserve">نسب التلاميذ إلى المعلمين في المدارس المعانة بالهبات في </w:t>
        </w:r>
        <w:r w:rsidR="000F4858" w:rsidRPr="00BD7822">
          <w:rPr>
            <w:rStyle w:val="Hyperlink"/>
            <w:rFonts w:hint="cs"/>
            <w:rtl/>
          </w:rPr>
          <w:t>أيرلندا الشمالية</w:t>
        </w:r>
        <w:r w:rsidRPr="00BD7822">
          <w:rPr>
            <w:rStyle w:val="Hyperlink"/>
            <w:rFonts w:hint="cs"/>
            <w:rtl/>
          </w:rPr>
          <w:t xml:space="preserve"> - الفترة 2012/2013</w:t>
        </w:r>
      </w:hyperlink>
      <w:r w:rsidRPr="00BD7822">
        <w:rPr>
          <w:rFonts w:hint="cs"/>
          <w:rtl/>
        </w:rPr>
        <w:t>.</w:t>
      </w:r>
    </w:p>
  </w:footnote>
  <w:footnote w:id="65">
    <w:p w14:paraId="66A7096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https://www.macrotrends.net/countries/GBR/united-kingdom/literacy-rate#:~:text=Adult%20literacy%20rate%20is%20the,a%200%25%20increase%20from%202015</w:t>
      </w:r>
      <w:r w:rsidRPr="00BD7822">
        <w:rPr>
          <w:rFonts w:hint="cs"/>
          <w:rtl/>
        </w:rPr>
        <w:t>.</w:t>
      </w:r>
    </w:p>
  </w:footnote>
  <w:footnote w:id="66">
    <w:p w14:paraId="3120780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spacing w:val="-4"/>
        </w:rPr>
        <w:t>https://www.ons.gov.uk/employmentandlabourmarket/peopleinwork/employmentandemployee</w:t>
      </w:r>
      <w:r w:rsidRPr="00BD7822">
        <w:rPr>
          <w:rStyle w:val="Hyperlink"/>
          <w:spacing w:val="-4"/>
        </w:rPr>
        <w:br/>
        <w:t>types/datasets/employmentunemploymentandeconomicinactivitybyagegroupseasonallyadjusteda05sa</w:t>
      </w:r>
      <w:r w:rsidRPr="00BD7822">
        <w:rPr>
          <w:rFonts w:hint="cs"/>
          <w:rtl/>
        </w:rPr>
        <w:t>.</w:t>
      </w:r>
    </w:p>
  </w:footnote>
  <w:footnote w:id="67">
    <w:p w14:paraId="45A8920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مكتب الإحصاءات الوطنية، إحصاءات العمالة في القطاع العام كانون الأول/ديسمبر 2020.</w:t>
      </w:r>
    </w:p>
  </w:footnote>
  <w:footnote w:id="68">
    <w:p w14:paraId="6EF81F2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مكتب الإحصاءات الوطنية، </w:t>
      </w:r>
      <w:r w:rsidRPr="00BD7822">
        <w:rPr>
          <w:rStyle w:val="Hyperlink"/>
          <w:rFonts w:hint="cs"/>
          <w:rtl/>
        </w:rPr>
        <w:t>إحصاءات سوق العمالة</w:t>
      </w:r>
      <w:r w:rsidRPr="00BD7822">
        <w:rPr>
          <w:rFonts w:hint="cs"/>
          <w:rtl/>
        </w:rPr>
        <w:t>،</w:t>
      </w:r>
      <w:r w:rsidRPr="00BD7822">
        <w:rPr>
          <w:rtl/>
        </w:rPr>
        <w:t xml:space="preserve"> </w:t>
      </w:r>
      <w:r w:rsidRPr="00BD7822">
        <w:rPr>
          <w:rFonts w:hint="cs"/>
          <w:rtl/>
        </w:rPr>
        <w:t>آذار/مارس 2021.</w:t>
      </w:r>
    </w:p>
  </w:footnote>
  <w:footnote w:id="69">
    <w:p w14:paraId="3FD086AB"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56" w:history="1">
        <w:r w:rsidRPr="00BD7822">
          <w:rPr>
            <w:rStyle w:val="Hyperlink"/>
          </w:rPr>
          <w:t>https://www.gov.uk/government/statistics/trade-union-statistics-2019</w:t>
        </w:r>
      </w:hyperlink>
      <w:r w:rsidRPr="00BD7822">
        <w:rPr>
          <w:rFonts w:hint="cs"/>
          <w:rtl/>
        </w:rPr>
        <w:t>.</w:t>
      </w:r>
    </w:p>
  </w:footnote>
  <w:footnote w:id="70">
    <w:p w14:paraId="3DCB2410" w14:textId="6463B9FF" w:rsidR="00494AE4" w:rsidRPr="00BD7822" w:rsidRDefault="00494AE4" w:rsidP="007B5A2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57" w:history="1">
        <w:r w:rsidR="007B5A24" w:rsidRPr="00BD7822">
          <w:rPr>
            <w:rStyle w:val="Hyperlink"/>
          </w:rPr>
          <w:t>https://www.ons.gov.uk/economy/grossdomesticproductgdp/timeseries/ihxw/pn2?referrer=</w:t>
        </w:r>
        <w:r w:rsidR="007B5A24" w:rsidRPr="00BD7822">
          <w:rPr>
            <w:rStyle w:val="Hyperlink"/>
          </w:rPr>
          <w:br/>
          <w:t>search&amp;searchTerm=ihxw</w:t>
        </w:r>
      </w:hyperlink>
      <w:r w:rsidRPr="00BD7822">
        <w:rPr>
          <w:rFonts w:hint="cs"/>
          <w:rtl/>
        </w:rPr>
        <w:t>.</w:t>
      </w:r>
    </w:p>
  </w:footnote>
  <w:footnote w:id="71">
    <w:p w14:paraId="353360C4" w14:textId="69186F26" w:rsidR="00494AE4" w:rsidRPr="00BD7822" w:rsidRDefault="00494AE4" w:rsidP="007B5A2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58" w:history="1">
        <w:r w:rsidR="007B5A24" w:rsidRPr="00BD7822">
          <w:rPr>
            <w:rStyle w:val="Hyperlink"/>
          </w:rPr>
          <w:t>https://www.ons.gov.uk/economy/grossdomesticproductgdp/datasets/uksecondestimateofg</w:t>
        </w:r>
        <w:r w:rsidR="007B5A24" w:rsidRPr="00BD7822">
          <w:rPr>
            <w:rStyle w:val="Hyperlink"/>
          </w:rPr>
          <w:br/>
          <w:t>dpdatatables</w:t>
        </w:r>
      </w:hyperlink>
      <w:r w:rsidRPr="00BD7822">
        <w:rPr>
          <w:rFonts w:hint="cs"/>
          <w:spacing w:val="-4"/>
          <w:rtl/>
        </w:rPr>
        <w:t>.</w:t>
      </w:r>
    </w:p>
  </w:footnote>
  <w:footnote w:id="72">
    <w:p w14:paraId="0F1408B6" w14:textId="56C1021E" w:rsidR="00494AE4" w:rsidRPr="00BD7822" w:rsidRDefault="00494AE4" w:rsidP="007B5A2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59" w:history="1">
        <w:r w:rsidR="007B5A24" w:rsidRPr="00BD7822">
          <w:rPr>
            <w:rStyle w:val="Hyperlink"/>
          </w:rPr>
          <w:t>https://www.ons.gov.uk/economy/grossdomesticproductgdp/datasets/uksecondestimateofg</w:t>
        </w:r>
        <w:r w:rsidR="007B5A24" w:rsidRPr="00BD7822">
          <w:rPr>
            <w:rStyle w:val="Hyperlink"/>
          </w:rPr>
          <w:br/>
          <w:t>dpdatatables</w:t>
        </w:r>
      </w:hyperlink>
      <w:r w:rsidRPr="00BD7822">
        <w:rPr>
          <w:rFonts w:hint="cs"/>
          <w:spacing w:val="-4"/>
          <w:rtl/>
        </w:rPr>
        <w:t>.</w:t>
      </w:r>
    </w:p>
  </w:footnote>
  <w:footnote w:id="73">
    <w:p w14:paraId="0E9EE8DD" w14:textId="262CE4E8" w:rsidR="00494AE4" w:rsidRPr="00BD7822" w:rsidRDefault="00494AE4" w:rsidP="007B5A2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60" w:history="1">
        <w:r w:rsidR="007B5A24" w:rsidRPr="00BD7822">
          <w:rPr>
            <w:rStyle w:val="Hyperlink"/>
          </w:rPr>
          <w:t>https://www.ons.gov.uk/economy/grossdomesticproductgdp/datasets/uksecondestimateofg</w:t>
        </w:r>
        <w:r w:rsidR="007B5A24" w:rsidRPr="00BD7822">
          <w:rPr>
            <w:rStyle w:val="Hyperlink"/>
          </w:rPr>
          <w:br/>
          <w:t>dpdatatables</w:t>
        </w:r>
      </w:hyperlink>
      <w:r w:rsidRPr="00BD7822">
        <w:rPr>
          <w:rFonts w:hint="cs"/>
          <w:rtl/>
        </w:rPr>
        <w:t>.</w:t>
      </w:r>
    </w:p>
  </w:footnote>
  <w:footnote w:id="74">
    <w:p w14:paraId="0158295A" w14:textId="66D7F07F" w:rsidR="00494AE4" w:rsidRPr="00BD7822" w:rsidRDefault="00494AE4" w:rsidP="007B5A2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61" w:history="1">
        <w:r w:rsidRPr="00BD7822">
          <w:rPr>
            <w:rStyle w:val="Hyperlink"/>
          </w:rPr>
          <w:t>https://www.ons.gov.uk/economy/inflationandpriceindices/datasets/consumerpriceinflation table 1</w:t>
        </w:r>
      </w:hyperlink>
      <w:r w:rsidRPr="00BD7822">
        <w:rPr>
          <w:rFonts w:hint="cs"/>
          <w:rtl/>
        </w:rPr>
        <w:t>.</w:t>
      </w:r>
    </w:p>
  </w:footnote>
  <w:footnote w:id="75">
    <w:p w14:paraId="2E37049D"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خزانة صاحبة الجلالة، </w:t>
      </w:r>
      <w:hyperlink r:id="rId62" w:history="1">
        <w:r w:rsidRPr="00BD7822">
          <w:rPr>
            <w:rStyle w:val="Hyperlink"/>
            <w:rFonts w:hint="cs"/>
            <w:rtl/>
          </w:rPr>
          <w:t>ميزانية عام 2021/2022</w:t>
        </w:r>
      </w:hyperlink>
      <w:r w:rsidRPr="00BD7822">
        <w:rPr>
          <w:rFonts w:hint="cs"/>
          <w:rtl/>
        </w:rPr>
        <w:t xml:space="preserve"> (صفحة 5).</w:t>
      </w:r>
    </w:p>
  </w:footnote>
  <w:footnote w:id="76">
    <w:p w14:paraId="0FB8C73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مكتب الإحصاءات الوطنية، المملكة المتحدة، </w:t>
      </w:r>
      <w:hyperlink r:id="rId63" w:history="1">
        <w:r w:rsidRPr="00BD7822">
          <w:rPr>
            <w:rStyle w:val="Hyperlink"/>
            <w:rFonts w:hint="cs"/>
            <w:rtl/>
          </w:rPr>
          <w:t>العجز والدين الحكوميان</w:t>
        </w:r>
      </w:hyperlink>
      <w:r w:rsidRPr="00BD7822">
        <w:rPr>
          <w:rFonts w:hint="cs"/>
          <w:rtl/>
        </w:rPr>
        <w:t>، أيلول/سبتمبر 2020.</w:t>
      </w:r>
    </w:p>
  </w:footnote>
  <w:footnote w:id="77">
    <w:p w14:paraId="3EC04A1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اللجنة الانتخابية، </w:t>
      </w:r>
      <w:hyperlink r:id="rId64" w:history="1">
        <w:r w:rsidRPr="00BD7822">
          <w:rPr>
            <w:rStyle w:val="Hyperlink"/>
            <w:rFonts w:hint="cs"/>
            <w:rtl/>
          </w:rPr>
          <w:t>سجل الأحزاب السياسية على الإنترنت</w:t>
        </w:r>
      </w:hyperlink>
      <w:r w:rsidRPr="00BD7822">
        <w:rPr>
          <w:rFonts w:hint="cs"/>
          <w:rtl/>
        </w:rPr>
        <w:t>.</w:t>
      </w:r>
    </w:p>
  </w:footnote>
  <w:footnote w:id="78">
    <w:p w14:paraId="71E704C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spacing w:val="-4"/>
          <w:rtl/>
        </w:rPr>
        <w:t xml:space="preserve">انظر مكتب الإحصاءات الوطنية، </w:t>
      </w:r>
      <w:hyperlink r:id="rId65" w:history="1">
        <w:r w:rsidRPr="00BD7822">
          <w:rPr>
            <w:rStyle w:val="Hyperlink"/>
            <w:rFonts w:hint="cs"/>
            <w:rtl/>
          </w:rPr>
          <w:t>الإحصاءات الانتخابية للمملكة المتحدة في عام 2020</w:t>
        </w:r>
      </w:hyperlink>
      <w:r w:rsidRPr="00BD7822">
        <w:rPr>
          <w:rFonts w:hint="cs"/>
          <w:spacing w:val="-4"/>
          <w:rtl/>
        </w:rPr>
        <w:t>، كانون الثاني/يناير 2021.</w:t>
      </w:r>
    </w:p>
  </w:footnote>
  <w:footnote w:id="79">
    <w:p w14:paraId="46AFDD5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اللجنة الانتخابية، </w:t>
      </w:r>
      <w:hyperlink r:id="rId66" w:history="1">
        <w:r w:rsidRPr="00BD7822">
          <w:rPr>
            <w:rStyle w:val="Hyperlink"/>
            <w:rFonts w:hint="cs"/>
            <w:rtl/>
          </w:rPr>
          <w:t>بيانات تزوير الانتخابات في عام 2019</w:t>
        </w:r>
      </w:hyperlink>
      <w:r w:rsidRPr="00BD7822">
        <w:rPr>
          <w:rFonts w:hint="cs"/>
          <w:rtl/>
        </w:rPr>
        <w:t>.</w:t>
      </w:r>
    </w:p>
  </w:footnote>
  <w:footnote w:id="80">
    <w:p w14:paraId="63CAA37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بيانات من وزارة الثقافة والإعلام والرياضة (مقدمة </w:t>
      </w:r>
      <w:r w:rsidRPr="00BD7822">
        <w:rPr>
          <w:rFonts w:hint="cs"/>
          <w:rtl/>
        </w:rPr>
        <w:t>في كانون الأول/</w:t>
      </w:r>
      <w:r w:rsidRPr="00BD7822">
        <w:rPr>
          <w:rtl/>
        </w:rPr>
        <w:t>ديسمبر 2021).</w:t>
      </w:r>
    </w:p>
  </w:footnote>
  <w:footnote w:id="81">
    <w:p w14:paraId="6FEE4F7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بيانات من وزارة الثقافة والإعلام والرياضة (مقدمة </w:t>
      </w:r>
      <w:r w:rsidRPr="00BD7822">
        <w:rPr>
          <w:rFonts w:hint="cs"/>
          <w:rtl/>
        </w:rPr>
        <w:t>في كانون الأول/</w:t>
      </w:r>
      <w:r w:rsidRPr="00BD7822">
        <w:rPr>
          <w:rtl/>
        </w:rPr>
        <w:t>ديسمبر 2021).</w:t>
      </w:r>
    </w:p>
  </w:footnote>
  <w:footnote w:id="82">
    <w:p w14:paraId="246C7C4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ما لم يُنص على خلاف ذلك، تظل الإحصاءات </w:t>
      </w:r>
      <w:r w:rsidRPr="00BD7822">
        <w:rPr>
          <w:rFonts w:hint="cs"/>
          <w:rtl/>
        </w:rPr>
        <w:t xml:space="preserve">هي تلك </w:t>
      </w:r>
      <w:r w:rsidRPr="00BD7822">
        <w:rPr>
          <w:rtl/>
        </w:rPr>
        <w:t xml:space="preserve">الواردة في الوثيقة الأساسية المشتركة لعام 2014؛ </w:t>
      </w:r>
      <w:r w:rsidRPr="00BD7822">
        <w:rPr>
          <w:rFonts w:hint="cs"/>
          <w:rtl/>
        </w:rPr>
        <w:t>ال</w:t>
      </w:r>
      <w:r w:rsidRPr="00BD7822">
        <w:rPr>
          <w:rtl/>
        </w:rPr>
        <w:t>مصدر</w:t>
      </w:r>
      <w:r w:rsidRPr="00BD7822">
        <w:rPr>
          <w:rFonts w:hint="cs"/>
          <w:rtl/>
        </w:rPr>
        <w:t>:</w:t>
      </w:r>
      <w:r w:rsidRPr="00BD7822">
        <w:rPr>
          <w:rtl/>
        </w:rPr>
        <w:t xml:space="preserve"> </w:t>
      </w:r>
      <w:hyperlink r:id="rId67" w:history="1">
        <w:r w:rsidRPr="00BD7822">
          <w:rPr>
            <w:rStyle w:val="Hyperlink"/>
            <w:rFonts w:hint="cs"/>
            <w:rtl/>
          </w:rPr>
          <w:t>مكتب الاتصالات</w:t>
        </w:r>
        <w:r w:rsidRPr="00BD7822">
          <w:rPr>
            <w:rStyle w:val="Hyperlink"/>
            <w:rtl/>
          </w:rPr>
          <w:t>، تقرير سوق الاتصالات</w:t>
        </w:r>
        <w:r w:rsidRPr="00BD7822">
          <w:rPr>
            <w:rStyle w:val="Hyperlink"/>
            <w:rFonts w:hint="cs"/>
            <w:rtl/>
          </w:rPr>
          <w:t xml:space="preserve"> لعام </w:t>
        </w:r>
        <w:r w:rsidRPr="00BD7822">
          <w:rPr>
            <w:rStyle w:val="Hyperlink"/>
            <w:rtl/>
          </w:rPr>
          <w:t>2013</w:t>
        </w:r>
      </w:hyperlink>
      <w:r w:rsidRPr="00BD7822">
        <w:rPr>
          <w:rtl/>
        </w:rPr>
        <w:t xml:space="preserve">، 1 </w:t>
      </w:r>
      <w:r w:rsidRPr="00BD7822">
        <w:rPr>
          <w:rFonts w:hint="cs"/>
          <w:rtl/>
        </w:rPr>
        <w:t xml:space="preserve">آب/أغسطس </w:t>
      </w:r>
      <w:r w:rsidRPr="00BD7822">
        <w:rPr>
          <w:rtl/>
        </w:rPr>
        <w:t>2013.</w:t>
      </w:r>
    </w:p>
  </w:footnote>
  <w:footnote w:id="83">
    <w:p w14:paraId="70E7773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68" w:history="1">
        <w:r w:rsidRPr="00BD7822">
          <w:rPr>
            <w:rStyle w:val="Hyperlink"/>
            <w:rtl/>
          </w:rPr>
          <w:t xml:space="preserve">تقرير استخدام واتجاهات وسائل الإعلام للبالغين </w:t>
        </w:r>
        <w:r w:rsidRPr="00BD7822">
          <w:rPr>
            <w:rStyle w:val="Hyperlink"/>
            <w:rFonts w:hint="cs"/>
            <w:rtl/>
          </w:rPr>
          <w:t xml:space="preserve">للعام </w:t>
        </w:r>
        <w:r w:rsidRPr="00BD7822">
          <w:rPr>
            <w:rStyle w:val="Hyperlink"/>
            <w:rtl/>
          </w:rPr>
          <w:t>2020/</w:t>
        </w:r>
        <w:r w:rsidRPr="00BD7822">
          <w:rPr>
            <w:rStyle w:val="Hyperlink"/>
            <w:rFonts w:hint="cs"/>
            <w:rtl/>
          </w:rPr>
          <w:t>2021</w:t>
        </w:r>
        <w:r w:rsidRPr="00BD7822">
          <w:rPr>
            <w:rStyle w:val="Hyperlink"/>
            <w:rtl/>
          </w:rPr>
          <w:t xml:space="preserve"> (</w:t>
        </w:r>
        <w:r w:rsidRPr="00BD7822">
          <w:rPr>
            <w:rStyle w:val="Hyperlink"/>
          </w:rPr>
          <w:t>ofcom.org.uk</w:t>
        </w:r>
        <w:r w:rsidRPr="00BD7822">
          <w:rPr>
            <w:rStyle w:val="Hyperlink"/>
            <w:rtl/>
          </w:rPr>
          <w:t>)</w:t>
        </w:r>
      </w:hyperlink>
      <w:r w:rsidRPr="00BD7822">
        <w:rPr>
          <w:rtl/>
        </w:rPr>
        <w:t>.</w:t>
      </w:r>
    </w:p>
  </w:footnote>
  <w:footnote w:id="84">
    <w:p w14:paraId="7AD6771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69" w:history="1">
        <w:r w:rsidRPr="00BD7822">
          <w:rPr>
            <w:rStyle w:val="Hyperlink"/>
            <w:rtl/>
          </w:rPr>
          <w:t xml:space="preserve">تحديث بيانات سوق الاتصالات - الربع الأول 2021 - </w:t>
        </w:r>
        <w:r w:rsidRPr="00BD7822">
          <w:rPr>
            <w:rStyle w:val="Hyperlink"/>
            <w:rFonts w:hint="cs"/>
            <w:rtl/>
          </w:rPr>
          <w:t>مكتب الاتصالات</w:t>
        </w:r>
      </w:hyperlink>
      <w:r w:rsidRPr="00BD7822">
        <w:rPr>
          <w:rFonts w:hint="cs"/>
          <w:rtl/>
        </w:rPr>
        <w:t>.</w:t>
      </w:r>
    </w:p>
  </w:footnote>
  <w:footnote w:id="85">
    <w:p w14:paraId="10A47B7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0" w:history="1">
        <w:r w:rsidRPr="00BD7822">
          <w:rPr>
            <w:rStyle w:val="Hyperlink"/>
            <w:rFonts w:hint="cs"/>
            <w:rtl/>
          </w:rPr>
          <w:t>تقرير سوق الاتصالات لعام 2021 (</w:t>
        </w:r>
        <w:r w:rsidRPr="00BD7822">
          <w:rPr>
            <w:rStyle w:val="Hyperlink"/>
          </w:rPr>
          <w:t>ofcom.org.uk</w:t>
        </w:r>
        <w:r w:rsidRPr="00BD7822">
          <w:rPr>
            <w:rStyle w:val="Hyperlink"/>
            <w:rFonts w:hint="cs"/>
            <w:rtl/>
          </w:rPr>
          <w:t>)</w:t>
        </w:r>
      </w:hyperlink>
      <w:r w:rsidRPr="00BD7822">
        <w:rPr>
          <w:rFonts w:hint="cs"/>
          <w:rtl/>
        </w:rPr>
        <w:t>.</w:t>
      </w:r>
    </w:p>
  </w:footnote>
  <w:footnote w:id="86">
    <w:p w14:paraId="1121355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1" w:history="1">
        <w:r w:rsidRPr="00BD7822">
          <w:rPr>
            <w:rStyle w:val="Hyperlink"/>
            <w:rFonts w:hint="cs"/>
            <w:rtl/>
          </w:rPr>
          <w:t xml:space="preserve">تقرير سوق الاتصالات لعام 2020 - </w:t>
        </w:r>
        <w:r w:rsidRPr="00BD7822">
          <w:rPr>
            <w:rStyle w:val="Hyperlink"/>
            <w:rtl/>
          </w:rPr>
          <w:t>بيانات تفاعلية</w:t>
        </w:r>
        <w:r w:rsidRPr="00BD7822">
          <w:rPr>
            <w:rStyle w:val="Hyperlink"/>
            <w:rFonts w:hint="cs"/>
            <w:rtl/>
          </w:rPr>
          <w:t xml:space="preserve"> - مكتب الاتصالات</w:t>
        </w:r>
      </w:hyperlink>
      <w:r w:rsidRPr="00BD7822">
        <w:rPr>
          <w:rFonts w:hint="cs"/>
          <w:rtl/>
        </w:rPr>
        <w:t>.</w:t>
      </w:r>
    </w:p>
  </w:footnote>
  <w:footnote w:id="87">
    <w:p w14:paraId="4206F09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ما لم يُنص على خلاف ذلك، تظل الإحصاءات </w:t>
      </w:r>
      <w:r w:rsidRPr="00BD7822">
        <w:rPr>
          <w:rFonts w:hint="cs"/>
          <w:rtl/>
        </w:rPr>
        <w:t xml:space="preserve">هي تلك </w:t>
      </w:r>
      <w:r w:rsidRPr="00BD7822">
        <w:rPr>
          <w:rtl/>
        </w:rPr>
        <w:t xml:space="preserve">الواردة في الوثيقة الأساسية المشتركة لعام 2014؛ </w:t>
      </w:r>
      <w:r w:rsidRPr="00BD7822">
        <w:rPr>
          <w:rFonts w:hint="cs"/>
          <w:rtl/>
        </w:rPr>
        <w:t>ال</w:t>
      </w:r>
      <w:r w:rsidRPr="00BD7822">
        <w:rPr>
          <w:rtl/>
        </w:rPr>
        <w:t>مصدر</w:t>
      </w:r>
      <w:r w:rsidRPr="00BD7822">
        <w:rPr>
          <w:rFonts w:hint="cs"/>
          <w:rtl/>
        </w:rPr>
        <w:t>:</w:t>
      </w:r>
      <w:r w:rsidRPr="00BD7822">
        <w:rPr>
          <w:rtl/>
        </w:rPr>
        <w:t xml:space="preserve"> </w:t>
      </w:r>
      <w:r w:rsidRPr="00BD7822">
        <w:rPr>
          <w:rFonts w:hint="cs"/>
          <w:rtl/>
        </w:rPr>
        <w:t>مكتب الاتصالات</w:t>
      </w:r>
      <w:r w:rsidRPr="00BD7822">
        <w:rPr>
          <w:rtl/>
        </w:rPr>
        <w:t xml:space="preserve">، </w:t>
      </w:r>
      <w:hyperlink r:id="rId72" w:history="1">
        <w:r w:rsidRPr="00BD7822">
          <w:rPr>
            <w:rStyle w:val="Hyperlink"/>
            <w:rtl/>
          </w:rPr>
          <w:t>تقرير سوق الاتصالات</w:t>
        </w:r>
        <w:r w:rsidRPr="00BD7822">
          <w:rPr>
            <w:rStyle w:val="Hyperlink"/>
            <w:rFonts w:hint="cs"/>
            <w:rtl/>
          </w:rPr>
          <w:t xml:space="preserve"> لعام </w:t>
        </w:r>
        <w:r w:rsidRPr="00BD7822">
          <w:rPr>
            <w:rStyle w:val="Hyperlink"/>
            <w:rtl/>
          </w:rPr>
          <w:t>2013</w:t>
        </w:r>
      </w:hyperlink>
      <w:r w:rsidRPr="00BD7822">
        <w:rPr>
          <w:rtl/>
        </w:rPr>
        <w:t xml:space="preserve">، 1 </w:t>
      </w:r>
      <w:r w:rsidRPr="00BD7822">
        <w:rPr>
          <w:rFonts w:hint="cs"/>
          <w:rtl/>
        </w:rPr>
        <w:t xml:space="preserve">آب/أغسطس </w:t>
      </w:r>
      <w:r w:rsidRPr="00BD7822">
        <w:rPr>
          <w:rtl/>
        </w:rPr>
        <w:t>2013</w:t>
      </w:r>
      <w:r w:rsidRPr="00BD7822">
        <w:rPr>
          <w:rFonts w:hint="cs"/>
          <w:rtl/>
        </w:rPr>
        <w:t>.</w:t>
      </w:r>
    </w:p>
  </w:footnote>
  <w:footnote w:id="88">
    <w:p w14:paraId="1F47AE7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3" w:history="1">
        <w:r w:rsidRPr="00BD7822">
          <w:rPr>
            <w:rStyle w:val="Hyperlink"/>
            <w:rFonts w:hint="cs"/>
            <w:rtl/>
          </w:rPr>
          <w:t xml:space="preserve">تقرير سوق الاتصالات لعام 2020 - </w:t>
        </w:r>
        <w:r w:rsidRPr="00BD7822">
          <w:rPr>
            <w:rStyle w:val="Hyperlink"/>
            <w:rtl/>
          </w:rPr>
          <w:t>بيانات تفاعلية</w:t>
        </w:r>
        <w:r w:rsidRPr="00BD7822">
          <w:rPr>
            <w:rStyle w:val="Hyperlink"/>
            <w:rFonts w:hint="cs"/>
            <w:rtl/>
          </w:rPr>
          <w:t xml:space="preserve"> - مكتب الاتصالات</w:t>
        </w:r>
      </w:hyperlink>
      <w:r w:rsidRPr="00BD7822">
        <w:rPr>
          <w:rFonts w:hint="cs"/>
          <w:rtl/>
        </w:rPr>
        <w:t>.</w:t>
      </w:r>
    </w:p>
  </w:footnote>
  <w:footnote w:id="89">
    <w:p w14:paraId="1BFDB3A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4" w:history="1">
        <w:r w:rsidRPr="00BD7822">
          <w:rPr>
            <w:rStyle w:val="Hyperlink"/>
            <w:rtl/>
          </w:rPr>
          <w:t xml:space="preserve">تحديث بيانات سوق الاتصالات - الربع الأول 2021 - </w:t>
        </w:r>
        <w:r w:rsidRPr="00BD7822">
          <w:rPr>
            <w:rStyle w:val="Hyperlink"/>
            <w:rFonts w:hint="cs"/>
            <w:rtl/>
          </w:rPr>
          <w:t>مكتب الاتصالات</w:t>
        </w:r>
      </w:hyperlink>
      <w:r w:rsidRPr="00BD7822">
        <w:rPr>
          <w:rFonts w:hint="cs"/>
          <w:rtl/>
        </w:rPr>
        <w:t>.</w:t>
      </w:r>
    </w:p>
  </w:footnote>
  <w:footnote w:id="90">
    <w:p w14:paraId="6EE1B0A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5" w:history="1">
        <w:r w:rsidRPr="00BD7822">
          <w:rPr>
            <w:rStyle w:val="Hyperlink"/>
            <w:rFonts w:hint="cs"/>
            <w:rtl/>
          </w:rPr>
          <w:t xml:space="preserve">تقرير سوق الاتصالات لعام 2020 - </w:t>
        </w:r>
        <w:r w:rsidRPr="00BD7822">
          <w:rPr>
            <w:rStyle w:val="Hyperlink"/>
            <w:rtl/>
          </w:rPr>
          <w:t>بيانات تفاعلية</w:t>
        </w:r>
        <w:r w:rsidRPr="00BD7822">
          <w:rPr>
            <w:rStyle w:val="Hyperlink"/>
            <w:rFonts w:hint="cs"/>
            <w:rtl/>
          </w:rPr>
          <w:t xml:space="preserve"> - مكتب الاتصالات</w:t>
        </w:r>
      </w:hyperlink>
      <w:r w:rsidRPr="00BD7822">
        <w:rPr>
          <w:rFonts w:hint="cs"/>
          <w:rtl/>
        </w:rPr>
        <w:t>.</w:t>
      </w:r>
    </w:p>
  </w:footnote>
  <w:footnote w:id="91">
    <w:p w14:paraId="6343169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6" w:history="1">
        <w:r w:rsidRPr="00BD7822">
          <w:rPr>
            <w:rStyle w:val="Hyperlink"/>
            <w:rFonts w:hint="cs"/>
            <w:rtl/>
          </w:rPr>
          <w:t xml:space="preserve">تقرير سوق الاتصالات لعام 2020 - </w:t>
        </w:r>
        <w:r w:rsidRPr="00BD7822">
          <w:rPr>
            <w:rStyle w:val="Hyperlink"/>
            <w:rtl/>
          </w:rPr>
          <w:t>بيانات تفاعلية</w:t>
        </w:r>
        <w:r w:rsidRPr="00BD7822">
          <w:rPr>
            <w:rStyle w:val="Hyperlink"/>
            <w:rFonts w:hint="cs"/>
            <w:rtl/>
          </w:rPr>
          <w:t xml:space="preserve"> - مكتب الاتصالات</w:t>
        </w:r>
      </w:hyperlink>
      <w:r w:rsidRPr="00BD7822">
        <w:rPr>
          <w:rFonts w:hint="cs"/>
          <w:rtl/>
        </w:rPr>
        <w:t>.</w:t>
      </w:r>
    </w:p>
  </w:footnote>
  <w:footnote w:id="92">
    <w:p w14:paraId="1FC5842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7" w:history="1">
        <w:r w:rsidRPr="00BD7822">
          <w:rPr>
            <w:rStyle w:val="Hyperlink"/>
            <w:rFonts w:hint="cs"/>
            <w:rtl/>
          </w:rPr>
          <w:t xml:space="preserve">تقرير سوق الاتصالات لعام 2020 - </w:t>
        </w:r>
        <w:r w:rsidRPr="00BD7822">
          <w:rPr>
            <w:rStyle w:val="Hyperlink"/>
            <w:rtl/>
          </w:rPr>
          <w:t>بيانات تفاعلية</w:t>
        </w:r>
        <w:r w:rsidRPr="00BD7822">
          <w:rPr>
            <w:rStyle w:val="Hyperlink"/>
            <w:rFonts w:hint="cs"/>
            <w:rtl/>
          </w:rPr>
          <w:t xml:space="preserve"> - مكتب الاتصالات</w:t>
        </w:r>
      </w:hyperlink>
      <w:r w:rsidRPr="00BD7822">
        <w:rPr>
          <w:rFonts w:hint="cs"/>
          <w:rtl/>
        </w:rPr>
        <w:t>.</w:t>
      </w:r>
    </w:p>
  </w:footnote>
  <w:footnote w:id="93">
    <w:p w14:paraId="776ABC7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8" w:history="1">
        <w:r w:rsidRPr="00BD7822">
          <w:rPr>
            <w:rStyle w:val="Hyperlink"/>
            <w:rFonts w:hint="cs"/>
            <w:rtl/>
          </w:rPr>
          <w:t xml:space="preserve">تقرير سوق الاتصالات لعام 2020 - </w:t>
        </w:r>
        <w:r w:rsidRPr="00BD7822">
          <w:rPr>
            <w:rStyle w:val="Hyperlink"/>
            <w:rtl/>
          </w:rPr>
          <w:t>بيانات تفاعلية</w:t>
        </w:r>
        <w:r w:rsidRPr="00BD7822">
          <w:rPr>
            <w:rStyle w:val="Hyperlink"/>
            <w:rFonts w:hint="cs"/>
            <w:rtl/>
          </w:rPr>
          <w:t xml:space="preserve"> - مكتب الاتصالات</w:t>
        </w:r>
      </w:hyperlink>
      <w:r w:rsidRPr="00BD7822">
        <w:rPr>
          <w:rFonts w:hint="cs"/>
          <w:rtl/>
        </w:rPr>
        <w:t>.</w:t>
      </w:r>
    </w:p>
  </w:footnote>
  <w:footnote w:id="94">
    <w:p w14:paraId="54CC9F82" w14:textId="63FD9C2D"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79" w:history="1">
        <w:r w:rsidRPr="00BD7822">
          <w:rPr>
            <w:rStyle w:val="Hyperlink"/>
          </w:rPr>
          <w:t>https://www.ofcom.org.uk/research-and-data/tv-radio-and-on-demand/news-media/news-consumption</w:t>
        </w:r>
      </w:hyperlink>
      <w:r w:rsidRPr="00BD7822">
        <w:rPr>
          <w:rFonts w:hint="cs"/>
          <w:rtl/>
        </w:rPr>
        <w:t>.</w:t>
      </w:r>
    </w:p>
  </w:footnote>
  <w:footnote w:id="95">
    <w:p w14:paraId="4910115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يرجى مراجعة المؤشر 5.5.1 (5.5.1: </w:t>
      </w:r>
      <w:hyperlink r:id="rId80" w:history="1">
        <w:r w:rsidRPr="00BD7822">
          <w:rPr>
            <w:rStyle w:val="Hyperlink"/>
          </w:rPr>
          <w:t>https://sdgdata.gov.uk/5-5-1/</w:t>
        </w:r>
      </w:hyperlink>
      <w:r w:rsidRPr="00BD7822">
        <w:rPr>
          <w:rtl/>
        </w:rPr>
        <w:t>)</w:t>
      </w:r>
      <w:r w:rsidRPr="00BD7822">
        <w:rPr>
          <w:rStyle w:val="Strong"/>
          <w:rFonts w:eastAsia="SimSun" w:hint="cs"/>
          <w:rtl/>
        </w:rPr>
        <w:t>.</w:t>
      </w:r>
    </w:p>
  </w:footnote>
  <w:footnote w:id="96">
    <w:p w14:paraId="0875617E" w14:textId="7C4BE48B"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Strong"/>
          <w:rFonts w:eastAsia="SimSun" w:hint="cs"/>
          <w:b w:val="0"/>
          <w:bCs w:val="0"/>
          <w:rtl/>
        </w:rPr>
        <w:t>اللجنة الانتخابية</w:t>
      </w:r>
      <w:r w:rsidRPr="00BD7822">
        <w:rPr>
          <w:rStyle w:val="Hyperlink"/>
          <w:rFonts w:hint="cs"/>
          <w:rtl/>
        </w:rPr>
        <w:t>،</w:t>
      </w:r>
      <w:r w:rsidRPr="00BD7822">
        <w:rPr>
          <w:rStyle w:val="Hyperlink"/>
          <w:rtl/>
        </w:rPr>
        <w:t xml:space="preserve"> </w:t>
      </w:r>
      <w:hyperlink r:id="rId81" w:history="1">
        <w:r w:rsidRPr="00BD7822">
          <w:rPr>
            <w:rStyle w:val="Hyperlink"/>
            <w:rtl/>
          </w:rPr>
          <w:t xml:space="preserve">انتخابات البرلمان الأوروبي </w:t>
        </w:r>
        <w:r w:rsidRPr="00BD7822">
          <w:rPr>
            <w:rStyle w:val="Hyperlink"/>
            <w:rFonts w:hint="cs"/>
            <w:rtl/>
          </w:rPr>
          <w:t>في أيار/</w:t>
        </w:r>
        <w:r w:rsidRPr="00BD7822">
          <w:rPr>
            <w:rStyle w:val="Hyperlink"/>
            <w:rtl/>
          </w:rPr>
          <w:t>مايو 2019</w:t>
        </w:r>
      </w:hyperlink>
      <w:r w:rsidRPr="00BD7822">
        <w:rPr>
          <w:rtl/>
        </w:rPr>
        <w:t xml:space="preserve">، </w:t>
      </w:r>
      <w:hyperlink r:id="rId82" w:history="1">
        <w:r w:rsidRPr="00BD7822">
          <w:rPr>
            <w:rStyle w:val="Hyperlink"/>
            <w:rtl/>
          </w:rPr>
          <w:t>الانتخابات العامة للبرلمان البريطاني 2019</w:t>
        </w:r>
      </w:hyperlink>
      <w:r w:rsidRPr="00BD7822">
        <w:rPr>
          <w:rtl/>
        </w:rPr>
        <w:t xml:space="preserve">، </w:t>
      </w:r>
      <w:hyperlink r:id="rId83" w:history="1">
        <w:r w:rsidRPr="00BD7822">
          <w:rPr>
            <w:rStyle w:val="Hyperlink"/>
            <w:rtl/>
          </w:rPr>
          <w:t xml:space="preserve">انتخابات البرلمان الاسكتلندي في </w:t>
        </w:r>
        <w:r w:rsidRPr="00BD7822">
          <w:rPr>
            <w:rStyle w:val="Hyperlink"/>
            <w:rFonts w:hint="cs"/>
            <w:rtl/>
          </w:rPr>
          <w:t>أيار/</w:t>
        </w:r>
        <w:r w:rsidRPr="00BD7822">
          <w:rPr>
            <w:rStyle w:val="Hyperlink"/>
            <w:rtl/>
          </w:rPr>
          <w:t>مايو 2021</w:t>
        </w:r>
      </w:hyperlink>
      <w:r w:rsidRPr="00BD7822">
        <w:rPr>
          <w:rtl/>
        </w:rPr>
        <w:t xml:space="preserve">، </w:t>
      </w:r>
      <w:hyperlink r:id="rId84" w:history="1">
        <w:r w:rsidRPr="00BD7822">
          <w:rPr>
            <w:rStyle w:val="Hyperlink"/>
            <w:rtl/>
          </w:rPr>
          <w:t xml:space="preserve">انتخابات الجمعية الوطنية لويلز في </w:t>
        </w:r>
        <w:r w:rsidRPr="00BD7822">
          <w:rPr>
            <w:rStyle w:val="Hyperlink"/>
            <w:rFonts w:hint="cs"/>
            <w:rtl/>
          </w:rPr>
          <w:t>أيار/</w:t>
        </w:r>
        <w:r w:rsidRPr="00BD7822">
          <w:rPr>
            <w:rStyle w:val="Hyperlink"/>
            <w:rtl/>
          </w:rPr>
          <w:t>مايو 2021</w:t>
        </w:r>
      </w:hyperlink>
      <w:r w:rsidRPr="00BD7822">
        <w:rPr>
          <w:rtl/>
        </w:rPr>
        <w:t xml:space="preserve">، </w:t>
      </w:r>
      <w:hyperlink r:id="rId85" w:anchor="footnote1_abdtdu" w:history="1">
        <w:r w:rsidRPr="00BD7822">
          <w:rPr>
            <w:rStyle w:val="Hyperlink"/>
            <w:rtl/>
          </w:rPr>
          <w:t xml:space="preserve">انتخابات جمعية </w:t>
        </w:r>
        <w:r w:rsidR="000F4858" w:rsidRPr="00BD7822">
          <w:rPr>
            <w:rStyle w:val="Hyperlink"/>
            <w:rtl/>
          </w:rPr>
          <w:t>أيرلندا الشمالية</w:t>
        </w:r>
        <w:r w:rsidRPr="00BD7822">
          <w:rPr>
            <w:rStyle w:val="Hyperlink"/>
            <w:rtl/>
          </w:rPr>
          <w:t xml:space="preserve"> </w:t>
        </w:r>
        <w:r w:rsidRPr="00BD7822">
          <w:rPr>
            <w:rStyle w:val="Hyperlink"/>
            <w:rFonts w:hint="cs"/>
            <w:rtl/>
          </w:rPr>
          <w:t>آذار/</w:t>
        </w:r>
        <w:r w:rsidRPr="00BD7822">
          <w:rPr>
            <w:rStyle w:val="Hyperlink"/>
            <w:rtl/>
          </w:rPr>
          <w:t>مارس 2017</w:t>
        </w:r>
      </w:hyperlink>
      <w:r w:rsidRPr="00BD7822">
        <w:rPr>
          <w:rFonts w:hint="cs"/>
          <w:rtl/>
        </w:rPr>
        <w:t>.</w:t>
      </w:r>
    </w:p>
  </w:footnote>
  <w:footnote w:id="97">
    <w:p w14:paraId="1A29C51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الأرقام مأخوذة من مكتب الإحصاء</w:t>
      </w:r>
      <w:r w:rsidRPr="00BD7822">
        <w:rPr>
          <w:rFonts w:hint="cs"/>
          <w:rtl/>
        </w:rPr>
        <w:t>ات</w:t>
      </w:r>
      <w:r w:rsidRPr="00BD7822">
        <w:rPr>
          <w:rtl/>
        </w:rPr>
        <w:t xml:space="preserve"> الوطني</w:t>
      </w:r>
      <w:r w:rsidRPr="00BD7822">
        <w:rPr>
          <w:rFonts w:hint="cs"/>
          <w:rtl/>
        </w:rPr>
        <w:t>ة</w:t>
      </w:r>
      <w:r w:rsidRPr="00BD7822">
        <w:rPr>
          <w:rtl/>
        </w:rPr>
        <w:t xml:space="preserve">، الجريمة في </w:t>
      </w:r>
      <w:r w:rsidRPr="00BD7822">
        <w:rPr>
          <w:rFonts w:hint="cs"/>
          <w:rtl/>
        </w:rPr>
        <w:t xml:space="preserve">إنكلترا </w:t>
      </w:r>
      <w:r w:rsidRPr="00BD7822">
        <w:rPr>
          <w:rtl/>
        </w:rPr>
        <w:t xml:space="preserve">وويلز، السنة المنتهية في </w:t>
      </w:r>
      <w:r w:rsidRPr="00BD7822">
        <w:rPr>
          <w:rFonts w:hint="cs"/>
          <w:rtl/>
        </w:rPr>
        <w:t>آذار/</w:t>
      </w:r>
      <w:r w:rsidRPr="00BD7822">
        <w:rPr>
          <w:rtl/>
        </w:rPr>
        <w:t>مارس 2020 وتستند إلى: 725 (جرائم قتل)؛ 1007 (محاولة قتل).</w:t>
      </w:r>
    </w:p>
  </w:footnote>
  <w:footnote w:id="98">
    <w:p w14:paraId="4F79C9A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86" w:history="1">
        <w:r w:rsidRPr="00BD7822">
          <w:rPr>
            <w:rStyle w:val="Hyperlink"/>
          </w:rPr>
          <w:t>https://www.psni.police.uk/globalassets/inside-the-psni/our-statistics/police-recorded-crime-statistics/documents/police_recorded_crime_in_northern_ireland_1998-99_to_2019-20.xlsx</w:t>
        </w:r>
      </w:hyperlink>
      <w:r w:rsidRPr="00BD7822">
        <w:rPr>
          <w:rFonts w:hint="cs"/>
          <w:rtl/>
        </w:rPr>
        <w:t>.</w:t>
      </w:r>
    </w:p>
  </w:footnote>
  <w:footnote w:id="99">
    <w:p w14:paraId="0E3B145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وزارة العدل، </w:t>
      </w:r>
      <w:hyperlink r:id="rId87" w:history="1">
        <w:r w:rsidRPr="00BD7822">
          <w:rPr>
            <w:rStyle w:val="Hyperlink"/>
            <w:rFonts w:hint="cs"/>
            <w:rtl/>
          </w:rPr>
          <w:t>التحديثات الربع سنوية للإحصاءات المتعلقة بالعدالة الجنائية حتى آذار/مارس 2021</w:t>
        </w:r>
      </w:hyperlink>
      <w:r w:rsidRPr="00BD7822">
        <w:rPr>
          <w:rFonts w:hint="cs"/>
          <w:rtl/>
        </w:rPr>
        <w:t>.</w:t>
      </w:r>
    </w:p>
  </w:footnote>
  <w:footnote w:id="100">
    <w:p w14:paraId="0B89332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spacing w:val="-4"/>
          <w:rtl/>
        </w:rPr>
        <w:t>2019-</w:t>
      </w:r>
      <w:r w:rsidRPr="00BD7822">
        <w:rPr>
          <w:rFonts w:hint="cs"/>
          <w:spacing w:val="-4"/>
          <w:rtl/>
        </w:rPr>
        <w:t>2021</w:t>
      </w:r>
      <w:r w:rsidRPr="00BD7822">
        <w:rPr>
          <w:spacing w:val="-4"/>
          <w:rtl/>
        </w:rPr>
        <w:t xml:space="preserve"> بيانات الإجراءات الجنائية</w:t>
      </w:r>
      <w:r w:rsidRPr="00BD7822">
        <w:rPr>
          <w:rFonts w:hint="cs"/>
          <w:rtl/>
        </w:rPr>
        <w:t>.</w:t>
      </w:r>
    </w:p>
  </w:footnote>
  <w:footnote w:id="101">
    <w:p w14:paraId="297CA40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88" w:history="1">
        <w:r w:rsidRPr="00BD7822">
          <w:rPr>
            <w:rStyle w:val="Hyperlink"/>
          </w:rPr>
          <w:t>https://www.justice-ni.gov.uk/sites/default/files/publications/justice/northern-ireland-prison-population-2019-20.pdf</w:t>
        </w:r>
      </w:hyperlink>
      <w:r w:rsidRPr="00BD7822">
        <w:rPr>
          <w:rFonts w:hint="cs"/>
          <w:rtl/>
        </w:rPr>
        <w:t>.</w:t>
      </w:r>
    </w:p>
  </w:footnote>
  <w:footnote w:id="102">
    <w:p w14:paraId="2DAC9AB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الأرقام مأخوذة من مكتب الإحصاء</w:t>
      </w:r>
      <w:r w:rsidRPr="00BD7822">
        <w:rPr>
          <w:rFonts w:hint="cs"/>
          <w:rtl/>
        </w:rPr>
        <w:t>ات</w:t>
      </w:r>
      <w:r w:rsidRPr="00BD7822">
        <w:rPr>
          <w:rtl/>
        </w:rPr>
        <w:t xml:space="preserve"> الوطني</w:t>
      </w:r>
      <w:r w:rsidRPr="00BD7822">
        <w:rPr>
          <w:rFonts w:hint="cs"/>
          <w:rtl/>
        </w:rPr>
        <w:t>ة</w:t>
      </w:r>
      <w:r w:rsidRPr="00BD7822">
        <w:rPr>
          <w:rtl/>
        </w:rPr>
        <w:t xml:space="preserve">، الجريمة في </w:t>
      </w:r>
      <w:r w:rsidRPr="00BD7822">
        <w:rPr>
          <w:rFonts w:hint="cs"/>
          <w:rtl/>
        </w:rPr>
        <w:t xml:space="preserve">إنكلترا </w:t>
      </w:r>
      <w:r w:rsidRPr="00BD7822">
        <w:rPr>
          <w:rtl/>
        </w:rPr>
        <w:t xml:space="preserve">وويلز، السنة المنتهية في </w:t>
      </w:r>
      <w:r w:rsidRPr="00BD7822">
        <w:rPr>
          <w:rFonts w:hint="cs"/>
          <w:rtl/>
        </w:rPr>
        <w:t>آذار/</w:t>
      </w:r>
      <w:r w:rsidRPr="00BD7822">
        <w:rPr>
          <w:rtl/>
        </w:rPr>
        <w:t>مارس 2020</w:t>
      </w:r>
      <w:r w:rsidRPr="00BD7822">
        <w:rPr>
          <w:rFonts w:hint="cs"/>
          <w:rtl/>
        </w:rPr>
        <w:t>.</w:t>
      </w:r>
    </w:p>
  </w:footnote>
  <w:footnote w:id="103">
    <w:p w14:paraId="51B8754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89" w:history="1">
        <w:r w:rsidRPr="00BD7822">
          <w:rPr>
            <w:rStyle w:val="Hyperlink"/>
          </w:rPr>
          <w:t>https://www.psni.police.uk/globalassets/inside-the-psni/our-statistics/police-recorded-crime-statistics/documents/police_recorded_crime_in_northern_ireland_1998-99_to_2019-20.xlsx</w:t>
        </w:r>
      </w:hyperlink>
      <w:r w:rsidRPr="00BD7822">
        <w:rPr>
          <w:rtl/>
        </w:rPr>
        <w:t>.</w:t>
      </w:r>
    </w:p>
  </w:footnote>
  <w:footnote w:id="104">
    <w:p w14:paraId="2C794A31" w14:textId="3168409C"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دائرة السجون في </w:t>
      </w:r>
      <w:r w:rsidR="000F4858" w:rsidRPr="00BD7822">
        <w:rPr>
          <w:rFonts w:hint="cs"/>
          <w:rtl/>
        </w:rPr>
        <w:t>أيرلندا الشمالية</w:t>
      </w:r>
      <w:r w:rsidRPr="00BD7822">
        <w:rPr>
          <w:rFonts w:hint="cs"/>
          <w:rtl/>
        </w:rPr>
        <w:t>،</w:t>
      </w:r>
      <w:hyperlink r:id="rId90" w:history="1">
        <w:r w:rsidRPr="00BD7822">
          <w:rPr>
            <w:rStyle w:val="Hyperlink"/>
            <w:rFonts w:hint="cs"/>
            <w:rtl/>
          </w:rPr>
          <w:t xml:space="preserve"> تحليل عدد المساجين في سجون </w:t>
        </w:r>
        <w:r w:rsidR="000F4858" w:rsidRPr="00BD7822">
          <w:rPr>
            <w:rStyle w:val="Hyperlink"/>
            <w:rFonts w:hint="cs"/>
            <w:rtl/>
          </w:rPr>
          <w:t>أيرلندا الشمالية</w:t>
        </w:r>
        <w:r w:rsidRPr="00BD7822">
          <w:rPr>
            <w:rStyle w:val="Hyperlink"/>
            <w:rFonts w:hint="cs"/>
            <w:rtl/>
          </w:rPr>
          <w:t xml:space="preserve"> من 1/4/2012 إلى</w:t>
        </w:r>
        <w:r w:rsidRPr="00BD7822">
          <w:rPr>
            <w:rStyle w:val="Hyperlink"/>
            <w:rFonts w:hint="eastAsia"/>
            <w:rtl/>
          </w:rPr>
          <w:t xml:space="preserve"> </w:t>
        </w:r>
        <w:r w:rsidRPr="00BD7822">
          <w:rPr>
            <w:rStyle w:val="Hyperlink"/>
            <w:rFonts w:hint="cs"/>
            <w:rtl/>
          </w:rPr>
          <w:t>30/6/2013</w:t>
        </w:r>
      </w:hyperlink>
      <w:r w:rsidRPr="00BD7822">
        <w:rPr>
          <w:rFonts w:hint="cs"/>
          <w:rtl/>
        </w:rPr>
        <w:t>، تموز/يوليه 2013.</w:t>
      </w:r>
    </w:p>
  </w:footnote>
  <w:footnote w:id="105">
    <w:p w14:paraId="4420024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91" w:history="1">
        <w:r w:rsidRPr="00BD7822">
          <w:rPr>
            <w:rStyle w:val="Hyperlink"/>
          </w:rPr>
          <w:t>https://assets.publishing.service.gov.uk/government/uploads/system/uploads/attachment_data/file/</w:t>
        </w:r>
        <w:r w:rsidRPr="00BD7822">
          <w:rPr>
            <w:rStyle w:val="Hyperlink"/>
          </w:rPr>
          <w:br/>
          <w:t>930646/Population_30Sep2020.ods</w:t>
        </w:r>
      </w:hyperlink>
      <w:r w:rsidRPr="00BD7822">
        <w:rPr>
          <w:rFonts w:hint="cs"/>
          <w:rtl/>
        </w:rPr>
        <w:t>.</w:t>
      </w:r>
    </w:p>
  </w:footnote>
  <w:footnote w:id="106">
    <w:p w14:paraId="1B036A42" w14:textId="69C49964"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دائرة السجون في </w:t>
      </w:r>
      <w:r w:rsidR="000F4858" w:rsidRPr="00BD7822">
        <w:rPr>
          <w:rFonts w:hint="cs"/>
          <w:rtl/>
        </w:rPr>
        <w:t>أيرلندا الشمالية</w:t>
      </w:r>
      <w:r w:rsidRPr="00BD7822">
        <w:rPr>
          <w:rFonts w:hint="cs"/>
          <w:rtl/>
        </w:rPr>
        <w:t xml:space="preserve">، </w:t>
      </w:r>
      <w:hyperlink r:id="rId92" w:history="1">
        <w:r w:rsidRPr="00BD7822">
          <w:rPr>
            <w:rStyle w:val="Hyperlink"/>
            <w:rFonts w:hint="cs"/>
            <w:rtl/>
          </w:rPr>
          <w:t>مجموع نزلاء</w:t>
        </w:r>
        <w:r w:rsidRPr="00BD7822">
          <w:rPr>
            <w:rStyle w:val="Hyperlink"/>
            <w:rtl/>
          </w:rPr>
          <w:t xml:space="preserve"> سجون </w:t>
        </w:r>
        <w:r w:rsidR="000F4858" w:rsidRPr="00BD7822">
          <w:rPr>
            <w:rStyle w:val="Hyperlink"/>
            <w:rtl/>
          </w:rPr>
          <w:t>أيرلندا الشمالية</w:t>
        </w:r>
        <w:r w:rsidRPr="00BD7822">
          <w:rPr>
            <w:rStyle w:val="Hyperlink"/>
            <w:rtl/>
          </w:rPr>
          <w:t xml:space="preserve"> 2017/</w:t>
        </w:r>
        <w:r w:rsidRPr="00BD7822">
          <w:rPr>
            <w:rStyle w:val="Hyperlink"/>
            <w:rFonts w:hint="cs"/>
            <w:rtl/>
          </w:rPr>
          <w:t>2018 (</w:t>
        </w:r>
        <w:r w:rsidRPr="00BD7822">
          <w:rPr>
            <w:rStyle w:val="Hyperlink"/>
          </w:rPr>
          <w:t>justice-ni.gov.uk</w:t>
        </w:r>
        <w:r w:rsidRPr="00BD7822">
          <w:rPr>
            <w:rStyle w:val="Hyperlink"/>
            <w:rFonts w:hint="cs"/>
            <w:rtl/>
          </w:rPr>
          <w:t>)</w:t>
        </w:r>
      </w:hyperlink>
      <w:r w:rsidRPr="00BD7822">
        <w:rPr>
          <w:rFonts w:hint="cs"/>
          <w:rtl/>
        </w:rPr>
        <w:t>.</w:t>
      </w:r>
    </w:p>
  </w:footnote>
  <w:footnote w:id="107">
    <w:p w14:paraId="6D10160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93" w:history="1">
        <w:r w:rsidRPr="00BD7822">
          <w:rPr>
            <w:rStyle w:val="Hyperlink"/>
          </w:rPr>
          <w:t>https://www.sps.gov.uk/Corporate/Information/PrisonerDeaths.aspx</w:t>
        </w:r>
      </w:hyperlink>
      <w:r w:rsidRPr="00BD7822">
        <w:rPr>
          <w:rStyle w:val="Strong"/>
          <w:rFonts w:eastAsia="SimSun" w:hint="cs"/>
          <w:rtl/>
        </w:rPr>
        <w:t>.</w:t>
      </w:r>
    </w:p>
  </w:footnote>
  <w:footnote w:id="108">
    <w:p w14:paraId="1D290EC4" w14:textId="333C11C4"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التقرير السنوي (2019-2020) </w:t>
      </w:r>
      <w:r w:rsidRPr="00BD7822">
        <w:rPr>
          <w:rFonts w:hint="cs"/>
          <w:rtl/>
        </w:rPr>
        <w:t xml:space="preserve">الصادر عن </w:t>
      </w:r>
      <w:r w:rsidRPr="00BD7822">
        <w:rPr>
          <w:rtl/>
        </w:rPr>
        <w:t xml:space="preserve">أمين مظالم السجون في </w:t>
      </w:r>
      <w:r w:rsidR="000F4858" w:rsidRPr="00BD7822">
        <w:rPr>
          <w:rtl/>
        </w:rPr>
        <w:t>أيرلندا الشمالية</w:t>
      </w:r>
      <w:r w:rsidRPr="00BD7822">
        <w:rPr>
          <w:rFonts w:hint="cs"/>
          <w:rtl/>
        </w:rPr>
        <w:t xml:space="preserve">. </w:t>
      </w:r>
      <w:hyperlink r:id="rId94" w:history="1">
        <w:r w:rsidRPr="00BD7822">
          <w:rPr>
            <w:rStyle w:val="Hyperlink"/>
            <w:rFonts w:hint="cs"/>
            <w:rtl/>
          </w:rPr>
          <w:t>التقارير السنوية</w:t>
        </w:r>
        <w:r w:rsidRPr="00BD7822">
          <w:rPr>
            <w:rStyle w:val="Hyperlink"/>
            <w:rtl/>
          </w:rPr>
          <w:t xml:space="preserve"> - أمين مظالم السجون في </w:t>
        </w:r>
        <w:r w:rsidR="000F4858" w:rsidRPr="00BD7822">
          <w:rPr>
            <w:rStyle w:val="Hyperlink"/>
            <w:rtl/>
          </w:rPr>
          <w:t>أيرلندا الشمالية</w:t>
        </w:r>
        <w:r w:rsidRPr="00BD7822">
          <w:rPr>
            <w:rStyle w:val="Hyperlink"/>
            <w:rtl/>
          </w:rPr>
          <w:t xml:space="preserve"> (</w:t>
        </w:r>
        <w:r w:rsidRPr="00BD7822">
          <w:rPr>
            <w:rStyle w:val="Hyperlink"/>
          </w:rPr>
          <w:t>niprisonerombudsman.gov.uk</w:t>
        </w:r>
        <w:r w:rsidRPr="00BD7822">
          <w:rPr>
            <w:rStyle w:val="Hyperlink"/>
            <w:rtl/>
          </w:rPr>
          <w:t>)</w:t>
        </w:r>
      </w:hyperlink>
      <w:r w:rsidRPr="00BD7822">
        <w:rPr>
          <w:rFonts w:hint="cs"/>
          <w:rtl/>
        </w:rPr>
        <w:t>.</w:t>
      </w:r>
    </w:p>
  </w:footnote>
  <w:footnote w:id="109">
    <w:p w14:paraId="4B2825F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ألغيت عقوبة الإعدام في المملكة المتحدة.</w:t>
      </w:r>
    </w:p>
  </w:footnote>
  <w:footnote w:id="110">
    <w:p w14:paraId="5E45F18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1 https://www.gov.uk/government/statistics/criminal-court-statistics-quarterly-october-to-december-2020.</w:t>
      </w:r>
    </w:p>
  </w:footnote>
  <w:footnote w:id="111">
    <w:p w14:paraId="3C500F6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2 https://www.gov.uk/government/statistics/criminal-court-statistics-quarterly-october-to-december-2020.</w:t>
      </w:r>
    </w:p>
  </w:footnote>
  <w:footnote w:id="112">
    <w:p w14:paraId="666CAFB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3 https://www.gov.uk/government/statistics/tribunal-statistics-quarterly-october-to-december-2020.</w:t>
      </w:r>
    </w:p>
  </w:footnote>
  <w:footnote w:id="113">
    <w:p w14:paraId="729D3D7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 xml:space="preserve">4 </w:t>
      </w:r>
      <w:hyperlink r:id="rId95" w:history="1">
        <w:r w:rsidRPr="00BD7822">
          <w:rPr>
            <w:rStyle w:val="Hyperlink"/>
          </w:rPr>
          <w:t>https://www.gov.uk/government/statistical-data-sets/hmcts-weekly-management-information-during-coronavirus-march-2020-to-february-2021</w:t>
        </w:r>
      </w:hyperlink>
      <w:r w:rsidRPr="00BD7822">
        <w:t>.</w:t>
      </w:r>
    </w:p>
  </w:footnote>
  <w:footnote w:id="114">
    <w:p w14:paraId="154BFD7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https://www.gov.uk/government/statistics/police-workforce-england-and-wales-30-september-2020</w:t>
      </w:r>
      <w:r w:rsidRPr="00BD7822">
        <w:rPr>
          <w:rFonts w:hint="cs"/>
          <w:rtl/>
        </w:rPr>
        <w:t>.</w:t>
      </w:r>
    </w:p>
  </w:footnote>
  <w:footnote w:id="115">
    <w:p w14:paraId="1F475BD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https://www.gov.scot/publications/police-officer-quarterly-strength-statistics-30-september-2020/</w:t>
      </w:r>
      <w:r w:rsidRPr="00BD7822">
        <w:rPr>
          <w:rFonts w:hint="cs"/>
          <w:rtl/>
        </w:rPr>
        <w:t>.</w:t>
      </w:r>
    </w:p>
  </w:footnote>
  <w:footnote w:id="116">
    <w:p w14:paraId="0F9AA43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https://www.psni.police.uk/inside-psni/Statistics/strength-of-police-service-statistics/</w:t>
      </w:r>
      <w:r w:rsidRPr="00BD7822">
        <w:rPr>
          <w:rFonts w:hint="cs"/>
          <w:rtl/>
        </w:rPr>
        <w:t>.</w:t>
      </w:r>
    </w:p>
  </w:footnote>
  <w:footnote w:id="117">
    <w:p w14:paraId="3A99ACE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استناداً إلى بيانات من </w:t>
      </w:r>
      <w:hyperlink r:id="rId96" w:anchor=":~:text=There%20are%20currently%20over%20600%20circuit%20judges%20throughout%20England%20and%20Wales." w:history="1">
        <w:r w:rsidRPr="00BD7822">
          <w:rPr>
            <w:rStyle w:val="Hyperlink"/>
            <w:rtl/>
          </w:rPr>
          <w:t>قاضي الدائرة | قضاء المحاكم والهيئات القضائية</w:t>
        </w:r>
      </w:hyperlink>
      <w:r w:rsidRPr="00BD7822">
        <w:rPr>
          <w:rFonts w:hint="cs"/>
          <w:rtl/>
        </w:rPr>
        <w:t>.</w:t>
      </w:r>
    </w:p>
  </w:footnote>
  <w:footnote w:id="118">
    <w:p w14:paraId="348B60E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استناداً إلى دائرة المدعي العام للتاج، 3083 قضية في إنكلترا وويلز. </w:t>
      </w:r>
      <w:hyperlink r:id="rId97" w:history="1">
        <w:r w:rsidRPr="00BD7822">
          <w:rPr>
            <w:rStyle w:val="Hyperlink"/>
            <w:rFonts w:hint="cs"/>
            <w:rtl/>
          </w:rPr>
          <w:t>حقائق عن دائرة المدعي العام للتاج</w:t>
        </w:r>
      </w:hyperlink>
      <w:r w:rsidRPr="00BD7822">
        <w:rPr>
          <w:rFonts w:hint="cs"/>
          <w:rtl/>
        </w:rPr>
        <w:t>.</w:t>
      </w:r>
    </w:p>
  </w:footnote>
  <w:footnote w:id="119">
    <w:p w14:paraId="62124EB8" w14:textId="7F77A6D4"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معلومات إدارية عن دائرة المحاكم والمجالس القضائية في </w:t>
      </w:r>
      <w:r w:rsidR="000F4858" w:rsidRPr="00BD7822">
        <w:rPr>
          <w:rFonts w:hint="cs"/>
          <w:rtl/>
        </w:rPr>
        <w:t>أيرلندا الشمالية</w:t>
      </w:r>
      <w:r w:rsidRPr="00BD7822">
        <w:rPr>
          <w:rFonts w:hint="cs"/>
          <w:rtl/>
        </w:rPr>
        <w:t>، حتى آذار/مارس 2021.</w:t>
      </w:r>
    </w:p>
  </w:footnote>
  <w:footnote w:id="120">
    <w:p w14:paraId="7362D4E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98" w:history="1">
        <w:r w:rsidRPr="00BD7822">
          <w:rPr>
            <w:rStyle w:val="Hyperlink"/>
          </w:rPr>
          <w:t>https://assets.publishing.service.gov.uk/government/uploads/system/uploads/attachment_data/file/</w:t>
        </w:r>
        <w:r w:rsidRPr="00BD7822">
          <w:rPr>
            <w:rStyle w:val="Hyperlink"/>
          </w:rPr>
          <w:br/>
          <w:t>966868/BUDGET_2021_-_web.pdf</w:t>
        </w:r>
      </w:hyperlink>
      <w:r w:rsidRPr="00BD7822">
        <w:rPr>
          <w:rFonts w:hint="cs"/>
          <w:b/>
          <w:bCs/>
          <w:rtl/>
        </w:rPr>
        <w:t>.</w:t>
      </w:r>
    </w:p>
  </w:footnote>
  <w:footnote w:id="121">
    <w:p w14:paraId="318E05D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99" w:history="1">
        <w:r w:rsidRPr="00BD7822">
          <w:rPr>
            <w:rStyle w:val="Hyperlink"/>
          </w:rPr>
          <w:t>https://www.gov.scot/publications/scottish-budget-2021-22/pages/2/</w:t>
        </w:r>
      </w:hyperlink>
      <w:r w:rsidRPr="00BD7822">
        <w:rPr>
          <w:rtl/>
        </w:rPr>
        <w:t>.</w:t>
      </w:r>
    </w:p>
  </w:footnote>
  <w:footnote w:id="122">
    <w:p w14:paraId="30821EC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0" w:history="1">
        <w:r w:rsidRPr="00BD7822">
          <w:rPr>
            <w:rStyle w:val="Hyperlink"/>
          </w:rPr>
          <w:t>https://www.gov.scot/publications/scottish-budget-2021-22/pages/10/</w:t>
        </w:r>
      </w:hyperlink>
      <w:r w:rsidRPr="00BD7822">
        <w:rPr>
          <w:rtl/>
        </w:rPr>
        <w:t>.</w:t>
      </w:r>
    </w:p>
  </w:footnote>
  <w:footnote w:id="123">
    <w:p w14:paraId="0AE3C22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1" w:history="1">
        <w:r w:rsidRPr="00BD7822">
          <w:rPr>
            <w:rStyle w:val="Hyperlink"/>
          </w:rPr>
          <w:t>https://www.finance-ni.gov.uk/sites/default/files/publications/dfp/Budget%202020-21%20-%20Ministerial%20Statement.pdf</w:t>
        </w:r>
      </w:hyperlink>
      <w:r w:rsidRPr="00BD7822">
        <w:rPr>
          <w:rtl/>
        </w:rPr>
        <w:t>.</w:t>
      </w:r>
    </w:p>
  </w:footnote>
  <w:footnote w:id="124">
    <w:p w14:paraId="5E9C812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2" w:history="1">
        <w:r w:rsidRPr="00BD7822">
          <w:rPr>
            <w:rStyle w:val="Hyperlink"/>
          </w:rPr>
          <w:t>https://www.gov.uk/government/statistics/legal-aid-statistics-january-to-march-2019</w:t>
        </w:r>
      </w:hyperlink>
      <w:r w:rsidRPr="00BD7822">
        <w:rPr>
          <w:rtl/>
        </w:rPr>
        <w:t>.</w:t>
      </w:r>
    </w:p>
  </w:footnote>
  <w:footnote w:id="125">
    <w:p w14:paraId="3512877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3" w:history="1">
        <w:r w:rsidRPr="00BD7822">
          <w:rPr>
            <w:rStyle w:val="Hyperlink"/>
          </w:rPr>
          <w:t>https://assets.publishing.service.gov.uk/government/uploads/system/uploads/attachment_data/</w:t>
        </w:r>
        <w:r w:rsidRPr="00BD7822">
          <w:rPr>
            <w:rStyle w:val="Hyperlink"/>
          </w:rPr>
          <w:br/>
          <w:t>file/933212/6.6482_CICA_Annual_Report_and_Accounts_2019-20_FINAL_WEB.pdf</w:t>
        </w:r>
      </w:hyperlink>
      <w:r w:rsidRPr="00BD7822">
        <w:rPr>
          <w:rtl/>
        </w:rPr>
        <w:t>.</w:t>
      </w:r>
    </w:p>
  </w:footnote>
  <w:footnote w:id="126">
    <w:p w14:paraId="22E4783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4" w:history="1">
        <w:r w:rsidRPr="00BD7822">
          <w:rPr>
            <w:rStyle w:val="Hyperlink"/>
          </w:rPr>
          <w:t>http://www.legislation.gov.uk/ukpga/1998/42/contents</w:t>
        </w:r>
      </w:hyperlink>
      <w:r w:rsidRPr="00BD7822">
        <w:rPr>
          <w:rtl/>
        </w:rPr>
        <w:t>.</w:t>
      </w:r>
    </w:p>
  </w:footnote>
  <w:footnote w:id="127">
    <w:p w14:paraId="31E58DF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 xml:space="preserve">The Rt. Hon Lord Bingham of Cornhill KG, The rule of law, Sir David Williams Lectures, University of Cambridge, 2006 (downloadable from </w:t>
      </w:r>
      <w:hyperlink r:id="rId105" w:history="1">
        <w:r w:rsidRPr="00BD7822">
          <w:rPr>
            <w:rStyle w:val="Hyperlink"/>
          </w:rPr>
          <w:t>http://www.cpl.law.cam.ac.uk/sir_david_</w:t>
        </w:r>
        <w:r w:rsidRPr="00BD7822">
          <w:rPr>
            <w:rStyle w:val="Hyperlink"/>
          </w:rPr>
          <w:br/>
          <w:t>williams_lectures/</w:t>
        </w:r>
      </w:hyperlink>
      <w:r w:rsidRPr="00BD7822">
        <w:t>)</w:t>
      </w:r>
      <w:r w:rsidRPr="00BD7822">
        <w:rPr>
          <w:rtl/>
        </w:rPr>
        <w:t>.</w:t>
      </w:r>
    </w:p>
  </w:footnote>
  <w:footnote w:id="128">
    <w:p w14:paraId="4E84BD8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6" w:history="1">
        <w:r w:rsidRPr="00BD7822">
          <w:rPr>
            <w:rStyle w:val="Hyperlink"/>
          </w:rPr>
          <w:t>http://www.parliament.uk/</w:t>
        </w:r>
      </w:hyperlink>
      <w:r w:rsidRPr="00BD7822">
        <w:rPr>
          <w:rtl/>
        </w:rPr>
        <w:t>.</w:t>
      </w:r>
    </w:p>
  </w:footnote>
  <w:footnote w:id="129">
    <w:p w14:paraId="5567109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7" w:history="1">
        <w:r w:rsidRPr="00BD7822">
          <w:rPr>
            <w:rStyle w:val="Hyperlink"/>
          </w:rPr>
          <w:t>https://members.parliament.uk/parties/lords/by-peerage</w:t>
        </w:r>
      </w:hyperlink>
      <w:r w:rsidRPr="00BD7822">
        <w:rPr>
          <w:rtl/>
        </w:rPr>
        <w:t>.</w:t>
      </w:r>
    </w:p>
  </w:footnote>
  <w:footnote w:id="130">
    <w:p w14:paraId="6DF3A3E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8" w:history="1">
        <w:r w:rsidRPr="00BD7822">
          <w:rPr>
            <w:rStyle w:val="Hyperlink"/>
          </w:rPr>
          <w:t>http://www.legislation.gov.uk/ukpga/Geo5/1-2/13/contents</w:t>
        </w:r>
      </w:hyperlink>
      <w:r w:rsidRPr="00BD7822">
        <w:rPr>
          <w:rtl/>
        </w:rPr>
        <w:t>.</w:t>
      </w:r>
    </w:p>
  </w:footnote>
  <w:footnote w:id="131">
    <w:p w14:paraId="36E3C03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09" w:history="1">
        <w:r w:rsidRPr="00BD7822">
          <w:rPr>
            <w:rStyle w:val="Hyperlink"/>
          </w:rPr>
          <w:t>http://www.legislation.gov.uk/ukpga/Geo6/12-13-14/103/contents</w:t>
        </w:r>
      </w:hyperlink>
      <w:r w:rsidRPr="00BD7822">
        <w:rPr>
          <w:rtl/>
        </w:rPr>
        <w:t>.</w:t>
      </w:r>
    </w:p>
  </w:footnote>
  <w:footnote w:id="132">
    <w:p w14:paraId="5A51DC0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يخفض العدد إلى 600 اعتباراً من الانتخابات العامة المقبلة لعام 2015، عقب صدور قانون نظام التصويت البرلماني والدوائر الانتخابية لعام 2011 </w:t>
      </w:r>
      <w:r w:rsidRPr="00BD7822">
        <w:rPr>
          <w:rtl/>
        </w:rPr>
        <w:t>(</w:t>
      </w:r>
      <w:hyperlink r:id="rId110" w:history="1">
        <w:r w:rsidRPr="00BD7822">
          <w:rPr>
            <w:rStyle w:val="Hyperlink"/>
          </w:rPr>
          <w:t>http://www.legislation.gov.uk/ukpga/2011/1/contents</w:t>
        </w:r>
      </w:hyperlink>
      <w:r w:rsidRPr="00BD7822">
        <w:rPr>
          <w:rFonts w:hint="cs"/>
          <w:rtl/>
        </w:rPr>
        <w:t>).</w:t>
      </w:r>
    </w:p>
  </w:footnote>
  <w:footnote w:id="133">
    <w:p w14:paraId="11725DB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1" w:history="1">
        <w:r w:rsidRPr="00BD7822">
          <w:rPr>
            <w:rStyle w:val="Hyperlink"/>
          </w:rPr>
          <w:t>http://www.legislation.gov.uk/ukpga/2011/14/contents</w:t>
        </w:r>
      </w:hyperlink>
      <w:r w:rsidRPr="00BD7822">
        <w:rPr>
          <w:rtl/>
        </w:rPr>
        <w:t>.</w:t>
      </w:r>
    </w:p>
  </w:footnote>
  <w:footnote w:id="134">
    <w:p w14:paraId="6B8234A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2" w:history="1">
        <w:r w:rsidRPr="00BD7822">
          <w:rPr>
            <w:rStyle w:val="Hyperlink"/>
          </w:rPr>
          <w:t>http://www.royal.gov.uk/Home.aspx</w:t>
        </w:r>
      </w:hyperlink>
      <w:r w:rsidRPr="00BD7822">
        <w:rPr>
          <w:rtl/>
        </w:rPr>
        <w:t>.</w:t>
      </w:r>
    </w:p>
  </w:footnote>
  <w:footnote w:id="135">
    <w:p w14:paraId="7D2A0E0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3" w:history="1">
        <w:r w:rsidRPr="00BD7822">
          <w:rPr>
            <w:rStyle w:val="Hyperlink"/>
          </w:rPr>
          <w:t>https://www.gov.uk/</w:t>
        </w:r>
      </w:hyperlink>
      <w:r w:rsidRPr="00BD7822">
        <w:rPr>
          <w:rtl/>
        </w:rPr>
        <w:t>.</w:t>
      </w:r>
    </w:p>
  </w:footnote>
  <w:footnote w:id="136">
    <w:p w14:paraId="516A1BC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4" w:history="1">
        <w:r w:rsidRPr="00BD7822">
          <w:rPr>
            <w:rStyle w:val="Hyperlink"/>
          </w:rPr>
          <w:t>https://www.gov.uk/devolution-settlement-wales</w:t>
        </w:r>
      </w:hyperlink>
      <w:r w:rsidRPr="00BD7822">
        <w:rPr>
          <w:rtl/>
        </w:rPr>
        <w:t>.</w:t>
      </w:r>
    </w:p>
  </w:footnote>
  <w:footnote w:id="137">
    <w:p w14:paraId="6EB99D4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5" w:history="1">
        <w:r w:rsidRPr="00BD7822">
          <w:rPr>
            <w:rStyle w:val="Hyperlink"/>
          </w:rPr>
          <w:t>https://www.gov.uk/devolution-settlement-scotland</w:t>
        </w:r>
      </w:hyperlink>
      <w:r w:rsidRPr="00BD7822">
        <w:rPr>
          <w:rtl/>
        </w:rPr>
        <w:t>.</w:t>
      </w:r>
    </w:p>
  </w:footnote>
  <w:footnote w:id="138">
    <w:p w14:paraId="61D2A44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6" w:history="1">
        <w:r w:rsidRPr="00BD7822">
          <w:rPr>
            <w:rStyle w:val="Hyperlink"/>
          </w:rPr>
          <w:t>https://www.gov.uk/devolution-settlement-northern-ireland</w:t>
        </w:r>
      </w:hyperlink>
      <w:r w:rsidRPr="00BD7822">
        <w:rPr>
          <w:rtl/>
        </w:rPr>
        <w:t>.</w:t>
      </w:r>
    </w:p>
  </w:footnote>
  <w:footnote w:id="139">
    <w:p w14:paraId="68F4ED5D" w14:textId="63D3FFFD"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Strong"/>
          <w:rFonts w:eastAsia="SimSun" w:hint="cs"/>
          <w:rtl/>
        </w:rPr>
        <w:t xml:space="preserve">الفقرة 14 من </w:t>
      </w:r>
      <w:r w:rsidRPr="00BD7822">
        <w:rPr>
          <w:rStyle w:val="Strong"/>
          <w:rFonts w:eastAsia="SimSun" w:hint="cs"/>
          <w:i/>
          <w:iCs/>
          <w:rtl/>
        </w:rPr>
        <w:t>مذكرة التفاهم والاتفاقات التكميلية المبرمة بين حكومة المملكة المتحدة ووزراء اسكتلندا ووزراء ويلز والهيئة التنفيذية ل</w:t>
      </w:r>
      <w:r w:rsidR="000F4858" w:rsidRPr="00BD7822">
        <w:rPr>
          <w:rStyle w:val="Strong"/>
          <w:rFonts w:eastAsia="SimSun" w:hint="cs"/>
          <w:i/>
          <w:iCs/>
          <w:rtl/>
        </w:rPr>
        <w:t>أيرلندا الشمالية</w:t>
      </w:r>
      <w:r w:rsidRPr="00BD7822">
        <w:rPr>
          <w:rStyle w:val="Strong"/>
          <w:rFonts w:eastAsia="SimSun" w:hint="cs"/>
          <w:rtl/>
        </w:rPr>
        <w:t>، أيلول/سبتمبر 2012.</w:t>
      </w:r>
    </w:p>
  </w:footnote>
  <w:footnote w:id="140">
    <w:p w14:paraId="1743041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7" w:history="1">
        <w:r w:rsidRPr="00BD7822">
          <w:rPr>
            <w:rStyle w:val="Hyperlink"/>
          </w:rPr>
          <w:t>http://www.legislation.gov.uk/ukpga/1998/46/contents</w:t>
        </w:r>
      </w:hyperlink>
      <w:r w:rsidRPr="00BD7822">
        <w:rPr>
          <w:rtl/>
        </w:rPr>
        <w:t>.</w:t>
      </w:r>
    </w:p>
  </w:footnote>
  <w:footnote w:id="141">
    <w:p w14:paraId="0101CBF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8" w:history="1">
        <w:r w:rsidRPr="00BD7822">
          <w:rPr>
            <w:rStyle w:val="Hyperlink"/>
          </w:rPr>
          <w:t>http://www.legislation.gov.uk/ukpga/2012/11/contents</w:t>
        </w:r>
      </w:hyperlink>
      <w:r w:rsidRPr="00BD7822">
        <w:rPr>
          <w:rtl/>
        </w:rPr>
        <w:t>.</w:t>
      </w:r>
    </w:p>
  </w:footnote>
  <w:footnote w:id="142">
    <w:p w14:paraId="3CFB81A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https://www.legislation.gov.uk/ukpga/2016/11/contents</w:t>
      </w:r>
      <w:r w:rsidRPr="00BD7822">
        <w:rPr>
          <w:rtl/>
        </w:rPr>
        <w:t>.</w:t>
      </w:r>
    </w:p>
  </w:footnote>
  <w:footnote w:id="143">
    <w:p w14:paraId="17A8B35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19" w:history="1">
        <w:r w:rsidRPr="00BD7822">
          <w:rPr>
            <w:rStyle w:val="Hyperlink"/>
          </w:rPr>
          <w:t>http://www.scottish.parliament.uk/</w:t>
        </w:r>
      </w:hyperlink>
      <w:r w:rsidRPr="00BD7822">
        <w:rPr>
          <w:rtl/>
        </w:rPr>
        <w:t>.</w:t>
      </w:r>
    </w:p>
  </w:footnote>
  <w:footnote w:id="144">
    <w:p w14:paraId="3DF5CCB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0" w:history="1">
        <w:r w:rsidRPr="00BD7822">
          <w:rPr>
            <w:rStyle w:val="Hyperlink"/>
          </w:rPr>
          <w:t>http://www.scotland.gov.uk/</w:t>
        </w:r>
      </w:hyperlink>
      <w:r w:rsidRPr="00BD7822">
        <w:rPr>
          <w:rtl/>
        </w:rPr>
        <w:t>.</w:t>
      </w:r>
    </w:p>
  </w:footnote>
  <w:footnote w:id="145">
    <w:p w14:paraId="19BBE28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1" w:history="1">
        <w:r w:rsidRPr="00BD7822">
          <w:rPr>
            <w:rStyle w:val="Hyperlink"/>
          </w:rPr>
          <w:t>http://www.legislation.gov.uk/ukpga/1998/38/contents</w:t>
        </w:r>
      </w:hyperlink>
      <w:r w:rsidRPr="00BD7822">
        <w:rPr>
          <w:rtl/>
        </w:rPr>
        <w:t>.</w:t>
      </w:r>
    </w:p>
  </w:footnote>
  <w:footnote w:id="146">
    <w:p w14:paraId="57EDF82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2" w:history="1">
        <w:r w:rsidRPr="00BD7822">
          <w:rPr>
            <w:rStyle w:val="Hyperlink"/>
          </w:rPr>
          <w:t>http://www.assemblywales.org/</w:t>
        </w:r>
      </w:hyperlink>
      <w:r w:rsidRPr="00BD7822">
        <w:rPr>
          <w:rtl/>
        </w:rPr>
        <w:t>.</w:t>
      </w:r>
    </w:p>
  </w:footnote>
  <w:footnote w:id="147">
    <w:p w14:paraId="5F57042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3" w:history="1">
        <w:r w:rsidRPr="00BD7822">
          <w:rPr>
            <w:rStyle w:val="Hyperlink"/>
          </w:rPr>
          <w:t>http://www.legislation.gov.uk/ukpga/2006/32/contents</w:t>
        </w:r>
      </w:hyperlink>
      <w:r w:rsidRPr="00BD7822">
        <w:rPr>
          <w:rtl/>
        </w:rPr>
        <w:t>.</w:t>
      </w:r>
    </w:p>
  </w:footnote>
  <w:footnote w:id="148">
    <w:p w14:paraId="2848422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4" w:history="1">
        <w:r w:rsidRPr="00BD7822">
          <w:rPr>
            <w:rStyle w:val="Hyperlink"/>
          </w:rPr>
          <w:t>http://wales.gov.uk/?lang=en</w:t>
        </w:r>
      </w:hyperlink>
      <w:r w:rsidRPr="00BD7822">
        <w:rPr>
          <w:rtl/>
        </w:rPr>
        <w:t>.</w:t>
      </w:r>
    </w:p>
  </w:footnote>
  <w:footnote w:id="149">
    <w:p w14:paraId="771E01F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5" w:history="1">
        <w:r w:rsidRPr="00BD7822">
          <w:rPr>
            <w:rStyle w:val="Hyperlink"/>
          </w:rPr>
          <w:t>https://www.gov.uk/government/publications/the-belfast-agreement</w:t>
        </w:r>
      </w:hyperlink>
      <w:r w:rsidRPr="00BD7822">
        <w:rPr>
          <w:rtl/>
        </w:rPr>
        <w:t>.</w:t>
      </w:r>
    </w:p>
  </w:footnote>
  <w:footnote w:id="150">
    <w:p w14:paraId="553F5FD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6" w:history="1">
        <w:r w:rsidRPr="00BD7822">
          <w:rPr>
            <w:rStyle w:val="Hyperlink"/>
          </w:rPr>
          <w:t>http://www.legislation.gov.uk/ukpga/1998/47/contents</w:t>
        </w:r>
      </w:hyperlink>
      <w:r w:rsidRPr="00BD7822">
        <w:rPr>
          <w:rtl/>
        </w:rPr>
        <w:t>.</w:t>
      </w:r>
    </w:p>
  </w:footnote>
  <w:footnote w:id="151">
    <w:p w14:paraId="7B4C8A9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7" w:history="1">
        <w:r w:rsidRPr="00BD7822">
          <w:rPr>
            <w:rStyle w:val="Hyperlink"/>
          </w:rPr>
          <w:t>http://www.niassembly.gov.uk/</w:t>
        </w:r>
      </w:hyperlink>
      <w:r w:rsidRPr="00BD7822">
        <w:rPr>
          <w:rtl/>
        </w:rPr>
        <w:t>.</w:t>
      </w:r>
    </w:p>
  </w:footnote>
  <w:footnote w:id="152">
    <w:p w14:paraId="426E2B6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8" w:history="1">
        <w:r w:rsidRPr="00BD7822">
          <w:rPr>
            <w:rStyle w:val="Hyperlink"/>
          </w:rPr>
          <w:t>http://www.northernireland.gov.uk/</w:t>
        </w:r>
      </w:hyperlink>
      <w:r w:rsidRPr="00BD7822">
        <w:rPr>
          <w:rtl/>
        </w:rPr>
        <w:t>.</w:t>
      </w:r>
    </w:p>
  </w:footnote>
  <w:footnote w:id="153">
    <w:p w14:paraId="178513F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ترد الإحصاءات الأساسية بشأن إقامة العدل في الجزء ألف ("الخصائص الديمغرافية والاقتصادية والاجتماعية والثقافية للدولة") من الوثيقة الأساسية.</w:t>
      </w:r>
    </w:p>
  </w:footnote>
  <w:footnote w:id="154">
    <w:p w14:paraId="675BF85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29" w:history="1">
        <w:r w:rsidRPr="00BD7822">
          <w:rPr>
            <w:rStyle w:val="Hyperlink"/>
          </w:rPr>
          <w:t>http://www.supremecourt.gov.uk/</w:t>
        </w:r>
      </w:hyperlink>
      <w:r w:rsidRPr="00BD7822">
        <w:rPr>
          <w:rtl/>
        </w:rPr>
        <w:t>.</w:t>
      </w:r>
    </w:p>
  </w:footnote>
  <w:footnote w:id="155">
    <w:p w14:paraId="4E532D5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0" w:history="1">
        <w:r w:rsidRPr="00BD7822">
          <w:rPr>
            <w:rStyle w:val="Hyperlink"/>
          </w:rPr>
          <w:t>http://www.justice.gov.uk/about/hmcts</w:t>
        </w:r>
      </w:hyperlink>
      <w:r w:rsidRPr="00BD7822">
        <w:rPr>
          <w:rtl/>
        </w:rPr>
        <w:t>.</w:t>
      </w:r>
    </w:p>
  </w:footnote>
  <w:footnote w:id="156">
    <w:p w14:paraId="67FF7FF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1" w:history="1">
        <w:r w:rsidRPr="00BD7822">
          <w:rPr>
            <w:rStyle w:val="Hyperlink"/>
          </w:rPr>
          <w:t>http://www.judiciary.gov.uk/</w:t>
        </w:r>
      </w:hyperlink>
      <w:r w:rsidRPr="00BD7822">
        <w:rPr>
          <w:rtl/>
        </w:rPr>
        <w:t>.</w:t>
      </w:r>
    </w:p>
  </w:footnote>
  <w:footnote w:id="157">
    <w:p w14:paraId="4FDC9E9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2" w:history="1">
        <w:r w:rsidRPr="00BD7822">
          <w:rPr>
            <w:rStyle w:val="Hyperlink"/>
          </w:rPr>
          <w:t>http://jac.judiciary.gov.uk/</w:t>
        </w:r>
      </w:hyperlink>
      <w:r w:rsidRPr="00BD7822">
        <w:rPr>
          <w:rtl/>
        </w:rPr>
        <w:t>.</w:t>
      </w:r>
    </w:p>
  </w:footnote>
  <w:footnote w:id="158">
    <w:p w14:paraId="5DBBDBD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3" w:history="1">
        <w:r w:rsidRPr="00BD7822">
          <w:rPr>
            <w:rStyle w:val="Hyperlink"/>
          </w:rPr>
          <w:t>http://judicialconduct.judiciary.gov.uk/</w:t>
        </w:r>
      </w:hyperlink>
      <w:r w:rsidRPr="00BD7822">
        <w:rPr>
          <w:rtl/>
        </w:rPr>
        <w:t>.</w:t>
      </w:r>
    </w:p>
  </w:footnote>
  <w:footnote w:id="159">
    <w:p w14:paraId="0AEEC08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4" w:history="1">
        <w:r w:rsidRPr="00BD7822">
          <w:rPr>
            <w:rStyle w:val="Hyperlink"/>
          </w:rPr>
          <w:t>http://scotland-judiciary.org.uk/1/0/Home</w:t>
        </w:r>
      </w:hyperlink>
      <w:r w:rsidRPr="00BD7822">
        <w:rPr>
          <w:rtl/>
        </w:rPr>
        <w:t>.</w:t>
      </w:r>
    </w:p>
  </w:footnote>
  <w:footnote w:id="160">
    <w:p w14:paraId="045C853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5" w:history="1">
        <w:r w:rsidRPr="00BD7822">
          <w:rPr>
            <w:rStyle w:val="Hyperlink"/>
          </w:rPr>
          <w:t>http://www.judicialappointmentsscotland.org.uk/Home</w:t>
        </w:r>
      </w:hyperlink>
      <w:r w:rsidRPr="00BD7822">
        <w:rPr>
          <w:rtl/>
        </w:rPr>
        <w:t>.</w:t>
      </w:r>
    </w:p>
  </w:footnote>
  <w:footnote w:id="161">
    <w:p w14:paraId="6C701D3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6" w:history="1">
        <w:r w:rsidRPr="00BD7822">
          <w:rPr>
            <w:rStyle w:val="Hyperlink"/>
          </w:rPr>
          <w:t>http://www.courtsni.gov.uk/en-GB/Pages/default.aspx</w:t>
        </w:r>
      </w:hyperlink>
      <w:r w:rsidRPr="00BD7822">
        <w:rPr>
          <w:rtl/>
        </w:rPr>
        <w:t>.</w:t>
      </w:r>
    </w:p>
  </w:footnote>
  <w:footnote w:id="162">
    <w:p w14:paraId="241EDA8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7" w:history="1">
        <w:r w:rsidRPr="00BD7822">
          <w:rPr>
            <w:rStyle w:val="Hyperlink"/>
          </w:rPr>
          <w:t>http://www.nijac.gov.uk/</w:t>
        </w:r>
      </w:hyperlink>
      <w:r w:rsidRPr="00BD7822">
        <w:rPr>
          <w:rtl/>
        </w:rPr>
        <w:t>.</w:t>
      </w:r>
    </w:p>
  </w:footnote>
  <w:footnote w:id="163">
    <w:p w14:paraId="4EB2EC9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ترد الإحصاءات الأساسية بشأن عدد المنظمات غير الحكومية المعترف بها في الجزء ألف ("الخصائص الديمغرافية والاقتصادية والاجتماعية والثقافية") من الوثيقة الأساسية.</w:t>
      </w:r>
    </w:p>
  </w:footnote>
  <w:footnote w:id="164">
    <w:p w14:paraId="412C7FB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8" w:history="1">
        <w:r w:rsidRPr="00BD7822">
          <w:rPr>
            <w:rStyle w:val="Hyperlink"/>
          </w:rPr>
          <w:t>http://www.charitycommission.gov.uk/</w:t>
        </w:r>
      </w:hyperlink>
      <w:r w:rsidRPr="00BD7822">
        <w:rPr>
          <w:rtl/>
        </w:rPr>
        <w:t>.</w:t>
      </w:r>
    </w:p>
  </w:footnote>
  <w:footnote w:id="165">
    <w:p w14:paraId="632C047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39" w:history="1">
        <w:r w:rsidRPr="00BD7822">
          <w:rPr>
            <w:rStyle w:val="Hyperlink"/>
          </w:rPr>
          <w:t>http://www.oscr.org.uk/</w:t>
        </w:r>
      </w:hyperlink>
      <w:r w:rsidRPr="00BD7822">
        <w:rPr>
          <w:rtl/>
        </w:rPr>
        <w:t>.</w:t>
      </w:r>
    </w:p>
  </w:footnote>
  <w:footnote w:id="166">
    <w:p w14:paraId="2AB42E8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0" w:history="1">
        <w:r w:rsidRPr="00BD7822">
          <w:rPr>
            <w:rStyle w:val="Hyperlink"/>
          </w:rPr>
          <w:t>http://www.charitycommissionni.org.uk/</w:t>
        </w:r>
      </w:hyperlink>
      <w:r w:rsidRPr="00BD7822">
        <w:rPr>
          <w:rtl/>
        </w:rPr>
        <w:t>.</w:t>
      </w:r>
    </w:p>
  </w:footnote>
  <w:footnote w:id="167">
    <w:p w14:paraId="5D6A076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1" w:history="1">
        <w:r w:rsidRPr="00BD7822">
          <w:rPr>
            <w:rStyle w:val="Hyperlink"/>
          </w:rPr>
          <w:t>https://www.gov.uk/charities-and-tax</w:t>
        </w:r>
      </w:hyperlink>
      <w:r w:rsidRPr="00BD7822">
        <w:rPr>
          <w:rtl/>
        </w:rPr>
        <w:t>.</w:t>
      </w:r>
    </w:p>
  </w:footnote>
  <w:footnote w:id="168">
    <w:p w14:paraId="47ABA947" w14:textId="49F63659"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يرد تحليل مستفيض للإطار القانوني لحماية حقوق الإنسان في المملكة المتحدة في: اللجنة المعنية بشرعة الحقوق، شرعة الحقوق للمملكة المتحدة؟ الخيار المطروح أمامنا، المجلد 1، كانون الأول/ديسمبر 2012. (</w:t>
      </w:r>
      <w:hyperlink r:id="rId142" w:history="1">
        <w:r w:rsidR="0080537E" w:rsidRPr="00BD7822">
          <w:rPr>
            <w:rStyle w:val="Hyperlink"/>
          </w:rPr>
          <w:t>http://www.justice.gov.uk/</w:t>
        </w:r>
        <w:r w:rsidR="0080537E" w:rsidRPr="00BD7822">
          <w:rPr>
            <w:rStyle w:val="Hyperlink"/>
          </w:rPr>
          <w:br/>
          <w:t>downloads/about/cbr/uk-bill-rights-vol-1.pdf</w:t>
        </w:r>
      </w:hyperlink>
      <w:r w:rsidRPr="00BD7822">
        <w:rPr>
          <w:rFonts w:hint="cs"/>
          <w:rtl/>
        </w:rPr>
        <w:t>).</w:t>
      </w:r>
    </w:p>
  </w:footnote>
  <w:footnote w:id="169">
    <w:p w14:paraId="1F89E9F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3" w:history="1">
        <w:r w:rsidRPr="00BD7822">
          <w:rPr>
            <w:rStyle w:val="Hyperlink"/>
          </w:rPr>
          <w:t>http://www.legislation.gov.uk/aep/Edw1cc1929/25/9/contents</w:t>
        </w:r>
      </w:hyperlink>
      <w:r w:rsidRPr="00BD7822">
        <w:rPr>
          <w:rtl/>
        </w:rPr>
        <w:t>.</w:t>
      </w:r>
    </w:p>
  </w:footnote>
  <w:footnote w:id="170">
    <w:p w14:paraId="08E1E5D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4" w:history="1">
        <w:r w:rsidRPr="00BD7822">
          <w:rPr>
            <w:rStyle w:val="Hyperlink"/>
          </w:rPr>
          <w:t>http://www.legislation.gov.uk/aep/Cha2/31/2/contents</w:t>
        </w:r>
      </w:hyperlink>
      <w:r w:rsidRPr="00BD7822">
        <w:rPr>
          <w:rtl/>
        </w:rPr>
        <w:t>.</w:t>
      </w:r>
    </w:p>
  </w:footnote>
  <w:footnote w:id="171">
    <w:p w14:paraId="5D3BA15A"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5" w:history="1">
        <w:r w:rsidRPr="00BD7822">
          <w:rPr>
            <w:rStyle w:val="Hyperlink"/>
          </w:rPr>
          <w:t>http://www.legislation.gov.uk/aosp/1689/28</w:t>
        </w:r>
      </w:hyperlink>
      <w:r w:rsidRPr="00BD7822">
        <w:rPr>
          <w:rtl/>
        </w:rPr>
        <w:t>.</w:t>
      </w:r>
    </w:p>
  </w:footnote>
  <w:footnote w:id="172">
    <w:p w14:paraId="53A9ECA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6" w:history="1">
        <w:r w:rsidRPr="00BD7822">
          <w:rPr>
            <w:rStyle w:val="Hyperlink"/>
          </w:rPr>
          <w:t>http://www.legislation.gov.uk/aosp/1701/6/contents</w:t>
        </w:r>
      </w:hyperlink>
      <w:r w:rsidRPr="00BD7822">
        <w:rPr>
          <w:rtl/>
        </w:rPr>
        <w:t>.</w:t>
      </w:r>
    </w:p>
  </w:footnote>
  <w:footnote w:id="173">
    <w:p w14:paraId="38E7F51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7" w:history="1">
        <w:r w:rsidRPr="00BD7822">
          <w:rPr>
            <w:rStyle w:val="Hyperlink"/>
          </w:rPr>
          <w:t>http://www.bailii.org/cgi-bin/markup.cgi?doc=/ew/cases/EWHC/KB/1765/</w:t>
        </w:r>
        <w:r w:rsidRPr="00BD7822">
          <w:rPr>
            <w:rStyle w:val="Hyperlink"/>
          </w:rPr>
          <w:br/>
          <w:t>J98.html&amp;query=entick&amp;method=boolean</w:t>
        </w:r>
      </w:hyperlink>
      <w:r w:rsidRPr="00BD7822">
        <w:rPr>
          <w:rtl/>
        </w:rPr>
        <w:t>.</w:t>
      </w:r>
    </w:p>
  </w:footnote>
  <w:footnote w:id="174">
    <w:p w14:paraId="35B359D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8" w:history="1">
        <w:r w:rsidRPr="00BD7822">
          <w:rPr>
            <w:rStyle w:val="Hyperlink"/>
          </w:rPr>
          <w:t>http://www.legislation.gov.uk/ukpga/2006/3/contents</w:t>
        </w:r>
      </w:hyperlink>
      <w:r w:rsidRPr="00BD7822">
        <w:rPr>
          <w:rtl/>
        </w:rPr>
        <w:t>.</w:t>
      </w:r>
    </w:p>
  </w:footnote>
  <w:footnote w:id="175">
    <w:p w14:paraId="3C89593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49" w:history="1">
        <w:r w:rsidRPr="00BD7822">
          <w:rPr>
            <w:rStyle w:val="Hyperlink"/>
          </w:rPr>
          <w:t>http://www.legislation.gov.uk/ukpga/2010/15/contents</w:t>
        </w:r>
      </w:hyperlink>
      <w:r w:rsidRPr="00BD7822">
        <w:rPr>
          <w:rtl/>
        </w:rPr>
        <w:t>.</w:t>
      </w:r>
    </w:p>
  </w:footnote>
  <w:footnote w:id="176">
    <w:p w14:paraId="7C2FF52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0" w:history="1">
        <w:r w:rsidRPr="00BD7822">
          <w:rPr>
            <w:rStyle w:val="Hyperlink"/>
          </w:rPr>
          <w:t>http://www.legislation.gov.uk/ukpga/1998/29/contents</w:t>
        </w:r>
      </w:hyperlink>
      <w:r w:rsidRPr="00BD7822">
        <w:rPr>
          <w:rtl/>
        </w:rPr>
        <w:t>.</w:t>
      </w:r>
    </w:p>
  </w:footnote>
  <w:footnote w:id="177">
    <w:p w14:paraId="56DCF47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1" w:history="1">
        <w:r w:rsidRPr="00BD7822">
          <w:rPr>
            <w:rStyle w:val="Hyperlink"/>
          </w:rPr>
          <w:t>http://www.legislation.gov.uk/ukpga/2000/36/contents</w:t>
        </w:r>
      </w:hyperlink>
      <w:r w:rsidRPr="00BD7822">
        <w:rPr>
          <w:rtl/>
        </w:rPr>
        <w:t>.</w:t>
      </w:r>
    </w:p>
  </w:footnote>
  <w:footnote w:id="178">
    <w:p w14:paraId="759C747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2" w:history="1">
        <w:r w:rsidRPr="00BD7822">
          <w:rPr>
            <w:rStyle w:val="Hyperlink"/>
          </w:rPr>
          <w:t>http://www.legislation.gov.uk/ukpga/2000/36/contents</w:t>
        </w:r>
      </w:hyperlink>
      <w:r w:rsidRPr="00BD7822">
        <w:rPr>
          <w:rtl/>
        </w:rPr>
        <w:t>.</w:t>
      </w:r>
    </w:p>
  </w:footnote>
  <w:footnote w:id="179">
    <w:p w14:paraId="0E2BF7C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3" w:history="1">
        <w:r w:rsidRPr="00BD7822">
          <w:rPr>
            <w:rStyle w:val="Hyperlink"/>
          </w:rPr>
          <w:t>https://www.gov.uk/government/organisations/legal-aid-agency</w:t>
        </w:r>
      </w:hyperlink>
      <w:r w:rsidRPr="00BD7822">
        <w:rPr>
          <w:rtl/>
        </w:rPr>
        <w:t>.</w:t>
      </w:r>
    </w:p>
  </w:footnote>
  <w:footnote w:id="180">
    <w:p w14:paraId="47CC85B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4" w:history="1">
        <w:r w:rsidRPr="00BD7822">
          <w:rPr>
            <w:rStyle w:val="Hyperlink"/>
          </w:rPr>
          <w:t>http://www.slab.org.uk/index.html</w:t>
        </w:r>
      </w:hyperlink>
      <w:r w:rsidRPr="00BD7822">
        <w:rPr>
          <w:rtl/>
        </w:rPr>
        <w:t>.</w:t>
      </w:r>
    </w:p>
  </w:footnote>
  <w:footnote w:id="181">
    <w:p w14:paraId="0C33DA0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5" w:history="1">
        <w:r w:rsidRPr="00BD7822">
          <w:rPr>
            <w:rStyle w:val="Hyperlink"/>
          </w:rPr>
          <w:t>http://www.nilsc.org.uk/</w:t>
        </w:r>
      </w:hyperlink>
      <w:r w:rsidRPr="00BD7822">
        <w:rPr>
          <w:rtl/>
        </w:rPr>
        <w:t>.</w:t>
      </w:r>
    </w:p>
  </w:footnote>
  <w:footnote w:id="182">
    <w:p w14:paraId="3C40697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6" w:history="1">
        <w:r w:rsidRPr="00BD7822">
          <w:rPr>
            <w:rStyle w:val="Hyperlink"/>
          </w:rPr>
          <w:t>http://www.parliament.uk/jchr</w:t>
        </w:r>
      </w:hyperlink>
      <w:r w:rsidRPr="00BD7822">
        <w:rPr>
          <w:rtl/>
        </w:rPr>
        <w:t>.</w:t>
      </w:r>
    </w:p>
  </w:footnote>
  <w:footnote w:id="183">
    <w:p w14:paraId="0E1A6D5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7" w:history="1">
        <w:r w:rsidRPr="00BD7822">
          <w:rPr>
            <w:rStyle w:val="Hyperlink"/>
          </w:rPr>
          <w:t>http://www.childrenscommissioner.gov.uk/</w:t>
        </w:r>
      </w:hyperlink>
      <w:r w:rsidRPr="00BD7822">
        <w:rPr>
          <w:rtl/>
        </w:rPr>
        <w:t>.</w:t>
      </w:r>
    </w:p>
  </w:footnote>
  <w:footnote w:id="184">
    <w:p w14:paraId="26E1998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8" w:history="1">
        <w:r w:rsidRPr="00BD7822">
          <w:rPr>
            <w:rStyle w:val="Hyperlink"/>
          </w:rPr>
          <w:t>http://www.childcom.org.uk/</w:t>
        </w:r>
      </w:hyperlink>
      <w:r w:rsidRPr="00BD7822">
        <w:rPr>
          <w:rtl/>
        </w:rPr>
        <w:t>.</w:t>
      </w:r>
    </w:p>
  </w:footnote>
  <w:footnote w:id="185">
    <w:p w14:paraId="37CB40E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59" w:history="1">
        <w:r w:rsidRPr="00BD7822">
          <w:rPr>
            <w:rStyle w:val="Hyperlink"/>
          </w:rPr>
          <w:t>http://www.sccyp.org.uk/</w:t>
        </w:r>
      </w:hyperlink>
      <w:r w:rsidRPr="00BD7822">
        <w:rPr>
          <w:rtl/>
        </w:rPr>
        <w:t>.</w:t>
      </w:r>
    </w:p>
  </w:footnote>
  <w:footnote w:id="186">
    <w:p w14:paraId="0B85E9F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0" w:history="1">
        <w:r w:rsidRPr="00BD7822">
          <w:rPr>
            <w:rStyle w:val="Hyperlink"/>
          </w:rPr>
          <w:t>http://www.niccy.org/</w:t>
        </w:r>
      </w:hyperlink>
      <w:r w:rsidRPr="00BD7822">
        <w:rPr>
          <w:rtl/>
        </w:rPr>
        <w:t>.</w:t>
      </w:r>
    </w:p>
  </w:footnote>
  <w:footnote w:id="187">
    <w:p w14:paraId="2B6D488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1" w:history="1">
        <w:r w:rsidRPr="00BD7822">
          <w:rPr>
            <w:rStyle w:val="Hyperlink"/>
          </w:rPr>
          <w:t>http://ico.org.uk/</w:t>
        </w:r>
      </w:hyperlink>
      <w:r w:rsidRPr="00BD7822">
        <w:rPr>
          <w:rtl/>
        </w:rPr>
        <w:t>.</w:t>
      </w:r>
    </w:p>
  </w:footnote>
  <w:footnote w:id="188">
    <w:p w14:paraId="1A8330F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2" w:history="1">
        <w:r w:rsidRPr="00BD7822">
          <w:rPr>
            <w:rStyle w:val="Hyperlink"/>
          </w:rPr>
          <w:t>https://www.itspublicknowledge.info/home/ScottishInformationCommissioner.aspx</w:t>
        </w:r>
      </w:hyperlink>
      <w:r w:rsidRPr="00BD7822">
        <w:rPr>
          <w:rtl/>
        </w:rPr>
        <w:t>.</w:t>
      </w:r>
    </w:p>
  </w:footnote>
  <w:footnote w:id="189">
    <w:p w14:paraId="35F94A3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3" w:history="1">
        <w:r w:rsidRPr="00BD7822">
          <w:rPr>
            <w:rStyle w:val="Hyperlink"/>
          </w:rPr>
          <w:t>http://www.legislation.gov.uk/asp/2006/16/contents</w:t>
        </w:r>
      </w:hyperlink>
      <w:r w:rsidRPr="00BD7822">
        <w:rPr>
          <w:rtl/>
        </w:rPr>
        <w:t>.</w:t>
      </w:r>
    </w:p>
  </w:footnote>
  <w:footnote w:id="190">
    <w:p w14:paraId="37A20B4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4" w:history="1">
        <w:r w:rsidRPr="00BD7822">
          <w:rPr>
            <w:rStyle w:val="Hyperlink"/>
          </w:rPr>
          <w:t>http://www.equalityadvisoryservice.com/</w:t>
        </w:r>
      </w:hyperlink>
      <w:r w:rsidRPr="00BD7822">
        <w:rPr>
          <w:rtl/>
        </w:rPr>
        <w:t>.</w:t>
      </w:r>
    </w:p>
  </w:footnote>
  <w:footnote w:id="191">
    <w:p w14:paraId="5E98A6E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5" w:history="1">
        <w:r w:rsidRPr="00BD7822">
          <w:rPr>
            <w:rStyle w:val="Hyperlink"/>
          </w:rPr>
          <w:t>https://www.gov.uk/browse/justice/rights</w:t>
        </w:r>
      </w:hyperlink>
      <w:r w:rsidRPr="00BD7822">
        <w:rPr>
          <w:rtl/>
        </w:rPr>
        <w:t>.</w:t>
      </w:r>
    </w:p>
  </w:footnote>
  <w:footnote w:id="192">
    <w:p w14:paraId="214881A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6" w:history="1">
        <w:r w:rsidRPr="00BD7822">
          <w:rPr>
            <w:rStyle w:val="Hyperlink"/>
          </w:rPr>
          <w:t>http://www.citizensadvice.org.uk/</w:t>
        </w:r>
      </w:hyperlink>
      <w:r w:rsidRPr="00BD7822">
        <w:rPr>
          <w:rtl/>
        </w:rPr>
        <w:t>.</w:t>
      </w:r>
    </w:p>
  </w:footnote>
  <w:footnote w:id="193">
    <w:p w14:paraId="75A3B0C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7" w:history="1">
        <w:r w:rsidRPr="00BD7822">
          <w:rPr>
            <w:rStyle w:val="Hyperlink"/>
          </w:rPr>
          <w:t>http://www.lawcentres.org.uk/</w:t>
        </w:r>
      </w:hyperlink>
      <w:r w:rsidRPr="00BD7822">
        <w:rPr>
          <w:rtl/>
        </w:rPr>
        <w:t>.</w:t>
      </w:r>
    </w:p>
  </w:footnote>
  <w:footnote w:id="194">
    <w:p w14:paraId="23C271F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8" w:history="1">
        <w:r w:rsidRPr="00BD7822">
          <w:rPr>
            <w:rStyle w:val="Hyperlink"/>
          </w:rPr>
          <w:t>https://www.gov.uk/government/publications/national-curriculum-in-england-citizenship-programmes-of-study/national-curriculum-in-england-citizenship-programmes-of-study-for-key-stages-3-and-4</w:t>
        </w:r>
      </w:hyperlink>
      <w:r w:rsidRPr="00BD7822">
        <w:rPr>
          <w:rtl/>
        </w:rPr>
        <w:t>.</w:t>
      </w:r>
    </w:p>
  </w:footnote>
  <w:footnote w:id="195">
    <w:p w14:paraId="759B650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69" w:history="1">
        <w:r w:rsidRPr="00BD7822">
          <w:rPr>
            <w:rStyle w:val="Hyperlink"/>
          </w:rPr>
          <w:t>http://www.judiciary.gov.uk/publications/equal-treatment-bench-book/</w:t>
        </w:r>
      </w:hyperlink>
      <w:r w:rsidRPr="00BD7822">
        <w:rPr>
          <w:rtl/>
        </w:rPr>
        <w:t>.</w:t>
      </w:r>
    </w:p>
  </w:footnote>
  <w:footnote w:id="196">
    <w:p w14:paraId="657EA16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0" w:history="1">
        <w:r w:rsidRPr="00BD7822">
          <w:rPr>
            <w:rStyle w:val="Hyperlink"/>
          </w:rPr>
          <w:t>http://www.scotland-judiciary.org.uk/60/0/JSC-Publications</w:t>
        </w:r>
      </w:hyperlink>
      <w:r w:rsidRPr="00BD7822">
        <w:rPr>
          <w:rtl/>
        </w:rPr>
        <w:t>.</w:t>
      </w:r>
    </w:p>
  </w:footnote>
  <w:footnote w:id="197">
    <w:p w14:paraId="460264D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1" w:history="1">
        <w:r w:rsidRPr="00BD7822">
          <w:rPr>
            <w:rStyle w:val="Hyperlink"/>
          </w:rPr>
          <w:t>http://www.jsbni.com/Publications/Pages/default.aspx</w:t>
        </w:r>
      </w:hyperlink>
      <w:r w:rsidRPr="00BD7822">
        <w:rPr>
          <w:rtl/>
        </w:rPr>
        <w:t>.</w:t>
      </w:r>
    </w:p>
  </w:footnote>
  <w:footnote w:id="198">
    <w:p w14:paraId="64E3CBC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2" w:history="1">
        <w:r w:rsidRPr="00BD7822">
          <w:rPr>
            <w:rStyle w:val="Hyperlink"/>
          </w:rPr>
          <w:t>https://www.gov.uk/uk-treaties</w:t>
        </w:r>
      </w:hyperlink>
      <w:r w:rsidRPr="00BD7822">
        <w:rPr>
          <w:rtl/>
        </w:rPr>
        <w:t>.</w:t>
      </w:r>
    </w:p>
  </w:footnote>
  <w:footnote w:id="199">
    <w:p w14:paraId="120D36D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3" w:history="1">
        <w:r w:rsidRPr="00BD7822">
          <w:rPr>
            <w:rStyle w:val="Hyperlink"/>
          </w:rPr>
          <w:t>http://www.legislation.gov.uk/mwa/2011/2/contents</w:t>
        </w:r>
      </w:hyperlink>
      <w:r w:rsidRPr="00BD7822">
        <w:rPr>
          <w:rtl/>
        </w:rPr>
        <w:t>.</w:t>
      </w:r>
    </w:p>
  </w:footnote>
  <w:footnote w:id="200">
    <w:p w14:paraId="1FFD634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4" w:history="1">
        <w:r w:rsidRPr="00BD7822">
          <w:rPr>
            <w:rStyle w:val="Hyperlink"/>
          </w:rPr>
          <w:t>https://www.gov.uk/government/policies/promoting-human-rights-internationally</w:t>
        </w:r>
      </w:hyperlink>
      <w:r w:rsidRPr="00BD7822">
        <w:rPr>
          <w:rtl/>
        </w:rPr>
        <w:t>.</w:t>
      </w:r>
    </w:p>
  </w:footnote>
  <w:footnote w:id="201">
    <w:p w14:paraId="56D70CE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5" w:history="1">
        <w:r w:rsidRPr="00BD7822">
          <w:rPr>
            <w:rStyle w:val="Hyperlink"/>
          </w:rPr>
          <w:t>https://www.gov.uk/government/publications/human-rights-and-democracy-report-2019</w:t>
        </w:r>
      </w:hyperlink>
      <w:r w:rsidRPr="00BD7822">
        <w:rPr>
          <w:rtl/>
        </w:rPr>
        <w:t>.</w:t>
      </w:r>
    </w:p>
  </w:footnote>
  <w:footnote w:id="202">
    <w:p w14:paraId="131635B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6" w:history="1">
        <w:r w:rsidRPr="00BD7822">
          <w:rPr>
            <w:rStyle w:val="Hyperlink"/>
          </w:rPr>
          <w:t>https://www.gov.uk/government/publications/bhr-action-plan</w:t>
        </w:r>
      </w:hyperlink>
      <w:r w:rsidRPr="00BD7822">
        <w:rPr>
          <w:rtl/>
        </w:rPr>
        <w:t>.</w:t>
      </w:r>
    </w:p>
  </w:footnote>
  <w:footnote w:id="203">
    <w:p w14:paraId="56183BE5" w14:textId="6D85C6DE"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spacing w:val="-4"/>
          <w:rtl/>
        </w:rPr>
        <w:t xml:space="preserve">تتاح الإرشادات للإدارات بشأن توسيع نطاق الصكوك الدولية لتشمل الأقاليم البريطانية فيما وراء البحار على الموقع: </w:t>
      </w:r>
      <w:hyperlink r:id="rId177" w:history="1">
        <w:r w:rsidR="0080537E" w:rsidRPr="00BD7822">
          <w:rPr>
            <w:rStyle w:val="Hyperlink"/>
            <w:spacing w:val="-4"/>
          </w:rPr>
          <w:t>https://www.gov.uk/government/publications/guidelines-on-extension-of-treaties-to-overseas-territories</w:t>
        </w:r>
      </w:hyperlink>
      <w:r w:rsidRPr="00BD7822">
        <w:rPr>
          <w:rFonts w:eastAsia="SimSun" w:hint="cs"/>
          <w:spacing w:val="-4"/>
          <w:rtl/>
        </w:rPr>
        <w:t>؛</w:t>
      </w:r>
      <w:r w:rsidRPr="00BD7822">
        <w:rPr>
          <w:rFonts w:hint="cs"/>
          <w:spacing w:val="-4"/>
          <w:rtl/>
        </w:rPr>
        <w:t xml:space="preserve"> وتتاح الإرشادات للإدارات بشأن توسيع نطاق الصكوك الدولية لتشمل الأقاليم التابعة للتاج على الموقع: </w:t>
      </w:r>
      <w:hyperlink r:id="rId178" w:history="1">
        <w:r w:rsidR="0080537E" w:rsidRPr="00BD7822">
          <w:rPr>
            <w:rStyle w:val="Hyperlink"/>
            <w:spacing w:val="-4"/>
          </w:rPr>
          <w:t>https://www.gov.uk/</w:t>
        </w:r>
        <w:r w:rsidR="0080537E" w:rsidRPr="00BD7822">
          <w:rPr>
            <w:rStyle w:val="Hyperlink"/>
            <w:spacing w:val="-4"/>
          </w:rPr>
          <w:br/>
          <w:t>government/publications/crown-dependencies-jersey-guernsey-and-the-isle-of-man</w:t>
        </w:r>
      </w:hyperlink>
      <w:r w:rsidRPr="00BD7822">
        <w:rPr>
          <w:rFonts w:hint="cs"/>
          <w:spacing w:val="-4"/>
          <w:rtl/>
        </w:rPr>
        <w:t>.</w:t>
      </w:r>
    </w:p>
  </w:footnote>
  <w:footnote w:id="204">
    <w:p w14:paraId="7ABEAEC8"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79" w:history="1">
        <w:r w:rsidRPr="00BD7822">
          <w:rPr>
            <w:rStyle w:val="Hyperlink"/>
          </w:rPr>
          <w:t>http://www.justice.gov.uk/human-rights/universal-periodic-review</w:t>
        </w:r>
      </w:hyperlink>
      <w:r w:rsidRPr="00BD7822">
        <w:rPr>
          <w:rtl/>
        </w:rPr>
        <w:t>.</w:t>
      </w:r>
    </w:p>
  </w:footnote>
  <w:footnote w:id="205">
    <w:p w14:paraId="004432C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0" w:history="1">
        <w:r w:rsidRPr="00BD7822">
          <w:rPr>
            <w:rStyle w:val="Hyperlink"/>
          </w:rPr>
          <w:t>http://www.justice.gov.uk/human-rights/periodic-reports-to-the-united-nations</w:t>
        </w:r>
      </w:hyperlink>
      <w:r w:rsidRPr="00BD7822">
        <w:rPr>
          <w:rtl/>
        </w:rPr>
        <w:t>.</w:t>
      </w:r>
    </w:p>
  </w:footnote>
  <w:footnote w:id="206">
    <w:p w14:paraId="535BF8F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1" w:history="1">
        <w:r w:rsidRPr="00BD7822">
          <w:rPr>
            <w:rStyle w:val="Hyperlink"/>
          </w:rPr>
          <w:t>http://www.justice.gov.uk/human-rights/periodic-reports-to-the-united-nations</w:t>
        </w:r>
      </w:hyperlink>
      <w:r w:rsidRPr="00BD7822">
        <w:rPr>
          <w:rtl/>
        </w:rPr>
        <w:t>.</w:t>
      </w:r>
    </w:p>
  </w:footnote>
  <w:footnote w:id="207">
    <w:p w14:paraId="0A6A25C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2" w:history="1">
        <w:r w:rsidRPr="00BD7822">
          <w:rPr>
            <w:rStyle w:val="Hyperlink"/>
          </w:rPr>
          <w:t>http://www.justice.gov.uk/human-rights/periodic-reports-to-the-united-nations</w:t>
        </w:r>
      </w:hyperlink>
      <w:r w:rsidRPr="00BD7822">
        <w:rPr>
          <w:rtl/>
        </w:rPr>
        <w:t>.</w:t>
      </w:r>
    </w:p>
  </w:footnote>
  <w:footnote w:id="208">
    <w:p w14:paraId="2538C8B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3" w:history="1">
        <w:r w:rsidRPr="00BD7822">
          <w:rPr>
            <w:rStyle w:val="Hyperlink"/>
          </w:rPr>
          <w:t>https://www.gov.uk/government/news/the-cedaw-committees-observations-and-recommendations-published</w:t>
        </w:r>
      </w:hyperlink>
      <w:r w:rsidRPr="00BD7822">
        <w:rPr>
          <w:rtl/>
        </w:rPr>
        <w:t>.</w:t>
      </w:r>
    </w:p>
  </w:footnote>
  <w:footnote w:id="209">
    <w:p w14:paraId="0E790ADF" w14:textId="77777777" w:rsidR="00494AE4" w:rsidRPr="00BD7822" w:rsidRDefault="00494AE4" w:rsidP="0080537E">
      <w:pPr>
        <w:pStyle w:val="FootnoteText1"/>
        <w:jc w:val="left"/>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4" w:history="1">
        <w:r w:rsidRPr="00BD7822">
          <w:rPr>
            <w:rStyle w:val="Hyperlink"/>
          </w:rPr>
          <w:t>http://www.justice.gov.uk/human-rights/periodic-reports-to-the-united-nations</w:t>
        </w:r>
      </w:hyperlink>
      <w:r w:rsidRPr="00BD7822">
        <w:t xml:space="preserve"> and </w:t>
      </w:r>
      <w:hyperlink r:id="rId185" w:history="1">
        <w:r w:rsidRPr="00BD7822">
          <w:rPr>
            <w:rStyle w:val="Hyperlink"/>
          </w:rPr>
          <w:t>http://www.justice.gov.uk/human-rights/international-monitoring-of-places-of-detention</w:t>
        </w:r>
      </w:hyperlink>
      <w:r w:rsidRPr="00BD7822">
        <w:rPr>
          <w:rtl/>
        </w:rPr>
        <w:t>.</w:t>
      </w:r>
    </w:p>
  </w:footnote>
  <w:footnote w:id="210">
    <w:p w14:paraId="54A2C03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6" w:history="1">
        <w:r w:rsidRPr="00BD7822">
          <w:rPr>
            <w:rStyle w:val="Hyperlink"/>
          </w:rPr>
          <w:t>http://www.education.gov.uk/childrenandyoungpeople/healthandwellbeing/b0074766/uncrc</w:t>
        </w:r>
      </w:hyperlink>
      <w:r w:rsidRPr="00BD7822">
        <w:rPr>
          <w:rtl/>
        </w:rPr>
        <w:t>.</w:t>
      </w:r>
    </w:p>
  </w:footnote>
  <w:footnote w:id="211">
    <w:p w14:paraId="02B3CD9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7" w:history="1">
        <w:r w:rsidRPr="00BD7822">
          <w:rPr>
            <w:rStyle w:val="Hyperlink"/>
          </w:rPr>
          <w:t>https://www.gov.uk/equality-act-2010-guidance</w:t>
        </w:r>
      </w:hyperlink>
      <w:r w:rsidRPr="00BD7822">
        <w:rPr>
          <w:rtl/>
        </w:rPr>
        <w:t>.</w:t>
      </w:r>
    </w:p>
  </w:footnote>
  <w:footnote w:id="212">
    <w:p w14:paraId="46E3507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8" w:history="1">
        <w:r w:rsidRPr="00BD7822">
          <w:rPr>
            <w:rStyle w:val="Hyperlink"/>
          </w:rPr>
          <w:t>http://www.legislation.gov.uk/wsi/2011/1064/contents/made</w:t>
        </w:r>
      </w:hyperlink>
      <w:r w:rsidRPr="00BD7822">
        <w:rPr>
          <w:rtl/>
        </w:rPr>
        <w:t>.</w:t>
      </w:r>
    </w:p>
  </w:footnote>
  <w:footnote w:id="213">
    <w:p w14:paraId="1992653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89" w:history="1">
        <w:r w:rsidRPr="00BD7822">
          <w:rPr>
            <w:rStyle w:val="Hyperlink"/>
          </w:rPr>
          <w:t>http://www.legislation.gov.uk/ssi/2012/162/contents/made</w:t>
        </w:r>
      </w:hyperlink>
      <w:r w:rsidRPr="00BD7822">
        <w:rPr>
          <w:rtl/>
        </w:rPr>
        <w:t>.</w:t>
      </w:r>
    </w:p>
  </w:footnote>
  <w:footnote w:id="214">
    <w:p w14:paraId="2042794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0" w:history="1">
        <w:r w:rsidRPr="00BD7822">
          <w:rPr>
            <w:rStyle w:val="Hyperlink"/>
          </w:rPr>
          <w:t>https://www.legislation.gov.uk/ssi/2015/254/contents/made</w:t>
        </w:r>
      </w:hyperlink>
      <w:r w:rsidRPr="00BD7822">
        <w:rPr>
          <w:rtl/>
        </w:rPr>
        <w:t>.</w:t>
      </w:r>
    </w:p>
  </w:footnote>
  <w:footnote w:id="215">
    <w:p w14:paraId="3133616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1" w:history="1">
        <w:r w:rsidRPr="00BD7822">
          <w:rPr>
            <w:rStyle w:val="Hyperlink"/>
          </w:rPr>
          <w:t>https://www.legislation.gov.uk/ssi/2016/159/contents/made</w:t>
        </w:r>
      </w:hyperlink>
      <w:r w:rsidRPr="00BD7822">
        <w:rPr>
          <w:rtl/>
        </w:rPr>
        <w:t>.</w:t>
      </w:r>
    </w:p>
  </w:footnote>
  <w:footnote w:id="216">
    <w:p w14:paraId="1B2C604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2" w:history="1">
        <w:r w:rsidRPr="00BD7822">
          <w:rPr>
            <w:rStyle w:val="Hyperlink"/>
          </w:rPr>
          <w:t>http://www.legislation.gov.uk/ukpga/2004/33/contents</w:t>
        </w:r>
      </w:hyperlink>
      <w:r w:rsidRPr="00BD7822">
        <w:rPr>
          <w:rtl/>
        </w:rPr>
        <w:t>.</w:t>
      </w:r>
    </w:p>
  </w:footnote>
  <w:footnote w:id="217">
    <w:p w14:paraId="1076053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3" w:history="1">
        <w:r w:rsidRPr="00BD7822">
          <w:rPr>
            <w:rStyle w:val="Hyperlink"/>
          </w:rPr>
          <w:t>http://www.legislation.gov.uk/ukpga/2013/30/contents</w:t>
        </w:r>
      </w:hyperlink>
      <w:r w:rsidRPr="00BD7822">
        <w:rPr>
          <w:rtl/>
        </w:rPr>
        <w:t>.</w:t>
      </w:r>
    </w:p>
  </w:footnote>
  <w:footnote w:id="218">
    <w:p w14:paraId="1AB2FA2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4" w:history="1">
        <w:r w:rsidRPr="00BD7822">
          <w:rPr>
            <w:rStyle w:val="Hyperlink"/>
          </w:rPr>
          <w:t>http://www.legislation.gov.uk/asp/2014/5/contents/enacted</w:t>
        </w:r>
      </w:hyperlink>
      <w:r w:rsidRPr="00BD7822">
        <w:rPr>
          <w:rtl/>
        </w:rPr>
        <w:t>.</w:t>
      </w:r>
    </w:p>
  </w:footnote>
  <w:footnote w:id="219">
    <w:p w14:paraId="5F32941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5" w:history="1">
        <w:r w:rsidRPr="00BD7822">
          <w:rPr>
            <w:rStyle w:val="Hyperlink"/>
          </w:rPr>
          <w:t>https://www.gov.uk/government/publications/overseas-territories-governments-on-the-web/overseas-territories-governments-on-social-media</w:t>
        </w:r>
      </w:hyperlink>
      <w:r w:rsidRPr="00BD7822">
        <w:rPr>
          <w:rtl/>
        </w:rPr>
        <w:t>.</w:t>
      </w:r>
    </w:p>
  </w:footnote>
  <w:footnote w:id="220">
    <w:p w14:paraId="3267F080" w14:textId="402B302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6" w:history="1">
        <w:r w:rsidRPr="00BD7822">
          <w:rPr>
            <w:rStyle w:val="Hyperlink"/>
          </w:rPr>
          <w:t>http://www.gov.ai/</w:t>
        </w:r>
      </w:hyperlink>
      <w:r w:rsidRPr="00BD7822">
        <w:t xml:space="preserve">; </w:t>
      </w:r>
      <w:hyperlink r:id="rId197" w:history="1">
        <w:r w:rsidRPr="00BD7822">
          <w:rPr>
            <w:rStyle w:val="Hyperlink"/>
          </w:rPr>
          <w:t>https://www.gov.uk/government/world/anguilla</w:t>
        </w:r>
      </w:hyperlink>
      <w:r w:rsidRPr="00BD7822">
        <w:rPr>
          <w:rtl/>
        </w:rPr>
        <w:t>.</w:t>
      </w:r>
    </w:p>
  </w:footnote>
  <w:footnote w:id="221">
    <w:p w14:paraId="5882368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198" w:history="1">
        <w:r w:rsidRPr="00BD7822">
          <w:rPr>
            <w:rStyle w:val="Hyperlink"/>
          </w:rPr>
          <w:t>http://www.gov.ai/statistics/</w:t>
        </w:r>
      </w:hyperlink>
      <w:r w:rsidRPr="00BD7822">
        <w:rPr>
          <w:rtl/>
        </w:rPr>
        <w:t>.</w:t>
      </w:r>
    </w:p>
  </w:footnote>
  <w:footnote w:id="222">
    <w:p w14:paraId="1673366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spacing w:val="-4"/>
          <w:rtl/>
        </w:rPr>
        <w:t xml:space="preserve">وزارة الخارجية والكومنولث، </w:t>
      </w:r>
      <w:hyperlink r:id="rId199" w:history="1">
        <w:r w:rsidRPr="00BD7822">
          <w:rPr>
            <w:rStyle w:val="Hyperlink"/>
            <w:rFonts w:hint="cs"/>
            <w:rtl/>
          </w:rPr>
          <w:t>أقاليم ما وراء البحار - الأمن والنجاح والاستدامة</w:t>
        </w:r>
      </w:hyperlink>
      <w:r w:rsidRPr="00BD7822">
        <w:rPr>
          <w:rFonts w:hint="cs"/>
          <w:spacing w:val="-4"/>
          <w:rtl/>
        </w:rPr>
        <w:t>، حزيران/يونيه 2012، صفحة 91.</w:t>
      </w:r>
    </w:p>
  </w:footnote>
  <w:footnote w:id="223">
    <w:p w14:paraId="5CFA16C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0" w:history="1">
        <w:r w:rsidRPr="00BD7822">
          <w:rPr>
            <w:rStyle w:val="Hyperlink"/>
          </w:rPr>
          <w:t>http://www.gov.ai/department.php?id=4&amp;dept=26</w:t>
        </w:r>
      </w:hyperlink>
      <w:r w:rsidRPr="00BD7822">
        <w:rPr>
          <w:rtl/>
        </w:rPr>
        <w:t>.</w:t>
      </w:r>
    </w:p>
  </w:footnote>
  <w:footnote w:id="224">
    <w:p w14:paraId="0149C87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1" w:history="1">
        <w:r w:rsidRPr="00BD7822">
          <w:rPr>
            <w:rStyle w:val="Hyperlink"/>
          </w:rPr>
          <w:t>http://www.gov.ai/directory.php</w:t>
        </w:r>
      </w:hyperlink>
      <w:r w:rsidRPr="00BD7822">
        <w:rPr>
          <w:rtl/>
        </w:rPr>
        <w:t>.</w:t>
      </w:r>
    </w:p>
  </w:footnote>
  <w:footnote w:id="225">
    <w:p w14:paraId="069B1DE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2" w:history="1">
        <w:r w:rsidRPr="00BD7822">
          <w:rPr>
            <w:rStyle w:val="Hyperlink"/>
          </w:rPr>
          <w:t>http://www.gov.ai/judicial.php</w:t>
        </w:r>
      </w:hyperlink>
      <w:r w:rsidRPr="00BD7822">
        <w:rPr>
          <w:rtl/>
        </w:rPr>
        <w:t>.</w:t>
      </w:r>
    </w:p>
  </w:footnote>
  <w:footnote w:id="226">
    <w:p w14:paraId="07D5BBC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3" w:history="1">
        <w:r w:rsidRPr="00BD7822">
          <w:rPr>
            <w:rStyle w:val="Hyperlink"/>
          </w:rPr>
          <w:t>http://www.legislation.gov.uk/uksi/1982/334/contents/made</w:t>
        </w:r>
      </w:hyperlink>
      <w:r w:rsidRPr="00BD7822">
        <w:rPr>
          <w:rtl/>
        </w:rPr>
        <w:t>.</w:t>
      </w:r>
    </w:p>
  </w:footnote>
  <w:footnote w:id="227">
    <w:p w14:paraId="2D92408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4" w:history="1">
        <w:r w:rsidRPr="00BD7822">
          <w:rPr>
            <w:rStyle w:val="Hyperlink"/>
          </w:rPr>
          <w:t>http://www.legislation.gov.uk/uksi/1990/587/contents/made</w:t>
        </w:r>
      </w:hyperlink>
      <w:r w:rsidRPr="00BD7822">
        <w:rPr>
          <w:rtl/>
        </w:rPr>
        <w:t>.</w:t>
      </w:r>
    </w:p>
  </w:footnote>
  <w:footnote w:id="228">
    <w:p w14:paraId="5EC27D8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5" w:history="1">
        <w:r w:rsidRPr="00BD7822">
          <w:rPr>
            <w:rStyle w:val="Hyperlink"/>
          </w:rPr>
          <w:t>http://www.gov.bm/</w:t>
        </w:r>
      </w:hyperlink>
      <w:r w:rsidRPr="00BD7822">
        <w:t xml:space="preserve"> ; </w:t>
      </w:r>
      <w:hyperlink r:id="rId206" w:history="1">
        <w:r w:rsidRPr="00BD7822">
          <w:rPr>
            <w:rStyle w:val="Hyperlink"/>
          </w:rPr>
          <w:t>https://www.gov.uk/government/world/bermuda</w:t>
        </w:r>
      </w:hyperlink>
      <w:r w:rsidRPr="00BD7822">
        <w:rPr>
          <w:rtl/>
        </w:rPr>
        <w:t>.</w:t>
      </w:r>
    </w:p>
  </w:footnote>
  <w:footnote w:id="229">
    <w:p w14:paraId="6657559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7" w:history="1">
        <w:r w:rsidRPr="00BD7822">
          <w:rPr>
            <w:rStyle w:val="Hyperlink"/>
          </w:rPr>
          <w:t>http://www.legislation.gov.uk/ukpga/1967/63/contents</w:t>
        </w:r>
      </w:hyperlink>
      <w:r w:rsidRPr="00BD7822">
        <w:rPr>
          <w:rtl/>
        </w:rPr>
        <w:t>.</w:t>
      </w:r>
    </w:p>
  </w:footnote>
  <w:footnote w:id="230">
    <w:p w14:paraId="3F7BC47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8" w:history="1">
        <w:r w:rsidRPr="00BD7822">
          <w:rPr>
            <w:rStyle w:val="Hyperlink"/>
          </w:rPr>
          <w:t>http://www.legislation.gov.uk/uksi/1973/233/contents/made</w:t>
        </w:r>
      </w:hyperlink>
      <w:r w:rsidRPr="00BD7822">
        <w:rPr>
          <w:rtl/>
        </w:rPr>
        <w:t>.</w:t>
      </w:r>
    </w:p>
  </w:footnote>
  <w:footnote w:id="231">
    <w:p w14:paraId="0A2C188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09" w:history="1">
        <w:r w:rsidRPr="00BD7822">
          <w:rPr>
            <w:rStyle w:val="Hyperlink"/>
          </w:rPr>
          <w:t>http://www.legislation.gov.uk/uksi/1979/452/contents/made</w:t>
        </w:r>
      </w:hyperlink>
      <w:r w:rsidRPr="00BD7822">
        <w:t xml:space="preserve">; </w:t>
      </w:r>
      <w:hyperlink r:id="rId210" w:history="1">
        <w:r w:rsidRPr="00BD7822">
          <w:rPr>
            <w:rStyle w:val="Hyperlink"/>
          </w:rPr>
          <w:t>http://www.legislation.gov.uk/uksi/1979/1310/contents/made</w:t>
        </w:r>
      </w:hyperlink>
      <w:r w:rsidRPr="00BD7822">
        <w:rPr>
          <w:rtl/>
        </w:rPr>
        <w:t>.</w:t>
      </w:r>
    </w:p>
  </w:footnote>
  <w:footnote w:id="232">
    <w:p w14:paraId="58B638C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1" w:history="1">
        <w:r w:rsidRPr="00BD7822">
          <w:rPr>
            <w:rStyle w:val="Hyperlink"/>
          </w:rPr>
          <w:t>http://www.legislation.gov.uk/uksi/1989/151/contents/made</w:t>
        </w:r>
      </w:hyperlink>
      <w:r w:rsidRPr="00BD7822">
        <w:rPr>
          <w:rtl/>
        </w:rPr>
        <w:t>.</w:t>
      </w:r>
    </w:p>
  </w:footnote>
  <w:footnote w:id="233">
    <w:p w14:paraId="61AD118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2" w:history="1">
        <w:r w:rsidRPr="00BD7822">
          <w:rPr>
            <w:rStyle w:val="Hyperlink"/>
          </w:rPr>
          <w:t>http://www.legislation.gov.uk/uksi/2001/2579/contents/made</w:t>
        </w:r>
      </w:hyperlink>
      <w:r w:rsidRPr="00BD7822">
        <w:rPr>
          <w:rtl/>
        </w:rPr>
        <w:t>.</w:t>
      </w:r>
    </w:p>
  </w:footnote>
  <w:footnote w:id="234">
    <w:p w14:paraId="4786E6E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3" w:history="1">
        <w:r w:rsidRPr="00BD7822">
          <w:rPr>
            <w:rStyle w:val="Hyperlink"/>
          </w:rPr>
          <w:t>http://www.legislation.gov.uk/uksi/2003/456/contents/made</w:t>
        </w:r>
      </w:hyperlink>
      <w:r w:rsidRPr="00BD7822">
        <w:rPr>
          <w:rtl/>
        </w:rPr>
        <w:t>.</w:t>
      </w:r>
    </w:p>
  </w:footnote>
  <w:footnote w:id="235">
    <w:p w14:paraId="1D53F00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Fonts w:hint="cs"/>
          <w:rtl/>
        </w:rPr>
        <w:t>قانون حقوق الإنسان لعام 1981 (نسخة موحدة)</w:t>
      </w:r>
      <w:r w:rsidRPr="00BD7822">
        <w:rPr>
          <w:rFonts w:hint="cs"/>
          <w:rtl/>
        </w:rPr>
        <w:t>.</w:t>
      </w:r>
    </w:p>
  </w:footnote>
  <w:footnote w:id="236">
    <w:p w14:paraId="382AF48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Fonts w:hint="cs"/>
          <w:rtl/>
        </w:rPr>
        <w:t>الموقع الإلكتروني للجنة حقوق الإنسان</w:t>
      </w:r>
      <w:r w:rsidRPr="00BD7822">
        <w:rPr>
          <w:rFonts w:hint="cs"/>
          <w:rtl/>
        </w:rPr>
        <w:t>.</w:t>
      </w:r>
    </w:p>
  </w:footnote>
  <w:footnote w:id="237">
    <w:p w14:paraId="62F4F38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4" w:history="1">
        <w:r w:rsidRPr="00BD7822">
          <w:rPr>
            <w:rStyle w:val="Hyperlink"/>
          </w:rPr>
          <w:t>http://www.gov.ky/</w:t>
        </w:r>
      </w:hyperlink>
      <w:r w:rsidRPr="00BD7822">
        <w:t xml:space="preserve">; </w:t>
      </w:r>
      <w:hyperlink r:id="rId215" w:history="1">
        <w:r w:rsidRPr="00BD7822">
          <w:rPr>
            <w:rStyle w:val="Hyperlink"/>
          </w:rPr>
          <w:t>https://www.gov.uk/government/world/cayman-islands</w:t>
        </w:r>
      </w:hyperlink>
      <w:r w:rsidRPr="00BD7822">
        <w:rPr>
          <w:rtl/>
        </w:rPr>
        <w:t>.</w:t>
      </w:r>
    </w:p>
  </w:footnote>
  <w:footnote w:id="238">
    <w:p w14:paraId="6A2E88B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6" w:history="1">
        <w:r w:rsidRPr="00BD7822">
          <w:rPr>
            <w:rStyle w:val="Hyperlink"/>
          </w:rPr>
          <w:t>http://www.knowyourconstitution.ky/</w:t>
        </w:r>
      </w:hyperlink>
      <w:r w:rsidRPr="00BD7822">
        <w:rPr>
          <w:rtl/>
        </w:rPr>
        <w:t>.</w:t>
      </w:r>
    </w:p>
  </w:footnote>
  <w:footnote w:id="239">
    <w:p w14:paraId="16406B3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7" w:history="1">
        <w:r w:rsidRPr="00BD7822">
          <w:rPr>
            <w:rStyle w:val="Hyperlink"/>
          </w:rPr>
          <w:t>http://www.legislation.gov.uk/uksi/2009/1379/schedule/2/made</w:t>
        </w:r>
      </w:hyperlink>
      <w:r w:rsidRPr="00BD7822">
        <w:rPr>
          <w:rtl/>
        </w:rPr>
        <w:t>.</w:t>
      </w:r>
    </w:p>
  </w:footnote>
  <w:footnote w:id="240">
    <w:p w14:paraId="405DEB6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8" w:history="1">
        <w:r w:rsidRPr="00BD7822">
          <w:rPr>
            <w:rStyle w:val="Hyperlink"/>
          </w:rPr>
          <w:t>http://www.legislativeassembly.ky/</w:t>
        </w:r>
      </w:hyperlink>
      <w:r w:rsidRPr="00BD7822">
        <w:rPr>
          <w:rtl/>
        </w:rPr>
        <w:t>.</w:t>
      </w:r>
    </w:p>
  </w:footnote>
  <w:footnote w:id="241">
    <w:p w14:paraId="6E1DBB9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19" w:history="1">
        <w:r w:rsidRPr="00BD7822">
          <w:rPr>
            <w:rStyle w:val="Hyperlink"/>
          </w:rPr>
          <w:t>http://www.judicial.ky/</w:t>
        </w:r>
      </w:hyperlink>
      <w:r w:rsidRPr="00BD7822">
        <w:rPr>
          <w:rtl/>
        </w:rPr>
        <w:t>.</w:t>
      </w:r>
    </w:p>
  </w:footnote>
  <w:footnote w:id="242">
    <w:p w14:paraId="05B3826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20" w:history="1">
        <w:r w:rsidRPr="00BD7822">
          <w:rPr>
            <w:rStyle w:val="Hyperlink"/>
          </w:rPr>
          <w:t>http://www.humanrightscommission.ky</w:t>
        </w:r>
      </w:hyperlink>
      <w:r w:rsidRPr="00BD7822">
        <w:rPr>
          <w:rtl/>
        </w:rPr>
        <w:t>.</w:t>
      </w:r>
    </w:p>
  </w:footnote>
  <w:footnote w:id="243">
    <w:p w14:paraId="529D7EF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21" w:history="1">
        <w:r w:rsidRPr="00BD7822">
          <w:rPr>
            <w:rStyle w:val="Hyperlink"/>
          </w:rPr>
          <w:t>http://www.falklands.gov.fk/</w:t>
        </w:r>
      </w:hyperlink>
      <w:r w:rsidRPr="00BD7822">
        <w:t xml:space="preserve">; </w:t>
      </w:r>
      <w:hyperlink r:id="rId222" w:history="1">
        <w:r w:rsidRPr="00BD7822">
          <w:rPr>
            <w:rStyle w:val="Hyperlink"/>
          </w:rPr>
          <w:t>https://www.gov.uk/government/world/falkland-islands</w:t>
        </w:r>
      </w:hyperlink>
      <w:r w:rsidRPr="00BD7822">
        <w:rPr>
          <w:rtl/>
        </w:rPr>
        <w:t>.</w:t>
      </w:r>
    </w:p>
  </w:footnote>
  <w:footnote w:id="244">
    <w:p w14:paraId="7F1C4DE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انظر أيضاً حكومة جزر فوكلاند، التعداد السكاني لجزر فوكلاند</w:t>
      </w:r>
      <w:r w:rsidRPr="00BD7822">
        <w:rPr>
          <w:rFonts w:hint="cs"/>
          <w:rtl/>
        </w:rPr>
        <w:t xml:space="preserve"> لعام 2016 تموز/يوليه 2017</w:t>
      </w:r>
      <w:r w:rsidRPr="00BD7822">
        <w:rPr>
          <w:rtl/>
        </w:rPr>
        <w:t xml:space="preserve"> (</w:t>
      </w:r>
      <w:r w:rsidRPr="00BD7822">
        <w:rPr>
          <w:rFonts w:hint="cs"/>
          <w:rtl/>
        </w:rPr>
        <w:t>متاح</w:t>
      </w:r>
      <w:r w:rsidRPr="00BD7822">
        <w:rPr>
          <w:rtl/>
        </w:rPr>
        <w:t xml:space="preserve"> على الموقع</w:t>
      </w:r>
      <w:r w:rsidRPr="00BD7822">
        <w:rPr>
          <w:rFonts w:hint="cs"/>
          <w:rtl/>
        </w:rPr>
        <w:t xml:space="preserve"> </w:t>
      </w:r>
      <w:hyperlink r:id="rId223" w:history="1">
        <w:r w:rsidRPr="00BD7822">
          <w:rPr>
            <w:rStyle w:val="Hyperlink"/>
          </w:rPr>
          <w:t>https://www.fig.gov.fk/policy/component/jdownloads/?task=download.send&amp;id=62&amp;catid=4&amp;m=0&amp;Itemid=101</w:t>
        </w:r>
      </w:hyperlink>
      <w:r w:rsidRPr="00BD7822">
        <w:rPr>
          <w:rFonts w:hint="cs"/>
          <w:rtl/>
        </w:rPr>
        <w:t>).</w:t>
      </w:r>
    </w:p>
  </w:footnote>
  <w:footnote w:id="245">
    <w:p w14:paraId="7BE65D8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عدد السكان الذين تم تعدادهم في التعداد بحكم القانون، باستثناء السكان المدنيين في قاعدة ماونت بليزانت العسكرية.</w:t>
      </w:r>
    </w:p>
  </w:footnote>
  <w:footnote w:id="246">
    <w:p w14:paraId="4F9EFB8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FootnoteReference"/>
          <w:rFonts w:cs="Simplified Arabic"/>
          <w:szCs w:val="18"/>
          <w:vertAlign w:val="baseline"/>
          <w:rtl/>
        </w:rPr>
        <w:t>متوسط معدل النمو السنوي للفترة 2012-2016. باستثناء السكان المدنيين في قاعدة ماونت بليزانت العسكرية.</w:t>
      </w:r>
    </w:p>
  </w:footnote>
  <w:footnote w:id="247">
    <w:p w14:paraId="212545A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FootnoteReference"/>
          <w:rFonts w:cs="Simplified Arabic"/>
          <w:szCs w:val="18"/>
          <w:vertAlign w:val="baseline"/>
          <w:rtl/>
        </w:rPr>
        <w:t>باستثناء السكان المدنيين في قاعدة ماونت بليزانت العسكرية.</w:t>
      </w:r>
    </w:p>
  </w:footnote>
  <w:footnote w:id="248">
    <w:p w14:paraId="2DED49E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FootnoteReference"/>
          <w:rFonts w:cs="Simplified Arabic"/>
          <w:szCs w:val="18"/>
          <w:vertAlign w:val="baseline"/>
          <w:rtl/>
        </w:rPr>
        <w:t>باستثناء السكان المدنيين في قاعدة ماونت بليزانت العسكرية.</w:t>
      </w:r>
      <w:r w:rsidRPr="00BD7822">
        <w:rPr>
          <w:rFonts w:hint="cs"/>
          <w:rtl/>
        </w:rPr>
        <w:t xml:space="preserve"> </w:t>
      </w:r>
      <w:r w:rsidRPr="00BD7822">
        <w:rPr>
          <w:rtl/>
        </w:rPr>
        <w:t>في التعداد السكاني لعام 201</w:t>
      </w:r>
      <w:r w:rsidRPr="00BD7822">
        <w:rPr>
          <w:rFonts w:hint="cs"/>
          <w:rtl/>
        </w:rPr>
        <w:t>6</w:t>
      </w:r>
      <w:r w:rsidRPr="00BD7822">
        <w:rPr>
          <w:rtl/>
        </w:rPr>
        <w:t xml:space="preserve">، لم </w:t>
      </w:r>
      <w:r w:rsidRPr="00BD7822">
        <w:rPr>
          <w:rFonts w:hint="cs"/>
          <w:rtl/>
        </w:rPr>
        <w:t>يُطرح أي</w:t>
      </w:r>
      <w:r w:rsidRPr="00BD7822">
        <w:rPr>
          <w:rtl/>
        </w:rPr>
        <w:t xml:space="preserve"> سؤال </w:t>
      </w:r>
      <w:r w:rsidRPr="00BD7822">
        <w:rPr>
          <w:rFonts w:hint="cs"/>
          <w:rtl/>
        </w:rPr>
        <w:t xml:space="preserve">محدد </w:t>
      </w:r>
      <w:r w:rsidRPr="00BD7822">
        <w:rPr>
          <w:rtl/>
        </w:rPr>
        <w:t>يتعلق بال</w:t>
      </w:r>
      <w:r w:rsidRPr="00BD7822">
        <w:rPr>
          <w:rFonts w:hint="cs"/>
          <w:rtl/>
        </w:rPr>
        <w:t>فئات</w:t>
      </w:r>
      <w:r w:rsidRPr="00BD7822">
        <w:rPr>
          <w:rtl/>
        </w:rPr>
        <w:t xml:space="preserve"> ا</w:t>
      </w:r>
      <w:r w:rsidRPr="00BD7822">
        <w:rPr>
          <w:rFonts w:hint="cs"/>
          <w:rtl/>
        </w:rPr>
        <w:t>لإثنية</w:t>
      </w:r>
      <w:r w:rsidRPr="00BD7822">
        <w:rPr>
          <w:rtl/>
        </w:rPr>
        <w:t>. وطُرح سؤال يتصل بالهوية الوطنية (</w:t>
      </w:r>
      <w:r w:rsidRPr="00BD7822">
        <w:rPr>
          <w:rFonts w:hint="cs"/>
          <w:rtl/>
        </w:rPr>
        <w:t>التي يختارونها</w:t>
      </w:r>
      <w:r w:rsidRPr="00BD7822">
        <w:rPr>
          <w:rtl/>
        </w:rPr>
        <w:t xml:space="preserve">)، والنتائج </w:t>
      </w:r>
      <w:r w:rsidRPr="00BD7822">
        <w:rPr>
          <w:rFonts w:hint="cs"/>
          <w:rtl/>
        </w:rPr>
        <w:t xml:space="preserve">موضحة </w:t>
      </w:r>
      <w:r w:rsidRPr="00BD7822">
        <w:rPr>
          <w:rtl/>
        </w:rPr>
        <w:t>أعلاه.</w:t>
      </w:r>
      <w:r w:rsidRPr="00BD7822">
        <w:rPr>
          <w:rFonts w:hint="cs"/>
          <w:rtl/>
        </w:rPr>
        <w:t xml:space="preserve"> ولكن ي</w:t>
      </w:r>
      <w:r w:rsidRPr="00BD7822">
        <w:rPr>
          <w:rtl/>
        </w:rPr>
        <w:t>جب عدم الخلط بين الهوية الوطنية و</w:t>
      </w:r>
      <w:r w:rsidRPr="00BD7822">
        <w:rPr>
          <w:rFonts w:hint="cs"/>
          <w:rtl/>
        </w:rPr>
        <w:t xml:space="preserve">الأصل </w:t>
      </w:r>
      <w:r w:rsidRPr="00BD7822">
        <w:rPr>
          <w:rtl/>
        </w:rPr>
        <w:t>ال</w:t>
      </w:r>
      <w:r w:rsidRPr="00BD7822">
        <w:rPr>
          <w:rFonts w:hint="cs"/>
          <w:rtl/>
        </w:rPr>
        <w:t>إثني</w:t>
      </w:r>
      <w:r w:rsidRPr="00BD7822">
        <w:rPr>
          <w:rtl/>
        </w:rPr>
        <w:t>.</w:t>
      </w:r>
    </w:p>
  </w:footnote>
  <w:footnote w:id="249">
    <w:p w14:paraId="03389B3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متوسط عدد المواليد بين عامي 2012 و2016 لكل 1000 من السكان.</w:t>
      </w:r>
    </w:p>
  </w:footnote>
  <w:footnote w:id="250">
    <w:p w14:paraId="2DA6D88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متوسط عدد وفيات الرضع بين عامي 2012 و2016 لكل 1000 من السكان.</w:t>
      </w:r>
    </w:p>
  </w:footnote>
  <w:footnote w:id="251">
    <w:p w14:paraId="74CDAD8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متوسط عدد الوفيات سنوياً بين عامي 2012 و2016.</w:t>
      </w:r>
    </w:p>
  </w:footnote>
  <w:footnote w:id="252">
    <w:p w14:paraId="1187EA6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استناداً إلى </w:t>
      </w:r>
      <w:r w:rsidRPr="00BD7822">
        <w:rPr>
          <w:rFonts w:hint="cs"/>
          <w:rtl/>
        </w:rPr>
        <w:t>مسح ا</w:t>
      </w:r>
      <w:r w:rsidRPr="00BD7822">
        <w:rPr>
          <w:rtl/>
        </w:rPr>
        <w:t>لإنفاق الأسر</w:t>
      </w:r>
      <w:r w:rsidRPr="00BD7822">
        <w:rPr>
          <w:rFonts w:hint="cs"/>
          <w:rtl/>
        </w:rPr>
        <w:t>ي</w:t>
      </w:r>
      <w:r w:rsidRPr="00BD7822">
        <w:rPr>
          <w:rtl/>
        </w:rPr>
        <w:t xml:space="preserve"> لعام 2011.</w:t>
      </w:r>
    </w:p>
  </w:footnote>
  <w:footnote w:id="253">
    <w:p w14:paraId="2637D50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استناداً إلى الدخل الإجمالي للأسرة المعيشية الوارد في التعداد السكاني لعام 2012. ويرتكز ذلك على تقديرات المداخيل الواردة في التعداد السكاني </w:t>
      </w:r>
      <w:r w:rsidRPr="00BD7822">
        <w:rPr>
          <w:rFonts w:hint="cs"/>
          <w:rtl/>
        </w:rPr>
        <w:t>وبالتالي</w:t>
      </w:r>
      <w:r w:rsidRPr="00BD7822">
        <w:rPr>
          <w:rtl/>
        </w:rPr>
        <w:t xml:space="preserve"> لا </w:t>
      </w:r>
      <w:r w:rsidRPr="00BD7822">
        <w:rPr>
          <w:rFonts w:hint="cs"/>
          <w:rtl/>
        </w:rPr>
        <w:t>ي</w:t>
      </w:r>
      <w:r w:rsidRPr="00BD7822">
        <w:rPr>
          <w:rtl/>
        </w:rPr>
        <w:t xml:space="preserve">قدم سوى تقديرات </w:t>
      </w:r>
      <w:r w:rsidRPr="00BD7822">
        <w:rPr>
          <w:rFonts w:hint="cs"/>
          <w:rtl/>
        </w:rPr>
        <w:t>مدور</w:t>
      </w:r>
      <w:r w:rsidRPr="00BD7822">
        <w:rPr>
          <w:rtl/>
        </w:rPr>
        <w:t>ة.</w:t>
      </w:r>
    </w:p>
  </w:footnote>
  <w:footnote w:id="254">
    <w:p w14:paraId="46F400B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قطاع التوظيف الأولي، </w:t>
      </w:r>
      <w:r w:rsidRPr="00BD7822">
        <w:rPr>
          <w:rFonts w:hint="cs"/>
          <w:rtl/>
        </w:rPr>
        <w:t>ال</w:t>
      </w:r>
      <w:r w:rsidRPr="00BD7822">
        <w:rPr>
          <w:rtl/>
        </w:rPr>
        <w:t xml:space="preserve">تعداد </w:t>
      </w:r>
      <w:r w:rsidRPr="00BD7822">
        <w:rPr>
          <w:rFonts w:hint="cs"/>
          <w:rtl/>
        </w:rPr>
        <w:t xml:space="preserve">السكاني لعام </w:t>
      </w:r>
      <w:r w:rsidRPr="00BD7822">
        <w:rPr>
          <w:rtl/>
        </w:rPr>
        <w:t>2016.</w:t>
      </w:r>
    </w:p>
  </w:footnote>
  <w:footnote w:id="255">
    <w:p w14:paraId="19CCA63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أرقام عام 2019، بناءً على أحدث البيانات المتاحة من عام 2016.</w:t>
      </w:r>
    </w:p>
  </w:footnote>
  <w:footnote w:id="256">
    <w:p w14:paraId="5B11E3E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مؤشر</w:t>
      </w:r>
      <w:r w:rsidRPr="00BD7822">
        <w:rPr>
          <w:rtl/>
        </w:rPr>
        <w:t xml:space="preserve"> أسعار التجزئة للربع المنتهي في 30 </w:t>
      </w:r>
      <w:r w:rsidRPr="00BD7822">
        <w:rPr>
          <w:rFonts w:hint="cs"/>
          <w:rtl/>
        </w:rPr>
        <w:t>أيلول/</w:t>
      </w:r>
      <w:r w:rsidRPr="00BD7822">
        <w:rPr>
          <w:rtl/>
        </w:rPr>
        <w:t>سبتمبر 2020.</w:t>
      </w:r>
    </w:p>
  </w:footnote>
  <w:footnote w:id="257">
    <w:p w14:paraId="5861C14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لا تطبق عقوبة الإعدام في جزر فوكلاند.</w:t>
      </w:r>
    </w:p>
  </w:footnote>
  <w:footnote w:id="258">
    <w:p w14:paraId="3941AEB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هذا المخطط متاح </w:t>
      </w:r>
      <w:r w:rsidRPr="00BD7822">
        <w:rPr>
          <w:rFonts w:hint="cs"/>
          <w:rtl/>
        </w:rPr>
        <w:t>بالدفع المسبق</w:t>
      </w:r>
      <w:r w:rsidRPr="00BD7822">
        <w:rPr>
          <w:rtl/>
        </w:rPr>
        <w:t xml:space="preserve"> لجميع الأشخاص الموقوفين والمحتجزين، أو المتطوعين الذين يحضرون إلى مركز الشرطة لإجراء مقابلة </w:t>
      </w:r>
      <w:r w:rsidRPr="00BD7822">
        <w:rPr>
          <w:rFonts w:hint="cs"/>
          <w:rtl/>
        </w:rPr>
        <w:t>تحسباً من</w:t>
      </w:r>
      <w:r w:rsidRPr="00BD7822">
        <w:rPr>
          <w:rtl/>
        </w:rPr>
        <w:t xml:space="preserve"> جريمة جنائية يعاقب عليها بالسجن. هذا المخطط لا </w:t>
      </w:r>
      <w:r w:rsidRPr="00BD7822">
        <w:rPr>
          <w:rFonts w:hint="cs"/>
          <w:rtl/>
        </w:rPr>
        <w:t>يستند إلى القدرة على الدفع ولا يتحدد بها.</w:t>
      </w:r>
    </w:p>
  </w:footnote>
  <w:footnote w:id="259">
    <w:p w14:paraId="27D98DF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24" w:history="1">
        <w:r w:rsidRPr="00BD7822">
          <w:rPr>
            <w:rStyle w:val="Hyperlink"/>
          </w:rPr>
          <w:t>http://www.legislation.gov.uk/uksi/2008/2846/contents/made</w:t>
        </w:r>
      </w:hyperlink>
      <w:r w:rsidRPr="00BD7822">
        <w:rPr>
          <w:rtl/>
        </w:rPr>
        <w:t>.</w:t>
      </w:r>
    </w:p>
  </w:footnote>
  <w:footnote w:id="260">
    <w:p w14:paraId="6027CF2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25" w:history="1">
        <w:r w:rsidRPr="00BD7822">
          <w:rPr>
            <w:rStyle w:val="Hyperlink"/>
          </w:rPr>
          <w:t>http://www.falklands.gov.fk/self-governance/legislative/</w:t>
        </w:r>
      </w:hyperlink>
      <w:r w:rsidRPr="00BD7822">
        <w:rPr>
          <w:rtl/>
        </w:rPr>
        <w:t>.</w:t>
      </w:r>
    </w:p>
  </w:footnote>
  <w:footnote w:id="261">
    <w:p w14:paraId="72434BF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26" w:history="1">
        <w:r w:rsidRPr="00BD7822">
          <w:rPr>
            <w:rStyle w:val="Hyperlink"/>
          </w:rPr>
          <w:t>http://www.falklands.gov.fk/self-governance/the-falkland-islands-government/</w:t>
        </w:r>
      </w:hyperlink>
      <w:r w:rsidRPr="00BD7822">
        <w:rPr>
          <w:rtl/>
        </w:rPr>
        <w:t>.</w:t>
      </w:r>
    </w:p>
  </w:footnote>
  <w:footnote w:id="262">
    <w:p w14:paraId="1AC5DDB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27" w:history="1">
        <w:r w:rsidRPr="00BD7822">
          <w:rPr>
            <w:rStyle w:val="Hyperlink"/>
          </w:rPr>
          <w:t>http://www.gibraltar.gov.gi/</w:t>
        </w:r>
      </w:hyperlink>
      <w:r w:rsidRPr="00BD7822">
        <w:t xml:space="preserve">; </w:t>
      </w:r>
      <w:hyperlink r:id="rId228" w:history="1">
        <w:r w:rsidRPr="00BD7822">
          <w:rPr>
            <w:rStyle w:val="Hyperlink"/>
          </w:rPr>
          <w:t>https://www.gov.uk/government/world/gibraltar</w:t>
        </w:r>
      </w:hyperlink>
      <w:r w:rsidRPr="00BD7822">
        <w:rPr>
          <w:rtl/>
        </w:rPr>
        <w:t>.</w:t>
      </w:r>
    </w:p>
  </w:footnote>
  <w:footnote w:id="263">
    <w:p w14:paraId="33D72B3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لا تطبق عقوبة الإعدام في </w:t>
      </w:r>
      <w:r w:rsidRPr="00BD7822">
        <w:rPr>
          <w:rFonts w:hint="cs"/>
          <w:rtl/>
        </w:rPr>
        <w:t>جبل طارق</w:t>
      </w:r>
      <w:r w:rsidRPr="00BD7822">
        <w:rPr>
          <w:rtl/>
        </w:rPr>
        <w:t>.</w:t>
      </w:r>
    </w:p>
  </w:footnote>
  <w:footnote w:id="264">
    <w:p w14:paraId="60A1BB3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29" w:history="1">
        <w:r w:rsidRPr="00BD7822">
          <w:rPr>
            <w:rStyle w:val="Hyperlink"/>
          </w:rPr>
          <w:t>https://www.gibraltar.gov.gi/images/stories/PDF/constitution/NewGibraltarConstitution.pdf</w:t>
        </w:r>
      </w:hyperlink>
      <w:r w:rsidRPr="00BD7822">
        <w:rPr>
          <w:rtl/>
        </w:rPr>
        <w:t>.</w:t>
      </w:r>
    </w:p>
  </w:footnote>
  <w:footnote w:id="265">
    <w:p w14:paraId="3799005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0" w:history="1">
        <w:r w:rsidRPr="00BD7822">
          <w:rPr>
            <w:rStyle w:val="Hyperlink"/>
          </w:rPr>
          <w:t>http://www.parliament.gi/</w:t>
        </w:r>
      </w:hyperlink>
      <w:r w:rsidRPr="00BD7822">
        <w:rPr>
          <w:rtl/>
        </w:rPr>
        <w:t>.</w:t>
      </w:r>
    </w:p>
  </w:footnote>
  <w:footnote w:id="266">
    <w:p w14:paraId="03AE894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1" w:history="1">
        <w:r w:rsidRPr="00BD7822">
          <w:rPr>
            <w:rStyle w:val="Hyperlink"/>
          </w:rPr>
          <w:t>https://www.gibraltar.gov.gi/law-a-justice</w:t>
        </w:r>
      </w:hyperlink>
      <w:r w:rsidRPr="00BD7822">
        <w:rPr>
          <w:rtl/>
        </w:rPr>
        <w:t>.</w:t>
      </w:r>
    </w:p>
  </w:footnote>
  <w:footnote w:id="267">
    <w:p w14:paraId="59D659A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2" w:history="1">
        <w:r w:rsidRPr="00BD7822">
          <w:rPr>
            <w:rStyle w:val="Hyperlink"/>
          </w:rPr>
          <w:t>http://www.gibraltarlaws.gov.gi/articles/2006-37o.pdf</w:t>
        </w:r>
      </w:hyperlink>
      <w:r w:rsidRPr="00BD7822">
        <w:rPr>
          <w:rtl/>
        </w:rPr>
        <w:t>.</w:t>
      </w:r>
    </w:p>
  </w:footnote>
  <w:footnote w:id="268">
    <w:p w14:paraId="0F3AB0E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3" w:history="1">
        <w:r w:rsidRPr="00BD7822">
          <w:rPr>
            <w:rStyle w:val="Hyperlink"/>
          </w:rPr>
          <w:t>http://www.gov.ms/</w:t>
        </w:r>
      </w:hyperlink>
      <w:r w:rsidRPr="00BD7822">
        <w:t xml:space="preserve">; </w:t>
      </w:r>
      <w:hyperlink r:id="rId234" w:history="1">
        <w:r w:rsidRPr="00BD7822">
          <w:rPr>
            <w:rStyle w:val="Hyperlink"/>
          </w:rPr>
          <w:t>https://www.gov.uk/government/world/montserrat</w:t>
        </w:r>
      </w:hyperlink>
      <w:r w:rsidRPr="00BD7822">
        <w:rPr>
          <w:rtl/>
        </w:rPr>
        <w:t>.</w:t>
      </w:r>
    </w:p>
  </w:footnote>
  <w:footnote w:id="269">
    <w:p w14:paraId="59A1D8E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المصدر: إدارة الإحصاءات في مونتسيرات.</w:t>
      </w:r>
    </w:p>
  </w:footnote>
  <w:footnote w:id="270">
    <w:p w14:paraId="310ACBD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المصدر: إدارة الإحصاءات في مونتسيرات</w:t>
      </w:r>
      <w:r w:rsidRPr="00BD7822">
        <w:rPr>
          <w:rFonts w:hint="cs"/>
          <w:rtl/>
        </w:rPr>
        <w:t>.</w:t>
      </w:r>
    </w:p>
  </w:footnote>
  <w:footnote w:id="271">
    <w:p w14:paraId="063BD51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المصدر: مصرف شرق الكاريبي المركزي</w:t>
      </w:r>
      <w:r w:rsidRPr="00BD7822">
        <w:rPr>
          <w:rFonts w:hint="cs"/>
          <w:rtl/>
        </w:rPr>
        <w:t>.</w:t>
      </w:r>
    </w:p>
  </w:footnote>
  <w:footnote w:id="272">
    <w:p w14:paraId="406AE49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المصدر: مصرف شرق الكاريبي المركزي</w:t>
      </w:r>
      <w:r w:rsidRPr="00BD7822">
        <w:rPr>
          <w:rFonts w:hint="cs"/>
          <w:rtl/>
        </w:rPr>
        <w:t>.</w:t>
      </w:r>
    </w:p>
  </w:footnote>
  <w:footnote w:id="273">
    <w:p w14:paraId="5FCF694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5" w:history="1">
        <w:r w:rsidRPr="00BD7822">
          <w:rPr>
            <w:rStyle w:val="Hyperlink"/>
          </w:rPr>
          <w:t>http://www.legislation.gov.uk/uksi/2010/2474/contents/made</w:t>
        </w:r>
      </w:hyperlink>
      <w:r w:rsidRPr="00BD7822">
        <w:rPr>
          <w:rtl/>
        </w:rPr>
        <w:t>.</w:t>
      </w:r>
    </w:p>
  </w:footnote>
  <w:footnote w:id="274">
    <w:p w14:paraId="3306205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6" w:history="1">
        <w:r w:rsidRPr="00BD7822">
          <w:rPr>
            <w:rStyle w:val="Hyperlink"/>
          </w:rPr>
          <w:t>http://www.government.pn/</w:t>
        </w:r>
      </w:hyperlink>
      <w:r w:rsidRPr="00BD7822">
        <w:t xml:space="preserve">; </w:t>
      </w:r>
      <w:hyperlink r:id="rId237" w:history="1">
        <w:r w:rsidRPr="00BD7822">
          <w:rPr>
            <w:rStyle w:val="Hyperlink"/>
          </w:rPr>
          <w:t>https://www.gov.uk/government/world/pitcairn-island</w:t>
        </w:r>
      </w:hyperlink>
      <w:r w:rsidRPr="00BD7822">
        <w:rPr>
          <w:rtl/>
        </w:rPr>
        <w:t>.</w:t>
      </w:r>
    </w:p>
  </w:footnote>
  <w:footnote w:id="275">
    <w:p w14:paraId="0D13336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8" w:history="1">
        <w:r w:rsidRPr="00BD7822">
          <w:rPr>
            <w:rStyle w:val="Hyperlink"/>
          </w:rPr>
          <w:t>http://www.legislation.gov.uk/uksi/2010/244/contents/made</w:t>
        </w:r>
      </w:hyperlink>
      <w:r w:rsidRPr="00BD7822">
        <w:rPr>
          <w:rtl/>
        </w:rPr>
        <w:t>.</w:t>
      </w:r>
    </w:p>
  </w:footnote>
  <w:footnote w:id="276">
    <w:p w14:paraId="34A8883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39" w:history="1">
        <w:r w:rsidRPr="00BD7822">
          <w:rPr>
            <w:rStyle w:val="Hyperlink"/>
          </w:rPr>
          <w:t>http://www.government.pn/Laws/Local%20Government%20Ordinance.pdf</w:t>
        </w:r>
      </w:hyperlink>
      <w:r w:rsidRPr="00BD7822">
        <w:rPr>
          <w:rtl/>
        </w:rPr>
        <w:t>.</w:t>
      </w:r>
    </w:p>
  </w:footnote>
  <w:footnote w:id="277">
    <w:p w14:paraId="407E2827" w14:textId="57B35C81" w:rsidR="00494AE4" w:rsidRPr="00BD7822" w:rsidRDefault="00494AE4" w:rsidP="0080537E">
      <w:pPr>
        <w:pStyle w:val="FootnoteText1"/>
        <w:jc w:val="left"/>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40" w:history="1">
        <w:r w:rsidRPr="00BD7822">
          <w:rPr>
            <w:rStyle w:val="Hyperlink"/>
          </w:rPr>
          <w:t>http://www.sainthelena.gov.sh/</w:t>
        </w:r>
      </w:hyperlink>
      <w:r w:rsidRPr="00BD7822">
        <w:t xml:space="preserve">; </w:t>
      </w:r>
      <w:hyperlink r:id="rId241" w:history="1">
        <w:r w:rsidRPr="00BD7822">
          <w:rPr>
            <w:rStyle w:val="Hyperlink"/>
          </w:rPr>
          <w:t>http://www.ascension-island.gov.ac/</w:t>
        </w:r>
      </w:hyperlink>
      <w:r w:rsidRPr="00BD7822">
        <w:t xml:space="preserve">; </w:t>
      </w:r>
      <w:hyperlink r:id="rId242" w:history="1">
        <w:r w:rsidRPr="00BD7822">
          <w:rPr>
            <w:rStyle w:val="Hyperlink"/>
          </w:rPr>
          <w:t>http://www.tristandc.com/government.php</w:t>
        </w:r>
      </w:hyperlink>
      <w:r w:rsidRPr="00BD7822">
        <w:t xml:space="preserve">; </w:t>
      </w:r>
      <w:hyperlink r:id="rId243" w:history="1">
        <w:r w:rsidRPr="00BD7822">
          <w:rPr>
            <w:rStyle w:val="Hyperlink"/>
          </w:rPr>
          <w:t>https://www.gov.uk/government/world/st-helena-ascension-and-tristan-da-cunha</w:t>
        </w:r>
      </w:hyperlink>
      <w:r w:rsidRPr="00BD7822">
        <w:rPr>
          <w:rtl/>
        </w:rPr>
        <w:t>.</w:t>
      </w:r>
    </w:p>
  </w:footnote>
  <w:footnote w:id="278">
    <w:p w14:paraId="42D7444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يطبق حكم الإعدام في سانت هيلانة.</w:t>
      </w:r>
    </w:p>
  </w:footnote>
  <w:footnote w:id="279">
    <w:p w14:paraId="5762FEA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44" w:history="1">
        <w:r w:rsidRPr="00BD7822">
          <w:rPr>
            <w:rStyle w:val="Hyperlink"/>
          </w:rPr>
          <w:t>http://www.legislation.gov.uk/uksi/2009/1751/contents/made</w:t>
        </w:r>
      </w:hyperlink>
      <w:r w:rsidRPr="00BD7822">
        <w:rPr>
          <w:rtl/>
        </w:rPr>
        <w:t>.</w:t>
      </w:r>
    </w:p>
  </w:footnote>
  <w:footnote w:id="280">
    <w:p w14:paraId="0BD13D7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45" w:history="1">
        <w:r w:rsidRPr="00BD7822">
          <w:rPr>
            <w:rStyle w:val="Hyperlink"/>
          </w:rPr>
          <w:t>http://www.sainthelena.gov.sh/constitution/</w:t>
        </w:r>
      </w:hyperlink>
      <w:r w:rsidRPr="00BD7822">
        <w:rPr>
          <w:rtl/>
        </w:rPr>
        <w:t>.</w:t>
      </w:r>
    </w:p>
  </w:footnote>
  <w:footnote w:id="281">
    <w:p w14:paraId="752FD96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46" w:history="1">
        <w:r w:rsidRPr="00BD7822">
          <w:rPr>
            <w:rStyle w:val="Hyperlink"/>
          </w:rPr>
          <w:t>http://www.sainthelena.gov.sh/legal-system/</w:t>
        </w:r>
      </w:hyperlink>
      <w:r w:rsidRPr="00BD7822">
        <w:rPr>
          <w:rtl/>
        </w:rPr>
        <w:t>.</w:t>
      </w:r>
    </w:p>
  </w:footnote>
  <w:footnote w:id="282">
    <w:p w14:paraId="47B4B9E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47" w:history="1">
        <w:r w:rsidRPr="00BD7822">
          <w:rPr>
            <w:rStyle w:val="Hyperlink"/>
          </w:rPr>
          <w:t>http://www.gov.tc</w:t>
        </w:r>
      </w:hyperlink>
      <w:r w:rsidRPr="00BD7822">
        <w:t xml:space="preserve">; </w:t>
      </w:r>
      <w:hyperlink r:id="rId248" w:history="1">
        <w:r w:rsidRPr="00BD7822">
          <w:rPr>
            <w:rStyle w:val="Hyperlink"/>
          </w:rPr>
          <w:t>https://www.gov.uk/government/world/turks-and-caicos-islands</w:t>
        </w:r>
      </w:hyperlink>
      <w:r w:rsidRPr="00BD7822">
        <w:rPr>
          <w:rtl/>
        </w:rPr>
        <w:t>.</w:t>
      </w:r>
    </w:p>
  </w:footnote>
  <w:footnote w:id="283">
    <w:p w14:paraId="7B4BEF0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انظر أيضاً الموقع الإلكتروني لوزارة التخطيط الاقتصادي والإحصاء على العنوان </w:t>
      </w:r>
      <w:r w:rsidRPr="00BD7822">
        <w:rPr>
          <w:rStyle w:val="Hyperlink"/>
        </w:rPr>
        <w:t>http://www.depstc.org/</w:t>
      </w:r>
      <w:r w:rsidRPr="00BD7822">
        <w:rPr>
          <w:rFonts w:hint="cs"/>
          <w:rtl/>
        </w:rPr>
        <w:t>.</w:t>
      </w:r>
    </w:p>
  </w:footnote>
  <w:footnote w:id="284">
    <w:p w14:paraId="2B1E279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تستند الحسابات إلى أول جريمة مدرجة (حين يرتكب الشخص نفسه أكثر من جريمة واحدة).</w:t>
      </w:r>
    </w:p>
  </w:footnote>
  <w:footnote w:id="285">
    <w:p w14:paraId="3EE2182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تطبق عقوبة الإعدام في جزر تركس وكايكوس.</w:t>
      </w:r>
    </w:p>
  </w:footnote>
  <w:footnote w:id="286">
    <w:p w14:paraId="02C6A9B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49" w:history="1">
        <w:r w:rsidRPr="00BD7822">
          <w:rPr>
            <w:rStyle w:val="Hyperlink"/>
          </w:rPr>
          <w:t>http://www.legislation.gov.uk/uksi/2011/1681/introduction/made</w:t>
        </w:r>
      </w:hyperlink>
      <w:r w:rsidRPr="00BD7822">
        <w:rPr>
          <w:rtl/>
        </w:rPr>
        <w:t>.</w:t>
      </w:r>
    </w:p>
  </w:footnote>
  <w:footnote w:id="287">
    <w:p w14:paraId="1A6A189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0" w:history="1">
        <w:r w:rsidRPr="00BD7822">
          <w:rPr>
            <w:rStyle w:val="Hyperlink"/>
          </w:rPr>
          <w:t>http://www.tcihumanrights.org/</w:t>
        </w:r>
      </w:hyperlink>
      <w:r w:rsidRPr="00BD7822">
        <w:rPr>
          <w:rtl/>
        </w:rPr>
        <w:t>.</w:t>
      </w:r>
    </w:p>
  </w:footnote>
  <w:footnote w:id="288">
    <w:p w14:paraId="733D3DE7" w14:textId="139ECBB0"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1" w:history="1">
        <w:r w:rsidRPr="00BD7822">
          <w:rPr>
            <w:rStyle w:val="Hyperlink"/>
          </w:rPr>
          <w:t>http://www.bvi.org.uk/</w:t>
        </w:r>
      </w:hyperlink>
      <w:r w:rsidRPr="00BD7822">
        <w:t xml:space="preserve">; </w:t>
      </w:r>
      <w:hyperlink r:id="rId252" w:history="1">
        <w:r w:rsidRPr="00BD7822">
          <w:rPr>
            <w:rStyle w:val="Hyperlink"/>
          </w:rPr>
          <w:t>https://www.gov.uk/government/world/british-virgin-islands</w:t>
        </w:r>
      </w:hyperlink>
      <w:r w:rsidRPr="00BD7822">
        <w:rPr>
          <w:rtl/>
        </w:rPr>
        <w:t>.</w:t>
      </w:r>
    </w:p>
  </w:footnote>
  <w:footnote w:id="289">
    <w:p w14:paraId="0F7CC5D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مسح الإنفاق الأسري في جزر فرجن للفترة 2009/2010.</w:t>
      </w:r>
    </w:p>
  </w:footnote>
  <w:footnote w:id="290">
    <w:p w14:paraId="40BEE44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تطبق عقوبة الإعدام في جزر فرجن البريطانية.</w:t>
      </w:r>
    </w:p>
  </w:footnote>
  <w:footnote w:id="291">
    <w:p w14:paraId="76487ED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3" w:history="1">
        <w:r w:rsidRPr="00BD7822">
          <w:rPr>
            <w:rStyle w:val="Hyperlink"/>
          </w:rPr>
          <w:t>http://www.legislation.gov.uk/uksi/2007/1678/contents/made</w:t>
        </w:r>
      </w:hyperlink>
      <w:r w:rsidRPr="00BD7822">
        <w:rPr>
          <w:rtl/>
        </w:rPr>
        <w:t>.</w:t>
      </w:r>
    </w:p>
  </w:footnote>
  <w:footnote w:id="292">
    <w:p w14:paraId="5635D78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4" w:history="1">
        <w:r w:rsidRPr="00BD7822">
          <w:rPr>
            <w:rStyle w:val="Hyperlink"/>
          </w:rPr>
          <w:t>http://www.bvi.gov.vg/legislative-branch</w:t>
        </w:r>
      </w:hyperlink>
      <w:r w:rsidRPr="00BD7822">
        <w:rPr>
          <w:rtl/>
        </w:rPr>
        <w:t>.</w:t>
      </w:r>
    </w:p>
  </w:footnote>
  <w:footnote w:id="293">
    <w:p w14:paraId="6A9AAB3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5" w:history="1">
        <w:r w:rsidRPr="00BD7822">
          <w:rPr>
            <w:rStyle w:val="Hyperlink"/>
          </w:rPr>
          <w:t>http://www.bvi.gov.vg/executive-branch</w:t>
        </w:r>
      </w:hyperlink>
      <w:r w:rsidRPr="00BD7822">
        <w:rPr>
          <w:rtl/>
        </w:rPr>
        <w:t>.</w:t>
      </w:r>
    </w:p>
  </w:footnote>
  <w:footnote w:id="294">
    <w:p w14:paraId="4AA72DE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6" w:history="1">
        <w:r w:rsidRPr="00BD7822">
          <w:rPr>
            <w:rStyle w:val="Hyperlink"/>
          </w:rPr>
          <w:t>http://www.bvi.gov.vg/judicial-branch</w:t>
        </w:r>
      </w:hyperlink>
      <w:r w:rsidRPr="00BD7822">
        <w:rPr>
          <w:rtl/>
        </w:rPr>
        <w:t>.</w:t>
      </w:r>
    </w:p>
  </w:footnote>
  <w:footnote w:id="295">
    <w:p w14:paraId="0A98D75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7" w:history="1">
        <w:r w:rsidRPr="00BD7822">
          <w:rPr>
            <w:rStyle w:val="Hyperlink"/>
          </w:rPr>
          <w:t>https://www.gov.uk/government/publications/crown-dependencies-jersey-guernsey-and-the-isle-of-man</w:t>
        </w:r>
      </w:hyperlink>
      <w:r w:rsidRPr="00BD7822">
        <w:rPr>
          <w:rtl/>
        </w:rPr>
        <w:t>.</w:t>
      </w:r>
    </w:p>
  </w:footnote>
  <w:footnote w:id="296">
    <w:p w14:paraId="248A68C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58" w:history="1">
        <w:r w:rsidRPr="00BD7822">
          <w:rPr>
            <w:rStyle w:val="Hyperlink"/>
          </w:rPr>
          <w:t>http://www.gov.gg/</w:t>
        </w:r>
      </w:hyperlink>
      <w:r w:rsidRPr="00BD7822">
        <w:rPr>
          <w:rtl/>
        </w:rPr>
        <w:t>.</w:t>
      </w:r>
    </w:p>
  </w:footnote>
  <w:footnote w:id="297">
    <w:p w14:paraId="6CE2159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البيانات في 31 </w:t>
      </w:r>
      <w:r w:rsidRPr="00BD7822">
        <w:rPr>
          <w:rFonts w:hint="cs"/>
          <w:rtl/>
        </w:rPr>
        <w:t>كانون الأول/</w:t>
      </w:r>
      <w:r w:rsidRPr="00BD7822">
        <w:rPr>
          <w:rtl/>
        </w:rPr>
        <w:t xml:space="preserve">ديسمبر 2019.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59" w:history="1">
        <w:r w:rsidRPr="00BD7822">
          <w:rPr>
            <w:rStyle w:val="Hyperlink"/>
          </w:rPr>
          <w:t>www.gov.gg/population</w:t>
        </w:r>
      </w:hyperlink>
      <w:r w:rsidRPr="00BD7822">
        <w:rPr>
          <w:rFonts w:hint="cs"/>
          <w:rtl/>
        </w:rPr>
        <w:t>.</w:t>
      </w:r>
    </w:p>
  </w:footnote>
  <w:footnote w:id="298">
    <w:p w14:paraId="3862713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التغير السنوي في النسبة المئوية للسنة المنتهية في 31 </w:t>
      </w:r>
      <w:r w:rsidRPr="00BD7822">
        <w:rPr>
          <w:rFonts w:hint="cs"/>
          <w:rtl/>
        </w:rPr>
        <w:t>كانون الأول/</w:t>
      </w:r>
      <w:r w:rsidRPr="00BD7822">
        <w:rPr>
          <w:rtl/>
        </w:rPr>
        <w:t xml:space="preserve">ديسمبر 2019. المصدر: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60" w:history="1">
        <w:r w:rsidRPr="00BD7822">
          <w:rPr>
            <w:rStyle w:val="Hyperlink"/>
          </w:rPr>
          <w:t>www.gov.gg/population</w:t>
        </w:r>
      </w:hyperlink>
      <w:r w:rsidRPr="00BD7822">
        <w:rPr>
          <w:rFonts w:hint="cs"/>
          <w:rtl/>
        </w:rPr>
        <w:t>.</w:t>
      </w:r>
    </w:p>
  </w:footnote>
  <w:footnote w:id="299">
    <w:p w14:paraId="339ED38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البيانات في 31 </w:t>
      </w:r>
      <w:r w:rsidRPr="00BD7822">
        <w:rPr>
          <w:rFonts w:hint="cs"/>
          <w:rtl/>
        </w:rPr>
        <w:t>آذار/مارس</w:t>
      </w:r>
      <w:r w:rsidRPr="00BD7822">
        <w:rPr>
          <w:rtl/>
        </w:rPr>
        <w:t xml:space="preserve"> 2019.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61" w:history="1">
        <w:r w:rsidRPr="00BD7822">
          <w:rPr>
            <w:rStyle w:val="Hyperlink"/>
          </w:rPr>
          <w:t>www.gov.gg/population</w:t>
        </w:r>
      </w:hyperlink>
      <w:r w:rsidRPr="00BD7822">
        <w:rPr>
          <w:rFonts w:hint="cs"/>
          <w:rtl/>
        </w:rPr>
        <w:t>.</w:t>
      </w:r>
    </w:p>
  </w:footnote>
  <w:footnote w:id="300">
    <w:p w14:paraId="6F26B05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البيانات في 31 </w:t>
      </w:r>
      <w:r w:rsidRPr="00BD7822">
        <w:rPr>
          <w:rFonts w:hint="cs"/>
          <w:rtl/>
        </w:rPr>
        <w:t>كانون الأول/</w:t>
      </w:r>
      <w:r w:rsidRPr="00BD7822">
        <w:rPr>
          <w:rtl/>
        </w:rPr>
        <w:t xml:space="preserve">ديسمبر 2019.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62" w:history="1">
        <w:r w:rsidRPr="00BD7822">
          <w:rPr>
            <w:rStyle w:val="Hyperlink"/>
          </w:rPr>
          <w:t>www.gov.gg/population</w:t>
        </w:r>
      </w:hyperlink>
      <w:r w:rsidRPr="00BD7822">
        <w:rPr>
          <w:rFonts w:hint="cs"/>
          <w:rtl/>
        </w:rPr>
        <w:t>.</w:t>
      </w:r>
    </w:p>
  </w:footnote>
  <w:footnote w:id="301">
    <w:p w14:paraId="3A4918C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النسبة المئوية للسكان الذين تبلغ أعمارهم 15 عاماً أو أقل في 31 </w:t>
      </w:r>
      <w:r w:rsidRPr="00BD7822">
        <w:rPr>
          <w:rFonts w:hint="cs"/>
          <w:rtl/>
        </w:rPr>
        <w:t>كانون الأول/</w:t>
      </w:r>
      <w:r w:rsidRPr="00BD7822">
        <w:rPr>
          <w:rtl/>
        </w:rPr>
        <w:t xml:space="preserve">ديسمبر 2019.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63" w:history="1">
        <w:r w:rsidRPr="00BD7822">
          <w:rPr>
            <w:rStyle w:val="Hyperlink"/>
          </w:rPr>
          <w:t>www.gov.gg/population</w:t>
        </w:r>
      </w:hyperlink>
      <w:r w:rsidRPr="00BD7822">
        <w:rPr>
          <w:rFonts w:hint="cs"/>
          <w:rtl/>
        </w:rPr>
        <w:t>.</w:t>
      </w:r>
    </w:p>
  </w:footnote>
  <w:footnote w:id="302">
    <w:p w14:paraId="21489CA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النسبة المئوية للسكان الذين تبلغ أعمارهم 65 عاماً فأكثر في</w:t>
      </w:r>
      <w:r w:rsidRPr="00BD7822">
        <w:rPr>
          <w:rFonts w:hint="cs"/>
          <w:rtl/>
        </w:rPr>
        <w:t xml:space="preserve"> </w:t>
      </w:r>
      <w:r w:rsidRPr="00BD7822">
        <w:rPr>
          <w:rtl/>
        </w:rPr>
        <w:t xml:space="preserve">31 </w:t>
      </w:r>
      <w:r w:rsidRPr="00BD7822">
        <w:rPr>
          <w:rFonts w:hint="cs"/>
          <w:rtl/>
        </w:rPr>
        <w:t>كانون الأول/</w:t>
      </w:r>
      <w:r w:rsidRPr="00BD7822">
        <w:rPr>
          <w:rtl/>
        </w:rPr>
        <w:t xml:space="preserve">ديسمبر 2019.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64" w:history="1">
        <w:r w:rsidRPr="00BD7822">
          <w:rPr>
            <w:rStyle w:val="Hyperlink"/>
          </w:rPr>
          <w:t>www.gov.gg/population</w:t>
        </w:r>
      </w:hyperlink>
      <w:r w:rsidRPr="00BD7822">
        <w:rPr>
          <w:rFonts w:hint="cs"/>
          <w:rtl/>
        </w:rPr>
        <w:t>.</w:t>
      </w:r>
    </w:p>
  </w:footnote>
  <w:footnote w:id="303">
    <w:p w14:paraId="79AD9C82"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65" w:history="1">
        <w:r w:rsidRPr="00BD7822">
          <w:rPr>
            <w:rStyle w:val="Hyperlink"/>
          </w:rPr>
          <w:t>www.gov.gg/population</w:t>
        </w:r>
      </w:hyperlink>
      <w:r w:rsidRPr="00BD7822">
        <w:rPr>
          <w:rFonts w:hint="cs"/>
          <w:rtl/>
        </w:rPr>
        <w:t>.</w:t>
      </w:r>
    </w:p>
  </w:footnote>
  <w:footnote w:id="304">
    <w:p w14:paraId="145A272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ملف التعريف الصحي لإقليم غيرنسي 2013-2015، على الموقع </w:t>
      </w:r>
      <w:hyperlink r:id="rId266" w:history="1">
        <w:r w:rsidRPr="00BD7822">
          <w:rPr>
            <w:rStyle w:val="Hyperlink"/>
          </w:rPr>
          <w:t>https://www.gov.gg/CHttpHandler.ashx?id=</w:t>
        </w:r>
        <w:r w:rsidRPr="00BD7822">
          <w:rPr>
            <w:rStyle w:val="Hyperlink"/>
          </w:rPr>
          <w:br/>
          <w:t>104975&amp;p=0</w:t>
        </w:r>
      </w:hyperlink>
      <w:r w:rsidRPr="00BD7822">
        <w:rPr>
          <w:rFonts w:hint="cs"/>
          <w:rtl/>
        </w:rPr>
        <w:t>، صفحة 34.</w:t>
      </w:r>
    </w:p>
  </w:footnote>
  <w:footnote w:id="305">
    <w:p w14:paraId="619BF93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67" w:history="1">
        <w:r w:rsidRPr="00BD7822">
          <w:rPr>
            <w:rStyle w:val="Hyperlink"/>
          </w:rPr>
          <w:t>www.gov.gg/population</w:t>
        </w:r>
      </w:hyperlink>
      <w:r w:rsidRPr="00BD7822">
        <w:rPr>
          <w:rFonts w:hint="cs"/>
          <w:rtl/>
        </w:rPr>
        <w:t>.</w:t>
      </w:r>
    </w:p>
  </w:footnote>
  <w:footnote w:id="306">
    <w:p w14:paraId="37B4F08D"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خدمات الصحة العامة.</w:t>
      </w:r>
    </w:p>
  </w:footnote>
  <w:footnote w:id="307">
    <w:p w14:paraId="337D19D4" w14:textId="3F7FAA2E"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ملف التعريف الصحي لإقليم غيرنسي 2013-2015، على الموقع </w:t>
      </w:r>
      <w:hyperlink r:id="rId268" w:history="1">
        <w:r w:rsidR="002E6A02" w:rsidRPr="00BD7822">
          <w:rPr>
            <w:rStyle w:val="Hyperlink"/>
          </w:rPr>
          <w:t>https://www.gov.gg/CHttpHandler.ashx?id=</w:t>
        </w:r>
        <w:r w:rsidR="002E6A02" w:rsidRPr="00BD7822">
          <w:rPr>
            <w:rStyle w:val="Hyperlink"/>
          </w:rPr>
          <w:br/>
          <w:t>104975&amp;p=0</w:t>
        </w:r>
      </w:hyperlink>
      <w:r w:rsidRPr="00BD7822">
        <w:rPr>
          <w:rFonts w:hint="cs"/>
          <w:rtl/>
        </w:rPr>
        <w:t>، صفحة 31.</w:t>
      </w:r>
    </w:p>
  </w:footnote>
  <w:footnote w:id="308">
    <w:p w14:paraId="6154B43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متوسط عدد الأشخاص لكل أسرة في 31 </w:t>
      </w:r>
      <w:r w:rsidRPr="00BD7822">
        <w:rPr>
          <w:rFonts w:hint="cs"/>
          <w:rtl/>
        </w:rPr>
        <w:t>آذار/</w:t>
      </w:r>
      <w:r w:rsidRPr="00BD7822">
        <w:rPr>
          <w:rtl/>
        </w:rPr>
        <w:t xml:space="preserve">مارس 2019.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تقرير التعداد الإلكتروني السنوي </w:t>
      </w:r>
      <w:r w:rsidRPr="00BD7822">
        <w:rPr>
          <w:rFonts w:hint="cs"/>
          <w:rtl/>
        </w:rPr>
        <w:t>على هذا الموقع</w:t>
      </w:r>
      <w:r w:rsidRPr="00BD7822">
        <w:rPr>
          <w:rtl/>
        </w:rPr>
        <w:t xml:space="preserve">: </w:t>
      </w:r>
      <w:hyperlink r:id="rId269" w:history="1">
        <w:r w:rsidRPr="00BD7822">
          <w:rPr>
            <w:rStyle w:val="Hyperlink"/>
          </w:rPr>
          <w:t>www.gov.gg/population</w:t>
        </w:r>
      </w:hyperlink>
      <w:r w:rsidRPr="00BD7822">
        <w:rPr>
          <w:rtl/>
        </w:rPr>
        <w:t>.</w:t>
      </w:r>
    </w:p>
  </w:footnote>
  <w:footnote w:id="309">
    <w:p w14:paraId="09930996" w14:textId="762BDB6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تُظهر البيانات عدد البالغين (الذين تتراوح أعمارهم بين 16 و64 عاماً) مع أسر الأطفال (الأطفال) في 31 </w:t>
      </w:r>
      <w:r w:rsidR="00A57056" w:rsidRPr="00BD7822">
        <w:rPr>
          <w:rFonts w:hint="cs"/>
          <w:rtl/>
        </w:rPr>
        <w:t>آذار/مارس</w:t>
      </w:r>
      <w:r w:rsidRPr="00BD7822">
        <w:rPr>
          <w:rtl/>
        </w:rPr>
        <w:t xml:space="preserve"> 2019؛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تقرير التعداد الإلكتروني السنوي </w:t>
      </w:r>
      <w:r w:rsidRPr="00BD7822">
        <w:rPr>
          <w:rFonts w:hint="cs"/>
          <w:rtl/>
        </w:rPr>
        <w:t>على هذا الموقع</w:t>
      </w:r>
      <w:r w:rsidRPr="00BD7822">
        <w:rPr>
          <w:rtl/>
        </w:rPr>
        <w:t xml:space="preserve">: </w:t>
      </w:r>
      <w:hyperlink r:id="rId270" w:history="1">
        <w:r w:rsidRPr="00BD7822">
          <w:rPr>
            <w:rStyle w:val="Hyperlink"/>
          </w:rPr>
          <w:t>www.gov.gg/population</w:t>
        </w:r>
      </w:hyperlink>
      <w:r w:rsidRPr="00BD7822">
        <w:rPr>
          <w:rtl/>
        </w:rPr>
        <w:t>.</w:t>
      </w:r>
    </w:p>
  </w:footnote>
  <w:footnote w:id="310">
    <w:p w14:paraId="68E3844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البيانات في 31 </w:t>
      </w:r>
      <w:r w:rsidRPr="00BD7822">
        <w:rPr>
          <w:rFonts w:hint="cs"/>
          <w:rtl/>
        </w:rPr>
        <w:t>كانون الأول/</w:t>
      </w:r>
      <w:r w:rsidRPr="00BD7822">
        <w:rPr>
          <w:rtl/>
        </w:rPr>
        <w:t>ديسمبر 201</w:t>
      </w:r>
      <w:r w:rsidRPr="00BD7822">
        <w:rPr>
          <w:rFonts w:hint="cs"/>
          <w:rtl/>
        </w:rPr>
        <w:t>7</w:t>
      </w:r>
      <w:r w:rsidRPr="00BD7822">
        <w:rPr>
          <w:rtl/>
        </w:rPr>
        <w:t xml:space="preserve">.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w:t>
      </w:r>
      <w:r w:rsidRPr="00BD7822">
        <w:rPr>
          <w:rFonts w:hint="cs"/>
          <w:rtl/>
        </w:rPr>
        <w:t>تقرير دخل الأسرة</w:t>
      </w:r>
      <w:r w:rsidRPr="00BD7822">
        <w:rPr>
          <w:rtl/>
        </w:rPr>
        <w:t xml:space="preserve"> </w:t>
      </w:r>
      <w:r w:rsidRPr="00BD7822">
        <w:rPr>
          <w:rFonts w:hint="cs"/>
          <w:rtl/>
        </w:rPr>
        <w:t>على هذا الموقع</w:t>
      </w:r>
      <w:r w:rsidRPr="00BD7822">
        <w:rPr>
          <w:rtl/>
        </w:rPr>
        <w:t xml:space="preserve">: </w:t>
      </w:r>
      <w:hyperlink r:id="rId271" w:history="1">
        <w:r w:rsidRPr="00BD7822">
          <w:rPr>
            <w:rStyle w:val="Hyperlink"/>
          </w:rPr>
          <w:t>www.gov.gg/population</w:t>
        </w:r>
      </w:hyperlink>
      <w:r w:rsidRPr="00BD7822">
        <w:rPr>
          <w:rFonts w:hint="cs"/>
          <w:rtl/>
        </w:rPr>
        <w:t>.</w:t>
      </w:r>
    </w:p>
  </w:footnote>
  <w:footnote w:id="311">
    <w:p w14:paraId="7B5667E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البيانات في 31 </w:t>
      </w:r>
      <w:r w:rsidRPr="00BD7822">
        <w:rPr>
          <w:rFonts w:hint="cs"/>
          <w:rtl/>
        </w:rPr>
        <w:t>كانون الأول/</w:t>
      </w:r>
      <w:r w:rsidRPr="00BD7822">
        <w:rPr>
          <w:rtl/>
        </w:rPr>
        <w:t>ديسمبر 201</w:t>
      </w:r>
      <w:r w:rsidRPr="00BD7822">
        <w:rPr>
          <w:rFonts w:hint="cs"/>
          <w:rtl/>
        </w:rPr>
        <w:t>7</w:t>
      </w:r>
      <w:r w:rsidRPr="00BD7822">
        <w:rPr>
          <w:rtl/>
        </w:rPr>
        <w:t xml:space="preserve">. 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w:t>
      </w:r>
      <w:r w:rsidRPr="00BD7822">
        <w:rPr>
          <w:rFonts w:hint="cs"/>
          <w:rtl/>
        </w:rPr>
        <w:t>تقرير دخل الأسرة</w:t>
      </w:r>
      <w:r w:rsidRPr="00BD7822">
        <w:rPr>
          <w:rtl/>
        </w:rPr>
        <w:t xml:space="preserve"> </w:t>
      </w:r>
      <w:r w:rsidRPr="00BD7822">
        <w:rPr>
          <w:rFonts w:hint="cs"/>
          <w:rtl/>
        </w:rPr>
        <w:t>على هذا الموقع</w:t>
      </w:r>
      <w:r w:rsidRPr="00BD7822">
        <w:rPr>
          <w:rtl/>
        </w:rPr>
        <w:t xml:space="preserve">: </w:t>
      </w:r>
      <w:hyperlink r:id="rId272" w:history="1">
        <w:r w:rsidRPr="00BD7822">
          <w:rPr>
            <w:rStyle w:val="Hyperlink"/>
          </w:rPr>
          <w:t>www.gov.gg/population</w:t>
        </w:r>
      </w:hyperlink>
      <w:r w:rsidRPr="00BD7822">
        <w:rPr>
          <w:rFonts w:hint="cs"/>
          <w:rtl/>
        </w:rPr>
        <w:t>.</w:t>
      </w:r>
    </w:p>
  </w:footnote>
  <w:footnote w:id="312">
    <w:p w14:paraId="3CDC765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تعريف الوزن الناقص هو مئين مؤشر كتلة الجسم يساوي 2 أو أقل. أما المنحنى المرجعي للنمو فهو الخاص بالمملكة المتحدة لعام 1990. الصحة العامة والاستراتيجية، وزارة الصحة والخدمات الاجتماعية.</w:t>
      </w:r>
    </w:p>
  </w:footnote>
  <w:footnote w:id="313">
    <w:p w14:paraId="70B4994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ملف التعريف الصحي لإقليم غيرنسي 2013-2015، على الموقع </w:t>
      </w:r>
      <w:hyperlink r:id="rId273" w:history="1">
        <w:r w:rsidRPr="00BD7822">
          <w:rPr>
            <w:rStyle w:val="Hyperlink"/>
          </w:rPr>
          <w:t>https://www.gov.gg/CHttpHandler.ashx?id=</w:t>
        </w:r>
        <w:r w:rsidRPr="00BD7822">
          <w:rPr>
            <w:rStyle w:val="Hyperlink"/>
          </w:rPr>
          <w:br/>
          <w:t>104975&amp;p=0</w:t>
        </w:r>
      </w:hyperlink>
      <w:r w:rsidRPr="00BD7822">
        <w:rPr>
          <w:rFonts w:hint="cs"/>
          <w:rtl/>
        </w:rPr>
        <w:t>، صفحة 34.</w:t>
      </w:r>
    </w:p>
  </w:footnote>
  <w:footnote w:id="314">
    <w:p w14:paraId="5B69496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ملف التعريف الصحي لإقليم غيرنسي 2013-2015، على الموقع </w:t>
      </w:r>
      <w:hyperlink r:id="rId274" w:history="1">
        <w:r w:rsidRPr="00BD7822">
          <w:rPr>
            <w:rStyle w:val="Hyperlink"/>
          </w:rPr>
          <w:t>https://www.gov.gg/CHttpHandler.ashx?id=</w:t>
        </w:r>
        <w:r w:rsidRPr="00BD7822">
          <w:rPr>
            <w:rStyle w:val="Hyperlink"/>
          </w:rPr>
          <w:br/>
          <w:t>104975&amp;p=0</w:t>
        </w:r>
      </w:hyperlink>
      <w:r w:rsidRPr="00BD7822">
        <w:rPr>
          <w:rFonts w:hint="cs"/>
          <w:rtl/>
        </w:rPr>
        <w:t>، ص 29 وص 81.</w:t>
      </w:r>
    </w:p>
  </w:footnote>
  <w:footnote w:id="315">
    <w:p w14:paraId="7131E42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وحدة </w:t>
      </w:r>
      <w:r w:rsidRPr="00BD7822">
        <w:rPr>
          <w:rFonts w:hint="cs"/>
          <w:rtl/>
        </w:rPr>
        <w:t>البحوث</w:t>
      </w:r>
      <w:r w:rsidRPr="00BD7822">
        <w:rPr>
          <w:rtl/>
        </w:rPr>
        <w:t xml:space="preserve"> الصحية، لجنة الرعاية الصحية والاجتماعية.</w:t>
      </w:r>
    </w:p>
  </w:footnote>
  <w:footnote w:id="316">
    <w:p w14:paraId="2209E5E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ملف التعريف الصحي لإقليم غيرنسي 2013-2015، على الموقع </w:t>
      </w:r>
      <w:hyperlink r:id="rId275" w:history="1">
        <w:r w:rsidRPr="00BD7822">
          <w:rPr>
            <w:rStyle w:val="Hyperlink"/>
          </w:rPr>
          <w:t>https://www.gov.gg/CHttpHandler.ashx?id=</w:t>
        </w:r>
        <w:r w:rsidRPr="00BD7822">
          <w:rPr>
            <w:rStyle w:val="Hyperlink"/>
          </w:rPr>
          <w:br/>
          <w:t>104975&amp;p=0</w:t>
        </w:r>
      </w:hyperlink>
      <w:r w:rsidRPr="00BD7822">
        <w:rPr>
          <w:rFonts w:hint="cs"/>
          <w:rtl/>
        </w:rPr>
        <w:t>، صفحة 58.</w:t>
      </w:r>
    </w:p>
  </w:footnote>
  <w:footnote w:id="317">
    <w:p w14:paraId="70C500E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ملف التعريف الصحي لإقليم غيرنسي 2013-2015، على الموقع </w:t>
      </w:r>
      <w:hyperlink r:id="rId276" w:history="1">
        <w:r w:rsidRPr="00BD7822">
          <w:rPr>
            <w:rStyle w:val="Hyperlink"/>
          </w:rPr>
          <w:t>https://www.gov.gg/CHttpHandler.ashx?id=</w:t>
        </w:r>
        <w:r w:rsidRPr="00BD7822">
          <w:rPr>
            <w:rStyle w:val="Hyperlink"/>
          </w:rPr>
          <w:br/>
          <w:t>104975&amp;p=0</w:t>
        </w:r>
      </w:hyperlink>
      <w:r w:rsidRPr="00BD7822">
        <w:rPr>
          <w:rFonts w:hint="cs"/>
          <w:rtl/>
        </w:rPr>
        <w:t>، صفحة 58.</w:t>
      </w:r>
    </w:p>
  </w:footnote>
  <w:footnote w:id="318">
    <w:p w14:paraId="50C10DD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ملف التعريف الصحي لإقليم غيرنسي 2013-2015، على الموقع </w:t>
      </w:r>
      <w:hyperlink r:id="rId277" w:history="1">
        <w:r w:rsidRPr="00BD7822">
          <w:rPr>
            <w:rStyle w:val="Hyperlink"/>
          </w:rPr>
          <w:t>https://www.gov.gg/CHttpHandler.ashx?id=</w:t>
        </w:r>
        <w:r w:rsidRPr="00BD7822">
          <w:rPr>
            <w:rStyle w:val="Hyperlink"/>
          </w:rPr>
          <w:br/>
          <w:t>104975&amp;p=0</w:t>
        </w:r>
      </w:hyperlink>
      <w:r w:rsidRPr="00BD7822">
        <w:rPr>
          <w:rFonts w:hint="cs"/>
          <w:rtl/>
        </w:rPr>
        <w:t>، صفحة 49.</w:t>
      </w:r>
    </w:p>
  </w:footnote>
  <w:footnote w:id="319">
    <w:p w14:paraId="193CBC4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لجنة التربية والرياضة والثقافة، 2018-</w:t>
      </w:r>
      <w:r w:rsidRPr="00BD7822">
        <w:rPr>
          <w:rFonts w:hint="cs"/>
          <w:rtl/>
        </w:rPr>
        <w:t>2019.</w:t>
      </w:r>
    </w:p>
  </w:footnote>
  <w:footnote w:id="320">
    <w:p w14:paraId="4A0F10E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لجنة التربية والرياضة والثقافة، 2018-</w:t>
      </w:r>
      <w:r w:rsidRPr="00BD7822">
        <w:rPr>
          <w:rFonts w:hint="cs"/>
          <w:rtl/>
        </w:rPr>
        <w:t>2019 (</w:t>
      </w:r>
      <w:r w:rsidRPr="00BD7822">
        <w:rPr>
          <w:color w:val="000000"/>
          <w:lang w:eastAsia="en-GB"/>
        </w:rPr>
        <w:t>SAP and SIMS</w:t>
      </w:r>
      <w:r w:rsidRPr="00BD7822">
        <w:rPr>
          <w:rFonts w:hint="cs"/>
          <w:rtl/>
        </w:rPr>
        <w:t>)</w:t>
      </w:r>
    </w:p>
  </w:footnote>
  <w:footnote w:id="321">
    <w:p w14:paraId="3F097C5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لجنة التوظيف والضمان الاجتماعي</w:t>
      </w:r>
      <w:r w:rsidRPr="00BD7822">
        <w:rPr>
          <w:rFonts w:hint="cs"/>
          <w:rtl/>
        </w:rPr>
        <w:t xml:space="preserve">. ترد </w:t>
      </w:r>
      <w:r w:rsidRPr="00BD7822">
        <w:rPr>
          <w:rtl/>
        </w:rPr>
        <w:t>المعلومات في</w:t>
      </w:r>
      <w:r w:rsidRPr="00BD7822">
        <w:rPr>
          <w:rFonts w:hint="cs"/>
          <w:rtl/>
        </w:rPr>
        <w:t xml:space="preserve"> نشرة البطالة وفي </w:t>
      </w:r>
      <w:r w:rsidRPr="00BD7822">
        <w:rPr>
          <w:rtl/>
        </w:rPr>
        <w:t xml:space="preserve">نشرة السكان والتوظيف والأرباح ربع السنوية </w:t>
      </w:r>
      <w:r w:rsidRPr="00BD7822">
        <w:rPr>
          <w:rFonts w:hint="cs"/>
          <w:rtl/>
        </w:rPr>
        <w:t>على هذا الموقع</w:t>
      </w:r>
      <w:r w:rsidRPr="00BD7822">
        <w:rPr>
          <w:rtl/>
        </w:rPr>
        <w:t xml:space="preserve">: </w:t>
      </w:r>
      <w:hyperlink r:id="rId278" w:history="1">
        <w:r w:rsidRPr="00BD7822">
          <w:rPr>
            <w:rStyle w:val="Hyperlink"/>
          </w:rPr>
          <w:t>www.gov.gg/population</w:t>
        </w:r>
      </w:hyperlink>
      <w:r w:rsidRPr="00BD7822">
        <w:rPr>
          <w:rFonts w:hint="cs"/>
          <w:rtl/>
        </w:rPr>
        <w:t>.</w:t>
      </w:r>
    </w:p>
  </w:footnote>
  <w:footnote w:id="322">
    <w:p w14:paraId="69F2DA9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البيانات في 30 </w:t>
      </w:r>
      <w:r w:rsidRPr="00BD7822">
        <w:rPr>
          <w:rFonts w:hint="cs"/>
          <w:rtl/>
        </w:rPr>
        <w:t>حزيران/</w:t>
      </w:r>
      <w:r w:rsidRPr="00BD7822">
        <w:rPr>
          <w:rtl/>
        </w:rPr>
        <w:t>يوني</w:t>
      </w:r>
      <w:r w:rsidRPr="00BD7822">
        <w:rPr>
          <w:rFonts w:hint="cs"/>
          <w:rtl/>
        </w:rPr>
        <w:t>ه</w:t>
      </w:r>
      <w:r w:rsidRPr="00BD7822">
        <w:rPr>
          <w:rtl/>
        </w:rPr>
        <w:t xml:space="preserve"> 2020. تشمل البيانات جميع الموظفين والعاملين لحسابهم الخاص لكل قطاع وتحسب جميع الوظائف، بما في ذلك الوظائف الثانية والثالثة والرابعة التي يقوم بها الأفرا</w:t>
      </w:r>
      <w:r w:rsidRPr="00BD7822">
        <w:rPr>
          <w:rFonts w:hint="cs"/>
          <w:rtl/>
        </w:rPr>
        <w:t xml:space="preserve">د. </w:t>
      </w:r>
      <w:r w:rsidRPr="00BD7822">
        <w:rPr>
          <w:rtl/>
        </w:rPr>
        <w:t xml:space="preserve">المصدر: </w:t>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79" w:history="1">
        <w:r w:rsidRPr="00BD7822">
          <w:rPr>
            <w:rStyle w:val="Hyperlink"/>
          </w:rPr>
          <w:t>www.gov.gg/population</w:t>
        </w:r>
      </w:hyperlink>
      <w:r w:rsidRPr="00BD7822">
        <w:rPr>
          <w:rFonts w:hint="cs"/>
          <w:rtl/>
        </w:rPr>
        <w:t>.</w:t>
      </w:r>
    </w:p>
  </w:footnote>
  <w:footnote w:id="323">
    <w:p w14:paraId="24B877F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80" w:history="1">
        <w:r w:rsidRPr="00BD7822">
          <w:rPr>
            <w:rStyle w:val="Hyperlink"/>
          </w:rPr>
          <w:t>www.gov.gg/population</w:t>
        </w:r>
      </w:hyperlink>
      <w:r w:rsidRPr="00BD7822">
        <w:rPr>
          <w:rFonts w:hint="cs"/>
          <w:rtl/>
        </w:rPr>
        <w:t>.</w:t>
      </w:r>
    </w:p>
  </w:footnote>
  <w:footnote w:id="324">
    <w:p w14:paraId="53DE556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hyperlink r:id="rId281" w:history="1">
        <w:r w:rsidRPr="00BD7822">
          <w:rPr>
            <w:rStyle w:val="Hyperlink"/>
          </w:rPr>
          <w:t>www.gov.gg/population</w:t>
        </w:r>
      </w:hyperlink>
      <w:r w:rsidRPr="00BD7822">
        <w:rPr>
          <w:rFonts w:hint="cs"/>
          <w:rtl/>
        </w:rPr>
        <w:t>.</w:t>
      </w:r>
    </w:p>
  </w:footnote>
  <w:footnote w:id="325">
    <w:p w14:paraId="137E5B9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حقائق وأرقام تتعلق بغيرنسي 2020، متاحة على الموقع: </w:t>
      </w:r>
      <w:hyperlink r:id="rId282" w:history="1">
        <w:r w:rsidRPr="00BD7822">
          <w:rPr>
            <w:rStyle w:val="Hyperlink"/>
          </w:rPr>
          <w:t>www.gov.gg/ff</w:t>
        </w:r>
      </w:hyperlink>
      <w:r w:rsidRPr="00BD7822">
        <w:rPr>
          <w:rFonts w:hint="cs"/>
          <w:rtl/>
        </w:rPr>
        <w:t>.</w:t>
      </w:r>
    </w:p>
  </w:footnote>
  <w:footnote w:id="326">
    <w:p w14:paraId="718D1C5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83" w:history="1">
        <w:r w:rsidRPr="00BD7822">
          <w:rPr>
            <w:rStyle w:val="Hyperlink"/>
          </w:rPr>
          <w:t>www.gov.gg/data</w:t>
        </w:r>
      </w:hyperlink>
      <w:r w:rsidRPr="00BD7822">
        <w:rPr>
          <w:rtl/>
        </w:rPr>
        <w:t>.</w:t>
      </w:r>
    </w:p>
  </w:footnote>
  <w:footnote w:id="327">
    <w:p w14:paraId="4D84A63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لاحظ أن هذا </w:t>
      </w:r>
      <w:r w:rsidRPr="00BD7822">
        <w:rPr>
          <w:rFonts w:hint="cs"/>
          <w:noProof/>
          <w:rtl/>
        </w:rPr>
        <w:t>مؤشر أسعار التجزئة</w:t>
      </w:r>
      <w:r w:rsidRPr="00BD7822">
        <w:rPr>
          <w:rtl/>
        </w:rPr>
        <w:t xml:space="preserve">، وليس </w:t>
      </w:r>
      <w:r w:rsidRPr="00BD7822">
        <w:rPr>
          <w:rFonts w:hint="cs"/>
          <w:noProof/>
          <w:rtl/>
        </w:rPr>
        <w:t>مؤشر أسعار الاستهلاك</w:t>
      </w:r>
      <w:r w:rsidRPr="00BD7822">
        <w:rPr>
          <w:rtl/>
        </w:rPr>
        <w:t xml:space="preserve">. المصدر: </w:t>
      </w:r>
      <w:hyperlink r:id="rId284" w:history="1">
        <w:r w:rsidRPr="00BD7822">
          <w:t xml:space="preserve"> </w:t>
        </w:r>
        <w:r w:rsidRPr="00BD7822">
          <w:rPr>
            <w:rStyle w:val="Hyperlink"/>
            <w:lang w:bidi="ar-LB"/>
          </w:rPr>
          <w:t xml:space="preserve">www.gov.gg/rpi </w:t>
        </w:r>
      </w:hyperlink>
      <w:r w:rsidRPr="00BD7822">
        <w:rPr>
          <w:rFonts w:hint="cs"/>
          <w:rtl/>
        </w:rPr>
        <w:t>.</w:t>
      </w:r>
    </w:p>
  </w:footnote>
  <w:footnote w:id="328">
    <w:p w14:paraId="74EA8FB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www.gov.gg/politicalparties</w:t>
      </w:r>
      <w:r w:rsidRPr="00BD7822">
        <w:rPr>
          <w:rFonts w:hint="cs"/>
          <w:rtl/>
        </w:rPr>
        <w:t>.</w:t>
      </w:r>
    </w:p>
  </w:footnote>
  <w:footnote w:id="329">
    <w:p w14:paraId="6598F8C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التعداد الإلكتروني </w:t>
      </w:r>
      <w:r w:rsidRPr="00BD7822">
        <w:rPr>
          <w:rtl/>
        </w:rPr>
        <w:t xml:space="preserve">المتداول؛ </w:t>
      </w:r>
      <w:r w:rsidRPr="00BD7822">
        <w:rPr>
          <w:rFonts w:hint="cs"/>
          <w:rtl/>
        </w:rPr>
        <w:t xml:space="preserve">ترد </w:t>
      </w:r>
      <w:r w:rsidRPr="00BD7822">
        <w:rPr>
          <w:rtl/>
        </w:rPr>
        <w:t xml:space="preserve">المعلومات في نشرة السكان والتوظيف والأرباح ربع السنوية </w:t>
      </w:r>
      <w:r w:rsidRPr="00BD7822">
        <w:rPr>
          <w:rFonts w:hint="cs"/>
          <w:rtl/>
        </w:rPr>
        <w:t>على هذا الموقع</w:t>
      </w:r>
      <w:r w:rsidRPr="00BD7822">
        <w:rPr>
          <w:rtl/>
        </w:rPr>
        <w:t xml:space="preserve">: </w:t>
      </w:r>
      <w:r w:rsidRPr="00BD7822">
        <w:rPr>
          <w:rStyle w:val="Hyperlink"/>
        </w:rPr>
        <w:t>www.gov.gg/population</w:t>
      </w:r>
      <w:r w:rsidRPr="00BD7822">
        <w:rPr>
          <w:rFonts w:hint="cs"/>
          <w:rtl/>
        </w:rPr>
        <w:t>.</w:t>
      </w:r>
    </w:p>
  </w:footnote>
  <w:footnote w:id="330">
    <w:p w14:paraId="388C262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البيانات في نهاية الربع الثالث من عام 2021. المصدر: سجل غيرنسي: </w:t>
      </w:r>
      <w:hyperlink r:id="rId285" w:history="1">
        <w:r w:rsidRPr="00BD7822">
          <w:rPr>
            <w:rStyle w:val="Hyperlink"/>
          </w:rPr>
          <w:t>http://www.guernseyregistry.com/</w:t>
        </w:r>
        <w:r w:rsidRPr="00BD7822">
          <w:rPr>
            <w:rStyle w:val="Hyperlink"/>
          </w:rPr>
          <w:br/>
          <w:t>CharitiesRegister</w:t>
        </w:r>
      </w:hyperlink>
      <w:r w:rsidRPr="00BD7822">
        <w:rPr>
          <w:rtl/>
        </w:rPr>
        <w:t xml:space="preserve"> و</w:t>
      </w:r>
      <w:r w:rsidRPr="00BD7822">
        <w:t xml:space="preserve"> </w:t>
      </w:r>
      <w:r w:rsidRPr="00BD7822">
        <w:rPr>
          <w:rStyle w:val="Hyperlink"/>
        </w:rPr>
        <w:t>http://www.guernseyregistry.com/NPORegister</w:t>
      </w:r>
      <w:r w:rsidRPr="00BD7822">
        <w:rPr>
          <w:rFonts w:hint="cs"/>
          <w:rtl/>
          <w:lang w:val="fr-FR"/>
        </w:rPr>
        <w:t>.</w:t>
      </w:r>
    </w:p>
  </w:footnote>
  <w:footnote w:id="331">
    <w:p w14:paraId="73A1AEA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86" w:history="1">
        <w:r w:rsidRPr="00BD7822">
          <w:rPr>
            <w:rStyle w:val="Hyperlink"/>
            <w:rFonts w:hint="cs"/>
            <w:rtl/>
          </w:rPr>
          <w:t>التقرير السنوي لإنفاذ القانون، 2019</w:t>
        </w:r>
      </w:hyperlink>
      <w:r w:rsidRPr="00BD7822">
        <w:rPr>
          <w:rFonts w:hint="cs"/>
          <w:rtl/>
        </w:rPr>
        <w:t>.</w:t>
      </w:r>
    </w:p>
  </w:footnote>
  <w:footnote w:id="332">
    <w:p w14:paraId="1CB5B40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87" w:history="1">
        <w:r w:rsidRPr="00BD7822">
          <w:rPr>
            <w:rStyle w:val="Hyperlink"/>
            <w:rFonts w:hint="cs"/>
            <w:rtl/>
          </w:rPr>
          <w:t>التقرير السنوي لإنفاذ القانون، 2019</w:t>
        </w:r>
      </w:hyperlink>
      <w:r w:rsidRPr="00BD7822">
        <w:rPr>
          <w:rFonts w:hint="cs"/>
          <w:rtl/>
        </w:rPr>
        <w:t>.</w:t>
      </w:r>
    </w:p>
  </w:footnote>
  <w:footnote w:id="333">
    <w:p w14:paraId="01C934E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88" w:history="1">
        <w:r w:rsidRPr="00BD7822">
          <w:rPr>
            <w:rStyle w:val="Hyperlink"/>
            <w:rtl/>
          </w:rPr>
          <w:t xml:space="preserve">التقرير السنوي </w:t>
        </w:r>
        <w:r w:rsidRPr="00BD7822">
          <w:rPr>
            <w:rStyle w:val="Hyperlink"/>
            <w:rFonts w:hint="cs"/>
            <w:rtl/>
          </w:rPr>
          <w:t>عن سجون</w:t>
        </w:r>
        <w:r w:rsidRPr="00BD7822">
          <w:rPr>
            <w:rStyle w:val="Hyperlink"/>
            <w:rtl/>
          </w:rPr>
          <w:t xml:space="preserve"> غيرنسي</w:t>
        </w:r>
        <w:r w:rsidRPr="00BD7822">
          <w:rPr>
            <w:rStyle w:val="Hyperlink"/>
            <w:rFonts w:hint="cs"/>
            <w:rtl/>
          </w:rPr>
          <w:t>،</w:t>
        </w:r>
        <w:r w:rsidRPr="00BD7822">
          <w:rPr>
            <w:rStyle w:val="Hyperlink"/>
            <w:rtl/>
          </w:rPr>
          <w:t xml:space="preserve"> 2019</w:t>
        </w:r>
      </w:hyperlink>
      <w:r w:rsidRPr="00BD7822">
        <w:rPr>
          <w:rFonts w:hint="cs"/>
          <w:rtl/>
        </w:rPr>
        <w:t>.</w:t>
      </w:r>
    </w:p>
  </w:footnote>
  <w:footnote w:id="334">
    <w:p w14:paraId="1EFF8E7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تطبق عقوبة الإعدام.</w:t>
      </w:r>
    </w:p>
  </w:footnote>
  <w:footnote w:id="335">
    <w:p w14:paraId="4D09FB9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89" w:history="1">
        <w:r w:rsidRPr="00BD7822">
          <w:rPr>
            <w:rStyle w:val="Hyperlink"/>
            <w:rFonts w:hint="cs"/>
            <w:rtl/>
          </w:rPr>
          <w:t>التقرير السنوي لإنفاذ القانون، 2019</w:t>
        </w:r>
      </w:hyperlink>
      <w:r w:rsidRPr="00BD7822">
        <w:rPr>
          <w:rFonts w:hint="cs"/>
          <w:rtl/>
        </w:rPr>
        <w:t>.</w:t>
      </w:r>
    </w:p>
  </w:footnote>
  <w:footnote w:id="336">
    <w:p w14:paraId="1305F12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التقرير السنوي عن السياسات في غيرنسي، 2012، </w:t>
      </w:r>
      <w:r w:rsidRPr="00BD7822">
        <w:rPr>
          <w:rStyle w:val="Hyperlink"/>
        </w:rPr>
        <w:t>http://www.gov.gg/CHttpHandler.ashx?id=83539&amp;p=0</w:t>
      </w:r>
      <w:r w:rsidRPr="00BD7822">
        <w:rPr>
          <w:rFonts w:hint="cs"/>
          <w:rtl/>
        </w:rPr>
        <w:t>.</w:t>
      </w:r>
    </w:p>
  </w:footnote>
  <w:footnote w:id="337">
    <w:p w14:paraId="660227F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المعلومات الدستورية: </w:t>
      </w:r>
      <w:r w:rsidRPr="00BD7822">
        <w:rPr>
          <w:rStyle w:val="Hyperlink"/>
        </w:rPr>
        <w:t>http://www.guernseyroyalcourt.gg/article/1952/Constitutional-Information</w:t>
      </w:r>
      <w:r w:rsidRPr="00BD7822">
        <w:rPr>
          <w:rFonts w:hint="cs"/>
          <w:rtl/>
        </w:rPr>
        <w:t>.</w:t>
      </w:r>
    </w:p>
  </w:footnote>
  <w:footnote w:id="338">
    <w:p w14:paraId="7BC3CF5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قانون الإصلاح: </w:t>
      </w:r>
      <w:r w:rsidRPr="00BD7822">
        <w:rPr>
          <w:rStyle w:val="Hyperlink"/>
        </w:rPr>
        <w:t>http://www.guernseylegalresources.gg/article/96991/Reform-Guernsey-Law-1948-Consolidated-text</w:t>
      </w:r>
      <w:r w:rsidRPr="00BD7822">
        <w:rPr>
          <w:rFonts w:hint="cs"/>
          <w:rtl/>
        </w:rPr>
        <w:t>.</w:t>
      </w:r>
    </w:p>
  </w:footnote>
  <w:footnote w:id="339">
    <w:p w14:paraId="21F57D85" w14:textId="0B8D0152"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كانت هيئة المداولة والهيئة الانتخابية موجودة</w:t>
      </w:r>
      <w:r w:rsidRPr="00BD7822">
        <w:rPr>
          <w:rtl/>
        </w:rPr>
        <w:t xml:space="preserve"> بشكل أو بآخر لمئات السنين.</w:t>
      </w:r>
    </w:p>
  </w:footnote>
  <w:footnote w:id="340">
    <w:p w14:paraId="61DD0D3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هناك تشريعات أخرى ذات صلة أيضاً </w:t>
      </w:r>
      <w:r w:rsidRPr="00BD7822">
        <w:rPr>
          <w:rFonts w:hint="cs"/>
          <w:rtl/>
        </w:rPr>
        <w:t>بهيئة المداولة</w:t>
      </w:r>
      <w:r w:rsidRPr="00BD7822">
        <w:rPr>
          <w:rtl/>
        </w:rPr>
        <w:t>، لكن قانون الإصلاح (غيرنسي) لعام 1948 هو التشريع الأكثر أهمية في هذا الصدد</w:t>
      </w:r>
      <w:r w:rsidRPr="00BD7822">
        <w:rPr>
          <w:rFonts w:hint="cs"/>
          <w:rtl/>
        </w:rPr>
        <w:t>.</w:t>
      </w:r>
    </w:p>
  </w:footnote>
  <w:footnote w:id="341">
    <w:p w14:paraId="784FDB4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تتاح قوائم </w:t>
      </w:r>
      <w:r w:rsidRPr="00BD7822">
        <w:rPr>
          <w:rtl/>
        </w:rPr>
        <w:t xml:space="preserve">أعضاء </w:t>
      </w:r>
      <w:r w:rsidRPr="00BD7822">
        <w:rPr>
          <w:rFonts w:hint="cs"/>
          <w:rtl/>
        </w:rPr>
        <w:t>هيئة المداولة</w:t>
      </w:r>
      <w:r w:rsidRPr="00BD7822">
        <w:rPr>
          <w:rtl/>
        </w:rPr>
        <w:t xml:space="preserve"> وعضوية </w:t>
      </w:r>
      <w:r w:rsidRPr="00BD7822">
        <w:rPr>
          <w:rFonts w:hint="cs"/>
          <w:rtl/>
        </w:rPr>
        <w:t>ال</w:t>
      </w:r>
      <w:r w:rsidRPr="00BD7822">
        <w:rPr>
          <w:rtl/>
        </w:rPr>
        <w:t xml:space="preserve">لجان </w:t>
      </w:r>
      <w:r w:rsidRPr="00BD7822">
        <w:rPr>
          <w:rFonts w:hint="cs"/>
          <w:rtl/>
        </w:rPr>
        <w:t xml:space="preserve">البرلمانية والسلطات والمجالس واللجان على الموقع التالي: </w:t>
      </w:r>
      <w:r w:rsidRPr="00BD7822">
        <w:rPr>
          <w:rStyle w:val="Hyperlink"/>
        </w:rPr>
        <w:t>https://www.gov.gg/CHttpHandler.ashx?id=104054&amp;p=0</w:t>
      </w:r>
      <w:r w:rsidRPr="00BD7822">
        <w:rPr>
          <w:rFonts w:hint="cs"/>
          <w:rtl/>
        </w:rPr>
        <w:t>.</w:t>
      </w:r>
    </w:p>
  </w:footnote>
  <w:footnote w:id="342">
    <w:p w14:paraId="2A9C21C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أسماء الكيانات (اللجان والسلطات والمجالس واللجان) </w:t>
      </w:r>
      <w:r w:rsidRPr="00BD7822">
        <w:rPr>
          <w:rFonts w:hint="cs"/>
          <w:rtl/>
        </w:rPr>
        <w:t>موجودة على الموقع التالي</w:t>
      </w:r>
      <w:r w:rsidRPr="00BD7822">
        <w:rPr>
          <w:rtl/>
        </w:rPr>
        <w:t xml:space="preserve">: </w:t>
      </w:r>
      <w:r w:rsidRPr="00BD7822">
        <w:rPr>
          <w:rStyle w:val="Hyperlink"/>
        </w:rPr>
        <w:t>https://www.gov.gg/committees</w:t>
      </w:r>
      <w:r w:rsidRPr="00BD7822">
        <w:rPr>
          <w:rtl/>
        </w:rPr>
        <w:t>.</w:t>
      </w:r>
    </w:p>
  </w:footnote>
  <w:footnote w:id="343">
    <w:p w14:paraId="42C8102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كانت الانتخابات </w:t>
      </w:r>
      <w:r w:rsidRPr="00BD7822">
        <w:rPr>
          <w:rFonts w:hint="cs"/>
          <w:rtl/>
        </w:rPr>
        <w:t xml:space="preserve">تجري </w:t>
      </w:r>
      <w:r w:rsidRPr="00BD7822">
        <w:rPr>
          <w:rtl/>
        </w:rPr>
        <w:t xml:space="preserve">في السابق لمقاعد في دوائر انتخابية مختلفة، وليس في دائرة انتخابية واحدة </w:t>
      </w:r>
      <w:r w:rsidRPr="00BD7822">
        <w:rPr>
          <w:rFonts w:hint="cs"/>
          <w:rtl/>
        </w:rPr>
        <w:t>تشمل</w:t>
      </w:r>
      <w:r w:rsidRPr="00BD7822">
        <w:rPr>
          <w:rtl/>
        </w:rPr>
        <w:t xml:space="preserve"> الجزيرة</w:t>
      </w:r>
      <w:r w:rsidRPr="00BD7822">
        <w:rPr>
          <w:rFonts w:hint="cs"/>
          <w:rtl/>
        </w:rPr>
        <w:t xml:space="preserve"> كلها</w:t>
      </w:r>
      <w:r w:rsidRPr="00BD7822">
        <w:rPr>
          <w:rtl/>
        </w:rPr>
        <w:t>.</w:t>
      </w:r>
    </w:p>
  </w:footnote>
  <w:footnote w:id="344">
    <w:p w14:paraId="101F971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في عام 2020، </w:t>
      </w:r>
      <w:r w:rsidRPr="00BD7822">
        <w:rPr>
          <w:rFonts w:hint="cs"/>
          <w:rtl/>
        </w:rPr>
        <w:t>مُددت دورة الفترة</w:t>
      </w:r>
      <w:r w:rsidRPr="00BD7822">
        <w:rPr>
          <w:rtl/>
        </w:rPr>
        <w:t xml:space="preserve"> 2016-2020 لما يقرب من أربعة أشهر بسبب التأخير الناجم عن الانتخابات العامة بسبب جائحة </w:t>
      </w:r>
      <w:r w:rsidRPr="00BD7822">
        <w:rPr>
          <w:rFonts w:hint="cs"/>
          <w:rtl/>
        </w:rPr>
        <w:t>كوفيد-19</w:t>
      </w:r>
      <w:r w:rsidRPr="00BD7822">
        <w:rPr>
          <w:rtl/>
        </w:rPr>
        <w:t xml:space="preserve">. ستستمر الفترة الحالية من </w:t>
      </w:r>
      <w:r w:rsidRPr="00BD7822">
        <w:rPr>
          <w:rFonts w:hint="cs"/>
          <w:rtl/>
        </w:rPr>
        <w:t>تشرين الأول/</w:t>
      </w:r>
      <w:r w:rsidRPr="00BD7822">
        <w:rPr>
          <w:rtl/>
        </w:rPr>
        <w:t xml:space="preserve">أكتوبر 2020 حتى </w:t>
      </w:r>
      <w:r w:rsidRPr="00BD7822">
        <w:rPr>
          <w:rFonts w:hint="cs"/>
          <w:rtl/>
        </w:rPr>
        <w:t>حزيران/</w:t>
      </w:r>
      <w:r w:rsidRPr="00BD7822">
        <w:rPr>
          <w:rtl/>
        </w:rPr>
        <w:t>يوني</w:t>
      </w:r>
      <w:r w:rsidRPr="00BD7822">
        <w:rPr>
          <w:rFonts w:hint="cs"/>
          <w:rtl/>
        </w:rPr>
        <w:t>ه</w:t>
      </w:r>
      <w:r w:rsidRPr="00BD7822">
        <w:rPr>
          <w:rtl/>
        </w:rPr>
        <w:t xml:space="preserve"> 2025. </w:t>
      </w:r>
      <w:r w:rsidRPr="00BD7822">
        <w:rPr>
          <w:rFonts w:hint="cs"/>
          <w:rtl/>
        </w:rPr>
        <w:t>و</w:t>
      </w:r>
      <w:r w:rsidRPr="00BD7822">
        <w:rPr>
          <w:rtl/>
        </w:rPr>
        <w:t xml:space="preserve">بالضرورة </w:t>
      </w:r>
      <w:r w:rsidRPr="00BD7822">
        <w:rPr>
          <w:rFonts w:hint="cs"/>
          <w:rtl/>
        </w:rPr>
        <w:t xml:space="preserve">فإن </w:t>
      </w:r>
      <w:r w:rsidRPr="00BD7822">
        <w:rPr>
          <w:rtl/>
        </w:rPr>
        <w:t xml:space="preserve">النائب المنتخب في انتخابات فرعية </w:t>
      </w:r>
      <w:r w:rsidRPr="00BD7822">
        <w:rPr>
          <w:rFonts w:hint="cs"/>
          <w:rtl/>
        </w:rPr>
        <w:t>يُنتخب</w:t>
      </w:r>
      <w:r w:rsidRPr="00BD7822">
        <w:rPr>
          <w:rtl/>
        </w:rPr>
        <w:t xml:space="preserve"> لفترة أقصر.</w:t>
      </w:r>
    </w:p>
  </w:footnote>
  <w:footnote w:id="345">
    <w:p w14:paraId="26F4CDD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تتألف </w:t>
      </w:r>
      <w:r w:rsidRPr="00BD7822">
        <w:rPr>
          <w:rFonts w:hint="cs"/>
          <w:rtl/>
        </w:rPr>
        <w:t>الهيئة الانتخابية</w:t>
      </w:r>
      <w:r w:rsidRPr="00BD7822">
        <w:rPr>
          <w:rtl/>
        </w:rPr>
        <w:t xml:space="preserve"> من جميع أعضاء </w:t>
      </w:r>
      <w:r w:rsidRPr="00BD7822">
        <w:rPr>
          <w:rFonts w:hint="cs"/>
          <w:rtl/>
        </w:rPr>
        <w:t>هيئة المداولة</w:t>
      </w:r>
      <w:r w:rsidRPr="00BD7822">
        <w:rPr>
          <w:rtl/>
        </w:rPr>
        <w:t xml:space="preserve"> باستثناء نائبي </w:t>
      </w:r>
      <w:r w:rsidRPr="00BD7822">
        <w:rPr>
          <w:rFonts w:hint="cs"/>
          <w:rtl/>
        </w:rPr>
        <w:t>أ</w:t>
      </w:r>
      <w:r w:rsidRPr="00BD7822">
        <w:rPr>
          <w:rtl/>
        </w:rPr>
        <w:t xml:space="preserve">لديرني. كما تضم جميع المحلفين ورؤساء الأبرشيات وممثلي </w:t>
      </w:r>
      <w:r w:rsidRPr="00BD7822">
        <w:rPr>
          <w:rFonts w:hint="cs"/>
          <w:rtl/>
        </w:rPr>
        <w:t>أبرشيات</w:t>
      </w:r>
      <w:r w:rsidRPr="00BD7822">
        <w:rPr>
          <w:rtl/>
        </w:rPr>
        <w:t xml:space="preserve"> غيرنسي. </w:t>
      </w:r>
      <w:r w:rsidRPr="00BD7822">
        <w:rPr>
          <w:rFonts w:hint="cs"/>
          <w:rtl/>
        </w:rPr>
        <w:t>و</w:t>
      </w:r>
      <w:r w:rsidRPr="00BD7822">
        <w:rPr>
          <w:rtl/>
        </w:rPr>
        <w:t xml:space="preserve">يحق لجميع أعضائها التصويت، باستثناء </w:t>
      </w:r>
      <w:r w:rsidRPr="00BD7822">
        <w:rPr>
          <w:rFonts w:hint="cs"/>
          <w:rtl/>
        </w:rPr>
        <w:t>ال</w:t>
      </w:r>
      <w:r w:rsidRPr="00BD7822">
        <w:rPr>
          <w:rtl/>
        </w:rPr>
        <w:t xml:space="preserve">رئيس، أو القائم بأعمال </w:t>
      </w:r>
      <w:r w:rsidRPr="00BD7822">
        <w:rPr>
          <w:rFonts w:hint="cs"/>
          <w:rtl/>
        </w:rPr>
        <w:t>ال</w:t>
      </w:r>
      <w:r w:rsidRPr="00BD7822">
        <w:rPr>
          <w:rtl/>
        </w:rPr>
        <w:t>رئيس، حسب مقتضى الحال، ال</w:t>
      </w:r>
      <w:r w:rsidRPr="00BD7822">
        <w:rPr>
          <w:rFonts w:hint="cs"/>
          <w:rtl/>
        </w:rPr>
        <w:t>ل</w:t>
      </w:r>
      <w:r w:rsidRPr="00BD7822">
        <w:rPr>
          <w:rtl/>
        </w:rPr>
        <w:t>ذين لا يحق لهم</w:t>
      </w:r>
      <w:r w:rsidRPr="00BD7822">
        <w:rPr>
          <w:rFonts w:hint="cs"/>
          <w:rtl/>
        </w:rPr>
        <w:t>ا</w:t>
      </w:r>
      <w:r w:rsidRPr="00BD7822">
        <w:rPr>
          <w:rtl/>
        </w:rPr>
        <w:t xml:space="preserve"> التصويت إلا في حالة تساوي الأصوات.</w:t>
      </w:r>
    </w:p>
  </w:footnote>
  <w:footnote w:id="346">
    <w:p w14:paraId="18895B3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www.alderney.gov.gg</w:t>
      </w:r>
      <w:r w:rsidRPr="00BD7822">
        <w:rPr>
          <w:rFonts w:hint="cs"/>
          <w:rtl/>
        </w:rPr>
        <w:t>.</w:t>
      </w:r>
    </w:p>
  </w:footnote>
  <w:footnote w:id="347">
    <w:p w14:paraId="687D29F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http://www.guernseylegalresources.gg/article/95001/Government-of-Alderney-Law-2004-Consolidated-text</w:t>
      </w:r>
      <w:r w:rsidRPr="00BD7822">
        <w:rPr>
          <w:rFonts w:hint="cs"/>
          <w:rtl/>
        </w:rPr>
        <w:t>.</w:t>
      </w:r>
    </w:p>
  </w:footnote>
  <w:footnote w:id="348">
    <w:p w14:paraId="24BFD28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رئيس</w:t>
      </w:r>
      <w:r w:rsidRPr="00BD7822">
        <w:rPr>
          <w:rFonts w:hint="cs"/>
          <w:rtl/>
        </w:rPr>
        <w:t xml:space="preserve"> برلمان ألديرني</w:t>
      </w:r>
      <w:r w:rsidRPr="00BD7822">
        <w:rPr>
          <w:rtl/>
        </w:rPr>
        <w:t xml:space="preserve"> هو الرئيس المدني وممثل الجزيرة.</w:t>
      </w:r>
    </w:p>
  </w:footnote>
  <w:footnote w:id="349">
    <w:p w14:paraId="6DFC712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https://sarkgov.co.uk/</w:t>
      </w:r>
      <w:r w:rsidRPr="00BD7822">
        <w:rPr>
          <w:rFonts w:hint="cs"/>
          <w:rtl/>
        </w:rPr>
        <w:t>.</w:t>
      </w:r>
    </w:p>
  </w:footnote>
  <w:footnote w:id="350">
    <w:p w14:paraId="088E363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النسخة الموحدة: </w:t>
      </w:r>
      <w:r w:rsidRPr="00BD7822">
        <w:rPr>
          <w:rStyle w:val="Hyperlink"/>
        </w:rPr>
        <w:t>https://www.guernseylegalresources.gg/CHttpHandler.ashx?documentid=80241</w:t>
      </w:r>
      <w:r w:rsidRPr="00BD7822">
        <w:rPr>
          <w:rtl/>
        </w:rPr>
        <w:t>.</w:t>
      </w:r>
    </w:p>
  </w:footnote>
  <w:footnote w:id="351">
    <w:p w14:paraId="52C2D3C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Style w:val="Hyperlink"/>
        </w:rPr>
        <w:t>http://www.guernseyroyalcourt.gg/article/6129/Courts</w:t>
      </w:r>
      <w:r w:rsidRPr="00BD7822">
        <w:rPr>
          <w:rFonts w:hint="cs"/>
          <w:rtl/>
        </w:rPr>
        <w:t>.</w:t>
      </w:r>
    </w:p>
  </w:footnote>
  <w:footnote w:id="352">
    <w:p w14:paraId="1743D73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يوفر </w:t>
      </w:r>
      <w:r w:rsidRPr="00BD7822">
        <w:rPr>
          <w:rFonts w:hint="cs"/>
          <w:rtl/>
        </w:rPr>
        <w:t>الفرع</w:t>
      </w:r>
      <w:r w:rsidRPr="00BD7822">
        <w:rPr>
          <w:rtl/>
        </w:rPr>
        <w:t xml:space="preserve"> 20 مزيداً من التفاصيل حول وظائف </w:t>
      </w:r>
      <w:r w:rsidRPr="00BD7822">
        <w:rPr>
          <w:rFonts w:hint="cs"/>
          <w:rtl/>
        </w:rPr>
        <w:t xml:space="preserve">كاتب المحكمة </w:t>
      </w:r>
      <w:hyperlink r:id="rId290" w:history="1">
        <w:r w:rsidRPr="00BD7822">
          <w:t xml:space="preserve"> </w:t>
        </w:r>
        <w:r w:rsidRPr="00BD7822">
          <w:rPr>
            <w:rStyle w:val="Hyperlink"/>
          </w:rPr>
          <w:t>https://www.guernseylegalresources.gg/CHttpHandler.ashx?documentid=53085</w:t>
        </w:r>
      </w:hyperlink>
      <w:r w:rsidRPr="00BD7822">
        <w:rPr>
          <w:rtl/>
        </w:rPr>
        <w:t>.</w:t>
      </w:r>
    </w:p>
  </w:footnote>
  <w:footnote w:id="353">
    <w:p w14:paraId="20A4CD0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تتمتع</w:t>
      </w:r>
      <w:r w:rsidRPr="00BD7822">
        <w:rPr>
          <w:rtl/>
        </w:rPr>
        <w:t xml:space="preserve"> </w:t>
      </w:r>
      <w:r w:rsidRPr="00BD7822">
        <w:rPr>
          <w:rFonts w:hint="cs"/>
          <w:rtl/>
        </w:rPr>
        <w:t>بال</w:t>
      </w:r>
      <w:r w:rsidRPr="00BD7822">
        <w:rPr>
          <w:rtl/>
        </w:rPr>
        <w:t xml:space="preserve">اختصاص </w:t>
      </w:r>
      <w:r w:rsidRPr="00BD7822">
        <w:rPr>
          <w:rFonts w:hint="cs"/>
          <w:rtl/>
        </w:rPr>
        <w:t>ل</w:t>
      </w:r>
      <w:r w:rsidRPr="00BD7822">
        <w:rPr>
          <w:rtl/>
        </w:rPr>
        <w:t xml:space="preserve">لمحاكمة وتحديد </w:t>
      </w:r>
      <w:r w:rsidRPr="00BD7822">
        <w:rPr>
          <w:rFonts w:hint="cs"/>
          <w:rtl/>
        </w:rPr>
        <w:t>ال</w:t>
      </w:r>
      <w:r w:rsidRPr="00BD7822">
        <w:rPr>
          <w:rtl/>
        </w:rPr>
        <w:t xml:space="preserve">تهمة </w:t>
      </w:r>
      <w:r w:rsidRPr="00BD7822">
        <w:rPr>
          <w:rFonts w:hint="cs"/>
          <w:rtl/>
        </w:rPr>
        <w:t xml:space="preserve">في </w:t>
      </w:r>
      <w:r w:rsidRPr="00BD7822">
        <w:rPr>
          <w:rtl/>
        </w:rPr>
        <w:t>جرائم خطيرة محددة</w:t>
      </w:r>
      <w:r w:rsidRPr="00BD7822">
        <w:rPr>
          <w:rFonts w:hint="cs"/>
          <w:rtl/>
        </w:rPr>
        <w:t>.</w:t>
      </w:r>
    </w:p>
  </w:footnote>
  <w:footnote w:id="354">
    <w:p w14:paraId="6D5A29C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1" w:history="1">
        <w:r w:rsidRPr="00BD7822">
          <w:rPr>
            <w:rStyle w:val="Hyperlink"/>
          </w:rPr>
          <w:t>https://gov.gg/equalitypolicy</w:t>
        </w:r>
      </w:hyperlink>
      <w:r w:rsidRPr="00BD7822">
        <w:rPr>
          <w:rtl/>
        </w:rPr>
        <w:t>.</w:t>
      </w:r>
    </w:p>
  </w:footnote>
  <w:footnote w:id="355">
    <w:p w14:paraId="3702C0B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2" w:history="1">
        <w:r w:rsidRPr="00BD7822">
          <w:rPr>
            <w:rStyle w:val="Hyperlink"/>
          </w:rPr>
          <w:t>http://www.guernseylegalresources.gg/article/95288/Human-Rights-Bailiwick-of-Guernsey-Law-2000-Consolidated-text</w:t>
        </w:r>
      </w:hyperlink>
      <w:r w:rsidRPr="00BD7822">
        <w:rPr>
          <w:rtl/>
        </w:rPr>
        <w:t>.</w:t>
      </w:r>
    </w:p>
  </w:footnote>
  <w:footnote w:id="356">
    <w:p w14:paraId="7FA90B1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3" w:history="1">
        <w:r w:rsidRPr="00BD7822">
          <w:rPr>
            <w:rStyle w:val="Hyperlink"/>
          </w:rPr>
          <w:t>http://www.gov.gg/humanrights</w:t>
        </w:r>
      </w:hyperlink>
      <w:r w:rsidRPr="00BD7822">
        <w:rPr>
          <w:rtl/>
        </w:rPr>
        <w:t>.</w:t>
      </w:r>
    </w:p>
  </w:footnote>
  <w:footnote w:id="357">
    <w:p w14:paraId="131A876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4" w:history="1">
        <w:r w:rsidRPr="00BD7822">
          <w:rPr>
            <w:rStyle w:val="Hyperlink"/>
          </w:rPr>
          <w:t>https://gov.gg/equalitypolicy</w:t>
        </w:r>
      </w:hyperlink>
      <w:r w:rsidRPr="00BD7822">
        <w:rPr>
          <w:rtl/>
        </w:rPr>
        <w:t>.</w:t>
      </w:r>
    </w:p>
  </w:footnote>
  <w:footnote w:id="358">
    <w:p w14:paraId="7BC980E9"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 xml:space="preserve">خطاب السياسات: </w:t>
      </w:r>
      <w:r w:rsidRPr="00BD7822">
        <w:rPr>
          <w:rStyle w:val="Hyperlink"/>
        </w:rPr>
        <w:t>https://gov.gg/article/176559/Proposals-for-a-New-Discrimination-Ordinance</w:t>
      </w:r>
      <w:r w:rsidRPr="00BD7822">
        <w:rPr>
          <w:rFonts w:hint="cs"/>
          <w:rtl/>
        </w:rPr>
        <w:t xml:space="preserve"> والقرارات: </w:t>
      </w:r>
      <w:r w:rsidRPr="00BD7822">
        <w:rPr>
          <w:rStyle w:val="Hyperlink"/>
        </w:rPr>
        <w:t>https://gov.gg/CHttpHandler.ashx?id=128413&amp;p=0</w:t>
      </w:r>
      <w:r w:rsidRPr="00BD7822">
        <w:rPr>
          <w:rFonts w:hint="cs"/>
          <w:rtl/>
        </w:rPr>
        <w:t>.</w:t>
      </w:r>
    </w:p>
  </w:footnote>
  <w:footnote w:id="359">
    <w:p w14:paraId="7C636C9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5" w:history="1">
        <w:r w:rsidRPr="00BD7822">
          <w:rPr>
            <w:rStyle w:val="Hyperlink"/>
          </w:rPr>
          <w:t>http://www.gov.je</w:t>
        </w:r>
      </w:hyperlink>
      <w:r w:rsidRPr="00BD7822">
        <w:rPr>
          <w:rtl/>
        </w:rPr>
        <w:t>.</w:t>
      </w:r>
    </w:p>
  </w:footnote>
  <w:footnote w:id="360">
    <w:p w14:paraId="0D48F5AF"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6" w:history="1">
        <w:r w:rsidRPr="00BD7822">
          <w:rPr>
            <w:rStyle w:val="Hyperlink"/>
          </w:rPr>
          <w:t>https://www.gov.je/SiteCollectionDocuments/Government%20and%20administration/</w:t>
        </w:r>
        <w:r w:rsidRPr="00BD7822">
          <w:rPr>
            <w:rStyle w:val="Hyperlink"/>
          </w:rPr>
          <w:br/>
          <w:t>R%20JerseyChildMeasurementReport2018-2019%2020191211%20SJ.pdf</w:t>
        </w:r>
      </w:hyperlink>
      <w:r w:rsidRPr="00BD7822">
        <w:rPr>
          <w:rtl/>
        </w:rPr>
        <w:t>.</w:t>
      </w:r>
    </w:p>
  </w:footnote>
  <w:footnote w:id="361">
    <w:p w14:paraId="4305E98E"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7" w:history="1">
        <w:r w:rsidRPr="00BD7822">
          <w:rPr>
            <w:rStyle w:val="Hyperlink"/>
          </w:rPr>
          <w:t>https://www.gov.je/SiteCollectionDocuments/Government%20and%20administration/</w:t>
        </w:r>
        <w:r w:rsidRPr="00BD7822">
          <w:rPr>
            <w:rStyle w:val="Hyperlink"/>
          </w:rPr>
          <w:br/>
          <w:t>R%20Birthsfertilitybreastfeeding2019%2020200319%20SJ.pdf</w:t>
        </w:r>
      </w:hyperlink>
      <w:r w:rsidRPr="00BD7822">
        <w:rPr>
          <w:rtl/>
        </w:rPr>
        <w:t>.</w:t>
      </w:r>
    </w:p>
  </w:footnote>
  <w:footnote w:id="362">
    <w:p w14:paraId="54DDC227" w14:textId="77777777" w:rsidR="00494AE4" w:rsidRPr="00BD7822" w:rsidRDefault="00494AE4" w:rsidP="00494AE4">
      <w:pPr>
        <w:pStyle w:val="FootnoteText1"/>
        <w:rPr>
          <w:rtl/>
        </w:rPr>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t>Data given is for the academic year 2018/19</w:t>
      </w:r>
      <w:r w:rsidRPr="00BD7822">
        <w:rPr>
          <w:rFonts w:hint="cs"/>
          <w:rtl/>
        </w:rPr>
        <w:t>.</w:t>
      </w:r>
    </w:p>
  </w:footnote>
  <w:footnote w:id="363">
    <w:p w14:paraId="5A6E3CA4"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الأفعال الجرمية المتضمنة: حريق متعمد (خطر على الحياة)؛ محاولة قتل؛ التسبب بالموت جراء القيادة الطائشة؛ التسبب بالموت جراء القيادة الخطرة؛ القتل غير العمد*؛ القتل*؛ أعمال عنف*؛ التآمر لارتكاب جريمة قتل؛ الاعتداء الخطير والجنائي*؛ (* تشير إلى الجرائم الفعلية التي حدثت في البيانات المبينة أعلاه).</w:t>
      </w:r>
    </w:p>
  </w:footnote>
  <w:footnote w:id="364">
    <w:p w14:paraId="52193DB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الجرائم المتضمنة: الاعتداء على ضابط شرطة*؛ الاعتداء على ضابط جمركي؛ الاعتداء على موظفي السجن؛ الاعتداء على عضو/مسؤول رسمي؛ الاعتداء بنية السلب؛ السلب*؛ بالإضافة إلى الحاشية أعلاه (* تشير إلى الجرائم الفعلية التي حدثت في البيانات المبينة أعلاه).</w:t>
      </w:r>
    </w:p>
  </w:footnote>
  <w:footnote w:id="365">
    <w:p w14:paraId="2D60682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الجرائم المتضمنة: اعتداء بنية الاغتصاب؛ اعتداء بنية ممارسة اللواط؛ اعتداء منافٍ للآداب العامة؛ اغتصاب؛ اغتصاب الإناث*؛ اغتصاب الذكور. (*تشير إلى الجرائم الفعلية التي حدثت في البيانات المبينة أعلاه).</w:t>
      </w:r>
    </w:p>
  </w:footnote>
  <w:footnote w:id="366">
    <w:p w14:paraId="668934A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تطبق عقوبة الإعدام في جيرسي.</w:t>
      </w:r>
    </w:p>
  </w:footnote>
  <w:footnote w:id="367">
    <w:p w14:paraId="38B5CE4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8" w:history="1">
        <w:r w:rsidRPr="00BD7822">
          <w:rPr>
            <w:rStyle w:val="Hyperlink"/>
          </w:rPr>
          <w:t>http://www.statesassembly.gov.je/Pages/default.aspx</w:t>
        </w:r>
      </w:hyperlink>
      <w:r w:rsidRPr="00BD7822">
        <w:rPr>
          <w:rtl/>
        </w:rPr>
        <w:t>.</w:t>
      </w:r>
    </w:p>
  </w:footnote>
  <w:footnote w:id="368">
    <w:p w14:paraId="31B6301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299" w:history="1">
        <w:r w:rsidRPr="00BD7822">
          <w:rPr>
            <w:rStyle w:val="Hyperlink"/>
          </w:rPr>
          <w:t>http://www.gov.je/Government/HowGovernmentWorks/CouncilMinisters/Pages/index.aspx</w:t>
        </w:r>
      </w:hyperlink>
      <w:r w:rsidRPr="00BD7822">
        <w:rPr>
          <w:rtl/>
        </w:rPr>
        <w:t>.</w:t>
      </w:r>
    </w:p>
  </w:footnote>
  <w:footnote w:id="369">
    <w:p w14:paraId="355F96BB"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0" w:history="1">
        <w:r w:rsidRPr="00BD7822">
          <w:rPr>
            <w:rStyle w:val="Hyperlink"/>
          </w:rPr>
          <w:t>http://www.jerseycourts.je/</w:t>
        </w:r>
      </w:hyperlink>
      <w:r w:rsidRPr="00BD7822">
        <w:rPr>
          <w:rtl/>
        </w:rPr>
        <w:t>.</w:t>
      </w:r>
    </w:p>
  </w:footnote>
  <w:footnote w:id="370">
    <w:p w14:paraId="2F265C8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1" w:history="1">
        <w:r w:rsidRPr="00BD7822">
          <w:rPr>
            <w:rStyle w:val="Hyperlink"/>
          </w:rPr>
          <w:t>http://www.jerseylaw.je/law/lawsinforce/consolidated/15/15.350_HumanRightsLaw</w:t>
        </w:r>
        <w:r w:rsidRPr="00BD7822">
          <w:rPr>
            <w:rStyle w:val="Hyperlink"/>
          </w:rPr>
          <w:br/>
          <w:t>2000_RevisedEdition_1January2007.pdf</w:t>
        </w:r>
      </w:hyperlink>
      <w:r w:rsidRPr="00BD7822">
        <w:rPr>
          <w:rtl/>
        </w:rPr>
        <w:t>.</w:t>
      </w:r>
    </w:p>
  </w:footnote>
  <w:footnote w:id="371">
    <w:p w14:paraId="6DB768C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2" w:history="1">
        <w:r w:rsidRPr="00BD7822">
          <w:rPr>
            <w:rStyle w:val="Hyperlink"/>
          </w:rPr>
          <w:t>https://www.jerseylaw.je/laws/enacted/Pages/L-08-2019.aspx</w:t>
        </w:r>
      </w:hyperlink>
      <w:r w:rsidRPr="00BD7822">
        <w:rPr>
          <w:rtl/>
        </w:rPr>
        <w:t>.</w:t>
      </w:r>
    </w:p>
  </w:footnote>
  <w:footnote w:id="372">
    <w:p w14:paraId="303C533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3" w:history="1">
        <w:r w:rsidRPr="00BD7822">
          <w:rPr>
            <w:rStyle w:val="Hyperlink"/>
          </w:rPr>
          <w:t>http://www.gov.je/Government/JerseyWorld/InternationalAffairs/Pages/HumanRights.aspx</w:t>
        </w:r>
      </w:hyperlink>
      <w:r w:rsidRPr="00BD7822">
        <w:rPr>
          <w:rtl/>
        </w:rPr>
        <w:t>.</w:t>
      </w:r>
    </w:p>
  </w:footnote>
  <w:footnote w:id="373">
    <w:p w14:paraId="15506D0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4" w:history="1">
        <w:r w:rsidRPr="00BD7822">
          <w:rPr>
            <w:rStyle w:val="Hyperlink"/>
          </w:rPr>
          <w:t>https://www.gov.je/Government/Pages/StatesReports.aspx?ReportID=843</w:t>
        </w:r>
      </w:hyperlink>
      <w:r w:rsidRPr="00BD7822">
        <w:rPr>
          <w:rtl/>
        </w:rPr>
        <w:t>.</w:t>
      </w:r>
    </w:p>
  </w:footnote>
  <w:footnote w:id="374">
    <w:p w14:paraId="49733A1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5" w:history="1">
        <w:r w:rsidRPr="00BD7822">
          <w:rPr>
            <w:rStyle w:val="Hyperlink"/>
          </w:rPr>
          <w:t>http://www.jerseylaw.je/law/lawsinforce/htm/LawFiles/2013/L-10-2013.pdf</w:t>
        </w:r>
      </w:hyperlink>
      <w:r w:rsidRPr="00BD7822">
        <w:rPr>
          <w:rtl/>
        </w:rPr>
        <w:t>.</w:t>
      </w:r>
    </w:p>
  </w:footnote>
  <w:footnote w:id="375">
    <w:p w14:paraId="6487BBE6"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6" w:history="1">
        <w:r w:rsidRPr="00BD7822">
          <w:rPr>
            <w:rStyle w:val="Hyperlink"/>
          </w:rPr>
          <w:t>http://www.jerseylaw.je/law/lawsinforce/htm/LawFiles/2010/L-01-2010.pdf</w:t>
        </w:r>
      </w:hyperlink>
      <w:r w:rsidRPr="00BD7822">
        <w:rPr>
          <w:rtl/>
        </w:rPr>
        <w:t>.</w:t>
      </w:r>
    </w:p>
  </w:footnote>
  <w:footnote w:id="376">
    <w:p w14:paraId="46404DF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7" w:history="1">
        <w:r w:rsidRPr="00BD7822">
          <w:rPr>
            <w:rStyle w:val="Hyperlink"/>
          </w:rPr>
          <w:t>http://www.jerseylaw.je/law/lawsinforce/htm/LawFiles/2012/L-04-2012.pdf</w:t>
        </w:r>
      </w:hyperlink>
      <w:r w:rsidRPr="00BD7822">
        <w:rPr>
          <w:rtl/>
        </w:rPr>
        <w:t>.</w:t>
      </w:r>
    </w:p>
  </w:footnote>
  <w:footnote w:id="377">
    <w:p w14:paraId="2BFB7CF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08" w:history="1">
        <w:r w:rsidRPr="00BD7822">
          <w:rPr>
            <w:rStyle w:val="Hyperlink"/>
          </w:rPr>
          <w:t>http://www.gov.im/</w:t>
        </w:r>
      </w:hyperlink>
      <w:r w:rsidRPr="00BD7822">
        <w:rPr>
          <w:rtl/>
        </w:rPr>
        <w:t>.</w:t>
      </w:r>
    </w:p>
  </w:footnote>
  <w:footnote w:id="378">
    <w:p w14:paraId="69F58B6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لا يتعين على فريق الأطفال </w:t>
      </w:r>
      <w:r w:rsidRPr="00BD7822">
        <w:rPr>
          <w:rFonts w:hint="cs"/>
          <w:rtl/>
        </w:rPr>
        <w:t>والعائلة</w:t>
      </w:r>
      <w:r w:rsidRPr="00BD7822">
        <w:rPr>
          <w:rtl/>
        </w:rPr>
        <w:t xml:space="preserve"> التابع لوزارة الصحة والرعاية الاجتماعية إبلاغ الطبيب العام بوضع أي وسيلة لمنع الحمل، ولهذا السبب يتم فصله. ومع ذلك، فليس من المؤكد أن أياً من هؤلاء ليسوا مرضى مكررين بسبب </w:t>
      </w:r>
      <w:r w:rsidRPr="00BD7822">
        <w:rPr>
          <w:rFonts w:hint="cs"/>
          <w:rtl/>
        </w:rPr>
        <w:t>ال</w:t>
      </w:r>
      <w:r w:rsidRPr="00BD7822">
        <w:rPr>
          <w:rtl/>
        </w:rPr>
        <w:t xml:space="preserve">طريقة </w:t>
      </w:r>
      <w:r w:rsidRPr="00BD7822">
        <w:rPr>
          <w:rFonts w:hint="cs"/>
          <w:rtl/>
        </w:rPr>
        <w:t>ال</w:t>
      </w:r>
      <w:r w:rsidRPr="00BD7822">
        <w:rPr>
          <w:rtl/>
        </w:rPr>
        <w:t xml:space="preserve">يدوية </w:t>
      </w:r>
      <w:r w:rsidRPr="00BD7822">
        <w:rPr>
          <w:rFonts w:hint="cs"/>
          <w:rtl/>
        </w:rPr>
        <w:t>المستخدمة في ا</w:t>
      </w:r>
      <w:r w:rsidRPr="00BD7822">
        <w:rPr>
          <w:rtl/>
        </w:rPr>
        <w:t xml:space="preserve">لتسجيل </w:t>
      </w:r>
      <w:r w:rsidRPr="00BD7822">
        <w:rPr>
          <w:rFonts w:hint="cs"/>
          <w:rtl/>
        </w:rPr>
        <w:t xml:space="preserve">لدى </w:t>
      </w:r>
      <w:r w:rsidRPr="00BD7822">
        <w:rPr>
          <w:rtl/>
        </w:rPr>
        <w:t xml:space="preserve">فريق الأطفال </w:t>
      </w:r>
      <w:r w:rsidRPr="00BD7822">
        <w:rPr>
          <w:rFonts w:hint="cs"/>
          <w:rtl/>
        </w:rPr>
        <w:t>والعائلة</w:t>
      </w:r>
      <w:r w:rsidRPr="00BD7822">
        <w:rPr>
          <w:rtl/>
        </w:rPr>
        <w:t xml:space="preserve">، لذلك </w:t>
      </w:r>
      <w:r w:rsidRPr="00BD7822">
        <w:rPr>
          <w:rFonts w:hint="cs"/>
          <w:rtl/>
        </w:rPr>
        <w:t>احتُفظ</w:t>
      </w:r>
      <w:r w:rsidRPr="00BD7822">
        <w:rPr>
          <w:rtl/>
        </w:rPr>
        <w:t xml:space="preserve"> بالأرقام منفصلة </w:t>
      </w:r>
      <w:r w:rsidRPr="00BD7822">
        <w:rPr>
          <w:rFonts w:hint="cs"/>
          <w:rtl/>
        </w:rPr>
        <w:t>توخياً لل</w:t>
      </w:r>
      <w:r w:rsidRPr="00BD7822">
        <w:rPr>
          <w:rtl/>
        </w:rPr>
        <w:t xml:space="preserve">وضوح لمنع أي تكرار في </w:t>
      </w:r>
      <w:r w:rsidRPr="00BD7822">
        <w:rPr>
          <w:rFonts w:hint="cs"/>
          <w:rtl/>
        </w:rPr>
        <w:t>الرقم.</w:t>
      </w:r>
    </w:p>
  </w:footnote>
  <w:footnote w:id="379">
    <w:p w14:paraId="0BF11A47"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بيانات الأسئلة 12-14 المقدمة من وزارة التعليم والرياضة والثقافة.</w:t>
      </w:r>
    </w:p>
  </w:footnote>
  <w:footnote w:id="380">
    <w:p w14:paraId="3B89C9F2"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 xml:space="preserve">ملحوظة: </w:t>
      </w:r>
      <w:r w:rsidRPr="00BD7822">
        <w:rPr>
          <w:rFonts w:hint="cs"/>
          <w:rtl/>
        </w:rPr>
        <w:t>هناك تضخيم في النسبة بسبب</w:t>
      </w:r>
      <w:r w:rsidRPr="00BD7822">
        <w:rPr>
          <w:rtl/>
        </w:rPr>
        <w:t xml:space="preserve"> جائحة </w:t>
      </w:r>
      <w:r w:rsidRPr="00BD7822">
        <w:rPr>
          <w:rFonts w:hint="cs"/>
          <w:rtl/>
        </w:rPr>
        <w:t>كوفيد-19</w:t>
      </w:r>
      <w:r w:rsidRPr="00BD7822">
        <w:rPr>
          <w:rtl/>
        </w:rPr>
        <w:t xml:space="preserve">. </w:t>
      </w:r>
      <w:r w:rsidRPr="00BD7822">
        <w:rPr>
          <w:rFonts w:hint="cs"/>
          <w:rtl/>
        </w:rPr>
        <w:t>و</w:t>
      </w:r>
      <w:r w:rsidRPr="00BD7822">
        <w:rPr>
          <w:rtl/>
        </w:rPr>
        <w:t>الرقم الأخير قبل الإغلاق</w:t>
      </w:r>
      <w:r w:rsidRPr="00BD7822">
        <w:rPr>
          <w:rFonts w:hint="cs"/>
          <w:rtl/>
        </w:rPr>
        <w:t>ات المرتبطة بالجائحة</w:t>
      </w:r>
      <w:r w:rsidRPr="00BD7822">
        <w:rPr>
          <w:rtl/>
        </w:rPr>
        <w:t xml:space="preserve"> هو 0.9</w:t>
      </w:r>
      <w:r w:rsidRPr="00BD7822">
        <w:rPr>
          <w:rFonts w:hint="cs"/>
          <w:rtl/>
        </w:rPr>
        <w:t xml:space="preserve"> في المائة</w:t>
      </w:r>
      <w:r w:rsidRPr="00BD7822">
        <w:rPr>
          <w:rtl/>
        </w:rPr>
        <w:t xml:space="preserve"> (تقرير سوق العمل لشهر </w:t>
      </w:r>
      <w:r w:rsidRPr="00BD7822">
        <w:rPr>
          <w:rFonts w:hint="cs"/>
          <w:rtl/>
        </w:rPr>
        <w:t>شباط/</w:t>
      </w:r>
      <w:r w:rsidRPr="00BD7822">
        <w:rPr>
          <w:rtl/>
        </w:rPr>
        <w:t xml:space="preserve">فبراير 2020). يرجى أيضاً الانتباه إلى أن </w:t>
      </w:r>
      <w:r w:rsidRPr="00BD7822">
        <w:rPr>
          <w:rFonts w:hint="cs"/>
          <w:rtl/>
        </w:rPr>
        <w:t>الأرقام تتعلق بتعداد</w:t>
      </w:r>
      <w:r w:rsidRPr="00BD7822">
        <w:rPr>
          <w:rtl/>
        </w:rPr>
        <w:t xml:space="preserve"> المطالبين فقط. وبحسب قياس منظمة العمل الدولية للبطالة، فإن الأرقام هي 3.5 في المائة (</w:t>
      </w:r>
      <w:r w:rsidRPr="00BD7822">
        <w:rPr>
          <w:rFonts w:hint="cs"/>
          <w:rtl/>
        </w:rPr>
        <w:t>أيلول/</w:t>
      </w:r>
      <w:r w:rsidRPr="00BD7822">
        <w:rPr>
          <w:rtl/>
        </w:rPr>
        <w:t>سبتمبر 2020) و1.9 في المائة (</w:t>
      </w:r>
      <w:r w:rsidRPr="00BD7822">
        <w:rPr>
          <w:rFonts w:hint="cs"/>
          <w:rtl/>
        </w:rPr>
        <w:t>شباط/</w:t>
      </w:r>
      <w:r w:rsidRPr="00BD7822">
        <w:rPr>
          <w:rtl/>
        </w:rPr>
        <w:t xml:space="preserve">فبراير 2020)، </w:t>
      </w:r>
      <w:r w:rsidRPr="00BD7822">
        <w:rPr>
          <w:rFonts w:hint="cs"/>
          <w:rtl/>
        </w:rPr>
        <w:t>مع</w:t>
      </w:r>
      <w:r w:rsidRPr="00BD7822">
        <w:rPr>
          <w:rtl/>
        </w:rPr>
        <w:t xml:space="preserve"> أن هذه مجرد تقديرات.</w:t>
      </w:r>
    </w:p>
  </w:footnote>
  <w:footnote w:id="381">
    <w:p w14:paraId="30150C93"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يوجد في الوقت الحالي تشريع يتعلق بتسجيل الأحزاب السياسية أو الاعتراف الرسمي بها.</w:t>
      </w:r>
      <w:r w:rsidRPr="00BD7822">
        <w:rPr>
          <w:rtl/>
        </w:rPr>
        <w:t xml:space="preserve"> (</w:t>
      </w:r>
      <w:hyperlink r:id="rId309" w:history="1">
        <w:r w:rsidRPr="00BD7822">
          <w:rPr>
            <w:rStyle w:val="Hyperlink"/>
            <w:rtl/>
          </w:rPr>
          <w:t xml:space="preserve">انظر موقع </w:t>
        </w:r>
        <w:r w:rsidRPr="00BD7822">
          <w:rPr>
            <w:rStyle w:val="Hyperlink"/>
            <w:rFonts w:hint="cs"/>
            <w:rtl/>
          </w:rPr>
          <w:t>البرلمان</w:t>
        </w:r>
      </w:hyperlink>
      <w:r w:rsidRPr="00BD7822">
        <w:rPr>
          <w:rtl/>
        </w:rPr>
        <w:t xml:space="preserve">) </w:t>
      </w:r>
      <w:r w:rsidRPr="00BD7822">
        <w:rPr>
          <w:rFonts w:hint="cs"/>
          <w:rtl/>
        </w:rPr>
        <w:t>على أنه</w:t>
      </w:r>
      <w:r w:rsidRPr="00BD7822">
        <w:rPr>
          <w:rtl/>
        </w:rPr>
        <w:t xml:space="preserve"> يجب على </w:t>
      </w:r>
      <w:r w:rsidRPr="00BD7822">
        <w:rPr>
          <w:rFonts w:hint="cs"/>
          <w:rtl/>
        </w:rPr>
        <w:t>الأحزاب</w:t>
      </w:r>
      <w:r w:rsidRPr="00BD7822">
        <w:rPr>
          <w:rtl/>
        </w:rPr>
        <w:t xml:space="preserve"> التقدم للتسجيل ويمكن العثور على </w:t>
      </w:r>
      <w:hyperlink r:id="rId310" w:history="1">
        <w:r w:rsidRPr="00BD7822">
          <w:rPr>
            <w:rStyle w:val="Hyperlink"/>
            <w:rtl/>
          </w:rPr>
          <w:t>الإرشادات</w:t>
        </w:r>
      </w:hyperlink>
      <w:r w:rsidRPr="00BD7822">
        <w:rPr>
          <w:rtl/>
        </w:rPr>
        <w:t xml:space="preserve"> على </w:t>
      </w:r>
      <w:r w:rsidRPr="00BD7822">
        <w:rPr>
          <w:rFonts w:hint="cs"/>
          <w:rtl/>
        </w:rPr>
        <w:t>ال</w:t>
      </w:r>
      <w:r w:rsidRPr="00BD7822">
        <w:rPr>
          <w:rtl/>
        </w:rPr>
        <w:t>موقع الحكومي</w:t>
      </w:r>
      <w:r w:rsidRPr="00BD7822">
        <w:rPr>
          <w:rFonts w:hint="cs"/>
          <w:rtl/>
        </w:rPr>
        <w:t xml:space="preserve"> على الإنترنت</w:t>
      </w:r>
      <w:r w:rsidRPr="00BD7822">
        <w:rPr>
          <w:rtl/>
        </w:rPr>
        <w:t>.</w:t>
      </w:r>
    </w:p>
  </w:footnote>
  <w:footnote w:id="382">
    <w:p w14:paraId="32903E1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1" w:history="1">
        <w:r w:rsidRPr="00BD7822">
          <w:rPr>
            <w:rStyle w:val="Hyperlink"/>
            <w:rtl/>
          </w:rPr>
          <w:t>فهرس المؤسسات الخيرية المسجلة</w:t>
        </w:r>
      </w:hyperlink>
      <w:r w:rsidRPr="00BD7822">
        <w:rPr>
          <w:rFonts w:hint="cs"/>
          <w:rtl/>
        </w:rPr>
        <w:t>.</w:t>
      </w:r>
    </w:p>
  </w:footnote>
  <w:footnote w:id="383">
    <w:p w14:paraId="62A9E3C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r w:rsidRPr="00BD7822">
        <w:rPr>
          <w:rFonts w:hint="cs"/>
          <w:rtl/>
        </w:rPr>
        <w:t>لا تطبق عقوبة الإعدام في جزيرة مان.</w:t>
      </w:r>
    </w:p>
  </w:footnote>
  <w:footnote w:id="384">
    <w:p w14:paraId="2A93F55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t>السجل العام (</w:t>
      </w:r>
      <w:r w:rsidRPr="00BD7822">
        <w:rPr>
          <w:rFonts w:hint="cs"/>
          <w:rtl/>
        </w:rPr>
        <w:t>ال</w:t>
      </w:r>
      <w:r w:rsidRPr="00BD7822">
        <w:rPr>
          <w:rtl/>
        </w:rPr>
        <w:t xml:space="preserve">محاكم </w:t>
      </w:r>
      <w:r w:rsidRPr="00BD7822">
        <w:rPr>
          <w:rFonts w:hint="cs"/>
          <w:rtl/>
        </w:rPr>
        <w:t>والهيئات القضائية في</w:t>
      </w:r>
      <w:r w:rsidRPr="00BD7822">
        <w:rPr>
          <w:rtl/>
        </w:rPr>
        <w:t xml:space="preserve"> جزيرة مان).</w:t>
      </w:r>
    </w:p>
  </w:footnote>
  <w:footnote w:id="385">
    <w:p w14:paraId="0938500C"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2" w:history="1">
        <w:r w:rsidRPr="00BD7822">
          <w:rPr>
            <w:rStyle w:val="Hyperlink"/>
          </w:rPr>
          <w:t>https://www.tynwald.org.im/</w:t>
        </w:r>
      </w:hyperlink>
      <w:r w:rsidRPr="00BD7822">
        <w:rPr>
          <w:rtl/>
        </w:rPr>
        <w:t>.</w:t>
      </w:r>
    </w:p>
  </w:footnote>
  <w:footnote w:id="386">
    <w:p w14:paraId="5063816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3" w:history="1">
        <w:r w:rsidRPr="00BD7822">
          <w:rPr>
            <w:rStyle w:val="Hyperlink"/>
          </w:rPr>
          <w:t>https://www.gov.im/</w:t>
        </w:r>
      </w:hyperlink>
      <w:r w:rsidRPr="00BD7822">
        <w:rPr>
          <w:rtl/>
        </w:rPr>
        <w:t>.</w:t>
      </w:r>
    </w:p>
  </w:footnote>
  <w:footnote w:id="387">
    <w:p w14:paraId="14670F6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4" w:history="1">
        <w:r w:rsidRPr="00BD7822">
          <w:rPr>
            <w:rStyle w:val="Hyperlink"/>
          </w:rPr>
          <w:t>http://www.courts.im/</w:t>
        </w:r>
      </w:hyperlink>
      <w:r w:rsidRPr="00BD7822">
        <w:rPr>
          <w:rtl/>
        </w:rPr>
        <w:t>.</w:t>
      </w:r>
    </w:p>
  </w:footnote>
  <w:footnote w:id="388">
    <w:p w14:paraId="50C5A500"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5" w:history="1">
        <w:r w:rsidRPr="00BD7822">
          <w:rPr>
            <w:rStyle w:val="Hyperlink"/>
          </w:rPr>
          <w:t>https://www.gov.im/about-the-government/offices/attorney-generals-chambers/crown-office/charities/</w:t>
        </w:r>
      </w:hyperlink>
      <w:r w:rsidRPr="00BD7822">
        <w:rPr>
          <w:rtl/>
        </w:rPr>
        <w:t>.</w:t>
      </w:r>
    </w:p>
  </w:footnote>
  <w:footnote w:id="389">
    <w:p w14:paraId="4957C3A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6" w:history="1">
        <w:r w:rsidRPr="00BD7822">
          <w:rPr>
            <w:rStyle w:val="Hyperlink"/>
          </w:rPr>
          <w:t>https://www.legislation.gov.im/cms/images/LEGISLATION/PRINCIPAL/2001/2001-0001/HumanRightsAct2001_1.pdf</w:t>
        </w:r>
      </w:hyperlink>
      <w:r w:rsidRPr="00BD7822">
        <w:t>.</w:t>
      </w:r>
      <w:r w:rsidRPr="00BD7822" w:rsidDel="00D723E1">
        <w:rPr>
          <w:rtl/>
        </w:rPr>
        <w:t xml:space="preserve"> </w:t>
      </w:r>
    </w:p>
  </w:footnote>
  <w:footnote w:id="390">
    <w:p w14:paraId="46F97831"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7" w:history="1">
        <w:r w:rsidRPr="00BD7822">
          <w:rPr>
            <w:rStyle w:val="Hyperlink"/>
          </w:rPr>
          <w:t>https://www.gov.im/categories/benefits-and-financial-support/legal-aid/</w:t>
        </w:r>
      </w:hyperlink>
      <w:r w:rsidRPr="00BD7822">
        <w:rPr>
          <w:rtl/>
        </w:rPr>
        <w:t>.</w:t>
      </w:r>
    </w:p>
  </w:footnote>
  <w:footnote w:id="391">
    <w:p w14:paraId="6B84D52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8" w:history="1">
        <w:r w:rsidRPr="00BD7822">
          <w:rPr>
            <w:rStyle w:val="Hyperlink"/>
          </w:rPr>
          <w:t>https://www.gov.im/categories/benefits-and-financial-support/criminal-injuries/</w:t>
        </w:r>
      </w:hyperlink>
      <w:r w:rsidRPr="00BD7822">
        <w:rPr>
          <w:rtl/>
        </w:rPr>
        <w:t>.</w:t>
      </w:r>
    </w:p>
  </w:footnote>
  <w:footnote w:id="392">
    <w:p w14:paraId="61F31655"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19" w:history="1">
        <w:r w:rsidRPr="00BD7822">
          <w:rPr>
            <w:rStyle w:val="Hyperlink"/>
          </w:rPr>
          <w:t>https://www.inforights.im/</w:t>
        </w:r>
      </w:hyperlink>
      <w:r w:rsidRPr="00BD7822">
        <w:rPr>
          <w:rtl/>
        </w:rPr>
        <w:t>.</w:t>
      </w:r>
    </w:p>
  </w:footnote>
  <w:footnote w:id="393">
    <w:p w14:paraId="45ACA5CD"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20" w:history="1">
        <w:r w:rsidRPr="00BD7822">
          <w:rPr>
            <w:rStyle w:val="Hyperlink"/>
          </w:rPr>
          <w:t>https://www.gov.im/categories/home-and-neighbourhood/police-complaints-commissioner/</w:t>
        </w:r>
      </w:hyperlink>
      <w:r w:rsidRPr="00BD7822">
        <w:rPr>
          <w:rtl/>
        </w:rPr>
        <w:t>.</w:t>
      </w:r>
    </w:p>
  </w:footnote>
  <w:footnote w:id="394">
    <w:p w14:paraId="0B618B08"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21" w:history="1">
        <w:r w:rsidRPr="00BD7822">
          <w:rPr>
            <w:rStyle w:val="Hyperlink"/>
          </w:rPr>
          <w:t>https://www.gov.im/about-this-site/terms-and-conditions/human-rights/</w:t>
        </w:r>
      </w:hyperlink>
      <w:r w:rsidRPr="00BD7822">
        <w:rPr>
          <w:rtl/>
        </w:rPr>
        <w:t>.</w:t>
      </w:r>
    </w:p>
  </w:footnote>
  <w:footnote w:id="395">
    <w:p w14:paraId="381F786A" w14:textId="77777777" w:rsidR="00494AE4" w:rsidRPr="00BD7822"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22" w:history="1">
        <w:r w:rsidRPr="00BD7822">
          <w:rPr>
            <w:rStyle w:val="Hyperlink"/>
          </w:rPr>
          <w:t>https://www.legislation.gov.im/cms/images/LEGISLATION/PRINCIPAL/2017/2017-0005/EqualityAct2017_4.pdf</w:t>
        </w:r>
      </w:hyperlink>
      <w:r w:rsidRPr="00BD7822">
        <w:rPr>
          <w:rtl/>
        </w:rPr>
        <w:t>.</w:t>
      </w:r>
    </w:p>
  </w:footnote>
  <w:footnote w:id="396">
    <w:p w14:paraId="2A5B516D" w14:textId="77777777" w:rsidR="00494AE4" w:rsidRPr="00467D1F" w:rsidRDefault="00494AE4" w:rsidP="00494AE4">
      <w:pPr>
        <w:pStyle w:val="FootnoteText1"/>
      </w:pPr>
      <w:r w:rsidRPr="00BD7822">
        <w:rPr>
          <w:rtl/>
        </w:rPr>
        <w:t>(</w:t>
      </w:r>
      <w:r w:rsidRPr="00BD7822">
        <w:rPr>
          <w:rStyle w:val="FootnoteReference"/>
          <w:rFonts w:cs="Simplified Arabic"/>
          <w:b w:val="0"/>
          <w:szCs w:val="18"/>
          <w:vertAlign w:val="baseline"/>
          <w:rtl/>
        </w:rPr>
        <w:footnoteRef/>
      </w:r>
      <w:r w:rsidRPr="00BD7822">
        <w:rPr>
          <w:rtl/>
        </w:rPr>
        <w:t>)</w:t>
      </w:r>
      <w:r w:rsidRPr="00BD7822">
        <w:rPr>
          <w:rtl/>
        </w:rPr>
        <w:tab/>
      </w:r>
      <w:hyperlink r:id="rId323" w:history="1">
        <w:r w:rsidRPr="00BD7822">
          <w:rPr>
            <w:rStyle w:val="Hyperlink"/>
          </w:rPr>
          <w:t>http://www.legislation.gov.im/cms/images/phocadownload/Acts_of_Tynwald/Primary_2009/</w:t>
        </w:r>
        <w:r w:rsidRPr="00BD7822">
          <w:rPr>
            <w:rStyle w:val="Hyperlink"/>
          </w:rPr>
          <w:br/>
          <w:t>Gender%20Recognition%20Act%202009.pdf</w:t>
        </w:r>
      </w:hyperlink>
      <w:r w:rsidRPr="00BD782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B428" w14:textId="52275C1D" w:rsidR="008436E6" w:rsidRPr="008436E6" w:rsidRDefault="008436E6" w:rsidP="008436E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20ED2">
      <w:t>HRI/CORE/GBR/2022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65BDA" w14:textId="34DE14EA" w:rsidR="008436E6" w:rsidRPr="008436E6" w:rsidRDefault="008436E6" w:rsidP="008436E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20ED2">
      <w:t>HRI/CORE/GBR/2022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D974E71"/>
    <w:multiLevelType w:val="hybridMultilevel"/>
    <w:tmpl w:val="34C23CCA"/>
    <w:lvl w:ilvl="0" w:tplc="0A1C4C08">
      <w:start w:val="1"/>
      <w:numFmt w:val="bullet"/>
      <w:lvlText w:val=""/>
      <w:lvlJc w:val="left"/>
      <w:pPr>
        <w:ind w:left="720" w:hanging="360"/>
      </w:pPr>
      <w:rPr>
        <w:rFonts w:ascii="Symbol" w:hAnsi="Symbol" w:cs="Symbol" w:hint="default"/>
        <w:sz w:val="14"/>
        <w:szCs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4C2A28"/>
    <w:multiLevelType w:val="hybridMultilevel"/>
    <w:tmpl w:val="20944A96"/>
    <w:lvl w:ilvl="0" w:tplc="0A1C4C08">
      <w:start w:val="1"/>
      <w:numFmt w:val="bullet"/>
      <w:lvlText w:val=""/>
      <w:lvlJc w:val="left"/>
      <w:pPr>
        <w:ind w:left="720" w:hanging="360"/>
      </w:pPr>
      <w:rPr>
        <w:rFonts w:ascii="Symbol" w:hAnsi="Symbol" w:cs="Symbol" w:hint="default"/>
        <w:sz w:val="14"/>
        <w:szCs w:val="14"/>
      </w:rPr>
    </w:lvl>
    <w:lvl w:ilvl="1" w:tplc="C422D224">
      <w:numFmt w:val="bullet"/>
      <w:lvlText w:val="•"/>
      <w:lvlJc w:val="left"/>
      <w:pPr>
        <w:ind w:left="1440" w:hanging="360"/>
      </w:pPr>
      <w:rPr>
        <w:rFonts w:ascii="Simplified Arabic" w:eastAsia="PMingLiU"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C3414E"/>
    <w:multiLevelType w:val="hybridMultilevel"/>
    <w:tmpl w:val="E07A2ACA"/>
    <w:lvl w:ilvl="0" w:tplc="0A1C4C08">
      <w:start w:val="1"/>
      <w:numFmt w:val="bullet"/>
      <w:lvlText w:val=""/>
      <w:lvlJc w:val="left"/>
      <w:pPr>
        <w:ind w:left="720" w:hanging="360"/>
      </w:pPr>
      <w:rPr>
        <w:rFonts w:ascii="Symbol" w:hAnsi="Symbol" w:cs="Symbol" w:hint="default"/>
        <w:sz w:val="14"/>
        <w:szCs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42183C"/>
    <w:multiLevelType w:val="hybridMultilevel"/>
    <w:tmpl w:val="F8100642"/>
    <w:lvl w:ilvl="0" w:tplc="0A1C4C08">
      <w:start w:val="1"/>
      <w:numFmt w:val="bullet"/>
      <w:lvlText w:val=""/>
      <w:lvlJc w:val="left"/>
      <w:pPr>
        <w:ind w:left="720" w:hanging="360"/>
      </w:pPr>
      <w:rPr>
        <w:rFonts w:ascii="Symbol" w:hAnsi="Symbol" w:cs="Symbol" w:hint="default"/>
        <w:sz w:val="14"/>
        <w:szCs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F34251C"/>
    <w:multiLevelType w:val="hybridMultilevel"/>
    <w:tmpl w:val="26CA84F6"/>
    <w:lvl w:ilvl="0" w:tplc="0A1C4C08">
      <w:start w:val="1"/>
      <w:numFmt w:val="bullet"/>
      <w:lvlText w:val=""/>
      <w:lvlJc w:val="left"/>
      <w:pPr>
        <w:ind w:left="720" w:hanging="360"/>
      </w:pPr>
      <w:rPr>
        <w:rFonts w:ascii="Symbol" w:hAnsi="Symbol" w:cs="Symbol" w:hint="default"/>
        <w:sz w:val="14"/>
        <w:szCs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49858A4"/>
    <w:multiLevelType w:val="hybridMultilevel"/>
    <w:tmpl w:val="BFE8A912"/>
    <w:lvl w:ilvl="0" w:tplc="0A1C4C08">
      <w:start w:val="1"/>
      <w:numFmt w:val="bullet"/>
      <w:lvlText w:val=""/>
      <w:lvlJc w:val="left"/>
      <w:pPr>
        <w:ind w:left="720" w:hanging="360"/>
      </w:pPr>
      <w:rPr>
        <w:rFonts w:ascii="Symbol" w:hAnsi="Symbol" w:cs="Symbol" w:hint="default"/>
        <w:sz w:val="14"/>
        <w:szCs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ED2D08"/>
    <w:multiLevelType w:val="hybridMultilevel"/>
    <w:tmpl w:val="A5E85C5C"/>
    <w:lvl w:ilvl="0" w:tplc="0A1C4C08">
      <w:start w:val="1"/>
      <w:numFmt w:val="bullet"/>
      <w:lvlText w:val=""/>
      <w:lvlJc w:val="left"/>
      <w:pPr>
        <w:tabs>
          <w:tab w:val="num" w:pos="1361"/>
        </w:tabs>
        <w:ind w:left="1247" w:firstLine="0"/>
      </w:pPr>
      <w:rPr>
        <w:rFonts w:ascii="Symbol" w:hAnsi="Symbol" w:cs="Symbol" w:hint="default"/>
        <w:sz w:val="14"/>
        <w:szCs w:val="1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2"/>
  </w:num>
  <w:num w:numId="3">
    <w:abstractNumId w:val="14"/>
  </w:num>
  <w:num w:numId="4">
    <w:abstractNumId w:val="7"/>
  </w:num>
  <w:num w:numId="5">
    <w:abstractNumId w:val="27"/>
  </w:num>
  <w:num w:numId="6">
    <w:abstractNumId w:val="8"/>
  </w:num>
  <w:num w:numId="7">
    <w:abstractNumId w:val="26"/>
  </w:num>
  <w:num w:numId="8">
    <w:abstractNumId w:val="19"/>
  </w:num>
  <w:num w:numId="9">
    <w:abstractNumId w:val="21"/>
  </w:num>
  <w:num w:numId="10">
    <w:abstractNumId w:val="17"/>
  </w:num>
  <w:num w:numId="11">
    <w:abstractNumId w:val="16"/>
  </w:num>
  <w:num w:numId="12">
    <w:abstractNumId w:val="6"/>
  </w:num>
  <w:num w:numId="13">
    <w:abstractNumId w:val="5"/>
  </w:num>
  <w:num w:numId="14">
    <w:abstractNumId w:val="25"/>
  </w:num>
  <w:num w:numId="15">
    <w:abstractNumId w:val="23"/>
  </w:num>
  <w:num w:numId="16">
    <w:abstractNumId w:val="15"/>
  </w:num>
  <w:num w:numId="17">
    <w:abstractNumId w:val="4"/>
  </w:num>
  <w:num w:numId="18">
    <w:abstractNumId w:val="3"/>
  </w:num>
  <w:num w:numId="19">
    <w:abstractNumId w:val="24"/>
  </w:num>
  <w:num w:numId="20">
    <w:abstractNumId w:val="18"/>
  </w:num>
  <w:num w:numId="21">
    <w:abstractNumId w:val="1"/>
  </w:num>
  <w:num w:numId="22">
    <w:abstractNumId w:val="22"/>
  </w:num>
  <w:num w:numId="23">
    <w:abstractNumId w:val="0"/>
  </w:num>
  <w:num w:numId="24">
    <w:abstractNumId w:val="12"/>
  </w:num>
  <w:num w:numId="25">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abstractNumId w:val="10"/>
  </w:num>
  <w:num w:numId="31">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attachedTemplate r:id="rId1"/>
  <w:documentProtection w:edit="readOnly" w:enforcement="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188"/>
    <w:rsid w:val="000076D5"/>
    <w:rsid w:val="00020ED2"/>
    <w:rsid w:val="00035E19"/>
    <w:rsid w:val="00043663"/>
    <w:rsid w:val="000505CF"/>
    <w:rsid w:val="0006642E"/>
    <w:rsid w:val="0009460F"/>
    <w:rsid w:val="000B462C"/>
    <w:rsid w:val="000C4666"/>
    <w:rsid w:val="000D701C"/>
    <w:rsid w:val="000E2A71"/>
    <w:rsid w:val="000F4858"/>
    <w:rsid w:val="000F66B4"/>
    <w:rsid w:val="001128FB"/>
    <w:rsid w:val="00143686"/>
    <w:rsid w:val="00160263"/>
    <w:rsid w:val="00181F96"/>
    <w:rsid w:val="001872B5"/>
    <w:rsid w:val="001A1371"/>
    <w:rsid w:val="001B2F42"/>
    <w:rsid w:val="001B346A"/>
    <w:rsid w:val="001E1CAD"/>
    <w:rsid w:val="001E290D"/>
    <w:rsid w:val="0021376C"/>
    <w:rsid w:val="002144FA"/>
    <w:rsid w:val="002173E0"/>
    <w:rsid w:val="0023469A"/>
    <w:rsid w:val="00243C8A"/>
    <w:rsid w:val="0025349F"/>
    <w:rsid w:val="00267A0E"/>
    <w:rsid w:val="002705E5"/>
    <w:rsid w:val="002901D9"/>
    <w:rsid w:val="00290218"/>
    <w:rsid w:val="002976C2"/>
    <w:rsid w:val="002C7C1F"/>
    <w:rsid w:val="002E196D"/>
    <w:rsid w:val="002E64D1"/>
    <w:rsid w:val="002E6A02"/>
    <w:rsid w:val="00306540"/>
    <w:rsid w:val="00306F01"/>
    <w:rsid w:val="0030785C"/>
    <w:rsid w:val="003260FF"/>
    <w:rsid w:val="00343D95"/>
    <w:rsid w:val="00353903"/>
    <w:rsid w:val="00354CC2"/>
    <w:rsid w:val="00374341"/>
    <w:rsid w:val="003753EF"/>
    <w:rsid w:val="003957A0"/>
    <w:rsid w:val="003978D7"/>
    <w:rsid w:val="003A4ADA"/>
    <w:rsid w:val="003B0B30"/>
    <w:rsid w:val="003D1062"/>
    <w:rsid w:val="003F534D"/>
    <w:rsid w:val="00420D7B"/>
    <w:rsid w:val="00450B21"/>
    <w:rsid w:val="00453B63"/>
    <w:rsid w:val="00455780"/>
    <w:rsid w:val="00467D1F"/>
    <w:rsid w:val="00494AE4"/>
    <w:rsid w:val="004A0DA9"/>
    <w:rsid w:val="004A3298"/>
    <w:rsid w:val="004B0A1C"/>
    <w:rsid w:val="004D298E"/>
    <w:rsid w:val="004D471B"/>
    <w:rsid w:val="004D7844"/>
    <w:rsid w:val="004F08E0"/>
    <w:rsid w:val="004F6383"/>
    <w:rsid w:val="005023A3"/>
    <w:rsid w:val="0053722C"/>
    <w:rsid w:val="0054472E"/>
    <w:rsid w:val="00556AB9"/>
    <w:rsid w:val="00564B9D"/>
    <w:rsid w:val="005662A9"/>
    <w:rsid w:val="00577EF7"/>
    <w:rsid w:val="005827D4"/>
    <w:rsid w:val="00590D08"/>
    <w:rsid w:val="0059622A"/>
    <w:rsid w:val="005C5878"/>
    <w:rsid w:val="005C7CEA"/>
    <w:rsid w:val="005D3C0B"/>
    <w:rsid w:val="005D3D20"/>
    <w:rsid w:val="005E5217"/>
    <w:rsid w:val="005F0FA4"/>
    <w:rsid w:val="005F30EE"/>
    <w:rsid w:val="0060473A"/>
    <w:rsid w:val="00623495"/>
    <w:rsid w:val="00624B9B"/>
    <w:rsid w:val="0063775D"/>
    <w:rsid w:val="00644D0F"/>
    <w:rsid w:val="00656392"/>
    <w:rsid w:val="006565D9"/>
    <w:rsid w:val="00676B5E"/>
    <w:rsid w:val="0068781D"/>
    <w:rsid w:val="006959B0"/>
    <w:rsid w:val="006A48CB"/>
    <w:rsid w:val="006B3E27"/>
    <w:rsid w:val="006B6507"/>
    <w:rsid w:val="006C104C"/>
    <w:rsid w:val="006D6FB1"/>
    <w:rsid w:val="006E68C4"/>
    <w:rsid w:val="00733704"/>
    <w:rsid w:val="00762F1C"/>
    <w:rsid w:val="00777024"/>
    <w:rsid w:val="0078071A"/>
    <w:rsid w:val="0078130C"/>
    <w:rsid w:val="007A3956"/>
    <w:rsid w:val="007A63CA"/>
    <w:rsid w:val="007B5A24"/>
    <w:rsid w:val="007B752D"/>
    <w:rsid w:val="007C1295"/>
    <w:rsid w:val="007E37A9"/>
    <w:rsid w:val="0080537E"/>
    <w:rsid w:val="008209C8"/>
    <w:rsid w:val="008436E6"/>
    <w:rsid w:val="00852A9A"/>
    <w:rsid w:val="008846B3"/>
    <w:rsid w:val="00893651"/>
    <w:rsid w:val="00896877"/>
    <w:rsid w:val="008C4875"/>
    <w:rsid w:val="008C7853"/>
    <w:rsid w:val="008D72AD"/>
    <w:rsid w:val="008F49E1"/>
    <w:rsid w:val="0090370F"/>
    <w:rsid w:val="00913D30"/>
    <w:rsid w:val="009269D2"/>
    <w:rsid w:val="00942135"/>
    <w:rsid w:val="009521B0"/>
    <w:rsid w:val="00957371"/>
    <w:rsid w:val="00970174"/>
    <w:rsid w:val="00974E62"/>
    <w:rsid w:val="009815E4"/>
    <w:rsid w:val="00994130"/>
    <w:rsid w:val="009A7E9F"/>
    <w:rsid w:val="009E5018"/>
    <w:rsid w:val="00A12B37"/>
    <w:rsid w:val="00A130A4"/>
    <w:rsid w:val="00A1373C"/>
    <w:rsid w:val="00A519EC"/>
    <w:rsid w:val="00A57056"/>
    <w:rsid w:val="00A575B0"/>
    <w:rsid w:val="00A6363A"/>
    <w:rsid w:val="00AA29CE"/>
    <w:rsid w:val="00AB6758"/>
    <w:rsid w:val="00AF0202"/>
    <w:rsid w:val="00AF2F75"/>
    <w:rsid w:val="00AF6EC9"/>
    <w:rsid w:val="00B13763"/>
    <w:rsid w:val="00B44221"/>
    <w:rsid w:val="00B452DB"/>
    <w:rsid w:val="00B477A4"/>
    <w:rsid w:val="00B54045"/>
    <w:rsid w:val="00B627BA"/>
    <w:rsid w:val="00B706DA"/>
    <w:rsid w:val="00BB10F1"/>
    <w:rsid w:val="00BD7822"/>
    <w:rsid w:val="00BF0F10"/>
    <w:rsid w:val="00C2304B"/>
    <w:rsid w:val="00C438D7"/>
    <w:rsid w:val="00C54AEA"/>
    <w:rsid w:val="00C73091"/>
    <w:rsid w:val="00C74D4C"/>
    <w:rsid w:val="00C81B50"/>
    <w:rsid w:val="00CA22EA"/>
    <w:rsid w:val="00CA2816"/>
    <w:rsid w:val="00CB1019"/>
    <w:rsid w:val="00CB28F9"/>
    <w:rsid w:val="00CD1801"/>
    <w:rsid w:val="00CF4629"/>
    <w:rsid w:val="00D01CC9"/>
    <w:rsid w:val="00D05241"/>
    <w:rsid w:val="00D10EF1"/>
    <w:rsid w:val="00D16080"/>
    <w:rsid w:val="00D166C2"/>
    <w:rsid w:val="00D42810"/>
    <w:rsid w:val="00D52779"/>
    <w:rsid w:val="00D70082"/>
    <w:rsid w:val="00D72D17"/>
    <w:rsid w:val="00D73217"/>
    <w:rsid w:val="00D82754"/>
    <w:rsid w:val="00D86AA0"/>
    <w:rsid w:val="00D914A7"/>
    <w:rsid w:val="00D939C6"/>
    <w:rsid w:val="00DA45EB"/>
    <w:rsid w:val="00DB1D2F"/>
    <w:rsid w:val="00DC4300"/>
    <w:rsid w:val="00DD13C3"/>
    <w:rsid w:val="00DD596E"/>
    <w:rsid w:val="00DD621E"/>
    <w:rsid w:val="00DF0575"/>
    <w:rsid w:val="00DF7C00"/>
    <w:rsid w:val="00E20734"/>
    <w:rsid w:val="00E24C1D"/>
    <w:rsid w:val="00E40CC2"/>
    <w:rsid w:val="00E513B7"/>
    <w:rsid w:val="00E70E04"/>
    <w:rsid w:val="00E73AE1"/>
    <w:rsid w:val="00E73CF7"/>
    <w:rsid w:val="00E76499"/>
    <w:rsid w:val="00E777FD"/>
    <w:rsid w:val="00E9006F"/>
    <w:rsid w:val="00EA2151"/>
    <w:rsid w:val="00EC05A7"/>
    <w:rsid w:val="00EC4B6B"/>
    <w:rsid w:val="00EC6FD0"/>
    <w:rsid w:val="00EF1EE5"/>
    <w:rsid w:val="00EF2F11"/>
    <w:rsid w:val="00F25631"/>
    <w:rsid w:val="00F62C8F"/>
    <w:rsid w:val="00F73188"/>
    <w:rsid w:val="00F763B4"/>
    <w:rsid w:val="00F900C3"/>
    <w:rsid w:val="00F97347"/>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48AFCB"/>
  <w15:docId w15:val="{41EC0779-5375-4F66-94B1-EF7111E84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6B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F66B4"/>
    <w:pPr>
      <w:bidi w:val="0"/>
      <w:outlineLvl w:val="0"/>
    </w:pPr>
  </w:style>
  <w:style w:type="paragraph" w:styleId="Heading2">
    <w:name w:val="heading 2"/>
    <w:basedOn w:val="Normal"/>
    <w:next w:val="Normal"/>
    <w:link w:val="Heading2Char"/>
    <w:uiPriority w:val="9"/>
    <w:unhideWhenUsed/>
    <w:rsid w:val="000F66B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F66B4"/>
    <w:pPr>
      <w:keepNext/>
      <w:keepLines/>
      <w:spacing w:before="200"/>
      <w:outlineLvl w:val="2"/>
    </w:pPr>
    <w:rPr>
      <w:b/>
      <w:bCs/>
      <w:color w:val="4F81BD"/>
    </w:rPr>
  </w:style>
  <w:style w:type="paragraph" w:styleId="Heading4">
    <w:name w:val="heading 4"/>
    <w:basedOn w:val="Normal"/>
    <w:next w:val="Normal"/>
    <w:link w:val="Heading4Char"/>
    <w:uiPriority w:val="9"/>
    <w:unhideWhenUsed/>
    <w:rsid w:val="000F66B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F66B4"/>
    <w:pPr>
      <w:keepNext/>
      <w:keepLines/>
      <w:spacing w:before="200"/>
      <w:outlineLvl w:val="4"/>
    </w:pPr>
    <w:rPr>
      <w:color w:val="243F60"/>
    </w:rPr>
  </w:style>
  <w:style w:type="paragraph" w:styleId="Heading6">
    <w:name w:val="heading 6"/>
    <w:basedOn w:val="Normal"/>
    <w:next w:val="Normal"/>
    <w:link w:val="Heading6Char"/>
    <w:uiPriority w:val="9"/>
    <w:unhideWhenUsed/>
    <w:rsid w:val="000F66B4"/>
    <w:pPr>
      <w:keepNext/>
      <w:keepLines/>
      <w:spacing w:before="200"/>
      <w:outlineLvl w:val="5"/>
    </w:pPr>
    <w:rPr>
      <w:i/>
      <w:iCs/>
      <w:color w:val="243F60"/>
    </w:rPr>
  </w:style>
  <w:style w:type="paragraph" w:styleId="Heading7">
    <w:name w:val="heading 7"/>
    <w:basedOn w:val="Normal"/>
    <w:next w:val="Normal"/>
    <w:link w:val="Heading7Char"/>
    <w:uiPriority w:val="9"/>
    <w:unhideWhenUsed/>
    <w:rsid w:val="000F66B4"/>
    <w:pPr>
      <w:keepNext/>
      <w:keepLines/>
      <w:spacing w:before="200"/>
      <w:outlineLvl w:val="6"/>
    </w:pPr>
    <w:rPr>
      <w:i/>
      <w:iCs/>
      <w:color w:val="404040"/>
    </w:rPr>
  </w:style>
  <w:style w:type="paragraph" w:styleId="Heading8">
    <w:name w:val="heading 8"/>
    <w:basedOn w:val="Normal"/>
    <w:next w:val="Normal"/>
    <w:link w:val="Heading8Char"/>
    <w:uiPriority w:val="9"/>
    <w:unhideWhenUsed/>
    <w:rsid w:val="000F66B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F66B4"/>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F66B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F66B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F66B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F66B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F66B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F66B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F66B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F66B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F66B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F66B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F66B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F66B4"/>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0F66B4"/>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F66B4"/>
    <w:pPr>
      <w:numPr>
        <w:numId w:val="1"/>
      </w:numPr>
      <w:bidi w:val="0"/>
    </w:pPr>
    <w:rPr>
      <w:lang w:val="en-US"/>
    </w:rPr>
  </w:style>
  <w:style w:type="paragraph" w:customStyle="1" w:styleId="Roman1GA">
    <w:name w:val="_Roman 1_GA"/>
    <w:basedOn w:val="Bullet1GA"/>
    <w:qFormat/>
    <w:rsid w:val="000F66B4"/>
    <w:pPr>
      <w:numPr>
        <w:numId w:val="4"/>
      </w:numPr>
      <w:tabs>
        <w:tab w:val="clear" w:pos="2310"/>
        <w:tab w:val="left" w:pos="2486"/>
      </w:tabs>
      <w:ind w:left="2486" w:hanging="378"/>
    </w:pPr>
  </w:style>
  <w:style w:type="paragraph" w:customStyle="1" w:styleId="Roman2GA">
    <w:name w:val="_Roman 2_GA"/>
    <w:basedOn w:val="Bullet2GA"/>
    <w:qFormat/>
    <w:rsid w:val="000F66B4"/>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F66B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F66B4"/>
    <w:rPr>
      <w:rFonts w:ascii="Times New Roman" w:eastAsia="PMingLiU" w:hAnsi="Times New Roman" w:cs="Simplified Arabic"/>
      <w:sz w:val="18"/>
      <w:szCs w:val="20"/>
      <w:lang w:val="en-GB"/>
    </w:rPr>
  </w:style>
  <w:style w:type="character" w:customStyle="1" w:styleId="EndtnoteReference">
    <w:name w:val="Endtnote Reference"/>
    <w:aliases w:val="1_GA"/>
    <w:qFormat/>
    <w:rsid w:val="000F66B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F66B4"/>
    <w:pPr>
      <w:suppressAutoHyphens/>
      <w:bidi w:val="0"/>
      <w:spacing w:line="240" w:lineRule="auto"/>
    </w:pPr>
    <w:rPr>
      <w:sz w:val="16"/>
      <w:lang w:val="en-GB"/>
    </w:rPr>
  </w:style>
  <w:style w:type="character" w:customStyle="1" w:styleId="FooterChar">
    <w:name w:val="Footer Char"/>
    <w:aliases w:val="3_GA Char,3_G Char"/>
    <w:link w:val="Footer"/>
    <w:rsid w:val="000F66B4"/>
    <w:rPr>
      <w:rFonts w:ascii="Times New Roman" w:eastAsia="PMingLiU" w:hAnsi="Times New Roman" w:cs="Simplified Arabic"/>
      <w:sz w:val="16"/>
      <w:lang w:val="en-GB"/>
    </w:rPr>
  </w:style>
  <w:style w:type="paragraph" w:customStyle="1" w:styleId="FootnoteText1">
    <w:name w:val="Footnote Text1"/>
    <w:aliases w:val="5_GA,footnote Text"/>
    <w:basedOn w:val="Normal"/>
    <w:qFormat/>
    <w:rsid w:val="000F66B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F66B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F66B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F66B4"/>
    <w:rPr>
      <w:rFonts w:ascii="Times New Roman" w:eastAsia="PMingLiU" w:hAnsi="Times New Roman" w:cs="Simplified Arabic"/>
      <w:lang w:val="en-GB"/>
    </w:rPr>
  </w:style>
  <w:style w:type="character" w:styleId="PageNumber">
    <w:name w:val="page number"/>
    <w:aliases w:val="7_GA,7_G"/>
    <w:qFormat/>
    <w:rsid w:val="000F66B4"/>
    <w:rPr>
      <w:rFonts w:ascii="Times New Roman Bold" w:hAnsi="Times New Roman Bold"/>
      <w:b/>
      <w:i w:val="0"/>
      <w:sz w:val="18"/>
      <w:szCs w:val="18"/>
    </w:rPr>
  </w:style>
  <w:style w:type="paragraph" w:customStyle="1" w:styleId="XXLargeGA">
    <w:name w:val="XXLarge_GA"/>
    <w:basedOn w:val="Normal"/>
    <w:next w:val="SingleTxtGA"/>
    <w:qFormat/>
    <w:rsid w:val="000F66B4"/>
    <w:pPr>
      <w:suppressAutoHyphens/>
      <w:spacing w:line="820" w:lineRule="exact"/>
    </w:pPr>
    <w:rPr>
      <w:spacing w:val="-8"/>
      <w:w w:val="96"/>
      <w:sz w:val="57"/>
      <w:szCs w:val="86"/>
      <w:lang w:val="en-GB"/>
    </w:rPr>
  </w:style>
  <w:style w:type="character" w:customStyle="1" w:styleId="Heading2Char">
    <w:name w:val="Heading 2 Char"/>
    <w:link w:val="Heading2"/>
    <w:uiPriority w:val="9"/>
    <w:rsid w:val="000F66B4"/>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F66B4"/>
    <w:rPr>
      <w:rFonts w:ascii="Times New Roman" w:eastAsia="PMingLiU" w:hAnsi="Times New Roman" w:cs="Simplified Arabic"/>
      <w:b/>
      <w:bCs/>
      <w:color w:val="4F81BD"/>
      <w:sz w:val="20"/>
    </w:rPr>
  </w:style>
  <w:style w:type="character" w:customStyle="1" w:styleId="Heading4Char">
    <w:name w:val="Heading 4 Char"/>
    <w:link w:val="Heading4"/>
    <w:uiPriority w:val="9"/>
    <w:rsid w:val="000F66B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F66B4"/>
    <w:rPr>
      <w:rFonts w:ascii="Times New Roman" w:eastAsia="PMingLiU" w:hAnsi="Times New Roman" w:cs="Simplified Arabic"/>
      <w:color w:val="243F60"/>
      <w:sz w:val="20"/>
    </w:rPr>
  </w:style>
  <w:style w:type="character" w:customStyle="1" w:styleId="Heading6Char">
    <w:name w:val="Heading 6 Char"/>
    <w:link w:val="Heading6"/>
    <w:uiPriority w:val="9"/>
    <w:rsid w:val="000F66B4"/>
    <w:rPr>
      <w:rFonts w:ascii="Times New Roman" w:eastAsia="PMingLiU" w:hAnsi="Times New Roman" w:cs="Simplified Arabic"/>
      <w:i/>
      <w:iCs/>
      <w:color w:val="243F60"/>
      <w:sz w:val="20"/>
    </w:rPr>
  </w:style>
  <w:style w:type="character" w:customStyle="1" w:styleId="Heading7Char">
    <w:name w:val="Heading 7 Char"/>
    <w:link w:val="Heading7"/>
    <w:uiPriority w:val="9"/>
    <w:rsid w:val="000F66B4"/>
    <w:rPr>
      <w:rFonts w:ascii="Times New Roman" w:eastAsia="PMingLiU" w:hAnsi="Times New Roman" w:cs="Simplified Arabic"/>
      <w:i/>
      <w:iCs/>
      <w:color w:val="404040"/>
      <w:sz w:val="20"/>
    </w:rPr>
  </w:style>
  <w:style w:type="character" w:customStyle="1" w:styleId="Heading8Char">
    <w:name w:val="Heading 8 Char"/>
    <w:link w:val="Heading8"/>
    <w:uiPriority w:val="9"/>
    <w:rsid w:val="000F66B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F66B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F66B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F66B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F66B4"/>
    <w:pPr>
      <w:numPr>
        <w:ilvl w:val="1"/>
      </w:numPr>
    </w:pPr>
    <w:rPr>
      <w:i/>
      <w:iCs/>
      <w:color w:val="4F81BD"/>
      <w:spacing w:val="15"/>
      <w:sz w:val="24"/>
      <w:szCs w:val="24"/>
    </w:rPr>
  </w:style>
  <w:style w:type="character" w:customStyle="1" w:styleId="SubtitleChar">
    <w:name w:val="Subtitle Char"/>
    <w:link w:val="Subtitle"/>
    <w:uiPriority w:val="11"/>
    <w:rsid w:val="000F66B4"/>
    <w:rPr>
      <w:rFonts w:ascii="Times New Roman" w:eastAsia="PMingLiU" w:hAnsi="Times New Roman" w:cs="Simplified Arabic"/>
      <w:i/>
      <w:iCs/>
      <w:color w:val="4F81BD"/>
      <w:spacing w:val="15"/>
      <w:sz w:val="24"/>
      <w:szCs w:val="24"/>
    </w:rPr>
  </w:style>
  <w:style w:type="character" w:styleId="Strong">
    <w:name w:val="Strong"/>
    <w:uiPriority w:val="22"/>
    <w:rsid w:val="000F66B4"/>
    <w:rPr>
      <w:b/>
      <w:bCs/>
    </w:rPr>
  </w:style>
  <w:style w:type="table" w:styleId="TableGrid">
    <w:name w:val="Table Grid"/>
    <w:basedOn w:val="TableNormal"/>
    <w:rsid w:val="000F66B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F66B4"/>
    <w:rPr>
      <w:color w:val="0000FF"/>
      <w:u w:val="none"/>
    </w:rPr>
  </w:style>
  <w:style w:type="paragraph" w:styleId="TOC1">
    <w:name w:val="toc 1"/>
    <w:basedOn w:val="Normal"/>
    <w:link w:val="TOC1Char"/>
    <w:autoRedefine/>
    <w:uiPriority w:val="39"/>
    <w:unhideWhenUsed/>
    <w:rsid w:val="000F66B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F66B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F66B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F66B4"/>
    <w:rPr>
      <w:rFonts w:eastAsia="DengXian"/>
      <w:color w:val="auto"/>
      <w:sz w:val="20"/>
      <w:szCs w:val="20"/>
      <w:u w:val="none"/>
      <w:lang w:eastAsia="zh-CN" w:bidi="ar-EG"/>
    </w:rPr>
  </w:style>
  <w:style w:type="paragraph" w:styleId="TOC4">
    <w:name w:val="toc 4"/>
    <w:basedOn w:val="Normal"/>
    <w:link w:val="TOC4Char"/>
    <w:autoRedefine/>
    <w:uiPriority w:val="39"/>
    <w:unhideWhenUsed/>
    <w:rsid w:val="000F66B4"/>
    <w:pPr>
      <w:tabs>
        <w:tab w:val="right" w:pos="1021"/>
        <w:tab w:val="left" w:pos="1077"/>
        <w:tab w:val="left" w:pos="1525"/>
        <w:tab w:val="left" w:leader="dot" w:pos="9065"/>
        <w:tab w:val="right" w:pos="9639"/>
      </w:tabs>
      <w:suppressAutoHyphens/>
      <w:spacing w:line="340" w:lineRule="exact"/>
      <w:ind w:left="1525" w:right="567" w:hanging="1525"/>
    </w:pPr>
    <w:rPr>
      <w:noProof/>
      <w:szCs w:val="20"/>
      <w:lang w:val="en-GB"/>
    </w:rPr>
  </w:style>
  <w:style w:type="paragraph" w:styleId="TOC5">
    <w:name w:val="toc 5"/>
    <w:basedOn w:val="Normal"/>
    <w:link w:val="TOC5Char"/>
    <w:autoRedefine/>
    <w:uiPriority w:val="39"/>
    <w:unhideWhenUsed/>
    <w:rsid w:val="000F66B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F66B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F66B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F66B4"/>
    <w:rPr>
      <w:rFonts w:ascii="Times New Roman" w:eastAsia="PMingLiU" w:hAnsi="Times New Roman" w:cs="Simplified Arabic"/>
      <w:lang w:val="en-GB"/>
    </w:rPr>
  </w:style>
  <w:style w:type="character" w:customStyle="1" w:styleId="TOC1Char">
    <w:name w:val="TOC 1 Char"/>
    <w:basedOn w:val="DefaultParagraphFont"/>
    <w:link w:val="TOC1"/>
    <w:uiPriority w:val="39"/>
    <w:rsid w:val="000F66B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F66B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F66B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F66B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F66B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F66B4"/>
    <w:rPr>
      <w:rFonts w:ascii="Times New Roman" w:eastAsia="PMingLiU" w:hAnsi="Times New Roman" w:cs="Simplified Arabic"/>
      <w:sz w:val="20"/>
      <w:szCs w:val="20"/>
      <w:lang w:val="en-GB"/>
    </w:rPr>
  </w:style>
  <w:style w:type="paragraph" w:customStyle="1" w:styleId="NormalA">
    <w:name w:val="Normal_A"/>
    <w:basedOn w:val="Normal"/>
    <w:qFormat/>
    <w:rsid w:val="000F66B4"/>
  </w:style>
  <w:style w:type="paragraph" w:customStyle="1" w:styleId="FootnoteGA">
    <w:name w:val="_Footnote_GA"/>
    <w:basedOn w:val="Normal"/>
    <w:qFormat/>
    <w:rsid w:val="000F66B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F66B4"/>
    <w:rPr>
      <w:sz w:val="44"/>
      <w:szCs w:val="44"/>
      <w:lang w:val="en-US" w:bidi="ar-DZ"/>
    </w:rPr>
  </w:style>
  <w:style w:type="paragraph" w:customStyle="1" w:styleId="FootnoteGA0">
    <w:name w:val="Footnote_GA"/>
    <w:basedOn w:val="Normal"/>
    <w:qFormat/>
    <w:rsid w:val="000F66B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F66B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F66B4"/>
    <w:pPr>
      <w:spacing w:line="240" w:lineRule="exact"/>
    </w:pPr>
    <w:rPr>
      <w:spacing w:val="6"/>
      <w:w w:val="106"/>
      <w:sz w:val="14"/>
      <w:szCs w:val="21"/>
    </w:rPr>
  </w:style>
  <w:style w:type="paragraph" w:customStyle="1" w:styleId="Original">
    <w:name w:val="Original"/>
    <w:basedOn w:val="Normal"/>
    <w:next w:val="Normal"/>
    <w:qFormat/>
    <w:rsid w:val="000F66B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F66B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F66B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F66B4"/>
    <w:rPr>
      <w:lang w:val="en-US" w:eastAsia="zh-TW"/>
    </w:rPr>
  </w:style>
  <w:style w:type="paragraph" w:customStyle="1" w:styleId="STitleMGA">
    <w:name w:val="S_Title_M_GA"/>
    <w:basedOn w:val="SMGA"/>
    <w:qFormat/>
    <w:rsid w:val="000F66B4"/>
    <w:rPr>
      <w:lang w:eastAsia="zh-TW"/>
    </w:rPr>
  </w:style>
  <w:style w:type="paragraph" w:customStyle="1" w:styleId="STitleSGA">
    <w:name w:val="S_Title_S_GA"/>
    <w:basedOn w:val="SSGA"/>
    <w:qFormat/>
    <w:rsid w:val="000F66B4"/>
    <w:rPr>
      <w:lang w:eastAsia="zh-TW"/>
    </w:rPr>
  </w:style>
  <w:style w:type="character" w:styleId="PlaceholderText">
    <w:name w:val="Placeholder Text"/>
    <w:basedOn w:val="DefaultParagraphFont"/>
    <w:uiPriority w:val="99"/>
    <w:semiHidden/>
    <w:rsid w:val="00494AE4"/>
    <w:rPr>
      <w:color w:val="808080"/>
    </w:rPr>
  </w:style>
  <w:style w:type="paragraph" w:styleId="FootnoteText">
    <w:name w:val="footnote text"/>
    <w:aliases w:val="5_G"/>
    <w:basedOn w:val="Normal"/>
    <w:link w:val="FootnoteTextChar"/>
    <w:unhideWhenUsed/>
    <w:qFormat/>
    <w:rsid w:val="00494AE4"/>
    <w:pPr>
      <w:spacing w:line="240" w:lineRule="auto"/>
    </w:pPr>
    <w:rPr>
      <w:rFonts w:eastAsia="Times New Roman" w:cs="Traditional Arabic"/>
      <w:szCs w:val="20"/>
    </w:rPr>
  </w:style>
  <w:style w:type="character" w:customStyle="1" w:styleId="FootnoteTextChar">
    <w:name w:val="Footnote Text Char"/>
    <w:aliases w:val="5_G Char"/>
    <w:basedOn w:val="DefaultParagraphFont"/>
    <w:link w:val="FootnoteText"/>
    <w:rsid w:val="00494AE4"/>
    <w:rPr>
      <w:rFonts w:ascii="Times New Roman" w:hAnsi="Times New Roman" w:cs="Traditional Arabic"/>
      <w:sz w:val="20"/>
      <w:szCs w:val="20"/>
    </w:rPr>
  </w:style>
  <w:style w:type="character" w:styleId="FootnoteReference">
    <w:name w:val="footnote reference"/>
    <w:aliases w:val="4_GA,4_G"/>
    <w:qFormat/>
    <w:rsid w:val="00494AE4"/>
    <w:rPr>
      <w:rFonts w:ascii="Times New Roman" w:hAnsi="Times New Roman" w:cs="Traditional Arabic"/>
      <w:b/>
      <w:kern w:val="0"/>
      <w:sz w:val="18"/>
      <w:szCs w:val="28"/>
      <w:vertAlign w:val="superscript"/>
    </w:rPr>
  </w:style>
  <w:style w:type="character" w:styleId="BookTitle">
    <w:name w:val="Book Title"/>
    <w:uiPriority w:val="33"/>
    <w:qFormat/>
    <w:rsid w:val="00494AE4"/>
    <w:rPr>
      <w:b/>
      <w:bCs/>
      <w:smallCaps/>
      <w:spacing w:val="5"/>
    </w:rPr>
  </w:style>
  <w:style w:type="character" w:styleId="SubtleEmphasis">
    <w:name w:val="Subtle Emphasis"/>
    <w:uiPriority w:val="19"/>
    <w:qFormat/>
    <w:rsid w:val="00494AE4"/>
    <w:rPr>
      <w:i/>
      <w:iCs/>
      <w:color w:val="808080"/>
    </w:rPr>
  </w:style>
  <w:style w:type="table" w:styleId="ColorfulGrid-Accent6">
    <w:name w:val="Colorful Grid Accent 6"/>
    <w:basedOn w:val="TableNormal"/>
    <w:uiPriority w:val="73"/>
    <w:rsid w:val="00494AE4"/>
    <w:pPr>
      <w:spacing w:after="0" w:line="240" w:lineRule="auto"/>
    </w:pPr>
    <w:rPr>
      <w:rFonts w:ascii="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494AE4"/>
    <w:rPr>
      <w:i/>
      <w:iCs/>
    </w:rPr>
  </w:style>
  <w:style w:type="character" w:styleId="IntenseEmphasis">
    <w:name w:val="Intense Emphasis"/>
    <w:uiPriority w:val="21"/>
    <w:qFormat/>
    <w:rsid w:val="00494AE4"/>
    <w:rPr>
      <w:b/>
      <w:bCs/>
      <w:i/>
      <w:iCs/>
      <w:color w:val="4F81BD"/>
    </w:rPr>
  </w:style>
  <w:style w:type="paragraph" w:styleId="Quote">
    <w:name w:val="Quote"/>
    <w:basedOn w:val="Normal"/>
    <w:next w:val="Normal"/>
    <w:link w:val="QuoteChar"/>
    <w:uiPriority w:val="29"/>
    <w:qFormat/>
    <w:rsid w:val="00494AE4"/>
    <w:rPr>
      <w:rFonts w:eastAsia="Times New Roman" w:cs="Traditional Arabic"/>
      <w:i/>
      <w:iCs/>
      <w:color w:val="000000"/>
      <w:szCs w:val="30"/>
    </w:rPr>
  </w:style>
  <w:style w:type="character" w:customStyle="1" w:styleId="QuoteChar">
    <w:name w:val="Quote Char"/>
    <w:basedOn w:val="DefaultParagraphFont"/>
    <w:link w:val="Quote"/>
    <w:uiPriority w:val="29"/>
    <w:rsid w:val="00494AE4"/>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qFormat/>
    <w:rsid w:val="00494AE4"/>
    <w:pPr>
      <w:pBdr>
        <w:bottom w:val="single" w:sz="4" w:space="4" w:color="4F81BD"/>
      </w:pBdr>
      <w:spacing w:before="200" w:after="280"/>
      <w:ind w:left="936" w:right="936"/>
    </w:pPr>
    <w:rPr>
      <w:rFonts w:eastAsia="Times New Roman" w:cs="Traditional Arabic"/>
      <w:b/>
      <w:bCs/>
      <w:i/>
      <w:iCs/>
      <w:color w:val="4F81BD"/>
      <w:szCs w:val="30"/>
    </w:rPr>
  </w:style>
  <w:style w:type="character" w:customStyle="1" w:styleId="IntenseQuoteChar">
    <w:name w:val="Intense Quote Char"/>
    <w:basedOn w:val="DefaultParagraphFont"/>
    <w:link w:val="IntenseQuote"/>
    <w:uiPriority w:val="30"/>
    <w:rsid w:val="00494AE4"/>
    <w:rPr>
      <w:rFonts w:ascii="Times New Roman" w:hAnsi="Times New Roman" w:cs="Traditional Arabic"/>
      <w:b/>
      <w:bCs/>
      <w:i/>
      <w:iCs/>
      <w:color w:val="4F81BD"/>
      <w:sz w:val="20"/>
      <w:szCs w:val="30"/>
    </w:rPr>
  </w:style>
  <w:style w:type="character" w:styleId="SubtleReference">
    <w:name w:val="Subtle Reference"/>
    <w:uiPriority w:val="31"/>
    <w:qFormat/>
    <w:rsid w:val="00494AE4"/>
    <w:rPr>
      <w:smallCaps/>
      <w:color w:val="C0504D"/>
      <w:u w:val="single"/>
    </w:rPr>
  </w:style>
  <w:style w:type="character" w:styleId="IntenseReference">
    <w:name w:val="Intense Reference"/>
    <w:uiPriority w:val="32"/>
    <w:qFormat/>
    <w:rsid w:val="00494AE4"/>
    <w:rPr>
      <w:b/>
      <w:bCs/>
      <w:smallCaps/>
      <w:color w:val="C0504D"/>
      <w:spacing w:val="5"/>
      <w:u w:val="single"/>
    </w:rPr>
  </w:style>
  <w:style w:type="paragraph" w:styleId="ListParagraph">
    <w:name w:val="List Paragraph"/>
    <w:basedOn w:val="Normal"/>
    <w:uiPriority w:val="34"/>
    <w:qFormat/>
    <w:rsid w:val="00494AE4"/>
    <w:pPr>
      <w:ind w:left="720"/>
      <w:contextualSpacing/>
    </w:pPr>
    <w:rPr>
      <w:rFonts w:eastAsia="Times New Roman" w:cs="Traditional Arabic"/>
      <w:szCs w:val="30"/>
    </w:rPr>
  </w:style>
  <w:style w:type="table" w:styleId="MediumShading1-Accent4">
    <w:name w:val="Medium Shading 1 Accent 4"/>
    <w:basedOn w:val="TableNormal"/>
    <w:uiPriority w:val="63"/>
    <w:rsid w:val="00494AE4"/>
    <w:pPr>
      <w:spacing w:after="0" w:line="240" w:lineRule="auto"/>
    </w:pPr>
    <w:rPr>
      <w:rFonts w:ascii="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semiHidden/>
    <w:unhideWhenUsed/>
    <w:rsid w:val="00494AE4"/>
    <w:rPr>
      <w:vertAlign w:val="superscript"/>
    </w:rPr>
  </w:style>
  <w:style w:type="paragraph" w:styleId="BalloonText">
    <w:name w:val="Balloon Text"/>
    <w:basedOn w:val="Normal"/>
    <w:link w:val="BalloonTextChar"/>
    <w:unhideWhenUsed/>
    <w:rsid w:val="00494AE4"/>
    <w:pPr>
      <w:spacing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494AE4"/>
    <w:rPr>
      <w:rFonts w:ascii="Tahoma" w:hAnsi="Tahoma" w:cs="Tahoma"/>
      <w:sz w:val="16"/>
      <w:szCs w:val="16"/>
    </w:rPr>
  </w:style>
  <w:style w:type="numbering" w:styleId="111111">
    <w:name w:val="Outline List 2"/>
    <w:basedOn w:val="NoList"/>
    <w:semiHidden/>
    <w:rsid w:val="00494AE4"/>
    <w:pPr>
      <w:numPr>
        <w:numId w:val="6"/>
      </w:numPr>
    </w:pPr>
  </w:style>
  <w:style w:type="numbering" w:styleId="1ai">
    <w:name w:val="Outline List 1"/>
    <w:basedOn w:val="NoList"/>
    <w:semiHidden/>
    <w:rsid w:val="00494AE4"/>
    <w:pPr>
      <w:numPr>
        <w:numId w:val="7"/>
      </w:numPr>
    </w:pPr>
  </w:style>
  <w:style w:type="character" w:customStyle="1" w:styleId="norm1">
    <w:name w:val="norm1"/>
    <w:rsid w:val="00494AE4"/>
    <w:rPr>
      <w:rFonts w:ascii="Arial" w:hAnsi="Arial"/>
      <w:color w:val="000000"/>
      <w:sz w:val="19"/>
      <w:u w:val="none"/>
      <w:effect w:val="none"/>
    </w:rPr>
  </w:style>
  <w:style w:type="paragraph" w:customStyle="1" w:styleId="Title4">
    <w:name w:val="Title4"/>
    <w:autoRedefine/>
    <w:rsid w:val="00494AE4"/>
    <w:pPr>
      <w:bidi/>
      <w:spacing w:before="20" w:after="40" w:line="300" w:lineRule="exact"/>
      <w:ind w:right="170"/>
      <w:jc w:val="lowKashida"/>
    </w:pPr>
    <w:rPr>
      <w:rFonts w:ascii="Traditional Arabic" w:hAnsi="Traditional Arabic" w:cs="Traditional Arabic"/>
      <w:i/>
      <w:iCs/>
      <w:noProof/>
      <w:sz w:val="26"/>
      <w:szCs w:val="26"/>
      <w:lang w:val="en-GB" w:bidi="ar-LB"/>
    </w:rPr>
  </w:style>
  <w:style w:type="character" w:customStyle="1" w:styleId="yiv6106670777">
    <w:name w:val="yiv6106670777"/>
    <w:rsid w:val="00494AE4"/>
  </w:style>
  <w:style w:type="paragraph" w:styleId="TOCHeading">
    <w:name w:val="TOC Heading"/>
    <w:basedOn w:val="Heading1"/>
    <w:next w:val="Normal"/>
    <w:uiPriority w:val="39"/>
    <w:qFormat/>
    <w:rsid w:val="00494AE4"/>
    <w:pPr>
      <w:keepNext/>
      <w:keepLines/>
      <w:tabs>
        <w:tab w:val="clear" w:pos="1928"/>
        <w:tab w:val="clear" w:pos="2608"/>
        <w:tab w:val="clear" w:pos="3289"/>
        <w:tab w:val="clear" w:pos="3969"/>
        <w:tab w:val="clear" w:pos="4649"/>
        <w:tab w:val="clear" w:pos="5330"/>
      </w:tabs>
      <w:suppressAutoHyphens w:val="0"/>
      <w:spacing w:before="480" w:after="0" w:line="276" w:lineRule="auto"/>
      <w:ind w:left="0" w:right="0"/>
      <w:jc w:val="left"/>
      <w:outlineLvl w:val="9"/>
    </w:pPr>
    <w:rPr>
      <w:rFonts w:ascii="Cambria" w:eastAsia="MS Gothic" w:hAnsi="Cambria" w:cs="Times New Roman"/>
      <w:b/>
      <w:bCs/>
      <w:color w:val="365F91"/>
      <w:sz w:val="28"/>
      <w:szCs w:val="28"/>
      <w:lang w:val="en-US" w:eastAsia="ja-JP"/>
    </w:rPr>
  </w:style>
  <w:style w:type="character" w:customStyle="1" w:styleId="6GCharChar">
    <w:name w:val="6_G Char Char"/>
    <w:locked/>
    <w:rsid w:val="00494AE4"/>
    <w:rPr>
      <w:rFonts w:ascii="Times New Roman" w:hAnsi="Times New Roman" w:cs="Times New Roman"/>
      <w:b/>
      <w:sz w:val="20"/>
      <w:szCs w:val="20"/>
    </w:rPr>
  </w:style>
  <w:style w:type="character" w:styleId="CommentReference">
    <w:name w:val="annotation reference"/>
    <w:semiHidden/>
    <w:rsid w:val="00494AE4"/>
    <w:rPr>
      <w:sz w:val="16"/>
      <w:szCs w:val="16"/>
    </w:rPr>
  </w:style>
  <w:style w:type="paragraph" w:styleId="CommentText">
    <w:name w:val="annotation text"/>
    <w:basedOn w:val="Normal"/>
    <w:link w:val="CommentTextChar"/>
    <w:semiHidden/>
    <w:rsid w:val="00494AE4"/>
    <w:rPr>
      <w:rFonts w:eastAsia="Times New Roman" w:cs="Traditional Arabic"/>
      <w:szCs w:val="20"/>
    </w:rPr>
  </w:style>
  <w:style w:type="character" w:customStyle="1" w:styleId="CommentTextChar">
    <w:name w:val="Comment Text Char"/>
    <w:basedOn w:val="DefaultParagraphFont"/>
    <w:link w:val="CommentText"/>
    <w:semiHidden/>
    <w:rsid w:val="00494AE4"/>
    <w:rPr>
      <w:rFonts w:ascii="Times New Roman" w:hAnsi="Times New Roman" w:cs="Traditional Arabic"/>
      <w:sz w:val="20"/>
      <w:szCs w:val="20"/>
    </w:rPr>
  </w:style>
  <w:style w:type="paragraph" w:styleId="CommentSubject">
    <w:name w:val="annotation subject"/>
    <w:basedOn w:val="CommentText"/>
    <w:next w:val="CommentText"/>
    <w:link w:val="CommentSubjectChar"/>
    <w:semiHidden/>
    <w:rsid w:val="00494AE4"/>
    <w:rPr>
      <w:b/>
      <w:bCs/>
    </w:rPr>
  </w:style>
  <w:style w:type="character" w:customStyle="1" w:styleId="CommentSubjectChar">
    <w:name w:val="Comment Subject Char"/>
    <w:basedOn w:val="CommentTextChar"/>
    <w:link w:val="CommentSubject"/>
    <w:semiHidden/>
    <w:rsid w:val="00494AE4"/>
    <w:rPr>
      <w:rFonts w:ascii="Times New Roman" w:hAnsi="Times New Roman" w:cs="Traditional Arabic"/>
      <w:b/>
      <w:bCs/>
      <w:sz w:val="20"/>
      <w:szCs w:val="20"/>
    </w:rPr>
  </w:style>
  <w:style w:type="character" w:styleId="UnresolvedMention">
    <w:name w:val="Unresolved Mention"/>
    <w:basedOn w:val="DefaultParagraphFont"/>
    <w:uiPriority w:val="99"/>
    <w:semiHidden/>
    <w:unhideWhenUsed/>
    <w:rsid w:val="00494AE4"/>
    <w:rPr>
      <w:color w:val="605E5C"/>
      <w:shd w:val="clear" w:color="auto" w:fill="E1DFDD"/>
    </w:rPr>
  </w:style>
  <w:style w:type="paragraph" w:customStyle="1" w:styleId="H56G">
    <w:name w:val="_ H_5/6_G"/>
    <w:basedOn w:val="Normal"/>
    <w:next w:val="Normal"/>
    <w:qFormat/>
    <w:rsid w:val="00494AE4"/>
    <w:pPr>
      <w:keepNext/>
      <w:keepLines/>
      <w:tabs>
        <w:tab w:val="right" w:pos="851"/>
      </w:tabs>
      <w:suppressAutoHyphens/>
      <w:bidi w:val="0"/>
      <w:spacing w:before="240" w:after="120" w:line="240" w:lineRule="exact"/>
      <w:ind w:left="1134" w:right="1134" w:hanging="1134"/>
      <w:jc w:val="left"/>
      <w:outlineLvl w:val="5"/>
    </w:pPr>
    <w:rPr>
      <w:rFonts w:eastAsia="Times New Roman" w:cs="Times New Roman"/>
      <w:szCs w:val="20"/>
      <w:lang w:val="en-GB"/>
    </w:rPr>
  </w:style>
  <w:style w:type="table" w:styleId="ListTable6Colorful">
    <w:name w:val="List Table 6 Colorful"/>
    <w:basedOn w:val="TableNormal"/>
    <w:uiPriority w:val="51"/>
    <w:rsid w:val="00494AE4"/>
    <w:pPr>
      <w:bidi/>
      <w:spacing w:after="0" w:line="240" w:lineRule="auto"/>
    </w:pPr>
    <w:rPr>
      <w:rFonts w:eastAsia="PMingLiU"/>
      <w:color w:val="000000" w:themeColor="text1"/>
      <w:lang w:eastAsia="zh-CN"/>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www.legislation.gov.uk/ukpga/1998/46/contents" TargetMode="External"/><Relationship Id="rId299" Type="http://schemas.openxmlformats.org/officeDocument/2006/relationships/hyperlink" Target="http://www.gov.je/Government/HowGovernmentWorks/CouncilMinisters/Pages/index.aspx" TargetMode="External"/><Relationship Id="rId303" Type="http://schemas.openxmlformats.org/officeDocument/2006/relationships/hyperlink" Target="http://www.gov.je/Government/JerseyWorld/InternationalAffairs/Pages/HumanRights.aspx" TargetMode="External"/><Relationship Id="rId21" Type="http://schemas.openxmlformats.org/officeDocument/2006/relationships/hyperlink" Target="https://www.nisra.gov.uk/publications/registrar-general-quarterly-tables-2020-quarter-1" TargetMode="External"/><Relationship Id="rId42" Type="http://schemas.openxmlformats.org/officeDocument/2006/relationships/hyperlink" Target="https://publichealthscotland.scot/media/7985/mat_aas_table9.xlsx" TargetMode="External"/><Relationship Id="rId63" Type="http://schemas.openxmlformats.org/officeDocument/2006/relationships/hyperlink" Target="https://www.ons.gov.uk/economy/governmentpublicsectorandtaxes/publicspending/bulletins/ukgovernmentdebtanddeficitforeurostatmaast/september2020" TargetMode="External"/><Relationship Id="rId84" Type="http://schemas.openxmlformats.org/officeDocument/2006/relationships/hyperlink" Target="https://www.electoralcommission.org.uk/who-we-are-and-what-we-do/elections-and-referendums/past-elections-and-referendums/senedd-elections/report-may-2021-elections-wales" TargetMode="External"/><Relationship Id="rId138" Type="http://schemas.openxmlformats.org/officeDocument/2006/relationships/hyperlink" Target="http://www.charitycommission.gov.uk/" TargetMode="External"/><Relationship Id="rId159" Type="http://schemas.openxmlformats.org/officeDocument/2006/relationships/hyperlink" Target="http://www.sccyp.org.uk/" TargetMode="External"/><Relationship Id="rId170" Type="http://schemas.openxmlformats.org/officeDocument/2006/relationships/hyperlink" Target="http://www.scotland-judiciary.org.uk/60/0/JSC-Publications" TargetMode="External"/><Relationship Id="rId191" Type="http://schemas.openxmlformats.org/officeDocument/2006/relationships/hyperlink" Target="https://www.legislation.gov.uk/ssi/2016/159/contents/made" TargetMode="External"/><Relationship Id="rId205" Type="http://schemas.openxmlformats.org/officeDocument/2006/relationships/hyperlink" Target="http://www.gov.bm/" TargetMode="External"/><Relationship Id="rId226" Type="http://schemas.openxmlformats.org/officeDocument/2006/relationships/hyperlink" Target="http://www.falklands.gov.fk/self-governance/the-falkland-islands-government/" TargetMode="External"/><Relationship Id="rId247" Type="http://schemas.openxmlformats.org/officeDocument/2006/relationships/hyperlink" Target="http://www.gov.tc" TargetMode="External"/><Relationship Id="rId107" Type="http://schemas.openxmlformats.org/officeDocument/2006/relationships/hyperlink" Target="https://members.parliament.uk/parties/lords/by-peerage" TargetMode="External"/><Relationship Id="rId268" Type="http://schemas.openxmlformats.org/officeDocument/2006/relationships/hyperlink" Target="https://www.gov.gg/CHttpHandler.ashx?id=104975&amp;p=0" TargetMode="External"/><Relationship Id="rId289" Type="http://schemas.openxmlformats.org/officeDocument/2006/relationships/hyperlink" Target="https://www.guernsey.police.uk/CHttpHandler.ashx?id=127363&amp;p=0" TargetMode="External"/><Relationship Id="rId11" Type="http://schemas.openxmlformats.org/officeDocument/2006/relationships/hyperlink" Target="Scotland&#8217;s%20Census%202011&#8211;%20Release%202A" TargetMode="External"/><Relationship Id="rId32" Type="http://schemas.openxmlformats.org/officeDocument/2006/relationships/hyperlink" Target="https://digital.nhs.uk/data-and-information/publications/statistical/national-child-measurement-programme/2019-20-school-year" TargetMode="External"/><Relationship Id="rId53" Type="http://schemas.openxmlformats.org/officeDocument/2006/relationships/hyperlink" Target="https://www.ons.gov.uk/peoplepopulationandcommunity/populationandmigration/populationestimates" TargetMode="External"/><Relationship Id="rId74" Type="http://schemas.openxmlformats.org/officeDocument/2006/relationships/hyperlink" Target="https://www.ofcom.org.uk/research-and-data/telecoms-research/data-updates/telecommunications-market-data-update-q1-2021" TargetMode="External"/><Relationship Id="rId128" Type="http://schemas.openxmlformats.org/officeDocument/2006/relationships/hyperlink" Target="http://www.northernireland.gov.uk/" TargetMode="External"/><Relationship Id="rId149" Type="http://schemas.openxmlformats.org/officeDocument/2006/relationships/hyperlink" Target="http://www.legislation.gov.uk/ukpga/2010/15/contents" TargetMode="External"/><Relationship Id="rId314" Type="http://schemas.openxmlformats.org/officeDocument/2006/relationships/hyperlink" Target="http://www.courts.im/" TargetMode="External"/><Relationship Id="rId5" Type="http://schemas.openxmlformats.org/officeDocument/2006/relationships/hyperlink" Target="http://www.scotlandscensus.gov.uk/documents/censusresults/release2a/StatsBulletin2A.pdf" TargetMode="External"/><Relationship Id="rId95" Type="http://schemas.openxmlformats.org/officeDocument/2006/relationships/hyperlink" Target="https://www.gov.uk/government/statistical-data-sets/hmcts-weekly-management-information-during-coronavirus-march-2020-to-february-2021" TargetMode="External"/><Relationship Id="rId160" Type="http://schemas.openxmlformats.org/officeDocument/2006/relationships/hyperlink" Target="http://www.niccy.org/" TargetMode="External"/><Relationship Id="rId181" Type="http://schemas.openxmlformats.org/officeDocument/2006/relationships/hyperlink" Target="http://www.justice.gov.uk/human-rights/periodic-reports-to-the-united-nations" TargetMode="External"/><Relationship Id="rId216" Type="http://schemas.openxmlformats.org/officeDocument/2006/relationships/hyperlink" Target="http://www.knowyourconstitution.ky/" TargetMode="External"/><Relationship Id="rId237" Type="http://schemas.openxmlformats.org/officeDocument/2006/relationships/hyperlink" Target="https://www.gov.uk/government/world/pitcairn-island" TargetMode="External"/><Relationship Id="rId258" Type="http://schemas.openxmlformats.org/officeDocument/2006/relationships/hyperlink" Target="http://www.gov.gg/" TargetMode="External"/><Relationship Id="rId279" Type="http://schemas.openxmlformats.org/officeDocument/2006/relationships/hyperlink" Target="https://www.gov.gg/population" TargetMode="External"/><Relationship Id="rId22" Type="http://schemas.openxmlformats.org/officeDocument/2006/relationships/hyperlink" Target="Death%20Registrations%20by%20Single%20Year%20of%20Age%20&#8211;%20United%20Kingdom,%202019,%20January%202020." TargetMode="External"/><Relationship Id="rId43" Type="http://schemas.openxmlformats.org/officeDocument/2006/relationships/hyperlink" Target="https://www.nrscotland.gov.uk/files/statistics/vital-events-ref-tables/2019/vital-events-19-ref-tabs-3.xlsx" TargetMode="External"/><Relationship Id="rId64" Type="http://schemas.openxmlformats.org/officeDocument/2006/relationships/hyperlink" Target="http://search.electoralcommission.org.uk/Search/Registrations?currentPage=1&amp;rows=30&amp;sort=RegulatedEntityName&amp;order=asc&amp;open=filter&amp;et=pp&amp;et=ppm&amp;register=ni&amp;regStatus=registered&amp;optCols=EntityStatusName" TargetMode="External"/><Relationship Id="rId118" Type="http://schemas.openxmlformats.org/officeDocument/2006/relationships/hyperlink" Target="http://www.legislation.gov.uk/ukpga/2012/11/contents" TargetMode="External"/><Relationship Id="rId139" Type="http://schemas.openxmlformats.org/officeDocument/2006/relationships/hyperlink" Target="http://www.oscr.org.uk/" TargetMode="External"/><Relationship Id="rId290" Type="http://schemas.openxmlformats.org/officeDocument/2006/relationships/hyperlink" Target="https://www.guernseylegalresources.gg/CHttpHandler.ashx?documentid=53085" TargetMode="External"/><Relationship Id="rId304" Type="http://schemas.openxmlformats.org/officeDocument/2006/relationships/hyperlink" Target="https://www.gov.je/Government/Pages/StatesReports.aspx?ReportID=843" TargetMode="External"/><Relationship Id="rId85" Type="http://schemas.openxmlformats.org/officeDocument/2006/relationships/hyperlink" Target="https://www.electoralcommission.org.uk/who-we-are-and-what-we-do/elections-and-referendums/past-elections-and-referendums/northern-ireland-assembly-elections/report-march-2017-northern-ireland-assembly-election" TargetMode="External"/><Relationship Id="rId150" Type="http://schemas.openxmlformats.org/officeDocument/2006/relationships/hyperlink" Target="http://www.legislation.gov.uk/ukpga/1998/29/contents" TargetMode="External"/><Relationship Id="rId171" Type="http://schemas.openxmlformats.org/officeDocument/2006/relationships/hyperlink" Target="http://www.jsbni.com/Publications/Pages/default.aspx" TargetMode="External"/><Relationship Id="rId192" Type="http://schemas.openxmlformats.org/officeDocument/2006/relationships/hyperlink" Target="http://www.legislation.gov.uk/ukpga/2004/33/contents" TargetMode="External"/><Relationship Id="rId206" Type="http://schemas.openxmlformats.org/officeDocument/2006/relationships/hyperlink" Target="https://www.gov.uk/government/world/bermuda" TargetMode="External"/><Relationship Id="rId227" Type="http://schemas.openxmlformats.org/officeDocument/2006/relationships/hyperlink" Target="http://www.gibraltar.gov.gi/" TargetMode="External"/><Relationship Id="rId248" Type="http://schemas.openxmlformats.org/officeDocument/2006/relationships/hyperlink" Target="https://www.gov.uk/government/world/turks-and-caicos-islands" TargetMode="External"/><Relationship Id="rId269" Type="http://schemas.openxmlformats.org/officeDocument/2006/relationships/hyperlink" Target="https://www.gov.gg/population" TargetMode="External"/><Relationship Id="rId12" Type="http://schemas.openxmlformats.org/officeDocument/2006/relationships/hyperlink" Target="http://www.nisra.gov.uk/Census/2011_results_detailed_characteristics.html" TargetMode="External"/><Relationship Id="rId33" Type="http://schemas.openxmlformats.org/officeDocument/2006/relationships/hyperlink" Target="https://phw.nhs.wales/services-and-teams/child-measurement-programme/cmp-2018-19/" TargetMode="External"/><Relationship Id="rId108" Type="http://schemas.openxmlformats.org/officeDocument/2006/relationships/hyperlink" Target="http://www.legislation.gov.uk/ukpga/Geo5/1-2/13/contents" TargetMode="External"/><Relationship Id="rId129" Type="http://schemas.openxmlformats.org/officeDocument/2006/relationships/hyperlink" Target="http://www.supremecourt.gov.uk/" TargetMode="External"/><Relationship Id="rId280" Type="http://schemas.openxmlformats.org/officeDocument/2006/relationships/hyperlink" Target="https://www.gov.gg/population" TargetMode="External"/><Relationship Id="rId315" Type="http://schemas.openxmlformats.org/officeDocument/2006/relationships/hyperlink" Target="https://www.gov.im/about-the-government/offices/attorney-generals-chambers/crown-office/charities/" TargetMode="External"/><Relationship Id="rId54" Type="http://schemas.openxmlformats.org/officeDocument/2006/relationships/hyperlink" Target="https://www.nrscotland.gov.uk/statistics-and-data/statistics/scotlands-facts/leading-causes-of-death-in-scotland" TargetMode="External"/><Relationship Id="rId75" Type="http://schemas.openxmlformats.org/officeDocument/2006/relationships/hyperlink" Target="https://www.ofcom.org.uk/research-and-data/multi-sector-research/cmr/cmr-2021/interactive-data" TargetMode="External"/><Relationship Id="rId96" Type="http://schemas.openxmlformats.org/officeDocument/2006/relationships/hyperlink" Target="https://www.judiciary.uk/about-the-judiciary/who-are-the-judiciary/judicial-roles/judges/ciruit-judge/" TargetMode="External"/><Relationship Id="rId140" Type="http://schemas.openxmlformats.org/officeDocument/2006/relationships/hyperlink" Target="http://www.charitycommissionni.org.uk/" TargetMode="External"/><Relationship Id="rId161" Type="http://schemas.openxmlformats.org/officeDocument/2006/relationships/hyperlink" Target="http://ico.org.uk/" TargetMode="External"/><Relationship Id="rId182" Type="http://schemas.openxmlformats.org/officeDocument/2006/relationships/hyperlink" Target="http://www.justice.gov.uk/human-rights/periodic-reports-to-the-united-nations" TargetMode="External"/><Relationship Id="rId217" Type="http://schemas.openxmlformats.org/officeDocument/2006/relationships/hyperlink" Target="http://www.legislation.gov.uk/uksi/2009/1379/schedule/2/made" TargetMode="External"/><Relationship Id="rId6" Type="http://schemas.openxmlformats.org/officeDocument/2006/relationships/hyperlink" Target="http://www.nisra.gov.uk/Census/2011_results_detailed_characteristics.html" TargetMode="External"/><Relationship Id="rId238" Type="http://schemas.openxmlformats.org/officeDocument/2006/relationships/hyperlink" Target="http://www.legislation.gov.uk/uksi/2010/244/contents/made" TargetMode="External"/><Relationship Id="rId259" Type="http://schemas.openxmlformats.org/officeDocument/2006/relationships/hyperlink" Target="https://www.gov.gg/population" TargetMode="External"/><Relationship Id="rId23" Type="http://schemas.openxmlformats.org/officeDocument/2006/relationships/hyperlink" Target="https://www.ons.gov.uk/peoplepopulationandcommunity/healthandsocialcare/healthandlifeexpectancies/bulletins/lifeexpectancyforlocalareasoftheuk/between2001to2003and2017to2019" TargetMode="External"/><Relationship Id="rId119" Type="http://schemas.openxmlformats.org/officeDocument/2006/relationships/hyperlink" Target="http://www.scottish.parliament.uk/" TargetMode="External"/><Relationship Id="rId270" Type="http://schemas.openxmlformats.org/officeDocument/2006/relationships/hyperlink" Target="https://www.gov.gg/population" TargetMode="External"/><Relationship Id="rId291" Type="http://schemas.openxmlformats.org/officeDocument/2006/relationships/hyperlink" Target="https://gov.gg/equalitypolicy" TargetMode="External"/><Relationship Id="rId305" Type="http://schemas.openxmlformats.org/officeDocument/2006/relationships/hyperlink" Target="http://www.jerseylaw.je/law/lawsinforce/htm/LawFiles/2013/L-10-2013.pdf" TargetMode="External"/><Relationship Id="rId44" Type="http://schemas.openxmlformats.org/officeDocument/2006/relationships/hyperlink" Target="https://www.health-ni.gov.uk/sites/default/files/publications/health/hs-termination-of-pregnancy-statistics-19-20_0.pdf" TargetMode="External"/><Relationship Id="rId65" Type="http://schemas.openxmlformats.org/officeDocument/2006/relationships/hyperlink" Target="https://www.ons.gov.uk/peoplepopulationandcommunity/elections/electoralregistration/bulletins/electoralstatisticsforuk/march2020" TargetMode="External"/><Relationship Id="rId86" Type="http://schemas.openxmlformats.org/officeDocument/2006/relationships/hyperlink" Target="https://www.psni.police.uk/globalassets/inside-the-psni/our-statistics/police-recorded-crime-statistics/documents/police_recorded_crime_in_northern_ireland_1998-99_to_2019-20.xlsx" TargetMode="External"/><Relationship Id="rId130" Type="http://schemas.openxmlformats.org/officeDocument/2006/relationships/hyperlink" Target="http://www.justice.gov.uk/about/hmcts" TargetMode="External"/><Relationship Id="rId151" Type="http://schemas.openxmlformats.org/officeDocument/2006/relationships/hyperlink" Target="http://www.legislation.gov.uk/ukpga/2000/36/contents" TargetMode="External"/><Relationship Id="rId172" Type="http://schemas.openxmlformats.org/officeDocument/2006/relationships/hyperlink" Target="https://www.gov.uk/uk-treaties" TargetMode="External"/><Relationship Id="rId193" Type="http://schemas.openxmlformats.org/officeDocument/2006/relationships/hyperlink" Target="http://www.legislation.gov.uk/ukpga/2013/30/contents" TargetMode="External"/><Relationship Id="rId207" Type="http://schemas.openxmlformats.org/officeDocument/2006/relationships/hyperlink" Target="http://www.legislation.gov.uk/ukpga/1967/63/contents" TargetMode="External"/><Relationship Id="rId228" Type="http://schemas.openxmlformats.org/officeDocument/2006/relationships/hyperlink" Target="https://www.gov.uk/government/world/gibraltar" TargetMode="External"/><Relationship Id="rId249" Type="http://schemas.openxmlformats.org/officeDocument/2006/relationships/hyperlink" Target="http://www.legislation.gov.uk/uksi/2011/1681/introduction/made" TargetMode="External"/><Relationship Id="rId13" Type="http://schemas.openxmlformats.org/officeDocument/2006/relationships/hyperlink" Target="https://www.ons.gov.uk/peoplepopulationandcommunity/populationandmigration/populationestimates/bulletins/annualmidyearpopulationestimates/latest" TargetMode="External"/><Relationship Id="rId109" Type="http://schemas.openxmlformats.org/officeDocument/2006/relationships/hyperlink" Target="http://www.legislation.gov.uk/ukpga/Geo6/12-13-14/103/contents" TargetMode="External"/><Relationship Id="rId260" Type="http://schemas.openxmlformats.org/officeDocument/2006/relationships/hyperlink" Target="https://www.gov.gg/population" TargetMode="External"/><Relationship Id="rId281" Type="http://schemas.openxmlformats.org/officeDocument/2006/relationships/hyperlink" Target="https://www.gov.gg/population" TargetMode="External"/><Relationship Id="rId316" Type="http://schemas.openxmlformats.org/officeDocument/2006/relationships/hyperlink" Target="https://www.legislation.gov.im/cms/images/LEGISLATION/PRINCIPAL/2001/2001-0001/HumanRightsAct2001_1.pdf" TargetMode="External"/><Relationship Id="rId34" Type="http://schemas.openxmlformats.org/officeDocument/2006/relationships/hyperlink" Target="https://www.isdscotland.org/Health-Topics/Child-Health/Publications/2019-12-10/2019-12-10-P1-BMI-Statistics-Publication-Report.pdf?" TargetMode="External"/><Relationship Id="rId55" Type="http://schemas.openxmlformats.org/officeDocument/2006/relationships/hyperlink" Target="http://www.deni.gov.uk/ptr_table_website.xls" TargetMode="External"/><Relationship Id="rId76" Type="http://schemas.openxmlformats.org/officeDocument/2006/relationships/hyperlink" Target="https://www.ofcom.org.uk/research-and-data/multi-sector-research/cmr/cmr-2021/interactive-data" TargetMode="External"/><Relationship Id="rId97" Type="http://schemas.openxmlformats.org/officeDocument/2006/relationships/hyperlink" Target="http://www.cps.gov.uk/about/facts.html" TargetMode="External"/><Relationship Id="rId120" Type="http://schemas.openxmlformats.org/officeDocument/2006/relationships/hyperlink" Target="http://www.scotland.gov.uk/" TargetMode="External"/><Relationship Id="rId141" Type="http://schemas.openxmlformats.org/officeDocument/2006/relationships/hyperlink" Target="https://www.gov.uk/charities-and-tax" TargetMode="External"/><Relationship Id="rId7" Type="http://schemas.openxmlformats.org/officeDocument/2006/relationships/hyperlink" Target="http://www.nomisweb.co.uk/census/2011/LC2107EW/view/2092957703?rows=c_relpuk11&amp;cols=c_sex" TargetMode="External"/><Relationship Id="rId162" Type="http://schemas.openxmlformats.org/officeDocument/2006/relationships/hyperlink" Target="https://www.itspublicknowledge.info/home/ScottishInformationCommissioner.aspx" TargetMode="External"/><Relationship Id="rId183" Type="http://schemas.openxmlformats.org/officeDocument/2006/relationships/hyperlink" Target="https://www.gov.uk/government/news/the-cedaw-committees-observations-and-recommendations-published" TargetMode="External"/><Relationship Id="rId218" Type="http://schemas.openxmlformats.org/officeDocument/2006/relationships/hyperlink" Target="http://www.legislativeassembly.ky/" TargetMode="External"/><Relationship Id="rId239" Type="http://schemas.openxmlformats.org/officeDocument/2006/relationships/hyperlink" Target="http://www.government.pn/Laws/Local%20Government%20Ordinance.pdf" TargetMode="External"/><Relationship Id="rId250" Type="http://schemas.openxmlformats.org/officeDocument/2006/relationships/hyperlink" Target="http://www.tcihumanrights.org/" TargetMode="External"/><Relationship Id="rId271" Type="http://schemas.openxmlformats.org/officeDocument/2006/relationships/hyperlink" Target="https://www.gov.gg/population" TargetMode="External"/><Relationship Id="rId292" Type="http://schemas.openxmlformats.org/officeDocument/2006/relationships/hyperlink" Target="http://www.guernseylegalresources.gg/article/95288/Human-Rights-Bailiwick-of-Guernsey-Law-2000-Consolidated-text" TargetMode="External"/><Relationship Id="rId306" Type="http://schemas.openxmlformats.org/officeDocument/2006/relationships/hyperlink" Target="http://www.jerseylaw.je/law/lawsinforce/htm/LawFiles/2010/L-01-2010.pdf" TargetMode="External"/><Relationship Id="rId24" Type="http://schemas.openxmlformats.org/officeDocument/2006/relationships/hyperlink" Target="https://www.ons.gov.uk/peoplepopulationandcommunity/birthsdeathsandmarriages/livebirths/bulletins/birthsummarytablesenglandandwales/2019" TargetMode="External"/><Relationship Id="rId45" Type="http://schemas.openxmlformats.org/officeDocument/2006/relationships/hyperlink" Target="https://www.nisra.gov.uk/sites/nisra.gov.uk/files/publications/MonthlyBirths.xlsx" TargetMode="External"/><Relationship Id="rId66" Type="http://schemas.openxmlformats.org/officeDocument/2006/relationships/hyperlink" Target="2019%20electoral%20fraud%20data" TargetMode="External"/><Relationship Id="rId87" Type="http://schemas.openxmlformats.org/officeDocument/2006/relationships/hyperlink" Target="https://www.gov.uk/government/statistics/criminal-justice-system-statistics-quarterly-march-2021" TargetMode="External"/><Relationship Id="rId110" Type="http://schemas.openxmlformats.org/officeDocument/2006/relationships/hyperlink" Target="http://www.legislation.gov.uk/ukpga/2011/1/contents" TargetMode="External"/><Relationship Id="rId131" Type="http://schemas.openxmlformats.org/officeDocument/2006/relationships/hyperlink" Target="http://www.judiciary.gov.uk/" TargetMode="External"/><Relationship Id="rId152" Type="http://schemas.openxmlformats.org/officeDocument/2006/relationships/hyperlink" Target="http://www.legislation.gov.uk/ukpga/2000/36/contents" TargetMode="External"/><Relationship Id="rId173" Type="http://schemas.openxmlformats.org/officeDocument/2006/relationships/hyperlink" Target="http://www.legislation.gov.uk/mwa/2011/2/contents" TargetMode="External"/><Relationship Id="rId194" Type="http://schemas.openxmlformats.org/officeDocument/2006/relationships/hyperlink" Target="http://www.legislation.gov.uk/asp/2014/5/contents/enacted" TargetMode="External"/><Relationship Id="rId208" Type="http://schemas.openxmlformats.org/officeDocument/2006/relationships/hyperlink" Target="http://www.legislation.gov.uk/uksi/1973/233/contents/made" TargetMode="External"/><Relationship Id="rId229" Type="http://schemas.openxmlformats.org/officeDocument/2006/relationships/hyperlink" Target="https://www.gibraltar.gov.gi/images/stories/PDF/constitution/NewGibraltarConstitution.pdf" TargetMode="External"/><Relationship Id="rId19" Type="http://schemas.openxmlformats.org/officeDocument/2006/relationships/hyperlink" Target="https://www.ons.gov.uk/peoplepopulationandcommunity/birthsdeathsandmarriages/deaths/bulletins/childhoodinfantandperinatalmortalityinenglandandwales/2019" TargetMode="External"/><Relationship Id="rId224" Type="http://schemas.openxmlformats.org/officeDocument/2006/relationships/hyperlink" Target="http://www.legislation.gov.uk/uksi/2008/2846/contents/made" TargetMode="External"/><Relationship Id="rId240" Type="http://schemas.openxmlformats.org/officeDocument/2006/relationships/hyperlink" Target="http://www.sainthelena.gov.sh/" TargetMode="External"/><Relationship Id="rId245" Type="http://schemas.openxmlformats.org/officeDocument/2006/relationships/hyperlink" Target="http://www.sainthelena.gov.sh/constitution/" TargetMode="External"/><Relationship Id="rId261" Type="http://schemas.openxmlformats.org/officeDocument/2006/relationships/hyperlink" Target="https://www.gov.gg/population" TargetMode="External"/><Relationship Id="rId266" Type="http://schemas.openxmlformats.org/officeDocument/2006/relationships/hyperlink" Target="https://www.gov.gg/CHttpHandler.ashx?id=104975&amp;p=0" TargetMode="External"/><Relationship Id="rId287" Type="http://schemas.openxmlformats.org/officeDocument/2006/relationships/hyperlink" Target="https://www.guernsey.police.uk/CHttpHandler.ashx?id=127363&amp;p=0" TargetMode="External"/><Relationship Id="rId14" Type="http://schemas.openxmlformats.org/officeDocument/2006/relationships/hyperlink" Target="http://www.ons.gov.uk/ons/rel/census/2011-census/population-estimates-by-single-year-of-age-and-sex-for-local-authorities-in-the-united-kingdom/index.html" TargetMode="External"/><Relationship Id="rId30" Type="http://schemas.openxmlformats.org/officeDocument/2006/relationships/hyperlink" Target="http://data.worldbank.org/indicator/SN.ITK.DEFC.ZS" TargetMode="External"/><Relationship Id="rId35" Type="http://schemas.openxmlformats.org/officeDocument/2006/relationships/hyperlink" Target="https://www.publichealth.hscni.net/sites/default/files/2018-12/RUAG%20Childrens%20Health%20in%20NI%20-%202017-18%20-%20Dec%202018.pdf" TargetMode="External"/><Relationship Id="rId56" Type="http://schemas.openxmlformats.org/officeDocument/2006/relationships/hyperlink" Target="https://www.gov.uk/government/statistics/trade-union-statistics-2019" TargetMode="External"/><Relationship Id="rId77" Type="http://schemas.openxmlformats.org/officeDocument/2006/relationships/hyperlink" Target="https://www.ofcom.org.uk/research-and-data/multi-sector-research/cmr/cmr-2021/interactive-data" TargetMode="External"/><Relationship Id="rId100" Type="http://schemas.openxmlformats.org/officeDocument/2006/relationships/hyperlink" Target="https://www.gov.scot/publications/scottish-budget-2021-22/pages/10/" TargetMode="External"/><Relationship Id="rId105" Type="http://schemas.openxmlformats.org/officeDocument/2006/relationships/hyperlink" Target="http://www.cpl.law.cam.ac.uk/sir_david_williams_lectures/" TargetMode="External"/><Relationship Id="rId126" Type="http://schemas.openxmlformats.org/officeDocument/2006/relationships/hyperlink" Target="http://www.legislation.gov.uk/ukpga/1998/47/contents" TargetMode="External"/><Relationship Id="rId147" Type="http://schemas.openxmlformats.org/officeDocument/2006/relationships/hyperlink" Target="http://www.bailii.org/cgi-bin/markup.cgi?doc=/ew/cases/EWHC/KB/1765/J98.html&amp;query=entick&amp;method=boolean" TargetMode="External"/><Relationship Id="rId168" Type="http://schemas.openxmlformats.org/officeDocument/2006/relationships/hyperlink" Target="https://www.gov.uk/government/publications/national-curriculum-in-england-citizenship-programmes-of-study/national-curriculum-in-england-citizenship-programmes-of-study-for-key-stages-3-and-4" TargetMode="External"/><Relationship Id="rId282" Type="http://schemas.openxmlformats.org/officeDocument/2006/relationships/hyperlink" Target="https://www.gov.gg/ff" TargetMode="External"/><Relationship Id="rId312" Type="http://schemas.openxmlformats.org/officeDocument/2006/relationships/hyperlink" Target="https://www.tynwald.org.im/" TargetMode="External"/><Relationship Id="rId317" Type="http://schemas.openxmlformats.org/officeDocument/2006/relationships/hyperlink" Target="https://www.gov.im/categories/benefits-and-financial-support/legal-aid/" TargetMode="External"/><Relationship Id="rId8" Type="http://schemas.openxmlformats.org/officeDocument/2006/relationships/hyperlink" Target="http://www.scotlandscensus.gov.uk/documents/censusresults/release2a/StatsBulletin2A.pdf" TargetMode="External"/><Relationship Id="rId51" Type="http://schemas.openxmlformats.org/officeDocument/2006/relationships/hyperlink" Target="https://www.bhf.org.uk/-/media/files/research/heart-statistics/cvd-statistics-2020-chapter-2b-morbidity-prevalence-final.xlsx?la=en&amp;rev=8f20e2468e91461da2f11b06fad8fae3&amp;hash=6C610A52A06E8A57535030CF62C38732BCE65088" TargetMode="External"/><Relationship Id="rId72" Type="http://schemas.openxmlformats.org/officeDocument/2006/relationships/hyperlink" Target="http://stakeholders.ofcom.org.uk/market-data-research/market-data/communications-market-reports/cmr13/uk/" TargetMode="External"/><Relationship Id="rId93" Type="http://schemas.openxmlformats.org/officeDocument/2006/relationships/hyperlink" Target="https://www.sps.gov.uk/Corporate/Information/PrisonerDeaths.aspx" TargetMode="External"/><Relationship Id="rId98" Type="http://schemas.openxmlformats.org/officeDocument/2006/relationships/hyperlink" Target="https://assets.publishing.service.gov.uk/government/uploads/system/uploads/attachment_data/file/966868/BUDGET_2021_-_web.pdf" TargetMode="External"/><Relationship Id="rId121" Type="http://schemas.openxmlformats.org/officeDocument/2006/relationships/hyperlink" Target="http://www.legislation.gov.uk/ukpga/1998/38/contents" TargetMode="External"/><Relationship Id="rId142" Type="http://schemas.openxmlformats.org/officeDocument/2006/relationships/hyperlink" Target="http://www.justice.gov.uk/downloads/about/cbr/uk-bill-rights-vol-1.pdf" TargetMode="External"/><Relationship Id="rId163" Type="http://schemas.openxmlformats.org/officeDocument/2006/relationships/hyperlink" Target="http://www.legislation.gov.uk/asp/2006/16/contents" TargetMode="External"/><Relationship Id="rId184" Type="http://schemas.openxmlformats.org/officeDocument/2006/relationships/hyperlink" Target="http://www.justice.gov.uk/human-rights/periodic-reports-to-the-united-nations" TargetMode="External"/><Relationship Id="rId189" Type="http://schemas.openxmlformats.org/officeDocument/2006/relationships/hyperlink" Target="http://www.legislation.gov.uk/ssi/2012/162/contents/made" TargetMode="External"/><Relationship Id="rId219" Type="http://schemas.openxmlformats.org/officeDocument/2006/relationships/hyperlink" Target="http://www.judicial.ky/" TargetMode="External"/><Relationship Id="rId3" Type="http://schemas.openxmlformats.org/officeDocument/2006/relationships/hyperlink" Target="mid-2020%20population%20estimates" TargetMode="External"/><Relationship Id="rId214" Type="http://schemas.openxmlformats.org/officeDocument/2006/relationships/hyperlink" Target="http://www.gov.ky/" TargetMode="External"/><Relationship Id="rId230" Type="http://schemas.openxmlformats.org/officeDocument/2006/relationships/hyperlink" Target="http://www.parliament.gi/" TargetMode="External"/><Relationship Id="rId235" Type="http://schemas.openxmlformats.org/officeDocument/2006/relationships/hyperlink" Target="http://www.legislation.gov.uk/uksi/2010/2474/contents/made" TargetMode="External"/><Relationship Id="rId251" Type="http://schemas.openxmlformats.org/officeDocument/2006/relationships/hyperlink" Target="http://www.bvi.org.uk/" TargetMode="External"/><Relationship Id="rId256" Type="http://schemas.openxmlformats.org/officeDocument/2006/relationships/hyperlink" Target="http://www.bvi.gov.vg/judicial-branch" TargetMode="External"/><Relationship Id="rId277" Type="http://schemas.openxmlformats.org/officeDocument/2006/relationships/hyperlink" Target="https://www.gov.gg/CHttpHandler.ashx?id=104975&amp;p=0" TargetMode="External"/><Relationship Id="rId298" Type="http://schemas.openxmlformats.org/officeDocument/2006/relationships/hyperlink" Target="http://www.statesassembly.gov.je/Pages/default.aspx" TargetMode="External"/><Relationship Id="rId25" Type="http://schemas.openxmlformats.org/officeDocument/2006/relationships/hyperlink" Target="https://www.nrscotland.gov.uk/files/statistics/rgar/2019/Pages/bir-sec.html" TargetMode="External"/><Relationship Id="rId46" Type="http://schemas.openxmlformats.org/officeDocument/2006/relationships/hyperlink" Target="https://assets.publishing.service.gov.uk/government/uploads/system/uploads/attachment_data/file/921369/PHE_TB_Official_Statistics_UK_2000_to_2019.pdf" TargetMode="External"/><Relationship Id="rId67" Type="http://schemas.openxmlformats.org/officeDocument/2006/relationships/hyperlink" Target="http://stakeholders.ofcom.org.uk/market-data-research/market-data/communications-market-reports/cmr13/uk/" TargetMode="External"/><Relationship Id="rId116" Type="http://schemas.openxmlformats.org/officeDocument/2006/relationships/hyperlink" Target="https://www.gov.uk/devolution-settlement-northern-ireland" TargetMode="External"/><Relationship Id="rId137" Type="http://schemas.openxmlformats.org/officeDocument/2006/relationships/hyperlink" Target="http://www.nijac.gov.uk/" TargetMode="External"/><Relationship Id="rId158" Type="http://schemas.openxmlformats.org/officeDocument/2006/relationships/hyperlink" Target="http://www.childcom.org.uk/" TargetMode="External"/><Relationship Id="rId272" Type="http://schemas.openxmlformats.org/officeDocument/2006/relationships/hyperlink" Target="https://www.gov.gg/population" TargetMode="External"/><Relationship Id="rId293" Type="http://schemas.openxmlformats.org/officeDocument/2006/relationships/hyperlink" Target="http://www.gov.gg/humanrights" TargetMode="External"/><Relationship Id="rId302" Type="http://schemas.openxmlformats.org/officeDocument/2006/relationships/hyperlink" Target="https://www.jerseylaw.je/laws/enacted/Pages/L-08-2019.aspx" TargetMode="External"/><Relationship Id="rId307" Type="http://schemas.openxmlformats.org/officeDocument/2006/relationships/hyperlink" Target="http://www.jerseylaw.je/law/lawsinforce/htm/LawFiles/2012/L-04-2012.pdf" TargetMode="External"/><Relationship Id="rId323" Type="http://schemas.openxmlformats.org/officeDocument/2006/relationships/hyperlink" Target="http://www.legislation.gov.im/cms/images/phocadownload/Acts_of_Tynwald/Primary_2009/Gender%20Recognition%20Act%202009.pdf" TargetMode="External"/><Relationship Id="rId20" Type="http://schemas.openxmlformats.org/officeDocument/2006/relationships/hyperlink" Target="https://www.nrscotland.gov.uk/statistics-and-data/statistics/statistics-by-theme/vital-events/general-publications/vital-events-reference-tables/2018" TargetMode="External"/><Relationship Id="rId41" Type="http://schemas.openxmlformats.org/officeDocument/2006/relationships/hyperlink" Target="https://www.ons.gov.uk/file?uri=%2fpeoplepopulationandcommunity%2fbirthsdeathsandmarriages%2flivebirths%2fdatasets%2fbirthsummarytables%2f2019/birthsummarytables2019.xlsx" TargetMode="External"/><Relationship Id="rId62" Type="http://schemas.openxmlformats.org/officeDocument/2006/relationships/hyperlink" Target="https://assets.publishing.service.gov.uk/government/uploads/system/uploads/attachment_data/file/966868/BUDGET_2021_-_web.pdf" TargetMode="External"/><Relationship Id="rId83" Type="http://schemas.openxmlformats.org/officeDocument/2006/relationships/hyperlink" Target="Scottish%20Parliament%20election%20in%20May%202021" TargetMode="External"/><Relationship Id="rId88" Type="http://schemas.openxmlformats.org/officeDocument/2006/relationships/hyperlink" Target="https://www.justice-ni.gov.uk/sites/default/files/publications/justice/northern-ireland-prison-population-2019-20.pdf" TargetMode="External"/><Relationship Id="rId111" Type="http://schemas.openxmlformats.org/officeDocument/2006/relationships/hyperlink" Target="http://www.legislation.gov.uk/ukpga/2011/14/contents" TargetMode="External"/><Relationship Id="rId132" Type="http://schemas.openxmlformats.org/officeDocument/2006/relationships/hyperlink" Target="http://jac.judiciary.gov.uk/" TargetMode="External"/><Relationship Id="rId153" Type="http://schemas.openxmlformats.org/officeDocument/2006/relationships/hyperlink" Target="https://www.gov.uk/government/organisations/legal-aid-agency" TargetMode="External"/><Relationship Id="rId174" Type="http://schemas.openxmlformats.org/officeDocument/2006/relationships/hyperlink" Target="https://www.gov.uk/government/policies/promoting-human-rights-internationally" TargetMode="External"/><Relationship Id="rId179" Type="http://schemas.openxmlformats.org/officeDocument/2006/relationships/hyperlink" Target="http://www.justice.gov.uk/human-rights/universal-periodic-review" TargetMode="External"/><Relationship Id="rId195" Type="http://schemas.openxmlformats.org/officeDocument/2006/relationships/hyperlink" Target="https://www.gov.uk/government/publications/overseas-territories-governments-on-the-web/overseas-territories-governments-on-social-media" TargetMode="External"/><Relationship Id="rId209" Type="http://schemas.openxmlformats.org/officeDocument/2006/relationships/hyperlink" Target="http://www.legislation.gov.uk/uksi/1979/452/contents/made" TargetMode="External"/><Relationship Id="rId190" Type="http://schemas.openxmlformats.org/officeDocument/2006/relationships/hyperlink" Target="https://www.legislation.gov.uk/ssi/2015/254/contents/made" TargetMode="External"/><Relationship Id="rId204" Type="http://schemas.openxmlformats.org/officeDocument/2006/relationships/hyperlink" Target="http://www.legislation.gov.uk/uksi/1990/587/contents/made" TargetMode="External"/><Relationship Id="rId220" Type="http://schemas.openxmlformats.org/officeDocument/2006/relationships/hyperlink" Target="http://www.humanrightscommission.ky" TargetMode="External"/><Relationship Id="rId225" Type="http://schemas.openxmlformats.org/officeDocument/2006/relationships/hyperlink" Target="http://www.falklands.gov.fk/self-governance/legislative/" TargetMode="External"/><Relationship Id="rId241" Type="http://schemas.openxmlformats.org/officeDocument/2006/relationships/hyperlink" Target="http://www.ascension-island.gov.ac/" TargetMode="External"/><Relationship Id="rId246" Type="http://schemas.openxmlformats.org/officeDocument/2006/relationships/hyperlink" Target="http://www.sainthelena.gov.sh/legal-system/" TargetMode="External"/><Relationship Id="rId267" Type="http://schemas.openxmlformats.org/officeDocument/2006/relationships/hyperlink" Target="https://www.gov.gg/population" TargetMode="External"/><Relationship Id="rId288" Type="http://schemas.openxmlformats.org/officeDocument/2006/relationships/hyperlink" Target="https://gov.gg/CHttpHandler.ashx?id=126319&amp;p=0" TargetMode="External"/><Relationship Id="rId15" Type="http://schemas.openxmlformats.org/officeDocument/2006/relationships/hyperlink" Target="http://www.ons.gov.uk/ons/rel/census/2011-census/population-estimates-by-single-year-of-age-and-sex-for-local-authorities-in-the-united-kingdom/index.html" TargetMode="External"/><Relationship Id="rId36" Type="http://schemas.openxmlformats.org/officeDocument/2006/relationships/hyperlink" Target="https://www.ons.gov.uk/peoplepopulationandcommunity/birthsdeathsandmarriages/deaths/bulletins/childhoodinfantandperinatalmortalityinenglandandwales/2019" TargetMode="External"/><Relationship Id="rId57" Type="http://schemas.openxmlformats.org/officeDocument/2006/relationships/hyperlink" Target="https://www.ons.gov.uk/economy/grossdomesticproductgdp/timeseries/ihxw/pn2?referrer=search&amp;searchTerm=ihxw" TargetMode="External"/><Relationship Id="rId106" Type="http://schemas.openxmlformats.org/officeDocument/2006/relationships/hyperlink" Target="http://www.parliament.uk/" TargetMode="External"/><Relationship Id="rId127" Type="http://schemas.openxmlformats.org/officeDocument/2006/relationships/hyperlink" Target="http://www.niassembly.gov.uk/" TargetMode="External"/><Relationship Id="rId262" Type="http://schemas.openxmlformats.org/officeDocument/2006/relationships/hyperlink" Target="https://www.gov.gg/population" TargetMode="External"/><Relationship Id="rId283" Type="http://schemas.openxmlformats.org/officeDocument/2006/relationships/hyperlink" Target="http://www.gov.gg/data" TargetMode="External"/><Relationship Id="rId313" Type="http://schemas.openxmlformats.org/officeDocument/2006/relationships/hyperlink" Target="https://www.gov.im/" TargetMode="External"/><Relationship Id="rId318" Type="http://schemas.openxmlformats.org/officeDocument/2006/relationships/hyperlink" Target="https://www.gov.im/categories/benefits-and-financial-support/criminal-injuries/" TargetMode="External"/><Relationship Id="rId10" Type="http://schemas.openxmlformats.org/officeDocument/2006/relationships/hyperlink" Target="http://www.nomisweb.co.uk/census/2011/LC2101EW/view/2092957703?rows=c_ethpuk11&amp;cols=c_sex" TargetMode="External"/><Relationship Id="rId31" Type="http://schemas.openxmlformats.org/officeDocument/2006/relationships/hyperlink" Target="https://www.ons.gov.uk/peoplepopulationandcommunity/personalandhouseholdfinances/incomeandwealth/bulletins/theeffectsoftaxesandbenefitsonhouseholdincome/financialyearending2019" TargetMode="External"/><Relationship Id="rId52" Type="http://schemas.openxmlformats.org/officeDocument/2006/relationships/hyperlink" Target="https://www.diabetes.org.uk/professionals/position-statements-reports/statistics/diabetes-prevalence-2019" TargetMode="External"/><Relationship Id="rId73" Type="http://schemas.openxmlformats.org/officeDocument/2006/relationships/hyperlink" Target="https://www.ofcom.org.uk/research-and-data/multi-sector-research/cmr/cmr-2021/interactive-data" TargetMode="External"/><Relationship Id="rId78" Type="http://schemas.openxmlformats.org/officeDocument/2006/relationships/hyperlink" Target="https://www.ofcom.org.uk/research-and-data/multi-sector-research/cmr/cmr-2021/interactive-data" TargetMode="External"/><Relationship Id="rId94" Type="http://schemas.openxmlformats.org/officeDocument/2006/relationships/hyperlink" Target="Annual%20Reports%20-%20Northern%20Ireland%20Prisoner%20Ombudsman%20(niprisonerombudsman.gov.uk)" TargetMode="External"/><Relationship Id="rId99" Type="http://schemas.openxmlformats.org/officeDocument/2006/relationships/hyperlink" Target="https://www.gov.scot/publications/scottish-budget-2021-22/pages/2/" TargetMode="External"/><Relationship Id="rId101" Type="http://schemas.openxmlformats.org/officeDocument/2006/relationships/hyperlink" Target="https://www.finance-ni.gov.uk/sites/default/files/publications/dfp/Budget%202020-21%20-%20Ministerial%20Statement.pdf" TargetMode="External"/><Relationship Id="rId122" Type="http://schemas.openxmlformats.org/officeDocument/2006/relationships/hyperlink" Target="http://www.assemblywales.org/" TargetMode="External"/><Relationship Id="rId143" Type="http://schemas.openxmlformats.org/officeDocument/2006/relationships/hyperlink" Target="http://www.legislation.gov.uk/aep/Edw1cc1929/25/9/contents" TargetMode="External"/><Relationship Id="rId148" Type="http://schemas.openxmlformats.org/officeDocument/2006/relationships/hyperlink" Target="http://www.legislation.gov.uk/ukpga/2006/3/contents" TargetMode="External"/><Relationship Id="rId164" Type="http://schemas.openxmlformats.org/officeDocument/2006/relationships/hyperlink" Target="http://www.equalityadvisoryservice.com/" TargetMode="External"/><Relationship Id="rId169" Type="http://schemas.openxmlformats.org/officeDocument/2006/relationships/hyperlink" Target="http://www.judiciary.gov.uk/publications/equal-treatment-bench-book/" TargetMode="External"/><Relationship Id="rId185" Type="http://schemas.openxmlformats.org/officeDocument/2006/relationships/hyperlink" Target="http://www.justice.gov.uk/human-rights/international-monitoring-of-places-of-detention" TargetMode="External"/><Relationship Id="rId4" Type="http://schemas.openxmlformats.org/officeDocument/2006/relationships/hyperlink" Target="http://www.nomisweb.co.uk/census/2011/LC2104EW/view/2092957703?rows=main_language&amp;cols=c_sex" TargetMode="External"/><Relationship Id="rId9" Type="http://schemas.openxmlformats.org/officeDocument/2006/relationships/hyperlink" Target="http://www.nisra.gov.uk/Census/2011_results_detailed_characteristics.html" TargetMode="External"/><Relationship Id="rId180" Type="http://schemas.openxmlformats.org/officeDocument/2006/relationships/hyperlink" Target="http://www.justice.gov.uk/human-rights/periodic-reports-to-the-united-nations" TargetMode="External"/><Relationship Id="rId210" Type="http://schemas.openxmlformats.org/officeDocument/2006/relationships/hyperlink" Target="http://www.legislation.gov.uk/uksi/1979/1310/contents/made" TargetMode="External"/><Relationship Id="rId215" Type="http://schemas.openxmlformats.org/officeDocument/2006/relationships/hyperlink" Target="https://www.gov.uk/government/world/cayman-islands" TargetMode="External"/><Relationship Id="rId236" Type="http://schemas.openxmlformats.org/officeDocument/2006/relationships/hyperlink" Target="http://www.government.pn/" TargetMode="External"/><Relationship Id="rId257" Type="http://schemas.openxmlformats.org/officeDocument/2006/relationships/hyperlink" Target="https://www.gov.uk/government/publications/crown-dependencies-jersey-guernsey-and-the-isle-of-man" TargetMode="External"/><Relationship Id="rId278" Type="http://schemas.openxmlformats.org/officeDocument/2006/relationships/hyperlink" Target="https://www.gov.gg/population" TargetMode="External"/><Relationship Id="rId26" Type="http://schemas.openxmlformats.org/officeDocument/2006/relationships/hyperlink" Target="https://www.ons.gov.uk/peoplepopulationandcommunity/birthsdeathsandmarriages/families/bulletins/familiesandhouseholds/2020" TargetMode="External"/><Relationship Id="rId231" Type="http://schemas.openxmlformats.org/officeDocument/2006/relationships/hyperlink" Target="https://www.gibraltar.gov.gi/law-a-justice" TargetMode="External"/><Relationship Id="rId252" Type="http://schemas.openxmlformats.org/officeDocument/2006/relationships/hyperlink" Target="https://www.gov.uk/government/world/british-virgin-islands" TargetMode="External"/><Relationship Id="rId273" Type="http://schemas.openxmlformats.org/officeDocument/2006/relationships/hyperlink" Target="https://www.gov.gg/CHttpHandler.ashx?id=104975&amp;p=0" TargetMode="External"/><Relationship Id="rId294" Type="http://schemas.openxmlformats.org/officeDocument/2006/relationships/hyperlink" Target="https://gov.gg/equalitypolicy" TargetMode="External"/><Relationship Id="rId308" Type="http://schemas.openxmlformats.org/officeDocument/2006/relationships/hyperlink" Target="http://www.gov.im/" TargetMode="External"/><Relationship Id="rId47" Type="http://schemas.openxmlformats.org/officeDocument/2006/relationships/hyperlink" Target="https://www.ecdc.europa.eu/sites/default/files/documents/AER-malaria-2019.pdf" TargetMode="External"/><Relationship Id="rId68" Type="http://schemas.openxmlformats.org/officeDocument/2006/relationships/hyperlink" Target="https://www.ofcom.org.uk/__data/assets/pdf_file/0025/217834/adults-media-use-and-attitudes-report-2020-21.pdf" TargetMode="External"/><Relationship Id="rId89" Type="http://schemas.openxmlformats.org/officeDocument/2006/relationships/hyperlink" Target="https://www.psni.police.uk/globalassets/inside-the-psni/our-statistics/police-recorded-crime-statistics/documents/police_recorded_crime_in_northern_ireland_1998-99_to_2019-20.xlsx" TargetMode="External"/><Relationship Id="rId112" Type="http://schemas.openxmlformats.org/officeDocument/2006/relationships/hyperlink" Target="http://www.royal.gov.uk/Home.aspx" TargetMode="External"/><Relationship Id="rId133" Type="http://schemas.openxmlformats.org/officeDocument/2006/relationships/hyperlink" Target="http://judicialconduct.judiciary.gov.uk/" TargetMode="External"/><Relationship Id="rId154" Type="http://schemas.openxmlformats.org/officeDocument/2006/relationships/hyperlink" Target="http://www.slab.org.uk/index.html" TargetMode="External"/><Relationship Id="rId175" Type="http://schemas.openxmlformats.org/officeDocument/2006/relationships/hyperlink" Target="https://www.gov.uk/government/publications/human-rights-and-democracy-report-2019" TargetMode="External"/><Relationship Id="rId196" Type="http://schemas.openxmlformats.org/officeDocument/2006/relationships/hyperlink" Target="http://www.gov.ai/" TargetMode="External"/><Relationship Id="rId200" Type="http://schemas.openxmlformats.org/officeDocument/2006/relationships/hyperlink" Target="http://www.gov.ai/department.php?id=4&amp;dept=26" TargetMode="External"/><Relationship Id="rId16" Type="http://schemas.openxmlformats.org/officeDocument/2006/relationships/hyperlink" Target="https://www.ons.gov.uk/peoplepopulationandcommunity/birthsdeathsandmarriages/livebirths/bulletins/birthsummarytablesenglandandwales/2019" TargetMode="External"/><Relationship Id="rId221" Type="http://schemas.openxmlformats.org/officeDocument/2006/relationships/hyperlink" Target="http://www.falklands.gov.fk/" TargetMode="External"/><Relationship Id="rId242" Type="http://schemas.openxmlformats.org/officeDocument/2006/relationships/hyperlink" Target="http://www.tristandc.com/government.php" TargetMode="External"/><Relationship Id="rId263" Type="http://schemas.openxmlformats.org/officeDocument/2006/relationships/hyperlink" Target="https://www.gov.gg/population" TargetMode="External"/><Relationship Id="rId284" Type="http://schemas.openxmlformats.org/officeDocument/2006/relationships/hyperlink" Target="http://www.gov.gg/rpi" TargetMode="External"/><Relationship Id="rId319" Type="http://schemas.openxmlformats.org/officeDocument/2006/relationships/hyperlink" Target="https://www.inforights.im/" TargetMode="External"/><Relationship Id="rId37" Type="http://schemas.openxmlformats.org/officeDocument/2006/relationships/hyperlink" Target="https://www.isdscotland.org/Health-Topics/Maternity-and-Births/Publications/2014-03-25/2014-03-25-SPIMMR2012-charts-tables.xls?24178714" TargetMode="External"/><Relationship Id="rId58" Type="http://schemas.openxmlformats.org/officeDocument/2006/relationships/hyperlink" Target="https://www.ons.gov.uk/economy/grossdomesticproductgdp/datasets/uksecondestimateofgdpdatatables" TargetMode="External"/><Relationship Id="rId79" Type="http://schemas.openxmlformats.org/officeDocument/2006/relationships/hyperlink" Target="https://www.ofcom.org.uk/research-and-data/tv-radio-and-on-demand/news-media/news-consumption" TargetMode="External"/><Relationship Id="rId102" Type="http://schemas.openxmlformats.org/officeDocument/2006/relationships/hyperlink" Target="https://www.gov.uk/government/statistics/legal-aid-statistics-january-to-march-2019" TargetMode="External"/><Relationship Id="rId123" Type="http://schemas.openxmlformats.org/officeDocument/2006/relationships/hyperlink" Target="http://www.legislation.gov.uk/ukpga/2006/32/contents" TargetMode="External"/><Relationship Id="rId144" Type="http://schemas.openxmlformats.org/officeDocument/2006/relationships/hyperlink" Target="http://www.legislation.gov.uk/aep/Cha2/31/2/contents" TargetMode="External"/><Relationship Id="rId90" Type="http://schemas.openxmlformats.org/officeDocument/2006/relationships/hyperlink" Target="http://www.dojni.gov.uk/index/ni-prison-service/nips-population-statistics-2/population-statistics-01-april-2012-to-30-june-2013.htm" TargetMode="External"/><Relationship Id="rId165" Type="http://schemas.openxmlformats.org/officeDocument/2006/relationships/hyperlink" Target="https://www.gov.uk/browse/justice/rights" TargetMode="External"/><Relationship Id="rId186" Type="http://schemas.openxmlformats.org/officeDocument/2006/relationships/hyperlink" Target="http://www.education.gov.uk/childrenandyoungpeople/healthandwellbeing/b0074766/uncrc" TargetMode="External"/><Relationship Id="rId211" Type="http://schemas.openxmlformats.org/officeDocument/2006/relationships/hyperlink" Target="http://www.legislation.gov.uk/uksi/1989/151/contents/made" TargetMode="External"/><Relationship Id="rId232" Type="http://schemas.openxmlformats.org/officeDocument/2006/relationships/hyperlink" Target="http://www.gibraltarlaws.gov.gi/articles/2006-37o.pdf" TargetMode="External"/><Relationship Id="rId253" Type="http://schemas.openxmlformats.org/officeDocument/2006/relationships/hyperlink" Target="http://www.legislation.gov.uk/uksi/2007/1678/contents/made" TargetMode="External"/><Relationship Id="rId274" Type="http://schemas.openxmlformats.org/officeDocument/2006/relationships/hyperlink" Target="https://www.gov.gg/CHttpHandler.ashx?id=104975&amp;p=0" TargetMode="External"/><Relationship Id="rId295" Type="http://schemas.openxmlformats.org/officeDocument/2006/relationships/hyperlink" Target="http://www.gov.je" TargetMode="External"/><Relationship Id="rId309" Type="http://schemas.openxmlformats.org/officeDocument/2006/relationships/hyperlink" Target="https://www.tynwald.org.im/education/about/Pages/elected-members.aspx" TargetMode="External"/><Relationship Id="rId27" Type="http://schemas.openxmlformats.org/officeDocument/2006/relationships/hyperlink" Target="https://www.ons.gov.uk/releases/familiesandhouseholdsintheuk2019" TargetMode="External"/><Relationship Id="rId48" Type="http://schemas.openxmlformats.org/officeDocument/2006/relationships/hyperlink" Target="https://www.cancerresearchuk.org/sites/default/files/cancer-stats/cases_rates_mfp_allcancer_i18/cases_rates_mfp_allcancer_i18.xlsx" TargetMode="External"/><Relationship Id="rId69" Type="http://schemas.openxmlformats.org/officeDocument/2006/relationships/hyperlink" Target="https://www.ofcom.org.uk/research-and-data/telecoms-research/data-updates/telecommunications-market-data-update-q1-2021" TargetMode="External"/><Relationship Id="rId113" Type="http://schemas.openxmlformats.org/officeDocument/2006/relationships/hyperlink" Target="https://www.gov.uk/" TargetMode="External"/><Relationship Id="rId134" Type="http://schemas.openxmlformats.org/officeDocument/2006/relationships/hyperlink" Target="http://scotland-judiciary.org.uk/1/0/Home" TargetMode="External"/><Relationship Id="rId320" Type="http://schemas.openxmlformats.org/officeDocument/2006/relationships/hyperlink" Target="https://www.gov.im/categories/home-and-neighbourhood/police-complaints-commissioner/" TargetMode="External"/><Relationship Id="rId80" Type="http://schemas.openxmlformats.org/officeDocument/2006/relationships/hyperlink" Target="https://sdgdata.gov.uk/5-5-1/" TargetMode="External"/><Relationship Id="rId155" Type="http://schemas.openxmlformats.org/officeDocument/2006/relationships/hyperlink" Target="http://www.nilsc.org.uk/" TargetMode="External"/><Relationship Id="rId176" Type="http://schemas.openxmlformats.org/officeDocument/2006/relationships/hyperlink" Target="https://www.gov.uk/government/publications/bhr-action-plan" TargetMode="External"/><Relationship Id="rId197" Type="http://schemas.openxmlformats.org/officeDocument/2006/relationships/hyperlink" Target="https://www.gov.uk/government/world/anguilla" TargetMode="External"/><Relationship Id="rId201" Type="http://schemas.openxmlformats.org/officeDocument/2006/relationships/hyperlink" Target="http://www.gov.ai/directory.php" TargetMode="External"/><Relationship Id="rId222" Type="http://schemas.openxmlformats.org/officeDocument/2006/relationships/hyperlink" Target="https://www.gov.uk/government/world/falkland-islands" TargetMode="External"/><Relationship Id="rId243" Type="http://schemas.openxmlformats.org/officeDocument/2006/relationships/hyperlink" Target="https://www.gov.uk/government/world/st-helena-ascension-and-tristan-da-cunha" TargetMode="External"/><Relationship Id="rId264" Type="http://schemas.openxmlformats.org/officeDocument/2006/relationships/hyperlink" Target="https://www.gov.gg/population" TargetMode="External"/><Relationship Id="rId285" Type="http://schemas.openxmlformats.org/officeDocument/2006/relationships/hyperlink" Target="http://www.guernseyregistry.com/CharitiesRegister" TargetMode="External"/><Relationship Id="rId17" Type="http://schemas.openxmlformats.org/officeDocument/2006/relationships/hyperlink" Target="https://www.nrscotland.gov.uk/statistics-and-data/statistics/statistics-by-theme/vital-events/general-publications/vital-events-reference-tables/2018" TargetMode="External"/><Relationship Id="rId38" Type="http://schemas.openxmlformats.org/officeDocument/2006/relationships/hyperlink" Target="https://www.nisra.gov.uk/sites/nisra.gov.uk/files/publications/Stillbirths_InfantDeaths_Tables_2019.xls" TargetMode="External"/><Relationship Id="rId59" Type="http://schemas.openxmlformats.org/officeDocument/2006/relationships/hyperlink" Target="https://www.ons.gov.uk/economy/grossdomesticproductgdp/datasets/uksecondestimateofgdpdatatables" TargetMode="External"/><Relationship Id="rId103" Type="http://schemas.openxmlformats.org/officeDocument/2006/relationships/hyperlink" Target="https://assets.publishing.service.gov.uk/government/uploads/system/uploads/attachment_data/file/933212/6.6482_CICA_Annual_Report_and_Accounts_2019-20_FINAL_WEB.pdf" TargetMode="External"/><Relationship Id="rId124" Type="http://schemas.openxmlformats.org/officeDocument/2006/relationships/hyperlink" Target="http://wales.gov.uk/?lang=en" TargetMode="External"/><Relationship Id="rId310" Type="http://schemas.openxmlformats.org/officeDocument/2006/relationships/hyperlink" Target="https://www.gov.im/media/1366178/guidance-for-political-parties-2019.pdf" TargetMode="External"/><Relationship Id="rId70" Type="http://schemas.openxmlformats.org/officeDocument/2006/relationships/hyperlink" Target="https://www.ofcom.org.uk/__data/assets/pdf_file/0011/222401/communications-market-report-2021.pdf" TargetMode="External"/><Relationship Id="rId91" Type="http://schemas.openxmlformats.org/officeDocument/2006/relationships/hyperlink" Target="https://assets.publishing.service.gov.uk/government/uploads/system/uploads/attachment_data/file/930646/Population_30Sep2020.ods" TargetMode="External"/><Relationship Id="rId145" Type="http://schemas.openxmlformats.org/officeDocument/2006/relationships/hyperlink" Target="http://www.legislation.gov.uk/aosp/1689/28" TargetMode="External"/><Relationship Id="rId166" Type="http://schemas.openxmlformats.org/officeDocument/2006/relationships/hyperlink" Target="http://www.citizensadvice.org.uk/" TargetMode="External"/><Relationship Id="rId187" Type="http://schemas.openxmlformats.org/officeDocument/2006/relationships/hyperlink" Target="https://www.gov.uk/equality-act-2010-guidance" TargetMode="External"/><Relationship Id="rId1" Type="http://schemas.openxmlformats.org/officeDocument/2006/relationships/hyperlink" Target="https://www.ons.gov.uk/peoplepopulationandcommunity/populationandmigration/populationestimates/bulletins/annualmidyearpopulationestimates/mid2020" TargetMode="External"/><Relationship Id="rId212" Type="http://schemas.openxmlformats.org/officeDocument/2006/relationships/hyperlink" Target="http://www.legislation.gov.uk/uksi/2001/2579/contents/made" TargetMode="External"/><Relationship Id="rId233" Type="http://schemas.openxmlformats.org/officeDocument/2006/relationships/hyperlink" Target="http://www.gov.ms/" TargetMode="External"/><Relationship Id="rId254" Type="http://schemas.openxmlformats.org/officeDocument/2006/relationships/hyperlink" Target="http://www.bvi.gov.vg/legislative-branch" TargetMode="External"/><Relationship Id="rId28" Type="http://schemas.openxmlformats.org/officeDocument/2006/relationships/hyperlink" Target="https://www.ons.gov.uk/peoplepopulationandcommunity/personalandhouseholdfinances/expenditure/bulletins/familyspendingintheuk/april2019tomarch2020" TargetMode="External"/><Relationship Id="rId49"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114" Type="http://schemas.openxmlformats.org/officeDocument/2006/relationships/hyperlink" Target="https://www.gov.uk/devolution-settlement-wales" TargetMode="External"/><Relationship Id="rId275" Type="http://schemas.openxmlformats.org/officeDocument/2006/relationships/hyperlink" Target="https://www.gov.gg/CHttpHandler.ashx?id=104975&amp;p=0" TargetMode="External"/><Relationship Id="rId296" Type="http://schemas.openxmlformats.org/officeDocument/2006/relationships/hyperlink" Target="https://www.gov.je/SiteCollectionDocuments/Government%20and%20administration/R%20JerseyChildMeasurementReport2018-2019%2020191211%20SJ.pdf" TargetMode="External"/><Relationship Id="rId300" Type="http://schemas.openxmlformats.org/officeDocument/2006/relationships/hyperlink" Target="http://www.jerseycourts.je/" TargetMode="External"/><Relationship Id="rId60" Type="http://schemas.openxmlformats.org/officeDocument/2006/relationships/hyperlink" Target="https://www.ons.gov.uk/economy/grossdomesticproductgdp/datasets/uksecondestimateofgdpdatatables" TargetMode="External"/><Relationship Id="rId81" Type="http://schemas.openxmlformats.org/officeDocument/2006/relationships/hyperlink" Target="European%20Parliament%20election%20in%20May%202019" TargetMode="External"/><Relationship Id="rId135" Type="http://schemas.openxmlformats.org/officeDocument/2006/relationships/hyperlink" Target="http://www.judicialappointmentsscotland.org.uk/Home" TargetMode="External"/><Relationship Id="rId156" Type="http://schemas.openxmlformats.org/officeDocument/2006/relationships/hyperlink" Target="http://www.parliament.uk/jchr" TargetMode="External"/><Relationship Id="rId177" Type="http://schemas.openxmlformats.org/officeDocument/2006/relationships/hyperlink" Target="https://www.gov.uk/government/publications/guidelines-on-extension-of-treaties-to-overseas-territories" TargetMode="External"/><Relationship Id="rId198" Type="http://schemas.openxmlformats.org/officeDocument/2006/relationships/hyperlink" Target="http://www.gov.ai/statistics/" TargetMode="External"/><Relationship Id="rId321" Type="http://schemas.openxmlformats.org/officeDocument/2006/relationships/hyperlink" Target="https://www.gov.im/about-this-site/terms-and-conditions/human-rights/" TargetMode="External"/><Relationship Id="rId202" Type="http://schemas.openxmlformats.org/officeDocument/2006/relationships/hyperlink" Target="http://www.gov.ai/judicial.php" TargetMode="External"/><Relationship Id="rId223" Type="http://schemas.openxmlformats.org/officeDocument/2006/relationships/hyperlink" Target="https://www.fig.gov.fk/policy/component/jdownloads/?task=download.send&amp;id=62&amp;catid=4&amp;m=0&amp;Itemid=101" TargetMode="External"/><Relationship Id="rId244" Type="http://schemas.openxmlformats.org/officeDocument/2006/relationships/hyperlink" Target="http://www.legislation.gov.uk/uksi/2009/1751/contents/made" TargetMode="External"/><Relationship Id="rId18" Type="http://schemas.openxmlformats.org/officeDocument/2006/relationships/hyperlink" Target="https://www.nisra.gov.uk/publications/registrar-general-quarterly-tables-2020-quarter-1" TargetMode="External"/><Relationship Id="rId39" Type="http://schemas.openxmlformats.org/officeDocument/2006/relationships/hyperlink" Target="http://www.ons.gov.uk/ons/rel/lifestyles/contraception-and-sexual-health/2008-09/index.html" TargetMode="External"/><Relationship Id="rId265" Type="http://schemas.openxmlformats.org/officeDocument/2006/relationships/hyperlink" Target="https://www.gov.gg/population" TargetMode="External"/><Relationship Id="rId286" Type="http://schemas.openxmlformats.org/officeDocument/2006/relationships/hyperlink" Target="https://www.guernsey.police.uk/CHttpHandler.ashx?id=127363&amp;p=0" TargetMode="External"/><Relationship Id="rId50" Type="http://schemas.openxmlformats.org/officeDocument/2006/relationships/hyperlink" Target="Heart%20and%20Circulatory%20Disease%20Statistics%202021%20&#8211;%20Chapter%202%20&#8211;%20Morbidity%20&#8211;%20Incidence%20&amp;%20Prevalence" TargetMode="External"/><Relationship Id="rId104" Type="http://schemas.openxmlformats.org/officeDocument/2006/relationships/hyperlink" Target="http://www.legislation.gov.uk/ukpga/1998/42/contents" TargetMode="External"/><Relationship Id="rId125" Type="http://schemas.openxmlformats.org/officeDocument/2006/relationships/hyperlink" Target="https://www.gov.uk/government/publications/the-belfast-agreement" TargetMode="External"/><Relationship Id="rId146" Type="http://schemas.openxmlformats.org/officeDocument/2006/relationships/hyperlink" Target="http://www.legislation.gov.uk/aosp/1701/6/contents" TargetMode="External"/><Relationship Id="rId167" Type="http://schemas.openxmlformats.org/officeDocument/2006/relationships/hyperlink" Target="http://www.lawcentres.org.uk/" TargetMode="External"/><Relationship Id="rId188" Type="http://schemas.openxmlformats.org/officeDocument/2006/relationships/hyperlink" Target="http://www.legislation.gov.uk/wsi/2011/1064/contents/made" TargetMode="External"/><Relationship Id="rId311" Type="http://schemas.openxmlformats.org/officeDocument/2006/relationships/hyperlink" Target="https://www.gov.im/media/1371147/publicindex_latest-171220.pdf" TargetMode="External"/><Relationship Id="rId71" Type="http://schemas.openxmlformats.org/officeDocument/2006/relationships/hyperlink" Target="https://www.ofcom.org.uk/research-and-data/multi-sector-research/cmr/cmr-2021/interactive-data" TargetMode="External"/><Relationship Id="rId92" Type="http://schemas.openxmlformats.org/officeDocument/2006/relationships/hyperlink" Target="https://www.justice-ni.gov.uk/sites/default/files/publications/justice/northern-ireland-prison-population-2019-20.pdf" TargetMode="External"/><Relationship Id="rId213" Type="http://schemas.openxmlformats.org/officeDocument/2006/relationships/hyperlink" Target="http://www.legislation.gov.uk/uksi/2003/456/contents/made" TargetMode="External"/><Relationship Id="rId234" Type="http://schemas.openxmlformats.org/officeDocument/2006/relationships/hyperlink" Target="https://www.gov.uk/government/world/montserrat" TargetMode="External"/><Relationship Id="rId2" Type="http://schemas.openxmlformats.org/officeDocument/2006/relationships/hyperlink" Target="https://www.ons.gov.uk/peoplepopulationandcommunity/populationandmigration/populationestimates/bulletins/annualmidyearpopulationestimates/mid2020" TargetMode="External"/><Relationship Id="rId29" Type="http://schemas.openxmlformats.org/officeDocument/2006/relationships/hyperlink" Target="https://www.gov.uk/government/collections/households-below-average-income-hbai--2" TargetMode="External"/><Relationship Id="rId255" Type="http://schemas.openxmlformats.org/officeDocument/2006/relationships/hyperlink" Target="http://www.bvi.gov.vg/executive-branch" TargetMode="External"/><Relationship Id="rId276" Type="http://schemas.openxmlformats.org/officeDocument/2006/relationships/hyperlink" Target="https://www.gov.gg/CHttpHandler.ashx?id=104975&amp;p=0" TargetMode="External"/><Relationship Id="rId297" Type="http://schemas.openxmlformats.org/officeDocument/2006/relationships/hyperlink" Target="https://www.gov.je/SiteCollectionDocuments/Government%20and%20administration/" TargetMode="External"/><Relationship Id="rId40" Type="http://schemas.openxmlformats.org/officeDocument/2006/relationships/hyperlink" Target="https://www.gov.uk/government/statistics/abortion-statistics-for-england-and-wales-2019" TargetMode="External"/><Relationship Id="rId115" Type="http://schemas.openxmlformats.org/officeDocument/2006/relationships/hyperlink" Target="https://www.gov.uk/devolution-settlement-scotland" TargetMode="External"/><Relationship Id="rId136" Type="http://schemas.openxmlformats.org/officeDocument/2006/relationships/hyperlink" Target="http://www.courtsni.gov.uk/en-GB/Pages/default.aspx" TargetMode="External"/><Relationship Id="rId157" Type="http://schemas.openxmlformats.org/officeDocument/2006/relationships/hyperlink" Target="http://www.childrenscommissioner.gov.uk/" TargetMode="External"/><Relationship Id="rId178" Type="http://schemas.openxmlformats.org/officeDocument/2006/relationships/hyperlink" Target="https://www.gov.uk/government/publications/crown-dependencies-jersey-guernsey-and-the-isle-of-man" TargetMode="External"/><Relationship Id="rId301" Type="http://schemas.openxmlformats.org/officeDocument/2006/relationships/hyperlink" Target="http://www.jerseylaw.je/law/lawsinforce/consolidated/15/15.350_HumanRightsLaw2000_RevisedEdition_1January2007.pdf" TargetMode="External"/><Relationship Id="rId322" Type="http://schemas.openxmlformats.org/officeDocument/2006/relationships/hyperlink" Target="https://www.legislation.gov.im/cms/images/LEGISLATION/PRINCIPAL/2017/2017-0005/EqualityAct2017_4.pdf" TargetMode="External"/><Relationship Id="rId61" Type="http://schemas.openxmlformats.org/officeDocument/2006/relationships/hyperlink" Target="https://www.ons.gov.uk/economy/inflationandpriceindices/datasets/consumerpriceinflation%20table%201" TargetMode="External"/><Relationship Id="rId82" Type="http://schemas.openxmlformats.org/officeDocument/2006/relationships/hyperlink" Target="Scottish%20Parliament%20election%20in%20May%202021" TargetMode="External"/><Relationship Id="rId199" Type="http://schemas.openxmlformats.org/officeDocument/2006/relationships/hyperlink" Target="https://www.gov.uk/government/uploads/system/uploads/attachment_data/file/32952/ot-wp-0612.pdf" TargetMode="External"/><Relationship Id="rId203" Type="http://schemas.openxmlformats.org/officeDocument/2006/relationships/hyperlink" Target="http://www.legislation.gov.uk/uksi/1982/334/contents/m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3</TotalTime>
  <Pages>142</Pages>
  <Words>39406</Words>
  <Characters>224616</Characters>
  <Application>Microsoft Office Word</Application>
  <DocSecurity>0</DocSecurity>
  <Lines>1871</Lines>
  <Paragraphs>526</Paragraphs>
  <ScaleCrop>false</ScaleCrop>
  <HeadingPairs>
    <vt:vector size="2" baseType="variant">
      <vt:variant>
        <vt:lpstr>Title</vt:lpstr>
      </vt:variant>
      <vt:variant>
        <vt:i4>1</vt:i4>
      </vt:variant>
    </vt:vector>
  </HeadingPairs>
  <TitlesOfParts>
    <vt:vector size="1" baseType="lpstr">
      <vt:lpstr>HRI/CORE/GBR/2022</vt:lpstr>
    </vt:vector>
  </TitlesOfParts>
  <Company>DCM</Company>
  <LinksUpToDate>false</LinksUpToDate>
  <CharactersWithSpaces>263496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HRI/CORE/GBR/2022</dc:title>
  <dc:subject>GE.2215687(A)</dc:subject>
  <dc:creator>Jamal ALKAHLOUT - Contractual</dc:creator>
  <cp:keywords>GE.2250907(A)</cp:keywords>
  <dc:description>General_x000d_
30 September 2022_x000d_
Arabic_x000d_
English</dc:description>
  <cp:lastModifiedBy>Jamal Alkahlout</cp:lastModifiedBy>
  <cp:revision>4</cp:revision>
  <cp:lastPrinted>2022-12-30T12:57:00Z</cp:lastPrinted>
  <dcterms:created xsi:type="dcterms:W3CDTF">2022-12-30T12:57:00Z</dcterms:created>
  <dcterms:modified xsi:type="dcterms:W3CDTF">2022-12-30T13:00:00Z</dcterms:modified>
</cp:coreProperties>
</file>