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F11142" w:rsidP="00F11142">
            <w:pPr>
              <w:suppressAutoHyphens w:val="0"/>
              <w:spacing w:after="20"/>
              <w:jc w:val="right"/>
            </w:pPr>
            <w:r w:rsidRPr="00F11142">
              <w:rPr>
                <w:sz w:val="40"/>
              </w:rPr>
              <w:t>CRPD</w:t>
            </w:r>
            <w:r>
              <w:t>/C/22/4</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F11142" w:rsidP="00F11142">
            <w:pPr>
              <w:spacing w:before="240"/>
            </w:pPr>
            <w:r>
              <w:t>Distr.: General</w:t>
            </w:r>
          </w:p>
          <w:p w:rsidR="00F11142" w:rsidRDefault="00F11142" w:rsidP="00F11142">
            <w:pPr>
              <w:suppressAutoHyphens w:val="0"/>
            </w:pPr>
            <w:r>
              <w:t>8 November 2019</w:t>
            </w:r>
          </w:p>
          <w:p w:rsidR="00F11142" w:rsidRDefault="00F11142" w:rsidP="00F11142">
            <w:pPr>
              <w:suppressAutoHyphens w:val="0"/>
            </w:pPr>
          </w:p>
          <w:p w:rsidR="00F11142" w:rsidRDefault="00F11142" w:rsidP="00F11142">
            <w:pPr>
              <w:suppressAutoHyphens w:val="0"/>
            </w:pPr>
            <w:r>
              <w:t>Original: English</w:t>
            </w:r>
          </w:p>
        </w:tc>
      </w:tr>
    </w:tbl>
    <w:p w:rsidR="00BB4CF5" w:rsidRDefault="00BB4CF5" w:rsidP="00BB4CF5">
      <w:pPr>
        <w:spacing w:before="120"/>
        <w:rPr>
          <w:b/>
          <w:bCs/>
          <w:sz w:val="24"/>
          <w:szCs w:val="24"/>
        </w:rPr>
      </w:pPr>
      <w:r>
        <w:rPr>
          <w:b/>
          <w:bCs/>
          <w:sz w:val="24"/>
          <w:szCs w:val="24"/>
        </w:rPr>
        <w:t>Committee on the Rights of Persons with Disabilities</w:t>
      </w:r>
    </w:p>
    <w:p w:rsidR="00BB4CF5" w:rsidRDefault="00BB4CF5" w:rsidP="00BB4CF5">
      <w:pPr>
        <w:pStyle w:val="HChG"/>
      </w:pPr>
      <w:r>
        <w:tab/>
      </w:r>
      <w:r>
        <w:tab/>
        <w:t>Follow-up progress report on individual communications</w:t>
      </w:r>
      <w:r w:rsidRPr="009A4A1A">
        <w:rPr>
          <w:rStyle w:val="FootnoteReference"/>
          <w:b w:val="0"/>
          <w:sz w:val="20"/>
          <w:vertAlign w:val="baseline"/>
        </w:rPr>
        <w:footnoteReference w:customMarkFollows="1" w:id="1"/>
        <w:t>*</w:t>
      </w:r>
    </w:p>
    <w:p w:rsidR="00BB4CF5" w:rsidRDefault="00BB4CF5" w:rsidP="00BB4CF5">
      <w:pPr>
        <w:pStyle w:val="H1G"/>
      </w:pPr>
      <w:r>
        <w:tab/>
        <w:t>A.</w:t>
      </w:r>
      <w:r>
        <w:tab/>
        <w:t>Introduction</w:t>
      </w:r>
    </w:p>
    <w:p w:rsidR="00BB4CF5" w:rsidRDefault="00BB4CF5" w:rsidP="00BB4CF5">
      <w:pPr>
        <w:pStyle w:val="SingleTxtG"/>
      </w:pPr>
      <w:r>
        <w:t>1.</w:t>
      </w:r>
      <w:r>
        <w:tab/>
        <w:t xml:space="preserve">The present report was prepared pursuant to article 5 of the Optional Protocol to the </w:t>
      </w:r>
      <w:bookmarkStart w:id="0" w:name="_GoBack"/>
      <w:r>
        <w:t>C</w:t>
      </w:r>
      <w:bookmarkEnd w:id="0"/>
      <w:r>
        <w:t xml:space="preserve">onvention, which states that the Committee will hold closed meetings when examining communications under the Optional Protocol and, after examining a communication, will forward its suggestions and recommendations, if any, to the State party concerned and to the petitioner. The report is also prepared in line with rule 75, paragraph 7, of the rules of procedure of the Committee, which stipulates that the Special Rapporteur or working group will regularly report to the Committee on follow-up activities, to ascertain the measures to be taken by States parties to give effect to the Committee’s Views. </w:t>
      </w:r>
    </w:p>
    <w:p w:rsidR="00BB4CF5" w:rsidRDefault="00BB4CF5" w:rsidP="00BB4CF5">
      <w:pPr>
        <w:pStyle w:val="SingleTxtG"/>
        <w:spacing w:after="240"/>
      </w:pPr>
      <w:r>
        <w:t>2.</w:t>
      </w:r>
      <w:r>
        <w:tab/>
        <w:t>The present report sets out the information received by the Special Rapporteur for follow-up on Views between the twenty-first and twenty-second sessions pursuant to the Committee’s rules of procedure, and the analyses and decisions adopted by the Committee during its twenty-second session. The assessment criteria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FC1DFE" w:rsidRPr="00FC1DFE" w:rsidTr="00FC1DFE">
        <w:trPr>
          <w:tblHeader/>
        </w:trPr>
        <w:tc>
          <w:tcPr>
            <w:tcW w:w="7370" w:type="dxa"/>
            <w:tcBorders>
              <w:top w:val="single" w:sz="4" w:space="0" w:color="auto"/>
              <w:bottom w:val="single" w:sz="12" w:space="0" w:color="auto"/>
            </w:tcBorders>
            <w:shd w:val="clear" w:color="auto" w:fill="auto"/>
            <w:vAlign w:val="bottom"/>
            <w:hideMark/>
          </w:tcPr>
          <w:p w:rsidR="00BB4CF5" w:rsidRPr="00FC1DFE" w:rsidRDefault="00BB4CF5" w:rsidP="00FC1DFE">
            <w:pPr>
              <w:suppressAutoHyphens w:val="0"/>
              <w:spacing w:before="80" w:after="80" w:line="200" w:lineRule="exact"/>
              <w:ind w:right="113"/>
              <w:rPr>
                <w:i/>
                <w:sz w:val="16"/>
              </w:rPr>
            </w:pPr>
            <w:r w:rsidRPr="00FC1DFE">
              <w:rPr>
                <w:i/>
                <w:sz w:val="16"/>
              </w:rPr>
              <w:t>Assessment criteria</w:t>
            </w:r>
          </w:p>
        </w:tc>
      </w:tr>
      <w:tr w:rsidR="00BB4CF5" w:rsidRPr="00FC1DFE" w:rsidTr="00FC1DFE">
        <w:tc>
          <w:tcPr>
            <w:tcW w:w="7370" w:type="dxa"/>
            <w:shd w:val="clear" w:color="auto" w:fill="auto"/>
            <w:hideMark/>
          </w:tcPr>
          <w:p w:rsidR="00BB4CF5" w:rsidRPr="001570EF" w:rsidRDefault="00BB4CF5" w:rsidP="00FC1DFE">
            <w:pPr>
              <w:suppressAutoHyphens w:val="0"/>
              <w:spacing w:before="40" w:after="120" w:line="220" w:lineRule="exact"/>
              <w:ind w:right="113"/>
              <w:rPr>
                <w:i/>
              </w:rPr>
            </w:pPr>
            <w:r w:rsidRPr="001570EF">
              <w:rPr>
                <w:i/>
              </w:rPr>
              <w:t>Compliance</w:t>
            </w:r>
          </w:p>
        </w:tc>
      </w:tr>
      <w:tr w:rsidR="00BB4CF5" w:rsidRPr="00FC1DFE" w:rsidTr="00FC1DFE">
        <w:tc>
          <w:tcPr>
            <w:tcW w:w="7370" w:type="dxa"/>
            <w:shd w:val="clear" w:color="auto" w:fill="auto"/>
            <w:hideMark/>
          </w:tcPr>
          <w:p w:rsidR="00BB4CF5" w:rsidRPr="00FC1DFE" w:rsidRDefault="00BB4CF5" w:rsidP="00FC1DFE">
            <w:pPr>
              <w:suppressAutoHyphens w:val="0"/>
              <w:spacing w:before="40" w:after="120" w:line="220" w:lineRule="exact"/>
              <w:ind w:right="113"/>
            </w:pPr>
            <w:r w:rsidRPr="00FC1DFE">
              <w:rPr>
                <w:b/>
                <w:bCs/>
              </w:rPr>
              <w:t>A</w:t>
            </w:r>
            <w:r w:rsidRPr="00FC1DFE">
              <w:tab/>
              <w:t>Measures taken are largely satisfactory</w:t>
            </w:r>
          </w:p>
        </w:tc>
      </w:tr>
      <w:tr w:rsidR="00BB4CF5" w:rsidRPr="00FC1DFE" w:rsidTr="00FC1DFE">
        <w:tc>
          <w:tcPr>
            <w:tcW w:w="7370" w:type="dxa"/>
            <w:shd w:val="clear" w:color="auto" w:fill="auto"/>
            <w:hideMark/>
          </w:tcPr>
          <w:p w:rsidR="00BB4CF5" w:rsidRPr="001570EF" w:rsidRDefault="00BB4CF5" w:rsidP="00FC1DFE">
            <w:pPr>
              <w:suppressAutoHyphens w:val="0"/>
              <w:spacing w:before="40" w:after="120" w:line="220" w:lineRule="exact"/>
              <w:ind w:right="113"/>
              <w:rPr>
                <w:i/>
              </w:rPr>
            </w:pPr>
            <w:r w:rsidRPr="001570EF">
              <w:rPr>
                <w:i/>
              </w:rPr>
              <w:t>Partial compliance</w:t>
            </w:r>
          </w:p>
        </w:tc>
      </w:tr>
      <w:tr w:rsidR="00BB4CF5" w:rsidRPr="00FC1DFE" w:rsidTr="00FC1DFE">
        <w:tc>
          <w:tcPr>
            <w:tcW w:w="7370" w:type="dxa"/>
            <w:shd w:val="clear" w:color="auto" w:fill="auto"/>
            <w:hideMark/>
          </w:tcPr>
          <w:p w:rsidR="00BB4CF5" w:rsidRPr="00FC1DFE" w:rsidRDefault="00BB4CF5" w:rsidP="00FC1DFE">
            <w:pPr>
              <w:suppressAutoHyphens w:val="0"/>
              <w:spacing w:before="40" w:after="120" w:line="220" w:lineRule="exact"/>
              <w:ind w:right="113"/>
            </w:pPr>
            <w:r w:rsidRPr="00FC1DFE">
              <w:rPr>
                <w:b/>
                <w:bCs/>
              </w:rPr>
              <w:t>B</w:t>
            </w:r>
            <w:r w:rsidRPr="00FC1DFE">
              <w:tab/>
              <w:t>Substantive measure(s) taken, but additional information and/or action is required</w:t>
            </w:r>
          </w:p>
        </w:tc>
      </w:tr>
      <w:tr w:rsidR="00BB4CF5" w:rsidRPr="00FC1DFE" w:rsidTr="00FC1DFE">
        <w:tc>
          <w:tcPr>
            <w:tcW w:w="7370" w:type="dxa"/>
            <w:shd w:val="clear" w:color="auto" w:fill="auto"/>
            <w:hideMark/>
          </w:tcPr>
          <w:p w:rsidR="00BB4CF5" w:rsidRPr="001570EF" w:rsidRDefault="00BB4CF5" w:rsidP="00FC1DFE">
            <w:pPr>
              <w:suppressAutoHyphens w:val="0"/>
              <w:spacing w:before="40" w:after="120" w:line="220" w:lineRule="exact"/>
              <w:ind w:right="113"/>
              <w:rPr>
                <w:i/>
              </w:rPr>
            </w:pPr>
            <w:r w:rsidRPr="001570EF">
              <w:rPr>
                <w:i/>
              </w:rPr>
              <w:t>Non-compliance</w:t>
            </w:r>
          </w:p>
        </w:tc>
      </w:tr>
      <w:tr w:rsidR="00BB4CF5" w:rsidRPr="00FC1DFE" w:rsidTr="00FC1DFE">
        <w:tc>
          <w:tcPr>
            <w:tcW w:w="7370" w:type="dxa"/>
            <w:shd w:val="clear" w:color="auto" w:fill="auto"/>
            <w:hideMark/>
          </w:tcPr>
          <w:p w:rsidR="00BB4CF5" w:rsidRPr="00FC1DFE" w:rsidRDefault="00BB4CF5" w:rsidP="00FC1DFE">
            <w:pPr>
              <w:suppressAutoHyphens w:val="0"/>
              <w:spacing w:before="40" w:after="120" w:line="220" w:lineRule="exact"/>
              <w:ind w:right="113"/>
            </w:pPr>
            <w:r w:rsidRPr="00FC1DFE">
              <w:rPr>
                <w:b/>
                <w:bCs/>
              </w:rPr>
              <w:t>C</w:t>
            </w:r>
            <w:r w:rsidRPr="00FC1DFE">
              <w:tab/>
              <w:t>Reply received but measures taken do not implement the Views/recommendations</w:t>
            </w:r>
          </w:p>
        </w:tc>
      </w:tr>
      <w:tr w:rsidR="00BB4CF5" w:rsidRPr="00FC1DFE" w:rsidTr="00FC1DFE">
        <w:tc>
          <w:tcPr>
            <w:tcW w:w="7370" w:type="dxa"/>
            <w:shd w:val="clear" w:color="auto" w:fill="auto"/>
            <w:hideMark/>
          </w:tcPr>
          <w:p w:rsidR="00BB4CF5" w:rsidRPr="001570EF" w:rsidRDefault="00BB4CF5" w:rsidP="00FC1DFE">
            <w:pPr>
              <w:suppressAutoHyphens w:val="0"/>
              <w:spacing w:before="40" w:after="120" w:line="220" w:lineRule="exact"/>
              <w:ind w:right="113"/>
              <w:rPr>
                <w:i/>
              </w:rPr>
            </w:pPr>
            <w:r w:rsidRPr="001570EF">
              <w:rPr>
                <w:i/>
              </w:rPr>
              <w:t>No reply</w:t>
            </w:r>
          </w:p>
        </w:tc>
      </w:tr>
      <w:tr w:rsidR="00FC1DFE" w:rsidRPr="00FC1DFE" w:rsidTr="00FC1DFE">
        <w:tc>
          <w:tcPr>
            <w:tcW w:w="7370" w:type="dxa"/>
            <w:shd w:val="clear" w:color="auto" w:fill="auto"/>
            <w:hideMark/>
          </w:tcPr>
          <w:p w:rsidR="00BB4CF5" w:rsidRPr="00FC1DFE" w:rsidRDefault="00BB4CF5" w:rsidP="00FC1DFE">
            <w:pPr>
              <w:suppressAutoHyphens w:val="0"/>
              <w:spacing w:before="40" w:after="120" w:line="220" w:lineRule="exact"/>
              <w:ind w:right="113"/>
            </w:pPr>
            <w:r w:rsidRPr="00FC1DFE">
              <w:rPr>
                <w:b/>
                <w:bCs/>
              </w:rPr>
              <w:t>D</w:t>
            </w:r>
            <w:r w:rsidRPr="00FC1DFE">
              <w:tab/>
              <w:t>No reply to all or parts of recommendations following reminder(s)</w:t>
            </w:r>
          </w:p>
        </w:tc>
      </w:tr>
    </w:tbl>
    <w:p w:rsidR="00BB4CF5" w:rsidRDefault="00BB4CF5" w:rsidP="00BB4CF5">
      <w:pPr>
        <w:pStyle w:val="H1G"/>
        <w:ind w:left="0" w:firstLine="0"/>
      </w:pPr>
      <w:r>
        <w:tab/>
        <w:t>B.</w:t>
      </w:r>
      <w:r>
        <w:tab/>
        <w:t>Communications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221D22" w:rsidRPr="00221D22" w:rsidTr="007E26B5">
        <w:trPr>
          <w:tblHeader/>
        </w:trPr>
        <w:tc>
          <w:tcPr>
            <w:tcW w:w="7370" w:type="dxa"/>
            <w:gridSpan w:val="2"/>
            <w:tcBorders>
              <w:top w:val="single" w:sz="4" w:space="0" w:color="auto"/>
              <w:bottom w:val="single" w:sz="12" w:space="0" w:color="auto"/>
            </w:tcBorders>
            <w:shd w:val="clear" w:color="auto" w:fill="auto"/>
            <w:vAlign w:val="bottom"/>
            <w:hideMark/>
          </w:tcPr>
          <w:p w:rsidR="00BB4CF5" w:rsidRPr="00221D22" w:rsidRDefault="00BB4CF5" w:rsidP="00221D22">
            <w:pPr>
              <w:suppressAutoHyphens w:val="0"/>
              <w:spacing w:before="80" w:after="80" w:line="200" w:lineRule="exact"/>
              <w:ind w:right="113"/>
              <w:rPr>
                <w:i/>
                <w:sz w:val="16"/>
                <w:lang w:val="es-EC"/>
              </w:rPr>
            </w:pPr>
            <w:r w:rsidRPr="00221D22">
              <w:rPr>
                <w:i/>
                <w:sz w:val="16"/>
                <w:lang w:val="es-EC"/>
              </w:rPr>
              <w:t>1.</w:t>
            </w:r>
            <w:r w:rsidRPr="00221D22">
              <w:rPr>
                <w:i/>
                <w:sz w:val="16"/>
                <w:lang w:val="es-EC"/>
              </w:rPr>
              <w:tab/>
            </w:r>
            <w:proofErr w:type="spellStart"/>
            <w:r w:rsidRPr="00221D22">
              <w:rPr>
                <w:i/>
                <w:sz w:val="16"/>
                <w:lang w:val="es-EC"/>
              </w:rPr>
              <w:t>Bujdosó</w:t>
            </w:r>
            <w:proofErr w:type="spellEnd"/>
            <w:r w:rsidRPr="00221D22">
              <w:rPr>
                <w:i/>
                <w:sz w:val="16"/>
                <w:lang w:val="es-EC"/>
              </w:rPr>
              <w:t xml:space="preserve"> et al. v. </w:t>
            </w:r>
            <w:proofErr w:type="spellStart"/>
            <w:r w:rsidRPr="00221D22">
              <w:rPr>
                <w:i/>
                <w:sz w:val="16"/>
                <w:lang w:val="es-EC"/>
              </w:rPr>
              <w:t>Hungary</w:t>
            </w:r>
            <w:proofErr w:type="spellEnd"/>
            <w:r w:rsidRPr="00221D22">
              <w:rPr>
                <w:i/>
                <w:sz w:val="16"/>
                <w:lang w:val="es-EC"/>
              </w:rPr>
              <w:t xml:space="preserve"> </w:t>
            </w:r>
            <w:r w:rsidRPr="00221D22">
              <w:rPr>
                <w:iCs/>
                <w:sz w:val="16"/>
                <w:lang w:val="es-EC"/>
              </w:rPr>
              <w:t>(CRPD/C/10/D/4/2011)</w:t>
            </w:r>
          </w:p>
        </w:tc>
      </w:tr>
      <w:tr w:rsidR="00221D22" w:rsidRPr="00221D22" w:rsidTr="007E26B5">
        <w:trPr>
          <w:trHeight w:hRule="exact" w:val="113"/>
          <w:tblHeader/>
        </w:trPr>
        <w:tc>
          <w:tcPr>
            <w:tcW w:w="3119" w:type="dxa"/>
            <w:tcBorders>
              <w:top w:val="single" w:sz="12" w:space="0" w:color="auto"/>
            </w:tcBorders>
            <w:shd w:val="clear" w:color="auto" w:fill="auto"/>
          </w:tcPr>
          <w:p w:rsidR="00BB4CF5" w:rsidRPr="00221D22" w:rsidRDefault="00BB4CF5" w:rsidP="00221D22">
            <w:pPr>
              <w:suppressAutoHyphens w:val="0"/>
              <w:spacing w:before="40" w:after="120" w:line="220" w:lineRule="exact"/>
              <w:ind w:right="113"/>
              <w:rPr>
                <w:lang w:val="es-EC"/>
              </w:rPr>
            </w:pPr>
          </w:p>
        </w:tc>
        <w:tc>
          <w:tcPr>
            <w:tcW w:w="4251" w:type="dxa"/>
            <w:tcBorders>
              <w:top w:val="single" w:sz="12" w:space="0" w:color="auto"/>
            </w:tcBorders>
            <w:shd w:val="clear" w:color="auto" w:fill="auto"/>
          </w:tcPr>
          <w:p w:rsidR="00BB4CF5" w:rsidRPr="00221D22" w:rsidRDefault="00BB4CF5" w:rsidP="00221D22">
            <w:pPr>
              <w:suppressAutoHyphens w:val="0"/>
              <w:spacing w:before="40" w:after="120" w:line="220" w:lineRule="exact"/>
              <w:ind w:right="113"/>
              <w:rPr>
                <w:lang w:val="es-EC"/>
              </w:rPr>
            </w:pPr>
          </w:p>
        </w:tc>
      </w:tr>
      <w:tr w:rsidR="00221D22" w:rsidRPr="00221D22" w:rsidTr="007E26B5">
        <w:tc>
          <w:tcPr>
            <w:tcW w:w="3119" w:type="dxa"/>
            <w:shd w:val="clear" w:color="auto" w:fill="auto"/>
            <w:hideMark/>
          </w:tcPr>
          <w:p w:rsidR="00BB4CF5" w:rsidRPr="00221D22" w:rsidRDefault="00BB4CF5" w:rsidP="000F46AB">
            <w:pPr>
              <w:suppressAutoHyphens w:val="0"/>
              <w:spacing w:before="40" w:after="120"/>
              <w:ind w:right="113"/>
            </w:pPr>
            <w:r w:rsidRPr="00221D22">
              <w:t>Views adopted:</w:t>
            </w:r>
          </w:p>
        </w:tc>
        <w:tc>
          <w:tcPr>
            <w:tcW w:w="4251" w:type="dxa"/>
            <w:shd w:val="clear" w:color="auto" w:fill="auto"/>
            <w:hideMark/>
          </w:tcPr>
          <w:p w:rsidR="00BB4CF5" w:rsidRPr="00221D22" w:rsidRDefault="00BB4CF5" w:rsidP="000F46AB">
            <w:pPr>
              <w:suppressAutoHyphens w:val="0"/>
              <w:spacing w:before="40" w:after="120"/>
              <w:ind w:right="113"/>
            </w:pPr>
            <w:r w:rsidRPr="00221D22">
              <w:t>9 September 2013</w:t>
            </w:r>
          </w:p>
        </w:tc>
      </w:tr>
      <w:tr w:rsidR="00221D22" w:rsidRPr="00221D22" w:rsidTr="007E26B5">
        <w:tc>
          <w:tcPr>
            <w:tcW w:w="3119" w:type="dxa"/>
            <w:tcBorders>
              <w:bottom w:val="nil"/>
            </w:tcBorders>
            <w:shd w:val="clear" w:color="auto" w:fill="auto"/>
            <w:hideMark/>
          </w:tcPr>
          <w:p w:rsidR="00BB4CF5" w:rsidRPr="00221D22" w:rsidRDefault="00BB4CF5" w:rsidP="000F46AB">
            <w:pPr>
              <w:suppressAutoHyphens w:val="0"/>
              <w:spacing w:before="40" w:after="120"/>
              <w:ind w:right="113"/>
            </w:pPr>
            <w:r w:rsidRPr="00221D22">
              <w:lastRenderedPageBreak/>
              <w:t>First reply from the State party:</w:t>
            </w:r>
          </w:p>
        </w:tc>
        <w:tc>
          <w:tcPr>
            <w:tcW w:w="4251" w:type="dxa"/>
            <w:tcBorders>
              <w:bottom w:val="nil"/>
            </w:tcBorders>
            <w:shd w:val="clear" w:color="auto" w:fill="auto"/>
            <w:hideMark/>
          </w:tcPr>
          <w:p w:rsidR="00BB4CF5" w:rsidRPr="00221D22" w:rsidRDefault="00BB4CF5" w:rsidP="000F46AB">
            <w:pPr>
              <w:suppressAutoHyphens w:val="0"/>
              <w:spacing w:before="40" w:after="120"/>
              <w:ind w:right="113"/>
            </w:pPr>
            <w:r w:rsidRPr="00221D22">
              <w:t>Received on 26 March 2014 (see CRPD/C/12/3).</w:t>
            </w:r>
          </w:p>
        </w:tc>
      </w:tr>
      <w:tr w:rsidR="00221D22" w:rsidRPr="00221D22" w:rsidTr="007E26B5">
        <w:tc>
          <w:tcPr>
            <w:tcW w:w="3119" w:type="dxa"/>
            <w:tcBorders>
              <w:top w:val="nil"/>
              <w:bottom w:val="nil"/>
            </w:tcBorders>
            <w:shd w:val="clear" w:color="auto" w:fill="auto"/>
            <w:hideMark/>
          </w:tcPr>
          <w:p w:rsidR="00BB4CF5" w:rsidRPr="00221D22" w:rsidRDefault="00BB4CF5" w:rsidP="000F46AB">
            <w:pPr>
              <w:suppressAutoHyphens w:val="0"/>
              <w:spacing w:before="40" w:after="120"/>
              <w:ind w:right="113"/>
            </w:pPr>
            <w:r w:rsidRPr="00221D22">
              <w:t>Authors’ comments (first set):</w:t>
            </w:r>
          </w:p>
        </w:tc>
        <w:tc>
          <w:tcPr>
            <w:tcW w:w="4251" w:type="dxa"/>
            <w:tcBorders>
              <w:top w:val="nil"/>
              <w:bottom w:val="nil"/>
            </w:tcBorders>
            <w:shd w:val="clear" w:color="auto" w:fill="auto"/>
            <w:hideMark/>
          </w:tcPr>
          <w:p w:rsidR="00BB4CF5" w:rsidRPr="00221D22" w:rsidRDefault="00BB4CF5" w:rsidP="000F46AB">
            <w:pPr>
              <w:suppressAutoHyphens w:val="0"/>
              <w:spacing w:before="40" w:after="120"/>
              <w:ind w:right="113"/>
            </w:pPr>
            <w:r w:rsidRPr="00221D22">
              <w:t>Received on 5 May 2014 (see CRPD/C/12/3).</w:t>
            </w:r>
          </w:p>
        </w:tc>
      </w:tr>
      <w:tr w:rsidR="00221D22" w:rsidRPr="00221D22" w:rsidTr="007E26B5">
        <w:tc>
          <w:tcPr>
            <w:tcW w:w="3119" w:type="dxa"/>
            <w:tcBorders>
              <w:top w:val="nil"/>
            </w:tcBorders>
            <w:shd w:val="clear" w:color="auto" w:fill="auto"/>
            <w:hideMark/>
          </w:tcPr>
          <w:p w:rsidR="00BB4CF5" w:rsidRPr="00221D22" w:rsidRDefault="00BB4CF5" w:rsidP="000F46AB">
            <w:pPr>
              <w:suppressAutoHyphens w:val="0"/>
              <w:spacing w:before="40" w:after="120"/>
              <w:ind w:right="113"/>
            </w:pPr>
            <w:r w:rsidRPr="00221D22">
              <w:t>Decision adopted at the eleventh session:</w:t>
            </w:r>
          </w:p>
        </w:tc>
        <w:tc>
          <w:tcPr>
            <w:tcW w:w="4251" w:type="dxa"/>
            <w:tcBorders>
              <w:top w:val="nil"/>
            </w:tcBorders>
            <w:shd w:val="clear" w:color="auto" w:fill="auto"/>
            <w:hideMark/>
          </w:tcPr>
          <w:p w:rsidR="00BB4CF5" w:rsidRPr="00221D22" w:rsidRDefault="00BB4CF5" w:rsidP="000F46AB">
            <w:pPr>
              <w:suppressAutoHyphens w:val="0"/>
              <w:spacing w:before="40" w:after="120"/>
              <w:ind w:right="113"/>
            </w:pPr>
            <w:r w:rsidRPr="00221D22">
              <w:t>Follow-up letter sent to the State party on 8 May 2014 (see CRPD/C/12/3), with a deadline for comments of 7 November 2014.</w:t>
            </w:r>
          </w:p>
        </w:tc>
      </w:tr>
      <w:tr w:rsidR="00221D22" w:rsidRPr="00221D22" w:rsidTr="007E26B5">
        <w:tc>
          <w:tcPr>
            <w:tcW w:w="3119" w:type="dxa"/>
            <w:shd w:val="clear" w:color="auto" w:fill="auto"/>
            <w:hideMark/>
          </w:tcPr>
          <w:p w:rsidR="00BB4CF5" w:rsidRPr="00221D22" w:rsidRDefault="00BB4CF5" w:rsidP="000F46AB">
            <w:pPr>
              <w:suppressAutoHyphens w:val="0"/>
              <w:spacing w:before="40" w:after="120"/>
              <w:ind w:right="113"/>
            </w:pPr>
            <w:r w:rsidRPr="00221D22">
              <w:t>Second reply from the State party:</w:t>
            </w:r>
          </w:p>
        </w:tc>
        <w:tc>
          <w:tcPr>
            <w:tcW w:w="4251" w:type="dxa"/>
            <w:shd w:val="clear" w:color="auto" w:fill="auto"/>
            <w:hideMark/>
          </w:tcPr>
          <w:p w:rsidR="00BB4CF5" w:rsidRPr="00221D22" w:rsidRDefault="00BB4CF5" w:rsidP="000F46AB">
            <w:pPr>
              <w:suppressAutoHyphens w:val="0"/>
              <w:spacing w:before="40" w:after="120"/>
              <w:ind w:right="113"/>
            </w:pPr>
            <w:r w:rsidRPr="00221D22">
              <w:t>Received on 8 July 2014 (see CRPD/C/12/3).</w:t>
            </w:r>
          </w:p>
        </w:tc>
      </w:tr>
      <w:tr w:rsidR="00221D22" w:rsidRPr="00221D22" w:rsidTr="007E26B5">
        <w:tc>
          <w:tcPr>
            <w:tcW w:w="3119" w:type="dxa"/>
            <w:shd w:val="clear" w:color="auto" w:fill="auto"/>
            <w:hideMark/>
          </w:tcPr>
          <w:p w:rsidR="00BB4CF5" w:rsidRPr="00221D22" w:rsidRDefault="00BB4CF5" w:rsidP="000F46AB">
            <w:pPr>
              <w:suppressAutoHyphens w:val="0"/>
              <w:spacing w:before="40" w:after="120"/>
              <w:ind w:right="113"/>
            </w:pPr>
            <w:r w:rsidRPr="00221D22">
              <w:t>Authors’ comments (second set):</w:t>
            </w:r>
          </w:p>
        </w:tc>
        <w:tc>
          <w:tcPr>
            <w:tcW w:w="4251" w:type="dxa"/>
            <w:shd w:val="clear" w:color="auto" w:fill="auto"/>
            <w:hideMark/>
          </w:tcPr>
          <w:p w:rsidR="00BB4CF5" w:rsidRPr="00221D22" w:rsidRDefault="00BB4CF5" w:rsidP="000F46AB">
            <w:pPr>
              <w:suppressAutoHyphens w:val="0"/>
              <w:spacing w:before="40" w:after="120"/>
              <w:ind w:right="113"/>
            </w:pPr>
            <w:r w:rsidRPr="00221D22">
              <w:t>Received on 25 August 2015.</w:t>
            </w:r>
          </w:p>
        </w:tc>
      </w:tr>
      <w:tr w:rsidR="00221D22" w:rsidRPr="00221D22" w:rsidTr="007E26B5">
        <w:tc>
          <w:tcPr>
            <w:tcW w:w="3119" w:type="dxa"/>
            <w:shd w:val="clear" w:color="auto" w:fill="auto"/>
            <w:hideMark/>
          </w:tcPr>
          <w:p w:rsidR="00BB4CF5" w:rsidRPr="00221D22" w:rsidRDefault="00BB4CF5" w:rsidP="000F46AB">
            <w:pPr>
              <w:suppressAutoHyphens w:val="0"/>
              <w:spacing w:before="40" w:after="120"/>
              <w:ind w:right="113"/>
            </w:pPr>
            <w:r w:rsidRPr="00221D22">
              <w:t>Third reply from the State party:</w:t>
            </w:r>
          </w:p>
        </w:tc>
        <w:tc>
          <w:tcPr>
            <w:tcW w:w="4251" w:type="dxa"/>
            <w:shd w:val="clear" w:color="auto" w:fill="auto"/>
            <w:hideMark/>
          </w:tcPr>
          <w:p w:rsidR="00BB4CF5" w:rsidRPr="00221D22" w:rsidRDefault="00BB4CF5" w:rsidP="000F46AB">
            <w:pPr>
              <w:suppressAutoHyphens w:val="0"/>
              <w:spacing w:before="40" w:after="120"/>
              <w:ind w:right="113"/>
            </w:pPr>
            <w:r w:rsidRPr="00221D22">
              <w:t>Received on 29 June 2015 (see CRPD/C/16/3).</w:t>
            </w:r>
          </w:p>
        </w:tc>
      </w:tr>
      <w:tr w:rsidR="00221D22" w:rsidRPr="00221D22" w:rsidTr="007E26B5">
        <w:tc>
          <w:tcPr>
            <w:tcW w:w="3119" w:type="dxa"/>
            <w:shd w:val="clear" w:color="auto" w:fill="auto"/>
            <w:hideMark/>
          </w:tcPr>
          <w:p w:rsidR="00BB4CF5" w:rsidRPr="00221D22" w:rsidRDefault="00BB4CF5" w:rsidP="000F46AB">
            <w:pPr>
              <w:suppressAutoHyphens w:val="0"/>
              <w:spacing w:before="40" w:after="120"/>
              <w:ind w:right="113"/>
            </w:pPr>
            <w:r w:rsidRPr="00221D22">
              <w:t>Decision adopted at the fifteenth session:</w:t>
            </w:r>
          </w:p>
        </w:tc>
        <w:tc>
          <w:tcPr>
            <w:tcW w:w="4251" w:type="dxa"/>
            <w:shd w:val="clear" w:color="auto" w:fill="auto"/>
            <w:hideMark/>
          </w:tcPr>
          <w:p w:rsidR="00BB4CF5" w:rsidRPr="00221D22" w:rsidRDefault="00BB4CF5" w:rsidP="000F46AB">
            <w:pPr>
              <w:suppressAutoHyphens w:val="0"/>
              <w:spacing w:before="40" w:after="120"/>
              <w:ind w:right="113"/>
            </w:pPr>
            <w:r w:rsidRPr="00221D22">
              <w:t>Follow-up ongoing. Follow-up letter sent to the State party on 14 June 2016 (see CRPD/C/16/3), with a deadline for comments of 9 August 2016.</w:t>
            </w:r>
          </w:p>
        </w:tc>
      </w:tr>
      <w:tr w:rsidR="00221D22" w:rsidRPr="00221D22" w:rsidTr="007E26B5">
        <w:tc>
          <w:tcPr>
            <w:tcW w:w="3119" w:type="dxa"/>
            <w:shd w:val="clear" w:color="auto" w:fill="auto"/>
            <w:hideMark/>
          </w:tcPr>
          <w:p w:rsidR="00BB4CF5" w:rsidRPr="00221D22" w:rsidRDefault="00BB4CF5" w:rsidP="000F46AB">
            <w:pPr>
              <w:suppressAutoHyphens w:val="0"/>
              <w:spacing w:before="40" w:after="120"/>
              <w:ind w:right="113"/>
            </w:pPr>
            <w:r w:rsidRPr="00221D22">
              <w:t>Fourth reply from the State party:</w:t>
            </w:r>
          </w:p>
        </w:tc>
        <w:tc>
          <w:tcPr>
            <w:tcW w:w="4251" w:type="dxa"/>
            <w:shd w:val="clear" w:color="auto" w:fill="auto"/>
            <w:hideMark/>
          </w:tcPr>
          <w:p w:rsidR="00BB4CF5" w:rsidRPr="00221D22" w:rsidRDefault="00BB4CF5" w:rsidP="000F46AB">
            <w:pPr>
              <w:suppressAutoHyphens w:val="0"/>
              <w:spacing w:before="40" w:after="120"/>
              <w:ind w:right="113"/>
            </w:pPr>
            <w:r w:rsidRPr="00221D22">
              <w:t>Received on 12 August 2016 (see CRPD/C/16/3).</w:t>
            </w:r>
          </w:p>
        </w:tc>
      </w:tr>
      <w:tr w:rsidR="00221D22" w:rsidRPr="00221D22" w:rsidTr="007E26B5">
        <w:tc>
          <w:tcPr>
            <w:tcW w:w="3119" w:type="dxa"/>
            <w:shd w:val="clear" w:color="auto" w:fill="auto"/>
            <w:hideMark/>
          </w:tcPr>
          <w:p w:rsidR="00BB4CF5" w:rsidRPr="00221D22" w:rsidRDefault="00BB4CF5" w:rsidP="000F46AB">
            <w:pPr>
              <w:suppressAutoHyphens w:val="0"/>
              <w:spacing w:before="40" w:after="120"/>
              <w:ind w:right="113"/>
            </w:pPr>
            <w:r w:rsidRPr="00221D22">
              <w:t>Authors’ comments (third set):</w:t>
            </w:r>
          </w:p>
        </w:tc>
        <w:tc>
          <w:tcPr>
            <w:tcW w:w="4251" w:type="dxa"/>
            <w:shd w:val="clear" w:color="auto" w:fill="auto"/>
            <w:hideMark/>
          </w:tcPr>
          <w:p w:rsidR="00BB4CF5" w:rsidRPr="00221D22" w:rsidRDefault="00BB4CF5" w:rsidP="000F46AB">
            <w:pPr>
              <w:suppressAutoHyphens w:val="0"/>
              <w:spacing w:before="40" w:after="120"/>
              <w:ind w:right="113"/>
            </w:pPr>
            <w:r w:rsidRPr="00221D22">
              <w:t>Received on 17 August 2016 (see CRPD/C/16/3).</w:t>
            </w:r>
          </w:p>
        </w:tc>
      </w:tr>
      <w:tr w:rsidR="00221D22" w:rsidRPr="00221D22" w:rsidTr="007E26B5">
        <w:tc>
          <w:tcPr>
            <w:tcW w:w="3119" w:type="dxa"/>
            <w:shd w:val="clear" w:color="auto" w:fill="auto"/>
            <w:hideMark/>
          </w:tcPr>
          <w:p w:rsidR="00BB4CF5" w:rsidRPr="00221D22" w:rsidRDefault="00BB4CF5" w:rsidP="000F46AB">
            <w:pPr>
              <w:suppressAutoHyphens w:val="0"/>
              <w:spacing w:before="40" w:after="120"/>
              <w:ind w:right="113"/>
            </w:pPr>
            <w:r w:rsidRPr="00221D22">
              <w:t>Action taken:</w:t>
            </w:r>
          </w:p>
        </w:tc>
        <w:tc>
          <w:tcPr>
            <w:tcW w:w="4251" w:type="dxa"/>
            <w:shd w:val="clear" w:color="auto" w:fill="auto"/>
            <w:hideMark/>
          </w:tcPr>
          <w:p w:rsidR="00BB4CF5" w:rsidRPr="00221D22" w:rsidRDefault="00BB4CF5" w:rsidP="000F46AB">
            <w:pPr>
              <w:suppressAutoHyphens w:val="0"/>
              <w:spacing w:before="40" w:after="120"/>
              <w:ind w:right="113"/>
            </w:pPr>
            <w:r w:rsidRPr="00221D22">
              <w:t>Follow-up letter sent to the State party on 18 November 2016 (see CRPD/C/17/3).</w:t>
            </w:r>
          </w:p>
        </w:tc>
      </w:tr>
      <w:tr w:rsidR="00221D22" w:rsidRPr="00221D22" w:rsidTr="007E26B5">
        <w:tc>
          <w:tcPr>
            <w:tcW w:w="3119" w:type="dxa"/>
            <w:shd w:val="clear" w:color="auto" w:fill="auto"/>
            <w:hideMark/>
          </w:tcPr>
          <w:p w:rsidR="00BB4CF5" w:rsidRPr="00221D22" w:rsidRDefault="00BB4CF5" w:rsidP="000F46AB">
            <w:pPr>
              <w:suppressAutoHyphens w:val="0"/>
              <w:spacing w:before="40" w:after="120"/>
              <w:ind w:right="113"/>
            </w:pPr>
            <w:r w:rsidRPr="00221D22">
              <w:t>Fifth reply from the State party:</w:t>
            </w:r>
          </w:p>
        </w:tc>
        <w:tc>
          <w:tcPr>
            <w:tcW w:w="4251" w:type="dxa"/>
            <w:shd w:val="clear" w:color="auto" w:fill="auto"/>
            <w:hideMark/>
          </w:tcPr>
          <w:p w:rsidR="00BB4CF5" w:rsidRPr="00221D22" w:rsidRDefault="00BB4CF5" w:rsidP="000F46AB">
            <w:pPr>
              <w:suppressAutoHyphens w:val="0"/>
              <w:spacing w:before="40" w:after="120"/>
              <w:ind w:right="113"/>
            </w:pPr>
            <w:r w:rsidRPr="00221D22">
              <w:t>Received on 17 January 2017 (see CRPD/C/17/3).</w:t>
            </w:r>
          </w:p>
        </w:tc>
      </w:tr>
      <w:tr w:rsidR="00221D22" w:rsidRPr="00221D22" w:rsidTr="007E26B5">
        <w:tc>
          <w:tcPr>
            <w:tcW w:w="3119" w:type="dxa"/>
            <w:shd w:val="clear" w:color="auto" w:fill="auto"/>
            <w:hideMark/>
          </w:tcPr>
          <w:p w:rsidR="00BB4CF5" w:rsidRPr="00221D22" w:rsidRDefault="00BB4CF5" w:rsidP="000F46AB">
            <w:pPr>
              <w:suppressAutoHyphens w:val="0"/>
              <w:spacing w:before="40" w:after="120"/>
              <w:ind w:right="113"/>
            </w:pPr>
            <w:r w:rsidRPr="00221D22">
              <w:t>Authors’ comments (fourth set):</w:t>
            </w:r>
          </w:p>
        </w:tc>
        <w:tc>
          <w:tcPr>
            <w:tcW w:w="4251" w:type="dxa"/>
            <w:shd w:val="clear" w:color="auto" w:fill="auto"/>
            <w:hideMark/>
          </w:tcPr>
          <w:p w:rsidR="00BB4CF5" w:rsidRPr="00221D22" w:rsidRDefault="00BB4CF5" w:rsidP="000F46AB">
            <w:pPr>
              <w:suppressAutoHyphens w:val="0"/>
              <w:spacing w:before="40" w:after="120"/>
              <w:ind w:right="113"/>
            </w:pPr>
            <w:r w:rsidRPr="00221D22">
              <w:t>Received on 10 March 2017 (see CRPD/C/17/3).</w:t>
            </w:r>
          </w:p>
        </w:tc>
      </w:tr>
      <w:tr w:rsidR="00221D22" w:rsidRPr="00221D22" w:rsidTr="007E26B5">
        <w:tc>
          <w:tcPr>
            <w:tcW w:w="3119" w:type="dxa"/>
            <w:shd w:val="clear" w:color="auto" w:fill="auto"/>
            <w:hideMark/>
          </w:tcPr>
          <w:p w:rsidR="00BB4CF5" w:rsidRPr="00221D22" w:rsidRDefault="00BB4CF5" w:rsidP="000F46AB">
            <w:pPr>
              <w:suppressAutoHyphens w:val="0"/>
              <w:spacing w:before="40" w:after="120"/>
              <w:ind w:right="113"/>
            </w:pPr>
            <w:r w:rsidRPr="00221D22">
              <w:t>Closed meeting of the Special Rapporteur with the State party:</w:t>
            </w:r>
          </w:p>
        </w:tc>
        <w:tc>
          <w:tcPr>
            <w:tcW w:w="4251" w:type="dxa"/>
            <w:shd w:val="clear" w:color="auto" w:fill="auto"/>
            <w:hideMark/>
          </w:tcPr>
          <w:p w:rsidR="00BB4CF5" w:rsidRPr="00221D22" w:rsidRDefault="00BB4CF5" w:rsidP="000F46AB">
            <w:pPr>
              <w:suppressAutoHyphens w:val="0"/>
              <w:spacing w:before="40" w:after="120"/>
              <w:ind w:right="113"/>
            </w:pPr>
            <w:r w:rsidRPr="00221D22">
              <w:t>6 April 2017</w:t>
            </w:r>
          </w:p>
        </w:tc>
      </w:tr>
      <w:tr w:rsidR="00221D22" w:rsidRPr="00221D22" w:rsidTr="007E26B5">
        <w:tc>
          <w:tcPr>
            <w:tcW w:w="3119" w:type="dxa"/>
            <w:shd w:val="clear" w:color="auto" w:fill="auto"/>
            <w:hideMark/>
          </w:tcPr>
          <w:p w:rsidR="00BB4CF5" w:rsidRPr="00221D22" w:rsidRDefault="00BB4CF5" w:rsidP="000F46AB">
            <w:pPr>
              <w:suppressAutoHyphens w:val="0"/>
              <w:spacing w:before="40" w:after="120"/>
              <w:ind w:right="113"/>
            </w:pPr>
            <w:r w:rsidRPr="00221D22">
              <w:t>Decision adopted at the seventeenth session:</w:t>
            </w:r>
          </w:p>
        </w:tc>
        <w:tc>
          <w:tcPr>
            <w:tcW w:w="4251" w:type="dxa"/>
            <w:shd w:val="clear" w:color="auto" w:fill="auto"/>
            <w:hideMark/>
          </w:tcPr>
          <w:p w:rsidR="00BB4CF5" w:rsidRPr="00221D22" w:rsidRDefault="00BB4CF5" w:rsidP="000F46AB">
            <w:pPr>
              <w:suppressAutoHyphens w:val="0"/>
              <w:spacing w:before="40" w:after="120"/>
              <w:ind w:right="113"/>
            </w:pPr>
            <w:r w:rsidRPr="00221D22">
              <w:t>“D” assessment: follow-up ongoing. Follow-up letter sent by the Special Rapporteur on 23 November 2017, with a deadline for response of 23 January 2018.</w:t>
            </w:r>
          </w:p>
        </w:tc>
      </w:tr>
      <w:tr w:rsidR="00221D22" w:rsidRPr="00221D22" w:rsidTr="007E26B5">
        <w:tc>
          <w:tcPr>
            <w:tcW w:w="3119" w:type="dxa"/>
            <w:shd w:val="clear" w:color="auto" w:fill="auto"/>
            <w:hideMark/>
          </w:tcPr>
          <w:p w:rsidR="00BB4CF5" w:rsidRPr="00221D22" w:rsidRDefault="00BB4CF5" w:rsidP="000F46AB">
            <w:pPr>
              <w:suppressAutoHyphens w:val="0"/>
              <w:spacing w:before="40" w:after="120"/>
              <w:ind w:right="113"/>
            </w:pPr>
            <w:r w:rsidRPr="00221D22">
              <w:t>Sixth reply from the State party:</w:t>
            </w:r>
          </w:p>
        </w:tc>
        <w:tc>
          <w:tcPr>
            <w:tcW w:w="4251" w:type="dxa"/>
            <w:shd w:val="clear" w:color="auto" w:fill="auto"/>
            <w:hideMark/>
          </w:tcPr>
          <w:p w:rsidR="00BB4CF5" w:rsidRPr="00221D22" w:rsidRDefault="00BB4CF5" w:rsidP="000F46AB">
            <w:pPr>
              <w:suppressAutoHyphens w:val="0"/>
              <w:spacing w:before="40" w:after="120"/>
              <w:ind w:right="113"/>
            </w:pPr>
            <w:r w:rsidRPr="00221D22">
              <w:t>Received on 10 July 2018 (see CRPD/C/21/3).</w:t>
            </w:r>
          </w:p>
        </w:tc>
      </w:tr>
      <w:tr w:rsidR="00221D22" w:rsidRPr="00221D22" w:rsidTr="007E26B5">
        <w:tc>
          <w:tcPr>
            <w:tcW w:w="3119" w:type="dxa"/>
            <w:shd w:val="clear" w:color="auto" w:fill="auto"/>
            <w:hideMark/>
          </w:tcPr>
          <w:p w:rsidR="00BB4CF5" w:rsidRPr="00221D22" w:rsidRDefault="00BB4CF5" w:rsidP="000F46AB">
            <w:pPr>
              <w:suppressAutoHyphens w:val="0"/>
              <w:spacing w:before="40" w:after="120"/>
              <w:ind w:right="113"/>
            </w:pPr>
            <w:r w:rsidRPr="00221D22">
              <w:t>Authors’ comments (fifth set):</w:t>
            </w:r>
          </w:p>
        </w:tc>
        <w:tc>
          <w:tcPr>
            <w:tcW w:w="4251" w:type="dxa"/>
            <w:shd w:val="clear" w:color="auto" w:fill="auto"/>
            <w:hideMark/>
          </w:tcPr>
          <w:p w:rsidR="00BB4CF5" w:rsidRPr="00221D22" w:rsidRDefault="00BB4CF5" w:rsidP="000F46AB">
            <w:pPr>
              <w:suppressAutoHyphens w:val="0"/>
              <w:spacing w:before="40" w:after="120"/>
              <w:ind w:right="113"/>
            </w:pPr>
            <w:r w:rsidRPr="00221D22">
              <w:t>Received on 18 June 2019.</w:t>
            </w:r>
          </w:p>
        </w:tc>
      </w:tr>
      <w:tr w:rsidR="00221D22" w:rsidRPr="00221D22" w:rsidTr="007E26B5">
        <w:tc>
          <w:tcPr>
            <w:tcW w:w="7370" w:type="dxa"/>
            <w:gridSpan w:val="2"/>
            <w:shd w:val="clear" w:color="auto" w:fill="auto"/>
            <w:hideMark/>
          </w:tcPr>
          <w:p w:rsidR="00BB4CF5" w:rsidRPr="00221D22" w:rsidRDefault="00BB4CF5" w:rsidP="000F46AB">
            <w:pPr>
              <w:suppressAutoHyphens w:val="0"/>
              <w:spacing w:before="40" w:after="120"/>
              <w:ind w:right="113"/>
            </w:pPr>
            <w:r w:rsidRPr="00221D22">
              <w:t>The authors confirmed that the compensation amounts had been transferred to their bank accounts. However, the four authors whose legal capacity was restricted regarding the handling of property did not have access to the amounts as any related decisions had to be made by their guardians and the guardianship authorities, contrary to the requirements of article 12 (2) of the Convention, under which States parties recognized that persons with disabilities enjoyed legal capacity on an equal footing with others. They noted that the Civil Code stated that a guardian’s decisions over property must serve the interest of the person under guardianship and that the guardian must take account of, but was not bound by, that person’s opinion.</w:t>
            </w:r>
          </w:p>
        </w:tc>
      </w:tr>
      <w:tr w:rsidR="00221D22" w:rsidRPr="00221D22" w:rsidTr="007E26B5">
        <w:tc>
          <w:tcPr>
            <w:tcW w:w="7370" w:type="dxa"/>
            <w:gridSpan w:val="2"/>
            <w:tcBorders>
              <w:bottom w:val="nil"/>
            </w:tcBorders>
            <w:shd w:val="clear" w:color="auto" w:fill="auto"/>
            <w:hideMark/>
          </w:tcPr>
          <w:p w:rsidR="00BB4CF5" w:rsidRPr="00221D22" w:rsidRDefault="00BB4CF5" w:rsidP="000F46AB">
            <w:pPr>
              <w:suppressAutoHyphens w:val="0"/>
              <w:spacing w:before="40" w:after="120"/>
              <w:ind w:right="113"/>
              <w:rPr>
                <w:b/>
              </w:rPr>
            </w:pPr>
            <w:r w:rsidRPr="00221D22">
              <w:rPr>
                <w:b/>
              </w:rPr>
              <w:t>Action taken</w:t>
            </w:r>
          </w:p>
          <w:p w:rsidR="00BB4CF5" w:rsidRPr="00221D22" w:rsidRDefault="00BB4CF5" w:rsidP="000F46AB">
            <w:pPr>
              <w:suppressAutoHyphens w:val="0"/>
              <w:spacing w:before="40" w:after="120"/>
              <w:ind w:right="113"/>
            </w:pPr>
            <w:r w:rsidRPr="00221D22">
              <w:t>The authors’ comments were transmitted to the State party, with a deadline for response of 20 August 2019.</w:t>
            </w:r>
          </w:p>
        </w:tc>
      </w:tr>
      <w:tr w:rsidR="00917E4C" w:rsidRPr="00221D22" w:rsidTr="007E26B5">
        <w:tc>
          <w:tcPr>
            <w:tcW w:w="7370" w:type="dxa"/>
            <w:gridSpan w:val="2"/>
            <w:tcBorders>
              <w:bottom w:val="nil"/>
            </w:tcBorders>
            <w:shd w:val="clear" w:color="auto" w:fill="auto"/>
          </w:tcPr>
          <w:p w:rsidR="00917E4C" w:rsidRDefault="00917E4C" w:rsidP="00917E4C">
            <w:pPr>
              <w:pStyle w:val="SingleTxtG"/>
              <w:spacing w:before="40"/>
              <w:ind w:left="0" w:right="113"/>
              <w:jc w:val="left"/>
              <w:rPr>
                <w:b/>
                <w:bCs/>
              </w:rPr>
            </w:pPr>
            <w:r>
              <w:rPr>
                <w:b/>
                <w:bCs/>
              </w:rPr>
              <w:t>Decision</w:t>
            </w:r>
          </w:p>
          <w:p w:rsidR="00917E4C" w:rsidRPr="00221D22" w:rsidRDefault="00917E4C" w:rsidP="00917E4C">
            <w:pPr>
              <w:suppressAutoHyphens w:val="0"/>
              <w:spacing w:before="40" w:after="120"/>
              <w:ind w:right="113"/>
              <w:rPr>
                <w:b/>
              </w:rPr>
            </w:pPr>
            <w:r>
              <w:t>On 20 September 2019, the Special Rapporteur held a meeting with a representative of the State party’s permanent mission in order to discuss possible avenues to ensure the authors’ effective access to the compensation that they had received and to achieve compliance with article 12 of the Convention. At the meeting, the Special Rapporteur recalled the status of implementation of the Committee’s Views, and expressed the Committee’s concern that the authors did not have access to the compensation that had</w:t>
            </w:r>
            <w:r w:rsidR="00823EE9">
              <w:t xml:space="preserve"> </w:t>
            </w:r>
            <w:r w:rsidR="00823EE9">
              <w:lastRenderedPageBreak/>
              <w:t>been transferred to their respective bank accounts. She also recalled the importance of</w:t>
            </w:r>
          </w:p>
        </w:tc>
      </w:tr>
      <w:tr w:rsidR="00BB4CF5" w:rsidTr="005728DD">
        <w:tc>
          <w:tcPr>
            <w:tcW w:w="7370" w:type="dxa"/>
            <w:gridSpan w:val="2"/>
            <w:tcBorders>
              <w:top w:val="nil"/>
              <w:left w:val="nil"/>
              <w:bottom w:val="single" w:sz="12" w:space="0" w:color="auto"/>
              <w:right w:val="nil"/>
            </w:tcBorders>
            <w:hideMark/>
          </w:tcPr>
          <w:p w:rsidR="00BB4CF5" w:rsidRDefault="00BB4CF5" w:rsidP="005728DD">
            <w:pPr>
              <w:pStyle w:val="SingleTxtG"/>
              <w:spacing w:before="40"/>
              <w:ind w:left="0" w:right="113"/>
              <w:jc w:val="left"/>
            </w:pPr>
            <w:r>
              <w:lastRenderedPageBreak/>
              <w:t xml:space="preserve">States parties revisiting their conceptualization of guardianship. In that connection, she underlined that it was important for the support required by persons with psychosocial disabilities in the decision-making process to be conceptualized as an accompaniment to and not a substitution for the capacity to decide. Lastly, she recalled that follow-up information had been due since August 2019. The representative of the State party indicated that she would share those concerns with the capital. </w:t>
            </w:r>
          </w:p>
          <w:p w:rsidR="00BB4CF5" w:rsidRDefault="00BB4CF5" w:rsidP="005728DD">
            <w:pPr>
              <w:pStyle w:val="SingleTxtG"/>
              <w:spacing w:before="40"/>
              <w:ind w:left="0" w:right="113"/>
              <w:jc w:val="left"/>
            </w:pPr>
            <w:r>
              <w:t>Follow-up ongoing. A formal reminder will be sent to the State party regarding the pending follow-up information due on 20 August 2019.</w:t>
            </w:r>
          </w:p>
        </w:tc>
      </w:tr>
    </w:tbl>
    <w:p w:rsidR="007E26B5" w:rsidRDefault="007E26B5"/>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F20E9E" w:rsidRPr="00F20E9E" w:rsidTr="00AE62D7">
        <w:trPr>
          <w:tblHeader/>
        </w:trPr>
        <w:tc>
          <w:tcPr>
            <w:tcW w:w="7370" w:type="dxa"/>
            <w:gridSpan w:val="2"/>
            <w:tcBorders>
              <w:top w:val="single" w:sz="4" w:space="0" w:color="auto"/>
              <w:bottom w:val="single" w:sz="12" w:space="0" w:color="auto"/>
            </w:tcBorders>
            <w:shd w:val="clear" w:color="auto" w:fill="auto"/>
            <w:vAlign w:val="bottom"/>
            <w:hideMark/>
          </w:tcPr>
          <w:p w:rsidR="00BB4CF5" w:rsidRPr="00F20E9E" w:rsidRDefault="00BB4CF5" w:rsidP="001A1791">
            <w:pPr>
              <w:suppressAutoHyphens w:val="0"/>
              <w:spacing w:before="80" w:after="80"/>
              <w:ind w:right="113"/>
              <w:rPr>
                <w:i/>
                <w:sz w:val="16"/>
              </w:rPr>
            </w:pPr>
            <w:r w:rsidRPr="00F20E9E">
              <w:rPr>
                <w:i/>
                <w:sz w:val="16"/>
              </w:rPr>
              <w:t>2.</w:t>
            </w:r>
            <w:r w:rsidRPr="00F20E9E">
              <w:rPr>
                <w:i/>
                <w:sz w:val="16"/>
              </w:rPr>
              <w:tab/>
              <w:t xml:space="preserve">F v. Austria </w:t>
            </w:r>
            <w:r w:rsidRPr="00F20E9E">
              <w:rPr>
                <w:iCs/>
                <w:sz w:val="16"/>
              </w:rPr>
              <w:t>(CRPD/C/14/D/21/2014)</w:t>
            </w:r>
          </w:p>
        </w:tc>
      </w:tr>
      <w:tr w:rsidR="00F20E9E" w:rsidRPr="00F20E9E" w:rsidTr="00AE62D7">
        <w:trPr>
          <w:trHeight w:hRule="exact" w:val="113"/>
          <w:tblHeader/>
        </w:trPr>
        <w:tc>
          <w:tcPr>
            <w:tcW w:w="3119" w:type="dxa"/>
            <w:tcBorders>
              <w:top w:val="single" w:sz="12" w:space="0" w:color="auto"/>
            </w:tcBorders>
            <w:shd w:val="clear" w:color="auto" w:fill="auto"/>
          </w:tcPr>
          <w:p w:rsidR="00BB4CF5" w:rsidRPr="00F20E9E" w:rsidRDefault="00BB4CF5" w:rsidP="001A1791">
            <w:pPr>
              <w:suppressAutoHyphens w:val="0"/>
              <w:spacing w:before="40" w:after="120"/>
              <w:ind w:right="113"/>
            </w:pPr>
          </w:p>
        </w:tc>
        <w:tc>
          <w:tcPr>
            <w:tcW w:w="4251" w:type="dxa"/>
            <w:tcBorders>
              <w:top w:val="single" w:sz="12" w:space="0" w:color="auto"/>
            </w:tcBorders>
            <w:shd w:val="clear" w:color="auto" w:fill="auto"/>
          </w:tcPr>
          <w:p w:rsidR="00BB4CF5" w:rsidRPr="00F20E9E" w:rsidRDefault="00BB4CF5" w:rsidP="001A1791">
            <w:pPr>
              <w:suppressAutoHyphens w:val="0"/>
              <w:spacing w:before="40" w:after="120"/>
              <w:ind w:right="113"/>
            </w:pPr>
          </w:p>
        </w:tc>
      </w:tr>
      <w:tr w:rsidR="00F20E9E" w:rsidRPr="00F20E9E" w:rsidTr="00F20E9E">
        <w:tc>
          <w:tcPr>
            <w:tcW w:w="3119" w:type="dxa"/>
            <w:shd w:val="clear" w:color="auto" w:fill="auto"/>
            <w:hideMark/>
          </w:tcPr>
          <w:p w:rsidR="00BB4CF5" w:rsidRPr="00F20E9E" w:rsidRDefault="00BB4CF5" w:rsidP="001A1791">
            <w:pPr>
              <w:suppressAutoHyphens w:val="0"/>
              <w:spacing w:before="40" w:after="120"/>
              <w:ind w:right="113"/>
            </w:pPr>
            <w:r w:rsidRPr="00F20E9E">
              <w:t>Views adopted:</w:t>
            </w:r>
          </w:p>
        </w:tc>
        <w:tc>
          <w:tcPr>
            <w:tcW w:w="4251" w:type="dxa"/>
            <w:shd w:val="clear" w:color="auto" w:fill="auto"/>
            <w:hideMark/>
          </w:tcPr>
          <w:p w:rsidR="00BB4CF5" w:rsidRPr="00F20E9E" w:rsidRDefault="00BB4CF5" w:rsidP="001A1791">
            <w:pPr>
              <w:suppressAutoHyphens w:val="0"/>
              <w:spacing w:before="40" w:after="120"/>
              <w:ind w:right="113"/>
            </w:pPr>
            <w:r w:rsidRPr="00F20E9E">
              <w:t>21 August 2015</w:t>
            </w:r>
          </w:p>
        </w:tc>
      </w:tr>
      <w:tr w:rsidR="00F20E9E" w:rsidRPr="00F20E9E" w:rsidTr="00F20E9E">
        <w:tc>
          <w:tcPr>
            <w:tcW w:w="3119" w:type="dxa"/>
            <w:shd w:val="clear" w:color="auto" w:fill="auto"/>
            <w:hideMark/>
          </w:tcPr>
          <w:p w:rsidR="00BB4CF5" w:rsidRPr="00F20E9E" w:rsidRDefault="00BB4CF5" w:rsidP="001A1791">
            <w:pPr>
              <w:suppressAutoHyphens w:val="0"/>
              <w:spacing w:before="40" w:after="120"/>
              <w:ind w:right="113"/>
            </w:pPr>
            <w:r w:rsidRPr="00F20E9E">
              <w:t>First reply from the State party:</w:t>
            </w:r>
          </w:p>
        </w:tc>
        <w:tc>
          <w:tcPr>
            <w:tcW w:w="4251" w:type="dxa"/>
            <w:shd w:val="clear" w:color="auto" w:fill="auto"/>
            <w:hideMark/>
          </w:tcPr>
          <w:p w:rsidR="00BB4CF5" w:rsidRPr="00F20E9E" w:rsidRDefault="00BB4CF5" w:rsidP="001A1791">
            <w:pPr>
              <w:suppressAutoHyphens w:val="0"/>
              <w:spacing w:before="40" w:after="120"/>
              <w:ind w:right="113"/>
            </w:pPr>
            <w:r w:rsidRPr="00F20E9E">
              <w:t>Due on 9 March 2016. Received on 24 February 2016 (see CRPD/C/16/3).</w:t>
            </w:r>
          </w:p>
        </w:tc>
      </w:tr>
      <w:tr w:rsidR="00F20E9E" w:rsidRPr="00F20E9E" w:rsidTr="00F20E9E">
        <w:tc>
          <w:tcPr>
            <w:tcW w:w="3119" w:type="dxa"/>
            <w:shd w:val="clear" w:color="auto" w:fill="auto"/>
            <w:hideMark/>
          </w:tcPr>
          <w:p w:rsidR="00BB4CF5" w:rsidRPr="00F20E9E" w:rsidRDefault="00BB4CF5" w:rsidP="001A1791">
            <w:pPr>
              <w:suppressAutoHyphens w:val="0"/>
              <w:spacing w:before="40" w:after="120"/>
              <w:ind w:right="113"/>
            </w:pPr>
            <w:r w:rsidRPr="00F20E9E">
              <w:t>Author’s comments (first set):</w:t>
            </w:r>
          </w:p>
        </w:tc>
        <w:tc>
          <w:tcPr>
            <w:tcW w:w="4251" w:type="dxa"/>
            <w:shd w:val="clear" w:color="auto" w:fill="auto"/>
            <w:hideMark/>
          </w:tcPr>
          <w:p w:rsidR="00BB4CF5" w:rsidRPr="00F20E9E" w:rsidRDefault="00BB4CF5" w:rsidP="001A1791">
            <w:pPr>
              <w:suppressAutoHyphens w:val="0"/>
              <w:spacing w:before="40" w:after="120"/>
              <w:ind w:right="113"/>
            </w:pPr>
            <w:r w:rsidRPr="00F20E9E">
              <w:t>Received on 22 June 2016 (see CRPD/C/16/3).</w:t>
            </w:r>
          </w:p>
        </w:tc>
      </w:tr>
      <w:tr w:rsidR="00F20E9E" w:rsidRPr="00F20E9E" w:rsidTr="00F20E9E">
        <w:tc>
          <w:tcPr>
            <w:tcW w:w="3119" w:type="dxa"/>
            <w:shd w:val="clear" w:color="auto" w:fill="auto"/>
            <w:hideMark/>
          </w:tcPr>
          <w:p w:rsidR="00BB4CF5" w:rsidRPr="00F20E9E" w:rsidRDefault="00BB4CF5" w:rsidP="001A1791">
            <w:pPr>
              <w:suppressAutoHyphens w:val="0"/>
              <w:spacing w:before="40" w:after="120"/>
              <w:ind w:right="113"/>
            </w:pPr>
            <w:r w:rsidRPr="00F20E9E">
              <w:t>Action taken:</w:t>
            </w:r>
          </w:p>
        </w:tc>
        <w:tc>
          <w:tcPr>
            <w:tcW w:w="4251" w:type="dxa"/>
            <w:shd w:val="clear" w:color="auto" w:fill="auto"/>
            <w:hideMark/>
          </w:tcPr>
          <w:p w:rsidR="00BB4CF5" w:rsidRPr="00F20E9E" w:rsidRDefault="00BB4CF5" w:rsidP="001A1791">
            <w:pPr>
              <w:suppressAutoHyphens w:val="0"/>
              <w:spacing w:before="40" w:after="120"/>
              <w:ind w:right="113"/>
            </w:pPr>
            <w:r w:rsidRPr="00F20E9E">
              <w:t>Follow-up letter sent by the Special Rapporteur to the State party on 5 December 2016 (see CRPD/C/17/3).</w:t>
            </w:r>
          </w:p>
        </w:tc>
      </w:tr>
      <w:tr w:rsidR="00F20E9E" w:rsidRPr="00F20E9E" w:rsidTr="00F20E9E">
        <w:tc>
          <w:tcPr>
            <w:tcW w:w="3119" w:type="dxa"/>
            <w:shd w:val="clear" w:color="auto" w:fill="auto"/>
            <w:hideMark/>
          </w:tcPr>
          <w:p w:rsidR="00BB4CF5" w:rsidRPr="00F20E9E" w:rsidRDefault="00BB4CF5" w:rsidP="001A1791">
            <w:pPr>
              <w:suppressAutoHyphens w:val="0"/>
              <w:spacing w:before="40" w:after="120"/>
              <w:ind w:right="113"/>
            </w:pPr>
            <w:r w:rsidRPr="00F20E9E">
              <w:t>Second reply from the State party:</w:t>
            </w:r>
          </w:p>
        </w:tc>
        <w:tc>
          <w:tcPr>
            <w:tcW w:w="4251" w:type="dxa"/>
            <w:shd w:val="clear" w:color="auto" w:fill="auto"/>
            <w:hideMark/>
          </w:tcPr>
          <w:p w:rsidR="00BB4CF5" w:rsidRPr="00F20E9E" w:rsidRDefault="00BB4CF5" w:rsidP="001A1791">
            <w:pPr>
              <w:suppressAutoHyphens w:val="0"/>
              <w:spacing w:before="40" w:after="120"/>
              <w:ind w:right="113"/>
            </w:pPr>
            <w:r w:rsidRPr="00F20E9E">
              <w:t>Received on 24 January 2017 (see CRPD/C/17/3).</w:t>
            </w:r>
          </w:p>
        </w:tc>
      </w:tr>
      <w:tr w:rsidR="00F20E9E" w:rsidRPr="00F20E9E" w:rsidTr="00F20E9E">
        <w:tc>
          <w:tcPr>
            <w:tcW w:w="3119" w:type="dxa"/>
            <w:shd w:val="clear" w:color="auto" w:fill="auto"/>
            <w:hideMark/>
          </w:tcPr>
          <w:p w:rsidR="00BB4CF5" w:rsidRPr="00F20E9E" w:rsidRDefault="00BB4CF5" w:rsidP="001A1791">
            <w:pPr>
              <w:suppressAutoHyphens w:val="0"/>
              <w:spacing w:before="40" w:after="120"/>
              <w:ind w:right="113"/>
            </w:pPr>
            <w:r w:rsidRPr="00F20E9E">
              <w:t>Action taken:</w:t>
            </w:r>
          </w:p>
        </w:tc>
        <w:tc>
          <w:tcPr>
            <w:tcW w:w="4251" w:type="dxa"/>
            <w:shd w:val="clear" w:color="auto" w:fill="auto"/>
            <w:hideMark/>
          </w:tcPr>
          <w:p w:rsidR="00BB4CF5" w:rsidRPr="00F20E9E" w:rsidRDefault="00BB4CF5" w:rsidP="001A1791">
            <w:pPr>
              <w:suppressAutoHyphens w:val="0"/>
              <w:spacing w:before="40" w:after="120"/>
              <w:ind w:right="113"/>
            </w:pPr>
            <w:r w:rsidRPr="00F20E9E">
              <w:t>State party’s follow-up observations transmitted to the author for comments with a deadline for response of 13 April 2017.</w:t>
            </w:r>
          </w:p>
        </w:tc>
      </w:tr>
      <w:tr w:rsidR="00F20E9E" w:rsidRPr="00F20E9E" w:rsidTr="00F20E9E">
        <w:tc>
          <w:tcPr>
            <w:tcW w:w="3119" w:type="dxa"/>
            <w:shd w:val="clear" w:color="auto" w:fill="auto"/>
            <w:hideMark/>
          </w:tcPr>
          <w:p w:rsidR="00BB4CF5" w:rsidRPr="00F20E9E" w:rsidRDefault="00BB4CF5" w:rsidP="001A1791">
            <w:pPr>
              <w:suppressAutoHyphens w:val="0"/>
              <w:spacing w:before="40" w:after="120"/>
              <w:ind w:right="113"/>
            </w:pPr>
            <w:r w:rsidRPr="00F20E9E">
              <w:t>Author’s comments (second set):</w:t>
            </w:r>
          </w:p>
        </w:tc>
        <w:tc>
          <w:tcPr>
            <w:tcW w:w="4251" w:type="dxa"/>
            <w:shd w:val="clear" w:color="auto" w:fill="auto"/>
            <w:hideMark/>
          </w:tcPr>
          <w:p w:rsidR="00BB4CF5" w:rsidRPr="00F20E9E" w:rsidRDefault="00BB4CF5" w:rsidP="001A1791">
            <w:pPr>
              <w:suppressAutoHyphens w:val="0"/>
              <w:spacing w:before="40" w:after="120"/>
              <w:ind w:right="113"/>
            </w:pPr>
            <w:r w:rsidRPr="00F20E9E">
              <w:t>Received on 27 January 2017 (see CRPD/C/17/3).</w:t>
            </w:r>
          </w:p>
        </w:tc>
      </w:tr>
      <w:tr w:rsidR="00F20E9E" w:rsidRPr="00F20E9E" w:rsidTr="00F20E9E">
        <w:tc>
          <w:tcPr>
            <w:tcW w:w="3119" w:type="dxa"/>
            <w:shd w:val="clear" w:color="auto" w:fill="auto"/>
            <w:hideMark/>
          </w:tcPr>
          <w:p w:rsidR="00BB4CF5" w:rsidRPr="00F20E9E" w:rsidRDefault="00BB4CF5" w:rsidP="001A1791">
            <w:pPr>
              <w:suppressAutoHyphens w:val="0"/>
              <w:spacing w:before="40" w:after="120"/>
              <w:ind w:right="113"/>
            </w:pPr>
            <w:r w:rsidRPr="00F20E9E">
              <w:t>Decision adopted at the seventeenth session:</w:t>
            </w:r>
          </w:p>
        </w:tc>
        <w:tc>
          <w:tcPr>
            <w:tcW w:w="4251" w:type="dxa"/>
            <w:shd w:val="clear" w:color="auto" w:fill="auto"/>
            <w:hideMark/>
          </w:tcPr>
          <w:p w:rsidR="00BB4CF5" w:rsidRPr="00F20E9E" w:rsidRDefault="00BB4CF5" w:rsidP="001A1791">
            <w:pPr>
              <w:suppressAutoHyphens w:val="0"/>
              <w:spacing w:before="40" w:after="120"/>
              <w:ind w:right="113"/>
            </w:pPr>
            <w:r w:rsidRPr="00F20E9E">
              <w:t>“B” assessment: follow-up ongoing. Follow-up letter sent by the Special Rapporteur on 21 November 2017, with a deadline for response of 23 January 2018.</w:t>
            </w:r>
          </w:p>
        </w:tc>
      </w:tr>
      <w:tr w:rsidR="00F20E9E" w:rsidRPr="00F20E9E" w:rsidTr="00F20E9E">
        <w:tc>
          <w:tcPr>
            <w:tcW w:w="3119" w:type="dxa"/>
            <w:shd w:val="clear" w:color="auto" w:fill="auto"/>
            <w:hideMark/>
          </w:tcPr>
          <w:p w:rsidR="00BB4CF5" w:rsidRPr="00F20E9E" w:rsidRDefault="00BB4CF5" w:rsidP="001A1791">
            <w:pPr>
              <w:suppressAutoHyphens w:val="0"/>
              <w:spacing w:before="40" w:after="120"/>
              <w:ind w:right="113"/>
            </w:pPr>
            <w:r w:rsidRPr="00F20E9E">
              <w:t>Third reply from the State party:</w:t>
            </w:r>
          </w:p>
        </w:tc>
        <w:tc>
          <w:tcPr>
            <w:tcW w:w="4251" w:type="dxa"/>
            <w:shd w:val="clear" w:color="auto" w:fill="auto"/>
            <w:hideMark/>
          </w:tcPr>
          <w:p w:rsidR="00BB4CF5" w:rsidRPr="00F20E9E" w:rsidRDefault="00BB4CF5" w:rsidP="001A1791">
            <w:pPr>
              <w:suppressAutoHyphens w:val="0"/>
              <w:spacing w:before="40" w:after="120"/>
              <w:ind w:right="113"/>
            </w:pPr>
            <w:r w:rsidRPr="00F20E9E">
              <w:t>Received on 20 January 2018 (see CRPD/C/21/3).</w:t>
            </w:r>
          </w:p>
        </w:tc>
      </w:tr>
      <w:tr w:rsidR="00F20E9E" w:rsidRPr="00F20E9E" w:rsidTr="00F20E9E">
        <w:tc>
          <w:tcPr>
            <w:tcW w:w="3119" w:type="dxa"/>
            <w:shd w:val="clear" w:color="auto" w:fill="auto"/>
            <w:hideMark/>
          </w:tcPr>
          <w:p w:rsidR="00BB4CF5" w:rsidRPr="00F20E9E" w:rsidRDefault="00BB4CF5" w:rsidP="001A1791">
            <w:pPr>
              <w:suppressAutoHyphens w:val="0"/>
              <w:spacing w:before="40" w:after="120"/>
              <w:ind w:right="113"/>
            </w:pPr>
            <w:r w:rsidRPr="00F20E9E">
              <w:t>Author’s comments (third set):</w:t>
            </w:r>
          </w:p>
        </w:tc>
        <w:tc>
          <w:tcPr>
            <w:tcW w:w="4251" w:type="dxa"/>
            <w:shd w:val="clear" w:color="auto" w:fill="auto"/>
            <w:hideMark/>
          </w:tcPr>
          <w:p w:rsidR="00BB4CF5" w:rsidRPr="00F20E9E" w:rsidRDefault="00BB4CF5" w:rsidP="001A1791">
            <w:pPr>
              <w:suppressAutoHyphens w:val="0"/>
              <w:spacing w:before="40" w:after="120"/>
              <w:ind w:right="113"/>
            </w:pPr>
            <w:r w:rsidRPr="00F20E9E">
              <w:t>Received on 19 June 2019.</w:t>
            </w:r>
          </w:p>
        </w:tc>
      </w:tr>
      <w:tr w:rsidR="00F20E9E" w:rsidRPr="00F20E9E" w:rsidTr="00F20E9E">
        <w:tc>
          <w:tcPr>
            <w:tcW w:w="7370" w:type="dxa"/>
            <w:gridSpan w:val="2"/>
            <w:shd w:val="clear" w:color="auto" w:fill="auto"/>
            <w:hideMark/>
          </w:tcPr>
          <w:p w:rsidR="00BB4CF5" w:rsidRPr="00F20E9E" w:rsidRDefault="00BB4CF5" w:rsidP="001A1791">
            <w:pPr>
              <w:suppressAutoHyphens w:val="0"/>
              <w:spacing w:before="40" w:after="120"/>
              <w:ind w:right="113"/>
            </w:pPr>
            <w:r w:rsidRPr="00F20E9E">
              <w:t>The author confirmed that the decree on tramways had been adopted and requested that the follow-up procedure be discontinued.</w:t>
            </w:r>
          </w:p>
        </w:tc>
      </w:tr>
      <w:tr w:rsidR="00F20E9E" w:rsidRPr="00F20E9E" w:rsidTr="00F20E9E">
        <w:tc>
          <w:tcPr>
            <w:tcW w:w="7370" w:type="dxa"/>
            <w:gridSpan w:val="2"/>
            <w:shd w:val="clear" w:color="auto" w:fill="auto"/>
            <w:hideMark/>
          </w:tcPr>
          <w:p w:rsidR="00BB4CF5" w:rsidRPr="00F20E9E" w:rsidRDefault="00BB4CF5" w:rsidP="001A1791">
            <w:pPr>
              <w:suppressAutoHyphens w:val="0"/>
              <w:spacing w:before="40" w:after="120"/>
              <w:ind w:right="113"/>
              <w:rPr>
                <w:b/>
                <w:bCs/>
              </w:rPr>
            </w:pPr>
            <w:r w:rsidRPr="00F20E9E">
              <w:rPr>
                <w:b/>
                <w:bCs/>
              </w:rPr>
              <w:t>Decision</w:t>
            </w:r>
          </w:p>
          <w:p w:rsidR="00BB4CF5" w:rsidRPr="00F20E9E" w:rsidRDefault="00BB4CF5" w:rsidP="001A1791">
            <w:pPr>
              <w:suppressAutoHyphens w:val="0"/>
              <w:spacing w:before="40" w:after="120"/>
              <w:ind w:right="113"/>
            </w:pPr>
            <w:r w:rsidRPr="00F20E9E">
              <w:t>The Committee regrets that the individual recommendations were not implemented, in particular with regard to the payment of compensation to the author. At the same time, the Committee welcomes the adoption of the amended decree on tramways, including a provision on barrier-free accessibility. In view thereof and taking into account the author’s request for the discontinuance of the follow-up procedure, the Committee decides to discontinue the follow-up procedure with “C” assessment for the individual remedy, and “A” assessment for the general remedy.</w:t>
            </w:r>
          </w:p>
        </w:tc>
      </w:tr>
    </w:tbl>
    <w:p w:rsidR="00BB4CF5" w:rsidRDefault="00BB4CF5" w:rsidP="00BB4CF5">
      <w:pPr>
        <w:pStyle w:val="SingleTxtG"/>
        <w:spacing w:before="240" w:after="0"/>
        <w:jc w:val="center"/>
      </w:pPr>
      <w:r>
        <w:rPr>
          <w:u w:val="single"/>
        </w:rPr>
        <w:tab/>
      </w:r>
      <w:r>
        <w:rPr>
          <w:u w:val="single"/>
        </w:rPr>
        <w:tab/>
      </w:r>
      <w:r>
        <w:rPr>
          <w:u w:val="single"/>
        </w:rPr>
        <w:tab/>
      </w:r>
    </w:p>
    <w:sectPr w:rsidR="00BB4CF5"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7189" w:rsidRPr="00317DC1" w:rsidRDefault="00F27189" w:rsidP="00317DC1">
      <w:pPr>
        <w:pStyle w:val="Footer"/>
      </w:pPr>
    </w:p>
  </w:endnote>
  <w:endnote w:type="continuationSeparator" w:id="0">
    <w:p w:rsidR="00F27189" w:rsidRPr="00317DC1" w:rsidRDefault="00F2718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142" w:rsidRDefault="00F11142" w:rsidP="00F11142">
    <w:pPr>
      <w:pStyle w:val="Footer"/>
      <w:tabs>
        <w:tab w:val="right" w:pos="9638"/>
      </w:tabs>
    </w:pPr>
    <w:r w:rsidRPr="00F11142">
      <w:rPr>
        <w:b/>
        <w:bCs/>
        <w:sz w:val="18"/>
      </w:rPr>
      <w:fldChar w:fldCharType="begin"/>
    </w:r>
    <w:r w:rsidRPr="00F11142">
      <w:rPr>
        <w:b/>
        <w:bCs/>
        <w:sz w:val="18"/>
      </w:rPr>
      <w:instrText xml:space="preserve"> PAGE  \* MERGEFORMAT </w:instrText>
    </w:r>
    <w:r w:rsidRPr="00F11142">
      <w:rPr>
        <w:b/>
        <w:bCs/>
        <w:sz w:val="18"/>
      </w:rPr>
      <w:fldChar w:fldCharType="separate"/>
    </w:r>
    <w:r w:rsidR="00130373">
      <w:rPr>
        <w:b/>
        <w:bCs/>
        <w:noProof/>
        <w:sz w:val="18"/>
      </w:rPr>
      <w:t>2</w:t>
    </w:r>
    <w:r w:rsidRPr="00F1114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142" w:rsidRDefault="00F11142" w:rsidP="00F11142">
    <w:pPr>
      <w:pStyle w:val="Footer"/>
      <w:tabs>
        <w:tab w:val="right" w:pos="9638"/>
      </w:tabs>
    </w:pPr>
    <w:r>
      <w:tab/>
    </w:r>
    <w:r w:rsidRPr="00F11142">
      <w:rPr>
        <w:b/>
        <w:bCs/>
        <w:sz w:val="18"/>
      </w:rPr>
      <w:fldChar w:fldCharType="begin"/>
    </w:r>
    <w:r w:rsidRPr="00F11142">
      <w:rPr>
        <w:b/>
        <w:bCs/>
        <w:sz w:val="18"/>
      </w:rPr>
      <w:instrText xml:space="preserve"> PAGE  \* MERGEFORMAT </w:instrText>
    </w:r>
    <w:r w:rsidRPr="00F11142">
      <w:rPr>
        <w:b/>
        <w:bCs/>
        <w:sz w:val="18"/>
      </w:rPr>
      <w:fldChar w:fldCharType="separate"/>
    </w:r>
    <w:r w:rsidR="00130373">
      <w:rPr>
        <w:b/>
        <w:bCs/>
        <w:noProof/>
        <w:sz w:val="18"/>
      </w:rPr>
      <w:t>3</w:t>
    </w:r>
    <w:r w:rsidRPr="00F111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542" w:rsidRDefault="00B83542" w:rsidP="00B83542">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83542" w:rsidRDefault="00B83542" w:rsidP="00B83542">
    <w:pPr>
      <w:pStyle w:val="Footer"/>
      <w:ind w:right="1134"/>
      <w:rPr>
        <w:sz w:val="20"/>
      </w:rPr>
    </w:pPr>
    <w:r>
      <w:rPr>
        <w:sz w:val="20"/>
      </w:rPr>
      <w:t>GE.19-19344(E)</w:t>
    </w:r>
  </w:p>
  <w:p w:rsidR="00B83542" w:rsidRPr="00B83542" w:rsidRDefault="00B83542" w:rsidP="00B8354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2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7189" w:rsidRPr="00317DC1" w:rsidRDefault="00F27189" w:rsidP="00317DC1">
      <w:pPr>
        <w:tabs>
          <w:tab w:val="right" w:pos="2155"/>
        </w:tabs>
        <w:spacing w:after="80" w:line="240" w:lineRule="auto"/>
        <w:ind w:left="680"/>
      </w:pPr>
      <w:r>
        <w:rPr>
          <w:u w:val="single"/>
        </w:rPr>
        <w:tab/>
      </w:r>
    </w:p>
  </w:footnote>
  <w:footnote w:type="continuationSeparator" w:id="0">
    <w:p w:rsidR="00F27189" w:rsidRPr="00317DC1" w:rsidRDefault="00F27189" w:rsidP="00317DC1">
      <w:pPr>
        <w:tabs>
          <w:tab w:val="right" w:pos="2155"/>
        </w:tabs>
        <w:spacing w:after="80" w:line="240" w:lineRule="auto"/>
        <w:ind w:left="680"/>
      </w:pPr>
      <w:r>
        <w:rPr>
          <w:u w:val="single"/>
        </w:rPr>
        <w:tab/>
      </w:r>
    </w:p>
  </w:footnote>
  <w:footnote w:id="1">
    <w:p w:rsidR="00BB4CF5" w:rsidRDefault="00BB4CF5" w:rsidP="00BB4CF5">
      <w:pPr>
        <w:pStyle w:val="FootnoteText"/>
      </w:pPr>
      <w:r w:rsidRPr="009A4A1A">
        <w:rPr>
          <w:rStyle w:val="FootnoteReference"/>
          <w:vertAlign w:val="baseline"/>
        </w:rPr>
        <w:tab/>
      </w:r>
      <w:r w:rsidRPr="009A4A1A">
        <w:rPr>
          <w:rStyle w:val="FootnoteReference"/>
          <w:sz w:val="20"/>
          <w:vertAlign w:val="baseline"/>
        </w:rPr>
        <w:t>*</w:t>
      </w:r>
      <w:r w:rsidRPr="009A4A1A">
        <w:rPr>
          <w:rStyle w:val="FootnoteReference"/>
          <w:sz w:val="20"/>
          <w:vertAlign w:val="baseline"/>
        </w:rPr>
        <w:tab/>
      </w:r>
      <w:r>
        <w:t>Adopted by the Committee at its twenty-second session (26 August–20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142" w:rsidRDefault="00F11142" w:rsidP="00F11142">
    <w:pPr>
      <w:pStyle w:val="Header"/>
    </w:pPr>
    <w:r>
      <w:t>CRPD/C/22/4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142" w:rsidRDefault="00F11142" w:rsidP="00F11142">
    <w:pPr>
      <w:pStyle w:val="Header"/>
      <w:jc w:val="right"/>
    </w:pPr>
    <w:r>
      <w:t>CRPD/C/22/4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189"/>
    <w:rsid w:val="00046E92"/>
    <w:rsid w:val="000F46AB"/>
    <w:rsid w:val="00130373"/>
    <w:rsid w:val="001570EF"/>
    <w:rsid w:val="001A1791"/>
    <w:rsid w:val="00221D22"/>
    <w:rsid w:val="00247E2C"/>
    <w:rsid w:val="002D6C53"/>
    <w:rsid w:val="002F238A"/>
    <w:rsid w:val="002F5595"/>
    <w:rsid w:val="00317DC1"/>
    <w:rsid w:val="00334F6A"/>
    <w:rsid w:val="00342AC8"/>
    <w:rsid w:val="003B4550"/>
    <w:rsid w:val="00461253"/>
    <w:rsid w:val="004A1DC4"/>
    <w:rsid w:val="00502AC4"/>
    <w:rsid w:val="005042C2"/>
    <w:rsid w:val="005728DD"/>
    <w:rsid w:val="005E08DF"/>
    <w:rsid w:val="005E1361"/>
    <w:rsid w:val="00642C3D"/>
    <w:rsid w:val="00671529"/>
    <w:rsid w:val="006B6980"/>
    <w:rsid w:val="006E4390"/>
    <w:rsid w:val="00705EAF"/>
    <w:rsid w:val="007268F9"/>
    <w:rsid w:val="007C52B0"/>
    <w:rsid w:val="007E26B5"/>
    <w:rsid w:val="00823EE9"/>
    <w:rsid w:val="0086105F"/>
    <w:rsid w:val="00917E4C"/>
    <w:rsid w:val="009411B4"/>
    <w:rsid w:val="009A4A1A"/>
    <w:rsid w:val="009C7535"/>
    <w:rsid w:val="009D0139"/>
    <w:rsid w:val="009F5CDC"/>
    <w:rsid w:val="00A775CF"/>
    <w:rsid w:val="00AE62D7"/>
    <w:rsid w:val="00B06045"/>
    <w:rsid w:val="00B5152B"/>
    <w:rsid w:val="00B83542"/>
    <w:rsid w:val="00BB4CF5"/>
    <w:rsid w:val="00C35A27"/>
    <w:rsid w:val="00C9007B"/>
    <w:rsid w:val="00CC3AB5"/>
    <w:rsid w:val="00E02C2B"/>
    <w:rsid w:val="00ED6C48"/>
    <w:rsid w:val="00ED72D2"/>
    <w:rsid w:val="00F11142"/>
    <w:rsid w:val="00F20E9E"/>
    <w:rsid w:val="00F27189"/>
    <w:rsid w:val="00F65F5D"/>
    <w:rsid w:val="00F86A3A"/>
    <w:rsid w:val="00FC1D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2BABF747-CECD-4A1A-857F-948DDB21B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604651171">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F6685-38C7-4FD5-9A40-E788C40AA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Pages>
  <Words>1082</Words>
  <Characters>5981</Characters>
  <Application>Microsoft Office Word</Application>
  <DocSecurity>0</DocSecurity>
  <Lines>157</Lines>
  <Paragraphs>87</Paragraphs>
  <ScaleCrop>false</ScaleCrop>
  <HeadingPairs>
    <vt:vector size="2" baseType="variant">
      <vt:variant>
        <vt:lpstr>Title</vt:lpstr>
      </vt:variant>
      <vt:variant>
        <vt:i4>1</vt:i4>
      </vt:variant>
    </vt:vector>
  </HeadingPairs>
  <TitlesOfParts>
    <vt:vector size="1" baseType="lpstr">
      <vt:lpstr>CRPD/C/22/4</vt:lpstr>
    </vt:vector>
  </TitlesOfParts>
  <Company>DCM</Company>
  <LinksUpToDate>false</LinksUpToDate>
  <CharactersWithSpaces>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CRPD/C/22/4</dc:title>
  <dc:subject>1919344</dc:subject>
  <dc:creator>cg</dc:creator>
  <cp:keywords/>
  <dc:description/>
  <cp:lastModifiedBy>Generic Pdf eng</cp:lastModifiedBy>
  <cp:revision>2</cp:revision>
  <dcterms:created xsi:type="dcterms:W3CDTF">2019-11-08T15:09:00Z</dcterms:created>
  <dcterms:modified xsi:type="dcterms:W3CDTF">2019-11-08T15:09:00Z</dcterms:modified>
</cp:coreProperties>
</file>