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0B1F2E3E" w14:textId="77777777" w:rsidTr="00213632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1F95FFE9" w14:textId="77777777" w:rsidR="002D5AAC" w:rsidRDefault="002D5AAC" w:rsidP="001959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588754FA" w14:textId="77777777"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5AD3D1A9" w14:textId="068163E7" w:rsidR="002D5AAC" w:rsidRDefault="0019595F" w:rsidP="0019595F">
            <w:pPr>
              <w:jc w:val="right"/>
            </w:pPr>
            <w:r w:rsidRPr="0019595F">
              <w:rPr>
                <w:sz w:val="40"/>
              </w:rPr>
              <w:t>CERD</w:t>
            </w:r>
            <w:r>
              <w:t>/C/BGR/Q/23-25</w:t>
            </w:r>
          </w:p>
        </w:tc>
      </w:tr>
      <w:tr w:rsidR="002D5AAC" w14:paraId="27877D35" w14:textId="77777777" w:rsidTr="00213632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463DBEF0" w14:textId="77777777"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56FDC158" wp14:editId="5FEF32CB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9D2E2CA" w14:textId="77777777"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55BDC3E6" w14:textId="77777777" w:rsidR="002D5AAC" w:rsidRDefault="0019595F" w:rsidP="00213632">
            <w:pPr>
              <w:spacing w:before="240"/>
            </w:pPr>
            <w:r>
              <w:t>Distr. general</w:t>
            </w:r>
          </w:p>
          <w:p w14:paraId="103022B3" w14:textId="77777777" w:rsidR="0019595F" w:rsidRDefault="0019595F" w:rsidP="0019595F">
            <w:pPr>
              <w:spacing w:line="240" w:lineRule="exact"/>
            </w:pPr>
            <w:r>
              <w:t>6 de octubre de 2023</w:t>
            </w:r>
          </w:p>
          <w:p w14:paraId="5FA65F66" w14:textId="77777777" w:rsidR="0019595F" w:rsidRDefault="0019595F" w:rsidP="0019595F">
            <w:pPr>
              <w:spacing w:line="240" w:lineRule="exact"/>
            </w:pPr>
            <w:r>
              <w:t>Español</w:t>
            </w:r>
          </w:p>
          <w:p w14:paraId="4CF8D5C4" w14:textId="77777777" w:rsidR="0019595F" w:rsidRDefault="0019595F" w:rsidP="0019595F">
            <w:pPr>
              <w:spacing w:line="240" w:lineRule="exact"/>
            </w:pPr>
            <w:r>
              <w:t>Original: inglés</w:t>
            </w:r>
          </w:p>
          <w:p w14:paraId="3A5344E9" w14:textId="137CD1D6" w:rsidR="0019595F" w:rsidRDefault="0019595F" w:rsidP="0019595F">
            <w:pPr>
              <w:spacing w:line="240" w:lineRule="exact"/>
            </w:pPr>
            <w:r>
              <w:t>Español, francés e inglés únicamente</w:t>
            </w:r>
          </w:p>
        </w:tc>
      </w:tr>
    </w:tbl>
    <w:p w14:paraId="3FD265F9" w14:textId="77777777" w:rsidR="0019595F" w:rsidRPr="0019595F" w:rsidRDefault="0019595F" w:rsidP="0019595F">
      <w:pPr>
        <w:spacing w:before="120" w:line="240" w:lineRule="auto"/>
        <w:rPr>
          <w:b/>
          <w:sz w:val="24"/>
          <w:szCs w:val="24"/>
        </w:rPr>
      </w:pPr>
      <w:r w:rsidRPr="0019595F">
        <w:rPr>
          <w:b/>
          <w:bCs/>
          <w:sz w:val="24"/>
          <w:szCs w:val="24"/>
        </w:rPr>
        <w:t>Comité para la Eliminación de la Discriminación Racial</w:t>
      </w:r>
    </w:p>
    <w:p w14:paraId="059EE62A" w14:textId="77777777" w:rsidR="0019595F" w:rsidRPr="0019595F" w:rsidRDefault="0019595F" w:rsidP="0019595F">
      <w:pPr>
        <w:spacing w:line="240" w:lineRule="auto"/>
        <w:rPr>
          <w:b/>
          <w:bCs/>
        </w:rPr>
      </w:pPr>
      <w:r w:rsidRPr="0019595F">
        <w:rPr>
          <w:b/>
          <w:bCs/>
        </w:rPr>
        <w:t>111º período de sesiones</w:t>
      </w:r>
    </w:p>
    <w:p w14:paraId="3BF09188" w14:textId="77777777" w:rsidR="0019595F" w:rsidRPr="0019595F" w:rsidRDefault="0019595F" w:rsidP="0019595F">
      <w:pPr>
        <w:spacing w:line="240" w:lineRule="auto"/>
      </w:pPr>
      <w:r w:rsidRPr="0019595F">
        <w:t>20 de noviembre a 8 de diciembre de 2023</w:t>
      </w:r>
    </w:p>
    <w:p w14:paraId="170BD1B2" w14:textId="77777777" w:rsidR="0019595F" w:rsidRPr="0019595F" w:rsidRDefault="0019595F" w:rsidP="0019595F">
      <w:pPr>
        <w:spacing w:line="240" w:lineRule="auto"/>
      </w:pPr>
      <w:r w:rsidRPr="0019595F">
        <w:t>Tema 4 del programa provisional</w:t>
      </w:r>
    </w:p>
    <w:p w14:paraId="006DE8E9" w14:textId="77777777" w:rsidR="0019595F" w:rsidRDefault="0019595F" w:rsidP="0019595F">
      <w:pPr>
        <w:spacing w:line="240" w:lineRule="auto"/>
        <w:rPr>
          <w:b/>
          <w:bCs/>
        </w:rPr>
      </w:pPr>
      <w:r w:rsidRPr="0019595F">
        <w:rPr>
          <w:b/>
          <w:bCs/>
        </w:rPr>
        <w:t xml:space="preserve">Examen de los informes, las observaciones y la información presentados </w:t>
      </w:r>
    </w:p>
    <w:p w14:paraId="3B78517C" w14:textId="27298F5F" w:rsidR="0019595F" w:rsidRPr="0019595F" w:rsidRDefault="0019595F" w:rsidP="0019595F">
      <w:pPr>
        <w:spacing w:line="240" w:lineRule="auto"/>
        <w:rPr>
          <w:b/>
          <w:bCs/>
        </w:rPr>
      </w:pPr>
      <w:r w:rsidRPr="0019595F">
        <w:rPr>
          <w:b/>
          <w:bCs/>
        </w:rPr>
        <w:t>por los Estados partes en virtud del artículo 9 de la Convención</w:t>
      </w:r>
    </w:p>
    <w:p w14:paraId="11DAE841" w14:textId="138CEB5E" w:rsidR="0019595F" w:rsidRPr="0019595F" w:rsidRDefault="0019595F" w:rsidP="0019595F">
      <w:pPr>
        <w:pStyle w:val="HChG"/>
      </w:pPr>
      <w:r>
        <w:tab/>
      </w:r>
      <w:r w:rsidRPr="0019595F">
        <w:tab/>
        <w:t>Lista de temas relativa a los informes periódicos 23º a 25º combinados de Bulgaria</w:t>
      </w:r>
    </w:p>
    <w:p w14:paraId="160CAFCD" w14:textId="06709570" w:rsidR="0019595F" w:rsidRPr="0019595F" w:rsidRDefault="0019595F" w:rsidP="0019595F">
      <w:pPr>
        <w:pStyle w:val="H1G"/>
      </w:pPr>
      <w:r>
        <w:tab/>
      </w:r>
      <w:r w:rsidRPr="0019595F">
        <w:tab/>
        <w:t>Nota del Relator para el país</w:t>
      </w:r>
      <w:r w:rsidRPr="0019595F">
        <w:rPr>
          <w:rStyle w:val="Refdenotaalpie"/>
          <w:b w:val="0"/>
          <w:bCs/>
          <w:sz w:val="20"/>
          <w:vertAlign w:val="baseline"/>
        </w:rPr>
        <w:footnoteReference w:customMarkFollows="1" w:id="1"/>
        <w:t>*</w:t>
      </w:r>
    </w:p>
    <w:p w14:paraId="7FC1090F" w14:textId="7C5B2214" w:rsidR="0019595F" w:rsidRPr="0019595F" w:rsidRDefault="0019595F" w:rsidP="0019595F">
      <w:pPr>
        <w:pStyle w:val="SingleTxtG"/>
      </w:pPr>
      <w:r w:rsidRPr="0019595F">
        <w:t>1.</w:t>
      </w:r>
      <w:r w:rsidRPr="0019595F">
        <w:tab/>
        <w:t>El Comité para la Eliminación de la Discriminación Racial decidió en su 76º período de sesiones</w:t>
      </w:r>
      <w:r w:rsidRPr="0019595F">
        <w:rPr>
          <w:rStyle w:val="Refdenotaalpie"/>
        </w:rPr>
        <w:footnoteReference w:id="2"/>
      </w:r>
      <w:r w:rsidRPr="0019595F">
        <w:t xml:space="preserve"> que el Relator para el país enviaría al Estado parte en cuestión una breve lista de temas, con miras a orientar y centrar el diálogo entre la delegación del Estado parte y el Comité durante el examen del informe del Estado parte. El presente documento contiene una lista de temas con esa finalidad. La lista no es exhaustiva; durante el diálogo con el Estado parte podrán abordarse otros asuntos. No se requieren respuestas por escrito.</w:t>
      </w:r>
    </w:p>
    <w:p w14:paraId="2B85907E" w14:textId="4F37605C" w:rsidR="0019595F" w:rsidRPr="0019595F" w:rsidRDefault="0019595F" w:rsidP="0019595F">
      <w:pPr>
        <w:pStyle w:val="H23G"/>
        <w:rPr>
          <w:lang w:val="en-GB"/>
        </w:rPr>
      </w:pPr>
      <w:r>
        <w:tab/>
      </w:r>
      <w:r w:rsidRPr="0019595F">
        <w:tab/>
        <w:t>Estadísticas</w:t>
      </w:r>
    </w:p>
    <w:p w14:paraId="3E04F7FB" w14:textId="77777777" w:rsidR="0019595F" w:rsidRPr="0019595F" w:rsidRDefault="0019595F" w:rsidP="0019595F">
      <w:pPr>
        <w:pStyle w:val="SingleTxtG"/>
      </w:pPr>
      <w:r w:rsidRPr="0019595F">
        <w:t>2.</w:t>
      </w:r>
      <w:r w:rsidRPr="0019595F">
        <w:tab/>
        <w:t>Estadísticas exhaustivas actualizadas sobre la composición demográfica de la población, desglosadas por origen étnico, incluido el romaní, así como sobre los migrantes, los refugiados, los solicitantes de asilo y los apátridas. Indicadores sociales y económicos sobre los diferentes grupos que viven en el territorio del Estado parte, desglosados por origen nacional o étnico, género y edad, teniendo en cuenta las zonas en las que estos grupos representan una parte sustancial de la población, así como datos sobre la composición étnica de la población carcelaria</w:t>
      </w:r>
      <w:r w:rsidRPr="0019595F">
        <w:rPr>
          <w:rStyle w:val="Refdenotaalpie"/>
        </w:rPr>
        <w:footnoteReference w:id="3"/>
      </w:r>
      <w:r w:rsidRPr="0019595F">
        <w:t>.</w:t>
      </w:r>
    </w:p>
    <w:p w14:paraId="5FAA3997" w14:textId="5AA32799" w:rsidR="0019595F" w:rsidRPr="0019595F" w:rsidRDefault="0019595F" w:rsidP="0019595F">
      <w:pPr>
        <w:pStyle w:val="H23G"/>
      </w:pPr>
      <w:r>
        <w:tab/>
      </w:r>
      <w:r w:rsidRPr="0019595F">
        <w:tab/>
        <w:t>La Convención en el derecho interno y el marco institucional y normativo para</w:t>
      </w:r>
      <w:r>
        <w:t> </w:t>
      </w:r>
      <w:r w:rsidRPr="0019595F">
        <w:t>su</w:t>
      </w:r>
      <w:r>
        <w:t> </w:t>
      </w:r>
      <w:r w:rsidRPr="0019595F">
        <w:t>aplicación</w:t>
      </w:r>
    </w:p>
    <w:p w14:paraId="207034CB" w14:textId="77777777" w:rsidR="0019595F" w:rsidRPr="0019595F" w:rsidRDefault="0019595F" w:rsidP="0019595F">
      <w:pPr>
        <w:pStyle w:val="SingleTxtG"/>
      </w:pPr>
      <w:r w:rsidRPr="0019595F">
        <w:t>3.</w:t>
      </w:r>
      <w:r w:rsidRPr="0019595F">
        <w:tab/>
        <w:t>Información actualizada sobre las medidas legislativas y de otra índole adoptadas para aplicar de manera efectiva todas las disposiciones de los artículos 2 y 4 de la Convención, incluidos ejemplos concretos de casos en los que las disposiciones de la Convención se hayan invocado ante los tribunales nacionales o hayan sido aplicadas por estos. Medidas para garantizar que los jueces, los fiscales y los abogados tengan un conocimiento suficiente de las disposiciones de la Convención</w:t>
      </w:r>
      <w:r w:rsidRPr="0019595F">
        <w:rPr>
          <w:rStyle w:val="Refdenotaalpie"/>
        </w:rPr>
        <w:footnoteReference w:id="4"/>
      </w:r>
      <w:r w:rsidRPr="0019595F">
        <w:t>.</w:t>
      </w:r>
    </w:p>
    <w:p w14:paraId="0BA6088C" w14:textId="77777777" w:rsidR="0019595F" w:rsidRPr="0019595F" w:rsidRDefault="0019595F" w:rsidP="0019595F">
      <w:pPr>
        <w:pStyle w:val="SingleTxtG"/>
      </w:pPr>
      <w:r w:rsidRPr="0019595F">
        <w:t>4.</w:t>
      </w:r>
      <w:r w:rsidRPr="0019595F">
        <w:tab/>
        <w:t xml:space="preserve">Información acerca de los programas de sensibilización sobre el respeto de la diversidad y sobre la prevención y prohibición de la discriminación racial dirigidos a la </w:t>
      </w:r>
      <w:r w:rsidRPr="0019595F">
        <w:lastRenderedPageBreak/>
        <w:t>población, así como acerca de los mecanismos disponibles para presentar denuncias por actos de discriminación racial</w:t>
      </w:r>
      <w:r w:rsidRPr="0019595F">
        <w:rPr>
          <w:rStyle w:val="Refdenotaalpie"/>
        </w:rPr>
        <w:footnoteReference w:id="5"/>
      </w:r>
      <w:r w:rsidRPr="0019595F">
        <w:t>.</w:t>
      </w:r>
    </w:p>
    <w:p w14:paraId="7BA28A32" w14:textId="4032FFD5" w:rsidR="0019595F" w:rsidRPr="0019595F" w:rsidRDefault="0019595F" w:rsidP="0019595F">
      <w:pPr>
        <w:pStyle w:val="H23G"/>
      </w:pPr>
      <w:r>
        <w:tab/>
      </w:r>
      <w:r w:rsidRPr="0019595F">
        <w:tab/>
        <w:t>Discurso y delitos de odio racista</w:t>
      </w:r>
    </w:p>
    <w:p w14:paraId="259C87DE" w14:textId="77777777" w:rsidR="0019595F" w:rsidRPr="0019595F" w:rsidRDefault="0019595F" w:rsidP="0019595F">
      <w:pPr>
        <w:pStyle w:val="SingleTxtG"/>
      </w:pPr>
      <w:r w:rsidRPr="0019595F">
        <w:t>5.</w:t>
      </w:r>
      <w:r w:rsidRPr="0019595F">
        <w:tab/>
        <w:t>Medidas adoptadas para que las definiciones de discurso y delitos de odio racista que figuran en la Ley de Protección contra la Discriminación y en el Código Penal se ajusten plenamente al artículo 4 de la Convención e incluyan todos los motivos de discriminación reconocidos en el artículo 1 de la Convención</w:t>
      </w:r>
      <w:r w:rsidRPr="0019595F">
        <w:rPr>
          <w:rStyle w:val="Refdenotaalpie"/>
        </w:rPr>
        <w:footnoteReference w:id="6"/>
      </w:r>
      <w:r w:rsidRPr="0019595F">
        <w:t>.</w:t>
      </w:r>
    </w:p>
    <w:p w14:paraId="0115121D" w14:textId="77777777" w:rsidR="0019595F" w:rsidRPr="0019595F" w:rsidRDefault="0019595F" w:rsidP="0019595F">
      <w:pPr>
        <w:pStyle w:val="SingleTxtG"/>
      </w:pPr>
      <w:r w:rsidRPr="0019595F">
        <w:t>6.</w:t>
      </w:r>
      <w:r w:rsidRPr="0019595F">
        <w:tab/>
        <w:t>Información actualizada sobre otros marcos jurídicos, institucionales y de políticas públicas destinados a prevenir y condenar el discurso de odio, los delitos motivados por el odio y la incitación al odio, también cuando se dan en los medios de comunicación y en otras plataformas públicas, como Internet, y cuando sus autores son políticos y funcionarios públicos</w:t>
      </w:r>
      <w:r w:rsidRPr="0019595F">
        <w:rPr>
          <w:rStyle w:val="Refdenotaalpie"/>
        </w:rPr>
        <w:footnoteReference w:id="7"/>
      </w:r>
      <w:r w:rsidRPr="0019595F">
        <w:t>.</w:t>
      </w:r>
    </w:p>
    <w:p w14:paraId="20649A6F" w14:textId="77777777" w:rsidR="0019595F" w:rsidRPr="0019595F" w:rsidRDefault="0019595F" w:rsidP="0019595F">
      <w:pPr>
        <w:pStyle w:val="SingleTxtG"/>
        <w:rPr>
          <w:b/>
        </w:rPr>
      </w:pPr>
      <w:r w:rsidRPr="0019595F">
        <w:t>7.</w:t>
      </w:r>
      <w:r w:rsidRPr="0019595F">
        <w:tab/>
        <w:t>Información y estadísticas sobre los progresos realizados en relación con las medidas contra la discriminación racial, el discurso de odio racista y los delitos de odio racista, así como sobre la rendición de cuentas de los autores de cualquier acto que constituya incitación a la discriminación racial o al odio, también en el discurso político, en los medios de comunicación y en Internet. Información sobre el número de denuncias presentadas ante los tribunales u otras instituciones nacionales por tales actos, así como sobre el número de casos en que se investigó, enjuició y condenó a los autores, e información sobre la reparación que se haya proporcionado a las víctimas. Información sobre todos los instrumentos que establecen responsabilidad civil, laboral y administrativa por los actos de discriminación racial, así como datos sobre las actuaciones incoadas y las sanciones impuestas por los órganos competentes en materia administrativa</w:t>
      </w:r>
      <w:r w:rsidRPr="0019595F">
        <w:rPr>
          <w:rStyle w:val="Refdenotaalpie"/>
        </w:rPr>
        <w:footnoteReference w:id="8"/>
      </w:r>
      <w:r w:rsidRPr="0019595F">
        <w:t>.</w:t>
      </w:r>
    </w:p>
    <w:p w14:paraId="4E855B22" w14:textId="77777777" w:rsidR="0019595F" w:rsidRPr="0019595F" w:rsidRDefault="0019595F" w:rsidP="0019595F">
      <w:pPr>
        <w:pStyle w:val="SingleTxtG"/>
      </w:pPr>
      <w:r w:rsidRPr="0019595F">
        <w:t>8.</w:t>
      </w:r>
      <w:r w:rsidRPr="0019595F">
        <w:tab/>
        <w:t>Información sobre las medidas adoptadas o previstas para que los agentes del orden y otros funcionarios públicos no incurran en actos de discriminación racial, en particular en actos de violencia por motivos raciales y prácticas constitutivas de perfilamiento racial.</w:t>
      </w:r>
    </w:p>
    <w:p w14:paraId="6D05FF47" w14:textId="7F8D73C1" w:rsidR="0019595F" w:rsidRPr="0019595F" w:rsidRDefault="0019595F" w:rsidP="0019595F">
      <w:pPr>
        <w:pStyle w:val="H23G"/>
      </w:pPr>
      <w:r>
        <w:tab/>
      </w:r>
      <w:r w:rsidRPr="0019595F">
        <w:tab/>
        <w:t>Situación de las personas pertenecientes a grupos étnicos minoritarios</w:t>
      </w:r>
    </w:p>
    <w:p w14:paraId="1A1F39BC" w14:textId="77777777" w:rsidR="0019595F" w:rsidRPr="0019595F" w:rsidRDefault="0019595F" w:rsidP="0019595F">
      <w:pPr>
        <w:pStyle w:val="SingleTxtG"/>
      </w:pPr>
      <w:r w:rsidRPr="0019595F">
        <w:t>9.</w:t>
      </w:r>
      <w:r w:rsidRPr="0019595F">
        <w:tab/>
        <w:t>Información sobre el marco legislativo relativo a los derechos de las personas pertenecientes a grupos étnicos minoritarios destinado a garantizar que puedan disfrutar plenamente y sin discriminación de todos los derechos enunciados en la Convención, incluido el derecho a la libertad de reunión y de asociación pacíficas, así como sobre el reconocimiento oficial de esos grupos. Estadísticas relativas a la representación política de los miembros de los grupos étnicos minoritarios en la vida pública y política, e información sobre las medidas adoptadas para que los miembros de los grupos étnicos minoritarios estén adecuadamente representados en el Parlamento y en la función pública</w:t>
      </w:r>
      <w:r w:rsidRPr="0019595F">
        <w:rPr>
          <w:rStyle w:val="Refdenotaalpie"/>
        </w:rPr>
        <w:footnoteReference w:id="9"/>
      </w:r>
      <w:r w:rsidRPr="0019595F">
        <w:t>.</w:t>
      </w:r>
    </w:p>
    <w:p w14:paraId="3AF6AD5A" w14:textId="77777777" w:rsidR="0019595F" w:rsidRPr="0019595F" w:rsidRDefault="0019595F" w:rsidP="0019595F">
      <w:pPr>
        <w:pStyle w:val="SingleTxtG"/>
      </w:pPr>
      <w:r w:rsidRPr="0019595F">
        <w:t>10.</w:t>
      </w:r>
      <w:r w:rsidRPr="0019595F">
        <w:tab/>
        <w:t>Información sobre las medidas adoptadas para garantizar la igualdad de acceso de los miembros de los grupos étnicos minoritarios a todos los servicios básicos, en particular en los ámbitos de la educación, el mercado laboral, la vivienda y la atención sanitaria, así como sobre las medidas destinadas a proteger y preservar su patrimonio cultural</w:t>
      </w:r>
      <w:r w:rsidRPr="0019595F">
        <w:rPr>
          <w:rStyle w:val="Refdenotaalpie"/>
        </w:rPr>
        <w:footnoteReference w:id="10"/>
      </w:r>
      <w:r w:rsidRPr="0019595F">
        <w:t>.</w:t>
      </w:r>
    </w:p>
    <w:p w14:paraId="2465172F" w14:textId="55A93A54" w:rsidR="0019595F" w:rsidRPr="0019595F" w:rsidRDefault="0019595F" w:rsidP="0019595F">
      <w:pPr>
        <w:pStyle w:val="H23G"/>
      </w:pPr>
      <w:r>
        <w:tab/>
      </w:r>
      <w:r w:rsidRPr="0019595F">
        <w:tab/>
        <w:t>Impacto de la enfermedad por coronavirus (COVID-19) en determinados grupos de</w:t>
      </w:r>
      <w:r>
        <w:t> </w:t>
      </w:r>
      <w:r w:rsidRPr="0019595F">
        <w:t>la</w:t>
      </w:r>
      <w:r>
        <w:t> </w:t>
      </w:r>
      <w:r w:rsidRPr="0019595F">
        <w:t>población</w:t>
      </w:r>
    </w:p>
    <w:p w14:paraId="55373679" w14:textId="77777777" w:rsidR="0019595F" w:rsidRPr="0019595F" w:rsidRDefault="0019595F" w:rsidP="0019595F">
      <w:pPr>
        <w:pStyle w:val="SingleTxtG"/>
        <w:rPr>
          <w:b/>
        </w:rPr>
      </w:pPr>
      <w:r w:rsidRPr="0019595F">
        <w:t>11.</w:t>
      </w:r>
      <w:r w:rsidRPr="0019595F">
        <w:tab/>
        <w:t xml:space="preserve">Información sobre las repercusiones de la pandemia de COVID-19 en las personas más vulnerables a la discriminación y en los diferentes grupos protegidos por la Convención, como los grupos étnicos minoritarios y los no ciudadanos. Sírvanse incluir información sobre las medidas adoptadas para proteger a esos grupos contra los efectos de la pandemia de COVID-19, para protegerlos frente a actos discriminatorios, para combatir el discurso de </w:t>
      </w:r>
      <w:r w:rsidRPr="0019595F">
        <w:lastRenderedPageBreak/>
        <w:t>odio y la estigmatización vinculados a la pandemia de COVID-19 y para mitigar el impacto socioeconómico que esta tiene en esas personas y esos grupos.</w:t>
      </w:r>
    </w:p>
    <w:p w14:paraId="423195FA" w14:textId="40437486" w:rsidR="0019595F" w:rsidRPr="0019595F" w:rsidRDefault="0019595F" w:rsidP="0019595F">
      <w:pPr>
        <w:pStyle w:val="H23G"/>
        <w:rPr>
          <w:lang w:val="en-GB"/>
        </w:rPr>
      </w:pPr>
      <w:r>
        <w:tab/>
      </w:r>
      <w:r w:rsidRPr="0019595F">
        <w:tab/>
        <w:t>Situación de la comunidad romaní</w:t>
      </w:r>
    </w:p>
    <w:p w14:paraId="03535F62" w14:textId="77777777" w:rsidR="0019595F" w:rsidRPr="0019595F" w:rsidRDefault="0019595F" w:rsidP="0019595F">
      <w:pPr>
        <w:pStyle w:val="SingleTxtG"/>
      </w:pPr>
      <w:r w:rsidRPr="0019595F">
        <w:t>12.</w:t>
      </w:r>
      <w:r w:rsidRPr="0019595F">
        <w:tab/>
        <w:t>Información actualizada sobre las medidas adoptadas para combatir los prejuicios y estereotipos contra la población romaní, incluidas las campañas de sensibilización, y para garantizar su adecuada representación en la vida política y pública</w:t>
      </w:r>
      <w:r w:rsidRPr="0019595F">
        <w:rPr>
          <w:rStyle w:val="Refdenotaalpie"/>
        </w:rPr>
        <w:footnoteReference w:id="11"/>
      </w:r>
      <w:r w:rsidRPr="0019595F">
        <w:t>.</w:t>
      </w:r>
    </w:p>
    <w:p w14:paraId="307ED1A0" w14:textId="77777777" w:rsidR="0019595F" w:rsidRPr="0019595F" w:rsidRDefault="0019595F" w:rsidP="0019595F">
      <w:pPr>
        <w:pStyle w:val="SingleTxtG"/>
      </w:pPr>
      <w:r w:rsidRPr="0019595F">
        <w:t>13.</w:t>
      </w:r>
      <w:r w:rsidRPr="0019595F">
        <w:tab/>
        <w:t>Información sobre las tasas de inscripción de los nacimientos y sobre los documentos de identidad expedidos a los miembros de la comunidad romaní.</w:t>
      </w:r>
    </w:p>
    <w:p w14:paraId="0C3CA240" w14:textId="77777777" w:rsidR="0019595F" w:rsidRPr="0019595F" w:rsidRDefault="0019595F" w:rsidP="0019595F">
      <w:pPr>
        <w:pStyle w:val="SingleTxtG"/>
      </w:pPr>
      <w:r w:rsidRPr="0019595F">
        <w:t>14.</w:t>
      </w:r>
      <w:r w:rsidRPr="0019595F">
        <w:tab/>
        <w:t>Información sobre las medidas adoptadas para mejorar el acceso de la población romaní a la educación, el empleo</w:t>
      </w:r>
      <w:r w:rsidRPr="0019595F">
        <w:rPr>
          <w:rStyle w:val="Refdenotaalpie"/>
        </w:rPr>
        <w:footnoteReference w:id="12"/>
      </w:r>
      <w:r w:rsidRPr="0019595F">
        <w:t>, la vivienda</w:t>
      </w:r>
      <w:r w:rsidRPr="0019595F">
        <w:rPr>
          <w:rStyle w:val="Refdenotaalpie"/>
        </w:rPr>
        <w:footnoteReference w:id="13"/>
      </w:r>
      <w:r w:rsidRPr="0019595F">
        <w:t xml:space="preserve"> y los servicios sanitarios</w:t>
      </w:r>
      <w:r w:rsidRPr="0019595F">
        <w:rPr>
          <w:rStyle w:val="Refdenotaalpie"/>
        </w:rPr>
        <w:footnoteReference w:id="14"/>
      </w:r>
      <w:r w:rsidRPr="0019595F">
        <w:t>. Información actualizada sobre la aplicación de las estrategias nacionales, regionales y municipales relativas al pueblo romaní, con el fin de mejorar la situación de los romaníes en todos los ámbitos, y sobre los resultados de las estrategias puestas en marcha por el Estado parte</w:t>
      </w:r>
      <w:r w:rsidRPr="0019595F">
        <w:rPr>
          <w:rStyle w:val="Refdenotaalpie"/>
        </w:rPr>
        <w:footnoteReference w:id="15"/>
      </w:r>
      <w:r w:rsidRPr="0019595F">
        <w:t>.</w:t>
      </w:r>
    </w:p>
    <w:p w14:paraId="0D29216F" w14:textId="77777777" w:rsidR="0019595F" w:rsidRPr="0019595F" w:rsidRDefault="0019595F" w:rsidP="0019595F">
      <w:pPr>
        <w:pStyle w:val="SingleTxtG"/>
      </w:pPr>
      <w:r w:rsidRPr="0019595F">
        <w:t>15.</w:t>
      </w:r>
      <w:r w:rsidRPr="0019595F">
        <w:tab/>
        <w:t xml:space="preserve">Información sobre las medidas adoptadas para prevenir y combatir la segregación educativa </w:t>
      </w:r>
      <w:r w:rsidRPr="0019595F">
        <w:rPr>
          <w:i/>
          <w:iCs/>
        </w:rPr>
        <w:t>de facto</w:t>
      </w:r>
      <w:r w:rsidRPr="0019595F">
        <w:t>, sobre las tasas de abandono escolar y sobre los incidentes racistas en las escuelas, así como sobre las medidas adoptadas para mejorar el acceso a la enseñanza ordinaria, especialmente en el nivel preescolar</w:t>
      </w:r>
      <w:r w:rsidRPr="0019595F">
        <w:rPr>
          <w:rStyle w:val="Refdenotaalpie"/>
        </w:rPr>
        <w:footnoteReference w:id="16"/>
      </w:r>
      <w:r w:rsidRPr="0019595F">
        <w:t>.</w:t>
      </w:r>
    </w:p>
    <w:p w14:paraId="7DF44AEE" w14:textId="76DA016F" w:rsidR="0019595F" w:rsidRPr="0019595F" w:rsidRDefault="0019595F" w:rsidP="0019595F">
      <w:pPr>
        <w:pStyle w:val="SingleTxtG"/>
      </w:pPr>
      <w:r w:rsidRPr="0019595F">
        <w:t>16.</w:t>
      </w:r>
      <w:r w:rsidRPr="0019595F">
        <w:tab/>
        <w:t>Resultados de las medidas adoptadas, si es el caso, para mejorar las condiciones de vivienda de los romaníes y crear programas de vivienda social dirigidos a ellos. Información sobre las medidas adoptadas para prevenir los desalojos forzosos de romaníes y facilitar a estos el acceso a un alojamiento alternativo o a una indemnización adecuada, en particular sobre la legalización de los asentamientos existentes y el acceso a los servicios básicos en ellos</w:t>
      </w:r>
      <w:r w:rsidRPr="0019595F">
        <w:rPr>
          <w:rStyle w:val="Refdenotaalpie"/>
        </w:rPr>
        <w:footnoteReference w:id="17"/>
      </w:r>
      <w:r w:rsidRPr="0019595F">
        <w:t>.</w:t>
      </w:r>
    </w:p>
    <w:p w14:paraId="1FEB81BA" w14:textId="50A48262" w:rsidR="0019595F" w:rsidRPr="0019595F" w:rsidRDefault="0019595F" w:rsidP="0019595F">
      <w:pPr>
        <w:pStyle w:val="H23G"/>
      </w:pPr>
      <w:r>
        <w:tab/>
      </w:r>
      <w:r w:rsidRPr="0019595F">
        <w:tab/>
        <w:t>Situación de los no ciudadanos, en particular los migrantes, los solicitantes de</w:t>
      </w:r>
      <w:r w:rsidR="00515104">
        <w:t> </w:t>
      </w:r>
      <w:r w:rsidRPr="0019595F">
        <w:t>asilo,</w:t>
      </w:r>
      <w:r w:rsidR="00515104">
        <w:t> </w:t>
      </w:r>
      <w:r w:rsidRPr="0019595F">
        <w:t>los</w:t>
      </w:r>
      <w:r>
        <w:t> </w:t>
      </w:r>
      <w:r w:rsidRPr="0019595F">
        <w:t>refugiados y los apátridas</w:t>
      </w:r>
    </w:p>
    <w:p w14:paraId="28DC7A63" w14:textId="77777777" w:rsidR="0019595F" w:rsidRPr="0019595F" w:rsidRDefault="0019595F" w:rsidP="0019595F">
      <w:pPr>
        <w:pStyle w:val="SingleTxtG"/>
      </w:pPr>
      <w:r w:rsidRPr="0019595F">
        <w:t>17.</w:t>
      </w:r>
      <w:r w:rsidRPr="0019595F">
        <w:tab/>
        <w:t>Información sobre los marcos legislativo y normativo en materia de solicitantes de asilo y refugiados, incluidas las medidas adoptadas para integrar un enfoque basado en los derechos humanos en su gobernanza de la migración</w:t>
      </w:r>
      <w:r w:rsidRPr="0019595F">
        <w:rPr>
          <w:rStyle w:val="Refdenotaalpie"/>
        </w:rPr>
        <w:footnoteReference w:id="18"/>
      </w:r>
      <w:r w:rsidRPr="0019595F">
        <w:t>. Información sobre las medidas adoptadas para evitar llevar a cabo expulsiones colectivas y devoluciones sumarias, permitir el acceso al territorio del Estado parte a las personas que necesitan protección internacional y respetar el principio de no devolución</w:t>
      </w:r>
      <w:r w:rsidRPr="0019595F">
        <w:rPr>
          <w:rStyle w:val="Refdenotaalpie"/>
        </w:rPr>
        <w:footnoteReference w:id="19"/>
      </w:r>
      <w:r w:rsidRPr="0019595F">
        <w:t>.</w:t>
      </w:r>
    </w:p>
    <w:p w14:paraId="2D4FFC30" w14:textId="77777777" w:rsidR="0019595F" w:rsidRPr="0019595F" w:rsidRDefault="0019595F" w:rsidP="0019595F">
      <w:pPr>
        <w:pStyle w:val="SingleTxtG"/>
      </w:pPr>
      <w:r w:rsidRPr="0019595F">
        <w:t>18.</w:t>
      </w:r>
      <w:r w:rsidRPr="0019595F">
        <w:tab/>
        <w:t>Información sobre la aplicación de la Estrategia Nacional en materia de Migración, Asilo e Integración y sus resultados en cuanto a la integración de los beneficiarios de protección internacional y el disfrute efectivo por estos de sus derechos socioeconómicos</w:t>
      </w:r>
      <w:r w:rsidRPr="0019595F">
        <w:rPr>
          <w:rStyle w:val="Refdenotaalpie"/>
        </w:rPr>
        <w:footnoteReference w:id="20"/>
      </w:r>
      <w:r w:rsidRPr="0019595F">
        <w:t>.</w:t>
      </w:r>
    </w:p>
    <w:p w14:paraId="708A7734" w14:textId="77777777" w:rsidR="0019595F" w:rsidRPr="0019595F" w:rsidRDefault="0019595F" w:rsidP="0019595F">
      <w:pPr>
        <w:pStyle w:val="SingleTxtG"/>
      </w:pPr>
      <w:r w:rsidRPr="0019595F">
        <w:t>19.</w:t>
      </w:r>
      <w:r w:rsidRPr="0019595F">
        <w:tab/>
        <w:t>Información detallada sobre su labor de lucha contra la trata de migrantes, solicitantes de asilo y refugiados, en particular el número de casos en que se investigó, enjuició y condenó a los autores y las reparaciones proporcionadas a las víctimas, y sobre las iniciativas emprendidas a este respecto en cooperación con los Estados vecinos</w:t>
      </w:r>
      <w:r w:rsidRPr="0019595F">
        <w:rPr>
          <w:rStyle w:val="Refdenotaalpie"/>
        </w:rPr>
        <w:footnoteReference w:id="21"/>
      </w:r>
      <w:r w:rsidRPr="0019595F">
        <w:t>. Información sobre los resultados obtenidos mediante la aplicación de la Estrategia Nacional de Lucha contra la Trata de Personas para el período 2017-2021 y sobre el Mecanismo Nacional de Remisión en apoyo de las víctimas de la trata.</w:t>
      </w:r>
    </w:p>
    <w:p w14:paraId="0B0C07D2" w14:textId="77777777" w:rsidR="0019595F" w:rsidRPr="0019595F" w:rsidRDefault="0019595F" w:rsidP="0019595F">
      <w:pPr>
        <w:pStyle w:val="SingleTxtG"/>
      </w:pPr>
      <w:r w:rsidRPr="0019595F">
        <w:lastRenderedPageBreak/>
        <w:t>20.</w:t>
      </w:r>
      <w:r w:rsidRPr="0019595F">
        <w:tab/>
        <w:t>Medidas adoptadas para poner fin a la detención obligatoria de migrantes indocumentados durante períodos prolongados; información sobre el recurso a medidas alternativas a la detención, incluida información actualizada sobre las condiciones de internamiento en los centros de acogida; y medidas adoptadas para que los solicitantes de asilo no vean restringida su libertad de circulación a la región administrativa en la que se encuentra el centro de acogida y tengan acceso a servicios básicos, como la atención sanitaria y la educación, y al empleo</w:t>
      </w:r>
      <w:r w:rsidRPr="0019595F">
        <w:rPr>
          <w:rStyle w:val="Refdenotaalpie"/>
        </w:rPr>
        <w:footnoteReference w:id="22"/>
      </w:r>
      <w:r w:rsidRPr="0019595F">
        <w:t>.</w:t>
      </w:r>
    </w:p>
    <w:p w14:paraId="6794B590" w14:textId="59ABB301" w:rsidR="0019595F" w:rsidRPr="0019595F" w:rsidRDefault="0019595F" w:rsidP="0019595F">
      <w:pPr>
        <w:pStyle w:val="SingleTxtG"/>
      </w:pPr>
      <w:r w:rsidRPr="0019595F">
        <w:t>21.</w:t>
      </w:r>
      <w:r w:rsidRPr="0019595F">
        <w:tab/>
        <w:t>Información sobre la tasa de concesión de asilo y sobre la suficiencia de la financiación asignada al Organismo Estatal para los Refugiados, en particular sobre la concesión de un pago mensual adecuado a todos los solicitantes de asilo que residan en centros de acogida</w:t>
      </w:r>
      <w:r w:rsidRPr="0019595F">
        <w:rPr>
          <w:rStyle w:val="Refdenotaalpie"/>
        </w:rPr>
        <w:footnoteReference w:id="23"/>
      </w:r>
      <w:r w:rsidRPr="0019595F">
        <w:t>.</w:t>
      </w:r>
    </w:p>
    <w:p w14:paraId="4F0650F2" w14:textId="2032D896" w:rsidR="0019595F" w:rsidRPr="0019595F" w:rsidRDefault="0019595F" w:rsidP="0019595F">
      <w:pPr>
        <w:pStyle w:val="SingleTxtG"/>
      </w:pPr>
      <w:r w:rsidRPr="0019595F">
        <w:t>22.</w:t>
      </w:r>
      <w:r w:rsidRPr="0019595F">
        <w:tab/>
        <w:t>Medidas adoptadas para reforzar la capacidad humana y financiera de los municipios, incluida la capacitación del personal para llevar a cabo procedimientos de identificación y remisión con sensibilidad, y para garantizar que se asignen representantes legales individuales y cualificados a todos los niños no acompañados</w:t>
      </w:r>
      <w:r w:rsidRPr="0019595F">
        <w:rPr>
          <w:rStyle w:val="Refdenotaalpie"/>
        </w:rPr>
        <w:footnoteReference w:id="24"/>
      </w:r>
      <w:r w:rsidRPr="0019595F">
        <w:t>.</w:t>
      </w:r>
    </w:p>
    <w:p w14:paraId="0AD3DDFD" w14:textId="18A22A06" w:rsidR="00381C24" w:rsidRPr="0019595F" w:rsidRDefault="0019595F" w:rsidP="0019595F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19595F" w:rsidSect="001959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5218F" w14:textId="77777777" w:rsidR="007A4D33" w:rsidRPr="00D43FF0" w:rsidRDefault="007A4D33" w:rsidP="00D43FF0">
      <w:pPr>
        <w:pStyle w:val="Piedepgina"/>
      </w:pPr>
    </w:p>
  </w:endnote>
  <w:endnote w:type="continuationSeparator" w:id="0">
    <w:p w14:paraId="04780867" w14:textId="77777777" w:rsidR="007A4D33" w:rsidRPr="00D43FF0" w:rsidRDefault="007A4D33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2BDC8" w14:textId="6B6825D9" w:rsidR="0019595F" w:rsidRPr="0019595F" w:rsidRDefault="0019595F" w:rsidP="0019595F">
    <w:pPr>
      <w:pStyle w:val="Piedepgina"/>
      <w:tabs>
        <w:tab w:val="right" w:pos="9638"/>
      </w:tabs>
    </w:pPr>
    <w:r w:rsidRPr="0019595F">
      <w:rPr>
        <w:b/>
        <w:sz w:val="18"/>
      </w:rPr>
      <w:fldChar w:fldCharType="begin"/>
    </w:r>
    <w:r w:rsidRPr="0019595F">
      <w:rPr>
        <w:b/>
        <w:sz w:val="18"/>
      </w:rPr>
      <w:instrText xml:space="preserve"> PAGE  \* MERGEFORMAT </w:instrText>
    </w:r>
    <w:r w:rsidRPr="0019595F">
      <w:rPr>
        <w:b/>
        <w:sz w:val="18"/>
      </w:rPr>
      <w:fldChar w:fldCharType="separate"/>
    </w:r>
    <w:r w:rsidRPr="0019595F">
      <w:rPr>
        <w:b/>
        <w:noProof/>
        <w:sz w:val="18"/>
      </w:rPr>
      <w:t>2</w:t>
    </w:r>
    <w:r w:rsidRPr="0019595F">
      <w:rPr>
        <w:b/>
        <w:sz w:val="18"/>
      </w:rPr>
      <w:fldChar w:fldCharType="end"/>
    </w:r>
    <w:r>
      <w:rPr>
        <w:b/>
        <w:sz w:val="18"/>
      </w:rPr>
      <w:tab/>
    </w:r>
    <w:r>
      <w:t>GE.23-18408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56553" w14:textId="5F7B0C15" w:rsidR="0019595F" w:rsidRPr="0019595F" w:rsidRDefault="0019595F" w:rsidP="0019595F">
    <w:pPr>
      <w:pStyle w:val="Piedepgina"/>
      <w:tabs>
        <w:tab w:val="right" w:pos="9638"/>
      </w:tabs>
      <w:rPr>
        <w:b/>
        <w:sz w:val="18"/>
      </w:rPr>
    </w:pPr>
    <w:r>
      <w:t>GE.23-18408</w:t>
    </w:r>
    <w:r>
      <w:tab/>
    </w:r>
    <w:r w:rsidRPr="0019595F">
      <w:rPr>
        <w:b/>
        <w:sz w:val="18"/>
      </w:rPr>
      <w:fldChar w:fldCharType="begin"/>
    </w:r>
    <w:r w:rsidRPr="0019595F">
      <w:rPr>
        <w:b/>
        <w:sz w:val="18"/>
      </w:rPr>
      <w:instrText xml:space="preserve"> PAGE  \* MERGEFORMAT </w:instrText>
    </w:r>
    <w:r w:rsidRPr="0019595F">
      <w:rPr>
        <w:b/>
        <w:sz w:val="18"/>
      </w:rPr>
      <w:fldChar w:fldCharType="separate"/>
    </w:r>
    <w:r w:rsidRPr="0019595F">
      <w:rPr>
        <w:b/>
        <w:noProof/>
        <w:sz w:val="18"/>
      </w:rPr>
      <w:t>3</w:t>
    </w:r>
    <w:r w:rsidRPr="0019595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7610" w14:textId="4FB90B7F" w:rsidR="00C63C2A" w:rsidRPr="0019595F" w:rsidRDefault="0019595F" w:rsidP="0019595F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7728" behindDoc="0" locked="1" layoutInCell="1" allowOverlap="1" wp14:anchorId="22E67295" wp14:editId="6C648576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23-18408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3CE1EA41" wp14:editId="6D73E0D4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171023    101123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C902D" w14:textId="77777777" w:rsidR="007A4D33" w:rsidRPr="001075E9" w:rsidRDefault="007A4D3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C79D629" w14:textId="77777777" w:rsidR="007A4D33" w:rsidRDefault="007A4D33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3DA1C8C" w14:textId="68B4D4F8" w:rsidR="0019595F" w:rsidRPr="0019595F" w:rsidRDefault="0019595F" w:rsidP="0019595F">
      <w:pPr>
        <w:pStyle w:val="Textonotapie"/>
        <w:rPr>
          <w:sz w:val="20"/>
        </w:rPr>
      </w:pPr>
      <w:r>
        <w:tab/>
      </w:r>
      <w:r w:rsidRPr="0019595F">
        <w:rPr>
          <w:rStyle w:val="Refdenotaalpie"/>
          <w:sz w:val="20"/>
          <w:vertAlign w:val="baseline"/>
        </w:rPr>
        <w:t>*</w:t>
      </w:r>
      <w:r w:rsidRPr="0019595F">
        <w:rPr>
          <w:rStyle w:val="Refdenotaalpie"/>
          <w:vertAlign w:val="baseline"/>
        </w:rPr>
        <w:tab/>
      </w:r>
      <w:r w:rsidRPr="0019595F">
        <w:t>Se acordó publicar este documento tras la fecha prevista debido a circunstancias que escapan al control de quien lo presenta.</w:t>
      </w:r>
    </w:p>
  </w:footnote>
  <w:footnote w:id="2">
    <w:p w14:paraId="2CF601AA" w14:textId="52C6CF01" w:rsidR="0019595F" w:rsidRDefault="0019595F" w:rsidP="0019595F">
      <w:pPr>
        <w:pStyle w:val="Textonotapie"/>
      </w:pPr>
      <w:r>
        <w:tab/>
      </w:r>
      <w:r w:rsidRPr="0019595F">
        <w:rPr>
          <w:rStyle w:val="Refdenotaalpie"/>
        </w:rPr>
        <w:footnoteRef/>
      </w:r>
      <w:r>
        <w:tab/>
      </w:r>
      <w:hyperlink r:id="rId1" w:history="1">
        <w:r w:rsidRPr="0019595F">
          <w:rPr>
            <w:rStyle w:val="Hipervnculo"/>
            <w:lang w:val="en-US"/>
          </w:rPr>
          <w:t>A/65/18</w:t>
        </w:r>
      </w:hyperlink>
      <w:r w:rsidRPr="0019595F">
        <w:rPr>
          <w:lang w:val="en-US"/>
        </w:rPr>
        <w:t>, párr. 85.</w:t>
      </w:r>
    </w:p>
  </w:footnote>
  <w:footnote w:id="3">
    <w:p w14:paraId="6F14E9F4" w14:textId="6C6B9604" w:rsidR="0019595F" w:rsidRPr="0064329C" w:rsidRDefault="0019595F" w:rsidP="0019595F">
      <w:pPr>
        <w:pStyle w:val="Textonotapie"/>
        <w:rPr>
          <w:szCs w:val="18"/>
          <w:lang w:val="en-US"/>
        </w:rPr>
      </w:pPr>
      <w:r w:rsidRPr="0064329C">
        <w:rPr>
          <w:lang w:val="en-US"/>
        </w:rPr>
        <w:tab/>
      </w:r>
      <w:r w:rsidRPr="0019595F">
        <w:rPr>
          <w:rStyle w:val="Refdenotaalpie"/>
        </w:rPr>
        <w:footnoteRef/>
      </w:r>
      <w:bookmarkStart w:id="0" w:name="_Hlk141781781"/>
      <w:r w:rsidRPr="0064329C">
        <w:rPr>
          <w:lang w:val="en-US"/>
        </w:rPr>
        <w:tab/>
      </w:r>
      <w:hyperlink r:id="rId2" w:history="1">
        <w:r w:rsidRPr="0019595F">
          <w:rPr>
            <w:rStyle w:val="Hipervnculo"/>
            <w:lang w:val="en-US"/>
          </w:rPr>
          <w:t>CERD/C/BGR/CO/20-22</w:t>
        </w:r>
      </w:hyperlink>
      <w:r w:rsidRPr="0064329C">
        <w:rPr>
          <w:lang w:val="en-US"/>
        </w:rPr>
        <w:t xml:space="preserve">, párr. </w:t>
      </w:r>
      <w:r w:rsidRPr="0064329C">
        <w:t xml:space="preserve">8; y </w:t>
      </w:r>
      <w:hyperlink r:id="rId3" w:history="1">
        <w:r w:rsidRPr="0019595F">
          <w:rPr>
            <w:rStyle w:val="Hipervnculo"/>
          </w:rPr>
          <w:t>CERD/C/BGR/23-25</w:t>
        </w:r>
      </w:hyperlink>
      <w:r w:rsidRPr="0064329C">
        <w:t xml:space="preserve">, párr. </w:t>
      </w:r>
      <w:r w:rsidRPr="0064329C">
        <w:rPr>
          <w:lang w:val="en-US"/>
        </w:rPr>
        <w:t>6.</w:t>
      </w:r>
      <w:bookmarkEnd w:id="0"/>
    </w:p>
  </w:footnote>
  <w:footnote w:id="4">
    <w:p w14:paraId="10601EEB" w14:textId="66C97D53" w:rsidR="0019595F" w:rsidRPr="0064329C" w:rsidRDefault="0019595F" w:rsidP="0019595F">
      <w:pPr>
        <w:pStyle w:val="Textonotapie"/>
        <w:rPr>
          <w:szCs w:val="18"/>
        </w:rPr>
      </w:pPr>
      <w:r w:rsidRPr="0064329C">
        <w:rPr>
          <w:szCs w:val="18"/>
          <w:lang w:val="en-US"/>
        </w:rPr>
        <w:tab/>
      </w:r>
      <w:r w:rsidRPr="0019595F">
        <w:rPr>
          <w:rStyle w:val="Refdenotaalpie"/>
        </w:rPr>
        <w:footnoteRef/>
      </w:r>
      <w:bookmarkStart w:id="1" w:name="_Hlk139417226"/>
      <w:r w:rsidRPr="0064329C">
        <w:rPr>
          <w:lang w:val="en-US"/>
        </w:rPr>
        <w:tab/>
      </w:r>
      <w:hyperlink r:id="rId4" w:history="1">
        <w:r w:rsidRPr="0019595F">
          <w:rPr>
            <w:rStyle w:val="Hipervnculo"/>
            <w:lang w:val="en-US"/>
          </w:rPr>
          <w:t>CERD/C/BGR/CO/20-22</w:t>
        </w:r>
      </w:hyperlink>
      <w:r w:rsidRPr="0064329C">
        <w:rPr>
          <w:lang w:val="en-US"/>
        </w:rPr>
        <w:t xml:space="preserve">, párr. </w:t>
      </w:r>
      <w:r w:rsidRPr="0064329C">
        <w:t xml:space="preserve">6; y </w:t>
      </w:r>
      <w:hyperlink r:id="rId5" w:history="1">
        <w:r w:rsidRPr="0019595F">
          <w:rPr>
            <w:rStyle w:val="Hipervnculo"/>
          </w:rPr>
          <w:t>CERD/C/BGR/23-25</w:t>
        </w:r>
      </w:hyperlink>
      <w:r w:rsidRPr="0064329C">
        <w:t xml:space="preserve">, párr. </w:t>
      </w:r>
      <w:r w:rsidRPr="0064329C">
        <w:rPr>
          <w:lang w:val="en-US"/>
        </w:rPr>
        <w:t>5.</w:t>
      </w:r>
      <w:bookmarkEnd w:id="1"/>
    </w:p>
  </w:footnote>
  <w:footnote w:id="5">
    <w:p w14:paraId="528ED8CA" w14:textId="18B104F4" w:rsidR="0019595F" w:rsidRPr="0064329C" w:rsidRDefault="0019595F" w:rsidP="0019595F">
      <w:pPr>
        <w:pStyle w:val="Textonotapie"/>
      </w:pPr>
      <w:r w:rsidRPr="0064329C">
        <w:rPr>
          <w:szCs w:val="18"/>
          <w:lang w:val="en-US"/>
        </w:rPr>
        <w:tab/>
      </w:r>
      <w:r w:rsidRPr="0019595F">
        <w:rPr>
          <w:rStyle w:val="Refdenotaalpie"/>
        </w:rPr>
        <w:footnoteRef/>
      </w:r>
      <w:r w:rsidRPr="0064329C">
        <w:rPr>
          <w:lang w:val="en-US"/>
        </w:rPr>
        <w:tab/>
      </w:r>
      <w:hyperlink r:id="rId6" w:history="1">
        <w:r w:rsidRPr="0019595F">
          <w:rPr>
            <w:rStyle w:val="Hipervnculo"/>
            <w:lang w:val="en-US"/>
          </w:rPr>
          <w:t>CERD/C/BGR/CO/20-22</w:t>
        </w:r>
      </w:hyperlink>
      <w:r w:rsidRPr="0064329C">
        <w:rPr>
          <w:lang w:val="en-US"/>
        </w:rPr>
        <w:t xml:space="preserve">, párrs. </w:t>
      </w:r>
      <w:r w:rsidRPr="0064329C">
        <w:t xml:space="preserve">10 y 14; y </w:t>
      </w:r>
      <w:hyperlink r:id="rId7" w:history="1">
        <w:r w:rsidRPr="0019595F">
          <w:rPr>
            <w:rStyle w:val="Hipervnculo"/>
          </w:rPr>
          <w:t>CERD/C/BGR/23-25</w:t>
        </w:r>
      </w:hyperlink>
      <w:r w:rsidRPr="0064329C">
        <w:t>, párrs. 15 a 38.</w:t>
      </w:r>
    </w:p>
  </w:footnote>
  <w:footnote w:id="6">
    <w:p w14:paraId="4D1F98CB" w14:textId="246EF8EC" w:rsidR="0019595F" w:rsidRPr="0064329C" w:rsidRDefault="0019595F" w:rsidP="0019595F">
      <w:pPr>
        <w:pStyle w:val="Textonotapie"/>
        <w:rPr>
          <w:szCs w:val="18"/>
          <w:lang w:val="en-US"/>
        </w:rPr>
      </w:pPr>
      <w:r w:rsidRPr="0064329C">
        <w:tab/>
      </w:r>
      <w:r w:rsidRPr="0019595F">
        <w:rPr>
          <w:rStyle w:val="Refdenotaalpie"/>
        </w:rPr>
        <w:footnoteRef/>
      </w:r>
      <w:bookmarkStart w:id="2" w:name="_Hlk141767962"/>
      <w:r w:rsidRPr="0064329C">
        <w:tab/>
      </w:r>
      <w:hyperlink r:id="rId8" w:history="1">
        <w:r w:rsidRPr="0019595F">
          <w:rPr>
            <w:rStyle w:val="Hipervnculo"/>
          </w:rPr>
          <w:t>CERD/C/BGR/CO/20-22</w:t>
        </w:r>
      </w:hyperlink>
      <w:r w:rsidRPr="0064329C">
        <w:t xml:space="preserve">, párr. 12; y </w:t>
      </w:r>
      <w:hyperlink r:id="rId9" w:history="1">
        <w:r w:rsidRPr="0019595F">
          <w:rPr>
            <w:rStyle w:val="Hipervnculo"/>
          </w:rPr>
          <w:t>CERD/C/BGR/23-25</w:t>
        </w:r>
      </w:hyperlink>
      <w:r w:rsidRPr="0064329C">
        <w:t xml:space="preserve">, párrs. </w:t>
      </w:r>
      <w:r w:rsidRPr="0064329C">
        <w:rPr>
          <w:lang w:val="en-US"/>
        </w:rPr>
        <w:t>42 a 47.</w:t>
      </w:r>
      <w:bookmarkStart w:id="3" w:name="_Hlk141783182"/>
      <w:bookmarkEnd w:id="2"/>
      <w:bookmarkEnd w:id="3"/>
    </w:p>
  </w:footnote>
  <w:footnote w:id="7">
    <w:p w14:paraId="503594AA" w14:textId="50C5BD78" w:rsidR="0019595F" w:rsidRPr="0064329C" w:rsidRDefault="0019595F" w:rsidP="0019595F">
      <w:pPr>
        <w:pStyle w:val="Textonotapie"/>
        <w:rPr>
          <w:szCs w:val="18"/>
          <w:lang w:val="en-US"/>
        </w:rPr>
      </w:pPr>
      <w:r w:rsidRPr="0064329C">
        <w:rPr>
          <w:szCs w:val="18"/>
          <w:lang w:val="en-US"/>
        </w:rPr>
        <w:tab/>
      </w:r>
      <w:r w:rsidRPr="0019595F">
        <w:rPr>
          <w:rStyle w:val="Refdenotaalpie"/>
        </w:rPr>
        <w:footnoteRef/>
      </w:r>
      <w:r w:rsidRPr="0064329C">
        <w:rPr>
          <w:lang w:val="en-US"/>
        </w:rPr>
        <w:tab/>
      </w:r>
      <w:hyperlink r:id="rId10" w:history="1">
        <w:r w:rsidRPr="0019595F">
          <w:rPr>
            <w:rStyle w:val="Hipervnculo"/>
            <w:lang w:val="en-US"/>
          </w:rPr>
          <w:t>CERD/C/BGR/CO/20-22</w:t>
        </w:r>
      </w:hyperlink>
      <w:r w:rsidRPr="0064329C">
        <w:rPr>
          <w:lang w:val="en-US"/>
        </w:rPr>
        <w:t xml:space="preserve">, párr. </w:t>
      </w:r>
      <w:r w:rsidRPr="0064329C">
        <w:t xml:space="preserve">12; y </w:t>
      </w:r>
      <w:hyperlink r:id="rId11" w:history="1">
        <w:r w:rsidRPr="0019595F">
          <w:rPr>
            <w:rStyle w:val="Hipervnculo"/>
          </w:rPr>
          <w:t>CERD/C/BGR/23-25</w:t>
        </w:r>
      </w:hyperlink>
      <w:r w:rsidRPr="0064329C">
        <w:t xml:space="preserve">, párrs. </w:t>
      </w:r>
      <w:r w:rsidRPr="0064329C">
        <w:rPr>
          <w:lang w:val="en-US"/>
        </w:rPr>
        <w:t>48 a 59.</w:t>
      </w:r>
    </w:p>
  </w:footnote>
  <w:footnote w:id="8">
    <w:p w14:paraId="32950D55" w14:textId="191B1D65" w:rsidR="0019595F" w:rsidRPr="0064329C" w:rsidRDefault="0019595F" w:rsidP="0019595F">
      <w:pPr>
        <w:pStyle w:val="Textonotapie"/>
        <w:rPr>
          <w:szCs w:val="18"/>
        </w:rPr>
      </w:pPr>
      <w:r w:rsidRPr="0064329C">
        <w:rPr>
          <w:szCs w:val="18"/>
          <w:lang w:val="en-US"/>
        </w:rPr>
        <w:tab/>
      </w:r>
      <w:r w:rsidRPr="0019595F">
        <w:rPr>
          <w:rStyle w:val="Refdenotaalpie"/>
        </w:rPr>
        <w:footnoteRef/>
      </w:r>
      <w:bookmarkStart w:id="4" w:name="_Hlk141768387"/>
      <w:r w:rsidRPr="0064329C">
        <w:rPr>
          <w:lang w:val="en-US"/>
        </w:rPr>
        <w:tab/>
      </w:r>
      <w:hyperlink r:id="rId12" w:history="1">
        <w:r w:rsidRPr="0019595F">
          <w:rPr>
            <w:rStyle w:val="Hipervnculo"/>
            <w:lang w:val="en-US"/>
          </w:rPr>
          <w:t>CERD/C/BGR/CO/20-22</w:t>
        </w:r>
      </w:hyperlink>
      <w:r w:rsidRPr="0064329C">
        <w:rPr>
          <w:lang w:val="en-US"/>
        </w:rPr>
        <w:t xml:space="preserve">, párr. </w:t>
      </w:r>
      <w:r w:rsidRPr="0064329C">
        <w:t xml:space="preserve">16; y </w:t>
      </w:r>
      <w:hyperlink r:id="rId13" w:history="1">
        <w:r w:rsidRPr="0019595F">
          <w:rPr>
            <w:rStyle w:val="Hipervnculo"/>
          </w:rPr>
          <w:t>CERD/C/BGR/23-25</w:t>
        </w:r>
      </w:hyperlink>
      <w:r w:rsidRPr="0064329C">
        <w:t>, párrs. 36, 37, 39 y 40.</w:t>
      </w:r>
      <w:bookmarkEnd w:id="4"/>
    </w:p>
  </w:footnote>
  <w:footnote w:id="9">
    <w:p w14:paraId="1B2D4BF9" w14:textId="4A5E4596" w:rsidR="0019595F" w:rsidRPr="0064329C" w:rsidRDefault="0019595F" w:rsidP="0019595F">
      <w:pPr>
        <w:pStyle w:val="Textonotapie"/>
        <w:rPr>
          <w:szCs w:val="18"/>
        </w:rPr>
      </w:pPr>
      <w:r w:rsidRPr="0064329C">
        <w:rPr>
          <w:szCs w:val="18"/>
        </w:rPr>
        <w:tab/>
      </w:r>
      <w:r w:rsidRPr="0019595F">
        <w:rPr>
          <w:rStyle w:val="Refdenotaalpie"/>
        </w:rPr>
        <w:footnoteRef/>
      </w:r>
      <w:r w:rsidRPr="0064329C">
        <w:tab/>
      </w:r>
      <w:hyperlink r:id="rId14" w:history="1">
        <w:r w:rsidRPr="0019595F">
          <w:rPr>
            <w:rStyle w:val="Hipervnculo"/>
          </w:rPr>
          <w:t>CERD/C/BGR/CO/20-22</w:t>
        </w:r>
      </w:hyperlink>
      <w:r w:rsidRPr="0064329C">
        <w:t xml:space="preserve">, párr. 18; y </w:t>
      </w:r>
      <w:hyperlink r:id="rId15" w:history="1">
        <w:r w:rsidRPr="0019595F">
          <w:rPr>
            <w:rStyle w:val="Hipervnculo"/>
          </w:rPr>
          <w:t>CERD/C/BGR/23-25</w:t>
        </w:r>
      </w:hyperlink>
      <w:r w:rsidRPr="0064329C">
        <w:t>, párrs. 7 a 9.</w:t>
      </w:r>
    </w:p>
  </w:footnote>
  <w:footnote w:id="10">
    <w:p w14:paraId="33C85DFC" w14:textId="28712EBF" w:rsidR="0019595F" w:rsidRPr="0064329C" w:rsidRDefault="0019595F" w:rsidP="0019595F">
      <w:pPr>
        <w:pStyle w:val="Textonotapie"/>
        <w:rPr>
          <w:szCs w:val="18"/>
        </w:rPr>
      </w:pPr>
      <w:r w:rsidRPr="0064329C">
        <w:rPr>
          <w:szCs w:val="18"/>
        </w:rPr>
        <w:tab/>
      </w:r>
      <w:r w:rsidRPr="0019595F">
        <w:rPr>
          <w:rStyle w:val="Refdenotaalpie"/>
        </w:rPr>
        <w:footnoteRef/>
      </w:r>
      <w:r w:rsidRPr="0064329C">
        <w:tab/>
      </w:r>
      <w:hyperlink r:id="rId16" w:history="1">
        <w:r w:rsidRPr="0019595F">
          <w:rPr>
            <w:rStyle w:val="Hipervnculo"/>
          </w:rPr>
          <w:t>CERD/C/BGR/23-25</w:t>
        </w:r>
      </w:hyperlink>
      <w:r w:rsidRPr="0064329C">
        <w:t>, párrs. 65, 69, 70, 71 y 84 a 86.</w:t>
      </w:r>
    </w:p>
  </w:footnote>
  <w:footnote w:id="11">
    <w:p w14:paraId="28CA4DD0" w14:textId="45917CC3" w:rsidR="0019595F" w:rsidRPr="0064329C" w:rsidRDefault="0019595F" w:rsidP="0019595F">
      <w:pPr>
        <w:pStyle w:val="Textonotapie"/>
        <w:rPr>
          <w:lang w:val="en-US"/>
        </w:rPr>
      </w:pPr>
      <w:r w:rsidRPr="0064329C">
        <w:rPr>
          <w:szCs w:val="18"/>
        </w:rPr>
        <w:tab/>
      </w:r>
      <w:r w:rsidRPr="0019595F">
        <w:rPr>
          <w:rStyle w:val="Refdenotaalpie"/>
        </w:rPr>
        <w:footnoteRef/>
      </w:r>
      <w:r w:rsidRPr="0064329C">
        <w:rPr>
          <w:lang w:val="en-US"/>
        </w:rPr>
        <w:tab/>
      </w:r>
      <w:hyperlink r:id="rId17" w:history="1">
        <w:r w:rsidRPr="0019595F">
          <w:rPr>
            <w:rStyle w:val="Hipervnculo"/>
            <w:lang w:val="en-US"/>
          </w:rPr>
          <w:t>CERD/C/BGR/CO/20-22</w:t>
        </w:r>
      </w:hyperlink>
      <w:r w:rsidRPr="0064329C">
        <w:rPr>
          <w:lang w:val="en-US"/>
        </w:rPr>
        <w:t xml:space="preserve">, párr. </w:t>
      </w:r>
      <w:r w:rsidRPr="0064329C">
        <w:t xml:space="preserve">20; y </w:t>
      </w:r>
      <w:hyperlink r:id="rId18" w:history="1">
        <w:r w:rsidRPr="0019595F">
          <w:rPr>
            <w:rStyle w:val="Hipervnculo"/>
          </w:rPr>
          <w:t>CERD/C/BGR/23-25</w:t>
        </w:r>
      </w:hyperlink>
      <w:r w:rsidRPr="0064329C">
        <w:t xml:space="preserve">, párr. </w:t>
      </w:r>
      <w:r w:rsidRPr="0064329C">
        <w:rPr>
          <w:lang w:val="en-US"/>
        </w:rPr>
        <w:t>60.</w:t>
      </w:r>
    </w:p>
  </w:footnote>
  <w:footnote w:id="12">
    <w:p w14:paraId="7417E00D" w14:textId="7672DCBB" w:rsidR="0019595F" w:rsidRPr="0064329C" w:rsidRDefault="0019595F" w:rsidP="0019595F">
      <w:pPr>
        <w:pStyle w:val="Textonotapie"/>
        <w:rPr>
          <w:szCs w:val="18"/>
          <w:lang w:val="en-US"/>
        </w:rPr>
      </w:pPr>
      <w:r w:rsidRPr="0064329C">
        <w:rPr>
          <w:lang w:val="en-US"/>
        </w:rPr>
        <w:tab/>
      </w:r>
      <w:r w:rsidRPr="0019595F">
        <w:rPr>
          <w:rStyle w:val="Refdenotaalpie"/>
        </w:rPr>
        <w:footnoteRef/>
      </w:r>
      <w:r w:rsidRPr="0064329C">
        <w:rPr>
          <w:lang w:val="en-US"/>
        </w:rPr>
        <w:tab/>
      </w:r>
      <w:hyperlink r:id="rId19" w:history="1">
        <w:r w:rsidRPr="0019595F">
          <w:rPr>
            <w:rStyle w:val="Hipervnculo"/>
            <w:lang w:val="en-US"/>
          </w:rPr>
          <w:t>CERD/C/BGR/CO/20-22</w:t>
        </w:r>
      </w:hyperlink>
      <w:r w:rsidRPr="0064329C">
        <w:rPr>
          <w:lang w:val="en-US"/>
        </w:rPr>
        <w:t xml:space="preserve">, párr. </w:t>
      </w:r>
      <w:r w:rsidRPr="0064329C">
        <w:t xml:space="preserve">20; y </w:t>
      </w:r>
      <w:hyperlink r:id="rId20" w:history="1">
        <w:r w:rsidRPr="0019595F">
          <w:rPr>
            <w:rStyle w:val="Hipervnculo"/>
          </w:rPr>
          <w:t>CERD/C/BGR/23-25</w:t>
        </w:r>
      </w:hyperlink>
      <w:r w:rsidRPr="0064329C">
        <w:t xml:space="preserve">, párrs. </w:t>
      </w:r>
      <w:r w:rsidRPr="0064329C">
        <w:rPr>
          <w:lang w:val="en-US"/>
        </w:rPr>
        <w:t>100 a 111.</w:t>
      </w:r>
    </w:p>
  </w:footnote>
  <w:footnote w:id="13">
    <w:p w14:paraId="52FB5B77" w14:textId="623E3160" w:rsidR="0019595F" w:rsidRPr="0064329C" w:rsidRDefault="0019595F" w:rsidP="0019595F">
      <w:pPr>
        <w:pStyle w:val="Textonotapie"/>
        <w:rPr>
          <w:lang w:val="en-US"/>
        </w:rPr>
      </w:pPr>
      <w:r w:rsidRPr="0064329C">
        <w:rPr>
          <w:szCs w:val="18"/>
          <w:lang w:val="en-US"/>
        </w:rPr>
        <w:tab/>
      </w:r>
      <w:r w:rsidRPr="0019595F">
        <w:rPr>
          <w:rStyle w:val="Refdenotaalpie"/>
        </w:rPr>
        <w:footnoteRef/>
      </w:r>
      <w:bookmarkStart w:id="5" w:name="_Hlk141785753"/>
      <w:r w:rsidRPr="0064329C">
        <w:rPr>
          <w:lang w:val="en-US"/>
        </w:rPr>
        <w:tab/>
      </w:r>
      <w:hyperlink r:id="rId21" w:history="1">
        <w:r w:rsidRPr="0019595F">
          <w:rPr>
            <w:rStyle w:val="Hipervnculo"/>
            <w:lang w:val="en-US"/>
          </w:rPr>
          <w:t>CERD/C/BGR/CO/20-22</w:t>
        </w:r>
      </w:hyperlink>
      <w:r w:rsidRPr="0064329C">
        <w:rPr>
          <w:lang w:val="en-US"/>
        </w:rPr>
        <w:t xml:space="preserve">, párr. </w:t>
      </w:r>
      <w:r w:rsidRPr="0064329C">
        <w:t xml:space="preserve">20; y </w:t>
      </w:r>
      <w:hyperlink r:id="rId22" w:history="1">
        <w:r w:rsidRPr="0019595F">
          <w:rPr>
            <w:rStyle w:val="Hipervnculo"/>
          </w:rPr>
          <w:t>CERD/C/BGR/23-25</w:t>
        </w:r>
      </w:hyperlink>
      <w:r w:rsidRPr="0064329C">
        <w:t xml:space="preserve">, párrs. </w:t>
      </w:r>
      <w:r w:rsidRPr="0064329C">
        <w:rPr>
          <w:lang w:val="en-US"/>
        </w:rPr>
        <w:t>64 a 69.</w:t>
      </w:r>
      <w:bookmarkEnd w:id="5"/>
    </w:p>
  </w:footnote>
  <w:footnote w:id="14">
    <w:p w14:paraId="0FF0D11B" w14:textId="0056682C" w:rsidR="0019595F" w:rsidRPr="0064329C" w:rsidRDefault="0019595F" w:rsidP="0019595F">
      <w:pPr>
        <w:pStyle w:val="Textonotapie"/>
        <w:rPr>
          <w:szCs w:val="18"/>
          <w:lang w:val="en-US"/>
        </w:rPr>
      </w:pPr>
      <w:r w:rsidRPr="0064329C">
        <w:rPr>
          <w:lang w:val="en-US"/>
        </w:rPr>
        <w:tab/>
      </w:r>
      <w:r w:rsidRPr="0019595F">
        <w:rPr>
          <w:rStyle w:val="Refdenotaalpie"/>
        </w:rPr>
        <w:footnoteRef/>
      </w:r>
      <w:r w:rsidRPr="0064329C">
        <w:rPr>
          <w:lang w:val="en-US"/>
        </w:rPr>
        <w:tab/>
      </w:r>
      <w:hyperlink r:id="rId23" w:history="1">
        <w:r w:rsidRPr="0019595F">
          <w:rPr>
            <w:rStyle w:val="Hipervnculo"/>
            <w:lang w:val="en-US"/>
          </w:rPr>
          <w:t>CERD/C/BGR/CO/20-22</w:t>
        </w:r>
      </w:hyperlink>
      <w:r w:rsidRPr="0064329C">
        <w:rPr>
          <w:lang w:val="en-US"/>
        </w:rPr>
        <w:t xml:space="preserve">, párr. </w:t>
      </w:r>
      <w:r w:rsidRPr="0064329C">
        <w:t xml:space="preserve">20; y </w:t>
      </w:r>
      <w:hyperlink r:id="rId24" w:history="1">
        <w:r w:rsidRPr="0019595F">
          <w:rPr>
            <w:rStyle w:val="Hipervnculo"/>
          </w:rPr>
          <w:t>CERD/C/BGR/23-25</w:t>
        </w:r>
      </w:hyperlink>
      <w:r w:rsidRPr="0064329C">
        <w:t xml:space="preserve">, párrs. </w:t>
      </w:r>
      <w:r w:rsidRPr="0064329C">
        <w:rPr>
          <w:lang w:val="en-US"/>
        </w:rPr>
        <w:t>84 a 96.</w:t>
      </w:r>
    </w:p>
  </w:footnote>
  <w:footnote w:id="15">
    <w:p w14:paraId="2492A95D" w14:textId="5C964D4B" w:rsidR="0019595F" w:rsidRPr="0064329C" w:rsidRDefault="0019595F" w:rsidP="0019595F">
      <w:pPr>
        <w:pStyle w:val="Textonotapie"/>
        <w:rPr>
          <w:szCs w:val="18"/>
          <w:lang w:val="en-US"/>
        </w:rPr>
      </w:pPr>
      <w:r w:rsidRPr="0064329C">
        <w:rPr>
          <w:szCs w:val="18"/>
          <w:lang w:val="en-US"/>
        </w:rPr>
        <w:tab/>
      </w:r>
      <w:r w:rsidRPr="0019595F">
        <w:rPr>
          <w:rStyle w:val="Refdenotaalpie"/>
        </w:rPr>
        <w:footnoteRef/>
      </w:r>
      <w:bookmarkStart w:id="6" w:name="_Hlk141768946"/>
      <w:r w:rsidRPr="0064329C">
        <w:rPr>
          <w:lang w:val="en-US"/>
        </w:rPr>
        <w:tab/>
      </w:r>
      <w:hyperlink r:id="rId25" w:history="1">
        <w:r w:rsidRPr="0019595F">
          <w:rPr>
            <w:rStyle w:val="Hipervnculo"/>
            <w:lang w:val="en-US"/>
          </w:rPr>
          <w:t>CERD/C/BGR/CO/20-22</w:t>
        </w:r>
      </w:hyperlink>
      <w:r w:rsidRPr="0064329C">
        <w:rPr>
          <w:lang w:val="en-US"/>
        </w:rPr>
        <w:t xml:space="preserve">, párr. </w:t>
      </w:r>
      <w:r w:rsidRPr="0064329C">
        <w:t xml:space="preserve">20; y </w:t>
      </w:r>
      <w:hyperlink r:id="rId26" w:history="1">
        <w:r w:rsidRPr="0019595F">
          <w:rPr>
            <w:rStyle w:val="Hipervnculo"/>
          </w:rPr>
          <w:t>CERD/C/BGR/23-25</w:t>
        </w:r>
      </w:hyperlink>
      <w:r w:rsidRPr="0064329C">
        <w:t xml:space="preserve">, párrs. </w:t>
      </w:r>
      <w:r w:rsidRPr="0064329C">
        <w:rPr>
          <w:lang w:val="en-US"/>
        </w:rPr>
        <w:t>60 a 63.</w:t>
      </w:r>
      <w:bookmarkEnd w:id="6"/>
    </w:p>
  </w:footnote>
  <w:footnote w:id="16">
    <w:p w14:paraId="2978233D" w14:textId="65812264" w:rsidR="0019595F" w:rsidRPr="0064329C" w:rsidRDefault="0019595F" w:rsidP="0019595F">
      <w:pPr>
        <w:pStyle w:val="Textonotapie"/>
        <w:rPr>
          <w:lang w:val="en-US"/>
        </w:rPr>
      </w:pPr>
      <w:r w:rsidRPr="0064329C">
        <w:rPr>
          <w:szCs w:val="18"/>
          <w:lang w:val="en-US"/>
        </w:rPr>
        <w:tab/>
      </w:r>
      <w:r w:rsidRPr="0019595F">
        <w:rPr>
          <w:rStyle w:val="Refdenotaalpie"/>
        </w:rPr>
        <w:footnoteRef/>
      </w:r>
      <w:r w:rsidRPr="0064329C">
        <w:rPr>
          <w:lang w:val="en-US"/>
        </w:rPr>
        <w:tab/>
      </w:r>
      <w:hyperlink r:id="rId27" w:history="1">
        <w:r w:rsidRPr="0019595F">
          <w:rPr>
            <w:rStyle w:val="Hipervnculo"/>
            <w:lang w:val="en-US"/>
          </w:rPr>
          <w:t>CERD/C/BGR/CO/20-22</w:t>
        </w:r>
      </w:hyperlink>
      <w:r w:rsidRPr="0064329C">
        <w:rPr>
          <w:lang w:val="en-US"/>
        </w:rPr>
        <w:t xml:space="preserve">, párr. </w:t>
      </w:r>
      <w:r w:rsidRPr="0064329C">
        <w:t xml:space="preserve">20; y </w:t>
      </w:r>
      <w:hyperlink r:id="rId28" w:history="1">
        <w:r w:rsidRPr="0019595F">
          <w:rPr>
            <w:rStyle w:val="Hipervnculo"/>
          </w:rPr>
          <w:t>CERD/C/BGR/23-25</w:t>
        </w:r>
      </w:hyperlink>
      <w:r w:rsidRPr="0064329C">
        <w:t xml:space="preserve">, párrs. </w:t>
      </w:r>
      <w:r w:rsidRPr="0064329C">
        <w:rPr>
          <w:lang w:val="en-US"/>
        </w:rPr>
        <w:t>70 a 83.</w:t>
      </w:r>
    </w:p>
  </w:footnote>
  <w:footnote w:id="17">
    <w:p w14:paraId="00EC9575" w14:textId="0BB71B4A" w:rsidR="0019595F" w:rsidRPr="0064329C" w:rsidRDefault="0019595F" w:rsidP="0019595F">
      <w:pPr>
        <w:pStyle w:val="Textonotapie"/>
        <w:rPr>
          <w:szCs w:val="18"/>
          <w:lang w:val="en-US"/>
        </w:rPr>
      </w:pPr>
      <w:r w:rsidRPr="0064329C">
        <w:rPr>
          <w:lang w:val="en-US"/>
        </w:rPr>
        <w:tab/>
      </w:r>
      <w:r w:rsidRPr="0019595F">
        <w:rPr>
          <w:rStyle w:val="Refdenotaalpie"/>
        </w:rPr>
        <w:footnoteRef/>
      </w:r>
      <w:r w:rsidRPr="0064329C">
        <w:rPr>
          <w:lang w:val="en-US"/>
        </w:rPr>
        <w:tab/>
      </w:r>
      <w:hyperlink r:id="rId29" w:history="1">
        <w:r w:rsidRPr="0019595F">
          <w:rPr>
            <w:rStyle w:val="Hipervnculo"/>
            <w:lang w:val="en-US"/>
          </w:rPr>
          <w:t>CERD/C/BGR/CO/20-22</w:t>
        </w:r>
      </w:hyperlink>
      <w:r w:rsidRPr="0064329C">
        <w:rPr>
          <w:lang w:val="en-US"/>
        </w:rPr>
        <w:t xml:space="preserve">, párr. </w:t>
      </w:r>
      <w:r w:rsidRPr="0064329C">
        <w:t xml:space="preserve">20; y </w:t>
      </w:r>
      <w:hyperlink r:id="rId30" w:history="1">
        <w:r w:rsidRPr="0019595F">
          <w:rPr>
            <w:rStyle w:val="Hipervnculo"/>
          </w:rPr>
          <w:t>CERD/C/BGR/23-25</w:t>
        </w:r>
      </w:hyperlink>
      <w:r w:rsidRPr="0064329C">
        <w:t xml:space="preserve">, párrs. </w:t>
      </w:r>
      <w:r w:rsidRPr="0064329C">
        <w:rPr>
          <w:lang w:val="en-US"/>
        </w:rPr>
        <w:t>66 a 69.</w:t>
      </w:r>
    </w:p>
  </w:footnote>
  <w:footnote w:id="18">
    <w:p w14:paraId="0F2E691F" w14:textId="0A8FBBEA" w:rsidR="0019595F" w:rsidRPr="0064329C" w:rsidRDefault="0019595F" w:rsidP="0019595F">
      <w:pPr>
        <w:pStyle w:val="Textonotapie"/>
        <w:rPr>
          <w:szCs w:val="18"/>
          <w:lang w:val="en-US"/>
        </w:rPr>
      </w:pPr>
      <w:r w:rsidRPr="0064329C">
        <w:rPr>
          <w:szCs w:val="18"/>
          <w:lang w:val="en-US"/>
        </w:rPr>
        <w:tab/>
      </w:r>
      <w:r w:rsidRPr="0019595F">
        <w:rPr>
          <w:rStyle w:val="Refdenotaalpie"/>
        </w:rPr>
        <w:footnoteRef/>
      </w:r>
      <w:r w:rsidRPr="0064329C">
        <w:rPr>
          <w:lang w:val="en-US"/>
        </w:rPr>
        <w:tab/>
      </w:r>
      <w:hyperlink r:id="rId31" w:history="1">
        <w:r w:rsidRPr="0019595F">
          <w:rPr>
            <w:rStyle w:val="Hipervnculo"/>
            <w:lang w:val="en-US"/>
          </w:rPr>
          <w:t>CERD/C/BGR/CO/20-22</w:t>
        </w:r>
      </w:hyperlink>
      <w:r w:rsidRPr="0064329C">
        <w:rPr>
          <w:lang w:val="en-US"/>
        </w:rPr>
        <w:t xml:space="preserve">, párr. </w:t>
      </w:r>
      <w:r w:rsidRPr="0064329C">
        <w:t xml:space="preserve">22; y </w:t>
      </w:r>
      <w:hyperlink r:id="rId32" w:history="1">
        <w:r w:rsidRPr="0019595F">
          <w:rPr>
            <w:rStyle w:val="Hipervnculo"/>
          </w:rPr>
          <w:t>CERD/C/BGR/23-25</w:t>
        </w:r>
      </w:hyperlink>
      <w:r w:rsidRPr="0064329C">
        <w:t xml:space="preserve">, párrs. </w:t>
      </w:r>
      <w:r w:rsidRPr="0064329C">
        <w:rPr>
          <w:lang w:val="en-US"/>
        </w:rPr>
        <w:t>112 a 115.</w:t>
      </w:r>
    </w:p>
  </w:footnote>
  <w:footnote w:id="19">
    <w:p w14:paraId="028385E9" w14:textId="78FE71F1" w:rsidR="0019595F" w:rsidRPr="0064329C" w:rsidRDefault="0019595F" w:rsidP="0019595F">
      <w:pPr>
        <w:pStyle w:val="Textonotapie"/>
        <w:rPr>
          <w:szCs w:val="18"/>
          <w:lang w:val="en-US"/>
        </w:rPr>
      </w:pPr>
      <w:r w:rsidRPr="0064329C">
        <w:rPr>
          <w:szCs w:val="18"/>
          <w:lang w:val="en-US"/>
        </w:rPr>
        <w:tab/>
      </w:r>
      <w:r w:rsidRPr="0019595F">
        <w:rPr>
          <w:rStyle w:val="Refdenotaalpie"/>
        </w:rPr>
        <w:footnoteRef/>
      </w:r>
      <w:r w:rsidRPr="0064329C">
        <w:rPr>
          <w:lang w:val="en-US"/>
        </w:rPr>
        <w:tab/>
      </w:r>
      <w:hyperlink r:id="rId33" w:history="1">
        <w:r w:rsidRPr="0019595F">
          <w:rPr>
            <w:rStyle w:val="Hipervnculo"/>
            <w:lang w:val="en-US"/>
          </w:rPr>
          <w:t>CERD/C/BGR/CO/20-22</w:t>
        </w:r>
      </w:hyperlink>
      <w:r w:rsidRPr="0064329C">
        <w:rPr>
          <w:lang w:val="en-US"/>
        </w:rPr>
        <w:t xml:space="preserve">, párr. </w:t>
      </w:r>
      <w:r w:rsidRPr="0064329C">
        <w:t xml:space="preserve">22; y </w:t>
      </w:r>
      <w:hyperlink r:id="rId34" w:history="1">
        <w:r w:rsidRPr="0019595F">
          <w:rPr>
            <w:rStyle w:val="Hipervnculo"/>
          </w:rPr>
          <w:t>CERD/C/BGR/23-25</w:t>
        </w:r>
      </w:hyperlink>
      <w:r w:rsidRPr="0064329C">
        <w:t xml:space="preserve">, párrs. </w:t>
      </w:r>
      <w:r w:rsidRPr="0064329C">
        <w:rPr>
          <w:lang w:val="en-US"/>
        </w:rPr>
        <w:t>115 a 117.</w:t>
      </w:r>
    </w:p>
  </w:footnote>
  <w:footnote w:id="20">
    <w:p w14:paraId="0AB4EABE" w14:textId="41D7678B" w:rsidR="0019595F" w:rsidRPr="0064329C" w:rsidRDefault="0019595F" w:rsidP="0019595F">
      <w:pPr>
        <w:pStyle w:val="Textonotapie"/>
        <w:rPr>
          <w:szCs w:val="18"/>
          <w:lang w:val="en-US"/>
        </w:rPr>
      </w:pPr>
      <w:r w:rsidRPr="0064329C">
        <w:rPr>
          <w:szCs w:val="18"/>
          <w:lang w:val="en-US"/>
        </w:rPr>
        <w:tab/>
      </w:r>
      <w:r w:rsidRPr="0019595F">
        <w:rPr>
          <w:rStyle w:val="Refdenotaalpie"/>
        </w:rPr>
        <w:footnoteRef/>
      </w:r>
      <w:r w:rsidRPr="0064329C">
        <w:rPr>
          <w:lang w:val="en-US"/>
        </w:rPr>
        <w:tab/>
      </w:r>
      <w:hyperlink r:id="rId35" w:history="1">
        <w:r w:rsidRPr="0019595F">
          <w:rPr>
            <w:rStyle w:val="Hipervnculo"/>
            <w:lang w:val="en-US"/>
          </w:rPr>
          <w:t>CERD/C/BGR/CO/20-22</w:t>
        </w:r>
      </w:hyperlink>
      <w:r w:rsidRPr="0064329C">
        <w:rPr>
          <w:lang w:val="en-US"/>
        </w:rPr>
        <w:t xml:space="preserve">, párr. </w:t>
      </w:r>
      <w:r w:rsidRPr="0064329C">
        <w:t xml:space="preserve">22; y </w:t>
      </w:r>
      <w:hyperlink r:id="rId36" w:history="1">
        <w:r w:rsidRPr="0019595F">
          <w:rPr>
            <w:rStyle w:val="Hipervnculo"/>
          </w:rPr>
          <w:t>CERD/C/BGR/23-25</w:t>
        </w:r>
      </w:hyperlink>
      <w:r w:rsidRPr="0064329C">
        <w:t xml:space="preserve">, párrs. </w:t>
      </w:r>
      <w:r w:rsidRPr="0064329C">
        <w:rPr>
          <w:lang w:val="en-US"/>
        </w:rPr>
        <w:t>127 a 137.</w:t>
      </w:r>
    </w:p>
  </w:footnote>
  <w:footnote w:id="21">
    <w:p w14:paraId="599E2180" w14:textId="7684A8D3" w:rsidR="0019595F" w:rsidRPr="0064329C" w:rsidRDefault="0019595F" w:rsidP="0019595F">
      <w:pPr>
        <w:pStyle w:val="Textonotapie"/>
        <w:rPr>
          <w:szCs w:val="18"/>
        </w:rPr>
      </w:pPr>
      <w:r w:rsidRPr="0064329C">
        <w:rPr>
          <w:szCs w:val="18"/>
          <w:lang w:val="en-US"/>
        </w:rPr>
        <w:tab/>
      </w:r>
      <w:r w:rsidRPr="0019595F">
        <w:rPr>
          <w:rStyle w:val="Refdenotaalpie"/>
        </w:rPr>
        <w:footnoteRef/>
      </w:r>
      <w:r w:rsidRPr="0064329C">
        <w:rPr>
          <w:lang w:val="en-US"/>
        </w:rPr>
        <w:tab/>
      </w:r>
      <w:hyperlink r:id="rId37" w:history="1">
        <w:r w:rsidRPr="0019595F">
          <w:rPr>
            <w:rStyle w:val="Hipervnculo"/>
            <w:lang w:val="en-US"/>
          </w:rPr>
          <w:t>CERD/C/BGR/23-25</w:t>
        </w:r>
      </w:hyperlink>
      <w:r w:rsidRPr="0064329C">
        <w:rPr>
          <w:lang w:val="en-US"/>
        </w:rPr>
        <w:t>, párr. 114.</w:t>
      </w:r>
    </w:p>
  </w:footnote>
  <w:footnote w:id="22">
    <w:p w14:paraId="2278139B" w14:textId="51342DCE" w:rsidR="0019595F" w:rsidRPr="0064329C" w:rsidRDefault="0019595F" w:rsidP="0019595F">
      <w:pPr>
        <w:pStyle w:val="Textonotapie"/>
      </w:pPr>
      <w:r w:rsidRPr="0064329C">
        <w:rPr>
          <w:szCs w:val="18"/>
          <w:lang w:val="en-US"/>
        </w:rPr>
        <w:tab/>
      </w:r>
      <w:r w:rsidRPr="0019595F">
        <w:rPr>
          <w:rStyle w:val="Refdenotaalpie"/>
        </w:rPr>
        <w:footnoteRef/>
      </w:r>
      <w:bookmarkStart w:id="7" w:name="_Hlk141826700"/>
      <w:bookmarkStart w:id="8" w:name="_Hlk141772195"/>
      <w:r w:rsidRPr="0064329C">
        <w:rPr>
          <w:lang w:val="en-US"/>
        </w:rPr>
        <w:tab/>
      </w:r>
      <w:hyperlink r:id="rId38" w:history="1">
        <w:r w:rsidRPr="004C23BF">
          <w:rPr>
            <w:rStyle w:val="Hipervnculo"/>
            <w:lang w:val="en-US"/>
          </w:rPr>
          <w:t>CERD/C/BGR/CO/20-22</w:t>
        </w:r>
      </w:hyperlink>
      <w:r w:rsidRPr="0064329C">
        <w:rPr>
          <w:lang w:val="en-US"/>
        </w:rPr>
        <w:t xml:space="preserve">, párr. </w:t>
      </w:r>
      <w:r w:rsidRPr="0064329C">
        <w:t xml:space="preserve">22; y </w:t>
      </w:r>
      <w:hyperlink r:id="rId39" w:history="1">
        <w:r w:rsidRPr="004C23BF">
          <w:rPr>
            <w:rStyle w:val="Hipervnculo"/>
          </w:rPr>
          <w:t>CERD/C/BGR/23-25</w:t>
        </w:r>
      </w:hyperlink>
      <w:r w:rsidRPr="0064329C">
        <w:t>, párrs. 113, 121 a 123, 125 y 126.</w:t>
      </w:r>
      <w:bookmarkEnd w:id="7"/>
    </w:p>
    <w:bookmarkEnd w:id="8"/>
  </w:footnote>
  <w:footnote w:id="23">
    <w:p w14:paraId="7394E7AA" w14:textId="5E407D81" w:rsidR="0019595F" w:rsidRPr="0064329C" w:rsidRDefault="0019595F" w:rsidP="0019595F">
      <w:pPr>
        <w:pStyle w:val="Textonotapie"/>
        <w:rPr>
          <w:szCs w:val="18"/>
        </w:rPr>
      </w:pPr>
      <w:r w:rsidRPr="0064329C">
        <w:tab/>
      </w:r>
      <w:r w:rsidRPr="0019595F">
        <w:rPr>
          <w:rStyle w:val="Refdenotaalpie"/>
        </w:rPr>
        <w:footnoteRef/>
      </w:r>
      <w:r w:rsidRPr="0064329C">
        <w:tab/>
      </w:r>
      <w:hyperlink r:id="rId40" w:history="1">
        <w:r w:rsidRPr="004C23BF">
          <w:rPr>
            <w:rStyle w:val="Hipervnculo"/>
          </w:rPr>
          <w:t>CERD/C/BGR/CO/20-22</w:t>
        </w:r>
      </w:hyperlink>
      <w:r w:rsidRPr="0064329C">
        <w:t xml:space="preserve">, párr. 22; y </w:t>
      </w:r>
      <w:hyperlink r:id="rId41" w:history="1">
        <w:r w:rsidRPr="004C23BF">
          <w:rPr>
            <w:rStyle w:val="Hipervnculo"/>
          </w:rPr>
          <w:t>CERD/C/BGR/23-25</w:t>
        </w:r>
      </w:hyperlink>
      <w:r w:rsidRPr="0064329C">
        <w:t>, párrs. 119 y 120.</w:t>
      </w:r>
    </w:p>
  </w:footnote>
  <w:footnote w:id="24">
    <w:p w14:paraId="3288541A" w14:textId="2CA5CD0B" w:rsidR="0019595F" w:rsidRPr="0064329C" w:rsidRDefault="0019595F" w:rsidP="0019595F">
      <w:pPr>
        <w:pStyle w:val="Textonotapie"/>
      </w:pPr>
      <w:r w:rsidRPr="0064329C">
        <w:rPr>
          <w:szCs w:val="18"/>
        </w:rPr>
        <w:tab/>
      </w:r>
      <w:r w:rsidRPr="0019595F">
        <w:rPr>
          <w:rStyle w:val="Refdenotaalpie"/>
        </w:rPr>
        <w:footnoteRef/>
      </w:r>
      <w:r w:rsidRPr="0064329C">
        <w:tab/>
      </w:r>
      <w:hyperlink r:id="rId42" w:history="1">
        <w:r w:rsidRPr="004C23BF">
          <w:rPr>
            <w:rStyle w:val="Hipervnculo"/>
          </w:rPr>
          <w:t>CERD/C/BGR/CO/20-22</w:t>
        </w:r>
      </w:hyperlink>
      <w:r w:rsidRPr="0064329C">
        <w:t xml:space="preserve">, párr. 22; y </w:t>
      </w:r>
      <w:hyperlink r:id="rId43" w:history="1">
        <w:r w:rsidRPr="004C23BF">
          <w:rPr>
            <w:rStyle w:val="Hipervnculo"/>
          </w:rPr>
          <w:t>CERD/C/BGR/23-25</w:t>
        </w:r>
      </w:hyperlink>
      <w:r w:rsidRPr="0064329C">
        <w:t>, párrs. 124, 125, 134 y 135.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76D14" w14:textId="14B7E18D" w:rsidR="0019595F" w:rsidRPr="0019595F" w:rsidRDefault="00903CE6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CERD/C/BGR/Q/23-25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4C2A0" w14:textId="63828DE0" w:rsidR="0019595F" w:rsidRPr="0019595F" w:rsidRDefault="00903CE6" w:rsidP="0019595F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CERD/C/BGR/Q/23-25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DE29DA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392432164">
    <w:abstractNumId w:val="14"/>
  </w:num>
  <w:num w:numId="2" w16cid:durableId="883979011">
    <w:abstractNumId w:val="11"/>
  </w:num>
  <w:num w:numId="3" w16cid:durableId="491720434">
    <w:abstractNumId w:val="16"/>
  </w:num>
  <w:num w:numId="4" w16cid:durableId="1542132718">
    <w:abstractNumId w:val="15"/>
  </w:num>
  <w:num w:numId="5" w16cid:durableId="706561544">
    <w:abstractNumId w:val="13"/>
  </w:num>
  <w:num w:numId="6" w16cid:durableId="957566238">
    <w:abstractNumId w:val="8"/>
  </w:num>
  <w:num w:numId="7" w16cid:durableId="1750734367">
    <w:abstractNumId w:val="3"/>
  </w:num>
  <w:num w:numId="8" w16cid:durableId="2058510988">
    <w:abstractNumId w:val="2"/>
  </w:num>
  <w:num w:numId="9" w16cid:durableId="555822863">
    <w:abstractNumId w:val="1"/>
  </w:num>
  <w:num w:numId="10" w16cid:durableId="795755439">
    <w:abstractNumId w:val="0"/>
  </w:num>
  <w:num w:numId="11" w16cid:durableId="942765826">
    <w:abstractNumId w:val="9"/>
  </w:num>
  <w:num w:numId="12" w16cid:durableId="1181044787">
    <w:abstractNumId w:val="7"/>
  </w:num>
  <w:num w:numId="13" w16cid:durableId="1043597208">
    <w:abstractNumId w:val="6"/>
  </w:num>
  <w:num w:numId="14" w16cid:durableId="267928910">
    <w:abstractNumId w:val="5"/>
  </w:num>
  <w:num w:numId="15" w16cid:durableId="738140331">
    <w:abstractNumId w:val="4"/>
  </w:num>
  <w:num w:numId="16" w16cid:durableId="1242521116">
    <w:abstractNumId w:val="10"/>
  </w:num>
  <w:num w:numId="17" w16cid:durableId="1847017288">
    <w:abstractNumId w:val="14"/>
  </w:num>
  <w:num w:numId="18" w16cid:durableId="431630688">
    <w:abstractNumId w:val="11"/>
  </w:num>
  <w:num w:numId="19" w16cid:durableId="2102606089">
    <w:abstractNumId w:val="10"/>
  </w:num>
  <w:num w:numId="20" w16cid:durableId="1768233992">
    <w:abstractNumId w:val="16"/>
  </w:num>
  <w:num w:numId="21" w16cid:durableId="195585183">
    <w:abstractNumId w:val="15"/>
  </w:num>
  <w:num w:numId="22" w16cid:durableId="229734215">
    <w:abstractNumId w:val="12"/>
  </w:num>
  <w:num w:numId="23" w16cid:durableId="1233394409">
    <w:abstractNumId w:val="12"/>
  </w:num>
  <w:num w:numId="24" w16cid:durableId="2018120014">
    <w:abstractNumId w:val="13"/>
  </w:num>
  <w:num w:numId="25" w16cid:durableId="1549487944">
    <w:abstractNumId w:val="9"/>
  </w:num>
  <w:num w:numId="26" w16cid:durableId="1005476658">
    <w:abstractNumId w:val="7"/>
  </w:num>
  <w:num w:numId="27" w16cid:durableId="1305698299">
    <w:abstractNumId w:val="6"/>
  </w:num>
  <w:num w:numId="28" w16cid:durableId="1906450291">
    <w:abstractNumId w:val="5"/>
  </w:num>
  <w:num w:numId="29" w16cid:durableId="36127718">
    <w:abstractNumId w:val="4"/>
  </w:num>
  <w:num w:numId="30" w16cid:durableId="641613820">
    <w:abstractNumId w:val="8"/>
  </w:num>
  <w:num w:numId="31" w16cid:durableId="2112893677">
    <w:abstractNumId w:val="3"/>
  </w:num>
  <w:num w:numId="32" w16cid:durableId="806161979">
    <w:abstractNumId w:val="2"/>
  </w:num>
  <w:num w:numId="33" w16cid:durableId="1071658225">
    <w:abstractNumId w:val="1"/>
  </w:num>
  <w:num w:numId="34" w16cid:durableId="1700666231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D33"/>
    <w:rsid w:val="00006BB9"/>
    <w:rsid w:val="000107A1"/>
    <w:rsid w:val="0002339D"/>
    <w:rsid w:val="00036733"/>
    <w:rsid w:val="000B57E7"/>
    <w:rsid w:val="000F09DF"/>
    <w:rsid w:val="000F5804"/>
    <w:rsid w:val="000F61B2"/>
    <w:rsid w:val="00100EA7"/>
    <w:rsid w:val="00103A93"/>
    <w:rsid w:val="001075E9"/>
    <w:rsid w:val="00133DFF"/>
    <w:rsid w:val="00145F2F"/>
    <w:rsid w:val="00160FF7"/>
    <w:rsid w:val="00180183"/>
    <w:rsid w:val="0019595F"/>
    <w:rsid w:val="00196389"/>
    <w:rsid w:val="001C7A89"/>
    <w:rsid w:val="00201F1A"/>
    <w:rsid w:val="0020582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4031F0"/>
    <w:rsid w:val="00454E07"/>
    <w:rsid w:val="00471CB3"/>
    <w:rsid w:val="004B5CEF"/>
    <w:rsid w:val="004C23BF"/>
    <w:rsid w:val="0050108D"/>
    <w:rsid w:val="00515104"/>
    <w:rsid w:val="0051740C"/>
    <w:rsid w:val="00572E19"/>
    <w:rsid w:val="005F0B42"/>
    <w:rsid w:val="00634841"/>
    <w:rsid w:val="00655A21"/>
    <w:rsid w:val="0067198A"/>
    <w:rsid w:val="006725B3"/>
    <w:rsid w:val="006808A9"/>
    <w:rsid w:val="006B12B8"/>
    <w:rsid w:val="006D631C"/>
    <w:rsid w:val="006F35EE"/>
    <w:rsid w:val="007021FF"/>
    <w:rsid w:val="007076CB"/>
    <w:rsid w:val="0077618F"/>
    <w:rsid w:val="007967DF"/>
    <w:rsid w:val="007A4D33"/>
    <w:rsid w:val="007F6465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3CE6"/>
    <w:rsid w:val="00906890"/>
    <w:rsid w:val="00951972"/>
    <w:rsid w:val="00954E65"/>
    <w:rsid w:val="0097462E"/>
    <w:rsid w:val="00A17DFD"/>
    <w:rsid w:val="00A414EF"/>
    <w:rsid w:val="00A4674B"/>
    <w:rsid w:val="00A917B3"/>
    <w:rsid w:val="00AB4B51"/>
    <w:rsid w:val="00B066FC"/>
    <w:rsid w:val="00B10CC7"/>
    <w:rsid w:val="00B62458"/>
    <w:rsid w:val="00B778C8"/>
    <w:rsid w:val="00BA3587"/>
    <w:rsid w:val="00BB36EA"/>
    <w:rsid w:val="00BD33EE"/>
    <w:rsid w:val="00C60F0C"/>
    <w:rsid w:val="00C63C2A"/>
    <w:rsid w:val="00C805C9"/>
    <w:rsid w:val="00C907F0"/>
    <w:rsid w:val="00CA1679"/>
    <w:rsid w:val="00CC15A3"/>
    <w:rsid w:val="00D05347"/>
    <w:rsid w:val="00D43FF0"/>
    <w:rsid w:val="00D90138"/>
    <w:rsid w:val="00DA26B8"/>
    <w:rsid w:val="00DD4E25"/>
    <w:rsid w:val="00E05C6B"/>
    <w:rsid w:val="00E2656E"/>
    <w:rsid w:val="00E73F76"/>
    <w:rsid w:val="00EA31D8"/>
    <w:rsid w:val="00EA5579"/>
    <w:rsid w:val="00EF1360"/>
    <w:rsid w:val="00EF3220"/>
    <w:rsid w:val="00EF7198"/>
    <w:rsid w:val="00F41883"/>
    <w:rsid w:val="00F45524"/>
    <w:rsid w:val="00F94155"/>
    <w:rsid w:val="00FB2C5F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9BE66B"/>
  <w15:docId w15:val="{813F55F1-11C3-47E1-9576-9149AC96B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7F6465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7F646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7F64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7F646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7F646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7F646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7F646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7F646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7F646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7F646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7F64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7F646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7F646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7F646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7F6465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7F646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7F646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7F6465"/>
    <w:pPr>
      <w:numPr>
        <w:numId w:val="3"/>
      </w:numPr>
    </w:pPr>
  </w:style>
  <w:style w:type="numbering" w:styleId="1ai">
    <w:name w:val="Outline List 1"/>
    <w:basedOn w:val="Sinlista"/>
    <w:rsid w:val="007F646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7F6465"/>
  </w:style>
  <w:style w:type="numbering" w:styleId="ArtculoSeccin">
    <w:name w:val="Outline List 3"/>
    <w:basedOn w:val="Sinlista"/>
    <w:rsid w:val="007F6465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7F6465"/>
    <w:pPr>
      <w:ind w:left="4252"/>
    </w:pPr>
  </w:style>
  <w:style w:type="character" w:styleId="CitaHTML">
    <w:name w:val="HTML Cite"/>
    <w:semiHidden/>
    <w:rsid w:val="007F6465"/>
    <w:rPr>
      <w:i/>
      <w:iCs/>
    </w:rPr>
  </w:style>
  <w:style w:type="character" w:styleId="CdigoHTML">
    <w:name w:val="HTML Code"/>
    <w:semiHidden/>
    <w:rsid w:val="007F646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7F6465"/>
    <w:pPr>
      <w:spacing w:after="120"/>
      <w:ind w:left="283"/>
    </w:pPr>
  </w:style>
  <w:style w:type="paragraph" w:styleId="Continuarlista2">
    <w:name w:val="List Continue 2"/>
    <w:basedOn w:val="Normal"/>
    <w:semiHidden/>
    <w:rsid w:val="007F6465"/>
    <w:pPr>
      <w:spacing w:after="120"/>
      <w:ind w:left="566"/>
    </w:pPr>
  </w:style>
  <w:style w:type="paragraph" w:styleId="Continuarlista3">
    <w:name w:val="List Continue 3"/>
    <w:basedOn w:val="Normal"/>
    <w:semiHidden/>
    <w:rsid w:val="007F6465"/>
    <w:pPr>
      <w:spacing w:after="120"/>
      <w:ind w:left="849"/>
    </w:pPr>
  </w:style>
  <w:style w:type="paragraph" w:styleId="Continuarlista4">
    <w:name w:val="List Continue 4"/>
    <w:basedOn w:val="Normal"/>
    <w:semiHidden/>
    <w:rsid w:val="007F6465"/>
    <w:pPr>
      <w:spacing w:after="120"/>
      <w:ind w:left="1132"/>
    </w:pPr>
  </w:style>
  <w:style w:type="paragraph" w:styleId="Continuarlista5">
    <w:name w:val="List Continue 5"/>
    <w:basedOn w:val="Normal"/>
    <w:semiHidden/>
    <w:rsid w:val="007F6465"/>
    <w:pPr>
      <w:spacing w:after="120"/>
      <w:ind w:left="1415"/>
    </w:pPr>
  </w:style>
  <w:style w:type="character" w:styleId="DefinicinHTML">
    <w:name w:val="HTML Definition"/>
    <w:semiHidden/>
    <w:rsid w:val="007F6465"/>
    <w:rPr>
      <w:i/>
      <w:iCs/>
    </w:rPr>
  </w:style>
  <w:style w:type="paragraph" w:styleId="DireccinHTML">
    <w:name w:val="HTML Address"/>
    <w:basedOn w:val="Normal"/>
    <w:link w:val="DireccinHTMLCar"/>
    <w:semiHidden/>
    <w:rsid w:val="007F6465"/>
    <w:rPr>
      <w:i/>
      <w:iCs/>
    </w:rPr>
  </w:style>
  <w:style w:type="paragraph" w:styleId="Direccinsobre">
    <w:name w:val="envelope address"/>
    <w:basedOn w:val="Normal"/>
    <w:semiHidden/>
    <w:rsid w:val="007F646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7F6465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7F646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7F6465"/>
  </w:style>
  <w:style w:type="character" w:styleId="nfasis">
    <w:name w:val="Emphasis"/>
    <w:semiHidden/>
    <w:rsid w:val="007F6465"/>
    <w:rPr>
      <w:i/>
      <w:iCs/>
    </w:rPr>
  </w:style>
  <w:style w:type="paragraph" w:styleId="Fecha">
    <w:name w:val="Date"/>
    <w:basedOn w:val="Normal"/>
    <w:next w:val="Normal"/>
    <w:link w:val="FechaCar"/>
    <w:semiHidden/>
    <w:rsid w:val="007F6465"/>
  </w:style>
  <w:style w:type="paragraph" w:styleId="Firma">
    <w:name w:val="Signature"/>
    <w:basedOn w:val="Normal"/>
    <w:link w:val="FirmaCar"/>
    <w:semiHidden/>
    <w:rsid w:val="007F6465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7F6465"/>
  </w:style>
  <w:style w:type="character" w:styleId="Hipervnculo">
    <w:name w:val="Hyperlink"/>
    <w:uiPriority w:val="4"/>
    <w:rsid w:val="007F6465"/>
    <w:rPr>
      <w:color w:val="0000FF"/>
      <w:u w:val="none"/>
    </w:rPr>
  </w:style>
  <w:style w:type="character" w:styleId="Hipervnculovisitado">
    <w:name w:val="FollowedHyperlink"/>
    <w:uiPriority w:val="4"/>
    <w:rsid w:val="007F6465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7F6465"/>
    <w:rPr>
      <w:rFonts w:ascii="Courier New" w:hAnsi="Courier New" w:cs="Courier New"/>
    </w:rPr>
  </w:style>
  <w:style w:type="paragraph" w:styleId="Lista">
    <w:name w:val="List"/>
    <w:basedOn w:val="Normal"/>
    <w:semiHidden/>
    <w:rsid w:val="007F6465"/>
    <w:pPr>
      <w:ind w:left="283" w:hanging="283"/>
    </w:pPr>
  </w:style>
  <w:style w:type="paragraph" w:styleId="Lista2">
    <w:name w:val="List 2"/>
    <w:basedOn w:val="Normal"/>
    <w:semiHidden/>
    <w:rsid w:val="007F6465"/>
    <w:pPr>
      <w:ind w:left="566" w:hanging="283"/>
    </w:pPr>
  </w:style>
  <w:style w:type="paragraph" w:styleId="Lista3">
    <w:name w:val="List 3"/>
    <w:basedOn w:val="Normal"/>
    <w:semiHidden/>
    <w:rsid w:val="007F6465"/>
    <w:pPr>
      <w:ind w:left="849" w:hanging="283"/>
    </w:pPr>
  </w:style>
  <w:style w:type="paragraph" w:styleId="Lista4">
    <w:name w:val="List 4"/>
    <w:basedOn w:val="Normal"/>
    <w:semiHidden/>
    <w:rsid w:val="007F6465"/>
    <w:pPr>
      <w:ind w:left="1132" w:hanging="283"/>
    </w:pPr>
  </w:style>
  <w:style w:type="paragraph" w:styleId="Lista5">
    <w:name w:val="List 5"/>
    <w:basedOn w:val="Normal"/>
    <w:semiHidden/>
    <w:rsid w:val="007F6465"/>
    <w:pPr>
      <w:ind w:left="1415" w:hanging="283"/>
    </w:pPr>
  </w:style>
  <w:style w:type="paragraph" w:styleId="Listaconnmeros">
    <w:name w:val="List Number"/>
    <w:basedOn w:val="Normal"/>
    <w:semiHidden/>
    <w:rsid w:val="007F6465"/>
    <w:pPr>
      <w:numPr>
        <w:numId w:val="30"/>
      </w:numPr>
    </w:pPr>
  </w:style>
  <w:style w:type="paragraph" w:styleId="Listaconnmeros2">
    <w:name w:val="List Number 2"/>
    <w:basedOn w:val="Normal"/>
    <w:semiHidden/>
    <w:rsid w:val="007F6465"/>
    <w:pPr>
      <w:numPr>
        <w:numId w:val="31"/>
      </w:numPr>
    </w:pPr>
  </w:style>
  <w:style w:type="paragraph" w:styleId="Listaconnmeros3">
    <w:name w:val="List Number 3"/>
    <w:basedOn w:val="Normal"/>
    <w:semiHidden/>
    <w:rsid w:val="007F6465"/>
    <w:pPr>
      <w:numPr>
        <w:numId w:val="32"/>
      </w:numPr>
    </w:pPr>
  </w:style>
  <w:style w:type="paragraph" w:styleId="Listaconnmeros4">
    <w:name w:val="List Number 4"/>
    <w:basedOn w:val="Normal"/>
    <w:semiHidden/>
    <w:rsid w:val="007F6465"/>
    <w:pPr>
      <w:numPr>
        <w:numId w:val="33"/>
      </w:numPr>
    </w:pPr>
  </w:style>
  <w:style w:type="paragraph" w:styleId="Listaconnmeros5">
    <w:name w:val="List Number 5"/>
    <w:basedOn w:val="Normal"/>
    <w:semiHidden/>
    <w:rsid w:val="007F6465"/>
    <w:pPr>
      <w:numPr>
        <w:numId w:val="34"/>
      </w:numPr>
    </w:pPr>
  </w:style>
  <w:style w:type="paragraph" w:styleId="Listaconvietas">
    <w:name w:val="List Bullet"/>
    <w:basedOn w:val="Normal"/>
    <w:semiHidden/>
    <w:rsid w:val="007F6465"/>
    <w:pPr>
      <w:numPr>
        <w:numId w:val="25"/>
      </w:numPr>
    </w:pPr>
  </w:style>
  <w:style w:type="paragraph" w:styleId="Listaconvietas2">
    <w:name w:val="List Bullet 2"/>
    <w:basedOn w:val="Normal"/>
    <w:semiHidden/>
    <w:rsid w:val="007F6465"/>
    <w:pPr>
      <w:numPr>
        <w:numId w:val="26"/>
      </w:numPr>
    </w:pPr>
  </w:style>
  <w:style w:type="paragraph" w:styleId="Listaconvietas3">
    <w:name w:val="List Bullet 3"/>
    <w:basedOn w:val="Normal"/>
    <w:semiHidden/>
    <w:rsid w:val="007F6465"/>
    <w:pPr>
      <w:numPr>
        <w:numId w:val="27"/>
      </w:numPr>
    </w:pPr>
  </w:style>
  <w:style w:type="paragraph" w:styleId="Listaconvietas4">
    <w:name w:val="List Bullet 4"/>
    <w:basedOn w:val="Normal"/>
    <w:semiHidden/>
    <w:rsid w:val="007F6465"/>
    <w:pPr>
      <w:numPr>
        <w:numId w:val="28"/>
      </w:numPr>
    </w:pPr>
  </w:style>
  <w:style w:type="paragraph" w:styleId="Listaconvietas5">
    <w:name w:val="List Bullet 5"/>
    <w:basedOn w:val="Normal"/>
    <w:semiHidden/>
    <w:rsid w:val="007F6465"/>
    <w:pPr>
      <w:numPr>
        <w:numId w:val="29"/>
      </w:numPr>
    </w:pPr>
  </w:style>
  <w:style w:type="character" w:styleId="MquinadeescribirHTML">
    <w:name w:val="HTML Typewriter"/>
    <w:semiHidden/>
    <w:rsid w:val="007F646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7F6465"/>
    <w:rPr>
      <w:sz w:val="24"/>
      <w:szCs w:val="24"/>
    </w:rPr>
  </w:style>
  <w:style w:type="character" w:styleId="Nmerodelnea">
    <w:name w:val="line number"/>
    <w:basedOn w:val="Fuentedeprrafopredeter"/>
    <w:semiHidden/>
    <w:rsid w:val="007F6465"/>
  </w:style>
  <w:style w:type="character" w:styleId="Nmerodepgina">
    <w:name w:val="page number"/>
    <w:aliases w:val="7_G"/>
    <w:uiPriority w:val="3"/>
    <w:qFormat/>
    <w:rsid w:val="007F6465"/>
    <w:rPr>
      <w:b/>
      <w:sz w:val="18"/>
    </w:rPr>
  </w:style>
  <w:style w:type="character" w:styleId="Refdenotaalfinal">
    <w:name w:val="endnote reference"/>
    <w:aliases w:val="1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7F6465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7F6465"/>
  </w:style>
  <w:style w:type="paragraph" w:styleId="Sangra2detindependiente">
    <w:name w:val="Body Text Indent 2"/>
    <w:basedOn w:val="Normal"/>
    <w:link w:val="Sangra2detindependienteCar"/>
    <w:semiHidden/>
    <w:rsid w:val="007F646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7F646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7F6465"/>
    <w:pPr>
      <w:spacing w:after="120"/>
      <w:ind w:left="283"/>
    </w:pPr>
  </w:style>
  <w:style w:type="paragraph" w:styleId="Sangranormal">
    <w:name w:val="Normal Indent"/>
    <w:basedOn w:val="Normal"/>
    <w:semiHidden/>
    <w:rsid w:val="007F6465"/>
    <w:pPr>
      <w:ind w:left="567"/>
    </w:pPr>
  </w:style>
  <w:style w:type="paragraph" w:styleId="Subttulo">
    <w:name w:val="Subtitle"/>
    <w:basedOn w:val="Normal"/>
    <w:link w:val="SubttuloCar"/>
    <w:semiHidden/>
    <w:rsid w:val="007F646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7F6465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7F6465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7F6465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7F6465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7F6465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7F6465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7F6465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7F6465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7F6465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7F6465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7F6465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7F6465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7F646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7F6465"/>
    <w:pPr>
      <w:spacing w:after="120"/>
      <w:ind w:left="1440" w:right="1440"/>
    </w:pPr>
  </w:style>
  <w:style w:type="character" w:styleId="Textoennegrita">
    <w:name w:val="Strong"/>
    <w:semiHidden/>
    <w:rsid w:val="007F6465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7F6465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7F6465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7F646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7F6465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7F6465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7F6465"/>
  </w:style>
  <w:style w:type="paragraph" w:styleId="Textosinformato">
    <w:name w:val="Plain Text"/>
    <w:basedOn w:val="Normal"/>
    <w:link w:val="TextosinformatoCar"/>
    <w:semiHidden/>
    <w:rsid w:val="007F6465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7F646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7F6465"/>
    <w:rPr>
      <w:i/>
      <w:iCs/>
    </w:rPr>
  </w:style>
  <w:style w:type="paragraph" w:customStyle="1" w:styleId="Bullet1G">
    <w:name w:val="_Bullet 1_G"/>
    <w:basedOn w:val="Normal"/>
    <w:uiPriority w:val="1"/>
    <w:qFormat/>
    <w:rsid w:val="007F6465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7F6465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7F646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F6465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7F6465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7F6465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7F6465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7F6465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F6465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F6465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F6465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7F6465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7F6465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7F6465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F6465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7F6465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7F6465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7F6465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7F6465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7F6465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7F6465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7F6465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7F6465"/>
    <w:rPr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7F6465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7F6465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7F6465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rsid w:val="007F6465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rsid w:val="007F646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rsid w:val="007F6465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7F6465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7F6465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7F6465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7F6465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7F6465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7F6465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7F6465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7F6465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7F6465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7F6465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7F6465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7F6465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7F6465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7F6465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1959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es/CERD/C/BGR/CO/20-22" TargetMode="External"/><Relationship Id="rId13" Type="http://schemas.openxmlformats.org/officeDocument/2006/relationships/hyperlink" Target="https://undocs.org/es/CERD/C/BGR/23-25" TargetMode="External"/><Relationship Id="rId18" Type="http://schemas.openxmlformats.org/officeDocument/2006/relationships/hyperlink" Target="https://undocs.org/es/CERD/C/BGR/23-25" TargetMode="External"/><Relationship Id="rId26" Type="http://schemas.openxmlformats.org/officeDocument/2006/relationships/hyperlink" Target="https://undocs.org/es/CERD/C/BGR/23-25" TargetMode="External"/><Relationship Id="rId39" Type="http://schemas.openxmlformats.org/officeDocument/2006/relationships/hyperlink" Target="https://undocs.org/es/CERD/C/BGR/23-25" TargetMode="External"/><Relationship Id="rId3" Type="http://schemas.openxmlformats.org/officeDocument/2006/relationships/hyperlink" Target="https://undocs.org/es/CERD/C/BGR/23-25" TargetMode="External"/><Relationship Id="rId21" Type="http://schemas.openxmlformats.org/officeDocument/2006/relationships/hyperlink" Target="https://undocs.org/es/CERD/C/BGR/CO/20-22" TargetMode="External"/><Relationship Id="rId34" Type="http://schemas.openxmlformats.org/officeDocument/2006/relationships/hyperlink" Target="https://undocs.org/es/CERD/C/BGR/23-25" TargetMode="External"/><Relationship Id="rId42" Type="http://schemas.openxmlformats.org/officeDocument/2006/relationships/hyperlink" Target="https://undocs.org/es/CERD/C/BGR/CO/20-22" TargetMode="External"/><Relationship Id="rId7" Type="http://schemas.openxmlformats.org/officeDocument/2006/relationships/hyperlink" Target="https://undocs.org/es/CERD/C/BGR/23-25" TargetMode="External"/><Relationship Id="rId12" Type="http://schemas.openxmlformats.org/officeDocument/2006/relationships/hyperlink" Target="https://undocs.org/es/CERD/C/BGR/CO/20-22" TargetMode="External"/><Relationship Id="rId17" Type="http://schemas.openxmlformats.org/officeDocument/2006/relationships/hyperlink" Target="https://undocs.org/es/CERD/C/BGR/CO/20-22" TargetMode="External"/><Relationship Id="rId25" Type="http://schemas.openxmlformats.org/officeDocument/2006/relationships/hyperlink" Target="https://undocs.org/es/CERD/C/BGR/CO/20-22" TargetMode="External"/><Relationship Id="rId33" Type="http://schemas.openxmlformats.org/officeDocument/2006/relationships/hyperlink" Target="https://undocs.org/es/CERD/C/BGR/CO/20-22" TargetMode="External"/><Relationship Id="rId38" Type="http://schemas.openxmlformats.org/officeDocument/2006/relationships/hyperlink" Target="https://undocs.org/es/CERD/C/BGR/CO/20-22" TargetMode="External"/><Relationship Id="rId2" Type="http://schemas.openxmlformats.org/officeDocument/2006/relationships/hyperlink" Target="https://undocs.org/es/CERD/C/BGR/CO/20-22" TargetMode="External"/><Relationship Id="rId16" Type="http://schemas.openxmlformats.org/officeDocument/2006/relationships/hyperlink" Target="https://undocs.org/es/CERD/C/BGR/23-25" TargetMode="External"/><Relationship Id="rId20" Type="http://schemas.openxmlformats.org/officeDocument/2006/relationships/hyperlink" Target="https://undocs.org/es/CERD/C/BGR/23-25" TargetMode="External"/><Relationship Id="rId29" Type="http://schemas.openxmlformats.org/officeDocument/2006/relationships/hyperlink" Target="https://undocs.org/es/CERD/C/BGR/CO/20-22" TargetMode="External"/><Relationship Id="rId41" Type="http://schemas.openxmlformats.org/officeDocument/2006/relationships/hyperlink" Target="https://undocs.org/es/CERD/C/BGR/23-25" TargetMode="External"/><Relationship Id="rId1" Type="http://schemas.openxmlformats.org/officeDocument/2006/relationships/hyperlink" Target="https://undocs.org/es/A/65/18" TargetMode="External"/><Relationship Id="rId6" Type="http://schemas.openxmlformats.org/officeDocument/2006/relationships/hyperlink" Target="https://undocs.org/es/CERD/C/BGR/CO/20-22" TargetMode="External"/><Relationship Id="rId11" Type="http://schemas.openxmlformats.org/officeDocument/2006/relationships/hyperlink" Target="https://undocs.org/es/CERD/C/BGR/23-25" TargetMode="External"/><Relationship Id="rId24" Type="http://schemas.openxmlformats.org/officeDocument/2006/relationships/hyperlink" Target="https://undocs.org/es/CERD/C/BGR/23-25" TargetMode="External"/><Relationship Id="rId32" Type="http://schemas.openxmlformats.org/officeDocument/2006/relationships/hyperlink" Target="https://undocs.org/es/CERD/C/BGR/23-25" TargetMode="External"/><Relationship Id="rId37" Type="http://schemas.openxmlformats.org/officeDocument/2006/relationships/hyperlink" Target="https://undocs.org/es/CERD/C/BGR/23-25" TargetMode="External"/><Relationship Id="rId40" Type="http://schemas.openxmlformats.org/officeDocument/2006/relationships/hyperlink" Target="https://undocs.org/es/CERD/C/BGR/CO/20-22" TargetMode="External"/><Relationship Id="rId5" Type="http://schemas.openxmlformats.org/officeDocument/2006/relationships/hyperlink" Target="https://undocs.org/es/CERD/C/BGR/23-25" TargetMode="External"/><Relationship Id="rId15" Type="http://schemas.openxmlformats.org/officeDocument/2006/relationships/hyperlink" Target="https://undocs.org/es/CERD/C/BGR/23-25" TargetMode="External"/><Relationship Id="rId23" Type="http://schemas.openxmlformats.org/officeDocument/2006/relationships/hyperlink" Target="https://undocs.org/es/CERD/C/BGR/CO/20-22" TargetMode="External"/><Relationship Id="rId28" Type="http://schemas.openxmlformats.org/officeDocument/2006/relationships/hyperlink" Target="https://undocs.org/es/CERD/C/BGR/23-25" TargetMode="External"/><Relationship Id="rId36" Type="http://schemas.openxmlformats.org/officeDocument/2006/relationships/hyperlink" Target="https://undocs.org/es/CERD/C/BGR/23-25" TargetMode="External"/><Relationship Id="rId10" Type="http://schemas.openxmlformats.org/officeDocument/2006/relationships/hyperlink" Target="https://undocs.org/es/CERD/C/BGR/CO/20-22" TargetMode="External"/><Relationship Id="rId19" Type="http://schemas.openxmlformats.org/officeDocument/2006/relationships/hyperlink" Target="https://undocs.org/es/CERD/C/BGR/CO/20-22" TargetMode="External"/><Relationship Id="rId31" Type="http://schemas.openxmlformats.org/officeDocument/2006/relationships/hyperlink" Target="https://undocs.org/es/CERD/C/BGR/CO/20-22" TargetMode="External"/><Relationship Id="rId4" Type="http://schemas.openxmlformats.org/officeDocument/2006/relationships/hyperlink" Target="https://undocs.org/es/CERD/C/BGR/CO/20-22" TargetMode="External"/><Relationship Id="rId9" Type="http://schemas.openxmlformats.org/officeDocument/2006/relationships/hyperlink" Target="https://undocs.org/es/CERD/C/BGR/23-25" TargetMode="External"/><Relationship Id="rId14" Type="http://schemas.openxmlformats.org/officeDocument/2006/relationships/hyperlink" Target="https://undocs.org/es/CERD/C/BGR/CO/20-22" TargetMode="External"/><Relationship Id="rId22" Type="http://schemas.openxmlformats.org/officeDocument/2006/relationships/hyperlink" Target="https://undocs.org/es/CERD/C/BGR/23-25" TargetMode="External"/><Relationship Id="rId27" Type="http://schemas.openxmlformats.org/officeDocument/2006/relationships/hyperlink" Target="https://undocs.org/es/CERD/C/BGR/CO/20-22" TargetMode="External"/><Relationship Id="rId30" Type="http://schemas.openxmlformats.org/officeDocument/2006/relationships/hyperlink" Target="https://undocs.org/es/CERD/C/BGR/23-25" TargetMode="External"/><Relationship Id="rId35" Type="http://schemas.openxmlformats.org/officeDocument/2006/relationships/hyperlink" Target="https://undocs.org/es/CERD/C/BGR/CO/20-22" TargetMode="External"/><Relationship Id="rId43" Type="http://schemas.openxmlformats.org/officeDocument/2006/relationships/hyperlink" Target="https://undocs.org/es/CERD/C/BGR/23-2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4</Pages>
  <Words>1659</Words>
  <Characters>9009</Characters>
  <Application>Microsoft Office Word</Application>
  <DocSecurity>0</DocSecurity>
  <Lines>150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CERD/C/BGR/Q/23-25</vt:lpstr>
    </vt:vector>
  </TitlesOfParts>
  <Company/>
  <LinksUpToDate>false</LinksUpToDate>
  <CharactersWithSpaces>10615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CERD/C/BGR/Q/23-25</dc:title>
  <dc:subject/>
  <dc:creator>Luz Maria URQUIZU MARROQUIN</dc:creator>
  <cp:keywords/>
  <cp:lastModifiedBy>Luz Urquizu Marroquin</cp:lastModifiedBy>
  <cp:revision>3</cp:revision>
  <cp:lastPrinted>2023-11-10T10:58:00Z</cp:lastPrinted>
  <dcterms:created xsi:type="dcterms:W3CDTF">2023-11-10T10:58:00Z</dcterms:created>
  <dcterms:modified xsi:type="dcterms:W3CDTF">2023-11-10T10:58:00Z</dcterms:modified>
</cp:coreProperties>
</file>