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49A8FB96" w14:textId="77777777" w:rsidTr="00E866BF">
        <w:trPr>
          <w:trHeight w:hRule="exact" w:val="851"/>
        </w:trPr>
        <w:tc>
          <w:tcPr>
            <w:tcW w:w="1274" w:type="dxa"/>
            <w:tcBorders>
              <w:bottom w:val="single" w:sz="4" w:space="0" w:color="auto"/>
            </w:tcBorders>
          </w:tcPr>
          <w:p w14:paraId="6C8725FC" w14:textId="77777777" w:rsidR="006B3E27" w:rsidRPr="008F729B" w:rsidRDefault="006B3E27" w:rsidP="009A0BF1">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7C92F35"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C24C512" w14:textId="7C61EFCE" w:rsidR="006B3E27" w:rsidRPr="005063D5" w:rsidRDefault="005063D5" w:rsidP="005063D5">
            <w:pPr>
              <w:bidi w:val="0"/>
              <w:jc w:val="left"/>
            </w:pPr>
            <w:r w:rsidRPr="00F957CF">
              <w:rPr>
                <w:sz w:val="40"/>
              </w:rPr>
              <w:t>CED</w:t>
            </w:r>
            <w:r w:rsidRPr="00F957CF">
              <w:t>/C/ARG/OAI/</w:t>
            </w:r>
            <w:r w:rsidRPr="00744F40">
              <w:t>1</w:t>
            </w:r>
          </w:p>
        </w:tc>
      </w:tr>
      <w:tr w:rsidR="006B3E27" w:rsidRPr="008F729B" w14:paraId="1581A637" w14:textId="77777777" w:rsidTr="00E866BF">
        <w:trPr>
          <w:trHeight w:hRule="exact" w:val="2835"/>
        </w:trPr>
        <w:tc>
          <w:tcPr>
            <w:tcW w:w="1274" w:type="dxa"/>
            <w:tcBorders>
              <w:top w:val="single" w:sz="4" w:space="0" w:color="auto"/>
              <w:bottom w:val="single" w:sz="12" w:space="0" w:color="auto"/>
            </w:tcBorders>
          </w:tcPr>
          <w:p w14:paraId="72C87E3C" w14:textId="77777777" w:rsidR="006B3E27" w:rsidRPr="008F729B" w:rsidRDefault="0059622A" w:rsidP="008F729B">
            <w:pPr>
              <w:jc w:val="center"/>
              <w:rPr>
                <w:rtl/>
              </w:rPr>
            </w:pPr>
            <w:r w:rsidRPr="008F729B">
              <w:rPr>
                <w:noProof/>
              </w:rPr>
              <w:drawing>
                <wp:inline distT="0" distB="0" distL="0" distR="0" wp14:anchorId="05A4D178" wp14:editId="1F048FC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09FAE59" w14:textId="77777777" w:rsidR="006B3E27" w:rsidRPr="00744F40" w:rsidRDefault="004E1586" w:rsidP="00E866BF">
            <w:pPr>
              <w:spacing w:before="160" w:after="40" w:line="560" w:lineRule="exact"/>
              <w:ind w:left="57"/>
              <w:jc w:val="left"/>
              <w:rPr>
                <w:b/>
                <w:bCs/>
                <w:sz w:val="44"/>
                <w:szCs w:val="44"/>
                <w:rtl/>
              </w:rPr>
            </w:pPr>
            <w:r w:rsidRPr="00744F40">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409AB9DB" w14:textId="1387AB50" w:rsidR="006A69CA" w:rsidRDefault="005063D5" w:rsidP="008F729B">
            <w:pPr>
              <w:bidi w:val="0"/>
              <w:spacing w:before="240"/>
              <w:jc w:val="left"/>
            </w:pPr>
            <w:r>
              <w:t>Dist</w:t>
            </w:r>
            <w:r w:rsidR="00F957CF" w:rsidRPr="00F957CF">
              <w:t>r.:</w:t>
            </w:r>
            <w:r>
              <w:t xml:space="preserve"> General</w:t>
            </w:r>
          </w:p>
          <w:p w14:paraId="2D31BD10" w14:textId="4CF93DCB" w:rsidR="005063D5" w:rsidRDefault="00E11807" w:rsidP="005063D5">
            <w:pPr>
              <w:bidi w:val="0"/>
              <w:spacing w:line="240" w:lineRule="exact"/>
              <w:jc w:val="left"/>
            </w:pPr>
            <w:r w:rsidRPr="00744F40">
              <w:t>12</w:t>
            </w:r>
            <w:r>
              <w:t xml:space="preserve"> April </w:t>
            </w:r>
            <w:r w:rsidR="005063D5" w:rsidRPr="00744F40">
              <w:t>2023</w:t>
            </w:r>
          </w:p>
          <w:p w14:paraId="6999707A" w14:textId="77777777" w:rsidR="005063D5" w:rsidRDefault="005063D5" w:rsidP="005063D5">
            <w:pPr>
              <w:bidi w:val="0"/>
              <w:spacing w:line="240" w:lineRule="exact"/>
              <w:jc w:val="left"/>
            </w:pPr>
            <w:r>
              <w:t>Arabic</w:t>
            </w:r>
          </w:p>
          <w:p w14:paraId="58F04B32" w14:textId="304AA311" w:rsidR="005063D5" w:rsidRPr="005063D5" w:rsidRDefault="005063D5" w:rsidP="005063D5">
            <w:pPr>
              <w:bidi w:val="0"/>
              <w:spacing w:line="240" w:lineRule="exact"/>
              <w:jc w:val="left"/>
            </w:pPr>
            <w:r>
              <w:t>Origina</w:t>
            </w:r>
            <w:r w:rsidR="00F957CF" w:rsidRPr="00F957CF">
              <w:t xml:space="preserve">l: </w:t>
            </w:r>
            <w:r w:rsidR="00E11807">
              <w:t>Spanish</w:t>
            </w:r>
          </w:p>
        </w:tc>
      </w:tr>
    </w:tbl>
    <w:p w14:paraId="30802698" w14:textId="77777777" w:rsidR="00E11807" w:rsidRPr="00744F40" w:rsidRDefault="00E11807" w:rsidP="00E11807">
      <w:pPr>
        <w:pStyle w:val="SingleTxtGA"/>
        <w:spacing w:before="120" w:after="0"/>
        <w:ind w:left="0" w:right="283"/>
        <w:jc w:val="left"/>
        <w:rPr>
          <w:b/>
          <w:bCs/>
          <w:sz w:val="26"/>
          <w:szCs w:val="26"/>
          <w:lang w:val="ar-SA" w:eastAsia="zh-TW" w:bidi="en-GB"/>
        </w:rPr>
      </w:pPr>
      <w:r w:rsidRPr="00744F40">
        <w:rPr>
          <w:b/>
          <w:bCs/>
          <w:sz w:val="26"/>
          <w:szCs w:val="26"/>
          <w:rtl/>
        </w:rPr>
        <w:t>اللجنة المعنية بحالات الاختفاء القسري</w:t>
      </w:r>
    </w:p>
    <w:p w14:paraId="3F556B9D" w14:textId="55ED976C" w:rsidR="00E11807" w:rsidRPr="00744F40" w:rsidRDefault="00E11807" w:rsidP="00E11807">
      <w:pPr>
        <w:pStyle w:val="HChGA"/>
        <w:rPr>
          <w:rFonts w:ascii="Times New Roman Bold" w:eastAsiaTheme="minorEastAsia" w:hAnsi="Times New Roman Bold" w:hint="eastAsia"/>
          <w:lang w:val="en-US" w:eastAsia="zh-TW" w:bidi="en-GB"/>
        </w:rPr>
      </w:pPr>
      <w:r w:rsidRPr="00744F40">
        <w:rPr>
          <w:rtl/>
        </w:rPr>
        <w:tab/>
      </w:r>
      <w:r w:rsidRPr="00744F40">
        <w:rPr>
          <w:rFonts w:ascii="Times New Roman Bold" w:eastAsiaTheme="minorEastAsia" w:hAnsi="Times New Roman Bold"/>
          <w:rtl/>
        </w:rPr>
        <w:tab/>
        <w:t>الملاحظات الختامية بشأن المعلومات التكميلية المقدمة من الأرجنتين بموجب الفقرة 4 من المادة 29 من الاتفاقية</w:t>
      </w:r>
      <w:r w:rsidRPr="00744F40">
        <w:rPr>
          <w:rStyle w:val="FootnoteReference"/>
          <w:rFonts w:ascii="Times New Roman Bold" w:eastAsiaTheme="minorEastAsia" w:hAnsi="Times New Roman Bold"/>
          <w:sz w:val="24"/>
          <w:szCs w:val="26"/>
          <w:vertAlign w:val="baseline"/>
          <w:rtl/>
          <w:lang w:val="en-US" w:eastAsia="zh-TW"/>
        </w:rPr>
        <w:footnoteReference w:customMarkFollows="1" w:id="1"/>
        <w:t>*</w:t>
      </w:r>
    </w:p>
    <w:p w14:paraId="4B0E2A12" w14:textId="52199B01" w:rsidR="00E11807" w:rsidRPr="00744F40" w:rsidRDefault="00E11807" w:rsidP="003C567A">
      <w:pPr>
        <w:pStyle w:val="HChGA"/>
        <w:rPr>
          <w:szCs w:val="20"/>
          <w:lang w:val="ar-SA" w:eastAsia="zh-TW" w:bidi="en-GB"/>
        </w:rPr>
      </w:pPr>
      <w:r w:rsidRPr="00744F40">
        <w:rPr>
          <w:rtl/>
        </w:rPr>
        <w:tab/>
        <w:t>ألف-</w:t>
      </w:r>
      <w:r w:rsidRPr="00744F40">
        <w:rPr>
          <w:rtl/>
        </w:rPr>
        <w:tab/>
        <w:t>مقدمة</w:t>
      </w:r>
    </w:p>
    <w:p w14:paraId="7970CBAD" w14:textId="72AE5838" w:rsidR="00E11807" w:rsidRPr="00E11807" w:rsidRDefault="00E11807" w:rsidP="00E11807">
      <w:pPr>
        <w:pStyle w:val="SingleTxtGA"/>
        <w:rPr>
          <w:rFonts w:eastAsiaTheme="minorEastAsia"/>
          <w:lang w:val="ar-SA" w:eastAsia="zh-TW" w:bidi="en-GB"/>
        </w:rPr>
      </w:pPr>
      <w:r w:rsidRPr="00744F40">
        <w:rPr>
          <w:rFonts w:eastAsiaTheme="minorEastAsia"/>
          <w:rtl/>
        </w:rPr>
        <w:t>1</w:t>
      </w:r>
      <w:r w:rsidRPr="00E11807">
        <w:rPr>
          <w:rFonts w:eastAsiaTheme="minorEastAsia"/>
          <w:rtl/>
        </w:rPr>
        <w:t>-</w:t>
      </w:r>
      <w:r w:rsidRPr="00E11807">
        <w:rPr>
          <w:rFonts w:eastAsiaTheme="minorEastAsia"/>
          <w:rtl/>
        </w:rPr>
        <w:tab/>
        <w:t xml:space="preserve">تعرب اللجنة عن تقديرها للمعلومات التكميلية التي قدمتها الأرجنتين في الوقت المناسب بموجب الفقرة </w:t>
      </w:r>
      <w:r w:rsidRPr="00744F40">
        <w:rPr>
          <w:rFonts w:eastAsiaTheme="minorEastAsia"/>
          <w:rtl/>
        </w:rPr>
        <w:t>4</w:t>
      </w:r>
      <w:r w:rsidRPr="00E11807">
        <w:rPr>
          <w:rFonts w:eastAsiaTheme="minorEastAsia"/>
          <w:rtl/>
        </w:rPr>
        <w:t xml:space="preserve"> من المادة </w:t>
      </w:r>
      <w:r w:rsidRPr="00744F40">
        <w:rPr>
          <w:rFonts w:eastAsiaTheme="minorEastAsia"/>
          <w:rtl/>
        </w:rPr>
        <w:t>29</w:t>
      </w:r>
      <w:r w:rsidRPr="00E11807">
        <w:rPr>
          <w:rFonts w:eastAsiaTheme="minorEastAsia"/>
          <w:rtl/>
        </w:rPr>
        <w:t xml:space="preserve"> من الاتفاقية</w:t>
      </w:r>
      <w:r w:rsidR="00F957CF">
        <w:rPr>
          <w:rFonts w:eastAsiaTheme="minorEastAsia"/>
          <w:vertAlign w:val="superscript"/>
          <w:rtl/>
          <w:lang w:val="en-US"/>
        </w:rPr>
        <w:t>(</w:t>
      </w:r>
      <w:r w:rsidR="00F957CF" w:rsidRPr="00744F40">
        <w:rPr>
          <w:rFonts w:eastAsiaTheme="minorEastAsia"/>
          <w:vertAlign w:val="superscript"/>
          <w:lang w:val="en-US"/>
        </w:rPr>
        <w:footnoteReference w:id="2"/>
      </w:r>
      <w:r w:rsidR="00F957CF" w:rsidRPr="00F957CF">
        <w:rPr>
          <w:rFonts w:eastAsiaTheme="minorEastAsia"/>
          <w:vertAlign w:val="superscript"/>
          <w:rtl/>
        </w:rPr>
        <w:t>)</w:t>
      </w:r>
      <w:r w:rsidR="00F957CF" w:rsidRPr="00F957CF">
        <w:rPr>
          <w:rFonts w:eastAsiaTheme="minorEastAsia" w:hint="cs"/>
          <w:rtl/>
        </w:rPr>
        <w:t>،</w:t>
      </w:r>
      <w:r w:rsidR="00F957CF" w:rsidRPr="00F957CF">
        <w:rPr>
          <w:rFonts w:eastAsiaTheme="minorEastAsia"/>
          <w:rtl/>
        </w:rPr>
        <w:t xml:space="preserve"> </w:t>
      </w:r>
      <w:r w:rsidRPr="00E11807">
        <w:rPr>
          <w:rFonts w:eastAsiaTheme="minorEastAsia"/>
          <w:rtl/>
        </w:rPr>
        <w:t xml:space="preserve">كما طلبت اللجنة في ملاحظاتها الختامية لعام </w:t>
      </w:r>
      <w:r w:rsidRPr="00744F40">
        <w:rPr>
          <w:rFonts w:eastAsiaTheme="minorEastAsia"/>
          <w:rtl/>
        </w:rPr>
        <w:t>2013</w:t>
      </w:r>
      <w:r w:rsidR="00F957CF">
        <w:rPr>
          <w:rFonts w:eastAsiaTheme="minorEastAsia"/>
          <w:vertAlign w:val="superscript"/>
          <w:rtl/>
          <w:lang w:val="en-US"/>
        </w:rPr>
        <w:t>(</w:t>
      </w:r>
      <w:r w:rsidR="00F957CF" w:rsidRPr="00744F40">
        <w:rPr>
          <w:rFonts w:eastAsiaTheme="minorEastAsia"/>
          <w:vertAlign w:val="superscript"/>
          <w:lang w:val="en-US"/>
        </w:rPr>
        <w:footnoteReference w:id="3"/>
      </w:r>
      <w:r w:rsidR="00F957CF" w:rsidRPr="00F957CF">
        <w:rPr>
          <w:rFonts w:eastAsiaTheme="minorEastAsia"/>
          <w:vertAlign w:val="superscript"/>
          <w:rtl/>
        </w:rPr>
        <w:t>)</w:t>
      </w:r>
      <w:r w:rsidR="00F957CF" w:rsidRPr="00F957CF">
        <w:rPr>
          <w:rFonts w:eastAsiaTheme="minorEastAsia"/>
          <w:rtl/>
        </w:rPr>
        <w:t xml:space="preserve">. </w:t>
      </w:r>
      <w:r w:rsidRPr="00E11807">
        <w:rPr>
          <w:rFonts w:eastAsiaTheme="minorEastAsia"/>
          <w:rtl/>
        </w:rPr>
        <w:t>وتعرب</w:t>
      </w:r>
      <w:r>
        <w:rPr>
          <w:rFonts w:eastAsiaTheme="minorEastAsia" w:hint="cs"/>
          <w:rtl/>
        </w:rPr>
        <w:t> </w:t>
      </w:r>
      <w:r w:rsidRPr="00E11807">
        <w:rPr>
          <w:rFonts w:eastAsiaTheme="minorEastAsia"/>
          <w:rtl/>
        </w:rPr>
        <w:t>أيضاً عن امتنانها لتقديم معلومات تكميلية كتابة رداً على قائمة الأسئلة التي أحيلت إلى الدولة الطرف في</w:t>
      </w:r>
      <w:r>
        <w:rPr>
          <w:rFonts w:eastAsiaTheme="minorEastAsia" w:hint="cs"/>
          <w:rtl/>
        </w:rPr>
        <w:t> </w:t>
      </w:r>
      <w:r w:rsidRPr="00744F40">
        <w:rPr>
          <w:rFonts w:eastAsiaTheme="minorEastAsia"/>
          <w:rtl/>
        </w:rPr>
        <w:t>27</w:t>
      </w:r>
      <w:r w:rsidRPr="00E11807">
        <w:rPr>
          <w:rFonts w:eastAsiaTheme="minorEastAsia"/>
          <w:rtl/>
        </w:rPr>
        <w:t xml:space="preserve"> كانون الثاني/يناير </w:t>
      </w:r>
      <w:r w:rsidRPr="00744F40">
        <w:rPr>
          <w:rFonts w:eastAsiaTheme="minorEastAsia"/>
          <w:rtl/>
        </w:rPr>
        <w:t>2023</w:t>
      </w:r>
      <w:r w:rsidRPr="00E11807">
        <w:rPr>
          <w:rFonts w:eastAsiaTheme="minorEastAsia"/>
          <w:rtl/>
        </w:rPr>
        <w:t xml:space="preserve">، ولإجراء حوار مفتوح ومثمر وبنّاء مع وفد الدولة الطرف في </w:t>
      </w:r>
      <w:r w:rsidRPr="00F957CF">
        <w:rPr>
          <w:rFonts w:eastAsiaTheme="minorEastAsia"/>
          <w:rtl/>
        </w:rPr>
        <w:t>الدورة الرابعة والعشرين التي</w:t>
      </w:r>
      <w:r w:rsidRPr="00E11807">
        <w:rPr>
          <w:rFonts w:eastAsiaTheme="minorEastAsia"/>
          <w:rtl/>
        </w:rPr>
        <w:t xml:space="preserve"> عقدتها اللجنة في </w:t>
      </w:r>
      <w:r w:rsidRPr="00744F40">
        <w:rPr>
          <w:rFonts w:eastAsiaTheme="minorEastAsia"/>
          <w:rtl/>
        </w:rPr>
        <w:t>21</w:t>
      </w:r>
      <w:r w:rsidRPr="00E11807">
        <w:rPr>
          <w:rFonts w:eastAsiaTheme="minorEastAsia"/>
          <w:rtl/>
        </w:rPr>
        <w:t xml:space="preserve"> آذار/مارس </w:t>
      </w:r>
      <w:r w:rsidRPr="00744F40">
        <w:rPr>
          <w:rFonts w:eastAsiaTheme="minorEastAsia"/>
          <w:rtl/>
        </w:rPr>
        <w:t>2023</w:t>
      </w:r>
      <w:r w:rsidRPr="00E11807">
        <w:rPr>
          <w:rFonts w:eastAsiaTheme="minorEastAsia"/>
          <w:rtl/>
        </w:rPr>
        <w:t>، بشأن التدابير المتخذة للوفاء بالتزامات الدولة الطرف بموجب الاتفاقية في المجالات التالية: (أ) مواءمة التشريعات؛ و(ب) البحث والتحقيق، و(ج)</w:t>
      </w:r>
      <w:r>
        <w:rPr>
          <w:rFonts w:eastAsiaTheme="minorEastAsia" w:hint="cs"/>
          <w:rtl/>
        </w:rPr>
        <w:t> </w:t>
      </w:r>
      <w:r w:rsidRPr="00E11807">
        <w:rPr>
          <w:rFonts w:eastAsiaTheme="minorEastAsia"/>
          <w:rtl/>
        </w:rPr>
        <w:t>الجبر الكامل.</w:t>
      </w:r>
    </w:p>
    <w:p w14:paraId="7742B590" w14:textId="361B1AAC" w:rsidR="00E11807" w:rsidRPr="00E11807" w:rsidRDefault="00E11807" w:rsidP="00E11807">
      <w:pPr>
        <w:pStyle w:val="SingleTxtGA"/>
        <w:rPr>
          <w:rFonts w:eastAsiaTheme="minorEastAsia"/>
          <w:lang w:val="ar-SA" w:eastAsia="zh-TW" w:bidi="en-GB"/>
        </w:rPr>
      </w:pPr>
      <w:r w:rsidRPr="00744F40">
        <w:rPr>
          <w:rFonts w:eastAsiaTheme="minorEastAsia"/>
          <w:rtl/>
        </w:rPr>
        <w:t>2</w:t>
      </w:r>
      <w:r w:rsidRPr="00E11807">
        <w:rPr>
          <w:rFonts w:eastAsiaTheme="minorEastAsia"/>
          <w:rtl/>
        </w:rPr>
        <w:t>-</w:t>
      </w:r>
      <w:r w:rsidRPr="00E11807">
        <w:rPr>
          <w:rFonts w:eastAsiaTheme="minorEastAsia"/>
          <w:rtl/>
        </w:rPr>
        <w:tab/>
        <w:t xml:space="preserve">وفي الجلسة </w:t>
      </w:r>
      <w:r w:rsidRPr="00744F40">
        <w:rPr>
          <w:rFonts w:eastAsiaTheme="minorEastAsia"/>
          <w:rtl/>
        </w:rPr>
        <w:t>438</w:t>
      </w:r>
      <w:r w:rsidRPr="00E11807">
        <w:rPr>
          <w:rFonts w:eastAsiaTheme="minorEastAsia"/>
          <w:rtl/>
        </w:rPr>
        <w:t xml:space="preserve">، المعقودة في </w:t>
      </w:r>
      <w:r w:rsidRPr="00744F40">
        <w:rPr>
          <w:rFonts w:eastAsiaTheme="minorEastAsia"/>
          <w:rtl/>
        </w:rPr>
        <w:t>30</w:t>
      </w:r>
      <w:r w:rsidRPr="00E11807">
        <w:rPr>
          <w:rFonts w:eastAsiaTheme="minorEastAsia"/>
          <w:rtl/>
        </w:rPr>
        <w:t xml:space="preserve"> آذار/مارس </w:t>
      </w:r>
      <w:r w:rsidRPr="00744F40">
        <w:rPr>
          <w:rFonts w:eastAsiaTheme="minorEastAsia"/>
          <w:rtl/>
        </w:rPr>
        <w:t>2023</w:t>
      </w:r>
      <w:r w:rsidRPr="00E11807">
        <w:rPr>
          <w:rFonts w:eastAsiaTheme="minorEastAsia"/>
          <w:rtl/>
        </w:rPr>
        <w:t>، اعتُمدت الملاحظات الختامية الواردة</w:t>
      </w:r>
      <w:r>
        <w:rPr>
          <w:rFonts w:eastAsiaTheme="minorEastAsia" w:hint="cs"/>
          <w:rtl/>
        </w:rPr>
        <w:t> </w:t>
      </w:r>
      <w:r w:rsidRPr="00E11807">
        <w:rPr>
          <w:rFonts w:eastAsiaTheme="minorEastAsia"/>
          <w:rtl/>
        </w:rPr>
        <w:t>أدناه.</w:t>
      </w:r>
    </w:p>
    <w:p w14:paraId="553C501E" w14:textId="4EAE6DC0" w:rsidR="00E11807" w:rsidRPr="00744F40" w:rsidRDefault="00E11807" w:rsidP="00E11807">
      <w:pPr>
        <w:pStyle w:val="H1GA"/>
        <w:rPr>
          <w:lang w:val="ar-SA" w:eastAsia="zh-TW" w:bidi="en-GB"/>
        </w:rPr>
      </w:pPr>
      <w:r w:rsidRPr="00744F40">
        <w:rPr>
          <w:rtl/>
        </w:rPr>
        <w:tab/>
        <w:t>باء-</w:t>
      </w:r>
      <w:r w:rsidRPr="00744F40">
        <w:rPr>
          <w:rtl/>
        </w:rPr>
        <w:tab/>
        <w:t>الجوانب الإيجابية</w:t>
      </w:r>
    </w:p>
    <w:p w14:paraId="05DA8404" w14:textId="77777777" w:rsidR="00E11807" w:rsidRPr="00E11807" w:rsidRDefault="00E11807" w:rsidP="00E11807">
      <w:pPr>
        <w:pStyle w:val="SingleTxtGA"/>
        <w:rPr>
          <w:rFonts w:eastAsiaTheme="minorEastAsia"/>
          <w:lang w:val="ar-SA" w:eastAsia="zh-TW" w:bidi="en-GB"/>
        </w:rPr>
      </w:pPr>
      <w:r w:rsidRPr="00744F40">
        <w:rPr>
          <w:rFonts w:eastAsiaTheme="minorEastAsia"/>
          <w:rtl/>
        </w:rPr>
        <w:t>3</w:t>
      </w:r>
      <w:r w:rsidRPr="00E11807">
        <w:rPr>
          <w:rFonts w:eastAsiaTheme="minorEastAsia"/>
          <w:rtl/>
        </w:rPr>
        <w:t>-</w:t>
      </w:r>
      <w:r w:rsidRPr="00E11807">
        <w:rPr>
          <w:rFonts w:eastAsiaTheme="minorEastAsia"/>
          <w:rtl/>
        </w:rPr>
        <w:tab/>
        <w:t>رحّبت اللجنة بالتدابير التي اتخذتها الدولة الطرف عقب صدور ملاحظاتها الختامية السابقة، بما يشمل:</w:t>
      </w:r>
    </w:p>
    <w:p w14:paraId="2B073D42" w14:textId="36053338" w:rsidR="00E11807" w:rsidRPr="00E11807" w:rsidRDefault="00E11807" w:rsidP="00E11807">
      <w:pPr>
        <w:pStyle w:val="SingleTxtGA"/>
        <w:rPr>
          <w:rFonts w:eastAsiaTheme="minorEastAsia"/>
          <w:lang w:val="en-US" w:eastAsia="zh-TW" w:bidi="en-GB"/>
        </w:rPr>
      </w:pPr>
      <w:r>
        <w:rPr>
          <w:rFonts w:eastAsiaTheme="minorEastAsia"/>
          <w:rtl/>
        </w:rPr>
        <w:tab/>
      </w:r>
      <w:r w:rsidRPr="00E11807">
        <w:rPr>
          <w:rFonts w:eastAsiaTheme="minorEastAsia"/>
          <w:rtl/>
        </w:rPr>
        <w:t>(أ)</w:t>
      </w:r>
      <w:r w:rsidRPr="00E11807">
        <w:rPr>
          <w:rFonts w:eastAsiaTheme="minorEastAsia"/>
          <w:rtl/>
        </w:rPr>
        <w:tab/>
        <w:t xml:space="preserve">سن القانون رقم </w:t>
      </w:r>
      <w:r w:rsidR="003C567A" w:rsidRPr="00744F40">
        <w:rPr>
          <w:rStyle w:val="None"/>
          <w:lang w:val="es-ES_tradnl"/>
        </w:rPr>
        <w:t>26</w:t>
      </w:r>
      <w:r w:rsidR="003C567A" w:rsidRPr="00925639">
        <w:rPr>
          <w:rStyle w:val="None"/>
          <w:lang w:val="es-ES_tradnl"/>
        </w:rPr>
        <w:t>.</w:t>
      </w:r>
      <w:r w:rsidR="003C567A" w:rsidRPr="00744F40">
        <w:rPr>
          <w:rStyle w:val="None"/>
          <w:lang w:val="es-ES_tradnl"/>
        </w:rPr>
        <w:t>994</w:t>
      </w:r>
      <w:r w:rsidRPr="00E11807">
        <w:rPr>
          <w:rFonts w:eastAsiaTheme="minorEastAsia"/>
          <w:rtl/>
        </w:rPr>
        <w:t xml:space="preserve"> الذي صدر في تشرين الأول/أكتوبر </w:t>
      </w:r>
      <w:r w:rsidRPr="00744F40">
        <w:rPr>
          <w:rFonts w:eastAsiaTheme="minorEastAsia"/>
          <w:rtl/>
        </w:rPr>
        <w:t>2014</w:t>
      </w:r>
      <w:r w:rsidRPr="00E11807">
        <w:rPr>
          <w:rFonts w:eastAsiaTheme="minorEastAsia"/>
          <w:rtl/>
        </w:rPr>
        <w:t>، والذي يعدل القانون المدني والتجاري الجمهوري وينص على عدم تقادم الدعاوى المدنية المتعلقة بالجرائم ضد</w:t>
      </w:r>
      <w:r>
        <w:rPr>
          <w:rFonts w:eastAsiaTheme="minorEastAsia" w:hint="cs"/>
          <w:rtl/>
        </w:rPr>
        <w:t> </w:t>
      </w:r>
      <w:r w:rsidRPr="00E11807">
        <w:rPr>
          <w:rFonts w:eastAsiaTheme="minorEastAsia"/>
          <w:rtl/>
        </w:rPr>
        <w:t>الإنسانية؛</w:t>
      </w:r>
    </w:p>
    <w:p w14:paraId="4FC5E278" w14:textId="5DA19430" w:rsidR="00E11807" w:rsidRPr="00E11807" w:rsidRDefault="00E11807" w:rsidP="00E11807">
      <w:pPr>
        <w:pStyle w:val="SingleTxtGA"/>
        <w:rPr>
          <w:rFonts w:eastAsiaTheme="minorEastAsia"/>
          <w:lang w:val="en-US" w:eastAsia="zh-TW" w:bidi="en-GB"/>
        </w:rPr>
      </w:pPr>
      <w:r>
        <w:rPr>
          <w:rFonts w:eastAsiaTheme="minorEastAsia"/>
          <w:rtl/>
        </w:rPr>
        <w:tab/>
      </w:r>
      <w:r w:rsidRPr="00E11807">
        <w:rPr>
          <w:rFonts w:eastAsiaTheme="minorEastAsia"/>
          <w:rtl/>
        </w:rPr>
        <w:t>(ب)</w:t>
      </w:r>
      <w:r w:rsidRPr="00E11807">
        <w:rPr>
          <w:rFonts w:eastAsiaTheme="minorEastAsia"/>
          <w:rtl/>
        </w:rPr>
        <w:tab/>
        <w:t>إنشاء المديرية الوطنية للشؤون القانونية الوطنية في مجال حقوق الإنسان داخل أمانة الجمهورية لحقوق الإنسان، لتواصل أنشطة برنامج الحقيقة والعدالة التابع لأمانة حقوق الإنسان والتعددية</w:t>
      </w:r>
      <w:r>
        <w:rPr>
          <w:rFonts w:eastAsiaTheme="minorEastAsia" w:hint="cs"/>
          <w:rtl/>
        </w:rPr>
        <w:t> </w:t>
      </w:r>
      <w:r w:rsidRPr="00E11807">
        <w:rPr>
          <w:rFonts w:eastAsiaTheme="minorEastAsia"/>
          <w:rtl/>
        </w:rPr>
        <w:t>الثقافية؛</w:t>
      </w:r>
    </w:p>
    <w:p w14:paraId="758DF918" w14:textId="2AF004FA" w:rsidR="00E11807" w:rsidRPr="00E11807" w:rsidRDefault="00E11807" w:rsidP="00E11807">
      <w:pPr>
        <w:pStyle w:val="SingleTxtGA"/>
        <w:rPr>
          <w:rFonts w:eastAsiaTheme="minorEastAsia"/>
          <w:lang w:val="ar-SA" w:eastAsia="zh-TW" w:bidi="en-GB"/>
        </w:rPr>
      </w:pPr>
      <w:r>
        <w:rPr>
          <w:rFonts w:eastAsiaTheme="minorEastAsia"/>
          <w:rtl/>
        </w:rPr>
        <w:lastRenderedPageBreak/>
        <w:tab/>
      </w:r>
      <w:r w:rsidRPr="00E11807">
        <w:rPr>
          <w:rFonts w:eastAsiaTheme="minorEastAsia"/>
          <w:rtl/>
        </w:rPr>
        <w:t>(ج)</w:t>
      </w:r>
      <w:r w:rsidRPr="00E11807">
        <w:rPr>
          <w:rFonts w:eastAsiaTheme="minorEastAsia"/>
          <w:rtl/>
        </w:rPr>
        <w:tab/>
        <w:t xml:space="preserve">سن القانون </w:t>
      </w:r>
      <w:r w:rsidR="003C567A" w:rsidRPr="00744F40">
        <w:rPr>
          <w:rStyle w:val="None"/>
          <w:lang w:val="es-ES_tradnl"/>
        </w:rPr>
        <w:t>27</w:t>
      </w:r>
      <w:r w:rsidR="003C567A" w:rsidRPr="00925639">
        <w:rPr>
          <w:rStyle w:val="None"/>
          <w:lang w:val="es-ES_tradnl"/>
        </w:rPr>
        <w:t>.</w:t>
      </w:r>
      <w:r w:rsidR="003C567A" w:rsidRPr="00744F40">
        <w:rPr>
          <w:rStyle w:val="None"/>
          <w:lang w:val="es-ES_tradnl"/>
        </w:rPr>
        <w:t>482</w:t>
      </w:r>
      <w:r w:rsidRPr="00E11807">
        <w:rPr>
          <w:rFonts w:eastAsiaTheme="minorEastAsia"/>
          <w:rtl/>
        </w:rPr>
        <w:t xml:space="preserve"> الذي صدر في كانون الأول/ديسمبر </w:t>
      </w:r>
      <w:r w:rsidRPr="00744F40">
        <w:rPr>
          <w:rFonts w:eastAsiaTheme="minorEastAsia"/>
          <w:rtl/>
        </w:rPr>
        <w:t>2018</w:t>
      </w:r>
      <w:r w:rsidRPr="00E11807">
        <w:rPr>
          <w:rFonts w:eastAsiaTheme="minorEastAsia"/>
          <w:rtl/>
        </w:rPr>
        <w:t xml:space="preserve"> والذي يدمج في قانون الإجراءات الجنائية الاتحادي تدابير منع الاختفاء القسري من خلال زيادة الضمانات المتاحة للمتهمين والمحتجزين، فيما يتعلق بأمور منها نقل الأشخاص المسلوبة حريتهم، وضمان حق الضحايا في المشاركة بنشاط في الإجراءات، وتوفير الدعم النفسي والتدابير الأمنية؛</w:t>
      </w:r>
    </w:p>
    <w:p w14:paraId="629A1650" w14:textId="5CD2B7DF" w:rsidR="00E11807" w:rsidRPr="003C567A" w:rsidRDefault="00E11807" w:rsidP="00E11807">
      <w:pPr>
        <w:pStyle w:val="SingleTxtGA"/>
        <w:rPr>
          <w:rFonts w:eastAsiaTheme="minorEastAsia"/>
          <w:spacing w:val="-6"/>
          <w:lang w:val="en-US" w:eastAsia="zh-TW" w:bidi="en-GB"/>
        </w:rPr>
      </w:pPr>
      <w:r w:rsidRPr="003C567A">
        <w:rPr>
          <w:rFonts w:eastAsiaTheme="minorEastAsia"/>
          <w:spacing w:val="-6"/>
          <w:rtl/>
        </w:rPr>
        <w:tab/>
        <w:t>(د)</w:t>
      </w:r>
      <w:r w:rsidRPr="003C567A">
        <w:rPr>
          <w:rFonts w:eastAsiaTheme="minorEastAsia"/>
          <w:spacing w:val="-6"/>
          <w:rtl/>
        </w:rPr>
        <w:tab/>
        <w:t xml:space="preserve">إنشاء آليات محلية لمنع التعذيب في </w:t>
      </w:r>
      <w:r w:rsidRPr="00744F40">
        <w:rPr>
          <w:rFonts w:eastAsiaTheme="minorEastAsia"/>
          <w:spacing w:val="-6"/>
          <w:rtl/>
        </w:rPr>
        <w:t>18</w:t>
      </w:r>
      <w:r w:rsidRPr="003C567A">
        <w:rPr>
          <w:rFonts w:eastAsiaTheme="minorEastAsia"/>
          <w:spacing w:val="-6"/>
          <w:rtl/>
        </w:rPr>
        <w:t xml:space="preserve"> من مقاطعات الأرجنتين البالغ عددها </w:t>
      </w:r>
      <w:r w:rsidRPr="00744F40">
        <w:rPr>
          <w:rFonts w:eastAsiaTheme="minorEastAsia"/>
          <w:spacing w:val="-6"/>
          <w:rtl/>
        </w:rPr>
        <w:t>24</w:t>
      </w:r>
      <w:r w:rsidRPr="003C567A">
        <w:rPr>
          <w:rFonts w:eastAsiaTheme="minorEastAsia"/>
          <w:spacing w:val="-6"/>
          <w:rtl/>
        </w:rPr>
        <w:t xml:space="preserve"> مقاطعة؛</w:t>
      </w:r>
    </w:p>
    <w:p w14:paraId="4C56D9FF" w14:textId="421C23E5" w:rsidR="00E11807" w:rsidRPr="00E11807" w:rsidRDefault="00E11807" w:rsidP="00E11807">
      <w:pPr>
        <w:pStyle w:val="SingleTxtGA"/>
        <w:rPr>
          <w:rFonts w:eastAsiaTheme="minorEastAsia"/>
          <w:lang w:val="ar-SA" w:eastAsia="zh-TW" w:bidi="en-GB"/>
        </w:rPr>
      </w:pPr>
      <w:r>
        <w:rPr>
          <w:rFonts w:eastAsiaTheme="minorEastAsia"/>
          <w:rtl/>
        </w:rPr>
        <w:tab/>
      </w:r>
      <w:r w:rsidRPr="00E11807">
        <w:rPr>
          <w:rFonts w:eastAsiaTheme="minorEastAsia"/>
          <w:rtl/>
        </w:rPr>
        <w:t>(هـ)</w:t>
      </w:r>
      <w:r w:rsidRPr="00E11807">
        <w:rPr>
          <w:rFonts w:eastAsiaTheme="minorEastAsia"/>
          <w:rtl/>
        </w:rPr>
        <w:tab/>
        <w:t xml:space="preserve">إنشاء المديرية الوطنية لسياسات مكافحة العنف المؤسسي داخل أمانة حقوق الإنسان بوزارة الدولة للعدل وحقوق الإنسان، من خلال اعتماد القرار الإداري رقم </w:t>
      </w:r>
      <w:r w:rsidR="003C567A" w:rsidRPr="00744F40">
        <w:rPr>
          <w:rFonts w:eastAsiaTheme="minorEastAsia"/>
          <w:rtl/>
        </w:rPr>
        <w:t>483</w:t>
      </w:r>
      <w:r w:rsidR="003C567A" w:rsidRPr="00E11807">
        <w:rPr>
          <w:rFonts w:eastAsiaTheme="minorEastAsia"/>
          <w:rtl/>
        </w:rPr>
        <w:t>/</w:t>
      </w:r>
      <w:r w:rsidR="003C567A" w:rsidRPr="00744F40">
        <w:rPr>
          <w:rFonts w:eastAsiaTheme="minorEastAsia"/>
          <w:rtl/>
        </w:rPr>
        <w:t>2016</w:t>
      </w:r>
      <w:r w:rsidRPr="00E11807">
        <w:rPr>
          <w:rFonts w:eastAsiaTheme="minorEastAsia"/>
          <w:rtl/>
        </w:rPr>
        <w:t xml:space="preserve"> الصادر في أيار/مايو </w:t>
      </w:r>
      <w:r w:rsidRPr="00744F40">
        <w:rPr>
          <w:rFonts w:eastAsiaTheme="minorEastAsia"/>
          <w:rtl/>
        </w:rPr>
        <w:t>2016</w:t>
      </w:r>
      <w:r w:rsidRPr="00E11807">
        <w:rPr>
          <w:rFonts w:eastAsiaTheme="minorEastAsia"/>
          <w:rtl/>
        </w:rPr>
        <w:t>؛</w:t>
      </w:r>
    </w:p>
    <w:p w14:paraId="3AF5EACC" w14:textId="51C384A3" w:rsidR="00E11807" w:rsidRPr="00E11807" w:rsidRDefault="00E11807" w:rsidP="00E11807">
      <w:pPr>
        <w:pStyle w:val="SingleTxtGA"/>
        <w:rPr>
          <w:rFonts w:eastAsiaTheme="minorEastAsia"/>
          <w:lang w:val="ar-SA" w:eastAsia="zh-TW" w:bidi="en-GB"/>
        </w:rPr>
      </w:pPr>
      <w:r>
        <w:rPr>
          <w:rFonts w:eastAsiaTheme="minorEastAsia"/>
          <w:rtl/>
        </w:rPr>
        <w:tab/>
      </w:r>
      <w:r w:rsidRPr="00E11807">
        <w:rPr>
          <w:rFonts w:eastAsiaTheme="minorEastAsia"/>
          <w:rtl/>
        </w:rPr>
        <w:t>(و)</w:t>
      </w:r>
      <w:r w:rsidRPr="00E11807">
        <w:rPr>
          <w:rFonts w:eastAsiaTheme="minorEastAsia"/>
          <w:rtl/>
        </w:rPr>
        <w:tab/>
        <w:t xml:space="preserve">إنشاء النظام الاتحادي للبحث عن الأشخاص المختفين والمفقودين بموجب المرسوم رقم </w:t>
      </w:r>
      <w:r w:rsidR="003C567A" w:rsidRPr="00744F40">
        <w:rPr>
          <w:rFonts w:eastAsiaTheme="minorEastAsia"/>
          <w:rtl/>
        </w:rPr>
        <w:t>1093</w:t>
      </w:r>
      <w:r w:rsidR="003C567A" w:rsidRPr="00E11807">
        <w:rPr>
          <w:rFonts w:eastAsiaTheme="minorEastAsia"/>
          <w:rtl/>
        </w:rPr>
        <w:t>/</w:t>
      </w:r>
      <w:r w:rsidR="003C567A" w:rsidRPr="00744F40">
        <w:rPr>
          <w:rFonts w:eastAsiaTheme="minorEastAsia"/>
          <w:rtl/>
        </w:rPr>
        <w:t>2016</w:t>
      </w:r>
      <w:r w:rsidRPr="00E11807">
        <w:rPr>
          <w:rFonts w:eastAsiaTheme="minorEastAsia"/>
          <w:rtl/>
        </w:rPr>
        <w:t xml:space="preserve"> المؤرخ تشرين الأول/أكتوبر </w:t>
      </w:r>
      <w:r w:rsidRPr="00744F40">
        <w:rPr>
          <w:rFonts w:eastAsiaTheme="minorEastAsia"/>
          <w:rtl/>
        </w:rPr>
        <w:t>2016</w:t>
      </w:r>
      <w:r w:rsidRPr="00E11807">
        <w:rPr>
          <w:rFonts w:eastAsiaTheme="minorEastAsia"/>
          <w:rtl/>
        </w:rPr>
        <w:t>، بهدف تنسيق جهود مختلف وكالات الدولة من أجل التحقيق الفعال في حالات الاختفاء والبحث عن الأشخاص المختفين؛</w:t>
      </w:r>
    </w:p>
    <w:p w14:paraId="073D61D0" w14:textId="60C1DA88" w:rsidR="00E11807" w:rsidRPr="00E11807" w:rsidRDefault="00E11807" w:rsidP="00E11807">
      <w:pPr>
        <w:pStyle w:val="SingleTxtGA"/>
        <w:rPr>
          <w:rFonts w:eastAsiaTheme="minorEastAsia"/>
          <w:lang w:val="ar-SA" w:eastAsia="zh-TW" w:bidi="en-GB"/>
        </w:rPr>
      </w:pPr>
      <w:r>
        <w:rPr>
          <w:rFonts w:eastAsiaTheme="minorEastAsia"/>
          <w:rtl/>
        </w:rPr>
        <w:tab/>
      </w:r>
      <w:r w:rsidRPr="00E11807">
        <w:rPr>
          <w:rFonts w:eastAsiaTheme="minorEastAsia"/>
          <w:rtl/>
        </w:rPr>
        <w:t>(ز)</w:t>
      </w:r>
      <w:r w:rsidRPr="00E11807">
        <w:rPr>
          <w:rFonts w:eastAsiaTheme="minorEastAsia"/>
          <w:rtl/>
        </w:rPr>
        <w:tab/>
        <w:t xml:space="preserve">الموافقة على بروتوكول عمل مكتب المدعي العام للتحقيق في درجة الخطورة والإذلال والإكراه غير القانوني والتعذيب، من خلال قرار مكتب المدعي العام الوطني رقم </w:t>
      </w:r>
      <w:r w:rsidR="003C567A" w:rsidRPr="00744F40">
        <w:rPr>
          <w:rFonts w:eastAsiaTheme="minorEastAsia"/>
          <w:rtl/>
        </w:rPr>
        <w:t>3</w:t>
      </w:r>
      <w:r w:rsidR="003C567A" w:rsidRPr="00E11807">
        <w:rPr>
          <w:rFonts w:eastAsiaTheme="minorEastAsia"/>
          <w:rtl/>
        </w:rPr>
        <w:t>/</w:t>
      </w:r>
      <w:r w:rsidR="003C567A" w:rsidRPr="00744F40">
        <w:rPr>
          <w:rFonts w:eastAsiaTheme="minorEastAsia"/>
          <w:rtl/>
        </w:rPr>
        <w:t>11</w:t>
      </w:r>
      <w:r w:rsidRPr="00E11807">
        <w:rPr>
          <w:rFonts w:eastAsiaTheme="minorEastAsia"/>
          <w:rtl/>
        </w:rPr>
        <w:t xml:space="preserve"> الذي يطلب من المدعين العامين ذوي الاختصاص الجنائي استبعاد أفراد قوات الأمن من التحقيقات عندما يفترض أنهم شاركوا في الجريمة موضوع التحقيق؛ واعتماد قواعد السلوك النموذجية الدنيا لمكتب المدعي العام للتحقيق في الإصابات وجرائم القتل التي يتسبب فيها أفراد قوات الأمن أثناء ممارستهم مهامهم، من خلال قرار مكتب المدعي العام الجمهوري رقم </w:t>
      </w:r>
      <w:r w:rsidR="003C567A" w:rsidRPr="00744F40">
        <w:rPr>
          <w:rFonts w:eastAsiaTheme="minorEastAsia"/>
          <w:rtl/>
        </w:rPr>
        <w:t>4</w:t>
      </w:r>
      <w:r w:rsidR="003C567A" w:rsidRPr="00E11807">
        <w:rPr>
          <w:rFonts w:eastAsiaTheme="minorEastAsia"/>
          <w:rtl/>
        </w:rPr>
        <w:t>/</w:t>
      </w:r>
      <w:r w:rsidR="003C567A" w:rsidRPr="00744F40">
        <w:rPr>
          <w:rFonts w:eastAsiaTheme="minorEastAsia"/>
          <w:rtl/>
        </w:rPr>
        <w:t>12</w:t>
      </w:r>
      <w:r w:rsidRPr="00E11807">
        <w:rPr>
          <w:rFonts w:eastAsiaTheme="minorEastAsia"/>
          <w:rtl/>
        </w:rPr>
        <w:t>؛</w:t>
      </w:r>
    </w:p>
    <w:p w14:paraId="58DE29E6" w14:textId="5D389979" w:rsidR="00E11807" w:rsidRPr="00E11807" w:rsidRDefault="00E11807" w:rsidP="00E11807">
      <w:pPr>
        <w:pStyle w:val="SingleTxtGA"/>
        <w:rPr>
          <w:rStyle w:val="None"/>
          <w:rFonts w:eastAsiaTheme="minorEastAsia"/>
          <w:lang w:val="ar-SA" w:eastAsia="zh-TW" w:bidi="en-GB"/>
        </w:rPr>
      </w:pPr>
      <w:r>
        <w:rPr>
          <w:rFonts w:eastAsiaTheme="minorEastAsia"/>
          <w:rtl/>
        </w:rPr>
        <w:tab/>
      </w:r>
      <w:r w:rsidRPr="00E11807">
        <w:rPr>
          <w:rFonts w:eastAsiaTheme="minorEastAsia"/>
          <w:rtl/>
        </w:rPr>
        <w:t>(ح)</w:t>
      </w:r>
      <w:r w:rsidRPr="00E11807">
        <w:rPr>
          <w:rFonts w:eastAsiaTheme="minorEastAsia"/>
          <w:rtl/>
        </w:rPr>
        <w:tab/>
        <w:t>إصلاح البرنامج الوطني لحماية الشهود والمتهمين بهدف إدراج حالات الاختفاء القسري ضمن مجالات تدخل البرنامج؛</w:t>
      </w:r>
    </w:p>
    <w:p w14:paraId="5DFA4561" w14:textId="154F95B0" w:rsidR="00E11807" w:rsidRPr="00E11807" w:rsidRDefault="00E11807" w:rsidP="00E11807">
      <w:pPr>
        <w:pStyle w:val="SingleTxtGA"/>
        <w:rPr>
          <w:rFonts w:eastAsiaTheme="minorEastAsia"/>
          <w:lang w:val="ar-SA" w:eastAsia="zh-TW" w:bidi="en-GB"/>
        </w:rPr>
      </w:pPr>
      <w:r>
        <w:rPr>
          <w:rFonts w:eastAsiaTheme="minorEastAsia"/>
          <w:rtl/>
        </w:rPr>
        <w:tab/>
      </w:r>
      <w:r w:rsidRPr="00E11807">
        <w:rPr>
          <w:rFonts w:eastAsiaTheme="minorEastAsia"/>
          <w:rtl/>
        </w:rPr>
        <w:t>(ط)</w:t>
      </w:r>
      <w:r w:rsidRPr="00E11807">
        <w:rPr>
          <w:rFonts w:eastAsiaTheme="minorEastAsia"/>
          <w:rtl/>
        </w:rPr>
        <w:tab/>
        <w:t xml:space="preserve">قيام اللجنة الوطنية المعنية بالحق في الهوية بالجهود اللازمة للبحث عن أبناء وبنات المعتقلين المختفين والأشخاص الذين وُلدوا أثناء أسر أمهاتهم، ولاستعادة هوية </w:t>
      </w:r>
      <w:r w:rsidRPr="00744F40">
        <w:rPr>
          <w:rFonts w:eastAsiaTheme="minorEastAsia"/>
          <w:rtl/>
        </w:rPr>
        <w:t>132</w:t>
      </w:r>
      <w:r w:rsidRPr="00E11807">
        <w:rPr>
          <w:rFonts w:eastAsiaTheme="minorEastAsia"/>
          <w:rtl/>
        </w:rPr>
        <w:t xml:space="preserve"> شخص</w:t>
      </w:r>
      <w:r w:rsidR="003C567A">
        <w:rPr>
          <w:rFonts w:eastAsiaTheme="minorEastAsia"/>
          <w:rtl/>
        </w:rPr>
        <w:t xml:space="preserve">اً </w:t>
      </w:r>
      <w:r w:rsidRPr="00E11807">
        <w:rPr>
          <w:rFonts w:eastAsiaTheme="minorEastAsia"/>
          <w:rtl/>
        </w:rPr>
        <w:t>جرى الاستيلاء عليها إبان الحكم الدكتاتوري العسكري.</w:t>
      </w:r>
    </w:p>
    <w:p w14:paraId="6544787F" w14:textId="348320B3" w:rsidR="00E11807" w:rsidRPr="00744F40" w:rsidRDefault="00E11807" w:rsidP="00E11807">
      <w:pPr>
        <w:pStyle w:val="H1GA"/>
        <w:rPr>
          <w:lang w:val="ar-SA" w:eastAsia="zh-TW" w:bidi="en-GB"/>
        </w:rPr>
      </w:pPr>
      <w:r w:rsidRPr="00744F40">
        <w:rPr>
          <w:rtl/>
        </w:rPr>
        <w:tab/>
        <w:t>جيم-</w:t>
      </w:r>
      <w:r w:rsidRPr="00744F40">
        <w:rPr>
          <w:rtl/>
        </w:rPr>
        <w:tab/>
        <w:t xml:space="preserve"> تنفيذ توصيات اللجنة وتطورات الوضع في الدولة الطرف</w:t>
      </w:r>
    </w:p>
    <w:p w14:paraId="0ECF8D50" w14:textId="07812425" w:rsidR="00E11807" w:rsidRPr="00E11807" w:rsidRDefault="00E11807" w:rsidP="00E11807">
      <w:pPr>
        <w:pStyle w:val="SingleTxtGA"/>
        <w:rPr>
          <w:rStyle w:val="None"/>
          <w:rFonts w:eastAsiaTheme="minorEastAsia"/>
          <w:lang w:val="ar-SA" w:eastAsia="zh-TW" w:bidi="en-GB"/>
        </w:rPr>
      </w:pPr>
      <w:r w:rsidRPr="00744F40">
        <w:rPr>
          <w:rFonts w:eastAsiaTheme="minorEastAsia"/>
          <w:rtl/>
        </w:rPr>
        <w:t>4</w:t>
      </w:r>
      <w:r w:rsidRPr="00E11807">
        <w:rPr>
          <w:rFonts w:eastAsiaTheme="minorEastAsia"/>
          <w:rtl/>
        </w:rPr>
        <w:t>-</w:t>
      </w:r>
      <w:r>
        <w:rPr>
          <w:rFonts w:eastAsiaTheme="minorEastAsia"/>
          <w:rtl/>
        </w:rPr>
        <w:tab/>
      </w:r>
      <w:r w:rsidRPr="00E11807">
        <w:rPr>
          <w:rFonts w:eastAsiaTheme="minorEastAsia"/>
          <w:rtl/>
        </w:rPr>
        <w:t>تعرب اللجنة عن تقديرها للخطوات التي اتخذتها الدولة الطرف في مجالات العدالة والحقيقة والجبر منذ صدور الملاحظات الختامية السابقة، وترحب بها. بيد أنها ترى أن الإطار التشريعي الحالي، وكذلك تطبيقه، ما</w:t>
      </w:r>
      <w:r w:rsidRPr="00E11807">
        <w:rPr>
          <w:rFonts w:eastAsiaTheme="minorEastAsia" w:hint="cs"/>
          <w:rtl/>
        </w:rPr>
        <w:t xml:space="preserve"> </w:t>
      </w:r>
      <w:r w:rsidRPr="00E11807">
        <w:rPr>
          <w:rFonts w:eastAsiaTheme="minorEastAsia"/>
          <w:rtl/>
        </w:rPr>
        <w:t>زالا يعرقلان تنفيذ الاتفاقية تنفيذ</w:t>
      </w:r>
      <w:r w:rsidR="003C567A">
        <w:rPr>
          <w:rFonts w:eastAsiaTheme="minorEastAsia"/>
          <w:rtl/>
        </w:rPr>
        <w:t xml:space="preserve">اً </w:t>
      </w:r>
      <w:r w:rsidRPr="00E11807">
        <w:rPr>
          <w:rFonts w:eastAsiaTheme="minorEastAsia"/>
          <w:rtl/>
        </w:rPr>
        <w:t>تام</w:t>
      </w:r>
      <w:r w:rsidR="003C567A">
        <w:rPr>
          <w:rFonts w:eastAsiaTheme="minorEastAsia"/>
          <w:rtl/>
        </w:rPr>
        <w:t xml:space="preserve">اً. </w:t>
      </w:r>
      <w:r w:rsidRPr="00E11807">
        <w:rPr>
          <w:rFonts w:eastAsiaTheme="minorEastAsia"/>
          <w:rtl/>
        </w:rPr>
        <w:t>وتحث اللجنة الدولة الطرف على أن تراعي توصياتها التي قُدّمت في إطار روح العمل البناء والتعاوني لزيادة تعزيز النظام التشريعي الحالي وعلى أن تكفل توافقها، وتوافق كل أفعال سلطات الدولة الطرف، مع الحقوق والالتزامات الواردة في الاتفاقية.</w:t>
      </w:r>
    </w:p>
    <w:p w14:paraId="4B6CDC20" w14:textId="654B692D" w:rsidR="00E11807" w:rsidRPr="00F957CF" w:rsidRDefault="00E11807" w:rsidP="00E11807">
      <w:pPr>
        <w:pStyle w:val="H23GA"/>
        <w:rPr>
          <w:rStyle w:val="None"/>
          <w:rFonts w:eastAsiaTheme="minorEastAsia"/>
          <w:b w:val="0"/>
          <w:bCs w:val="0"/>
          <w:lang w:val="ar-SA" w:eastAsia="zh-TW" w:bidi="en-GB"/>
        </w:rPr>
      </w:pPr>
      <w:r w:rsidRPr="00744F40">
        <w:rPr>
          <w:rtl/>
        </w:rPr>
        <w:tab/>
        <w:t>1-</w:t>
      </w:r>
      <w:r w:rsidRPr="00744F40">
        <w:rPr>
          <w:rtl/>
        </w:rPr>
        <w:tab/>
        <w:t>معلومات أساسية</w:t>
      </w:r>
    </w:p>
    <w:p w14:paraId="2A459BF5" w14:textId="2AB00D0E" w:rsidR="00E11807" w:rsidRPr="00E11807" w:rsidRDefault="00E11807" w:rsidP="00E11807">
      <w:pPr>
        <w:pStyle w:val="SingleTxtGA"/>
        <w:rPr>
          <w:rFonts w:eastAsiaTheme="minorEastAsia"/>
          <w:lang w:val="ar-SA" w:eastAsia="zh-TW" w:bidi="en-GB"/>
        </w:rPr>
      </w:pPr>
      <w:r w:rsidRPr="00744F40">
        <w:rPr>
          <w:rFonts w:eastAsiaTheme="minorEastAsia"/>
          <w:rtl/>
        </w:rPr>
        <w:t>5</w:t>
      </w:r>
      <w:r w:rsidRPr="00E11807">
        <w:rPr>
          <w:rFonts w:eastAsiaTheme="minorEastAsia"/>
          <w:rtl/>
        </w:rPr>
        <w:t>-</w:t>
      </w:r>
      <w:r w:rsidRPr="00E11807">
        <w:rPr>
          <w:rFonts w:eastAsiaTheme="minorEastAsia"/>
          <w:rtl/>
        </w:rPr>
        <w:tab/>
        <w:t>تقر اللجنة بالجهود التي تبذلها الدولة الطرف لوضع إطار تشريعي ومؤسسي لمنع حالات الاختفاء القسري والمعاقبة عليها وفق</w:t>
      </w:r>
      <w:r w:rsidR="003C567A">
        <w:rPr>
          <w:rFonts w:eastAsiaTheme="minorEastAsia"/>
          <w:rtl/>
        </w:rPr>
        <w:t xml:space="preserve">اً </w:t>
      </w:r>
      <w:r w:rsidRPr="00E11807">
        <w:rPr>
          <w:rFonts w:eastAsiaTheme="minorEastAsia"/>
          <w:rtl/>
        </w:rPr>
        <w:t>لأحكام الاتفاقية، وتحيط علم</w:t>
      </w:r>
      <w:r w:rsidR="003C567A">
        <w:rPr>
          <w:rFonts w:eastAsiaTheme="minorEastAsia"/>
          <w:rtl/>
        </w:rPr>
        <w:t xml:space="preserve">اً </w:t>
      </w:r>
      <w:r w:rsidRPr="00E11807">
        <w:rPr>
          <w:rFonts w:eastAsiaTheme="minorEastAsia"/>
          <w:rtl/>
        </w:rPr>
        <w:t>بتأكيد الدولة الطرف على تعزيز السوابق القضائية للمحاكم المحلية بهدف منح الاتفاقية الأولوية الدستورية. بيد أن اللجنة تأسف لعدم تنفيذ الدولة الطرف توصيتها بشأن الاعتراف الصريح بالأولوية الدستورية للاتفاقية وبأثرها على التطبيق المباشر لأحكامها في التشريعات المحلية.</w:t>
      </w:r>
    </w:p>
    <w:p w14:paraId="4B7CC1CC" w14:textId="243A878B"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lastRenderedPageBreak/>
        <w:t>6-</w:t>
      </w:r>
      <w:r w:rsidRPr="00744F40">
        <w:rPr>
          <w:rFonts w:eastAsiaTheme="minorEastAsia"/>
          <w:bCs/>
          <w:rtl/>
        </w:rPr>
        <w:tab/>
      </w:r>
      <w:r w:rsidRPr="00744F40">
        <w:rPr>
          <w:rFonts w:eastAsiaTheme="minorEastAsia"/>
          <w:b/>
          <w:bCs/>
          <w:rtl/>
        </w:rPr>
        <w:t>تكرّر اللجنة توصيتها السابقة بالتعجيل بالعملية التشريعية لمنح الاتفاقية الأولوية الدستورية</w:t>
      </w:r>
      <w:r w:rsidR="00F957CF" w:rsidRPr="00744F40">
        <w:rPr>
          <w:rStyle w:val="None"/>
          <w:rFonts w:eastAsiaTheme="minorEastAsia"/>
          <w:b/>
          <w:vertAlign w:val="superscript"/>
          <w:rtl/>
          <w:lang w:val="en-US"/>
        </w:rPr>
        <w:t>(</w:t>
      </w:r>
      <w:r w:rsidR="00F957CF" w:rsidRPr="00744F40">
        <w:rPr>
          <w:rStyle w:val="None"/>
          <w:rFonts w:eastAsiaTheme="minorEastAsia"/>
          <w:b/>
          <w:vertAlign w:val="superscript"/>
          <w:lang w:val="en-US"/>
        </w:rPr>
        <w:footnoteReference w:id="4"/>
      </w:r>
      <w:r w:rsidR="00F957CF" w:rsidRPr="00744F40">
        <w:rPr>
          <w:rStyle w:val="None"/>
          <w:rFonts w:eastAsiaTheme="minorEastAsia"/>
          <w:b/>
          <w:vertAlign w:val="superscript"/>
          <w:rtl/>
        </w:rPr>
        <w:t>)</w:t>
      </w:r>
      <w:r w:rsidR="00F957CF" w:rsidRPr="00744F40">
        <w:rPr>
          <w:rFonts w:eastAsiaTheme="minorEastAsia"/>
          <w:b/>
          <w:bCs/>
          <w:rtl/>
        </w:rPr>
        <w:t>.</w:t>
      </w:r>
      <w:r w:rsidR="00F957CF" w:rsidRPr="00744F40">
        <w:rPr>
          <w:rFonts w:eastAsiaTheme="minorEastAsia"/>
          <w:bCs/>
          <w:rtl/>
        </w:rPr>
        <w:t xml:space="preserve"> </w:t>
      </w:r>
      <w:r w:rsidRPr="00744F40">
        <w:rPr>
          <w:rFonts w:eastAsiaTheme="minorEastAsia"/>
          <w:b/>
          <w:bCs/>
          <w:rtl/>
        </w:rPr>
        <w:t>كما تهيب اللجنة بالدولة الطرف أن تعترف صراحةً بوجوب تنفيذ أحكام الاتفاقية تنفيذاً</w:t>
      </w:r>
      <w:r w:rsidRPr="00744F40">
        <w:rPr>
          <w:rFonts w:eastAsiaTheme="minorEastAsia" w:hint="cs"/>
          <w:b/>
          <w:bCs/>
          <w:rtl/>
        </w:rPr>
        <w:t> </w:t>
      </w:r>
      <w:r w:rsidRPr="00744F40">
        <w:rPr>
          <w:rFonts w:eastAsiaTheme="minorEastAsia"/>
          <w:b/>
          <w:bCs/>
          <w:rtl/>
        </w:rPr>
        <w:t>مباشراً.</w:t>
      </w:r>
      <w:r w:rsidRPr="00744F40">
        <w:rPr>
          <w:rFonts w:eastAsiaTheme="minorEastAsia"/>
          <w:bCs/>
          <w:rtl/>
        </w:rPr>
        <w:t xml:space="preserve"> </w:t>
      </w:r>
    </w:p>
    <w:p w14:paraId="50AC9D38" w14:textId="0A6E13B1" w:rsidR="00F957CF" w:rsidRPr="00F957CF" w:rsidRDefault="00E11807" w:rsidP="00E11807">
      <w:pPr>
        <w:pStyle w:val="SingleTxtGA"/>
        <w:rPr>
          <w:rStyle w:val="None"/>
          <w:rFonts w:eastAsiaTheme="minorEastAsia"/>
          <w:lang w:val="ar-SA" w:eastAsia="zh-TW" w:bidi="en-GB"/>
        </w:rPr>
      </w:pPr>
      <w:r w:rsidRPr="00744F40">
        <w:rPr>
          <w:rFonts w:eastAsiaTheme="minorEastAsia"/>
          <w:rtl/>
        </w:rPr>
        <w:t>7</w:t>
      </w:r>
      <w:r w:rsidRPr="00E11807">
        <w:rPr>
          <w:rFonts w:eastAsiaTheme="minorEastAsia"/>
          <w:rtl/>
        </w:rPr>
        <w:t>-</w:t>
      </w:r>
      <w:r w:rsidRPr="00E11807">
        <w:rPr>
          <w:rFonts w:eastAsiaTheme="minorEastAsia"/>
          <w:rtl/>
        </w:rPr>
        <w:tab/>
        <w:t>وإذ تحيط اللجنة علم</w:t>
      </w:r>
      <w:r w:rsidR="003C567A">
        <w:rPr>
          <w:rFonts w:eastAsiaTheme="minorEastAsia"/>
          <w:rtl/>
        </w:rPr>
        <w:t xml:space="preserve">اً </w:t>
      </w:r>
      <w:r w:rsidRPr="00E11807">
        <w:rPr>
          <w:rFonts w:eastAsiaTheme="minorEastAsia"/>
          <w:rtl/>
        </w:rPr>
        <w:t xml:space="preserve">بولاية مكتب أمين المظالم، فإنه يساورها القلق إزاء عدم تعيين رئيس له منذ عام </w:t>
      </w:r>
      <w:r w:rsidRPr="00744F40">
        <w:rPr>
          <w:rFonts w:eastAsiaTheme="minorEastAsia"/>
          <w:rtl/>
        </w:rPr>
        <w:t>200</w:t>
      </w:r>
      <w:r w:rsidR="00F957CF" w:rsidRPr="00744F40">
        <w:rPr>
          <w:rFonts w:eastAsiaTheme="minorEastAsia"/>
          <w:rtl/>
        </w:rPr>
        <w:t>9</w:t>
      </w:r>
      <w:r w:rsidR="00F957CF" w:rsidRPr="00F957CF">
        <w:rPr>
          <w:rFonts w:eastAsiaTheme="minorEastAsia"/>
          <w:rtl/>
        </w:rPr>
        <w:t>.</w:t>
      </w:r>
    </w:p>
    <w:p w14:paraId="49FEE750" w14:textId="09185F50"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8-</w:t>
      </w:r>
      <w:r w:rsidRPr="00744F40">
        <w:rPr>
          <w:rFonts w:eastAsiaTheme="minorEastAsia"/>
          <w:bCs/>
          <w:rtl/>
        </w:rPr>
        <w:tab/>
      </w:r>
      <w:r w:rsidRPr="00744F40">
        <w:rPr>
          <w:rFonts w:eastAsiaTheme="minorEastAsia"/>
          <w:b/>
          <w:bCs/>
          <w:rtl/>
        </w:rPr>
        <w:t>تشجع اللجنة الدولة الطرف على الإسراع في تعيين رئيس مكتب أمين المظالم وضمان حصول هذه المؤسسة على ما يلزم من موارد مالية وتقنية وبشرية للاضطلاع بولايتها.</w:t>
      </w:r>
    </w:p>
    <w:p w14:paraId="52FCB982" w14:textId="366D5D28" w:rsidR="00E11807" w:rsidRPr="00F957CF" w:rsidRDefault="00E11807" w:rsidP="00E11807">
      <w:pPr>
        <w:pStyle w:val="H23GA"/>
        <w:rPr>
          <w:rStyle w:val="None"/>
          <w:rFonts w:eastAsiaTheme="minorEastAsia"/>
          <w:b w:val="0"/>
          <w:bCs w:val="0"/>
          <w:lang w:val="ar-SA" w:eastAsia="zh-TW" w:bidi="en-GB"/>
        </w:rPr>
      </w:pPr>
      <w:r w:rsidRPr="00744F40">
        <w:rPr>
          <w:rtl/>
        </w:rPr>
        <w:tab/>
        <w:t>2-</w:t>
      </w:r>
      <w:r w:rsidRPr="00744F40">
        <w:rPr>
          <w:rtl/>
        </w:rPr>
        <w:tab/>
        <w:t>مواءمة التشريعات</w:t>
      </w:r>
    </w:p>
    <w:p w14:paraId="44659B13" w14:textId="77777777" w:rsidR="00E11807" w:rsidRPr="00744F40" w:rsidRDefault="00E11807" w:rsidP="00E11807">
      <w:pPr>
        <w:pStyle w:val="H23GA"/>
        <w:rPr>
          <w:rStyle w:val="None"/>
          <w:rFonts w:eastAsiaTheme="minorEastAsia"/>
          <w:lang w:val="ar-SA" w:eastAsia="zh-TW" w:bidi="en-GB"/>
        </w:rPr>
      </w:pPr>
      <w:r w:rsidRPr="00744F40">
        <w:rPr>
          <w:rtl/>
        </w:rPr>
        <w:tab/>
      </w:r>
      <w:r w:rsidRPr="00744F40">
        <w:rPr>
          <w:rtl/>
        </w:rPr>
        <w:tab/>
        <w:t xml:space="preserve">عمليات نقل الأشخاص المسلوبة حريتهم </w:t>
      </w:r>
    </w:p>
    <w:p w14:paraId="762882E0" w14:textId="31636136" w:rsidR="00F957CF" w:rsidRPr="00744F40" w:rsidRDefault="00E11807" w:rsidP="00E11807">
      <w:pPr>
        <w:pStyle w:val="SingleTxtGA"/>
        <w:rPr>
          <w:rStyle w:val="None"/>
          <w:rFonts w:eastAsiaTheme="minorEastAsia"/>
          <w:b/>
          <w:lang w:val="ar-SA" w:eastAsia="zh-TW" w:bidi="en-GB"/>
        </w:rPr>
      </w:pPr>
      <w:r w:rsidRPr="00744F40">
        <w:rPr>
          <w:rFonts w:eastAsiaTheme="minorEastAsia"/>
          <w:b/>
          <w:rtl/>
        </w:rPr>
        <w:t>9-</w:t>
      </w:r>
      <w:r w:rsidRPr="00744F40">
        <w:rPr>
          <w:rFonts w:eastAsiaTheme="minorEastAsia"/>
          <w:b/>
          <w:rtl/>
        </w:rPr>
        <w:tab/>
        <w:t>ترحب اللجنة باعتماد البروتوكول المتعلق بنقل الأشخاص المسلوبة حريتهم داخل دائرة السجون الاتحادية في شباط/فبراير 2021، والذي ينطبق، وفق</w:t>
      </w:r>
      <w:r w:rsidR="003C567A" w:rsidRPr="00744F40">
        <w:rPr>
          <w:rFonts w:eastAsiaTheme="minorEastAsia"/>
          <w:b/>
          <w:rtl/>
        </w:rPr>
        <w:t xml:space="preserve">اً </w:t>
      </w:r>
      <w:r w:rsidRPr="00744F40">
        <w:rPr>
          <w:rFonts w:eastAsiaTheme="minorEastAsia"/>
          <w:b/>
          <w:rtl/>
        </w:rPr>
        <w:t>للمعلومات التي قدمتها الدولة الطرف، على عمليات نقل الأشخاص المسلوبة حريتهم سواء كانوا مدانين أو غير مدانين. ومع ذلك، يساور اللجنة القلق إزاء عدم وجود معلومات عن تنفيذه تنفيذ</w:t>
      </w:r>
      <w:r w:rsidR="003C567A" w:rsidRPr="00744F40">
        <w:rPr>
          <w:rFonts w:eastAsiaTheme="minorEastAsia"/>
          <w:b/>
          <w:rtl/>
        </w:rPr>
        <w:t xml:space="preserve">اً </w:t>
      </w:r>
      <w:r w:rsidRPr="00744F40">
        <w:rPr>
          <w:rFonts w:eastAsiaTheme="minorEastAsia"/>
          <w:b/>
          <w:rtl/>
        </w:rPr>
        <w:t>فعال</w:t>
      </w:r>
      <w:r w:rsidR="003C567A" w:rsidRPr="00744F40">
        <w:rPr>
          <w:rFonts w:eastAsiaTheme="minorEastAsia"/>
          <w:b/>
          <w:rtl/>
        </w:rPr>
        <w:t xml:space="preserve">اً، </w:t>
      </w:r>
      <w:r w:rsidRPr="00744F40">
        <w:rPr>
          <w:rFonts w:eastAsiaTheme="minorEastAsia"/>
          <w:b/>
          <w:rtl/>
        </w:rPr>
        <w:t>ولا سيما الإجراءات المتخذة في الحالات التي جرت فيها عمليات النقل بطريقة غير قانونية، والعقوبات المفروضة في هذه الحالات (المادة 1</w:t>
      </w:r>
      <w:r w:rsidR="00F957CF" w:rsidRPr="00744F40">
        <w:rPr>
          <w:rFonts w:eastAsiaTheme="minorEastAsia"/>
          <w:b/>
          <w:rtl/>
        </w:rPr>
        <w:t>7).</w:t>
      </w:r>
    </w:p>
    <w:p w14:paraId="209B6667" w14:textId="0B31D4B9"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10-</w:t>
      </w:r>
      <w:r w:rsidRPr="00744F40">
        <w:rPr>
          <w:rFonts w:eastAsiaTheme="minorEastAsia"/>
          <w:bCs/>
          <w:rtl/>
        </w:rPr>
        <w:tab/>
      </w:r>
      <w:r w:rsidRPr="00744F40">
        <w:rPr>
          <w:rFonts w:eastAsiaTheme="minorEastAsia"/>
          <w:b/>
          <w:bCs/>
          <w:rtl/>
        </w:rPr>
        <w:t>تحث اللجنة الدولة الطرف على ضمان التنفيذ الكامل للبروتوكول المتعلق بنقل الأشخاص المسلوبة حريتهم داخل دائرة السجون الاتحادية لمنع عمليات النقل غير القانونية، وضمان أن يتم، في حال حدوثها، إجراء التحقيقات اللازمة ومعاقبة المسؤولين عنها.</w:t>
      </w:r>
    </w:p>
    <w:p w14:paraId="04B453F7" w14:textId="77777777" w:rsidR="00E11807" w:rsidRPr="00F957CF" w:rsidRDefault="00E11807" w:rsidP="00E11807">
      <w:pPr>
        <w:pStyle w:val="H23GA"/>
        <w:rPr>
          <w:rStyle w:val="None"/>
          <w:rFonts w:eastAsiaTheme="minorEastAsia"/>
          <w:b w:val="0"/>
          <w:bCs w:val="0"/>
          <w:lang w:val="ar-SA" w:eastAsia="zh-TW" w:bidi="en-GB"/>
        </w:rPr>
      </w:pPr>
      <w:r w:rsidRPr="00744F40">
        <w:rPr>
          <w:rtl/>
        </w:rPr>
        <w:tab/>
      </w:r>
      <w:r w:rsidRPr="00744F40">
        <w:rPr>
          <w:rtl/>
        </w:rPr>
        <w:tab/>
        <w:t xml:space="preserve">مشروع قانون لإنشاء وكالة اتحادية للبحث عن الأشخاص المختفين </w:t>
      </w:r>
    </w:p>
    <w:p w14:paraId="5D45FF73" w14:textId="00DE015D" w:rsidR="00F957CF" w:rsidRPr="00F957CF" w:rsidRDefault="00E11807" w:rsidP="00E11807">
      <w:pPr>
        <w:pStyle w:val="SingleTxtGA"/>
        <w:rPr>
          <w:rStyle w:val="None"/>
          <w:rFonts w:eastAsiaTheme="minorEastAsia"/>
          <w:lang w:val="ar-SA" w:eastAsia="zh-TW" w:bidi="en-GB"/>
        </w:rPr>
      </w:pPr>
      <w:r w:rsidRPr="00744F40">
        <w:rPr>
          <w:rFonts w:eastAsiaTheme="minorEastAsia"/>
          <w:rtl/>
        </w:rPr>
        <w:t>11</w:t>
      </w:r>
      <w:r w:rsidRPr="00E11807">
        <w:rPr>
          <w:rFonts w:eastAsiaTheme="minorEastAsia"/>
          <w:rtl/>
        </w:rPr>
        <w:t>-</w:t>
      </w:r>
      <w:r w:rsidRPr="00E11807">
        <w:rPr>
          <w:rFonts w:eastAsiaTheme="minorEastAsia"/>
          <w:rtl/>
        </w:rPr>
        <w:tab/>
        <w:t xml:space="preserve">تأسف اللجنة لأنها لم تتلق أي معلومات عن متابعة مشروع القانون الرامي إلى إنشاء وكالة اتحادية للبحث عن الأشخاص المختفين، والهادف إلى مواءمة تشريعات الدولة الطرف وهيكلها مع المبادئ التوجيهية المتعلقة بالبحث عن الأشخاص المختفين التي اعتمدتها اللجنة (المواد </w:t>
      </w:r>
      <w:r w:rsidRPr="00744F40">
        <w:rPr>
          <w:rFonts w:eastAsiaTheme="minorEastAsia"/>
          <w:rtl/>
        </w:rPr>
        <w:t>12</w:t>
      </w:r>
      <w:r w:rsidRPr="00E11807">
        <w:rPr>
          <w:rFonts w:eastAsiaTheme="minorEastAsia"/>
          <w:rtl/>
        </w:rPr>
        <w:t xml:space="preserve"> و</w:t>
      </w:r>
      <w:r w:rsidRPr="00744F40">
        <w:rPr>
          <w:rFonts w:eastAsiaTheme="minorEastAsia"/>
          <w:rtl/>
        </w:rPr>
        <w:t>24</w:t>
      </w:r>
      <w:r w:rsidRPr="00E11807">
        <w:rPr>
          <w:rFonts w:eastAsiaTheme="minorEastAsia"/>
          <w:rtl/>
        </w:rPr>
        <w:t xml:space="preserve"> و</w:t>
      </w:r>
      <w:r w:rsidRPr="00744F40">
        <w:rPr>
          <w:rFonts w:eastAsiaTheme="minorEastAsia"/>
          <w:rtl/>
        </w:rPr>
        <w:t>3</w:t>
      </w:r>
      <w:r w:rsidR="00F957CF" w:rsidRPr="00744F40">
        <w:rPr>
          <w:rFonts w:eastAsiaTheme="minorEastAsia"/>
          <w:rtl/>
        </w:rPr>
        <w:t>0</w:t>
      </w:r>
      <w:r w:rsidR="00F957CF" w:rsidRPr="00F957CF">
        <w:rPr>
          <w:rFonts w:eastAsiaTheme="minorEastAsia"/>
          <w:rtl/>
        </w:rPr>
        <w:t>).</w:t>
      </w:r>
    </w:p>
    <w:p w14:paraId="1BFC9682" w14:textId="6165B551"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12-</w:t>
      </w:r>
      <w:r w:rsidRPr="00744F40">
        <w:rPr>
          <w:rFonts w:eastAsiaTheme="minorEastAsia"/>
          <w:bCs/>
          <w:rtl/>
        </w:rPr>
        <w:tab/>
      </w:r>
      <w:r w:rsidRPr="00744F40">
        <w:rPr>
          <w:rFonts w:eastAsiaTheme="minorEastAsia"/>
          <w:b/>
          <w:bCs/>
          <w:rtl/>
        </w:rPr>
        <w:t>تشجّع اللجنة الدولة الطرف على تعزيز إجراءات إنشاء وكالة اتحادية للبحث عن الأشخاص المختفين، وضمان أوسع مشاركة ممكنة لمختلف قطاعات المجتمع المدني المعنية.</w:t>
      </w:r>
      <w:r w:rsidRPr="00744F40">
        <w:rPr>
          <w:rFonts w:eastAsiaTheme="minorEastAsia"/>
          <w:bCs/>
          <w:rtl/>
        </w:rPr>
        <w:t xml:space="preserve"> </w:t>
      </w:r>
    </w:p>
    <w:p w14:paraId="4426B6F8" w14:textId="18FBED16" w:rsidR="00E11807" w:rsidRPr="00744F40" w:rsidRDefault="00E11807" w:rsidP="00E11807">
      <w:pPr>
        <w:pStyle w:val="H23GA"/>
        <w:rPr>
          <w:lang w:val="ar-SA" w:eastAsia="zh-TW" w:bidi="en-GB"/>
        </w:rPr>
      </w:pPr>
      <w:r w:rsidRPr="00744F40">
        <w:rPr>
          <w:rtl/>
        </w:rPr>
        <w:tab/>
        <w:t>3-</w:t>
      </w:r>
      <w:r w:rsidRPr="00744F40">
        <w:rPr>
          <w:rtl/>
        </w:rPr>
        <w:tab/>
        <w:t>البحث والتحقيق</w:t>
      </w:r>
    </w:p>
    <w:p w14:paraId="1C461559" w14:textId="0F622125" w:rsidR="00E11807" w:rsidRPr="00E11807" w:rsidRDefault="00E11807" w:rsidP="00E11807">
      <w:pPr>
        <w:pStyle w:val="SingleTxtGA"/>
        <w:rPr>
          <w:rStyle w:val="None"/>
          <w:rFonts w:eastAsiaTheme="minorEastAsia"/>
          <w:lang w:val="ar-SA" w:eastAsia="zh-TW" w:bidi="en-GB"/>
        </w:rPr>
      </w:pPr>
      <w:r w:rsidRPr="00744F40">
        <w:rPr>
          <w:rFonts w:eastAsiaTheme="minorEastAsia"/>
          <w:rtl/>
        </w:rPr>
        <w:t>13</w:t>
      </w:r>
      <w:r w:rsidRPr="00E11807">
        <w:rPr>
          <w:rFonts w:eastAsiaTheme="minorEastAsia"/>
          <w:rtl/>
        </w:rPr>
        <w:t>-</w:t>
      </w:r>
      <w:r w:rsidRPr="00E11807">
        <w:rPr>
          <w:rFonts w:eastAsiaTheme="minorEastAsia"/>
          <w:rtl/>
        </w:rPr>
        <w:tab/>
        <w:t>ترحب اللجنة بالجهود التي تبذلها الدولة الطرف لإزالة العقبات الوقائعية والقانونية التي تعترض مكافحة الإفلات من العقاب على حالات الاختفاء القسري المرتكبة إبان الحكم الدكتاتوري العسكري، بما</w:t>
      </w:r>
      <w:r>
        <w:rPr>
          <w:rFonts w:eastAsiaTheme="minorEastAsia" w:hint="cs"/>
          <w:rtl/>
        </w:rPr>
        <w:t> </w:t>
      </w:r>
      <w:r w:rsidRPr="00E11807">
        <w:rPr>
          <w:rFonts w:eastAsiaTheme="minorEastAsia"/>
          <w:rtl/>
        </w:rPr>
        <w:t>في ذلك الأفعال التي ارتكبتها جهات فاعلة من غير الدول. وتحيط اللجنة علم</w:t>
      </w:r>
      <w:r w:rsidR="003C567A">
        <w:rPr>
          <w:rFonts w:eastAsiaTheme="minorEastAsia"/>
          <w:rtl/>
        </w:rPr>
        <w:t xml:space="preserve">اً </w:t>
      </w:r>
      <w:r w:rsidRPr="00E11807">
        <w:rPr>
          <w:rFonts w:eastAsiaTheme="minorEastAsia"/>
          <w:rtl/>
        </w:rPr>
        <w:t>بالمعلومات المقدمة بشأن اعتماد الخطة الاستراتيجية للنهوض بإجراءات العدالة فيما يتعلق بالجرائم المرتكبة ضد الإنسانية</w:t>
      </w:r>
      <w:r>
        <w:rPr>
          <w:rFonts w:eastAsiaTheme="minorEastAsia" w:hint="cs"/>
          <w:rtl/>
        </w:rPr>
        <w:t> </w:t>
      </w:r>
      <w:r w:rsidRPr="00E11807">
        <w:rPr>
          <w:rFonts w:eastAsiaTheme="minorEastAsia"/>
          <w:rtl/>
        </w:rPr>
        <w:t xml:space="preserve">التي أُطلقت في كانون الأول/ديسمبر </w:t>
      </w:r>
      <w:r w:rsidRPr="00744F40">
        <w:rPr>
          <w:rFonts w:eastAsiaTheme="minorEastAsia"/>
          <w:rtl/>
        </w:rPr>
        <w:t>2020</w:t>
      </w:r>
      <w:r w:rsidRPr="00E11807">
        <w:rPr>
          <w:rFonts w:eastAsiaTheme="minorEastAsia"/>
          <w:rtl/>
        </w:rPr>
        <w:t>، والتي تحدد تدابير تهدف إلى تسريع المحاكمات وتعزيز</w:t>
      </w:r>
      <w:r>
        <w:rPr>
          <w:rFonts w:eastAsiaTheme="minorEastAsia" w:hint="cs"/>
          <w:rtl/>
        </w:rPr>
        <w:t> </w:t>
      </w:r>
      <w:r w:rsidRPr="00E11807">
        <w:rPr>
          <w:rFonts w:eastAsiaTheme="minorEastAsia"/>
          <w:rtl/>
        </w:rPr>
        <w:t xml:space="preserve">التحقيقات ومرافقة الضحايا. كما تلاحظ أنه حتى </w:t>
      </w:r>
      <w:r w:rsidRPr="00744F40">
        <w:rPr>
          <w:rFonts w:eastAsiaTheme="minorEastAsia"/>
          <w:rtl/>
        </w:rPr>
        <w:t>5</w:t>
      </w:r>
      <w:r w:rsidRPr="00E11807">
        <w:rPr>
          <w:rFonts w:eastAsiaTheme="minorEastAsia"/>
          <w:rtl/>
        </w:rPr>
        <w:t xml:space="preserve"> كانون الأول/ديسمبر </w:t>
      </w:r>
      <w:r w:rsidRPr="00744F40">
        <w:rPr>
          <w:rFonts w:eastAsiaTheme="minorEastAsia"/>
          <w:rtl/>
        </w:rPr>
        <w:t>2022</w:t>
      </w:r>
      <w:r w:rsidRPr="00E11807">
        <w:rPr>
          <w:rFonts w:eastAsiaTheme="minorEastAsia"/>
          <w:rtl/>
        </w:rPr>
        <w:t>، أدين ما</w:t>
      </w:r>
      <w:r>
        <w:rPr>
          <w:rFonts w:eastAsiaTheme="minorEastAsia" w:hint="cs"/>
          <w:rtl/>
        </w:rPr>
        <w:t> </w:t>
      </w:r>
      <w:r w:rsidRPr="00E11807">
        <w:rPr>
          <w:rFonts w:eastAsiaTheme="minorEastAsia"/>
          <w:rtl/>
        </w:rPr>
        <w:t xml:space="preserve">مجموعه </w:t>
      </w:r>
      <w:r w:rsidRPr="00744F40">
        <w:rPr>
          <w:rFonts w:eastAsiaTheme="minorEastAsia"/>
          <w:rtl/>
        </w:rPr>
        <w:t>117</w:t>
      </w:r>
      <w:r w:rsidRPr="00E11807">
        <w:rPr>
          <w:rFonts w:eastAsiaTheme="minorEastAsia"/>
          <w:rtl/>
        </w:rPr>
        <w:t xml:space="preserve"> </w:t>
      </w:r>
      <w:r w:rsidR="003C567A" w:rsidRPr="00744F40">
        <w:rPr>
          <w:rFonts w:eastAsiaTheme="minorEastAsia"/>
          <w:rtl/>
        </w:rPr>
        <w:t>1</w:t>
      </w:r>
      <w:r w:rsidR="003C567A">
        <w:rPr>
          <w:rFonts w:eastAsiaTheme="minorEastAsia" w:hint="cs"/>
          <w:rtl/>
        </w:rPr>
        <w:t xml:space="preserve"> </w:t>
      </w:r>
      <w:r w:rsidRPr="00E11807">
        <w:rPr>
          <w:rFonts w:eastAsiaTheme="minorEastAsia"/>
          <w:rtl/>
        </w:rPr>
        <w:t>شخص</w:t>
      </w:r>
      <w:r w:rsidR="003C567A">
        <w:rPr>
          <w:rFonts w:eastAsiaTheme="minorEastAsia"/>
          <w:rtl/>
        </w:rPr>
        <w:t xml:space="preserve">اً </w:t>
      </w:r>
      <w:r w:rsidRPr="00E11807">
        <w:rPr>
          <w:rFonts w:eastAsiaTheme="minorEastAsia"/>
          <w:rtl/>
        </w:rPr>
        <w:t xml:space="preserve">بارتكاب جرائم ضد الإنسانية وبُرّئت ذمة </w:t>
      </w:r>
      <w:r w:rsidRPr="00744F40">
        <w:rPr>
          <w:rFonts w:eastAsiaTheme="minorEastAsia"/>
          <w:rtl/>
        </w:rPr>
        <w:t>168</w:t>
      </w:r>
      <w:r w:rsidRPr="00E11807">
        <w:rPr>
          <w:rFonts w:eastAsiaTheme="minorEastAsia"/>
          <w:rtl/>
        </w:rPr>
        <w:t xml:space="preserve"> شخص</w:t>
      </w:r>
      <w:r w:rsidR="003C567A">
        <w:rPr>
          <w:rFonts w:eastAsiaTheme="minorEastAsia"/>
          <w:rtl/>
        </w:rPr>
        <w:t xml:space="preserve">اً. </w:t>
      </w:r>
      <w:r w:rsidRPr="00E11807">
        <w:rPr>
          <w:rFonts w:eastAsiaTheme="minorEastAsia"/>
          <w:rtl/>
        </w:rPr>
        <w:t xml:space="preserve">ومع ذلك، </w:t>
      </w:r>
      <w:r w:rsidRPr="00E11807">
        <w:rPr>
          <w:rFonts w:eastAsiaTheme="minorEastAsia"/>
          <w:rtl/>
        </w:rPr>
        <w:lastRenderedPageBreak/>
        <w:t>تأسف</w:t>
      </w:r>
      <w:r>
        <w:rPr>
          <w:rFonts w:eastAsiaTheme="minorEastAsia" w:hint="cs"/>
          <w:rtl/>
        </w:rPr>
        <w:t> </w:t>
      </w:r>
      <w:r w:rsidRPr="00E11807">
        <w:rPr>
          <w:rFonts w:eastAsiaTheme="minorEastAsia"/>
          <w:rtl/>
        </w:rPr>
        <w:t>اللجنة لأن هذه البيانات لا تحدد نسبة الحالات التي تنطوي على ادّعاءات الاختفاء القسري، ولا</w:t>
      </w:r>
      <w:r>
        <w:rPr>
          <w:rFonts w:eastAsiaTheme="minorEastAsia" w:hint="cs"/>
          <w:rtl/>
        </w:rPr>
        <w:t> </w:t>
      </w:r>
      <w:r w:rsidRPr="00E11807">
        <w:rPr>
          <w:rFonts w:eastAsiaTheme="minorEastAsia"/>
          <w:rtl/>
        </w:rPr>
        <w:t xml:space="preserve">تتضمن نتائج عمليات التحقيق فيها ومقاضاة مرتكبيها ومعاقبتهم (المادة </w:t>
      </w:r>
      <w:r w:rsidRPr="00744F40">
        <w:rPr>
          <w:rFonts w:eastAsiaTheme="minorEastAsia"/>
          <w:rtl/>
        </w:rPr>
        <w:t>1</w:t>
      </w:r>
      <w:r w:rsidR="00F957CF" w:rsidRPr="00744F40">
        <w:rPr>
          <w:rFonts w:eastAsiaTheme="minorEastAsia"/>
          <w:rtl/>
        </w:rPr>
        <w:t>2</w:t>
      </w:r>
      <w:r w:rsidR="00F957CF" w:rsidRPr="00F957CF">
        <w:rPr>
          <w:rFonts w:eastAsiaTheme="minorEastAsia"/>
          <w:rtl/>
        </w:rPr>
        <w:t xml:space="preserve">). </w:t>
      </w:r>
    </w:p>
    <w:p w14:paraId="47ADB539" w14:textId="73638291"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14-</w:t>
      </w:r>
      <w:r w:rsidRPr="00744F40">
        <w:rPr>
          <w:rFonts w:eastAsiaTheme="minorEastAsia"/>
          <w:b/>
          <w:rtl/>
        </w:rPr>
        <w:tab/>
      </w:r>
      <w:r w:rsidRPr="00744F40">
        <w:rPr>
          <w:rFonts w:eastAsiaTheme="minorEastAsia"/>
          <w:b/>
          <w:bCs/>
          <w:rtl/>
        </w:rPr>
        <w:t>توصي اللجنة الدولة الطرف بتوحيد المعلومات المتعلقة بالتحقيق في حالات الاختفاء القسري التي حدثت إبان الحكم الدكتاتوري العسكري ومقاضاة مرتكبيها ومعاقبتهم في مختلف قواعد بيانات الدولة، وبتوفير إحصاءات دقيقة وموثوقة.</w:t>
      </w:r>
      <w:r w:rsidRPr="00744F40">
        <w:rPr>
          <w:rFonts w:eastAsiaTheme="minorEastAsia"/>
          <w:bCs/>
          <w:rtl/>
        </w:rPr>
        <w:t xml:space="preserve"> </w:t>
      </w:r>
      <w:r w:rsidRPr="00744F40">
        <w:rPr>
          <w:rFonts w:eastAsiaTheme="minorEastAsia"/>
          <w:b/>
          <w:bCs/>
          <w:rtl/>
        </w:rPr>
        <w:t>وينبغي أن تسمح هذه الإحصاءات بتحديد مختلف فئات الضحايا وأسباب الاختفاء القسري ودينامياته وأنماط السلوك، بهدف الاستناد إليها لاعتماد تدابير أكثر</w:t>
      </w:r>
      <w:r w:rsidRPr="00744F40">
        <w:rPr>
          <w:rFonts w:eastAsiaTheme="minorEastAsia" w:hint="cs"/>
          <w:b/>
          <w:bCs/>
          <w:rtl/>
        </w:rPr>
        <w:t> </w:t>
      </w:r>
      <w:r w:rsidRPr="00744F40">
        <w:rPr>
          <w:rFonts w:eastAsiaTheme="minorEastAsia"/>
          <w:b/>
          <w:bCs/>
          <w:rtl/>
        </w:rPr>
        <w:t>فعالية في مجالات المنع والتحقيق والبحث.</w:t>
      </w:r>
      <w:r w:rsidRPr="00744F40">
        <w:rPr>
          <w:rFonts w:eastAsiaTheme="minorEastAsia"/>
          <w:bCs/>
          <w:rtl/>
        </w:rPr>
        <w:t xml:space="preserve"> </w:t>
      </w:r>
      <w:r w:rsidRPr="00744F40">
        <w:rPr>
          <w:rFonts w:eastAsiaTheme="minorEastAsia"/>
          <w:b/>
          <w:bCs/>
          <w:rtl/>
        </w:rPr>
        <w:t>وينبغي تحديث السجل على نحو منتظم وموحد وشامل</w:t>
      </w:r>
      <w:r w:rsidRPr="00744F40">
        <w:rPr>
          <w:rFonts w:eastAsiaTheme="minorEastAsia" w:hint="cs"/>
          <w:b/>
          <w:bCs/>
          <w:rtl/>
        </w:rPr>
        <w:t> </w:t>
      </w:r>
      <w:r w:rsidRPr="00744F40">
        <w:rPr>
          <w:rFonts w:eastAsiaTheme="minorEastAsia"/>
          <w:b/>
          <w:bCs/>
          <w:rtl/>
        </w:rPr>
        <w:t>وفوري ببيانات جميع الأشخاص المختفين الذين عُلم باختفائهم، كما ينبغي أن يتضمن على</w:t>
      </w:r>
      <w:r w:rsidRPr="00744F40">
        <w:rPr>
          <w:rFonts w:eastAsiaTheme="minorEastAsia" w:hint="cs"/>
          <w:b/>
          <w:bCs/>
          <w:rtl/>
        </w:rPr>
        <w:t> </w:t>
      </w:r>
      <w:r w:rsidRPr="00744F40">
        <w:rPr>
          <w:rFonts w:eastAsiaTheme="minorEastAsia"/>
          <w:b/>
          <w:bCs/>
          <w:rtl/>
        </w:rPr>
        <w:t>الأقل ما يلي:</w:t>
      </w:r>
      <w:r w:rsidRPr="00744F40">
        <w:rPr>
          <w:rFonts w:eastAsiaTheme="minorEastAsia"/>
          <w:bCs/>
          <w:rtl/>
        </w:rPr>
        <w:t xml:space="preserve"> </w:t>
      </w:r>
    </w:p>
    <w:p w14:paraId="6E0E26E4" w14:textId="44E24C97" w:rsidR="00E11807" w:rsidRPr="00744F40" w:rsidRDefault="00E11807" w:rsidP="00E11807">
      <w:pPr>
        <w:pStyle w:val="SingleTxtGA"/>
        <w:rPr>
          <w:rStyle w:val="None"/>
          <w:rFonts w:eastAsiaTheme="minorEastAsia"/>
          <w:b/>
          <w:bCs/>
          <w:lang w:val="ar-SA" w:eastAsia="zh-TW" w:bidi="en-GB"/>
        </w:rPr>
      </w:pPr>
      <w:r w:rsidRPr="00744F40">
        <w:rPr>
          <w:rFonts w:eastAsiaTheme="minorEastAsia"/>
          <w:b/>
          <w:bCs/>
          <w:rtl/>
        </w:rPr>
        <w:tab/>
      </w:r>
      <w:r w:rsidRPr="00F957CF">
        <w:rPr>
          <w:rFonts w:eastAsiaTheme="minorEastAsia"/>
          <w:rtl/>
        </w:rPr>
        <w:t>(أ)</w:t>
      </w:r>
      <w:r w:rsidRPr="00744F40">
        <w:rPr>
          <w:rFonts w:eastAsiaTheme="minorEastAsia"/>
          <w:bCs/>
          <w:rtl/>
        </w:rPr>
        <w:tab/>
      </w:r>
      <w:r w:rsidRPr="00744F40">
        <w:rPr>
          <w:rFonts w:eastAsiaTheme="minorEastAsia"/>
          <w:b/>
          <w:bCs/>
          <w:rtl/>
        </w:rPr>
        <w:t>مجموع عدد كل الأشخاص المختفين وهوياتهم، مع تبيان الأشخاص الذين ربما</w:t>
      </w:r>
      <w:r w:rsidR="003C567A" w:rsidRPr="00744F40">
        <w:rPr>
          <w:rFonts w:eastAsiaTheme="minorEastAsia" w:hint="cs"/>
          <w:b/>
          <w:bCs/>
          <w:rtl/>
        </w:rPr>
        <w:t> </w:t>
      </w:r>
      <w:r w:rsidRPr="00744F40">
        <w:rPr>
          <w:rFonts w:eastAsiaTheme="minorEastAsia"/>
          <w:b/>
          <w:bCs/>
          <w:rtl/>
        </w:rPr>
        <w:t>تعرضوا للاختفاء القسري بالمعنى المقصود في المادة 2 من الاتفاقية؛</w:t>
      </w:r>
    </w:p>
    <w:p w14:paraId="2FF6FB34" w14:textId="2AF67F55" w:rsidR="00E11807" w:rsidRPr="00744F40" w:rsidRDefault="00E11807" w:rsidP="00E11807">
      <w:pPr>
        <w:pStyle w:val="SingleTxtGA"/>
        <w:rPr>
          <w:rStyle w:val="None"/>
          <w:rFonts w:eastAsiaTheme="minorEastAsia"/>
          <w:b/>
          <w:bCs/>
          <w:lang w:val="ar-SA" w:eastAsia="zh-TW" w:bidi="en-GB"/>
        </w:rPr>
      </w:pPr>
      <w:r w:rsidRPr="00744F40">
        <w:rPr>
          <w:rFonts w:eastAsiaTheme="minorEastAsia"/>
          <w:b/>
          <w:bCs/>
          <w:rtl/>
        </w:rPr>
        <w:tab/>
      </w:r>
      <w:r w:rsidRPr="00F957CF">
        <w:rPr>
          <w:rFonts w:eastAsiaTheme="minorEastAsia"/>
          <w:rtl/>
        </w:rPr>
        <w:t>(ب)</w:t>
      </w:r>
      <w:r w:rsidRPr="00F957CF">
        <w:rPr>
          <w:rFonts w:eastAsiaTheme="minorEastAsia"/>
          <w:rtl/>
        </w:rPr>
        <w:tab/>
      </w:r>
      <w:r w:rsidRPr="00744F40">
        <w:rPr>
          <w:rFonts w:eastAsiaTheme="minorEastAsia"/>
          <w:b/>
          <w:bCs/>
          <w:rtl/>
        </w:rPr>
        <w:t>نوع جنس الشخص المختفي وهويته الجنسانية وميله الجنسي وعمره وجنسيته وإثنيته، وكذلك مكان الاختفاء وتاريخه وسياقه وظروفه، بما في ذلك جميع المعلومات ذات الصلة، لمعرفة ما إذا كان الأمر يتعلق باختفاء قسري؛</w:t>
      </w:r>
    </w:p>
    <w:p w14:paraId="310FD5D4" w14:textId="4D7FB97E" w:rsidR="00E11807" w:rsidRPr="00744F40" w:rsidRDefault="00E11807" w:rsidP="00E11807">
      <w:pPr>
        <w:pStyle w:val="SingleTxtGA"/>
        <w:rPr>
          <w:rStyle w:val="None"/>
          <w:rFonts w:eastAsiaTheme="minorEastAsia"/>
          <w:b/>
          <w:bCs/>
          <w:lang w:val="ar-SA" w:eastAsia="zh-TW" w:bidi="en-GB"/>
        </w:rPr>
      </w:pPr>
      <w:r w:rsidRPr="00744F40">
        <w:rPr>
          <w:rFonts w:eastAsiaTheme="minorEastAsia"/>
          <w:b/>
          <w:bCs/>
          <w:rtl/>
        </w:rPr>
        <w:tab/>
      </w:r>
      <w:r w:rsidRPr="00F957CF">
        <w:rPr>
          <w:rFonts w:eastAsiaTheme="minorEastAsia"/>
          <w:rtl/>
        </w:rPr>
        <w:t>(ج)</w:t>
      </w:r>
      <w:r w:rsidRPr="00F957CF">
        <w:rPr>
          <w:rFonts w:eastAsiaTheme="minorEastAsia"/>
          <w:rtl/>
        </w:rPr>
        <w:tab/>
      </w:r>
      <w:r w:rsidRPr="00744F40">
        <w:rPr>
          <w:rFonts w:eastAsiaTheme="minorEastAsia"/>
          <w:b/>
          <w:bCs/>
          <w:rtl/>
        </w:rPr>
        <w:t>حالة إجراءات البحث والتحقيق والجبر ذات الصلة، بما في ذلك بيانات بشأن استخراج الجثث وتحديد هوية أصحابها وتسليمها.</w:t>
      </w:r>
      <w:r w:rsidRPr="00744F40">
        <w:rPr>
          <w:rFonts w:eastAsiaTheme="minorEastAsia"/>
          <w:bCs/>
          <w:rtl/>
        </w:rPr>
        <w:t xml:space="preserve"> </w:t>
      </w:r>
    </w:p>
    <w:p w14:paraId="2D79A38C" w14:textId="4C6C3983" w:rsidR="00F957CF" w:rsidRPr="00F957CF" w:rsidRDefault="00E11807" w:rsidP="00E11807">
      <w:pPr>
        <w:pStyle w:val="SingleTxtGA"/>
        <w:rPr>
          <w:rFonts w:eastAsiaTheme="minorEastAsia"/>
          <w:lang w:val="ar-SA" w:eastAsia="zh-TW" w:bidi="en-GB"/>
        </w:rPr>
      </w:pPr>
      <w:r w:rsidRPr="00744F40">
        <w:rPr>
          <w:rFonts w:eastAsiaTheme="minorEastAsia"/>
          <w:rtl/>
        </w:rPr>
        <w:t>15</w:t>
      </w:r>
      <w:r w:rsidRPr="00E11807">
        <w:rPr>
          <w:rFonts w:eastAsiaTheme="minorEastAsia"/>
          <w:rtl/>
        </w:rPr>
        <w:t>-</w:t>
      </w:r>
      <w:r w:rsidRPr="00E11807">
        <w:rPr>
          <w:rFonts w:eastAsiaTheme="minorEastAsia"/>
          <w:rtl/>
        </w:rPr>
        <w:tab/>
        <w:t>ويساور اللجنة القلق أيض</w:t>
      </w:r>
      <w:r w:rsidR="003C567A">
        <w:rPr>
          <w:rFonts w:eastAsiaTheme="minorEastAsia"/>
          <w:rtl/>
        </w:rPr>
        <w:t xml:space="preserve">اً </w:t>
      </w:r>
      <w:r w:rsidRPr="00E11807">
        <w:rPr>
          <w:rFonts w:eastAsiaTheme="minorEastAsia"/>
          <w:rtl/>
        </w:rPr>
        <w:t>إزاء عدم وجود معلومات بشأن إلغاء المزايا الإجرائية والسجنية</w:t>
      </w:r>
      <w:r>
        <w:rPr>
          <w:rFonts w:eastAsiaTheme="minorEastAsia" w:hint="cs"/>
          <w:rtl/>
        </w:rPr>
        <w:t> </w:t>
      </w:r>
      <w:r w:rsidRPr="00E11807">
        <w:rPr>
          <w:rFonts w:eastAsiaTheme="minorEastAsia"/>
          <w:rtl/>
        </w:rPr>
        <w:t>للأشخاص المتهمين أو المدانين بارتكاب جرائم ضد الإنسانية، بما في ذلك حالات الاختفاء</w:t>
      </w:r>
      <w:r>
        <w:rPr>
          <w:rFonts w:eastAsiaTheme="minorEastAsia" w:hint="cs"/>
          <w:rtl/>
        </w:rPr>
        <w:t> </w:t>
      </w:r>
      <w:r w:rsidRPr="00E11807">
        <w:rPr>
          <w:rFonts w:eastAsiaTheme="minorEastAsia"/>
          <w:rtl/>
        </w:rPr>
        <w:t>القسري، ولا</w:t>
      </w:r>
      <w:r>
        <w:rPr>
          <w:rFonts w:eastAsiaTheme="minorEastAsia" w:hint="cs"/>
          <w:rtl/>
        </w:rPr>
        <w:t> </w:t>
      </w:r>
      <w:r w:rsidRPr="00E11807">
        <w:rPr>
          <w:rFonts w:eastAsiaTheme="minorEastAsia"/>
          <w:rtl/>
        </w:rPr>
        <w:t>سيما منح الإقامة الجبرية وتخفيف الأحكام، وهو ما قد يمثل أحد أشكال الإفلات من العقاب (المادة</w:t>
      </w:r>
      <w:r>
        <w:rPr>
          <w:rFonts w:eastAsiaTheme="minorEastAsia" w:hint="cs"/>
          <w:rtl/>
        </w:rPr>
        <w:t> </w:t>
      </w:r>
      <w:r w:rsidR="00F957CF" w:rsidRPr="00744F40">
        <w:rPr>
          <w:rFonts w:eastAsiaTheme="minorEastAsia"/>
          <w:rtl/>
        </w:rPr>
        <w:t>7</w:t>
      </w:r>
      <w:r w:rsidR="00F957CF" w:rsidRPr="00F957CF">
        <w:rPr>
          <w:rFonts w:eastAsiaTheme="minorEastAsia"/>
          <w:rtl/>
        </w:rPr>
        <w:t>).</w:t>
      </w:r>
    </w:p>
    <w:p w14:paraId="39CB6EA3" w14:textId="2E840C4D"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16-</w:t>
      </w:r>
      <w:r w:rsidRPr="00744F40">
        <w:rPr>
          <w:rFonts w:eastAsiaTheme="minorEastAsia"/>
          <w:bCs/>
          <w:rtl/>
        </w:rPr>
        <w:tab/>
      </w:r>
      <w:r w:rsidRPr="00744F40">
        <w:rPr>
          <w:rFonts w:eastAsiaTheme="minorEastAsia"/>
          <w:b/>
          <w:bCs/>
          <w:rtl/>
        </w:rPr>
        <w:t>تشجع اللجنة الدولة الطرف على إلغاء المزايا الإجرائية والسجنية غير المبررة للأشخاص المتهمين أو المدانين بارتكاب الاختفاء القسري.</w:t>
      </w:r>
    </w:p>
    <w:p w14:paraId="10DE9DF7" w14:textId="08377295" w:rsidR="00F957CF" w:rsidRPr="00F957CF" w:rsidRDefault="00E11807" w:rsidP="00E11807">
      <w:pPr>
        <w:pStyle w:val="SingleTxtGA"/>
        <w:rPr>
          <w:rStyle w:val="None"/>
          <w:rFonts w:eastAsiaTheme="minorEastAsia"/>
          <w:lang w:val="ar-SA" w:eastAsia="zh-TW" w:bidi="en-GB"/>
        </w:rPr>
      </w:pPr>
      <w:r w:rsidRPr="00744F40">
        <w:rPr>
          <w:rFonts w:eastAsiaTheme="minorEastAsia"/>
          <w:rtl/>
        </w:rPr>
        <w:t>17</w:t>
      </w:r>
      <w:r w:rsidRPr="00E11807">
        <w:rPr>
          <w:rFonts w:eastAsiaTheme="minorEastAsia"/>
          <w:rtl/>
        </w:rPr>
        <w:t xml:space="preserve">- ويساور اللجنة القلق إزاء تراكم الإجراءات القضائية وتأخرها، ولا سيما في مرحلة الطعن، لأسباب منها عدم تعيين قضاة اتحاديين، وهو ما قد يؤدي إلى الإفلات من العقاب نتيجة وفاة مرتكبي الجريمة وإلى فشل مطالب تحقيق العدالة نتيجة وفاة الضحايا بسبب الشيخوخة (المادة </w:t>
      </w:r>
      <w:r w:rsidRPr="00744F40">
        <w:rPr>
          <w:rFonts w:eastAsiaTheme="minorEastAsia"/>
          <w:rtl/>
        </w:rPr>
        <w:t>1</w:t>
      </w:r>
      <w:r w:rsidR="00F957CF" w:rsidRPr="00744F40">
        <w:rPr>
          <w:rFonts w:eastAsiaTheme="minorEastAsia"/>
          <w:rtl/>
        </w:rPr>
        <w:t>2</w:t>
      </w:r>
      <w:r w:rsidR="00F957CF" w:rsidRPr="00F957CF">
        <w:rPr>
          <w:rFonts w:eastAsiaTheme="minorEastAsia"/>
          <w:rtl/>
        </w:rPr>
        <w:t>).</w:t>
      </w:r>
    </w:p>
    <w:p w14:paraId="22E7F5B3" w14:textId="475EC779"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18-</w:t>
      </w:r>
      <w:r w:rsidRPr="00744F40">
        <w:rPr>
          <w:rFonts w:eastAsiaTheme="minorEastAsia"/>
          <w:bCs/>
          <w:rtl/>
        </w:rPr>
        <w:tab/>
      </w:r>
      <w:r w:rsidRPr="00744F40">
        <w:rPr>
          <w:rFonts w:eastAsiaTheme="minorEastAsia"/>
          <w:b/>
          <w:bCs/>
          <w:rtl/>
        </w:rPr>
        <w:t>توصي اللجنة الدولة الطرف بضمان سرعة الإجراءات القضائية، بطرق منها إنشاء هيئات قضائية اتحادية جديدة وتخصيص الموارد اللازمة لتمكين المحاكم والهيئات القضائية من أداء مهامها دون تأخير.</w:t>
      </w:r>
    </w:p>
    <w:p w14:paraId="5AA4AC67" w14:textId="2F03DE3F" w:rsidR="00F957CF" w:rsidRPr="00F957CF" w:rsidRDefault="00E11807" w:rsidP="00E11807">
      <w:pPr>
        <w:pStyle w:val="SingleTxtGA"/>
        <w:rPr>
          <w:rFonts w:eastAsiaTheme="minorEastAsia"/>
          <w:lang w:val="ar-SA" w:eastAsia="zh-TW" w:bidi="en-GB"/>
        </w:rPr>
      </w:pPr>
      <w:r w:rsidRPr="00744F40">
        <w:rPr>
          <w:rFonts w:eastAsiaTheme="minorEastAsia"/>
          <w:rtl/>
        </w:rPr>
        <w:t>19</w:t>
      </w:r>
      <w:r w:rsidRPr="00E11807">
        <w:rPr>
          <w:rFonts w:eastAsiaTheme="minorEastAsia"/>
          <w:rtl/>
        </w:rPr>
        <w:t>-</w:t>
      </w:r>
      <w:r w:rsidRPr="00E11807">
        <w:rPr>
          <w:rFonts w:eastAsiaTheme="minorEastAsia"/>
          <w:rtl/>
        </w:rPr>
        <w:tab/>
        <w:t>وتحيط اللجنة علم</w:t>
      </w:r>
      <w:r w:rsidR="003C567A">
        <w:rPr>
          <w:rFonts w:eastAsiaTheme="minorEastAsia"/>
          <w:rtl/>
        </w:rPr>
        <w:t xml:space="preserve">اً </w:t>
      </w:r>
      <w:r w:rsidRPr="00E11807">
        <w:rPr>
          <w:rFonts w:eastAsiaTheme="minorEastAsia"/>
          <w:rtl/>
        </w:rPr>
        <w:t xml:space="preserve">بالجهود التي تبذلها الدولة الطرف للتحقيق والبحث في حالات الاختفاء القسري سواء تلك التي حدثت إبان الحكم الدكتاتوري العسكري أو الحكم الديمقراطي. ومع ذلك، يساور اللجنة القلق إزاء التقارير التي تشير إلى غياب التوافق والتنسيق بين السلطات المسؤولة عن البحث والتحقيق والمقاضاة على صعيد الاتحاد والمقاطعات. كما يساورها القلق إزاء عدم وجود آليات واضحة لمشاركة أقارب الأشخاص المختفين في جميع مراحل عمليات التحقيق والبحث وتحديد الهوية المتصلة بحالات الاختفاء إبان الحكم الديمقراطي (المادة </w:t>
      </w:r>
      <w:r w:rsidRPr="00744F40">
        <w:rPr>
          <w:rFonts w:eastAsiaTheme="minorEastAsia"/>
          <w:rtl/>
        </w:rPr>
        <w:t>1</w:t>
      </w:r>
      <w:r w:rsidR="00F957CF" w:rsidRPr="00744F40">
        <w:rPr>
          <w:rFonts w:eastAsiaTheme="minorEastAsia"/>
          <w:rtl/>
        </w:rPr>
        <w:t>2</w:t>
      </w:r>
      <w:r w:rsidR="00F957CF" w:rsidRPr="00F957CF">
        <w:rPr>
          <w:rFonts w:eastAsiaTheme="minorEastAsia"/>
          <w:rtl/>
        </w:rPr>
        <w:t>).</w:t>
      </w:r>
    </w:p>
    <w:p w14:paraId="4CD2A9D5" w14:textId="7A76D24B"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20-</w:t>
      </w:r>
      <w:r w:rsidRPr="00744F40">
        <w:rPr>
          <w:rFonts w:eastAsiaTheme="minorEastAsia"/>
          <w:bCs/>
          <w:rtl/>
        </w:rPr>
        <w:tab/>
      </w:r>
      <w:r w:rsidRPr="00744F40">
        <w:rPr>
          <w:rFonts w:eastAsiaTheme="minorEastAsia"/>
          <w:b/>
          <w:bCs/>
          <w:rtl/>
        </w:rPr>
        <w:t xml:space="preserve">تشجّع اللجنة الدولة الطرف على تكثيف جهودها الرامية إلى تعزيز التنسيق والتعاون والتبادل المنهجي للمعلومات فيما بين المؤسسات المشاركة في التحقيق في رفات الأشخاص المختفين والبحث </w:t>
      </w:r>
      <w:r w:rsidRPr="00744F40">
        <w:rPr>
          <w:rFonts w:eastAsiaTheme="minorEastAsia"/>
          <w:b/>
          <w:bCs/>
          <w:rtl/>
        </w:rPr>
        <w:lastRenderedPageBreak/>
        <w:t>عنها وتحديد مكان وجودها واستعادتها وتحديد هويتها، حتى تتمكن من أداء مهامها بفعالية وسرعة.</w:t>
      </w:r>
      <w:r w:rsidRPr="00744F40">
        <w:rPr>
          <w:rFonts w:eastAsiaTheme="minorEastAsia"/>
          <w:bCs/>
          <w:rtl/>
        </w:rPr>
        <w:t xml:space="preserve"> </w:t>
      </w:r>
      <w:r w:rsidRPr="00744F40">
        <w:rPr>
          <w:rFonts w:eastAsiaTheme="minorEastAsia"/>
          <w:b/>
          <w:bCs/>
          <w:rtl/>
        </w:rPr>
        <w:t>كما تحث الدولة الطرف على ضمان مشاركة أقارب الأشخاص المختفين في جميع مراحل عمليات البحث والتحقيق وتحديد الهوية، مع الحرص على إبلاغهم المنتظم بالتقدم المحرز في الإجراءات التي تتخذها السلطات ونتائجها.</w:t>
      </w:r>
    </w:p>
    <w:p w14:paraId="5D196670" w14:textId="3EACBF32" w:rsidR="00F957CF" w:rsidRPr="00F957CF" w:rsidRDefault="00E11807" w:rsidP="00E11807">
      <w:pPr>
        <w:pStyle w:val="SingleTxtGA"/>
        <w:rPr>
          <w:rStyle w:val="None"/>
          <w:rFonts w:eastAsiaTheme="minorEastAsia"/>
          <w:lang w:val="ar-SA" w:eastAsia="zh-TW" w:bidi="en-GB"/>
          <w14:textOutline w14:w="12700" w14:cap="flat" w14:cmpd="sng" w14:algn="ctr">
            <w14:noFill/>
            <w14:prstDash w14:val="solid"/>
            <w14:miter w14:lim="400000"/>
          </w14:textOutline>
        </w:rPr>
      </w:pPr>
      <w:r w:rsidRPr="00744F40">
        <w:rPr>
          <w:rFonts w:eastAsiaTheme="minorEastAsia"/>
          <w:rtl/>
        </w:rPr>
        <w:t>21</w:t>
      </w:r>
      <w:r w:rsidRPr="00E11807">
        <w:rPr>
          <w:rFonts w:eastAsiaTheme="minorEastAsia"/>
          <w:rtl/>
        </w:rPr>
        <w:t>-</w:t>
      </w:r>
      <w:r w:rsidRPr="00E11807">
        <w:rPr>
          <w:rFonts w:eastAsiaTheme="minorEastAsia"/>
          <w:rtl/>
        </w:rPr>
        <w:tab/>
        <w:t xml:space="preserve">وتأسف اللجنة لعدم وجود سجل مركزي رسمي للأشخاص المختفين ولا قاعدة بيانات مركزية للبيانات الجينية للأسر التي تبحث عن أحبائها، بالنسبة لحالات الاختفاء المسجلة إبان الحكم الديمقراطي. كما تأسف لأنه لا توجد فيما يتعلق بهذه الحالات قاعدة بيانات تتضمن معلومات عن الجثث التي يعثر عنها مجهولة الهوية في مختلف المقاطعات، وسياسة عامة لحمايتها وتحديد هويتها (المادة </w:t>
      </w:r>
      <w:r w:rsidRPr="00744F40">
        <w:rPr>
          <w:rFonts w:eastAsiaTheme="minorEastAsia"/>
          <w:rtl/>
        </w:rPr>
        <w:t>2</w:t>
      </w:r>
      <w:r w:rsidR="00F957CF" w:rsidRPr="00744F40">
        <w:rPr>
          <w:rFonts w:eastAsiaTheme="minorEastAsia"/>
          <w:rtl/>
        </w:rPr>
        <w:t>4</w:t>
      </w:r>
      <w:r w:rsidR="00F957CF" w:rsidRPr="00F957CF">
        <w:rPr>
          <w:rFonts w:eastAsiaTheme="minorEastAsia"/>
          <w:rtl/>
        </w:rPr>
        <w:t>).</w:t>
      </w:r>
    </w:p>
    <w:p w14:paraId="0ED0D75F" w14:textId="327BAC55" w:rsidR="00E11807" w:rsidRPr="00744F40" w:rsidRDefault="00E11807" w:rsidP="00E11807">
      <w:pPr>
        <w:pStyle w:val="SingleTxtGA"/>
        <w:rPr>
          <w:rStyle w:val="None"/>
          <w:rFonts w:eastAsiaTheme="minorEastAsia"/>
          <w:b/>
          <w:bCs/>
          <w:lang w:val="ar-SA" w:eastAsia="zh-TW" w:bidi="en-GB"/>
          <w14:textOutline w14:w="12700" w14:cap="flat" w14:cmpd="sng" w14:algn="ctr">
            <w14:noFill/>
            <w14:prstDash w14:val="solid"/>
            <w14:miter w14:lim="400000"/>
          </w14:textOutline>
        </w:rPr>
      </w:pPr>
      <w:r w:rsidRPr="00744F40">
        <w:rPr>
          <w:rFonts w:eastAsiaTheme="minorEastAsia"/>
          <w:b/>
          <w:rtl/>
        </w:rPr>
        <w:t>22-</w:t>
      </w:r>
      <w:r w:rsidRPr="00744F40">
        <w:rPr>
          <w:rFonts w:eastAsiaTheme="minorEastAsia"/>
          <w:bCs/>
          <w:rtl/>
        </w:rPr>
        <w:tab/>
      </w:r>
      <w:r w:rsidRPr="00744F40">
        <w:rPr>
          <w:rFonts w:eastAsiaTheme="minorEastAsia"/>
          <w:b/>
          <w:bCs/>
          <w:rtl/>
        </w:rPr>
        <w:t>توصي اللجنة الدولة الطرف بإنشاء سجل رسمي مركزي ووحيد للأشخاص المختفين في دولة ديمقراطية، تتوفر له الميزانية والهياكل التنظيمية والاستقلالية اللازمة لأداء مهامه، ويكون مجهز</w:t>
      </w:r>
      <w:r w:rsidR="003C567A" w:rsidRPr="00744F40">
        <w:rPr>
          <w:rFonts w:eastAsiaTheme="minorEastAsia"/>
          <w:b/>
          <w:bCs/>
          <w:rtl/>
        </w:rPr>
        <w:t xml:space="preserve">اً </w:t>
      </w:r>
      <w:r w:rsidRPr="00744F40">
        <w:rPr>
          <w:rFonts w:eastAsiaTheme="minorEastAsia"/>
          <w:b/>
          <w:bCs/>
          <w:rtl/>
        </w:rPr>
        <w:t>تجهيز</w:t>
      </w:r>
      <w:r w:rsidR="003C567A" w:rsidRPr="00744F40">
        <w:rPr>
          <w:rFonts w:eastAsiaTheme="minorEastAsia"/>
          <w:b/>
          <w:bCs/>
          <w:rtl/>
        </w:rPr>
        <w:t xml:space="preserve">اً </w:t>
      </w:r>
      <w:r w:rsidRPr="00744F40">
        <w:rPr>
          <w:rFonts w:eastAsiaTheme="minorEastAsia"/>
          <w:b/>
          <w:bCs/>
          <w:rtl/>
        </w:rPr>
        <w:t>كافي</w:t>
      </w:r>
      <w:r w:rsidR="003C567A" w:rsidRPr="00744F40">
        <w:rPr>
          <w:rFonts w:eastAsiaTheme="minorEastAsia"/>
          <w:b/>
          <w:bCs/>
          <w:rtl/>
        </w:rPr>
        <w:t xml:space="preserve">اً </w:t>
      </w:r>
      <w:r w:rsidRPr="00744F40">
        <w:rPr>
          <w:rFonts w:eastAsiaTheme="minorEastAsia"/>
          <w:b/>
          <w:bCs/>
          <w:rtl/>
        </w:rPr>
        <w:t>لتلبية احتياجات التعرف على هوية الجثث والرفات.</w:t>
      </w:r>
      <w:r w:rsidRPr="00744F40">
        <w:rPr>
          <w:rFonts w:eastAsiaTheme="minorEastAsia"/>
          <w:bCs/>
          <w:rtl/>
        </w:rPr>
        <w:t xml:space="preserve"> </w:t>
      </w:r>
      <w:r w:rsidRPr="00744F40">
        <w:rPr>
          <w:rFonts w:eastAsiaTheme="minorEastAsia"/>
          <w:b/>
          <w:bCs/>
          <w:rtl/>
        </w:rPr>
        <w:t>وفي هذا الصدد، توصي اللجنة بإنشاء قاعدة بيانات جينية تسمح بمقارنة العينات المرجعية لعائلات أقارب الأشخاص المختفين في سياق نظام ديمقراطي مع بيانات الحمض الخلوي الصبغي للرفات البشرية المجهولة الهوية، بما يكفل الاحترام الكامل لمبادئ حماية البيانات الفردية وفق</w:t>
      </w:r>
      <w:r w:rsidR="003C567A" w:rsidRPr="00744F40">
        <w:rPr>
          <w:rFonts w:eastAsiaTheme="minorEastAsia"/>
          <w:b/>
          <w:bCs/>
          <w:rtl/>
        </w:rPr>
        <w:t xml:space="preserve">اً </w:t>
      </w:r>
      <w:r w:rsidRPr="00744F40">
        <w:rPr>
          <w:rFonts w:eastAsiaTheme="minorEastAsia"/>
          <w:b/>
          <w:bCs/>
          <w:rtl/>
        </w:rPr>
        <w:t>للمادة 19 من الاتفاقية.</w:t>
      </w:r>
      <w:r w:rsidRPr="00744F40">
        <w:rPr>
          <w:rFonts w:eastAsiaTheme="minorEastAsia"/>
          <w:bCs/>
          <w:rtl/>
        </w:rPr>
        <w:t xml:space="preserve"> </w:t>
      </w:r>
    </w:p>
    <w:p w14:paraId="3C0BE977" w14:textId="49E598D0" w:rsidR="00F957CF" w:rsidRPr="00F957CF" w:rsidRDefault="00E11807" w:rsidP="003C567A">
      <w:pPr>
        <w:pStyle w:val="SingleTxtGA"/>
        <w:rPr>
          <w:rFonts w:eastAsiaTheme="minorEastAsia"/>
          <w:lang w:val="en-US" w:eastAsia="zh-TW" w:bidi="en-GB"/>
        </w:rPr>
      </w:pPr>
      <w:r w:rsidRPr="00744F40">
        <w:rPr>
          <w:rFonts w:eastAsiaTheme="minorEastAsia"/>
          <w:rtl/>
        </w:rPr>
        <w:t>23</w:t>
      </w:r>
      <w:r>
        <w:rPr>
          <w:rFonts w:eastAsiaTheme="minorEastAsia"/>
          <w:rtl/>
        </w:rPr>
        <w:t>-</w:t>
      </w:r>
      <w:r>
        <w:rPr>
          <w:rFonts w:eastAsiaTheme="minorEastAsia"/>
          <w:rtl/>
        </w:rPr>
        <w:tab/>
      </w:r>
      <w:r w:rsidRPr="00E11807">
        <w:rPr>
          <w:rFonts w:eastAsiaTheme="minorEastAsia"/>
          <w:rtl/>
        </w:rPr>
        <w:t xml:space="preserve">ويساور اللجنة القلق إزاء الادعاءات الواردة بشأن استمرار ممارسات العنف المؤسسي، بما في ذلك الإخفاء المتعمد لجثث الضحايا، ولا سيما الشباب الذين يعيشون في الفقر المدقع والتهميش، أو الذين يُزعم أنهم يتعاطون مواد غير مشروعة أو يشاركون في احتجاجات اجتماعية. كما يساورها القلق إزاء عدم وجود معلومات عن فعالية الآليات اللازمة لضمان استبعاد قوات الأمن التي يُدعى تورطها في أحداث الاختفاء، من عمليات التحقيق (المادة </w:t>
      </w:r>
      <w:r w:rsidRPr="00744F40">
        <w:rPr>
          <w:rFonts w:eastAsiaTheme="minorEastAsia"/>
          <w:rtl/>
        </w:rPr>
        <w:t>1</w:t>
      </w:r>
      <w:r w:rsidR="00F957CF" w:rsidRPr="00744F40">
        <w:rPr>
          <w:rFonts w:eastAsiaTheme="minorEastAsia"/>
          <w:rtl/>
        </w:rPr>
        <w:t>2</w:t>
      </w:r>
      <w:r w:rsidR="00F957CF" w:rsidRPr="00F957CF">
        <w:rPr>
          <w:rFonts w:eastAsiaTheme="minorEastAsia"/>
          <w:rtl/>
        </w:rPr>
        <w:t>).</w:t>
      </w:r>
    </w:p>
    <w:p w14:paraId="1B822754" w14:textId="728B7F92" w:rsidR="003C567A" w:rsidRPr="003C567A" w:rsidRDefault="00E11807" w:rsidP="003C567A">
      <w:pPr>
        <w:pStyle w:val="SingleTxtGA"/>
        <w:rPr>
          <w:lang w:val="en-US"/>
        </w:rPr>
      </w:pPr>
      <w:r w:rsidRPr="00744F40">
        <w:rPr>
          <w:rFonts w:eastAsiaTheme="minorEastAsia"/>
          <w:b/>
          <w:rtl/>
        </w:rPr>
        <w:t>24-</w:t>
      </w:r>
      <w:r w:rsidRPr="00744F40">
        <w:rPr>
          <w:rFonts w:eastAsiaTheme="minorEastAsia"/>
          <w:bCs/>
          <w:rtl/>
        </w:rPr>
        <w:tab/>
      </w:r>
      <w:r w:rsidRPr="00744F40">
        <w:rPr>
          <w:rFonts w:eastAsiaTheme="minorEastAsia"/>
          <w:b/>
          <w:bCs/>
          <w:rtl/>
        </w:rPr>
        <w:t>تحث اللجنة الدولة الطرف على تكثيف جهودها للقضاء على أعمال العنف المؤسسي التي قد تؤدي إلى حالات اختفاء قسري.</w:t>
      </w:r>
      <w:r w:rsidRPr="00744F40">
        <w:rPr>
          <w:rFonts w:eastAsiaTheme="minorEastAsia"/>
          <w:bCs/>
          <w:rtl/>
        </w:rPr>
        <w:t xml:space="preserve"> </w:t>
      </w:r>
      <w:r w:rsidRPr="00744F40">
        <w:rPr>
          <w:rFonts w:eastAsiaTheme="minorEastAsia"/>
          <w:b/>
          <w:bCs/>
          <w:rtl/>
        </w:rPr>
        <w:t>وفي هذا الصدد، تشجع اللجنة الدولة الطرف على اعتماد إطار تشريعي مناسب وضمان تخصيص موارد كافية لهذا الغرض.</w:t>
      </w:r>
      <w:r w:rsidRPr="00744F40">
        <w:rPr>
          <w:rFonts w:eastAsiaTheme="minorEastAsia"/>
          <w:bCs/>
          <w:rtl/>
        </w:rPr>
        <w:t xml:space="preserve"> </w:t>
      </w:r>
      <w:r w:rsidRPr="00744F40">
        <w:rPr>
          <w:rFonts w:eastAsiaTheme="minorEastAsia"/>
          <w:b/>
          <w:bCs/>
          <w:rtl/>
        </w:rPr>
        <w:t>كما تكرر اللجنة توصيته</w:t>
      </w:r>
      <w:r w:rsidRPr="00F957CF">
        <w:rPr>
          <w:rFonts w:eastAsiaTheme="minorEastAsia"/>
          <w:rtl/>
        </w:rPr>
        <w:t>ا</w:t>
      </w:r>
      <w:r w:rsidR="00F957CF">
        <w:rPr>
          <w:rStyle w:val="None"/>
          <w:rFonts w:eastAsiaTheme="minorEastAsia"/>
          <w:vertAlign w:val="superscript"/>
          <w:rtl/>
          <w:lang w:val="en-US"/>
        </w:rPr>
        <w:t>(</w:t>
      </w:r>
      <w:r w:rsidR="00F957CF" w:rsidRPr="00744F40">
        <w:rPr>
          <w:rStyle w:val="None"/>
          <w:rFonts w:eastAsiaTheme="minorEastAsia"/>
          <w:vertAlign w:val="superscript"/>
          <w:lang w:val="en-US"/>
        </w:rPr>
        <w:footnoteReference w:id="5"/>
      </w:r>
      <w:r w:rsidRPr="00F957CF">
        <w:rPr>
          <w:rStyle w:val="None"/>
          <w:rFonts w:eastAsiaTheme="minorEastAsia"/>
          <w:vertAlign w:val="superscript"/>
          <w:rtl/>
        </w:rPr>
        <w:t>)</w:t>
      </w:r>
      <w:r w:rsidRPr="00744F40">
        <w:rPr>
          <w:rFonts w:eastAsiaTheme="minorEastAsia"/>
          <w:b/>
          <w:bCs/>
          <w:rtl/>
        </w:rPr>
        <w:t xml:space="preserve"> للدولة الطرف بتعزيز إجراء إصلاحات مؤسسية داخل أجهزة الشرطة بهدف القضاء على العنف وضمان التحقيق مع الموظفين المسؤولين عن وقوع هذه الانتهاكات ومحاكمتهم ومعاقبتهم على النحو الواجب.</w:t>
      </w:r>
      <w:r w:rsidRPr="00744F40">
        <w:rPr>
          <w:rFonts w:eastAsiaTheme="minorEastAsia"/>
          <w:bCs/>
          <w:rtl/>
        </w:rPr>
        <w:t xml:space="preserve"> </w:t>
      </w:r>
      <w:r w:rsidRPr="00744F40">
        <w:rPr>
          <w:rFonts w:eastAsiaTheme="minorEastAsia"/>
          <w:b/>
          <w:bCs/>
          <w:rtl/>
        </w:rPr>
        <w:t>وينبغي للدولة الطرف أيض</w:t>
      </w:r>
      <w:r w:rsidR="003C567A" w:rsidRPr="00744F40">
        <w:rPr>
          <w:rFonts w:eastAsiaTheme="minorEastAsia"/>
          <w:b/>
          <w:bCs/>
          <w:rtl/>
        </w:rPr>
        <w:t xml:space="preserve">اً </w:t>
      </w:r>
      <w:r w:rsidRPr="00744F40">
        <w:rPr>
          <w:rFonts w:eastAsiaTheme="minorEastAsia"/>
          <w:b/>
          <w:bCs/>
          <w:rtl/>
        </w:rPr>
        <w:t>أن تكفل التحقيق على النحو الواجب مع الأشخاص المشتبه في ارتكابهم جريمة اختفاء قسري، وعدم قدرتهم على التأثير سلب</w:t>
      </w:r>
      <w:r w:rsidR="003C567A" w:rsidRPr="00744F40">
        <w:rPr>
          <w:rFonts w:eastAsiaTheme="minorEastAsia"/>
          <w:b/>
          <w:bCs/>
          <w:rtl/>
        </w:rPr>
        <w:t xml:space="preserve">اً </w:t>
      </w:r>
      <w:r w:rsidRPr="00744F40">
        <w:rPr>
          <w:rFonts w:eastAsiaTheme="minorEastAsia"/>
          <w:b/>
          <w:bCs/>
          <w:rtl/>
        </w:rPr>
        <w:t>على سير التحقيقات.</w:t>
      </w:r>
    </w:p>
    <w:p w14:paraId="4DC160C8" w14:textId="1C591C2F" w:rsidR="00F957CF" w:rsidRPr="00F957CF" w:rsidRDefault="00E11807" w:rsidP="00E11807">
      <w:pPr>
        <w:pStyle w:val="SingleTxtGA"/>
        <w:rPr>
          <w:rStyle w:val="None"/>
          <w:rFonts w:eastAsiaTheme="minorEastAsia"/>
          <w:lang w:val="ar-SA" w:eastAsia="zh-TW" w:bidi="en-GB"/>
        </w:rPr>
      </w:pPr>
      <w:r w:rsidRPr="00744F40">
        <w:rPr>
          <w:rFonts w:eastAsiaTheme="minorEastAsia"/>
          <w:rtl/>
        </w:rPr>
        <w:t>25</w:t>
      </w:r>
      <w:r w:rsidRPr="00E11807">
        <w:rPr>
          <w:rFonts w:eastAsiaTheme="minorEastAsia"/>
          <w:rtl/>
        </w:rPr>
        <w:t>-</w:t>
      </w:r>
      <w:r w:rsidRPr="00E11807">
        <w:rPr>
          <w:rFonts w:eastAsiaTheme="minorEastAsia"/>
          <w:rtl/>
        </w:rPr>
        <w:tab/>
        <w:t>ويساور اللجنة القلق إزاء التأخر غير المبرر لبدء التحقيق في حالات الاختفاء القسري التي حدثت في ظل النظام الديمقراطي، وكذلك إزاء تأخر بدء عمليات البحث أحيان</w:t>
      </w:r>
      <w:r w:rsidR="003C567A">
        <w:rPr>
          <w:rFonts w:eastAsiaTheme="minorEastAsia"/>
          <w:rtl/>
        </w:rPr>
        <w:t xml:space="preserve">اً </w:t>
      </w:r>
      <w:r w:rsidRPr="00E11807">
        <w:rPr>
          <w:rFonts w:eastAsiaTheme="minorEastAsia"/>
          <w:rtl/>
        </w:rPr>
        <w:t xml:space="preserve">لمدة تصل إلى </w:t>
      </w:r>
      <w:r w:rsidRPr="00744F40">
        <w:rPr>
          <w:rFonts w:eastAsiaTheme="minorEastAsia"/>
          <w:rtl/>
        </w:rPr>
        <w:t>48</w:t>
      </w:r>
      <w:r w:rsidRPr="00E11807">
        <w:rPr>
          <w:rFonts w:eastAsiaTheme="minorEastAsia"/>
          <w:rtl/>
        </w:rPr>
        <w:t xml:space="preserve"> ساعة (المادتان </w:t>
      </w:r>
      <w:r w:rsidRPr="00744F40">
        <w:rPr>
          <w:rFonts w:eastAsiaTheme="minorEastAsia"/>
          <w:rtl/>
        </w:rPr>
        <w:t>12</w:t>
      </w:r>
      <w:r w:rsidRPr="00E11807">
        <w:rPr>
          <w:rFonts w:eastAsiaTheme="minorEastAsia"/>
          <w:rtl/>
        </w:rPr>
        <w:t xml:space="preserve"> و</w:t>
      </w:r>
      <w:r w:rsidRPr="00744F40">
        <w:rPr>
          <w:rFonts w:eastAsiaTheme="minorEastAsia"/>
          <w:rtl/>
        </w:rPr>
        <w:t>2</w:t>
      </w:r>
      <w:r w:rsidR="00F957CF" w:rsidRPr="00744F40">
        <w:rPr>
          <w:rFonts w:eastAsiaTheme="minorEastAsia"/>
          <w:rtl/>
        </w:rPr>
        <w:t>4</w:t>
      </w:r>
      <w:r w:rsidR="00F957CF" w:rsidRPr="00F957CF">
        <w:rPr>
          <w:rFonts w:eastAsiaTheme="minorEastAsia"/>
          <w:rtl/>
        </w:rPr>
        <w:t>).</w:t>
      </w:r>
    </w:p>
    <w:p w14:paraId="0B985941" w14:textId="07FDBEDC"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26-</w:t>
      </w:r>
      <w:r w:rsidRPr="00744F40">
        <w:rPr>
          <w:rFonts w:eastAsiaTheme="minorEastAsia"/>
          <w:b/>
          <w:rtl/>
        </w:rPr>
        <w:tab/>
      </w:r>
      <w:r w:rsidRPr="00744F40">
        <w:rPr>
          <w:rFonts w:eastAsiaTheme="minorEastAsia"/>
          <w:b/>
          <w:bCs/>
          <w:rtl/>
        </w:rPr>
        <w:t>وتكرّر اللجنة توصيتها</w:t>
      </w:r>
      <w:r w:rsidR="00F957CF" w:rsidRPr="00744F40">
        <w:rPr>
          <w:rStyle w:val="None"/>
          <w:rFonts w:eastAsiaTheme="minorEastAsia"/>
          <w:b/>
          <w:vertAlign w:val="superscript"/>
          <w:rtl/>
          <w:lang w:val="en-US"/>
        </w:rPr>
        <w:t>(</w:t>
      </w:r>
      <w:r w:rsidR="00F957CF" w:rsidRPr="00744F40">
        <w:rPr>
          <w:rStyle w:val="None"/>
          <w:rFonts w:eastAsiaTheme="minorEastAsia"/>
          <w:b/>
          <w:vertAlign w:val="superscript"/>
          <w:lang w:val="en-US"/>
        </w:rPr>
        <w:footnoteReference w:id="6"/>
      </w:r>
      <w:r w:rsidRPr="00744F40">
        <w:rPr>
          <w:rStyle w:val="None"/>
          <w:rFonts w:eastAsiaTheme="minorEastAsia"/>
          <w:b/>
          <w:vertAlign w:val="superscript"/>
          <w:rtl/>
        </w:rPr>
        <w:t>)</w:t>
      </w:r>
      <w:r w:rsidRPr="00744F40">
        <w:rPr>
          <w:rFonts w:eastAsiaTheme="minorEastAsia"/>
          <w:b/>
          <w:bCs/>
          <w:rtl/>
        </w:rPr>
        <w:t xml:space="preserve"> للدولة الطرف باعتماد جميع التدابير، التشريعية أو غيرها، اللازمة لضمان شمول ونزاهة عمليات التحقيق والبحث في جميع حالات الاختفاء القسري وإجرائها على نحو عاجل وفعال، حتى في الحالات التي لم تقدَّم فيها بلاغات رسمية، لكي يحدَّد مصير الشخص المختفي</w:t>
      </w:r>
      <w:r w:rsidRPr="00744F40">
        <w:rPr>
          <w:rFonts w:eastAsiaTheme="minorEastAsia" w:hint="cs"/>
          <w:b/>
          <w:bCs/>
          <w:rtl/>
        </w:rPr>
        <w:t> </w:t>
      </w:r>
      <w:r w:rsidRPr="00744F40">
        <w:rPr>
          <w:rFonts w:eastAsiaTheme="minorEastAsia"/>
          <w:b/>
          <w:bCs/>
          <w:rtl/>
        </w:rPr>
        <w:t>أو مكانه.</w:t>
      </w:r>
    </w:p>
    <w:p w14:paraId="6EA4D260" w14:textId="1260F95B" w:rsidR="00E11807" w:rsidRPr="00744F40" w:rsidRDefault="00E11807" w:rsidP="00E11807">
      <w:pPr>
        <w:pStyle w:val="H23GA"/>
        <w:rPr>
          <w:lang w:val="ar-SA" w:eastAsia="zh-TW" w:bidi="en-GB"/>
        </w:rPr>
      </w:pPr>
      <w:r w:rsidRPr="00744F40">
        <w:rPr>
          <w:rtl/>
        </w:rPr>
        <w:lastRenderedPageBreak/>
        <w:tab/>
        <w:t>4-</w:t>
      </w:r>
      <w:r w:rsidRPr="00744F40">
        <w:rPr>
          <w:rtl/>
        </w:rPr>
        <w:tab/>
        <w:t>الجبر الكامل</w:t>
      </w:r>
    </w:p>
    <w:p w14:paraId="44279CD1" w14:textId="04C6C148" w:rsidR="00E11807" w:rsidRPr="00E11807" w:rsidRDefault="00E11807" w:rsidP="00E11807">
      <w:pPr>
        <w:pStyle w:val="SingleTxtGA"/>
        <w:rPr>
          <w:rFonts w:eastAsiaTheme="minorEastAsia"/>
          <w:color w:val="000000"/>
          <w:lang w:val="ar-SA" w:eastAsia="zh-TW" w:bidi="en-GB"/>
        </w:rPr>
      </w:pPr>
      <w:r w:rsidRPr="00744F40">
        <w:rPr>
          <w:rFonts w:eastAsiaTheme="minorEastAsia"/>
          <w:rtl/>
        </w:rPr>
        <w:t>27</w:t>
      </w:r>
      <w:r>
        <w:rPr>
          <w:rFonts w:eastAsiaTheme="minorEastAsia"/>
          <w:rtl/>
        </w:rPr>
        <w:t>-</w:t>
      </w:r>
      <w:r>
        <w:rPr>
          <w:rFonts w:eastAsiaTheme="minorEastAsia"/>
          <w:rtl/>
        </w:rPr>
        <w:tab/>
      </w:r>
      <w:r w:rsidRPr="00E11807">
        <w:rPr>
          <w:rFonts w:eastAsiaTheme="minorEastAsia"/>
          <w:rtl/>
        </w:rPr>
        <w:t>إذ تحيط اللجنة علم</w:t>
      </w:r>
      <w:r w:rsidR="003C567A">
        <w:rPr>
          <w:rFonts w:eastAsiaTheme="minorEastAsia"/>
          <w:rtl/>
        </w:rPr>
        <w:t xml:space="preserve">اً </w:t>
      </w:r>
      <w:r w:rsidRPr="00E11807">
        <w:rPr>
          <w:rFonts w:eastAsiaTheme="minorEastAsia"/>
          <w:rtl/>
        </w:rPr>
        <w:t>بالمعلومات التي قدمتها الدولة الطرف بشأن التعويضات الممنوحة لضحايا الاختفاء القسري، فإنها تأسف لعدم وجود تفاصيل عن طرائق منحها، وكذا عن أشكال التعويض الأخرى الممنوحة وفق</w:t>
      </w:r>
      <w:r w:rsidR="003C567A">
        <w:rPr>
          <w:rFonts w:eastAsiaTheme="minorEastAsia"/>
          <w:rtl/>
        </w:rPr>
        <w:t xml:space="preserve">اً </w:t>
      </w:r>
      <w:r w:rsidRPr="00E11807">
        <w:rPr>
          <w:rFonts w:eastAsiaTheme="minorEastAsia"/>
          <w:rtl/>
        </w:rPr>
        <w:t>لمفهوم الجبر الكامل، سواء بالنسبة للأحداث المسجلة إبان الحكم الدكتاتوري العسكري أو</w:t>
      </w:r>
      <w:r w:rsidR="003C567A">
        <w:rPr>
          <w:rFonts w:eastAsiaTheme="minorEastAsia" w:hint="cs"/>
          <w:rtl/>
        </w:rPr>
        <w:t> </w:t>
      </w:r>
      <w:r w:rsidRPr="00E11807">
        <w:rPr>
          <w:rFonts w:eastAsiaTheme="minorEastAsia"/>
          <w:rtl/>
        </w:rPr>
        <w:t xml:space="preserve">بعده (المادة </w:t>
      </w:r>
      <w:r w:rsidRPr="00744F40">
        <w:rPr>
          <w:rFonts w:eastAsiaTheme="minorEastAsia"/>
          <w:rtl/>
        </w:rPr>
        <w:t>2</w:t>
      </w:r>
      <w:r w:rsidR="00F957CF" w:rsidRPr="00744F40">
        <w:rPr>
          <w:rFonts w:eastAsiaTheme="minorEastAsia"/>
          <w:rtl/>
        </w:rPr>
        <w:t>4</w:t>
      </w:r>
      <w:r w:rsidR="00F957CF" w:rsidRPr="00F957CF">
        <w:rPr>
          <w:rFonts w:eastAsiaTheme="minorEastAsia"/>
          <w:rtl/>
        </w:rPr>
        <w:t xml:space="preserve">). </w:t>
      </w:r>
    </w:p>
    <w:p w14:paraId="3EB7E627" w14:textId="19B82006"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28-</w:t>
      </w:r>
      <w:r w:rsidRPr="00744F40">
        <w:rPr>
          <w:rFonts w:eastAsiaTheme="minorEastAsia"/>
          <w:b/>
          <w:rtl/>
        </w:rPr>
        <w:tab/>
      </w:r>
      <w:r w:rsidRPr="00744F40">
        <w:rPr>
          <w:rFonts w:eastAsiaTheme="minorEastAsia"/>
          <w:bCs/>
          <w:rtl/>
        </w:rPr>
        <w:t>تكرّر اللجنة توصيتها</w:t>
      </w:r>
      <w:r w:rsidR="00F957CF" w:rsidRPr="00744F40">
        <w:rPr>
          <w:rStyle w:val="None"/>
          <w:rFonts w:eastAsiaTheme="minorEastAsia"/>
          <w:b/>
          <w:vertAlign w:val="superscript"/>
          <w:rtl/>
          <w:lang w:val="en-US"/>
        </w:rPr>
        <w:t>(</w:t>
      </w:r>
      <w:r w:rsidR="00F957CF" w:rsidRPr="00744F40">
        <w:rPr>
          <w:rStyle w:val="None"/>
          <w:rFonts w:eastAsiaTheme="minorEastAsia"/>
          <w:b/>
          <w:vertAlign w:val="superscript"/>
          <w:lang w:val="en-US"/>
        </w:rPr>
        <w:footnoteReference w:id="7"/>
      </w:r>
      <w:r w:rsidRPr="00744F40">
        <w:rPr>
          <w:rStyle w:val="None"/>
          <w:rFonts w:eastAsiaTheme="minorEastAsia"/>
          <w:b/>
          <w:vertAlign w:val="superscript"/>
          <w:rtl/>
        </w:rPr>
        <w:t>)</w:t>
      </w:r>
      <w:r w:rsidRPr="00744F40">
        <w:rPr>
          <w:rFonts w:eastAsiaTheme="minorEastAsia"/>
          <w:bCs/>
          <w:rtl/>
        </w:rPr>
        <w:t xml:space="preserve"> للدولة الطرف بجمع إحصاءات مفصلة عن تدابير الجبر المتاحة لضحايا الاختفاء القسري إبان الحكم الديكتاتوري العسكري والحكم الديمقراطي، بهدف الحصول على العناصر اللازمة لتحسين تدابير الجبر وضمان فعاليتها.</w:t>
      </w:r>
    </w:p>
    <w:p w14:paraId="0056D238" w14:textId="2C38A697" w:rsidR="00F957CF" w:rsidRPr="00F957CF" w:rsidRDefault="00E11807" w:rsidP="00E11807">
      <w:pPr>
        <w:pStyle w:val="SingleTxtGA"/>
        <w:rPr>
          <w:rFonts w:eastAsiaTheme="minorEastAsia"/>
          <w:lang w:val="ar-SA" w:eastAsia="zh-TW" w:bidi="en-GB"/>
        </w:rPr>
      </w:pPr>
      <w:r w:rsidRPr="00744F40">
        <w:rPr>
          <w:rFonts w:eastAsiaTheme="minorEastAsia"/>
          <w:rtl/>
        </w:rPr>
        <w:t>29</w:t>
      </w:r>
      <w:r>
        <w:rPr>
          <w:rFonts w:eastAsiaTheme="minorEastAsia"/>
          <w:rtl/>
        </w:rPr>
        <w:t>-</w:t>
      </w:r>
      <w:r>
        <w:rPr>
          <w:rFonts w:eastAsiaTheme="minorEastAsia"/>
          <w:rtl/>
        </w:rPr>
        <w:tab/>
      </w:r>
      <w:r w:rsidRPr="00E11807">
        <w:rPr>
          <w:rFonts w:eastAsiaTheme="minorEastAsia"/>
          <w:rtl/>
        </w:rPr>
        <w:t>وتحيط اللجنة علم</w:t>
      </w:r>
      <w:r w:rsidR="003C567A">
        <w:rPr>
          <w:rFonts w:eastAsiaTheme="minorEastAsia"/>
          <w:rtl/>
        </w:rPr>
        <w:t xml:space="preserve">اً </w:t>
      </w:r>
      <w:r w:rsidRPr="00E11807">
        <w:rPr>
          <w:rFonts w:eastAsiaTheme="minorEastAsia"/>
          <w:rtl/>
        </w:rPr>
        <w:t xml:space="preserve">بالمعلومات التي قدّمتها الدولة الطرف بشأن التدابير المتخذة لضمان أن يراعي نظام منح التعويضات لضحايا الاختفاء القسري ظروفهم الشخصية، بما في ذلك تدخلات وزارة شؤون المرأة والشؤون الجنسانية والتنوع في سياق العنف القائم على نوع الجنس. ومع ذلك، يساور اللجنة القلق إزاء المعلومات الواردة بشأن ما يواجهه ضحايا الاختفاء القسري في ظل حكم ديمقراطي من صعوبات فيما يتعلق بالوصول إلى آليات الجبر (المادة </w:t>
      </w:r>
      <w:r w:rsidRPr="00744F40">
        <w:rPr>
          <w:rFonts w:eastAsiaTheme="minorEastAsia"/>
          <w:rtl/>
        </w:rPr>
        <w:t>2</w:t>
      </w:r>
      <w:r w:rsidR="00F957CF" w:rsidRPr="00744F40">
        <w:rPr>
          <w:rFonts w:eastAsiaTheme="minorEastAsia"/>
          <w:rtl/>
        </w:rPr>
        <w:t>4</w:t>
      </w:r>
      <w:r w:rsidR="00F957CF" w:rsidRPr="00F957CF">
        <w:rPr>
          <w:rFonts w:eastAsiaTheme="minorEastAsia"/>
          <w:rtl/>
        </w:rPr>
        <w:t>).</w:t>
      </w:r>
    </w:p>
    <w:p w14:paraId="528414C5" w14:textId="1DCB4BB8"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30-</w:t>
      </w:r>
      <w:r w:rsidRPr="00744F40">
        <w:rPr>
          <w:rFonts w:eastAsiaTheme="minorEastAsia"/>
          <w:bCs/>
          <w:rtl/>
        </w:rPr>
        <w:tab/>
      </w:r>
      <w:r w:rsidRPr="00744F40">
        <w:rPr>
          <w:rFonts w:eastAsiaTheme="minorEastAsia"/>
          <w:b/>
          <w:bCs/>
          <w:rtl/>
        </w:rPr>
        <w:t>توصي اللجنة الدولة الطرف بأن يكفل الإطار التشريعي والمؤسسي القائم وصول جميع ضحايا الاختفاء القسري إلى نظام شامل للجبر والتعويض في جميع أنحاء إقليمها، بغض النظر عن تاريخ حدوثه.</w:t>
      </w:r>
      <w:r w:rsidRPr="00744F40">
        <w:rPr>
          <w:rFonts w:eastAsiaTheme="minorEastAsia"/>
          <w:bCs/>
          <w:rtl/>
        </w:rPr>
        <w:t xml:space="preserve"> </w:t>
      </w:r>
      <w:r w:rsidRPr="00744F40">
        <w:rPr>
          <w:rFonts w:eastAsiaTheme="minorEastAsia"/>
          <w:b/>
          <w:bCs/>
          <w:rtl/>
        </w:rPr>
        <w:t>وهذا النظام يجب أن يراعي الظروف الشخصية للضحايا، مثل نوع جنس الضحية وهويته الجنسانية وميله الجنسي وعمره وأصله الاثني ومركزه الاجتماعي وإعاقته.</w:t>
      </w:r>
    </w:p>
    <w:p w14:paraId="21FC4F0A" w14:textId="7C3BE73F" w:rsidR="00F957CF" w:rsidRPr="00744F40" w:rsidRDefault="00E11807" w:rsidP="00E11807">
      <w:pPr>
        <w:pStyle w:val="SingleTxtGA"/>
        <w:rPr>
          <w:rStyle w:val="None"/>
          <w:rFonts w:eastAsiaTheme="minorEastAsia"/>
          <w:b/>
          <w:bCs/>
          <w:lang w:val="ar-SA" w:eastAsia="zh-TW" w:bidi="en-GB"/>
        </w:rPr>
      </w:pPr>
      <w:r w:rsidRPr="00744F40">
        <w:rPr>
          <w:rFonts w:eastAsiaTheme="minorEastAsia"/>
          <w:b/>
          <w:rtl/>
        </w:rPr>
        <w:t>31-</w:t>
      </w:r>
      <w:r w:rsidRPr="00744F40">
        <w:rPr>
          <w:rFonts w:eastAsiaTheme="minorEastAsia"/>
          <w:b/>
          <w:rtl/>
        </w:rPr>
        <w:tab/>
        <w:t>وترحّب اللجنة بالمعلومات المقدّمة بشأن العمل الذي اضطلع به الأرشيف الوطني للذاكرة وعملية الترويج للدائرة المستديرة المتعلقة بأرشيف الذاكرة ومتابعة رفع السرية عن الوثائق. كما تحيط علم</w:t>
      </w:r>
      <w:r w:rsidR="003C567A" w:rsidRPr="00744F40">
        <w:rPr>
          <w:rFonts w:eastAsiaTheme="minorEastAsia"/>
          <w:b/>
          <w:rtl/>
        </w:rPr>
        <w:t xml:space="preserve">اً </w:t>
      </w:r>
      <w:r w:rsidRPr="00744F40">
        <w:rPr>
          <w:rFonts w:eastAsiaTheme="minorEastAsia"/>
          <w:b/>
          <w:rtl/>
        </w:rPr>
        <w:t>بسن القانون رقم</w:t>
      </w:r>
      <w:r w:rsidR="00744F40" w:rsidRPr="00744F40">
        <w:rPr>
          <w:rFonts w:eastAsiaTheme="minorEastAsia" w:hint="cs"/>
          <w:b/>
          <w:rtl/>
        </w:rPr>
        <w:t xml:space="preserve"> 26.691</w:t>
      </w:r>
      <w:r w:rsidRPr="00744F40">
        <w:rPr>
          <w:rFonts w:eastAsiaTheme="minorEastAsia"/>
          <w:b/>
          <w:rtl/>
        </w:rPr>
        <w:t xml:space="preserve"> المتعلق بحفظ مواقع تذكّر إرهاب الدولة و</w:t>
      </w:r>
      <w:r w:rsidRPr="00744F40">
        <w:rPr>
          <w:rFonts w:eastAsiaTheme="minorEastAsia"/>
          <w:b/>
          <w:rtl/>
          <w:lang w:val="fr-CH"/>
        </w:rPr>
        <w:t>تحديدها</w:t>
      </w:r>
      <w:r w:rsidRPr="00744F40">
        <w:rPr>
          <w:rFonts w:eastAsiaTheme="minorEastAsia"/>
          <w:b/>
          <w:rtl/>
        </w:rPr>
        <w:t xml:space="preserve"> ونشرها، وكذا بسياسة تحديد الأماكن التي وقعت فيها أعمال عنف مؤسسي خطيرة (المادة 2</w:t>
      </w:r>
      <w:r w:rsidR="00F957CF" w:rsidRPr="00744F40">
        <w:rPr>
          <w:rFonts w:eastAsiaTheme="minorEastAsia"/>
          <w:b/>
          <w:rtl/>
        </w:rPr>
        <w:t>4)</w:t>
      </w:r>
      <w:r w:rsidR="00F957CF" w:rsidRPr="00744F40">
        <w:rPr>
          <w:rFonts w:eastAsiaTheme="minorEastAsia"/>
          <w:bCs/>
          <w:rtl/>
        </w:rPr>
        <w:t>.</w:t>
      </w:r>
    </w:p>
    <w:p w14:paraId="7F5CD88F" w14:textId="6770EB5A" w:rsidR="00E11807" w:rsidRPr="00744F40" w:rsidRDefault="00E11807" w:rsidP="00E11807">
      <w:pPr>
        <w:pStyle w:val="SingleTxtGA"/>
        <w:rPr>
          <w:rFonts w:eastAsiaTheme="minorEastAsia"/>
          <w:b/>
          <w:color w:val="000000"/>
          <w:lang w:val="ar-SA" w:eastAsia="zh-TW" w:bidi="en-GB"/>
        </w:rPr>
      </w:pPr>
      <w:r w:rsidRPr="00744F40">
        <w:rPr>
          <w:rFonts w:eastAsiaTheme="minorEastAsia"/>
          <w:b/>
          <w:rtl/>
        </w:rPr>
        <w:t>32-</w:t>
      </w:r>
      <w:r w:rsidRPr="00744F40">
        <w:rPr>
          <w:rFonts w:eastAsiaTheme="minorEastAsia"/>
          <w:b/>
          <w:bCs/>
          <w:rtl/>
        </w:rPr>
        <w:tab/>
        <w:t>توصي اللجنة الدولة الطرف بأن تواصل جهودها لتقديم جبر رمزي وتذكار الأحداث الماضية أو أعمال العنف المؤسسي الخطيرة على حد سواء.</w:t>
      </w:r>
      <w:r w:rsidRPr="00744F40">
        <w:rPr>
          <w:rFonts w:eastAsiaTheme="minorEastAsia"/>
          <w:bCs/>
          <w:rtl/>
        </w:rPr>
        <w:t xml:space="preserve"> </w:t>
      </w:r>
      <w:r w:rsidRPr="00744F40">
        <w:rPr>
          <w:rFonts w:eastAsiaTheme="minorEastAsia"/>
          <w:b/>
          <w:bCs/>
          <w:rtl/>
        </w:rPr>
        <w:t>كما توصيها بأن تكفل حفظ شرائط تسجيل جلسات المحاكمات الشفوية المتعلقة بالجرائم المرتكبة ضد الإنسانية وبأن تواصل الجهود الرامية إلى رفع السرية عن الوثائق.</w:t>
      </w:r>
      <w:r w:rsidRPr="00744F40">
        <w:rPr>
          <w:rFonts w:eastAsiaTheme="minorEastAsia"/>
          <w:bCs/>
          <w:rtl/>
        </w:rPr>
        <w:t xml:space="preserve"> </w:t>
      </w:r>
    </w:p>
    <w:p w14:paraId="27ECD37F" w14:textId="111ED03C" w:rsidR="00E11807" w:rsidRPr="00744F40" w:rsidRDefault="00E11807" w:rsidP="00E11807">
      <w:pPr>
        <w:pStyle w:val="H1GA"/>
        <w:rPr>
          <w:lang w:val="ar-SA" w:eastAsia="zh-TW" w:bidi="en-GB"/>
        </w:rPr>
      </w:pPr>
      <w:r w:rsidRPr="00744F40">
        <w:rPr>
          <w:rtl/>
        </w:rPr>
        <w:tab/>
        <w:t>دال-</w:t>
      </w:r>
      <w:r w:rsidRPr="00744F40">
        <w:rPr>
          <w:rtl/>
        </w:rPr>
        <w:tab/>
        <w:t>تنفيذ الحقوق والالتزامات الناشئة عن الاتفاقية ونشرها ومتابعتها</w:t>
      </w:r>
    </w:p>
    <w:p w14:paraId="437A7831" w14:textId="77777777" w:rsidR="00E11807" w:rsidRPr="00E11807" w:rsidRDefault="00E11807" w:rsidP="00E11807">
      <w:pPr>
        <w:pStyle w:val="SingleTxtGA"/>
        <w:rPr>
          <w:rFonts w:eastAsiaTheme="minorEastAsia"/>
          <w:lang w:val="ar-SA" w:eastAsia="zh-TW" w:bidi="en-GB"/>
        </w:rPr>
      </w:pPr>
      <w:r w:rsidRPr="00744F40">
        <w:rPr>
          <w:rFonts w:eastAsiaTheme="minorEastAsia"/>
          <w:rtl/>
        </w:rPr>
        <w:t>33</w:t>
      </w:r>
      <w:r w:rsidRPr="00E11807">
        <w:rPr>
          <w:rFonts w:eastAsiaTheme="minorEastAsia"/>
          <w:rtl/>
        </w:rPr>
        <w:t>-</w:t>
      </w:r>
      <w:r w:rsidRPr="00E11807">
        <w:rPr>
          <w:rFonts w:eastAsiaTheme="minorEastAsia"/>
          <w:rtl/>
        </w:rPr>
        <w:tab/>
        <w:t>تودّ اللجنة أن تلفت الانتباه إلى الالتزامات التي تتعهد بها الدول عندما تصدق على الاتفاقية، وتحثّ في هذا الصدد الدولة الطرف على ضمان التوافق التام بين كل التدابير التي تعتمدها، أياً كانت طبيعتها وأياً كانت السلطة التي تتخذها، مع أحكام الاتفاقية وغيرها من الصكوك الدولية ذات الصلة.</w:t>
      </w:r>
    </w:p>
    <w:p w14:paraId="4C61CD76" w14:textId="77777777" w:rsidR="00E11807" w:rsidRPr="00E11807" w:rsidRDefault="00E11807" w:rsidP="00E11807">
      <w:pPr>
        <w:pStyle w:val="SingleTxtGA"/>
        <w:rPr>
          <w:rFonts w:eastAsiaTheme="minorEastAsia"/>
          <w:lang w:val="ar-SA" w:eastAsia="zh-TW" w:bidi="en-GB"/>
        </w:rPr>
      </w:pPr>
      <w:r w:rsidRPr="00744F40">
        <w:rPr>
          <w:rFonts w:eastAsiaTheme="minorEastAsia"/>
          <w:rtl/>
        </w:rPr>
        <w:t>34</w:t>
      </w:r>
      <w:r w:rsidRPr="00E11807">
        <w:rPr>
          <w:rFonts w:eastAsiaTheme="minorEastAsia"/>
          <w:rtl/>
        </w:rPr>
        <w:t>-</w:t>
      </w:r>
      <w:r w:rsidRPr="00E11807">
        <w:rPr>
          <w:rFonts w:eastAsiaTheme="minorEastAsia"/>
          <w:rtl/>
        </w:rPr>
        <w:tab/>
        <w:t xml:space="preserve">وتشدد اللجنة أيضاً على الأثر البالغ القسوة للاختفاء القسري على النساء والأطفال. فالنساء ضحايا الاختفاء القسري معرّضات بشكل خاص للعنف الجنسي ولغيره من أشكال العنف الجنساني. فقريبات الشخص المختفي معرضات بوجه خاص أيضاً لأضرار اجتماعية واقتصادية شديدة وللعنف والاضطهاد والانتقام نتيجة جهودهن الرامية إلى تحديد مكان ذويهن. أما الأطفال ضحايا الاختفاء القسري، سواء تعرضوا له بأنفسهم أو عانوا منه بسبب اختفاء أقاربهم، فهم عرضة بوجه خاص لانتهاك حقوق </w:t>
      </w:r>
      <w:r w:rsidRPr="00E11807">
        <w:rPr>
          <w:rFonts w:eastAsiaTheme="minorEastAsia"/>
          <w:rtl/>
        </w:rPr>
        <w:lastRenderedPageBreak/>
        <w:t>الإنسان المكفولة لهم. ولذلك، تؤكد اللجنة بشدة على ضرورة أن تعتمد الدولة الطرف بصورة منهجية منظوراً جنسانياً وأن تراعي الاحتياجات الخاصة للنساء والأطفال عند تنفيذ هذه التوصيات وجميع الحقوق والالتزامات المنصوص عليها في الاتفاقية.</w:t>
      </w:r>
    </w:p>
    <w:p w14:paraId="5F1403A7" w14:textId="77777777" w:rsidR="00E11807" w:rsidRPr="00E11807" w:rsidRDefault="00E11807" w:rsidP="00E11807">
      <w:pPr>
        <w:pStyle w:val="SingleTxtGA"/>
        <w:rPr>
          <w:rFonts w:eastAsiaTheme="minorEastAsia"/>
          <w:lang w:val="ar-SA" w:eastAsia="zh-TW" w:bidi="en-GB"/>
        </w:rPr>
      </w:pPr>
      <w:r w:rsidRPr="00744F40">
        <w:rPr>
          <w:rFonts w:eastAsiaTheme="minorEastAsia"/>
          <w:rtl/>
        </w:rPr>
        <w:t>35</w:t>
      </w:r>
      <w:r w:rsidRPr="00E11807">
        <w:rPr>
          <w:rFonts w:eastAsiaTheme="minorEastAsia"/>
          <w:rtl/>
        </w:rPr>
        <w:t>-</w:t>
      </w:r>
      <w:r w:rsidRPr="00E11807">
        <w:rPr>
          <w:rFonts w:eastAsiaTheme="minorEastAsia"/>
          <w:rtl/>
        </w:rPr>
        <w:tab/>
        <w:t xml:space="preserve">وتشجَّع الدولة الطرف على نشر نص الاتفاقية على نطاق واسع، والمعلومات التكميلية المقدمة بموجب الفقرة </w:t>
      </w:r>
      <w:r w:rsidRPr="00744F40">
        <w:rPr>
          <w:rFonts w:eastAsiaTheme="minorEastAsia"/>
          <w:rtl/>
        </w:rPr>
        <w:t>4</w:t>
      </w:r>
      <w:r w:rsidRPr="00E11807">
        <w:rPr>
          <w:rFonts w:eastAsiaTheme="minorEastAsia"/>
          <w:rtl/>
        </w:rPr>
        <w:t xml:space="preserve"> من المادة </w:t>
      </w:r>
      <w:r w:rsidRPr="00744F40">
        <w:rPr>
          <w:rFonts w:eastAsiaTheme="minorEastAsia"/>
          <w:rtl/>
        </w:rPr>
        <w:t>29</w:t>
      </w:r>
      <w:r w:rsidRPr="00E11807">
        <w:rPr>
          <w:rFonts w:eastAsiaTheme="minorEastAsia"/>
          <w:rtl/>
        </w:rPr>
        <w:t xml:space="preserve"> من الاتفاقية وهذه الملاحظات الختامية، لتوعية سلطات الدولة والجهات الفاعلة في المجتمع المدني والسكان عموماً. وتشجع اللجنة الدولة الطرف أيضاً على تعزيز مشاركة المجتمع المدني في تنفيذ التوصيات الواردة في هذه الملاحظات الختامية.</w:t>
      </w:r>
    </w:p>
    <w:p w14:paraId="1DDD0B11" w14:textId="5D338F83" w:rsidR="00E11807" w:rsidRPr="00744F40" w:rsidRDefault="00E11807" w:rsidP="00E11807">
      <w:pPr>
        <w:pStyle w:val="SingleTxtGA"/>
        <w:rPr>
          <w:rStyle w:val="None"/>
          <w:rFonts w:eastAsiaTheme="minorEastAsia"/>
          <w:b/>
          <w:bCs/>
          <w:lang w:val="ar-SA" w:eastAsia="zh-TW" w:bidi="en-GB"/>
        </w:rPr>
      </w:pPr>
      <w:r w:rsidRPr="00744F40">
        <w:rPr>
          <w:rFonts w:eastAsiaTheme="minorEastAsia"/>
          <w:b/>
          <w:rtl/>
        </w:rPr>
        <w:t>36-</w:t>
      </w:r>
      <w:r w:rsidRPr="00744F40">
        <w:rPr>
          <w:rFonts w:eastAsiaTheme="minorEastAsia"/>
          <w:b/>
          <w:rtl/>
        </w:rPr>
        <w:tab/>
        <w:t>وعمل</w:t>
      </w:r>
      <w:r w:rsidR="003C567A" w:rsidRPr="00744F40">
        <w:rPr>
          <w:rFonts w:eastAsiaTheme="minorEastAsia"/>
          <w:b/>
          <w:rtl/>
        </w:rPr>
        <w:t xml:space="preserve">اً </w:t>
      </w:r>
      <w:r w:rsidRPr="00744F40">
        <w:rPr>
          <w:rFonts w:eastAsiaTheme="minorEastAsia"/>
          <w:b/>
          <w:rtl/>
        </w:rPr>
        <w:t>بالفقرة 4 من المادة 29 من الاتفاقية، تطلب اللجنة إلى الدولة الطرف أن تقوم، بحلول</w:t>
      </w:r>
      <w:r w:rsidRPr="00744F40">
        <w:rPr>
          <w:rFonts w:eastAsiaTheme="minorEastAsia" w:hint="cs"/>
          <w:b/>
          <w:rtl/>
        </w:rPr>
        <w:t> </w:t>
      </w:r>
      <w:r w:rsidRPr="00744F40">
        <w:rPr>
          <w:rFonts w:eastAsiaTheme="minorEastAsia"/>
          <w:b/>
          <w:rtl/>
        </w:rPr>
        <w:t>4</w:t>
      </w:r>
      <w:r w:rsidRPr="00744F40">
        <w:rPr>
          <w:rFonts w:eastAsiaTheme="minorEastAsia" w:hint="cs"/>
          <w:b/>
          <w:rtl/>
        </w:rPr>
        <w:t> </w:t>
      </w:r>
      <w:r w:rsidRPr="00744F40">
        <w:rPr>
          <w:rFonts w:eastAsiaTheme="minorEastAsia"/>
          <w:b/>
          <w:rtl/>
        </w:rPr>
        <w:t>نيسان/أبريل 2026، بتقديم معلومات دقيقة ومحدثة عن تنفيذ التوصيات الواردة في هذه الملاحظات الختامية بشأن مواءمة التشريعات والتحقيق والبحث والجبر، وكذا أي معلومات تعتبرها ذات صلة بموجب الاتفاقية، بغرض إجراء الاستعراض في عام 202</w:t>
      </w:r>
      <w:r w:rsidR="00F957CF" w:rsidRPr="00744F40">
        <w:rPr>
          <w:rFonts w:eastAsiaTheme="minorEastAsia"/>
          <w:b/>
          <w:rtl/>
        </w:rPr>
        <w:t xml:space="preserve">7. </w:t>
      </w:r>
      <w:r w:rsidRPr="00744F40">
        <w:rPr>
          <w:rFonts w:eastAsiaTheme="minorEastAsia"/>
          <w:b/>
          <w:rtl/>
        </w:rPr>
        <w:t>وتشجع اللجنة الدولة الطرف على اعتماد سياسة وطنية لمنع الاختفاء القسري، وعلى القيام، عند صياغة معلومات تكميلية، بتعزيز وتسهيل مشاركة المجتمع المدني، ولا سيما جمعيات ضحايا الاختفاء القسري.</w:t>
      </w:r>
      <w:r w:rsidRPr="00744F40">
        <w:rPr>
          <w:rFonts w:eastAsiaTheme="minorEastAsia"/>
          <w:bCs/>
          <w:rtl/>
        </w:rPr>
        <w:t xml:space="preserve"> </w:t>
      </w:r>
    </w:p>
    <w:p w14:paraId="606B9396" w14:textId="1A09C1B4" w:rsidR="00E11807" w:rsidRPr="00E11807" w:rsidRDefault="00E11807" w:rsidP="00E11807">
      <w:pPr>
        <w:pStyle w:val="SingleTxtGA"/>
        <w:jc w:val="center"/>
        <w:rPr>
          <w:u w:val="single"/>
          <w:rtl/>
        </w:rPr>
      </w:pPr>
      <w:r>
        <w:rPr>
          <w:u w:val="single"/>
          <w:rtl/>
        </w:rPr>
        <w:tab/>
      </w:r>
      <w:r>
        <w:rPr>
          <w:u w:val="single"/>
          <w:rtl/>
        </w:rPr>
        <w:tab/>
      </w:r>
      <w:r>
        <w:rPr>
          <w:u w:val="single"/>
          <w:rtl/>
        </w:rPr>
        <w:tab/>
      </w:r>
    </w:p>
    <w:sectPr w:rsidR="00E11807" w:rsidRPr="00E11807" w:rsidSect="005063D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CD03" w14:textId="77777777" w:rsidR="00CF03FB" w:rsidRPr="002901D9" w:rsidRDefault="00CF03FB" w:rsidP="00DF5E71">
      <w:pPr>
        <w:spacing w:after="60" w:line="240" w:lineRule="auto"/>
        <w:ind w:left="57"/>
        <w:rPr>
          <w:i/>
          <w:iCs/>
        </w:rPr>
      </w:pPr>
      <w:r>
        <w:rPr>
          <w:rFonts w:hint="cs"/>
          <w:i/>
          <w:iCs/>
          <w:rtl/>
        </w:rPr>
        <w:t>الحواشي</w:t>
      </w:r>
    </w:p>
  </w:endnote>
  <w:endnote w:type="continuationSeparator" w:id="0">
    <w:p w14:paraId="266FC17F" w14:textId="77777777" w:rsidR="00CF03FB" w:rsidRDefault="00CF03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BDEE2" w14:textId="45E0251A" w:rsidR="009A0BF1" w:rsidRPr="009A0BF1" w:rsidRDefault="009A0BF1" w:rsidP="009A0BF1">
    <w:pPr>
      <w:pStyle w:val="Footer"/>
      <w:tabs>
        <w:tab w:val="right" w:pos="9638"/>
      </w:tabs>
      <w:rPr>
        <w:b/>
        <w:sz w:val="18"/>
        <w:lang w:val="en-US"/>
      </w:rPr>
    </w:pPr>
    <w:r>
      <w:rPr>
        <w:lang w:val="en-US"/>
      </w:rPr>
      <w:t>GE.23-06225</w:t>
    </w:r>
    <w:r>
      <w:rPr>
        <w:lang w:val="en-US"/>
      </w:rPr>
      <w:tab/>
    </w:r>
    <w:r w:rsidRPr="009A0BF1">
      <w:rPr>
        <w:b/>
        <w:sz w:val="18"/>
        <w:lang w:val="en-US"/>
      </w:rPr>
      <w:fldChar w:fldCharType="begin"/>
    </w:r>
    <w:r w:rsidRPr="009A0BF1">
      <w:rPr>
        <w:b/>
        <w:sz w:val="18"/>
        <w:lang w:val="en-US"/>
      </w:rPr>
      <w:instrText xml:space="preserve"> PAGE  \* MERGEFORMAT </w:instrText>
    </w:r>
    <w:r w:rsidRPr="009A0BF1">
      <w:rPr>
        <w:b/>
        <w:sz w:val="18"/>
        <w:lang w:val="en-US"/>
      </w:rPr>
      <w:fldChar w:fldCharType="separate"/>
    </w:r>
    <w:r w:rsidRPr="009A0BF1">
      <w:rPr>
        <w:b/>
        <w:noProof/>
        <w:sz w:val="18"/>
        <w:lang w:val="en-US"/>
      </w:rPr>
      <w:t>2</w:t>
    </w:r>
    <w:r w:rsidRPr="009A0BF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03B7F" w14:textId="5FBC51AF" w:rsidR="006959B0" w:rsidRPr="009A0BF1" w:rsidRDefault="009A0BF1" w:rsidP="009A0BF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GE.23-06225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C7FEC" w14:textId="6DB2EC72" w:rsidR="00AB4F93" w:rsidRPr="009A0BF1" w:rsidRDefault="009A0BF1" w:rsidP="009A0BF1">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2BF1D8E9" wp14:editId="69899EB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23-06225 (A)</w:t>
    </w:r>
    <w:r>
      <w:rPr>
        <w:noProof/>
        <w:sz w:val="20"/>
        <w:lang w:val="en-US"/>
      </w:rPr>
      <w:drawing>
        <wp:anchor distT="0" distB="0" distL="114300" distR="114300" simplePos="0" relativeHeight="251660288" behindDoc="0" locked="0" layoutInCell="1" allowOverlap="1" wp14:anchorId="676E5EF5" wp14:editId="187BBED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CC56C" w14:textId="77777777" w:rsidR="00CF03FB" w:rsidRPr="002804D6" w:rsidRDefault="00CF03FB"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924F6B2" w14:textId="77777777" w:rsidR="00CF03FB" w:rsidRDefault="00CF03FB" w:rsidP="00656392">
      <w:pPr>
        <w:spacing w:line="240" w:lineRule="auto"/>
      </w:pPr>
      <w:r>
        <w:continuationSeparator/>
      </w:r>
    </w:p>
  </w:footnote>
  <w:footnote w:id="1">
    <w:p w14:paraId="55CE9ACA" w14:textId="4D64E4FC" w:rsidR="00E11807" w:rsidRPr="00F957CF" w:rsidRDefault="00E11807" w:rsidP="00E11807">
      <w:pPr>
        <w:pStyle w:val="FootnoteText1"/>
        <w:rPr>
          <w:rFonts w:eastAsiaTheme="minorEastAsia"/>
          <w:rtl/>
        </w:rPr>
      </w:pPr>
      <w:r w:rsidRPr="00F957CF">
        <w:rPr>
          <w:rFonts w:eastAsiaTheme="minorEastAsia"/>
          <w:rtl/>
        </w:rPr>
        <w:t>*</w:t>
      </w:r>
      <w:r w:rsidRPr="00F957CF">
        <w:rPr>
          <w:rFonts w:eastAsiaTheme="minorEastAsia"/>
          <w:rtl/>
        </w:rPr>
        <w:tab/>
        <w:t>اعتمدتها اللجنة في دورتها الرابعة والعشرين (</w:t>
      </w:r>
      <w:r w:rsidR="003C567A" w:rsidRPr="00744F40">
        <w:rPr>
          <w:rFonts w:eastAsiaTheme="minorEastAsia" w:hint="cs"/>
          <w:rtl/>
        </w:rPr>
        <w:t>20</w:t>
      </w:r>
      <w:r w:rsidR="003C567A" w:rsidRPr="00F957CF">
        <w:rPr>
          <w:rFonts w:eastAsiaTheme="minorEastAsia" w:hint="cs"/>
          <w:rtl/>
        </w:rPr>
        <w:t>-</w:t>
      </w:r>
      <w:r w:rsidR="003C567A" w:rsidRPr="00744F40">
        <w:rPr>
          <w:rFonts w:eastAsiaTheme="minorEastAsia" w:hint="cs"/>
          <w:rtl/>
        </w:rPr>
        <w:t>31</w:t>
      </w:r>
      <w:r w:rsidR="003C567A" w:rsidRPr="00F957CF">
        <w:rPr>
          <w:rFonts w:eastAsiaTheme="minorEastAsia" w:hint="cs"/>
          <w:rtl/>
        </w:rPr>
        <w:t xml:space="preserve"> </w:t>
      </w:r>
      <w:r w:rsidRPr="00F957CF">
        <w:rPr>
          <w:rFonts w:eastAsiaTheme="minorEastAsia"/>
          <w:rtl/>
        </w:rPr>
        <w:t xml:space="preserve">آذار/مارس </w:t>
      </w:r>
      <w:r w:rsidRPr="00744F40">
        <w:rPr>
          <w:rFonts w:eastAsiaTheme="minorEastAsia"/>
          <w:rtl/>
        </w:rPr>
        <w:t>2013</w:t>
      </w:r>
      <w:r w:rsidR="00F957CF" w:rsidRPr="00F957CF">
        <w:rPr>
          <w:rFonts w:eastAsiaTheme="minorEastAsia"/>
          <w:rtl/>
        </w:rPr>
        <w:t xml:space="preserve">). </w:t>
      </w:r>
    </w:p>
  </w:footnote>
  <w:footnote w:id="2">
    <w:p w14:paraId="27158779" w14:textId="77777777" w:rsidR="00F957CF" w:rsidRPr="00F957CF" w:rsidRDefault="00F957CF" w:rsidP="00F957CF">
      <w:pPr>
        <w:pStyle w:val="FootnoteText1"/>
        <w:textDirection w:val="tbRlV"/>
        <w:rPr>
          <w:rFonts w:eastAsiaTheme="minorEastAsia"/>
          <w:lang w:eastAsia="zh-TW" w:bidi="en-GB"/>
        </w:rPr>
      </w:pPr>
      <w:r w:rsidRPr="00F957CF">
        <w:rPr>
          <w:rFonts w:eastAsiaTheme="minorEastAsia"/>
          <w:rtl/>
        </w:rPr>
        <w:t>(</w:t>
      </w:r>
      <w:r w:rsidRPr="00744F40">
        <w:rPr>
          <w:rFonts w:eastAsiaTheme="minorEastAsia"/>
        </w:rPr>
        <w:footnoteRef/>
      </w:r>
      <w:r w:rsidRPr="00F957CF">
        <w:rPr>
          <w:rFonts w:eastAsiaTheme="minorEastAsia"/>
          <w:rtl/>
        </w:rPr>
        <w:t>)</w:t>
      </w:r>
      <w:r w:rsidRPr="00F957CF">
        <w:rPr>
          <w:rFonts w:eastAsiaTheme="minorEastAsia"/>
          <w:rtl/>
        </w:rPr>
        <w:tab/>
      </w:r>
      <w:hyperlink r:id="rId1" w:history="1">
        <w:r w:rsidRPr="00F957CF">
          <w:rPr>
            <w:rStyle w:val="Hyperlink"/>
            <w:rFonts w:eastAsiaTheme="minorEastAsia"/>
          </w:rPr>
          <w:t>CED/C/ARG/AI/</w:t>
        </w:r>
        <w:r w:rsidRPr="00744F40">
          <w:rPr>
            <w:rStyle w:val="Hyperlink"/>
            <w:rFonts w:eastAsiaTheme="minorEastAsia"/>
          </w:rPr>
          <w:t>1</w:t>
        </w:r>
      </w:hyperlink>
      <w:r w:rsidRPr="00F957CF">
        <w:rPr>
          <w:rFonts w:eastAsiaTheme="minorEastAsia"/>
          <w:rtl/>
        </w:rPr>
        <w:t xml:space="preserve">. </w:t>
      </w:r>
    </w:p>
  </w:footnote>
  <w:footnote w:id="3">
    <w:p w14:paraId="257B561B" w14:textId="77777777" w:rsidR="00F957CF" w:rsidRPr="00F957CF" w:rsidRDefault="00F957CF" w:rsidP="00F957CF">
      <w:pPr>
        <w:pStyle w:val="FootnoteText1"/>
        <w:textDirection w:val="tbRlV"/>
        <w:rPr>
          <w:rFonts w:eastAsiaTheme="minorEastAsia"/>
          <w:lang w:eastAsia="zh-TW" w:bidi="en-GB"/>
        </w:rPr>
      </w:pPr>
      <w:r w:rsidRPr="00F957CF">
        <w:rPr>
          <w:rFonts w:eastAsiaTheme="minorEastAsia"/>
          <w:rtl/>
        </w:rPr>
        <w:t>(</w:t>
      </w:r>
      <w:r w:rsidRPr="00744F40">
        <w:rPr>
          <w:rFonts w:eastAsiaTheme="minorEastAsia"/>
        </w:rPr>
        <w:footnoteRef/>
      </w:r>
      <w:r w:rsidRPr="00F957CF">
        <w:rPr>
          <w:rFonts w:eastAsiaTheme="minorEastAsia"/>
          <w:rtl/>
        </w:rPr>
        <w:t>)</w:t>
      </w:r>
      <w:r w:rsidRPr="00F957CF">
        <w:rPr>
          <w:rFonts w:eastAsiaTheme="minorEastAsia"/>
          <w:rtl/>
        </w:rPr>
        <w:tab/>
      </w:r>
      <w:hyperlink r:id="rId2" w:history="1">
        <w:r w:rsidRPr="00F957CF">
          <w:rPr>
            <w:rStyle w:val="Hyperlink"/>
            <w:rFonts w:eastAsiaTheme="minorEastAsia"/>
          </w:rPr>
          <w:t>CED/C/ARG/CO/</w:t>
        </w:r>
        <w:r w:rsidRPr="00744F40">
          <w:rPr>
            <w:rStyle w:val="Hyperlink"/>
            <w:rFonts w:eastAsiaTheme="minorEastAsia"/>
          </w:rPr>
          <w:t>1</w:t>
        </w:r>
      </w:hyperlink>
      <w:r w:rsidRPr="00F957CF">
        <w:rPr>
          <w:rFonts w:eastAsiaTheme="minorEastAsia"/>
          <w:rtl/>
        </w:rPr>
        <w:t xml:space="preserve">. </w:t>
      </w:r>
    </w:p>
  </w:footnote>
  <w:footnote w:id="4">
    <w:p w14:paraId="746EA1A8" w14:textId="77777777" w:rsidR="00F957CF" w:rsidRPr="00F957CF" w:rsidRDefault="00F957CF" w:rsidP="00E11807">
      <w:pPr>
        <w:pStyle w:val="FootnoteText1"/>
        <w:textDirection w:val="tbRlV"/>
        <w:rPr>
          <w:rFonts w:eastAsiaTheme="minorEastAsia"/>
          <w:lang w:val="ar-SA" w:eastAsia="zh-TW" w:bidi="en-GB"/>
        </w:rPr>
      </w:pPr>
      <w:r w:rsidRPr="00F957CF">
        <w:rPr>
          <w:rStyle w:val="None"/>
          <w:rFonts w:eastAsiaTheme="minorEastAsia"/>
          <w:rtl/>
        </w:rPr>
        <w:t>(</w:t>
      </w:r>
      <w:r w:rsidRPr="00744F40">
        <w:rPr>
          <w:rStyle w:val="None"/>
          <w:rFonts w:eastAsiaTheme="minorEastAsia"/>
        </w:rPr>
        <w:footnoteRef/>
      </w:r>
      <w:r w:rsidRPr="00F957CF">
        <w:rPr>
          <w:rStyle w:val="None"/>
          <w:rFonts w:eastAsiaTheme="minorEastAsia"/>
          <w:rtl/>
        </w:rPr>
        <w:t>)</w:t>
      </w:r>
      <w:r w:rsidRPr="00F957CF">
        <w:rPr>
          <w:rFonts w:eastAsiaTheme="minorEastAsia"/>
          <w:rtl/>
        </w:rPr>
        <w:tab/>
      </w:r>
      <w:r w:rsidRPr="00744F40">
        <w:rPr>
          <w:rFonts w:eastAsiaTheme="minorEastAsia"/>
          <w:i/>
          <w:iCs/>
          <w:rtl/>
        </w:rPr>
        <w:t>المرجع نفسه،</w:t>
      </w:r>
      <w:r w:rsidRPr="00F957CF">
        <w:rPr>
          <w:rFonts w:eastAsiaTheme="minorEastAsia"/>
          <w:rtl/>
        </w:rPr>
        <w:t xml:space="preserve"> الفقرة </w:t>
      </w:r>
      <w:r w:rsidRPr="00744F40">
        <w:rPr>
          <w:rFonts w:eastAsiaTheme="minorEastAsia"/>
          <w:rtl/>
        </w:rPr>
        <w:t>9</w:t>
      </w:r>
      <w:r w:rsidRPr="00F957CF">
        <w:rPr>
          <w:rFonts w:eastAsiaTheme="minorEastAsia"/>
          <w:rtl/>
        </w:rPr>
        <w:t xml:space="preserve">. </w:t>
      </w:r>
    </w:p>
  </w:footnote>
  <w:footnote w:id="5">
    <w:p w14:paraId="6CA9FDA5" w14:textId="77777777" w:rsidR="00F957CF" w:rsidRPr="00F957CF" w:rsidRDefault="00F957CF" w:rsidP="00E11807">
      <w:pPr>
        <w:pStyle w:val="FootnoteText1"/>
        <w:textDirection w:val="tbRlV"/>
        <w:rPr>
          <w:rFonts w:eastAsiaTheme="minorEastAsia"/>
          <w:lang w:val="ar-SA" w:eastAsia="zh-TW" w:bidi="en-GB"/>
        </w:rPr>
      </w:pPr>
      <w:r w:rsidRPr="00F957CF">
        <w:rPr>
          <w:rStyle w:val="None"/>
          <w:rFonts w:eastAsiaTheme="minorEastAsia"/>
          <w:rtl/>
        </w:rPr>
        <w:t>(</w:t>
      </w:r>
      <w:r w:rsidRPr="00744F40">
        <w:rPr>
          <w:rStyle w:val="None"/>
          <w:rFonts w:eastAsiaTheme="minorEastAsia"/>
        </w:rPr>
        <w:footnoteRef/>
      </w:r>
      <w:r w:rsidRPr="00F957CF">
        <w:rPr>
          <w:rStyle w:val="None"/>
          <w:rFonts w:eastAsiaTheme="minorEastAsia"/>
          <w:rtl/>
        </w:rPr>
        <w:t>)</w:t>
      </w:r>
      <w:r w:rsidRPr="00F957CF">
        <w:rPr>
          <w:rFonts w:eastAsiaTheme="minorEastAsia"/>
          <w:rtl/>
        </w:rPr>
        <w:tab/>
      </w:r>
      <w:r w:rsidRPr="00744F40">
        <w:rPr>
          <w:rFonts w:eastAsiaTheme="minorEastAsia"/>
          <w:i/>
          <w:iCs/>
          <w:rtl/>
        </w:rPr>
        <w:t>المرجع نفسه</w:t>
      </w:r>
      <w:r w:rsidRPr="00F957CF">
        <w:rPr>
          <w:rFonts w:eastAsiaTheme="minorEastAsia"/>
          <w:rtl/>
        </w:rPr>
        <w:t xml:space="preserve">، الفقرة </w:t>
      </w:r>
      <w:r w:rsidRPr="00744F40">
        <w:rPr>
          <w:rFonts w:eastAsiaTheme="minorEastAsia"/>
          <w:rtl/>
        </w:rPr>
        <w:t>15</w:t>
      </w:r>
      <w:r w:rsidRPr="00F957CF">
        <w:rPr>
          <w:rFonts w:eastAsiaTheme="minorEastAsia"/>
          <w:rtl/>
        </w:rPr>
        <w:t xml:space="preserve">. </w:t>
      </w:r>
    </w:p>
  </w:footnote>
  <w:footnote w:id="6">
    <w:p w14:paraId="2C8FA436" w14:textId="77777777" w:rsidR="00F957CF" w:rsidRPr="00F957CF" w:rsidRDefault="00F957CF" w:rsidP="00E11807">
      <w:pPr>
        <w:pStyle w:val="FootnoteText1"/>
        <w:textDirection w:val="tbRlV"/>
        <w:rPr>
          <w:rFonts w:eastAsiaTheme="minorEastAsia"/>
          <w:lang w:val="ar-SA" w:eastAsia="zh-TW" w:bidi="en-GB"/>
        </w:rPr>
      </w:pPr>
      <w:r w:rsidRPr="00F957CF">
        <w:rPr>
          <w:rStyle w:val="None"/>
          <w:rFonts w:eastAsiaTheme="minorEastAsia"/>
          <w:rtl/>
        </w:rPr>
        <w:t>(</w:t>
      </w:r>
      <w:r w:rsidRPr="00744F40">
        <w:rPr>
          <w:rStyle w:val="None"/>
          <w:rFonts w:eastAsiaTheme="minorEastAsia"/>
        </w:rPr>
        <w:footnoteRef/>
      </w:r>
      <w:r w:rsidRPr="00F957CF">
        <w:rPr>
          <w:rStyle w:val="None"/>
          <w:rFonts w:eastAsiaTheme="minorEastAsia"/>
          <w:rtl/>
        </w:rPr>
        <w:t>)</w:t>
      </w:r>
      <w:r w:rsidRPr="00F957CF">
        <w:rPr>
          <w:rFonts w:eastAsiaTheme="minorEastAsia"/>
          <w:rtl/>
        </w:rPr>
        <w:tab/>
      </w:r>
      <w:r w:rsidRPr="00744F40">
        <w:rPr>
          <w:rFonts w:eastAsiaTheme="minorEastAsia"/>
          <w:i/>
          <w:iCs/>
          <w:rtl/>
        </w:rPr>
        <w:t>المرجع نفسه</w:t>
      </w:r>
      <w:r w:rsidRPr="00F957CF">
        <w:rPr>
          <w:rFonts w:eastAsiaTheme="minorEastAsia"/>
          <w:rtl/>
        </w:rPr>
        <w:t xml:space="preserve">، الفقرة </w:t>
      </w:r>
      <w:r w:rsidRPr="00744F40">
        <w:rPr>
          <w:rFonts w:eastAsiaTheme="minorEastAsia"/>
          <w:rtl/>
        </w:rPr>
        <w:t>17</w:t>
      </w:r>
      <w:r w:rsidRPr="00F957CF">
        <w:rPr>
          <w:rFonts w:eastAsiaTheme="minorEastAsia"/>
          <w:rtl/>
        </w:rPr>
        <w:t xml:space="preserve">. </w:t>
      </w:r>
    </w:p>
  </w:footnote>
  <w:footnote w:id="7">
    <w:p w14:paraId="47B1524F" w14:textId="77777777" w:rsidR="00F957CF" w:rsidRPr="00F957CF" w:rsidRDefault="00F957CF" w:rsidP="00E11807">
      <w:pPr>
        <w:pStyle w:val="FootnoteText1"/>
        <w:textDirection w:val="tbRlV"/>
        <w:rPr>
          <w:rFonts w:eastAsiaTheme="minorEastAsia"/>
          <w:lang w:val="ar-SA" w:eastAsia="zh-TW" w:bidi="en-GB"/>
        </w:rPr>
      </w:pPr>
      <w:r w:rsidRPr="00F957CF">
        <w:rPr>
          <w:rStyle w:val="None"/>
          <w:rFonts w:eastAsiaTheme="minorEastAsia"/>
          <w:rtl/>
        </w:rPr>
        <w:t>(</w:t>
      </w:r>
      <w:r w:rsidRPr="00744F40">
        <w:rPr>
          <w:rStyle w:val="None"/>
          <w:rFonts w:eastAsiaTheme="minorEastAsia"/>
        </w:rPr>
        <w:footnoteRef/>
      </w:r>
      <w:r w:rsidRPr="00F957CF">
        <w:rPr>
          <w:rStyle w:val="None"/>
          <w:rFonts w:eastAsiaTheme="minorEastAsia"/>
          <w:rtl/>
        </w:rPr>
        <w:t>)</w:t>
      </w:r>
      <w:r w:rsidRPr="00F957CF">
        <w:rPr>
          <w:rFonts w:eastAsiaTheme="minorEastAsia"/>
          <w:rtl/>
        </w:rPr>
        <w:tab/>
      </w:r>
      <w:r w:rsidRPr="00744F40">
        <w:rPr>
          <w:rFonts w:eastAsiaTheme="minorEastAsia"/>
          <w:i/>
          <w:iCs/>
          <w:rtl/>
        </w:rPr>
        <w:t>المرجع نفسه</w:t>
      </w:r>
      <w:r w:rsidRPr="00F957CF">
        <w:rPr>
          <w:rFonts w:eastAsiaTheme="minorEastAsia"/>
          <w:rtl/>
        </w:rPr>
        <w:t xml:space="preserve">، الفقرة </w:t>
      </w:r>
      <w:r w:rsidRPr="00744F40">
        <w:rPr>
          <w:rFonts w:eastAsiaTheme="minorEastAsia"/>
          <w:rtl/>
        </w:rPr>
        <w:t>37</w:t>
      </w:r>
      <w:r w:rsidRPr="00F957CF">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92143" w14:textId="77D51009" w:rsidR="009A0BF1" w:rsidRPr="009A0BF1" w:rsidRDefault="009A0BF1" w:rsidP="009A0BF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67496">
      <w:t>CED/C/ARG/OAI/1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9CC4" w14:textId="64CFCB41" w:rsidR="009A0BF1" w:rsidRPr="009A0BF1" w:rsidRDefault="009A0BF1" w:rsidP="009A0BF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67496">
      <w:t>CED/C/ARG/OAI/1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39523341">
    <w:abstractNumId w:val="15"/>
  </w:num>
  <w:num w:numId="2" w16cid:durableId="1775972998">
    <w:abstractNumId w:val="12"/>
  </w:num>
  <w:num w:numId="3" w16cid:durableId="1580796331">
    <w:abstractNumId w:val="2"/>
  </w:num>
  <w:num w:numId="4" w16cid:durableId="2038460026">
    <w:abstractNumId w:val="11"/>
  </w:num>
  <w:num w:numId="5" w16cid:durableId="924414796">
    <w:abstractNumId w:val="8"/>
  </w:num>
  <w:num w:numId="6" w16cid:durableId="1162936834">
    <w:abstractNumId w:val="5"/>
  </w:num>
  <w:num w:numId="7" w16cid:durableId="1250117937">
    <w:abstractNumId w:val="17"/>
  </w:num>
  <w:num w:numId="8" w16cid:durableId="149249923">
    <w:abstractNumId w:val="2"/>
  </w:num>
  <w:num w:numId="9" w16cid:durableId="891427513">
    <w:abstractNumId w:val="11"/>
  </w:num>
  <w:num w:numId="10" w16cid:durableId="862590846">
    <w:abstractNumId w:val="5"/>
  </w:num>
  <w:num w:numId="11" w16cid:durableId="1084687857">
    <w:abstractNumId w:val="17"/>
  </w:num>
  <w:num w:numId="12" w16cid:durableId="1722051236">
    <w:abstractNumId w:val="4"/>
  </w:num>
  <w:num w:numId="13" w16cid:durableId="1186870929">
    <w:abstractNumId w:val="3"/>
  </w:num>
  <w:num w:numId="14" w16cid:durableId="2137260800">
    <w:abstractNumId w:val="16"/>
  </w:num>
  <w:num w:numId="15" w16cid:durableId="1351839759">
    <w:abstractNumId w:val="13"/>
  </w:num>
  <w:num w:numId="16" w16cid:durableId="1453137522">
    <w:abstractNumId w:val="1"/>
  </w:num>
  <w:num w:numId="17" w16cid:durableId="926841970">
    <w:abstractNumId w:val="14"/>
  </w:num>
  <w:num w:numId="18" w16cid:durableId="1861042240">
    <w:abstractNumId w:val="0"/>
  </w:num>
  <w:num w:numId="19" w16cid:durableId="1742173857">
    <w:abstractNumId w:val="9"/>
  </w:num>
  <w:num w:numId="20" w16cid:durableId="34763479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18801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0166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0547689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384416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560364301">
    <w:abstractNumId w:val="7"/>
  </w:num>
  <w:num w:numId="26" w16cid:durableId="30593614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744569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3FB"/>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74341"/>
    <w:rsid w:val="003C567A"/>
    <w:rsid w:val="003D1062"/>
    <w:rsid w:val="00420D7B"/>
    <w:rsid w:val="00450B21"/>
    <w:rsid w:val="00453B63"/>
    <w:rsid w:val="00455780"/>
    <w:rsid w:val="004A52AC"/>
    <w:rsid w:val="004B0A1C"/>
    <w:rsid w:val="004D298E"/>
    <w:rsid w:val="004E1586"/>
    <w:rsid w:val="005063D5"/>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44F40"/>
    <w:rsid w:val="00774AF4"/>
    <w:rsid w:val="0078071A"/>
    <w:rsid w:val="007B718D"/>
    <w:rsid w:val="007F55ED"/>
    <w:rsid w:val="00807312"/>
    <w:rsid w:val="008313E3"/>
    <w:rsid w:val="00852A9A"/>
    <w:rsid w:val="008C2897"/>
    <w:rsid w:val="008C6E7E"/>
    <w:rsid w:val="008D6989"/>
    <w:rsid w:val="008F49E1"/>
    <w:rsid w:val="008F729B"/>
    <w:rsid w:val="0090370F"/>
    <w:rsid w:val="009269D2"/>
    <w:rsid w:val="009305F0"/>
    <w:rsid w:val="00942135"/>
    <w:rsid w:val="009521B0"/>
    <w:rsid w:val="00980103"/>
    <w:rsid w:val="00987935"/>
    <w:rsid w:val="00994130"/>
    <w:rsid w:val="009A0BF1"/>
    <w:rsid w:val="009A7E9F"/>
    <w:rsid w:val="009E5018"/>
    <w:rsid w:val="009F515B"/>
    <w:rsid w:val="00A12B37"/>
    <w:rsid w:val="00A20FF4"/>
    <w:rsid w:val="00A4027E"/>
    <w:rsid w:val="00A6634B"/>
    <w:rsid w:val="00AB4F93"/>
    <w:rsid w:val="00AB6758"/>
    <w:rsid w:val="00AC2A79"/>
    <w:rsid w:val="00B13614"/>
    <w:rsid w:val="00B13763"/>
    <w:rsid w:val="00B27391"/>
    <w:rsid w:val="00B33568"/>
    <w:rsid w:val="00B40C02"/>
    <w:rsid w:val="00B477A4"/>
    <w:rsid w:val="00B54045"/>
    <w:rsid w:val="00B62784"/>
    <w:rsid w:val="00B63F77"/>
    <w:rsid w:val="00B65387"/>
    <w:rsid w:val="00B70097"/>
    <w:rsid w:val="00BB449E"/>
    <w:rsid w:val="00BD2E35"/>
    <w:rsid w:val="00C05EA5"/>
    <w:rsid w:val="00C438D7"/>
    <w:rsid w:val="00C67496"/>
    <w:rsid w:val="00C81B50"/>
    <w:rsid w:val="00C92253"/>
    <w:rsid w:val="00CB28F9"/>
    <w:rsid w:val="00CC276B"/>
    <w:rsid w:val="00CD1801"/>
    <w:rsid w:val="00CF03FB"/>
    <w:rsid w:val="00CF7E4E"/>
    <w:rsid w:val="00D10EF1"/>
    <w:rsid w:val="00D42810"/>
    <w:rsid w:val="00D914A7"/>
    <w:rsid w:val="00DD13C3"/>
    <w:rsid w:val="00DD596E"/>
    <w:rsid w:val="00DD621E"/>
    <w:rsid w:val="00DF0575"/>
    <w:rsid w:val="00DF5E71"/>
    <w:rsid w:val="00E11807"/>
    <w:rsid w:val="00E6550C"/>
    <w:rsid w:val="00E70E04"/>
    <w:rsid w:val="00E76499"/>
    <w:rsid w:val="00E866BF"/>
    <w:rsid w:val="00EB6F59"/>
    <w:rsid w:val="00EC05A7"/>
    <w:rsid w:val="00EC4B6B"/>
    <w:rsid w:val="00EE2A27"/>
    <w:rsid w:val="00EF1EE5"/>
    <w:rsid w:val="00F156CA"/>
    <w:rsid w:val="00F52C23"/>
    <w:rsid w:val="00F6781A"/>
    <w:rsid w:val="00F763B4"/>
    <w:rsid w:val="00F900C3"/>
    <w:rsid w:val="00F957CF"/>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594F60"/>
  <w15:docId w15:val="{D89B11A3-2D53-4877-B94C-98ABC979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styleId="FootnoteReference">
    <w:name w:val="footnote reference"/>
    <w:aliases w:val="4_G"/>
    <w:qFormat/>
    <w:rsid w:val="00E11807"/>
    <w:rPr>
      <w:rFonts w:ascii="Times New Roman" w:hAnsi="Times New Roman"/>
      <w:sz w:val="18"/>
      <w:vertAlign w:val="superscript"/>
    </w:rPr>
  </w:style>
  <w:style w:type="paragraph" w:customStyle="1" w:styleId="HChG">
    <w:name w:val="_ H _Ch_G"/>
    <w:basedOn w:val="Normal"/>
    <w:next w:val="Normal"/>
    <w:link w:val="HChGChar"/>
    <w:qFormat/>
    <w:rsid w:val="00E11807"/>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rPr>
  </w:style>
  <w:style w:type="character" w:customStyle="1" w:styleId="HChGChar">
    <w:name w:val="_ H _Ch_G Char"/>
    <w:link w:val="HChG"/>
    <w:rsid w:val="00E11807"/>
    <w:rPr>
      <w:rFonts w:ascii="Times New Roman" w:hAnsi="Times New Roman" w:cs="Simplified Arabic"/>
      <w:b/>
      <w:sz w:val="28"/>
      <w:szCs w:val="30"/>
      <w:lang w:val="fr-FR" w:eastAsia="fr-FR"/>
    </w:rPr>
  </w:style>
  <w:style w:type="paragraph" w:customStyle="1" w:styleId="H23G">
    <w:name w:val="_ H_2/3_G"/>
    <w:basedOn w:val="Normal"/>
    <w:next w:val="Normal"/>
    <w:qFormat/>
    <w:rsid w:val="00E11807"/>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fr-FR" w:eastAsia="fr-FR"/>
    </w:rPr>
  </w:style>
  <w:style w:type="paragraph" w:customStyle="1" w:styleId="SingleTxtG">
    <w:name w:val="_ Single Txt_G"/>
    <w:basedOn w:val="Normal"/>
    <w:link w:val="SingleTxtGChar"/>
    <w:qFormat/>
    <w:rsid w:val="00E11807"/>
    <w:pPr>
      <w:tabs>
        <w:tab w:val="left" w:pos="1701"/>
        <w:tab w:val="left" w:pos="2268"/>
        <w:tab w:val="left" w:pos="2835"/>
      </w:tabs>
      <w:bidi w:val="0"/>
      <w:spacing w:after="120"/>
      <w:ind w:left="1134" w:right="1134"/>
      <w:jc w:val="both"/>
    </w:pPr>
    <w:rPr>
      <w:rFonts w:eastAsia="Times New Roman"/>
      <w:szCs w:val="30"/>
      <w:lang w:val="fr-FR" w:eastAsia="fr-FR"/>
    </w:rPr>
  </w:style>
  <w:style w:type="paragraph" w:styleId="FootnoteText">
    <w:name w:val="footnote text"/>
    <w:aliases w:val="5_G, Car,Footnote reference,FA Fu,Footnote Text Char Char Char Char Char,Footnote Text Char Char Char Char,Footnote Text Char Char Char,Car,Car Car,Car Car Car,Footnote Text Cha,FA Fußnotentext,FA Fuﬂnotentext,Footnote Text Char Char"/>
    <w:basedOn w:val="Normal"/>
    <w:link w:val="FootnoteTextChar"/>
    <w:uiPriority w:val="3"/>
    <w:qFormat/>
    <w:rsid w:val="00E11807"/>
    <w:pPr>
      <w:tabs>
        <w:tab w:val="right" w:pos="1021"/>
      </w:tab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 Car Char,Footnote reference Char,FA Fu Char,Footnote Text Char Char Char Char Char Char,Footnote Text Char Char Char Char Char1,Footnote Text Char Char Char Char1,Car Char,Car Car Char,Car Car Car Char,Footnote Text Cha Char"/>
    <w:basedOn w:val="DefaultParagraphFont"/>
    <w:link w:val="FootnoteText"/>
    <w:uiPriority w:val="3"/>
    <w:rsid w:val="00E11807"/>
    <w:rPr>
      <w:rFonts w:ascii="Times New Roman" w:hAnsi="Times New Roman" w:cs="Simplified Arabic"/>
      <w:sz w:val="18"/>
      <w:szCs w:val="30"/>
      <w:lang w:val="fr-FR" w:eastAsia="fr-FR"/>
    </w:rPr>
  </w:style>
  <w:style w:type="character" w:customStyle="1" w:styleId="SingleTxtGChar">
    <w:name w:val="_ Single Txt_G Char"/>
    <w:link w:val="SingleTxtG"/>
    <w:rsid w:val="00E11807"/>
    <w:rPr>
      <w:rFonts w:ascii="Times New Roman" w:hAnsi="Times New Roman" w:cs="Simplified Arabic"/>
      <w:sz w:val="20"/>
      <w:szCs w:val="30"/>
      <w:lang w:val="fr-FR" w:eastAsia="fr-FR"/>
    </w:rPr>
  </w:style>
  <w:style w:type="character" w:customStyle="1" w:styleId="None">
    <w:name w:val="None"/>
    <w:rsid w:val="00E11807"/>
  </w:style>
  <w:style w:type="character" w:styleId="UnresolvedMention">
    <w:name w:val="Unresolved Mention"/>
    <w:basedOn w:val="DefaultParagraphFont"/>
    <w:uiPriority w:val="99"/>
    <w:semiHidden/>
    <w:unhideWhenUsed/>
    <w:rsid w:val="00F95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CED/C/ARG/CO/1" TargetMode="External"/><Relationship Id="rId1" Type="http://schemas.openxmlformats.org/officeDocument/2006/relationships/hyperlink" Target="https://undocs.org/ar/CED/C/ARG/A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2431</Words>
  <Characters>13129</Characters>
  <Application>Microsoft Office Word</Application>
  <DocSecurity>0</DocSecurity>
  <Lines>213</Lines>
  <Paragraphs>67</Paragraphs>
  <ScaleCrop>false</ScaleCrop>
  <HeadingPairs>
    <vt:vector size="2" baseType="variant">
      <vt:variant>
        <vt:lpstr>Title</vt:lpstr>
      </vt:variant>
      <vt:variant>
        <vt:i4>1</vt:i4>
      </vt:variant>
    </vt:vector>
  </HeadingPairs>
  <TitlesOfParts>
    <vt:vector size="1" baseType="lpstr">
      <vt:lpstr>CED/C/ARG/OAI/1</vt:lpstr>
    </vt:vector>
  </TitlesOfParts>
  <Company>DCM</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CED/C/ARG/OAI/1</dc:title>
  <dc:subject>GE.2306225(A)</dc:subject>
  <dc:creator>Muntaha BUHNAM - Rafik FATHI </dc:creator>
  <cp:keywords>GE. 2307004(A)</cp:keywords>
  <dc:description>Distr.: General
12 April 2023
Arabic
Original: Spanish</dc:description>
  <cp:lastModifiedBy>Jamila Chedad</cp:lastModifiedBy>
  <cp:revision>3</cp:revision>
  <cp:lastPrinted>2023-06-09T13:01:00Z</cp:lastPrinted>
  <dcterms:created xsi:type="dcterms:W3CDTF">2023-06-09T13:01:00Z</dcterms:created>
  <dcterms:modified xsi:type="dcterms:W3CDTF">2023-06-09T13:02:00Z</dcterms:modified>
</cp:coreProperties>
</file>