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D20C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D20C7" w:rsidP="009D20C7">
            <w:pPr>
              <w:jc w:val="right"/>
            </w:pPr>
            <w:r w:rsidRPr="009D20C7">
              <w:rPr>
                <w:sz w:val="40"/>
              </w:rPr>
              <w:t>CRC</w:t>
            </w:r>
            <w:r>
              <w:t>/C/PAN/CO/5-6</w:t>
            </w:r>
          </w:p>
        </w:tc>
      </w:tr>
      <w:tr w:rsidR="002D5AAC" w:rsidRPr="003518CC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D20C7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9D20C7" w:rsidRDefault="009D20C7" w:rsidP="009D20C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February 2018</w:t>
            </w:r>
          </w:p>
          <w:p w:rsidR="009D20C7" w:rsidRDefault="009D20C7" w:rsidP="009D20C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D20C7" w:rsidRPr="00B937DF" w:rsidRDefault="009D20C7" w:rsidP="009D20C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9D149C" w:rsidRPr="00581D66" w:rsidRDefault="009D149C" w:rsidP="009D149C">
      <w:pPr>
        <w:suppressAutoHyphens/>
        <w:spacing w:before="120"/>
        <w:rPr>
          <w:b/>
          <w:spacing w:val="0"/>
          <w:w w:val="100"/>
          <w:sz w:val="24"/>
          <w:szCs w:val="24"/>
        </w:rPr>
      </w:pPr>
      <w:r w:rsidRPr="00581D66">
        <w:rPr>
          <w:b/>
          <w:spacing w:val="0"/>
          <w:w w:val="100"/>
          <w:sz w:val="24"/>
          <w:szCs w:val="24"/>
        </w:rPr>
        <w:t>Комитет по правам ребенка</w:t>
      </w:r>
    </w:p>
    <w:p w:rsidR="009D149C" w:rsidRPr="009D149C" w:rsidRDefault="009D149C" w:rsidP="009D149C">
      <w:pPr>
        <w:pStyle w:val="HCh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Заключительные замечания по объединенным пятому и</w:t>
      </w:r>
      <w:r>
        <w:rPr>
          <w:spacing w:val="0"/>
          <w:w w:val="100"/>
        </w:rPr>
        <w:t> </w:t>
      </w:r>
      <w:r w:rsidRPr="009D149C">
        <w:rPr>
          <w:spacing w:val="0"/>
          <w:w w:val="100"/>
        </w:rPr>
        <w:t>шестому периодическим докладам Панамы</w:t>
      </w:r>
      <w:r w:rsidRPr="009D149C">
        <w:rPr>
          <w:b w:val="0"/>
          <w:bCs/>
          <w:spacing w:val="0"/>
          <w:w w:val="100"/>
          <w:sz w:val="20"/>
        </w:rPr>
        <w:footnoteReference w:customMarkFollows="1" w:id="1"/>
        <w:t>*</w:t>
      </w:r>
    </w:p>
    <w:p w:rsidR="009D149C" w:rsidRPr="009D149C" w:rsidRDefault="009D149C" w:rsidP="009D149C">
      <w:pPr>
        <w:pStyle w:val="HChGR"/>
        <w:rPr>
          <w:spacing w:val="0"/>
          <w:w w:val="100"/>
        </w:rPr>
      </w:pPr>
      <w:r w:rsidRPr="009D149C">
        <w:rPr>
          <w:spacing w:val="0"/>
          <w:w w:val="100"/>
        </w:rPr>
        <w:tab/>
        <w:t>I.</w:t>
      </w:r>
      <w:r w:rsidRPr="009D149C">
        <w:rPr>
          <w:spacing w:val="0"/>
          <w:w w:val="100"/>
        </w:rPr>
        <w:tab/>
        <w:t>Введение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1.</w:t>
      </w:r>
      <w:r w:rsidRPr="009D149C">
        <w:rPr>
          <w:spacing w:val="0"/>
          <w:w w:val="100"/>
        </w:rPr>
        <w:tab/>
        <w:t>Комитет рассмотрел объединенные пятый и шестой периодические доклады Панамы (CRC/C/PAN/5-6) на своих 2258-м и 2259-м заседаниях (см. CRC/C/SR.2258 и 2259), состоявшихся 17 и 18 января 2018 года, и на своем 2282-м заседании, состоявшемся 2 февраля 2018 года, принял настоящие заключительные замечания.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2.</w:t>
      </w:r>
      <w:r w:rsidRPr="009D149C">
        <w:rPr>
          <w:spacing w:val="0"/>
          <w:w w:val="100"/>
        </w:rP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 (CRC/C/PAN/Q/5-6/Add.1), которые позволили лучше понять положение в области прав детей в государстве-участнике</w:t>
      </w:r>
      <w:r w:rsidRPr="00581D66">
        <w:rPr>
          <w:spacing w:val="0"/>
          <w:w w:val="100"/>
          <w:sz w:val="18"/>
          <w:szCs w:val="18"/>
          <w:vertAlign w:val="superscript"/>
        </w:rPr>
        <w:footnoteReference w:id="2"/>
      </w:r>
      <w:r w:rsidRPr="009D149C">
        <w:rPr>
          <w:spacing w:val="0"/>
          <w:w w:val="100"/>
        </w:rPr>
        <w:t>. Комитет выражает признательность государству-участнику за конструктивный диалог с его межведомственной делегацией.</w:t>
      </w:r>
    </w:p>
    <w:p w:rsidR="009D149C" w:rsidRPr="009D149C" w:rsidRDefault="009D149C" w:rsidP="009D149C">
      <w:pPr>
        <w:pStyle w:val="HChGR"/>
        <w:rPr>
          <w:spacing w:val="0"/>
          <w:w w:val="100"/>
        </w:rPr>
      </w:pPr>
      <w:r w:rsidRPr="009D149C">
        <w:rPr>
          <w:spacing w:val="0"/>
          <w:w w:val="100"/>
        </w:rPr>
        <w:tab/>
        <w:t>II.</w:t>
      </w:r>
      <w:r w:rsidRPr="009D149C">
        <w:rPr>
          <w:spacing w:val="0"/>
          <w:w w:val="100"/>
        </w:rPr>
        <w:tab/>
        <w:t>Последующие меры, принятые государством-участником, и достигнутый им прогресс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3.</w:t>
      </w:r>
      <w:r w:rsidRPr="009D149C">
        <w:rPr>
          <w:spacing w:val="0"/>
          <w:w w:val="100"/>
        </w:rPr>
        <w:tab/>
        <w:t xml:space="preserve">Комитет приветствует прогресс, достигнутый государством-участником в различных областях, в том числе ратификацию различных международных договоров или присоединение к ним, в частности ратификацию Факультативного протокола к Конвенции о правах ребенка, касающегося процедуры сообщений. Комитет с удовлетворением принимает к сведению законодательные, организационные и политические меры, принятые в целях осуществления Конвенции, в частности установление минимального 18-летнего возраста вступления в брак и целенаправленные инициативы по стимулированию регистрации рождений. Он также приветствует начало процесса деинституционализации. </w:t>
      </w:r>
    </w:p>
    <w:p w:rsidR="009D149C" w:rsidRPr="009D149C" w:rsidRDefault="009D149C" w:rsidP="009D149C">
      <w:pPr>
        <w:pStyle w:val="HChGR"/>
        <w:rPr>
          <w:spacing w:val="0"/>
          <w:w w:val="100"/>
        </w:rPr>
      </w:pPr>
      <w:r w:rsidRPr="009D149C">
        <w:rPr>
          <w:spacing w:val="0"/>
          <w:w w:val="100"/>
        </w:rPr>
        <w:tab/>
        <w:t>III.</w:t>
      </w:r>
      <w:r w:rsidRPr="009D149C">
        <w:rPr>
          <w:spacing w:val="0"/>
          <w:w w:val="100"/>
        </w:rPr>
        <w:tab/>
        <w:t>Основные вопросы, вызывающие обеспокоенность, и</w:t>
      </w:r>
      <w:r>
        <w:rPr>
          <w:spacing w:val="0"/>
          <w:w w:val="100"/>
        </w:rPr>
        <w:t> </w:t>
      </w:r>
      <w:r w:rsidRPr="009D149C">
        <w:rPr>
          <w:spacing w:val="0"/>
          <w:w w:val="100"/>
        </w:rPr>
        <w:t>рекомендации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4.</w:t>
      </w:r>
      <w:r w:rsidRPr="009D149C">
        <w:rPr>
          <w:spacing w:val="0"/>
          <w:w w:val="100"/>
        </w:rP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значение всех рекомендаций, изложенных в настоящих заключительных замечаниях. Комитет хотел бы обратить внимание государства-участника на рекомендации, касающиеся следующих областей, в которых необходимо принять безотлагательные меры: </w:t>
      </w:r>
      <w:r w:rsidRPr="009D149C">
        <w:rPr>
          <w:spacing w:val="0"/>
          <w:w w:val="100"/>
        </w:rPr>
        <w:lastRenderedPageBreak/>
        <w:t xml:space="preserve">законодательство (пункт 6); запрет дискриминации (пункт 16); насилие, жестокое обращение, отсутствие заботы и сексуальная эксплуатация (пункт 23); здоровье подростков (пункт 31); образование (пункт 34) и отправление правосудия в отношении несовершеннолетних (пункт 40). 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A.</w:t>
      </w:r>
      <w:r w:rsidRPr="009D149C">
        <w:rPr>
          <w:spacing w:val="0"/>
          <w:w w:val="100"/>
        </w:rPr>
        <w:tab/>
        <w:t xml:space="preserve">Общие меры по осуществлению Конвенции </w:t>
      </w:r>
      <w:r>
        <w:rPr>
          <w:spacing w:val="0"/>
          <w:w w:val="100"/>
        </w:rPr>
        <w:br/>
      </w:r>
      <w:r w:rsidRPr="009D149C">
        <w:rPr>
          <w:spacing w:val="0"/>
          <w:w w:val="100"/>
        </w:rPr>
        <w:t>(статьи 4, 42 и 44 (пункт 6))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Законодательство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5.</w:t>
      </w:r>
      <w:r w:rsidRPr="009D149C">
        <w:rPr>
          <w:spacing w:val="0"/>
          <w:w w:val="100"/>
        </w:rPr>
        <w:tab/>
        <w:t>Комитет отмечает прогресс в направлении принятия законопроекта о создании системы гарантий и комплексной защиты прав детей и подростков, но выражает обеспокоенность в связи с тем, что этот закон еще не принят. Он особо обеспокоен систематическим ограничением прав детей в государстве-участнике, где к ним относятся как к буйным субъектам, нуждающимся в защите и наставлении, а не как к правообладателям, а также влиянием такой точки зрения на возможность реализации детьми своих прав.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6.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напоминает о своей предыдущей рекомендации (см. CRC/C/PAN/</w:t>
      </w:r>
      <w:r w:rsidRPr="003518CC">
        <w:rPr>
          <w:b/>
          <w:spacing w:val="0"/>
          <w:w w:val="100"/>
        </w:rPr>
        <w:br/>
        <w:t xml:space="preserve">CO/3-4, пункт 10) и обращается к государству-участнику с настоятельным призывом ускорить принятие всеобъемлющего закона о правах детей, в котором дети рассматривались бы как правообладатели, а не как объекты защиты в соответствии с положениями и принципами Конвенции и принятым Комитетом замечанием общего порядка № 5 (2003) об общих мерах по осуществлению Конвенции. Комитет также рекомендует государству-участнику обеспечить выделение надлежащих и достаточных людских, технических и финансовых ресурсов для осуществления этого закона и создание системы гарантий и комплексной защиты прав детей и подростков на национальном, провинциальном и муниципальном уровнях. 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 xml:space="preserve">Комплексные политика и стратегия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7.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Комитет, принимая к сведению различные секторальные планы по поощрению прав детей, обращается к государству-участнику с призывом ускорить выработку комплексной политики и стратегии поощрения, защиты и осуществления прав детей и подростков во всех областях, охватываемых Конвенцией, на национальном, провинциальном и муниципальном уровнях, как это было рекомендовано ранее. Он также рекомендует государству-участнику интегрировать права детей в свои стратегические планы и планы развития.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Координация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8.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Отмечая, что Национальный совет по оказанию комплексной помощи в раннем детстве и Национальный секретариат по делам детей, молодежи и семьи работают под руководством Министерства социального развития, и приветствуя усилия по децентрализации последнего, Комитет ссылается на свои предыдущие заключительные замечания (см. CRC/C/PAN/CO/3-4, пункт 12) и обращается к государству-участнику с настоятельным призывом объединить обе эти структуры в единый межведомственный орган высокого уровня с четко определенным мандатом и достаточными полномочиями для координации деятельности, связанной с осуществлением прав всех детей, на межведомственном, национальном, провинциальном и муниципальном уровнях. Комитет также повторяет адресованную государству-участнику рекомендацию обеспечить упомянутый координационный орган кадровыми, техническими и финансовыми ресурсами, необходимыми для его эффективной деятельности.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Распределение ресурсов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9.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Будучи обеспокоен недостаточностью мер, принимаемых государством-участником для того, чтобы использовать экономический рост во благо детей, особенно тех детей, которые находятся в неблагоприятном или уязвимом </w:t>
      </w:r>
      <w:r w:rsidRPr="003518CC">
        <w:rPr>
          <w:b/>
          <w:spacing w:val="0"/>
          <w:w w:val="100"/>
        </w:rPr>
        <w:lastRenderedPageBreak/>
        <w:t>положении, Комитет, ссылаясь на свое замечание общего порядка № 19 (2016) о государственных бюджетных ассигнованиях для осуществления прав детей, рекомендует государству-участнику отразить проблематику прав детей в бюджетном процессе на национальном и провинциальном уровнях, в том числе посредством: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проведения всеобъемлющей оценки бюджетных потребностей всех детей на центральном и муниципальном уровнях с учетом их возраста, гендерной принадлежности и степени уязвимости;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 xml:space="preserve">включения в бюджет отдельных детских статей и конкретно статей по детям, находящимся в уязвимом положении, и выделения государственных средств на недискриминационной основе;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>разработки конкретных показателей и системы контроля за выделением и использованием бюджетных ресурсов на нужды детей в целях мониторинга и оценки адекватности, эффективности и справедливости распределения ресурсов, выделяемых на осуществление Конвенции. Система контроля должна использоваться для оценки отдачи от инвестиций в тот или иной сектор с точки зрения наилучшего обеспечения интересов ребенка и измерения различий в степени такой отдачи от инвестиций для девочек и мальчиков;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борьбы с уклонением от уплаты налогов для обеспечения того, чтобы дети в полной мере пользовались плодами экономического развития государства-участника, а также обеспечения транспарентности и коллегиальности бюджетного процесса и интеграции в него детей;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>укрепления институционального потенциала для эффективного выявления и расследования случаев коррупции, а также привлечения к ответственности виновных и повышения прозрачности и подотчетности в сфере государственного финансирования во всех секторах и на всех уровнях в соответствии с задачей 16.5 Целей в области устойчивого развития, предусматривающей существенное сокращение масштабов коррупции;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f)</w:t>
      </w:r>
      <w:r w:rsidRPr="003518CC">
        <w:rPr>
          <w:b/>
          <w:spacing w:val="0"/>
          <w:w w:val="100"/>
        </w:rPr>
        <w:tab/>
        <w:t xml:space="preserve">в тех случаях, когда это возможно, принятия мер к тому, чтобы следовать рекомендациям Организации Объединенных Наций внедрять бюджетную практику, ориентированную на конкретные результаты, для мониторинга и оценки эффективности выделения ресурсов и, в случае необходимости, прибегать к международному сотрудничеству в этой области по линии Детского фонда Организации Объединенных Наций (ЮНИСЕФ), Программы развития Организации Объединенных Наций и других заинтересованных сторон по примеру других государств-участников в регионе. 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Сбор данных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10.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Комитет выражает сожаление по поводу отсутствия преемственности в функционировании существующих механизмов сбора данных о реализации прав ребенка, и, ссылаясь на свое замечание общего порядка № 5 (2003) об общих мерах по осуществлению Конвенции, рекомендует государству-участнику: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обеспечивать преемственность в процессе сбора сопоставимых дезагрегированных данных, охватывающих все сферы Конвенции, которые должны представляться в разбивке по возрасту, полу, типу инвалидности, географическому местоположению, этническому происхождению и социально-экономическому положению и регулярно обновляться в целях упрощения анализа положения всех детей, особенно тех, которые находятся в уязвимом положении;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обеспечить Национальный институт статистики и переписи населения людскими, техническими и финансовыми ресурсами, необходимыми для выполнения функций центрального органа по сбору данных, непрерывного сбора данных и регулярной публикации отчетов;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lastRenderedPageBreak/>
        <w:tab/>
        <w:t>с)</w:t>
      </w:r>
      <w:r w:rsidRPr="003518CC">
        <w:rPr>
          <w:b/>
          <w:spacing w:val="0"/>
          <w:w w:val="100"/>
        </w:rPr>
        <w:tab/>
        <w:t xml:space="preserve">обеспечивать обмен данными и показателями между соответствующими министерствами и их использование для разработки, мониторинга и оценки политических мер, программ и проектов в интересах эффективного осуществления Конвенции;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в процессе определения, сбора и распространения статистической информации учитывать концептуальные и методологические рамки, изложенные в докладе Управления Верховного комиссара Организации Объединенных Наций по правам человека (УВКПЧ), озаглавленном «Показатели соблюдения прав человека: руководство по количественной оценке и осуществлению».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 xml:space="preserve">Независимый мониторинг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11.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Ссылаясь на свое замечание общего порядка № 2 (2002 год) о роли независимых национальных правозащитных учреждений в деле поощрения и защиты прав ребенка, а также на свои предыдущие заключительные замечания (см. CRC/C/PAN/CO/3-4, пункт 15), Комитет рекомендует обеспечить Специальную группу по делам детей и молодежи при Управлении Омбудсмена людскими, техническими и финансовыми ресурсами, необходимыми для эффективного мониторинга, поощрения и защиты прав ребенка во всех провинциях, для обеспечения работы отделений в провинциях Нгабе-Бугле и Эмбера и для оперативного рассмотрения жалоб, поступающих от детей, с учетом их интересов. Он также рекомендует государству-участнику продолжать принимать меры к тому, чтобы Управление Омбудсмена в полной мере соответствовало требованиям, предъявляемым к статусу национальных учреждений, занимающихся поощрением и защитой прав человека (Парижские принципы).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Распространение информации, повышение уровня осведомленности и</w:t>
      </w:r>
      <w:r>
        <w:rPr>
          <w:spacing w:val="0"/>
          <w:w w:val="100"/>
        </w:rPr>
        <w:t> </w:t>
      </w:r>
      <w:r w:rsidRPr="009D149C">
        <w:rPr>
          <w:spacing w:val="0"/>
          <w:w w:val="100"/>
        </w:rPr>
        <w:t>подготовка кадров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12.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рекомендует государству-участнику повышать уровень осведомленности населения о правах, закрепленных в Конвенции и Факультативных протоколах к ней, в частности путем проведения систематических и непрерывных программ и кампаний по повышению уровня осведомленности конкретно для детей, родителей, а также специалистов, работающих с детьми и в интересах детей, активного привлечения детей к участию в публичных информационно-разъяснительных мероприятиях и активизации работы СМИ в интересах детей. Кроме того, Комитет вновь обращает внимание на свою рекомендацию (см. CRC/C/PAN/CO/3-4, пункт 22), в которой он призвал государственных должностных лиц, особенно на высоком уровне, подавать пример, выступая публично в поддержку прав ребенка как важнейшей части прав человека.</w:t>
      </w:r>
      <w:r w:rsidRPr="009D149C">
        <w:rPr>
          <w:spacing w:val="0"/>
          <w:w w:val="100"/>
        </w:rPr>
        <w:t xml:space="preserve"> 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Сотрудничество с гражданским обществом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13.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напоминает государству-участнику о том, что правозащитники работают в интересах реализации прав детей и что они нуждаются в особой защите. Он настоятельно рекомендует, чтобы неправительственным организациям и их представителям, правозащитникам и журналистам было позволено осуществлять свое право на свободу выражения мнений и убеждений без угроз и преследований. Кроме того, Комитет рекомендует государству-участнику поощрять участие гражданского общества в разработке, осуществлении и мониторинге государственной политики и программ, касающихся прав детей, в том числе за счет повышения доступности процедур регистрации и создания механизмов, помогающих избежать конфликта интересов в процессе взаимодействии между гражданским обществом и правительством.</w:t>
      </w:r>
      <w:r w:rsidRPr="009D149C">
        <w:rPr>
          <w:spacing w:val="0"/>
          <w:w w:val="100"/>
        </w:rPr>
        <w:t xml:space="preserve"> 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lastRenderedPageBreak/>
        <w:tab/>
      </w:r>
      <w:r w:rsidRPr="009D149C">
        <w:rPr>
          <w:spacing w:val="0"/>
          <w:w w:val="100"/>
        </w:rPr>
        <w:tab/>
        <w:t>Права детей и предпринимательская деятельность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14.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В свете своего замечания общего порядка №</w:t>
      </w:r>
      <w:r w:rsidR="00581D66" w:rsidRPr="003518CC">
        <w:rPr>
          <w:b/>
          <w:spacing w:val="0"/>
          <w:w w:val="100"/>
          <w:lang w:val="en-US"/>
        </w:rPr>
        <w:t> </w:t>
      </w:r>
      <w:r w:rsidRPr="003518CC">
        <w:rPr>
          <w:b/>
          <w:spacing w:val="0"/>
          <w:w w:val="100"/>
        </w:rPr>
        <w:t>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принимать меры для предупреждения выселений и перемещения семей и детей из числа коренных народов, обеспечивать, чтобы политика, проекты и практика по вопросам развития и управления земельными ресурсами, в том числе те, которые могут повлечь за собой переселение, соответствовали применимым международным стандартам и предоставлять возмещение тем семьям и детям, которые были выселены или перемещены со своих земель, в том числе затронутым проектом строительства плотины Барро Бланко на реке Табасара;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применять без каких-либо изъятий положения Закон</w:t>
      </w:r>
      <w:r w:rsidR="007E47FF">
        <w:rPr>
          <w:b/>
          <w:spacing w:val="0"/>
          <w:w w:val="100"/>
        </w:rPr>
        <w:t>а № 81 от 2 </w:t>
      </w:r>
      <w:r w:rsidRPr="003518CC">
        <w:rPr>
          <w:b/>
          <w:spacing w:val="0"/>
          <w:w w:val="100"/>
        </w:rPr>
        <w:t>августа 2016 года, в котором устанавливается требование в отношении проведения консультаций с коренными народами и получения их свободного, предварительного и осознанного согласия, а также привлекать детей к консультациям при рассмотрении законодательных или административных мер, которые затрагивают их коллективные права;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>гарантировать полное раскрытие информации о связанных с окружающей средой, здоровьем и правами человека последствиях планируемых проектов и мероприятий, а также о планах по их устранению, а также обеспечить последовательное рассмотрение результатов оценки последствий инвестиционных проектов для окружающей среды;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создать четкую нормативно-правовую базу для проектов в сфере энергетики, горной добычи, агропромышленного производства, туризма и других инвестиционных проектов, банков и компаний, работающих в государстве-участнике, а также для панамских компаний, работающих за рубежом, с тем чтобы их деятельность не оказывала негативного воздействия на права детей и не нарушала экологические и другие стандарты;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>сотрудничать с Национальным советом частных предприятий и Ассоциацией поощрения социальной корпоративной ответственности, с тем чтобы добиваться эффективного осуществления компаниями – особенно банками и промышленными и туристическими компаниями – международных и национальных стандартов, касающихся обеспечения прав детей, охраны окружающей среды и здоровья населения, а также гарантировать, что оно будет требовать получения соответствующей международной сертификации. Кроме того, эффективно контролировать соблюдение этих стандартов, надлежащим образом наказывать нарушителей и обеспечивать правовую защиту в случае таких нарушений;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f)</w:t>
      </w:r>
      <w:r w:rsidRPr="003518CC">
        <w:rPr>
          <w:b/>
          <w:spacing w:val="0"/>
          <w:w w:val="100"/>
        </w:rPr>
        <w:tab/>
        <w:t xml:space="preserve">разработать и обеспечить применение нормативно-правовой базы, которая была бы конкретно направлена на предупреждение и искоренение сексуальной эксплуатации детей в сфере путешествий и туризма, устанавливала бы уголовную ответственность за такую эксплуатацию и предусматривала наказания, соразмерные тяжести преступления;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g)</w:t>
      </w:r>
      <w:r w:rsidRPr="003518CC">
        <w:rPr>
          <w:b/>
          <w:spacing w:val="0"/>
          <w:w w:val="100"/>
        </w:rPr>
        <w:tab/>
        <w:t>принимать надлежащие превентивные меры для борьбы с сексуальной эксплуатацией детей в индустрии путешествий и туризма, в том числе в рамках соглашения между Национальной комиссией по предотвращению сексуальной эксплуатации в коммерческих целях и Панамской гостиничной ассоциацией, вести работу по повышению уровня информированности с целью изменения отношения к этому явлению, поощрять придачу огласке подобных случаев и обеспечить широкое распространение Туристической хартии чести и Глобального этического кодекса туризма Всемирной туристской организации среди турагентств, работающих в индустрии туризма.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lastRenderedPageBreak/>
        <w:tab/>
        <w:t>B.</w:t>
      </w:r>
      <w:r w:rsidRPr="009D149C">
        <w:rPr>
          <w:spacing w:val="0"/>
          <w:w w:val="100"/>
        </w:rPr>
        <w:tab/>
        <w:t>Общие принципы (статьи 2, 3, 6 и 12)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Запрет дискриминации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15.</w:t>
      </w:r>
      <w:r w:rsidRPr="009D149C">
        <w:rPr>
          <w:spacing w:val="0"/>
          <w:w w:val="100"/>
        </w:rPr>
        <w:tab/>
        <w:t>Комитет вновь выражает свою обеспокоенность (см. CRC/C/PAN/CO/3-4, пункт</w:t>
      </w:r>
      <w:r>
        <w:rPr>
          <w:spacing w:val="0"/>
          <w:w w:val="100"/>
        </w:rPr>
        <w:t> </w:t>
      </w:r>
      <w:r w:rsidRPr="009D149C">
        <w:rPr>
          <w:spacing w:val="0"/>
          <w:w w:val="100"/>
        </w:rPr>
        <w:t>33) сохранением неравного положения детей афро</w:t>
      </w:r>
      <w:r w:rsidR="003645EE">
        <w:rPr>
          <w:spacing w:val="0"/>
          <w:w w:val="100"/>
        </w:rPr>
        <w:t>-</w:t>
      </w:r>
      <w:r w:rsidRPr="009D149C">
        <w:rPr>
          <w:spacing w:val="0"/>
          <w:w w:val="100"/>
        </w:rPr>
        <w:t>панамского происхождения, детей из числа коренных народов и детей-инвалидов в отношении доступа к здравоохранению, образованию и другим базовым услугам, о чем свидетельствует более высокая младенческая смертность в этих группах, особенно от поддающихся профилактике болезней, недоедание, материнская смертность и отсев учащихся из школ. Он также серьезно обеспокоен дискриминацией сотрудниками полиции и других силовых структур афро</w:t>
      </w:r>
      <w:r w:rsidR="003645EE">
        <w:rPr>
          <w:spacing w:val="0"/>
          <w:w w:val="100"/>
        </w:rPr>
        <w:t>-</w:t>
      </w:r>
      <w:r w:rsidRPr="009D149C">
        <w:rPr>
          <w:spacing w:val="0"/>
          <w:w w:val="100"/>
        </w:rPr>
        <w:t xml:space="preserve">панамских детей, проживающих в городских трущобах, которых неправомерно считают потенциальными правонарушителями, что проявляется в таких мерах, как введение комендантского часа для детей и проведение кампаний в средствах массовой информации, увязывающих якобы имеющий место рост преступности с поведением подростков.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16.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ссылается на свои предыдущие заключительные замечания (см. CRC/C/PAN/CO/3-4, пункт 34) и в соответствии со своим замечанием общего порядка № 20 (2016) об осуществлении прав ребенка в подростковом возрасте рекомендует государству-участнику выделять достаточные людские, технические и финансовые ресурсы для осуществления межучрежденческого стратегического плана для молодежи на 2015</w:t>
      </w:r>
      <w:r w:rsidR="00581D66" w:rsidRPr="003518CC">
        <w:rPr>
          <w:b/>
          <w:spacing w:val="0"/>
          <w:w w:val="100"/>
        </w:rPr>
        <w:t>–</w:t>
      </w:r>
      <w:r w:rsidRPr="003518CC">
        <w:rPr>
          <w:b/>
          <w:spacing w:val="0"/>
          <w:w w:val="100"/>
        </w:rPr>
        <w:t xml:space="preserve">2019 годы, работать над популяризацией этого плана и усилить следующие меры: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поощрять разработку кодекса поведения для сотрудников средств массовой информации и журналистов, а также расширять их возможности по освещению жизни подростков как правообладателей;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обеспечить непрерывный надзор за тем, как изображают детей и подростков средства массовой информации, со стороны Наблюдательного механизма по вопросам защиты прав детей и подростков и Национального совета журналистики;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с)</w:t>
      </w:r>
      <w:r w:rsidRPr="003518CC">
        <w:rPr>
          <w:b/>
          <w:spacing w:val="0"/>
          <w:w w:val="100"/>
        </w:rPr>
        <w:tab/>
        <w:t>прилагать максимум усилий для борьбы с негативными стереотипами, увязывающими преступность с афро</w:t>
      </w:r>
      <w:r w:rsidR="003645EE" w:rsidRPr="003518CC">
        <w:rPr>
          <w:b/>
          <w:spacing w:val="0"/>
          <w:w w:val="100"/>
        </w:rPr>
        <w:t>-</w:t>
      </w:r>
      <w:r w:rsidRPr="003518CC">
        <w:rPr>
          <w:b/>
          <w:spacing w:val="0"/>
          <w:w w:val="100"/>
        </w:rPr>
        <w:t>панамскими и другими подростками, в том числе с их возрастными и этническими характеристиками, и, в частности, уделять больше внимания в подготовке сотрудников полиции правам всех детей;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обеспечить принятие эффективных мер в связи со всеми случаями дискриминации детей, в том числе путем распространения в доступных форматах информации о том, что представляет собой дискриминация, применять дисциплинарные, административные или, при необходимости, уголовные меры наказания, а также предоставить детям возможность получать доступ к психосоциальной и правовой помощи в случае дискриминации;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>привлекать внимание к тому, что подростки являются правообладателями, в том числе в рамках кампаний, разработанных при широком участии подростков и проводимых в средствах массовой информации. Уделять в рамках таких кампаний особое внимание детям и подросткам афро</w:t>
      </w:r>
      <w:r w:rsidR="00036F5D" w:rsidRPr="003518CC">
        <w:rPr>
          <w:b/>
          <w:spacing w:val="0"/>
          <w:w w:val="100"/>
        </w:rPr>
        <w:t>-</w:t>
      </w:r>
      <w:r w:rsidRPr="003518CC">
        <w:rPr>
          <w:b/>
          <w:spacing w:val="0"/>
          <w:w w:val="100"/>
        </w:rPr>
        <w:t>панамского происхождения и принадлежащих к коренным народам, беременным девушкам, детям-инвалидам, детям с ВИЧ/СПИДом, а также лесбиянкам, гомосексуалистам, бисексуалам, трансгендерам и интерсексуалам из числа детей, детям-беженцам и детям, ищущим убежище, и другим группам детей, находящихся в маргинализированном положении.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Уважение взглядов ребенка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17.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принимает к сведению создание двух советов по делам детей и подростков в муниципалитетах, рекомендует государству-участнику активизировать усилия, с тем чтобы в соответствии со своим замечанием общего порядка №</w:t>
      </w:r>
      <w:r w:rsidRPr="003518CC">
        <w:rPr>
          <w:b/>
          <w:spacing w:val="0"/>
          <w:w w:val="100"/>
          <w:lang w:val="en-US"/>
        </w:rPr>
        <w:t> </w:t>
      </w:r>
      <w:r w:rsidRPr="003518CC">
        <w:rPr>
          <w:b/>
          <w:spacing w:val="0"/>
          <w:w w:val="100"/>
        </w:rPr>
        <w:t xml:space="preserve">12 (2009) о праве ребенка быть заслушанным должным образом </w:t>
      </w:r>
      <w:r w:rsidRPr="003518CC">
        <w:rPr>
          <w:b/>
          <w:spacing w:val="0"/>
          <w:w w:val="100"/>
        </w:rPr>
        <w:lastRenderedPageBreak/>
        <w:t xml:space="preserve">учитывать мнения детей и подростков при принятии касающихся их решений, и предлагает ему: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оказывать на всей территории государства-участника надлежащую поддержку всем муниципалитетам в создании советов по делам детей и подростков, с тем чтобы они могли проводить консультации с детьми и подростками по всем затрагивающим их вопросам и должным образом учитывать их мнения;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придать встрече «детского парламента» статус регулярного мероприятия, увязав ее с Программой молодежных ассамблей. Обеспечить, чтобы эти механизмы имели реальный мандат и были наделены достаточными людскими, техническими и финансовыми ресурсами и чтобы в них могли принимать полноценное участие дети из общин коренных народов и афропанамцев, беременные девочки, дети-инвалиды, дети, инфицированные ВИЧ/СПИДом, лесбиянки, гомосексуалисты, бисексуалы, трансгендеры и интерсексуалы из числа детей, а также дети-беженцы, дети, ищущие убежище, и другие группы детей, находящихся в уязвимом положении, мнение которых должно приниматься во внимание при формулировании повестки дня законотворческой деятельности и в процессе разработки национальных стратегий;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>проводить исследования для выяснения того, насколько мнения детей и подростков учитываются при принятии семейных решений, затрагивающих их жизнь, и по каким каналам они могут сегодня или в перспективе оказывать наибольшее влияние на принимаемые на национальном и местном уровнях решения;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проводить работу по определению методики проведения регулярных консультаций с общественностью по вопросам разработки национальной политики, примером которой может служить исследование ЮНИСЕФ «Голос подростков», с тем чтобы стандартизировать такие консультации на более высоком уровне инклюзивности и участия;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 xml:space="preserve">разрабатывать для социальных работников и судов системы и/или процедуры обеспечения соблюдения права детей быть заслушанными;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f)</w:t>
      </w:r>
      <w:r w:rsidRPr="003518CC">
        <w:rPr>
          <w:b/>
          <w:spacing w:val="0"/>
          <w:w w:val="100"/>
        </w:rPr>
        <w:tab/>
        <w:t>проводить программы и мероприятия по повышению уровня информированности для содействия полноценному и реальному участию всех детей в жизни семьи, общины и школы, в том числе в рамках студенческих и ученических советов, уделяя особое внимание детям, находящимся в уязвимом положении.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C.</w:t>
      </w:r>
      <w:r w:rsidRPr="009D149C">
        <w:rPr>
          <w:spacing w:val="0"/>
          <w:w w:val="100"/>
        </w:rPr>
        <w:tab/>
        <w:t>Гражданские права и свободы (статьи 7, 8 и 13–17)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 xml:space="preserve">Регистрация рождения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18.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Приветствуя целенаправленные усилия по преодолению ситуации неполной регистрации жителей, представляющих коренные народы и проживающих в отдаленных районах, и принимая во внимание задачу 16.9 Целей в области устойчивого развития (обеспечить наличие у всех людей законных удостоверений личности, включая свидетельства о рождении), Комитет обращается к государству-участнику с настоятельным призывом продолжать усилия по обеспечению того, чтобы все дети, включая детей из числа коренных народов, детей-беженцев и детей родителей-мигрантов, должным образом регистрировались при рождении. Комитет также рекомендует пересмотреть требование к подросткам начиная с 12-летнего возраста всегда иметь при себе новое молодежное удостоверение личности, с тем чтобы это требование не становилось причиной произвольного задержания каких бы то ни было групп подростков.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lastRenderedPageBreak/>
        <w:tab/>
      </w:r>
      <w:r w:rsidRPr="009D149C">
        <w:rPr>
          <w:spacing w:val="0"/>
          <w:w w:val="100"/>
        </w:rPr>
        <w:tab/>
        <w:t>Свобода ассоциации и мирных собраний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19.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Будучи обеспокоен сохранением комендантского часа для детей и последствиями для них его недавнего распространения с провинции Панамы на провинции Чирики, Колон и Западная Панама, Комитет вновь обращает внимание на свои предыдущие заключительные замечания (см. CRC/C/PAN/</w:t>
      </w:r>
      <w:r w:rsidR="003518CC">
        <w:rPr>
          <w:b/>
          <w:spacing w:val="0"/>
          <w:w w:val="100"/>
        </w:rPr>
        <w:br/>
      </w:r>
      <w:r w:rsidRPr="003518CC">
        <w:rPr>
          <w:b/>
          <w:spacing w:val="0"/>
          <w:w w:val="100"/>
        </w:rPr>
        <w:t>CO/3-4, пункты 41 и 42) и, подтверждая, что, по его убеждению, мер</w:t>
      </w:r>
      <w:r w:rsidR="00036F5D" w:rsidRPr="003518CC">
        <w:rPr>
          <w:b/>
          <w:spacing w:val="0"/>
          <w:w w:val="100"/>
        </w:rPr>
        <w:t>ы</w:t>
      </w:r>
      <w:r w:rsidRPr="003518CC">
        <w:rPr>
          <w:b/>
          <w:spacing w:val="0"/>
          <w:w w:val="100"/>
        </w:rPr>
        <w:t xml:space="preserve"> по введению комендантского часа для детей идут вразрез с положениями Конвенции, настоятельно призывает их немедленно отменить.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20.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Кроме того, Комитет рекомендует государству-участнику вернуть разрешение на создание студенческих групп, с тем чтобы в соответствии со статьей 15 Конвенции предоставить подросткам право на мирные собрания.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D.</w:t>
      </w:r>
      <w:r w:rsidRPr="009D149C">
        <w:rPr>
          <w:spacing w:val="0"/>
          <w:w w:val="100"/>
        </w:rPr>
        <w:tab/>
        <w:t>Насилие в отношении детей (статьи 19, 24 (пункт 3), 28 (пункт 2), 34, 37 (пункт a)) и 39)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Телесные наказания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21.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выражает обеспокоенность по поводу содержащейся в докладе государства-участника информации о том, что 44,9% детей в возрасте до 14 лет сталкивались в 2013 году с той или иной формой дисциплинарного физического воздействия и, 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на свои предыдущие заключительные замечания (см. CRC/C/PAN/CO/3-4, пункт 46) и на обязательства, взятые на себя государством-участником в рамках обоих циклов универсального периодического обзора, обращается к нему с настоятельным призывом: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внести поправки в статьи 319 и 443 Семейного кодекса и четко запретить в законодательном и административном порядке применение телесных наказаний где бы то ни было, а именно в школах, в учреждениях по уходу за детьми, в том числе в дошкольных детских учреждениях, в условиях альтернативного ухода, в семье и в центрах содержания под стражей для несовершеннолетних;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активизировать работу по повышению осведомленности родителей, специалистов, работающих с детьми, и широких слоев населения о вреде телесных наказаний и поощрять позитивные, ненасильственные и основанные на участии детей методы воспитания и поддержания дисциплины;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с)</w:t>
      </w:r>
      <w:r w:rsidRPr="003518CC">
        <w:rPr>
          <w:b/>
          <w:spacing w:val="0"/>
          <w:w w:val="100"/>
        </w:rPr>
        <w:tab/>
        <w:t>обратиться в этой связи за техническим содействием к ЮНИСЕФ, в частности в целях разработки школьных программ, уважающих детей.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Насилие, жестокое обращение, отсутствие заботы и сексуальная эксплуатация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22.</w:t>
      </w:r>
      <w:r w:rsidRPr="009D149C">
        <w:rPr>
          <w:spacing w:val="0"/>
          <w:w w:val="100"/>
        </w:rPr>
        <w:tab/>
        <w:t>Комитет выражает тревогу в связи с содержащейся в письменных ответах государства-участника на перечень вопросов информацией о том, что в период между 2014 и 2018 годами 9</w:t>
      </w:r>
      <w:r>
        <w:rPr>
          <w:spacing w:val="0"/>
          <w:w w:val="100"/>
        </w:rPr>
        <w:t> </w:t>
      </w:r>
      <w:r w:rsidRPr="009D149C">
        <w:rPr>
          <w:spacing w:val="0"/>
          <w:w w:val="100"/>
        </w:rPr>
        <w:t>656 детей стали жертвами жестокого обращения и отсутствия заботы, а 10</w:t>
      </w:r>
      <w:r>
        <w:rPr>
          <w:spacing w:val="0"/>
          <w:w w:val="100"/>
        </w:rPr>
        <w:t> </w:t>
      </w:r>
      <w:r w:rsidRPr="009D149C">
        <w:rPr>
          <w:spacing w:val="0"/>
          <w:w w:val="100"/>
        </w:rPr>
        <w:t>466 детей в период с 2015 по 2017 год подвергались посягательствам на их сексуальную свободу и неприкосновенность, а также в связи с тем фактом, что эти цифры из года в год растут. Приветствуя продление мандата Национального межведомственного комитета по предупреждению насилия в отношении детей и молодежи, он выражает обеспокоенность по поводу сохраняющегося отсутствия всеобъемлющего национального механизма сбора данных о насилии в отношении детей и стратегического подхода к решению этой проблемы. Комитет также обеспокоен нехваткой услуг и персонала для обеспечения полного восстановления и реабилитации детей, ставших жертвами насилия.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23.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Ссылаясь на свое замечание общего порядка № 13 (2011) о праве ребенка на свободу от всех форм насилия и принимая во внимание задачу 16.2 Целей в области устойчивого развития, состоящую в том, чтобы положить конец </w:t>
      </w:r>
      <w:r w:rsidRPr="003518CC">
        <w:rPr>
          <w:b/>
          <w:spacing w:val="0"/>
          <w:w w:val="100"/>
        </w:rPr>
        <w:lastRenderedPageBreak/>
        <w:t>надругательствам, эксплуатации, торговле и всем формам насилия и пыткам в отношении детей, Комитет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 xml:space="preserve">продолжать привлекать внимание к проблеме бытового насилия и путям его предотвращения, а также к случаям жестокого обращения с детьми и сексуального надругательства над ними, а также вести борьбу со стигматизацией детей, ставших жертвами насилия, сексуальной эксплуатации и надругательств. Такая работа по повышению уровня информированности должна быть направлена на борьбу с гендерными аспектами насилия, и к ней должны привлекаться бывшие жертвы, добровольцы и представители общин;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разработать доступные, конфиденциальные, учитывающие интересы ребенка и эффективные механизмы, процедуры и руководящие принципы, которые позволяли бы пролить свет на случаи сексуальной эксплуатации и сексуальных надругательств, в том числе в школах и в государственных учреждениях;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 xml:space="preserve">создать общенациональную базу данных о всех случаях насилия в отношении детей, в том числе бытового и сексуального насилия, и провести всестороннюю оценку масштабов, причин и характера такого насилия;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обеспечить специальное правозащитное подразделение Национального секретариата по делам детей, молодежи и семьи достаточными людскими, техническими и финансовыми ресурсами, с тем чтобы оно могло комплексно подходить к работе по реабилитации жертв из числа детей, оказывать им эффективную психологическую поддержку и расследовать предполагаемые случаи надругательств, жестокого обращения и насилия;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>принять необходимые меры к тому, чтобы Национальный межведомственный комитет по предупреждению насилия в отношении детей и молодежи мог в консультациях с гражданским обществом, детьми и подростками разработать национальную стратегию предотвращения и искоренения всех форм насилия в отношении детей и жестокого обращения с детьми. Эта стратегия должна быть направлена на устранение коренных причин такого насилия и основываться на программах на уровне общин с привлечением бывших жертв, добровольцев и членов общин.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Вредная практика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24.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В свете своего замечания общего порядка № 18 (2014) по вредной практике, принятого совместно с Комитетом по ликвидации дискриминации в отношении женщин, Комитет обращается к государству-участнику с настоятельным призывом: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привлекать внимание к пагубным последствиям практики сожительства девочек с мужчинами более старшего возраста, в особенности к ранней беременности и ее последствиям для физического и психического здоровья и благополучия девочек;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расследовать возможность существования практики калечащих операций на женских половых органах среди коренного населения в районах, граничащих с колумбийским побережьем, и</w:t>
      </w:r>
      <w:r w:rsidR="00F11AA4" w:rsidRPr="003518CC">
        <w:rPr>
          <w:b/>
          <w:spacing w:val="0"/>
          <w:w w:val="100"/>
        </w:rPr>
        <w:t>,</w:t>
      </w:r>
      <w:r w:rsidRPr="003518CC">
        <w:rPr>
          <w:b/>
          <w:spacing w:val="0"/>
          <w:w w:val="100"/>
        </w:rPr>
        <w:t xml:space="preserve"> если будет доказано существование такой практики на территории государства-участника, принять необходимые меры к ее искоренению.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Телефоны доверия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25.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вновь обращает внимание на свои предыдущие заключительные замечания (см. CRC/C/PAN/CO/3-4, пункт 73) и рекомендует государству-участнику принять адекватные меры для обеспечения доступности телефона доверия «147» и других телефонных служб помощи для всех детей на всей территории государства-участника круглосуточно 7 дней в неделю. Кроме того, Комитет рекомендует государству-участнику поощрять информированность детей о том, как они могут воспользоваться такими телефонами доверия.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lastRenderedPageBreak/>
        <w:tab/>
        <w:t>E.</w:t>
      </w:r>
      <w:r w:rsidRPr="009D149C">
        <w:rPr>
          <w:spacing w:val="0"/>
          <w:w w:val="100"/>
        </w:rPr>
        <w:tab/>
        <w:t xml:space="preserve">Семейное окружение и альтернативный уход </w:t>
      </w:r>
      <w:r>
        <w:rPr>
          <w:spacing w:val="0"/>
          <w:w w:val="100"/>
        </w:rPr>
        <w:br/>
      </w:r>
      <w:r w:rsidRPr="009D149C">
        <w:rPr>
          <w:spacing w:val="0"/>
          <w:w w:val="100"/>
        </w:rPr>
        <w:t>(статьи 5, 9–11, 18 (пункты 1 и 2), 20, 21, 25 и 27 (пункт 4))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 xml:space="preserve">Дети, лишенные семейного окружения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26.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приложение), Комитет подчеркивает, что финансовая и материальная нужда либо обстоятельства, прямо и однозначно обусловленные такой нуждой, никак не могут служить единственным основанием для изъятия ребенка из-под родительской опеки, помещения ребенка в условия альтернативного ухода либо воспрепятствования его социальной реинтеграции. В этой связи Комитет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исходя из нужд и принципа наилучшего обеспечения интересов детей, разработать адекватные гарантии и четкие критерии для оценки необходимости помещения ребенка в условия альтернативного ухода;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активизировать усилия, с тем чтобы быстрее сокращать число детей, воспитывающихся в специализированных учреждениях, в том числе путем выделения достаточных людских, технических и финансовых ресурсов с целью сокращения задержек в проведении расследований и в обработке документации, распространения процесса деинституционализации на государственные учреждения, поощрения приемных семей к усыновлению детей независимо от их возраста или инвалидности, а также подготовки соответствующих семей и оказания им необходимой поддержки в целях надлежащего ухода за детьми-инвалидами;</w:t>
      </w:r>
    </w:p>
    <w:p w:rsidR="009D149C" w:rsidRPr="003518CC" w:rsidRDefault="009D149C" w:rsidP="009D149C">
      <w:pPr>
        <w:pStyle w:val="SingleTxtGR"/>
        <w:keepLines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с)</w:t>
      </w:r>
      <w:r w:rsidRPr="003518CC">
        <w:rPr>
          <w:b/>
          <w:spacing w:val="0"/>
          <w:w w:val="100"/>
        </w:rPr>
        <w:tab/>
        <w:t>активизировать усилия по ознакомлению персонала приютов с Порядком обращения с детьми, оставшимися без попечения родителей, в приютах, а также выделять достаточные людские, технические и финансовые ресурсы для мониторинга хода его осуществления;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ускорить работу по приведению приютов в соответствие с требованиями;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>обеспечить надлежащее регулирование системы патронатного ухода и в полной мере осуществлять программу патронатного ухода.</w:t>
      </w:r>
      <w:r w:rsidRPr="009D149C">
        <w:rPr>
          <w:spacing w:val="0"/>
          <w:w w:val="100"/>
        </w:rPr>
        <w:t xml:space="preserve"> 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 xml:space="preserve">Усыновление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27.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рекомендует государству-участнику привлекать организации гражданского общества к пересмотру положений Закона об усыновлении/</w:t>
      </w:r>
      <w:r w:rsidR="003518CC">
        <w:rPr>
          <w:b/>
          <w:spacing w:val="0"/>
          <w:w w:val="100"/>
        </w:rPr>
        <w:br/>
      </w:r>
      <w:r w:rsidRPr="003518CC">
        <w:rPr>
          <w:b/>
          <w:spacing w:val="0"/>
          <w:w w:val="100"/>
        </w:rPr>
        <w:t>удочерении и обеспечить его полное соответствие положениям Конвенции о правах ребенка и Гаагской конвенции о защите детей и сотрудничестве в области международного усыновления (удочерения) 1993 года.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F.</w:t>
      </w:r>
      <w:r w:rsidRPr="009D149C">
        <w:rPr>
          <w:spacing w:val="0"/>
          <w:w w:val="100"/>
        </w:rPr>
        <w:tab/>
        <w:t>Инвалидность, базовое медицинское обслуживание и социальное обеспечение (статьи 6, 18 (пункт 3), 23, 24, 26, 27 (пункты 1–3) и 33)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Дети-инвалиды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28.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Приветствуя принятие Национального стратегического плана по проблеме инвалидности на 2015−2019 годы Комитет, ссылаясь на свое замечание общего порядка № 9 (2006) о правах детей-инвалидов,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 xml:space="preserve">усилить меры по развитию инклюзивного образования, в том числе путем выделения достаточных финансовых ресурсов на их осуществление, увеличения числа получивших специальную подготовку квалифицированных преподавателей-специалистов для ведения занятий в инклюзивных классах в сельских районах и районах проживания коренного населения и обеспечения </w:t>
      </w:r>
      <w:r w:rsidRPr="003518CC">
        <w:rPr>
          <w:b/>
          <w:spacing w:val="0"/>
          <w:w w:val="100"/>
        </w:rPr>
        <w:lastRenderedPageBreak/>
        <w:t>того, чтобы инклюзивному образованию отдавался приоритет над помещением детей в специализированные учреждения и классы;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наращивать усилия по предоставлению всем детям-инвалидам доступа к надлежащему жилью, гарантируя им физическую безопасность, достаточное пространство, защиту от угроз здоровью и от структурных опасностей, в том числе от холода, сырости, жары и загрязнения, а также физическую доступность жилья;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>незамедлительно принять меры для обеспечения доступа детей-инвалидов к медицинскому обслуживанию на всей территории страны, в том числе к программам ранней диагностики и медицинского вмешательства, а также к социальным услугам;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проводить кампании по повышению уровня информированности, ориентированные на государственных служащих, широкую общественность и семьи, в целях борьбы со стигматизацией и предрассудками в отношении детей-инвалидов и поощрения формирования позитивных представлений о таких детях</w:t>
      </w:r>
      <w:r w:rsidR="00831189" w:rsidRPr="003518CC">
        <w:rPr>
          <w:b/>
          <w:spacing w:val="0"/>
          <w:w w:val="100"/>
        </w:rPr>
        <w:t>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>разработать механизмы поддержки семей, с тем чтобы семьи могли помогать детям-инвалидам осуществлять свои права, в том числе механизмы поддержки женщин, находящихся в заключении, которые несут ответственность за воспитание детей-инвалидов;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f)</w:t>
      </w:r>
      <w:r w:rsidRPr="003518CC">
        <w:rPr>
          <w:b/>
          <w:spacing w:val="0"/>
          <w:w w:val="100"/>
        </w:rPr>
        <w:tab/>
        <w:t>активизировать пропаганду основанного на уважении прав человека подхода к оказанию услуг детям-инвалидам в рамках всех государственных стратегий и программ.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Здравоохранение и медицинское обслуживание</w:t>
      </w:r>
    </w:p>
    <w:p w:rsidR="009D149C" w:rsidRPr="003518CC" w:rsidRDefault="009D149C" w:rsidP="009D149C">
      <w:pPr>
        <w:pStyle w:val="SingleTxtGR"/>
        <w:keepLines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29.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Со ссылкой на свое замечание общего порядка № 15 (2013) о праве ребенка на пользование наиболее совершенными услугами системы здравоохранения и с учетом задачи 3.8 Целей в области устойчивого развития, касающейся обеспечения всеобщего охвата услугами здравоохранения, Комитет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усиливать меры, призванные гарантировать доступ к качественному медицинскому обслуживанию в регионах и общинах с самыми низкими показателями охвата, с тем чтобы исправить глубокое неравенство в стандартах обслуживания, в частности путем предоставления детям-представителям коренных народов доступа к услугам охраны здоровья на родном языке с учетом их культурной специфики;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активизировать работу по оказанию услуг дородового и послеродового ухода с целью снижения высоких показателей смертности младенцев и детей в возрасте до пяти лет, а также показателей материнской смертности, которые являются по-прежнему высокими;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с)</w:t>
      </w:r>
      <w:r w:rsidRPr="003518CC">
        <w:rPr>
          <w:b/>
          <w:spacing w:val="0"/>
          <w:w w:val="100"/>
        </w:rPr>
        <w:tab/>
        <w:t>поощрять оказание поддержки на рабочих местах матерям в связи с их беременностью и распределение обязанностей по уходу за детьми между отцами и матерями, а также гарантировать доступ к реальным и доступным услугам по уходу за детьми;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активизировать работу по популяризации и полномасштабному применению Международного свода правил по сбыту заменителей грудного молока, и следить за тем, чтобы клиники и больницы следовали предписаниям «Десяти шагов к успешному грудному вскармливанию»;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>укрепить Национальную комиссию по поощрению грудного вскармливания и поддержке матерей, дополнив ее консультативными структурами;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lastRenderedPageBreak/>
        <w:tab/>
        <w:t>f)</w:t>
      </w:r>
      <w:r w:rsidRPr="003518CC">
        <w:rPr>
          <w:b/>
          <w:spacing w:val="0"/>
          <w:w w:val="100"/>
        </w:rPr>
        <w:tab/>
        <w:t xml:space="preserve">принимать конкретные меры для распространения информации и обеспечения доступа к специальным услугам для детей, </w:t>
      </w:r>
      <w:r w:rsidR="00831189" w:rsidRPr="003518CC">
        <w:rPr>
          <w:b/>
          <w:spacing w:val="0"/>
          <w:w w:val="100"/>
        </w:rPr>
        <w:t>инфицированных</w:t>
      </w:r>
      <w:r w:rsidRPr="003518CC">
        <w:rPr>
          <w:b/>
          <w:spacing w:val="0"/>
          <w:w w:val="100"/>
        </w:rPr>
        <w:t xml:space="preserve"> вирусом Зика, во всех регионах страны, а также не допускать их дискриминации;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g)</w:t>
      </w:r>
      <w:r w:rsidRPr="003518CC">
        <w:rPr>
          <w:b/>
          <w:spacing w:val="0"/>
          <w:w w:val="100"/>
        </w:rPr>
        <w:tab/>
        <w:t>регулярно отслеживать и оценивать эффективность стратегий и программ по вопросам продовольственной безопасности и питания детей, в том числе программ школьного питания и инициатив, направленных на расширение доступа к безопасной питьевой воде, поощряя инициативы в интересах коренных народов;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h)</w:t>
      </w:r>
      <w:r w:rsidRPr="003518CC">
        <w:rPr>
          <w:b/>
          <w:spacing w:val="0"/>
          <w:w w:val="100"/>
        </w:rPr>
        <w:tab/>
        <w:t>расширять охват программы обеспечения основными санитарными услугами: стопроцентного охвата питьевой водой/уборными, особенно в районах Нгабе-Бугле, Куна де Варганди и Эмбера Воунаан, на территориях, населенных представителями народностей назо и брибри, а также в Ипети, Пириати, Бокас-дель-Торо и Пунта-Лаурель.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Здоровье подростков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30.</w:t>
      </w:r>
      <w:r w:rsidRPr="009D149C">
        <w:rPr>
          <w:spacing w:val="0"/>
          <w:w w:val="100"/>
        </w:rPr>
        <w:tab/>
        <w:t>Комитета выражает обеспокоенность по поводу приостановки обсуждения в Национальной ассамблее законопроекта №</w:t>
      </w:r>
      <w:r w:rsidR="00831189">
        <w:rPr>
          <w:spacing w:val="0"/>
          <w:w w:val="100"/>
        </w:rPr>
        <w:t> </w:t>
      </w:r>
      <w:r w:rsidRPr="009D149C">
        <w:rPr>
          <w:spacing w:val="0"/>
          <w:w w:val="100"/>
        </w:rPr>
        <w:t>61, в котором содержится призыв к проведению комплексной политики в сфере образования, охраны и укрепления здоровья, особенно сексуального и репродуктивного здоровья. Он серьезно обеспокоен тем, что тема сексуального и репродуктивного здоровья конкретно на затрагивается в школах. Отмечая принятие Закона № 60 о беременных подростках и соответствующей «дорожной карты», Комитет по-прежнему обеспокоен тем, что на девочек младше 19</w:t>
      </w:r>
      <w:r>
        <w:rPr>
          <w:spacing w:val="0"/>
          <w:w w:val="100"/>
        </w:rPr>
        <w:t> </w:t>
      </w:r>
      <w:r w:rsidRPr="009D149C">
        <w:rPr>
          <w:spacing w:val="0"/>
          <w:w w:val="100"/>
        </w:rPr>
        <w:t>лет в 2016 году приходилось 18,7</w:t>
      </w:r>
      <w:r>
        <w:rPr>
          <w:spacing w:val="0"/>
          <w:w w:val="100"/>
        </w:rPr>
        <w:t>%</w:t>
      </w:r>
      <w:r w:rsidRPr="009D149C">
        <w:rPr>
          <w:spacing w:val="0"/>
          <w:w w:val="100"/>
        </w:rPr>
        <w:t xml:space="preserve"> зарегистрированных случаев беременности и что уровень дородового обслуживания подростков остается низким. Он также обеспокоен большим числом беременных девочек, бросающих школу, ограниченной доступностью медицинских услуг, учитывающих подростковую специфику, и распространенностью заболеваний, передаваемых половым путем.</w:t>
      </w:r>
    </w:p>
    <w:p w:rsidR="009D149C" w:rsidRPr="003518CC" w:rsidRDefault="009D149C" w:rsidP="009D149C">
      <w:pPr>
        <w:pStyle w:val="SingleTxtGR"/>
        <w:keepNext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31.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Ссылаясь на свое замечание общего порядка № 4 (2003) о здоровье и развитии подростков в контексте Конвенции Комитет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возобновить обсуждение предлагаемого закона о сексуальном и репродуктивном здоровье, с тем чтобы включить тематику сексуального и репродуктивного здоровья с акцентом на подростков в обязательную школьную программу;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взять на вооружение комплексную и учитывающую гендерные факторы коммуникационную стратегию по вопросам сексуального и репродуктивного здоровья, акцентируя внимание на работе с подростками, родителями и обществом в целом, предоставляя бесплатную, конфиденциальную, воспринимаемую подростками и недискриминационную информацию по вопросам сексуального и репродуктивного здоровья как в Интернете, так и в очном порядке и уделяя особое внимание профилактике ранней беременности и инфекционных заболеваний, передаваемых половым путем;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>гарантировать подросткам беспрепятственный доступ к недорогим противозачаточным средствам;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выделять достаточные людские, технические и финансовые ресурсы для Национального совета по оказанию помощи матерям подросткового возраста в целях эффективного осуществления положений Закона № 60 о беременных несовершеннолетних и соответствующей «дорожной карты» и повышать осведомленность о его содержании, в частности о праве беременных девушек на образование;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 xml:space="preserve">полностью отменить уголовную ответственность за аборты, с тем чтобы девочки имели доступ к безопасным услугам по выполнению аборта и уходу после аборта, пересмотреть законодательство в целях наилучшего обеспечения интересов беременных подростков и гарантировать, чтобы они </w:t>
      </w:r>
      <w:r w:rsidRPr="003518CC">
        <w:rPr>
          <w:b/>
          <w:spacing w:val="0"/>
          <w:w w:val="100"/>
        </w:rPr>
        <w:lastRenderedPageBreak/>
        <w:t>всегда могли высказать свое мнение при принятии решений по вопросам абортов, которое должно приниматься во внимание;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f)</w:t>
      </w:r>
      <w:r w:rsidRPr="003518CC">
        <w:rPr>
          <w:b/>
          <w:spacing w:val="0"/>
          <w:w w:val="100"/>
        </w:rPr>
        <w:tab/>
        <w:t>разработать комплекс медицинских услуг, учитывающих потребности молодежи, включая услуги общей медицинской и стоматологической помощи, услуги по уходу за больными и гинекологические услуги, консультационные услуги по вопросам питания и психологическую поддержку.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 xml:space="preserve">ВИЧ/СПИД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32.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Ссылаясь на свое замечание общего порядка № 3 (2003) о ВИЧ/СПИДе и правах ребенка, а также на задачу 3.3 Целей в области устойчивого развития, Комитет рекомендует государству-участнику активизировать усилия по осуществлению своей «стратегии 90-90-90» и: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 xml:space="preserve">обеспечивать доступ детей и подростков к конфиденциальному тестированию на ВИЧ без сопровождения родителя или опекуна и соответствующим консультационным услугам, а также к научно обоснованным качественным мерам профилактики и лечения ВИЧ, особенно в сельских районах и районах проживания коренных народов;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 xml:space="preserve">решать проблему дефицита антиретровирусных препаратов, а также расширять доступ к соответствующей терапии и последующему лечению </w:t>
      </w:r>
      <w:r w:rsidRPr="003518CC">
        <w:rPr>
          <w:b/>
          <w:spacing w:val="0"/>
          <w:w w:val="100"/>
        </w:rPr>
        <w:br/>
        <w:t>ВИЧ-инфицированных детей и их матерей;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с)</w:t>
      </w:r>
      <w:r w:rsidRPr="003518CC">
        <w:rPr>
          <w:b/>
          <w:spacing w:val="0"/>
          <w:w w:val="100"/>
        </w:rPr>
        <w:tab/>
        <w:t>продолжать принимать меры по предупреждению передачи ВИЧ/СПИДа от матери к ребенку и разработать «дорожную карту» осуществления эффективных профилактических мер, ранней диагностики и скорейшего начала терапии;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обращаться за технической поддержкой, в частности, к Объединенной программе Организации Объединенных Наций по ВИЧ/СПИДу (ЮНЭЙДС) и ЮНИСЕФ.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G.</w:t>
      </w:r>
      <w:r w:rsidRPr="009D149C">
        <w:rPr>
          <w:spacing w:val="0"/>
          <w:w w:val="100"/>
        </w:rPr>
        <w:tab/>
        <w:t>Образование, досуг и культурная деятельность (статьи 28–31)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Образование, включая профессиональную подготовку и ориентацию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33.</w:t>
      </w:r>
      <w:r w:rsidRPr="009D149C">
        <w:rPr>
          <w:spacing w:val="0"/>
          <w:w w:val="100"/>
        </w:rPr>
        <w:tab/>
        <w:t>Обеспокоенность Комитета вызывают: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ab/>
        <w:t>а)</w:t>
      </w:r>
      <w:r w:rsidRPr="009D149C">
        <w:rPr>
          <w:spacing w:val="0"/>
          <w:w w:val="100"/>
        </w:rPr>
        <w:tab/>
        <w:t>низкие темпы расширения охвата детей дошкольным и базовым образованием, особенно недавнее снижение показателей посещаемости начальной школы и общий рост числа детей, бросающих школу;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ab/>
        <w:t>b)</w:t>
      </w:r>
      <w:r w:rsidRPr="009D149C">
        <w:rPr>
          <w:spacing w:val="0"/>
          <w:w w:val="100"/>
        </w:rPr>
        <w:tab/>
        <w:t>весьма низкие показатели охвата школьным образованием детей из числа коренных народов, особенно средним и высшим образованием;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ab/>
        <w:t>c)</w:t>
      </w:r>
      <w:r w:rsidRPr="009D149C">
        <w:rPr>
          <w:spacing w:val="0"/>
          <w:w w:val="100"/>
        </w:rPr>
        <w:tab/>
        <w:t>тот факт, что прекращение получения образования детьми по-прежнему в основном связано с фактором семейного дохода;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ab/>
        <w:t>d)</w:t>
      </w:r>
      <w:r w:rsidRPr="009D149C">
        <w:rPr>
          <w:spacing w:val="0"/>
          <w:w w:val="100"/>
        </w:rPr>
        <w:tab/>
        <w:t xml:space="preserve">нынешний уровень бюджетных ассигнований, ведущий к снижению квалификации учителей и недостаточной инфраструктурной оснащенности системы образования.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34.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Ссылаясь на свое замечание общего порядка № 1 (2001) о целях образования и принимая во внимание задачу 4.1 Целей в области устойчивого развития, касающуюся обеспечения всех девочек и мальчиков бесплатным, равным и качественным начальным и средним образованием, Комитет рекомендует государству-участнику: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 xml:space="preserve">активизировать усилия с целью расширение охвата и повышение качества образовательных услуг на всех уровнях, а также оказание всеобъемлющих услуг в раннем детском возрасте;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lastRenderedPageBreak/>
        <w:tab/>
        <w:t>b)</w:t>
      </w:r>
      <w:r w:rsidRPr="003518CC">
        <w:rPr>
          <w:b/>
          <w:spacing w:val="0"/>
          <w:w w:val="100"/>
        </w:rPr>
        <w:tab/>
        <w:t>продолжать укреплять двуязычную межкультурную образовательную программу и программу «Моя первая школа», выделяя на них достаточные ресурсы, с целью расширения охвата детей из числа коренных народов системой образования;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>укреплять и систематизировать меры по решению проблем отсева учащихся на всех уровнях, принимая во внимание конкретные причины такого отсева;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выделять дополнительные ресурсы для сферы образования в целях повышения качества обучения, особенно в сельских районах и местах проживания коренных народов, и рассмотреть возможность использования бюджета инфраструктурных проектов, а не образовательного бюджета для финансирования столь необходимой модернизации инфраструктуры.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H.</w:t>
      </w:r>
      <w:r w:rsidRPr="009D149C">
        <w:rPr>
          <w:spacing w:val="0"/>
          <w:w w:val="100"/>
        </w:rPr>
        <w:tab/>
        <w:t xml:space="preserve">Специальные меры защиты </w:t>
      </w:r>
      <w:r>
        <w:rPr>
          <w:spacing w:val="0"/>
          <w:w w:val="100"/>
        </w:rPr>
        <w:br/>
      </w:r>
      <w:r w:rsidRPr="009D149C">
        <w:rPr>
          <w:spacing w:val="0"/>
          <w:w w:val="100"/>
        </w:rPr>
        <w:t>(статьи 22, 30, 32, 33, 35, 36, 37 (пункты b)–d)) и 38–40)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Дети из числа мигрантов, просителей убежища и беженцев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35.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Комитет напоминает о своих предыдущих заключительных замечаниях (CRC/C/PAN/CO/3-4, см. пункт 65) и рекомендует </w:t>
      </w:r>
      <w:r w:rsidR="00055393" w:rsidRPr="003518CC">
        <w:rPr>
          <w:b/>
          <w:spacing w:val="0"/>
          <w:w w:val="100"/>
        </w:rPr>
        <w:t xml:space="preserve">государству-участнику </w:t>
      </w:r>
      <w:r w:rsidRPr="003518CC">
        <w:rPr>
          <w:b/>
          <w:spacing w:val="0"/>
          <w:w w:val="100"/>
        </w:rPr>
        <w:t>в соответствии со своими замечаниями общего порядка № 22 (2017), касающимися общих принципов в отношении прав человека детей в контексте международной миграции, и № 23 (2017) об обязательствах государств в отношении прав человека детей в контексте международной миграции в странах происхождения, транзита, назначения и возвращения, которые были распространены совместно с Комитетом по защите прав всех трудящихся-мигрантов и членов их семей: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обеспечивать эффективное участие детей из числа мигрантов, просителей убежища и беженцев в принятии всех решений, затрагивающих их интересы;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принимать все необходимые меры для недопущения практики задержания детей-иммигрантов и гарантирования того, чтобы наилучшему обеспечению интересов ребенка уделялось первоочередное внимание в иммиграционном законодательстве, в области планирования, осуществления и оценки политики в области миграции, а также при принятии решений по конкретным делам, в частности в отношении обязательств по недопущению принудительного возвращения;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>ускорить принятие и осуществление протоколов, устанавливающих межведомственную процедуру определения статуса беженца с учетом интересов ребенка, которая предусматривала бы конкретные гарантии для несопровождаемых детей-просителей убежища и детей-беженцев, в особенности в приграничных районах;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 xml:space="preserve">принять меры для обеспечения того, чтобы дети-просители убежища и дети-беженцы имели доступ к образованию в соответствии со статьей 91 Конституции государства-участника, в том числе путем предоставления им доступа к программе «Универсальная стипендия»;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>развернуть кампании по борьбе с ненавистническими высказываниями в адрес просителей убежища и беженцев, и в частности детей.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Дети из числа меньшинств или коренных народов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36.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В свете своего замечания общего порядка № 11 (2009) о детях из числа коренных народов и их правах согласно Конвенции Комитет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разработать национальный план действий в интересах и при полном и эффективном участии детей из числа коренных жителей, афро</w:t>
      </w:r>
      <w:r w:rsidR="00055393" w:rsidRPr="003518CC">
        <w:rPr>
          <w:b/>
          <w:spacing w:val="0"/>
          <w:w w:val="100"/>
        </w:rPr>
        <w:t>-</w:t>
      </w:r>
      <w:r w:rsidRPr="003518CC">
        <w:rPr>
          <w:b/>
          <w:spacing w:val="0"/>
          <w:w w:val="100"/>
        </w:rPr>
        <w:t xml:space="preserve">панамских детей </w:t>
      </w:r>
      <w:r w:rsidRPr="003518CC">
        <w:rPr>
          <w:b/>
          <w:spacing w:val="0"/>
          <w:w w:val="100"/>
        </w:rPr>
        <w:lastRenderedPageBreak/>
        <w:t xml:space="preserve">и детей, проживающих в сельских районах, который должен лечь в основу усилий по расширению доступа детей из затрагиваемых общин к качественным услугам в сфере здравоохранения и образования, решению проблемы отсутствия у них продовольственной безопасности и преодолению их уязвимости перед насилием и эксплуатацией, а также по сглаживанию различий в уровне жизни на территории государства-участника;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выделять достаточные ресурсы для осуществления этого национального плана действий и сделать приоритетными инвестиции в сферу услуг и инфраструктуру в сельской местности, местах проживания коренных народов и бедных городских районах;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 xml:space="preserve">консультироваться и сотрудничать с соответствующими коренными народами, включая детей из числа коренных народов, с тем чтобы заручиться их свободным, предварительным и осознанным согласием, прежде чем принимать и осуществлять законодательные или административные меры, которые могут их затрагивать, а также предоставлять эффективные средства правовой защиты в случаях нарушения их прав;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ускорить процесс ратификации Конвенции № 169 Международной организации труда (МОТ) 1989 года о коренных народах и народах, ведущих племенной образ жизни, и официально подтвердить свою приверженность Декларации Организации Объединенных Наций о правах коренных народов.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Экономическая эксплуатация, включая детский труд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37.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Приветствуя ратификацию Конвенции МОТ 1930 года о принудительном труде (№ 29) и Конвенции 2011 года о труде домашних работников (№ 189), Комитет вновь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ускорить процесс приведения своей законодательной базы в соответствие с международными стандартами, установленными в Конвенции МОТ 1973 года о минимальном возрасте (№ 138), и отменить исключения из этой Конвенции;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отменить правовые положения, позволяющие выдавать разрешения на работу детям в возрасте от 12 до 14 лет, и регламентировать выполнение детьми легкой работы, в частности установив разрешенную продолжительность рабочего дня и конкретизировав разрешенные виды деятельности, с тем чтобы трудовая деятельность детей не мешала получению ими образования;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>принять необходимые меры для обеспечения соблюдения законодательства о минимальном возрасте приема на работу, в том числе путем выделения достаточных людских, технических и финансовых ресурсов для эффективного проведения инспекций на производстве, в том числе внезапных проверок и инспекций в неформальном секторе, и для обеспечения эффективной координации, осуществления и мониторинга мер по борьбе с детским трудом Национальным управлением по борьбе с использованием детского труда и защите работающих подростков;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и впредь обращаться в этой связи за технической помощью по линии Международной программы по искоренению детского труда Международной организации труда.</w:t>
      </w:r>
      <w:r w:rsidRPr="009D149C">
        <w:rPr>
          <w:spacing w:val="0"/>
          <w:w w:val="100"/>
        </w:rPr>
        <w:t xml:space="preserve"> 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 xml:space="preserve">Торговля детьми, незаконный провоз и похищение детей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38.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Приветствуя создание Национального комитета по борьбе с торговлей людьми, утверждение национальной политики по борьбе с торговлей людьми, а также ужесточения мер наказания за преступления, связанные с торговлей людьми, Комитет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 xml:space="preserve">внести поправки в принятый 9 ноября 2011 года Закон № 79, касающийся торговли людьми и связанной с этим деятельности, с тем чтобы внести в него такое определение торговли людьми, которое соответствовало бы </w:t>
      </w:r>
      <w:r w:rsidRPr="003518CC">
        <w:rPr>
          <w:b/>
          <w:spacing w:val="0"/>
          <w:w w:val="100"/>
        </w:rPr>
        <w:lastRenderedPageBreak/>
        <w:t>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 (известен как Палермский протокол)</w:t>
      </w:r>
      <w:r w:rsidR="00D60E63" w:rsidRPr="003518CC">
        <w:rPr>
          <w:b/>
          <w:spacing w:val="0"/>
          <w:w w:val="100"/>
        </w:rPr>
        <w:t>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выделять Национальному комитету по борьбе с торговлей людьми достаточные людские, технические и финансовые ресурсы для проведения в жизнь национальной политики;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 xml:space="preserve">обеспечить, чтобы в проекте протокола по оказанию помощи жертвам торговли людьми были прописаны подробные руководящие принципы идентификации жертв, процедуры их передачи специализированным социальным службам, а также услуги по реабилитации и реинтеграции, на которые имеют право дети, ставшие жертвами торговли людьми, и ускорить принятие этого протокола;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>активизировать деятельность по повышению уровня информированности и работу по укреплению потенциала среди сотрудников иммиграционных и правоохранительных органов, социальных работников, инспекторов трудовых инспекций, работников судебных органов и представителей организаций гражданского общества.</w:t>
      </w:r>
    </w:p>
    <w:p w:rsidR="009D149C" w:rsidRPr="009D149C" w:rsidRDefault="009D149C" w:rsidP="009D149C">
      <w:pPr>
        <w:pStyle w:val="H23GR"/>
        <w:rPr>
          <w:spacing w:val="0"/>
          <w:w w:val="100"/>
        </w:rPr>
      </w:pPr>
      <w:r w:rsidRPr="009D149C">
        <w:rPr>
          <w:spacing w:val="0"/>
          <w:w w:val="100"/>
        </w:rPr>
        <w:tab/>
      </w:r>
      <w:r w:rsidRPr="009D149C">
        <w:rPr>
          <w:spacing w:val="0"/>
          <w:w w:val="100"/>
        </w:rPr>
        <w:tab/>
        <w:t>Отправление правосудия в отношении несовершеннолетних</w:t>
      </w:r>
    </w:p>
    <w:p w:rsidR="009D149C" w:rsidRPr="009D149C" w:rsidRDefault="009D149C" w:rsidP="009D149C">
      <w:pPr>
        <w:pStyle w:val="SingleTxtGR"/>
        <w:suppressAutoHyphens/>
        <w:rPr>
          <w:spacing w:val="0"/>
          <w:w w:val="100"/>
        </w:rPr>
      </w:pPr>
      <w:r w:rsidRPr="009D149C">
        <w:rPr>
          <w:spacing w:val="0"/>
          <w:w w:val="100"/>
        </w:rPr>
        <w:t>39.</w:t>
      </w:r>
      <w:r w:rsidRPr="009D149C">
        <w:rPr>
          <w:spacing w:val="0"/>
          <w:w w:val="100"/>
        </w:rPr>
        <w:tab/>
        <w:t xml:space="preserve">Комитет выражает серьезную обеспокоенность в связи с тем, что государство-участник не принимает мер для выполнения предыдущих рекомендаций Комитета (CRC/C/PAN/CO/3-4, пункт 76) повысить возраст наступления уголовной ответственности и восстановить положение, запрещающее продление предварительного заключения. 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40.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Ссылаясь на свое замечание общего порядка № 10 (2007) о правах детей в рамках отправления правосудия в отношении несовершеннолетних, Комитет обращается к государству-участнику с настоятельным призывом привести свою систему отправления правосудия в отношении несовершеннолетних в полное соответствие с Конвенцией и другими </w:t>
      </w:r>
      <w:r w:rsidR="0053149C">
        <w:rPr>
          <w:b/>
          <w:spacing w:val="0"/>
          <w:w w:val="100"/>
        </w:rPr>
        <w:t>соответствующими стандартами. В </w:t>
      </w:r>
      <w:bookmarkStart w:id="0" w:name="_GoBack"/>
      <w:bookmarkEnd w:id="0"/>
      <w:r w:rsidRPr="003518CC">
        <w:rPr>
          <w:b/>
          <w:spacing w:val="0"/>
          <w:w w:val="100"/>
        </w:rPr>
        <w:t>частности, Комитет настоятельно рекомендует государству-участнику: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а)</w:t>
      </w:r>
      <w:r w:rsidRPr="003518CC">
        <w:rPr>
          <w:b/>
          <w:spacing w:val="0"/>
          <w:w w:val="100"/>
        </w:rPr>
        <w:tab/>
        <w:t>повысить минимальный возраст уголовной ответственности до международно принятого уровня;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b)</w:t>
      </w:r>
      <w:r w:rsidRPr="003518CC">
        <w:rPr>
          <w:b/>
          <w:spacing w:val="0"/>
          <w:w w:val="100"/>
        </w:rPr>
        <w:tab/>
        <w:t>восстановить положение, запрещающее продление срока предварительного заключения, без каких-либо исключений;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c)</w:t>
      </w:r>
      <w:r w:rsidRPr="003518CC">
        <w:rPr>
          <w:b/>
          <w:spacing w:val="0"/>
          <w:w w:val="100"/>
        </w:rPr>
        <w:tab/>
        <w:t>гарантировать детям, находящимся в конфликте с законом, доступ к квалифицированной и независимой правовой помощи с самого раннего этапа и на всем протяжении судебного разбирательства;</w:t>
      </w:r>
    </w:p>
    <w:p w:rsidR="009D149C" w:rsidRPr="003518C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d)</w:t>
      </w:r>
      <w:r w:rsidRPr="003518CC">
        <w:rPr>
          <w:b/>
          <w:spacing w:val="0"/>
          <w:w w:val="100"/>
        </w:rPr>
        <w:tab/>
        <w:t xml:space="preserve">продолжать поощрять использование несудебных мер в отношении детей, обвиняемых в совершении уголовных преступлений, путем расширения программы перевоспитания за счет таких мер, как использование альтернативных видов исправительного воздействия, посредничество и консультационные услуги, а также благодаря использованию, когда это возможно, альтернативных мер уголовного наказания, таких, как пробация и общественные работы;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3518CC">
        <w:rPr>
          <w:b/>
          <w:spacing w:val="0"/>
          <w:w w:val="100"/>
        </w:rPr>
        <w:tab/>
        <w:t>е)</w:t>
      </w:r>
      <w:r w:rsidRPr="003518CC">
        <w:rPr>
          <w:b/>
          <w:spacing w:val="0"/>
          <w:w w:val="100"/>
        </w:rPr>
        <w:tab/>
        <w:t>принимать меры к тому, чтобы содержание под стражей применялось лишь в качестве крайней меры и в течение как можно более короткого срока и чтобы вопрос о применении этой меры регулярно пересматривался на предмет ее отмены</w:t>
      </w:r>
      <w:r w:rsidR="003518CC" w:rsidRPr="003518CC">
        <w:rPr>
          <w:b/>
          <w:spacing w:val="0"/>
          <w:w w:val="100"/>
        </w:rPr>
        <w:t>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lastRenderedPageBreak/>
        <w:tab/>
        <w:t>I.</w:t>
      </w:r>
      <w:r w:rsidRPr="009D149C">
        <w:rPr>
          <w:spacing w:val="0"/>
          <w:w w:val="100"/>
        </w:rPr>
        <w:tab/>
        <w:t>Ратификация международных договоров по правам человека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41.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В целях дальнейшей активизации работы по осуществлению прав детей Комитет рекомендует государству-участнику рассмотреть вопрос о ратификации Международной конвенции о защите прав всех трудящихся-мигрантов и членов их семей.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42.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Комитет обращается к государству-участнику с настоятельным призывом выполнить обязательства по представлению докладов в соответствии с Факультативным протоколом к Конвенции, касающимся торговли детьми, детской проституции и детской порнографии, </w:t>
      </w:r>
      <w:r w:rsidR="003518CC">
        <w:rPr>
          <w:b/>
          <w:spacing w:val="0"/>
          <w:w w:val="100"/>
        </w:rPr>
        <w:t>которые просрочены с марта 2007 </w:t>
      </w:r>
      <w:r w:rsidRPr="003518CC">
        <w:rPr>
          <w:b/>
          <w:spacing w:val="0"/>
          <w:w w:val="100"/>
        </w:rPr>
        <w:t>года.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J.</w:t>
      </w:r>
      <w:r w:rsidRPr="009D149C">
        <w:rPr>
          <w:spacing w:val="0"/>
          <w:w w:val="100"/>
        </w:rPr>
        <w:tab/>
        <w:t>Сотрудничество с региональными органами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43.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Комитет рекомендует государству-участнику сотрудничать с Организацией американских государств (ОАГ) в деле осуществления Конвенции и других правозащитных договоров как в государстве-участнике, так и в других государствах – членах ОАГ. </w:t>
      </w:r>
    </w:p>
    <w:p w:rsidR="009D149C" w:rsidRPr="009D149C" w:rsidRDefault="009D149C" w:rsidP="009D149C">
      <w:pPr>
        <w:pStyle w:val="HChGR"/>
        <w:rPr>
          <w:spacing w:val="0"/>
          <w:w w:val="100"/>
        </w:rPr>
      </w:pPr>
      <w:r w:rsidRPr="009D149C">
        <w:rPr>
          <w:spacing w:val="0"/>
          <w:w w:val="100"/>
        </w:rPr>
        <w:tab/>
        <w:t>IV.</w:t>
      </w:r>
      <w:r w:rsidRPr="009D149C">
        <w:rPr>
          <w:spacing w:val="0"/>
          <w:w w:val="100"/>
        </w:rPr>
        <w:tab/>
        <w:t>Меры по осуществлению и представление докладов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A.</w:t>
      </w:r>
      <w:r w:rsidRPr="009D149C">
        <w:rPr>
          <w:spacing w:val="0"/>
          <w:w w:val="100"/>
        </w:rPr>
        <w:tab/>
        <w:t>Последующие меры и распространение информации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44.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рекомендует государству-участнику принять все надлежащие меры к тому, чтобы обеспечить полное выполнение рекомендаций, изложенных в настоящих заключительных замечаниях. Комитет также рекомендует широко распространить на языках страны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 w:rsidRPr="009D149C">
        <w:rPr>
          <w:spacing w:val="0"/>
          <w:w w:val="100"/>
        </w:rPr>
        <w:t xml:space="preserve"> 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B.</w:t>
      </w:r>
      <w:r w:rsidRPr="009D149C">
        <w:rPr>
          <w:spacing w:val="0"/>
          <w:w w:val="100"/>
        </w:rPr>
        <w:tab/>
        <w:t>Национальный механизм представления докладов и</w:t>
      </w:r>
      <w:r>
        <w:rPr>
          <w:spacing w:val="0"/>
          <w:w w:val="100"/>
        </w:rPr>
        <w:t> </w:t>
      </w:r>
      <w:r w:rsidRPr="009D149C">
        <w:rPr>
          <w:spacing w:val="0"/>
          <w:w w:val="100"/>
        </w:rPr>
        <w:t>осуществления последующих мер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45.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приветствует создание Постоянного национального комитета для надзора за ходом осуществления и последующей деятельности по выполнению правозащитных обязательств, взятых на себя Панамой на национальном и международном уровнях, и его подкомитета по правам детей и молодежи. Он рекомендует, чтобы Постоянный национальный комитет, а также его подкомитет, функционировали в качестве постоянных государственных структур, отвечающих за координацию и подготовку докладов и взаимодействие с международными и региональными правозащитными механизмами, а также за координацию и мониторинг национальных последующих мер и выполнение договорных обязательств, а также рекомендаций и решений, принимаемых такими механизмами. Комитет подчеркивает, что такие структуры должны в своей работе постоянно опираться на надлежащий штат сотрудников, а также иметь возможность систематически проводить консультации с национальным правозащитным учреждением и гражданским обществом.</w:t>
      </w:r>
    </w:p>
    <w:p w:rsidR="009D149C" w:rsidRPr="009D149C" w:rsidRDefault="009D149C" w:rsidP="009D149C">
      <w:pPr>
        <w:pStyle w:val="H1GR"/>
        <w:rPr>
          <w:spacing w:val="0"/>
          <w:w w:val="100"/>
        </w:rPr>
      </w:pPr>
      <w:r w:rsidRPr="009D149C">
        <w:rPr>
          <w:spacing w:val="0"/>
          <w:w w:val="100"/>
        </w:rPr>
        <w:tab/>
        <w:t>C.</w:t>
      </w:r>
      <w:r w:rsidRPr="009D149C">
        <w:rPr>
          <w:spacing w:val="0"/>
          <w:w w:val="100"/>
        </w:rPr>
        <w:tab/>
        <w:t xml:space="preserve">Следующий доклад 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46.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 xml:space="preserve">Комитет предлагает государству-участнику представить свой седьмой периодический доклад к 10 января 2023 года и включить в него информацию о последующих мерах, принятых в связи с настоящими заключительными замечаниями. Этот доклад должен соответствовать согласованным руководящим принципам подготовки докладов по конкретным договорам, утвержденным </w:t>
      </w:r>
      <w:r w:rsidRPr="003518CC">
        <w:rPr>
          <w:b/>
          <w:spacing w:val="0"/>
          <w:w w:val="100"/>
        </w:rPr>
        <w:lastRenderedPageBreak/>
        <w:t>Комитетом 31 января 2014 года (CRC/C/58/Rev.3), а его объем не должен превышать 21 200 слов (см. резолюцию 68/268 Генеральной Ассамблеи, пункт 16).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не сможет пересмотреть и вновь представить доклад, то его перевод для рассмотрения договорным органом не может быть гарантирован.</w:t>
      </w:r>
    </w:p>
    <w:p w:rsidR="009D149C" w:rsidRPr="009D149C" w:rsidRDefault="009D149C" w:rsidP="009D149C">
      <w:pPr>
        <w:pStyle w:val="SingleTxtGR"/>
        <w:suppressAutoHyphens/>
        <w:rPr>
          <w:b/>
          <w:bCs/>
          <w:spacing w:val="0"/>
          <w:w w:val="100"/>
        </w:rPr>
      </w:pPr>
      <w:r w:rsidRPr="009D149C">
        <w:rPr>
          <w:spacing w:val="0"/>
          <w:w w:val="100"/>
        </w:rPr>
        <w:t>47.</w:t>
      </w:r>
      <w:r w:rsidRPr="009D149C">
        <w:rPr>
          <w:spacing w:val="0"/>
          <w:w w:val="100"/>
        </w:rPr>
        <w:tab/>
      </w:r>
      <w:r w:rsidRPr="003518CC">
        <w:rPr>
          <w:b/>
          <w:spacing w:val="0"/>
          <w:w w:val="100"/>
        </w:rPr>
        <w:t>Комитет также предлагает государству-участнику представить обновленный базовый документ объемом не более 42 400 слов в соответствии с требованиями в отношении подготовки общего базового документа, содержащимися в согласованных руководящих принципах представления докладов по международным договорам о правах человека, в том числе в руководящих принципах подготовки общего базового документа и документов по конкретным договорам (см. HRI/GEN/2/Rev.6, г</w:t>
      </w:r>
      <w:r w:rsidR="003518CC">
        <w:rPr>
          <w:b/>
          <w:spacing w:val="0"/>
          <w:w w:val="100"/>
        </w:rPr>
        <w:t>лава I) и в пункте 16 резолюции </w:t>
      </w:r>
      <w:r w:rsidRPr="003518CC">
        <w:rPr>
          <w:b/>
          <w:spacing w:val="0"/>
          <w:w w:val="100"/>
        </w:rPr>
        <w:t>68/268 Генеральной Ассамблеи.</w:t>
      </w:r>
    </w:p>
    <w:p w:rsidR="00381C24" w:rsidRPr="009D149C" w:rsidRDefault="009D149C" w:rsidP="009D149C">
      <w:pPr>
        <w:pStyle w:val="SingleTxtGR"/>
        <w:suppressAutoHyphens/>
        <w:spacing w:before="240" w:after="0"/>
        <w:jc w:val="center"/>
        <w:rPr>
          <w:spacing w:val="0"/>
          <w:w w:val="100"/>
          <w:u w:val="single"/>
        </w:rPr>
      </w:pPr>
      <w:r w:rsidRPr="009D149C">
        <w:rPr>
          <w:spacing w:val="0"/>
          <w:w w:val="100"/>
          <w:u w:val="single"/>
        </w:rPr>
        <w:tab/>
      </w:r>
      <w:r w:rsidRPr="009D149C">
        <w:rPr>
          <w:spacing w:val="0"/>
          <w:w w:val="100"/>
          <w:u w:val="single"/>
        </w:rPr>
        <w:tab/>
      </w:r>
      <w:r w:rsidRPr="009D149C">
        <w:rPr>
          <w:spacing w:val="0"/>
          <w:w w:val="100"/>
          <w:u w:val="single"/>
        </w:rPr>
        <w:tab/>
      </w:r>
    </w:p>
    <w:sectPr w:rsidR="00381C24" w:rsidRPr="009D149C" w:rsidSect="009D20C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C95" w:rsidRPr="00A312BC" w:rsidRDefault="00EF6C95" w:rsidP="00A312BC"/>
  </w:endnote>
  <w:endnote w:type="continuationSeparator" w:id="0">
    <w:p w:rsidR="00EF6C95" w:rsidRPr="00A312BC" w:rsidRDefault="00EF6C9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0C7" w:rsidRPr="009D20C7" w:rsidRDefault="009D20C7">
    <w:pPr>
      <w:pStyle w:val="a8"/>
    </w:pPr>
    <w:r w:rsidRPr="009D20C7">
      <w:rPr>
        <w:b/>
        <w:sz w:val="18"/>
      </w:rPr>
      <w:fldChar w:fldCharType="begin"/>
    </w:r>
    <w:r w:rsidRPr="009D20C7">
      <w:rPr>
        <w:b/>
        <w:sz w:val="18"/>
      </w:rPr>
      <w:instrText xml:space="preserve"> PAGE  \* MERGEFORMAT </w:instrText>
    </w:r>
    <w:r w:rsidRPr="009D20C7">
      <w:rPr>
        <w:b/>
        <w:sz w:val="18"/>
      </w:rPr>
      <w:fldChar w:fldCharType="separate"/>
    </w:r>
    <w:r w:rsidR="008B34DF">
      <w:rPr>
        <w:b/>
        <w:noProof/>
        <w:sz w:val="18"/>
      </w:rPr>
      <w:t>16</w:t>
    </w:r>
    <w:r w:rsidRPr="009D20C7">
      <w:rPr>
        <w:b/>
        <w:sz w:val="18"/>
      </w:rPr>
      <w:fldChar w:fldCharType="end"/>
    </w:r>
    <w:r>
      <w:rPr>
        <w:b/>
        <w:sz w:val="18"/>
      </w:rPr>
      <w:tab/>
    </w:r>
    <w:r>
      <w:t>GE.18-03122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0C7" w:rsidRPr="009D20C7" w:rsidRDefault="009D20C7" w:rsidP="009D20C7">
    <w:pPr>
      <w:pStyle w:val="a8"/>
      <w:tabs>
        <w:tab w:val="clear" w:pos="9639"/>
        <w:tab w:val="right" w:pos="9638"/>
      </w:tabs>
      <w:rPr>
        <w:b/>
        <w:sz w:val="18"/>
      </w:rPr>
    </w:pPr>
    <w:r>
      <w:t>GE.18-03122</w:t>
    </w:r>
    <w:r>
      <w:tab/>
    </w:r>
    <w:r w:rsidRPr="009D20C7">
      <w:rPr>
        <w:b/>
        <w:sz w:val="18"/>
      </w:rPr>
      <w:fldChar w:fldCharType="begin"/>
    </w:r>
    <w:r w:rsidRPr="009D20C7">
      <w:rPr>
        <w:b/>
        <w:sz w:val="18"/>
      </w:rPr>
      <w:instrText xml:space="preserve"> PAGE  \* MERGEFORMAT </w:instrText>
    </w:r>
    <w:r w:rsidRPr="009D20C7">
      <w:rPr>
        <w:b/>
        <w:sz w:val="18"/>
      </w:rPr>
      <w:fldChar w:fldCharType="separate"/>
    </w:r>
    <w:r w:rsidR="008B34DF">
      <w:rPr>
        <w:b/>
        <w:noProof/>
        <w:sz w:val="18"/>
      </w:rPr>
      <w:t>17</w:t>
    </w:r>
    <w:r w:rsidRPr="009D20C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D20C7" w:rsidRDefault="009D20C7" w:rsidP="009D20C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18-03122  (R)</w:t>
    </w:r>
    <w:r w:rsidR="00581D66">
      <w:rPr>
        <w:lang w:val="en-US"/>
      </w:rPr>
      <w:t xml:space="preserve">   140318   150318</w:t>
    </w:r>
    <w:r>
      <w:br/>
    </w:r>
    <w:r w:rsidRPr="009D20C7">
      <w:rPr>
        <w:rFonts w:ascii="C39T30Lfz" w:hAnsi="C39T30Lfz"/>
        <w:spacing w:val="0"/>
        <w:w w:val="100"/>
        <w:sz w:val="56"/>
      </w:rPr>
      <w:t></w:t>
    </w:r>
    <w:r w:rsidRPr="009D20C7">
      <w:rPr>
        <w:rFonts w:ascii="C39T30Lfz" w:hAnsi="C39T30Lfz"/>
        <w:spacing w:val="0"/>
        <w:w w:val="100"/>
        <w:sz w:val="56"/>
      </w:rPr>
      <w:t></w:t>
    </w:r>
    <w:r w:rsidRPr="009D20C7">
      <w:rPr>
        <w:rFonts w:ascii="C39T30Lfz" w:hAnsi="C39T30Lfz"/>
        <w:spacing w:val="0"/>
        <w:w w:val="100"/>
        <w:sz w:val="56"/>
      </w:rPr>
      <w:t></w:t>
    </w:r>
    <w:r w:rsidRPr="009D20C7">
      <w:rPr>
        <w:rFonts w:ascii="C39T30Lfz" w:hAnsi="C39T30Lfz"/>
        <w:spacing w:val="0"/>
        <w:w w:val="100"/>
        <w:sz w:val="56"/>
      </w:rPr>
      <w:t></w:t>
    </w:r>
    <w:r w:rsidRPr="009D20C7">
      <w:rPr>
        <w:rFonts w:ascii="C39T30Lfz" w:hAnsi="C39T30Lfz"/>
        <w:spacing w:val="0"/>
        <w:w w:val="100"/>
        <w:sz w:val="56"/>
      </w:rPr>
      <w:t></w:t>
    </w:r>
    <w:r w:rsidRPr="009D20C7">
      <w:rPr>
        <w:rFonts w:ascii="C39T30Lfz" w:hAnsi="C39T30Lfz"/>
        <w:spacing w:val="0"/>
        <w:w w:val="100"/>
        <w:sz w:val="56"/>
      </w:rPr>
      <w:t></w:t>
    </w:r>
    <w:r w:rsidRPr="009D20C7">
      <w:rPr>
        <w:rFonts w:ascii="C39T30Lfz" w:hAnsi="C39T30Lfz"/>
        <w:spacing w:val="0"/>
        <w:w w:val="100"/>
        <w:sz w:val="56"/>
      </w:rPr>
      <w:t></w:t>
    </w:r>
    <w:r w:rsidRPr="009D20C7">
      <w:rPr>
        <w:rFonts w:ascii="C39T30Lfz" w:hAnsi="C39T30Lfz"/>
        <w:spacing w:val="0"/>
        <w:w w:val="100"/>
        <w:sz w:val="56"/>
      </w:rPr>
      <w:t></w:t>
    </w:r>
    <w:r w:rsidRPr="009D20C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PAN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PAN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C95" w:rsidRPr="001075E9" w:rsidRDefault="00EF6C9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F6C95" w:rsidRDefault="00EF6C9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D149C" w:rsidRPr="009D149C" w:rsidRDefault="009D149C" w:rsidP="009D149C">
      <w:pPr>
        <w:pStyle w:val="ad"/>
        <w:rPr>
          <w:spacing w:val="0"/>
          <w:w w:val="100"/>
          <w:lang w:val="ru-RU"/>
        </w:rPr>
      </w:pPr>
      <w:r w:rsidRPr="009D149C">
        <w:rPr>
          <w:spacing w:val="0"/>
          <w:w w:val="100"/>
          <w:lang w:val="ru-RU"/>
        </w:rPr>
        <w:tab/>
        <w:t>*</w:t>
      </w:r>
      <w:r w:rsidRPr="009D149C">
        <w:rPr>
          <w:spacing w:val="0"/>
          <w:w w:val="100"/>
          <w:lang w:val="ru-RU"/>
        </w:rPr>
        <w:tab/>
        <w:t>Приняты Комитетом на его семьдесят седьмой сессии (15 января – 2 февраля 2018 года).</w:t>
      </w:r>
    </w:p>
  </w:footnote>
  <w:footnote w:id="2">
    <w:p w:rsidR="009D149C" w:rsidRPr="009D149C" w:rsidRDefault="009D149C" w:rsidP="009D149C">
      <w:pPr>
        <w:pStyle w:val="ad"/>
        <w:rPr>
          <w:spacing w:val="0"/>
          <w:w w:val="100"/>
          <w:lang w:val="ru-RU"/>
        </w:rPr>
      </w:pPr>
      <w:r w:rsidRPr="009D149C">
        <w:rPr>
          <w:spacing w:val="0"/>
          <w:w w:val="100"/>
          <w:lang w:val="ru-RU"/>
        </w:rPr>
        <w:tab/>
      </w:r>
      <w:r w:rsidRPr="009D149C">
        <w:rPr>
          <w:rStyle w:val="aa"/>
          <w:spacing w:val="0"/>
          <w:w w:val="100"/>
          <w:lang w:val="ru-RU"/>
        </w:rPr>
        <w:footnoteRef/>
      </w:r>
      <w:r w:rsidRPr="009D149C">
        <w:rPr>
          <w:spacing w:val="0"/>
          <w:w w:val="100"/>
          <w:lang w:val="ru-RU"/>
        </w:rPr>
        <w:tab/>
        <w:t>Под «детьми» понимаются все лица в возрасте до 18 лет, включая подростков. На испанский язык слово «дети» следует переводить как «niños, niñas y adolescentes».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0C7" w:rsidRPr="009D20C7" w:rsidRDefault="008B34DF">
    <w:pPr>
      <w:pStyle w:val="a5"/>
    </w:pPr>
    <w:r>
      <w:fldChar w:fldCharType="begin"/>
    </w:r>
    <w:r>
      <w:instrText xml:space="preserve"> TITLE  \* MERG</w:instrText>
    </w:r>
    <w:r>
      <w:instrText xml:space="preserve">EFORMAT </w:instrText>
    </w:r>
    <w:r>
      <w:fldChar w:fldCharType="separate"/>
    </w:r>
    <w:r>
      <w:t>CRC/C/PAN/CO/5-6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0C7" w:rsidRPr="009D20C7" w:rsidRDefault="008B34DF" w:rsidP="009D20C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CRC/C/PAN/CO/5-6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C95"/>
    <w:rsid w:val="00033EE1"/>
    <w:rsid w:val="00036F5D"/>
    <w:rsid w:val="00042B72"/>
    <w:rsid w:val="00055393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18CC"/>
    <w:rsid w:val="00355074"/>
    <w:rsid w:val="003645EE"/>
    <w:rsid w:val="00381C24"/>
    <w:rsid w:val="00385DF7"/>
    <w:rsid w:val="003958D0"/>
    <w:rsid w:val="003B00E5"/>
    <w:rsid w:val="003D0552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3149C"/>
    <w:rsid w:val="005709E0"/>
    <w:rsid w:val="00572E19"/>
    <w:rsid w:val="00581D66"/>
    <w:rsid w:val="005961C8"/>
    <w:rsid w:val="005D236F"/>
    <w:rsid w:val="005D2911"/>
    <w:rsid w:val="005D7914"/>
    <w:rsid w:val="005E2B41"/>
    <w:rsid w:val="005F0B42"/>
    <w:rsid w:val="00681A10"/>
    <w:rsid w:val="006A1ED8"/>
    <w:rsid w:val="006A33F9"/>
    <w:rsid w:val="006C2031"/>
    <w:rsid w:val="006D461A"/>
    <w:rsid w:val="006F35EE"/>
    <w:rsid w:val="007021FF"/>
    <w:rsid w:val="00712895"/>
    <w:rsid w:val="00757357"/>
    <w:rsid w:val="007B4656"/>
    <w:rsid w:val="007E47FF"/>
    <w:rsid w:val="00806737"/>
    <w:rsid w:val="00825F8D"/>
    <w:rsid w:val="00831189"/>
    <w:rsid w:val="00834B71"/>
    <w:rsid w:val="0086445C"/>
    <w:rsid w:val="00894693"/>
    <w:rsid w:val="008A08D7"/>
    <w:rsid w:val="008B34DF"/>
    <w:rsid w:val="008B6909"/>
    <w:rsid w:val="008E656E"/>
    <w:rsid w:val="00906890"/>
    <w:rsid w:val="00911BE4"/>
    <w:rsid w:val="00951972"/>
    <w:rsid w:val="009608F3"/>
    <w:rsid w:val="009A24AC"/>
    <w:rsid w:val="009D149C"/>
    <w:rsid w:val="009D20C7"/>
    <w:rsid w:val="00A10705"/>
    <w:rsid w:val="00A14DA8"/>
    <w:rsid w:val="00A312BC"/>
    <w:rsid w:val="00A84021"/>
    <w:rsid w:val="00A84D35"/>
    <w:rsid w:val="00A917B3"/>
    <w:rsid w:val="00AB4B51"/>
    <w:rsid w:val="00B10CC7"/>
    <w:rsid w:val="00B36DF7"/>
    <w:rsid w:val="00B37301"/>
    <w:rsid w:val="00B539E7"/>
    <w:rsid w:val="00B55AFB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60E6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F1360"/>
    <w:rsid w:val="00EF3220"/>
    <w:rsid w:val="00EF6C95"/>
    <w:rsid w:val="00F11AA4"/>
    <w:rsid w:val="00F34187"/>
    <w:rsid w:val="00F43903"/>
    <w:rsid w:val="00F94155"/>
    <w:rsid w:val="00F9783F"/>
    <w:rsid w:val="00FC6A0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D2C9C2D"/>
  <w15:docId w15:val="{531CAD2B-1D23-42F0-BFBC-DD2972DE4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25</TotalTime>
  <Pages>18</Pages>
  <Words>6738</Words>
  <Characters>46792</Characters>
  <Application>Microsoft Office Word</Application>
  <DocSecurity>0</DocSecurity>
  <Lines>867</Lines>
  <Paragraphs>199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CRC/C/PAN/CO/5-6</vt:lpstr>
      <vt:lpstr>A/</vt:lpstr>
    </vt:vector>
  </TitlesOfParts>
  <Company>DCM</Company>
  <LinksUpToDate>false</LinksUpToDate>
  <CharactersWithSpaces>53548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CRC/C/PAN/CO/5-6</dc:title>
  <dc:subject/>
  <dc:creator>Larisa MAYKOVSKAYA</dc:creator>
  <cp:keywords/>
  <cp:lastModifiedBy>Generic TPSRUS2</cp:lastModifiedBy>
  <cp:revision>7</cp:revision>
  <cp:lastPrinted>2018-03-15T10:35:00Z</cp:lastPrinted>
  <dcterms:created xsi:type="dcterms:W3CDTF">2018-03-15T09:51:00Z</dcterms:created>
  <dcterms:modified xsi:type="dcterms:W3CDTF">2018-03-15T10:36:00Z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