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97E6D" w14:paraId="5C5D4497" w14:textId="77777777" w:rsidTr="00E56EE3">
        <w:trPr>
          <w:trHeight w:hRule="exact" w:val="851"/>
        </w:trPr>
        <w:tc>
          <w:tcPr>
            <w:tcW w:w="1280" w:type="dxa"/>
            <w:tcBorders>
              <w:bottom w:val="single" w:sz="4" w:space="0" w:color="auto"/>
            </w:tcBorders>
            <w:shd w:val="clear" w:color="auto" w:fill="auto"/>
          </w:tcPr>
          <w:p w14:paraId="0C01AFFC" w14:textId="77777777" w:rsidR="002D5AAC" w:rsidRDefault="002D5AAC" w:rsidP="00E56EE3"/>
        </w:tc>
        <w:tc>
          <w:tcPr>
            <w:tcW w:w="2273" w:type="dxa"/>
            <w:tcBorders>
              <w:bottom w:val="single" w:sz="4" w:space="0" w:color="auto"/>
            </w:tcBorders>
            <w:shd w:val="clear" w:color="auto" w:fill="auto"/>
            <w:vAlign w:val="bottom"/>
          </w:tcPr>
          <w:p w14:paraId="37C91869" w14:textId="77777777" w:rsidR="002D5AAC" w:rsidRPr="00D4778E" w:rsidRDefault="000525CD"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38BA4106" w14:textId="0E772A1D" w:rsidR="002D5AAC" w:rsidRPr="00795AA1" w:rsidRDefault="00795AA1" w:rsidP="00795AA1">
            <w:pPr>
              <w:jc w:val="right"/>
            </w:pPr>
            <w:r w:rsidRPr="00795AA1">
              <w:rPr>
                <w:sz w:val="40"/>
              </w:rPr>
              <w:t>CED</w:t>
            </w:r>
            <w:r>
              <w:t>/C/PAN/FCO/1</w:t>
            </w:r>
          </w:p>
        </w:tc>
      </w:tr>
      <w:tr w:rsidR="00C97E6D" w14:paraId="2CCF91EF" w14:textId="77777777" w:rsidTr="00E56EE3">
        <w:trPr>
          <w:trHeight w:hRule="exact" w:val="2835"/>
        </w:trPr>
        <w:tc>
          <w:tcPr>
            <w:tcW w:w="1280" w:type="dxa"/>
            <w:tcBorders>
              <w:top w:val="single" w:sz="4" w:space="0" w:color="auto"/>
              <w:bottom w:val="single" w:sz="12" w:space="0" w:color="auto"/>
            </w:tcBorders>
            <w:shd w:val="clear" w:color="auto" w:fill="auto"/>
          </w:tcPr>
          <w:p w14:paraId="011D44A7" w14:textId="77777777" w:rsidR="002D5AAC" w:rsidRDefault="000525CD" w:rsidP="00E56EE3">
            <w:pPr>
              <w:spacing w:before="120"/>
              <w:jc w:val="center"/>
            </w:pPr>
            <w:r>
              <w:rPr>
                <w:noProof/>
                <w:lang w:val="fr-CH" w:eastAsia="fr-CH"/>
              </w:rPr>
              <w:drawing>
                <wp:inline distT="0" distB="0" distL="0" distR="0" wp14:anchorId="4D04187F" wp14:editId="312CAC1D">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5ADF6E71" w14:textId="77777777" w:rsidR="002D5AAC" w:rsidRPr="00D4778E" w:rsidRDefault="000525CD" w:rsidP="00E56EE3">
            <w:pPr>
              <w:spacing w:before="120" w:line="360" w:lineRule="exact"/>
              <w:rPr>
                <w:b/>
                <w:sz w:val="34"/>
                <w:szCs w:val="34"/>
              </w:rPr>
            </w:pPr>
            <w:r w:rsidRPr="00DA4720">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14:paraId="489CD299" w14:textId="77777777" w:rsidR="00935A0B" w:rsidRPr="00F43810" w:rsidRDefault="000525CD" w:rsidP="00935A0B">
            <w:pPr>
              <w:spacing w:before="240" w:line="240" w:lineRule="exact"/>
            </w:pPr>
            <w:r w:rsidRPr="00F43810">
              <w:t xml:space="preserve">Distr. </w:t>
            </w:r>
            <w:r w:rsidR="005B3572">
              <w:t>general</w:t>
            </w:r>
          </w:p>
          <w:p w14:paraId="43480BF4" w14:textId="727D2F34" w:rsidR="00935A0B" w:rsidRPr="00F43810" w:rsidRDefault="00DF1F15" w:rsidP="00935A0B">
            <w:r>
              <w:t>2</w:t>
            </w:r>
            <w:r w:rsidR="008E2C7A">
              <w:t>7</w:t>
            </w:r>
            <w:r w:rsidR="000525CD" w:rsidRPr="00F43810">
              <w:t xml:space="preserve"> de junio de 2024</w:t>
            </w:r>
          </w:p>
          <w:p w14:paraId="3DFF5759" w14:textId="77777777" w:rsidR="00935A0B" w:rsidRPr="00F43810" w:rsidRDefault="00935A0B" w:rsidP="00935A0B"/>
          <w:p w14:paraId="07C6C4A8" w14:textId="77777777" w:rsidR="00935A0B" w:rsidRPr="00F43810" w:rsidRDefault="000525CD" w:rsidP="00935A0B">
            <w:r w:rsidRPr="00F43810">
              <w:t>Original: español</w:t>
            </w:r>
          </w:p>
          <w:p w14:paraId="6F7313E8" w14:textId="77777777" w:rsidR="002D5AAC" w:rsidRDefault="00935A0B" w:rsidP="00935A0B">
            <w:pPr>
              <w:spacing w:line="240" w:lineRule="exact"/>
            </w:pPr>
            <w:r w:rsidRPr="00F43810">
              <w:t>Español, francés e inglés únicamente</w:t>
            </w:r>
          </w:p>
        </w:tc>
      </w:tr>
    </w:tbl>
    <w:p w14:paraId="321E51F8" w14:textId="77777777" w:rsidR="00E6615D" w:rsidRDefault="000525CD" w:rsidP="00E6615D">
      <w:pPr>
        <w:spacing w:before="120"/>
        <w:ind w:left="-300" w:firstLine="300"/>
        <w:rPr>
          <w:b/>
          <w:sz w:val="24"/>
        </w:rPr>
      </w:pPr>
      <w:r>
        <w:rPr>
          <w:b/>
          <w:sz w:val="24"/>
        </w:rPr>
        <w:t>Comité contra la Desaparición Forzada</w:t>
      </w:r>
    </w:p>
    <w:p w14:paraId="503B7042" w14:textId="0E973945" w:rsidR="00520413" w:rsidRPr="009D0A26" w:rsidRDefault="000525CD" w:rsidP="00183CDF">
      <w:pPr>
        <w:pStyle w:val="HMG"/>
      </w:pPr>
      <w:r w:rsidRPr="009D0A26">
        <w:tab/>
      </w:r>
      <w:r w:rsidRPr="009D0A26">
        <w:tab/>
      </w:r>
      <w:r w:rsidRPr="003A068D">
        <w:rPr>
          <w:lang w:val="es-ES_tradnl"/>
        </w:rPr>
        <w:t xml:space="preserve">Información recibida </w:t>
      </w:r>
      <w:r>
        <w:rPr>
          <w:lang w:val="es-ES_tradnl"/>
        </w:rPr>
        <w:t>de Panamá</w:t>
      </w:r>
      <w:r w:rsidR="00AC669A">
        <w:rPr>
          <w:lang w:val="es-ES_tradnl"/>
        </w:rPr>
        <w:t xml:space="preserve"> </w:t>
      </w:r>
      <w:r w:rsidR="00A417C5">
        <w:t>sobre el seguimiento de las</w:t>
      </w:r>
      <w:r w:rsidR="00DF1F15">
        <w:t xml:space="preserve"> </w:t>
      </w:r>
      <w:r w:rsidR="00A417C5">
        <w:t>observaciones finales relativas a</w:t>
      </w:r>
      <w:r w:rsidR="008E2C7A">
        <w:t> </w:t>
      </w:r>
      <w:r w:rsidR="00A417C5">
        <w:t>su informe presentado en virtud del artículo 29, párrafo</w:t>
      </w:r>
      <w:r w:rsidR="00DF1F15">
        <w:t> </w:t>
      </w:r>
      <w:r w:rsidR="00A417C5">
        <w:t>1, de la Convención</w:t>
      </w:r>
      <w:r>
        <w:rPr>
          <w:rStyle w:val="Refdenotaalpie"/>
          <w:b w:val="0"/>
          <w:bCs/>
          <w:sz w:val="20"/>
          <w:vertAlign w:val="baseline"/>
          <w:lang w:val="es-ES_tradnl"/>
        </w:rPr>
        <w:footnoteReference w:customMarkFollows="1" w:id="1"/>
        <w:t>*</w:t>
      </w:r>
    </w:p>
    <w:p w14:paraId="134E73AA" w14:textId="3DE0725A" w:rsidR="00520413" w:rsidRPr="00996ACD" w:rsidRDefault="000525CD" w:rsidP="00520413">
      <w:pPr>
        <w:pStyle w:val="SingleTxtG"/>
        <w:jc w:val="right"/>
      </w:pPr>
      <w:r w:rsidRPr="009D0A26">
        <w:t>[</w:t>
      </w:r>
      <w:r w:rsidRPr="003A068D">
        <w:rPr>
          <w:lang w:val="es-ES_tradnl"/>
        </w:rPr>
        <w:t xml:space="preserve">Fecha de </w:t>
      </w:r>
      <w:r w:rsidRPr="00996ACD">
        <w:rPr>
          <w:lang w:val="es-ES_tradnl"/>
        </w:rPr>
        <w:t>recepción:</w:t>
      </w:r>
      <w:r w:rsidRPr="00996ACD">
        <w:t xml:space="preserve"> </w:t>
      </w:r>
      <w:r w:rsidR="00996ACD" w:rsidRPr="00996ACD">
        <w:rPr>
          <w:lang w:val="es-ES_tradnl"/>
        </w:rPr>
        <w:t>12</w:t>
      </w:r>
      <w:r w:rsidRPr="00996ACD">
        <w:rPr>
          <w:lang w:val="es-ES_tradnl"/>
        </w:rPr>
        <w:t xml:space="preserve"> de </w:t>
      </w:r>
      <w:r w:rsidR="00996ACD" w:rsidRPr="00996ACD">
        <w:rPr>
          <w:lang w:val="es-ES_tradnl"/>
        </w:rPr>
        <w:t>junio</w:t>
      </w:r>
      <w:r w:rsidRPr="00996ACD">
        <w:rPr>
          <w:lang w:val="es-ES_tradnl"/>
        </w:rPr>
        <w:t xml:space="preserve"> de </w:t>
      </w:r>
      <w:r w:rsidR="00996ACD" w:rsidRPr="00996ACD">
        <w:rPr>
          <w:lang w:val="es-ES_tradnl"/>
        </w:rPr>
        <w:t>2024</w:t>
      </w:r>
      <w:r w:rsidRPr="00996ACD">
        <w:t>]</w:t>
      </w:r>
    </w:p>
    <w:p w14:paraId="02DF5673" w14:textId="668FAD20" w:rsidR="00996ACD" w:rsidRPr="008E2C7A" w:rsidRDefault="00996ACD">
      <w:pPr>
        <w:spacing w:line="240" w:lineRule="auto"/>
        <w:rPr>
          <w:lang w:val="es-ES_tradnl"/>
        </w:rPr>
      </w:pPr>
      <w:r>
        <w:rPr>
          <w:color w:val="0000FF"/>
          <w:lang w:val="es-ES_tradnl"/>
        </w:rPr>
        <w:br w:type="page"/>
      </w:r>
    </w:p>
    <w:p w14:paraId="44CF7DC4" w14:textId="41529AF1" w:rsidR="00996ACD" w:rsidRPr="00996ACD" w:rsidRDefault="00996ACD" w:rsidP="00996ACD">
      <w:pPr>
        <w:pStyle w:val="HChG"/>
        <w:ind w:left="0" w:firstLine="0"/>
      </w:pPr>
      <w:r>
        <w:lastRenderedPageBreak/>
        <w:tab/>
        <w:t>I.</w:t>
      </w:r>
      <w:r>
        <w:tab/>
      </w:r>
      <w:r w:rsidRPr="00AE3422">
        <w:t>Introducción</w:t>
      </w:r>
    </w:p>
    <w:p w14:paraId="6718A2CA" w14:textId="6397E66A" w:rsidR="00996ACD" w:rsidRPr="00BE5879" w:rsidRDefault="008E2C7A" w:rsidP="008E2C7A">
      <w:pPr>
        <w:pStyle w:val="SingleTxtG"/>
      </w:pPr>
      <w:r w:rsidRPr="00BE5879">
        <w:t>1.</w:t>
      </w:r>
      <w:r w:rsidRPr="00BE5879">
        <w:tab/>
      </w:r>
      <w:r w:rsidR="00996ACD" w:rsidRPr="00BE5879">
        <w:t>La República de Panamá, a través de la Ley No. 27 de 30 de marzo de 2011, aprobó la Convención Internacional para la Protección de todas las Personas contra las Desapariciones Forzadas, adoptada por la Asamblea General de las Naciones Unidas el 20 de diciembre de 2006. A partir de su vigencia, el Estado panameño asumió la obligación de tomar medidas de carácter legislativo, administrativo, judicial o de otra índole</w:t>
      </w:r>
      <w:r w:rsidR="00996ACD">
        <w:t>.</w:t>
      </w:r>
      <w:r w:rsidR="00996ACD" w:rsidRPr="00BE5879">
        <w:t xml:space="preserve"> </w:t>
      </w:r>
    </w:p>
    <w:p w14:paraId="63C3096A" w14:textId="4BC51A89" w:rsidR="00996ACD" w:rsidRDefault="008E2C7A" w:rsidP="008E2C7A">
      <w:pPr>
        <w:pStyle w:val="SingleTxtG"/>
      </w:pPr>
      <w:r>
        <w:t>2.</w:t>
      </w:r>
      <w:r>
        <w:tab/>
      </w:r>
      <w:r w:rsidR="00996ACD" w:rsidRPr="00BE5879">
        <w:t xml:space="preserve">En </w:t>
      </w:r>
      <w:r w:rsidR="00996ACD">
        <w:t>septiembre de 2021</w:t>
      </w:r>
      <w:r w:rsidR="00996ACD" w:rsidRPr="00BE5879">
        <w:t>, el Estado panameño celebró el primer diálogo constructivo con el Comité de vigilancia de la Convención. Al finalizar el diálogo, el órgano de supervisión de tratado (Expertos del Comité), solicitó al Gobierno de Panamá remitir información adicional sobre algunos aspectos abordados durante la sesión.</w:t>
      </w:r>
    </w:p>
    <w:p w14:paraId="45CB705E" w14:textId="359C646B" w:rsidR="00996ACD" w:rsidRPr="00EC22F4" w:rsidRDefault="008E2C7A" w:rsidP="008E2C7A">
      <w:pPr>
        <w:pStyle w:val="SingleTxtG"/>
      </w:pPr>
      <w:r w:rsidRPr="00EC22F4">
        <w:t>3.</w:t>
      </w:r>
      <w:r w:rsidRPr="00EC22F4">
        <w:tab/>
      </w:r>
      <w:r w:rsidR="00996ACD" w:rsidRPr="00EC22F4">
        <w:t>Este informe responde a la lista de recomendaciones (CED/C/PAN/CO/1 de 4 de noviembre de 2021), examinadas por el Comité contra la Desaparición Forzosa en sus sesiones 366 y 368 celebrados en septiembre de 2021. En el documento se reporta l</w:t>
      </w:r>
      <w:r w:rsidR="00996ACD">
        <w:t xml:space="preserve">as acciones interinstitucionales implementadas en referencia a </w:t>
      </w:r>
      <w:r w:rsidR="00996ACD" w:rsidRPr="00EC22F4">
        <w:t xml:space="preserve">las observaciones del Comité </w:t>
      </w:r>
      <w:r w:rsidR="00996ACD">
        <w:t>contemplados en los párrafos</w:t>
      </w:r>
      <w:r w:rsidR="00996ACD" w:rsidRPr="00EC22F4">
        <w:t xml:space="preserve"> 11, 27 y 37.</w:t>
      </w:r>
    </w:p>
    <w:p w14:paraId="036A4CDE" w14:textId="1A4525AC" w:rsidR="00996ACD" w:rsidRPr="00BE5879" w:rsidRDefault="00996ACD" w:rsidP="00996ACD">
      <w:pPr>
        <w:pStyle w:val="HChG"/>
      </w:pPr>
      <w:r>
        <w:tab/>
      </w:r>
      <w:r w:rsidRPr="00BE5879">
        <w:t>II.</w:t>
      </w:r>
      <w:r>
        <w:tab/>
      </w:r>
      <w:r w:rsidRPr="00BE5879">
        <w:t>Principales motivos de preocupación y recomendaciones</w:t>
      </w:r>
    </w:p>
    <w:p w14:paraId="2BB5EF52" w14:textId="3004F05A" w:rsidR="00996ACD" w:rsidRPr="00BE5879" w:rsidRDefault="00996ACD" w:rsidP="00996ACD">
      <w:pPr>
        <w:pStyle w:val="H1G"/>
      </w:pPr>
      <w:r>
        <w:tab/>
      </w:r>
      <w:r>
        <w:tab/>
      </w:r>
      <w:r w:rsidRPr="00BE5879">
        <w:t>Prohibición absoluta de desaparición forzada</w:t>
      </w:r>
    </w:p>
    <w:p w14:paraId="5E3E0D30" w14:textId="63CB1CD8" w:rsidR="00996ACD" w:rsidRPr="00BE5879" w:rsidRDefault="00996ACD" w:rsidP="00996ACD">
      <w:pPr>
        <w:pStyle w:val="H23G"/>
        <w:rPr>
          <w:bCs/>
        </w:rPr>
      </w:pPr>
      <w:r>
        <w:tab/>
      </w:r>
      <w:r>
        <w:tab/>
      </w:r>
      <w:r w:rsidRPr="00996ACD">
        <w:t>Información de seguimiento sobre el párrafo</w:t>
      </w:r>
      <w:r>
        <w:t xml:space="preserve"> 11</w:t>
      </w:r>
      <w:r w:rsidRPr="00996ACD">
        <w:t xml:space="preserve"> de las observaciones finales (</w:t>
      </w:r>
      <w:r>
        <w:t>CED/C/PAN/CO/1</w:t>
      </w:r>
      <w:r w:rsidRPr="00996ACD">
        <w:t>)</w:t>
      </w:r>
    </w:p>
    <w:p w14:paraId="0D8CCA80" w14:textId="7CA12F13" w:rsidR="00996ACD" w:rsidRPr="000A1B42" w:rsidRDefault="008E2C7A" w:rsidP="008E2C7A">
      <w:pPr>
        <w:pStyle w:val="SingleTxtG"/>
      </w:pPr>
      <w:r w:rsidRPr="000A1B42">
        <w:t>4.</w:t>
      </w:r>
      <w:r w:rsidRPr="000A1B42">
        <w:tab/>
      </w:r>
      <w:r w:rsidR="00996ACD" w:rsidRPr="000A1B42">
        <w:t>El Estado panameño realiza esfuerzos para la identificación de las víctimas de desaparición forzada. A través del Ministerio Público, se mantiene un registro interno de las personas víctimas de desaparición forzada correspondiente, tanto al régimen de la dictadura militar (1968-1989), así como del período denominado “La invasión del 20 de diciembre de 1989”</w:t>
      </w:r>
      <w:r>
        <w:t>.</w:t>
      </w:r>
    </w:p>
    <w:p w14:paraId="7B10688B" w14:textId="3529FAE7" w:rsidR="00996ACD" w:rsidRPr="00BE5879" w:rsidRDefault="008E2C7A" w:rsidP="008E2C7A">
      <w:pPr>
        <w:pStyle w:val="SingleTxtG"/>
        <w:rPr>
          <w:color w:val="000000"/>
        </w:rPr>
      </w:pPr>
      <w:r w:rsidRPr="00BE5879">
        <w:rPr>
          <w:color w:val="000000"/>
        </w:rPr>
        <w:t>5.</w:t>
      </w:r>
      <w:r w:rsidRPr="00BE5879">
        <w:rPr>
          <w:color w:val="000000"/>
        </w:rPr>
        <w:tab/>
      </w:r>
      <w:r w:rsidR="00996ACD" w:rsidRPr="00BE5879">
        <w:t>Con el propósito de establecer las violaciones sistemáticas de los derechos humanos y las desapariciones que hayan sido cometidas por el Estado durante la dictadura militar, el gobierno de la República de Panamá creo mediante Decreto Ejecutivo N</w:t>
      </w:r>
      <w:r>
        <w:t>º</w:t>
      </w:r>
      <w:r w:rsidR="00996ACD" w:rsidRPr="00BE5879">
        <w:t xml:space="preserve"> 2 de 18 de enero de 2001 la </w:t>
      </w:r>
      <w:r w:rsidR="00996ACD" w:rsidRPr="007E10E7">
        <w:t>Comisión de la Verdad</w:t>
      </w:r>
      <w:r w:rsidR="00996ACD" w:rsidRPr="008E2C7A">
        <w:t>.</w:t>
      </w:r>
    </w:p>
    <w:p w14:paraId="4DBEF15D" w14:textId="7D14DCCD" w:rsidR="00996ACD" w:rsidRDefault="008E2C7A" w:rsidP="008E2C7A">
      <w:pPr>
        <w:pStyle w:val="SingleTxtG"/>
      </w:pPr>
      <w:r>
        <w:t>6.</w:t>
      </w:r>
      <w:r>
        <w:tab/>
      </w:r>
      <w:r w:rsidR="00996ACD" w:rsidRPr="00437A8F">
        <w:t>La Comisión de la Verdad</w:t>
      </w:r>
      <w:r w:rsidR="00996ACD" w:rsidRPr="0019644A">
        <w:t xml:space="preserve"> elaboró un listado de personas desaparecidas y un registro de personas</w:t>
      </w:r>
      <w:r w:rsidR="00996ACD">
        <w:t xml:space="preserve"> </w:t>
      </w:r>
      <w:r w:rsidR="00996ACD" w:rsidRPr="0019644A">
        <w:t>consideradas víctimas del régimen militar</w:t>
      </w:r>
      <w:r>
        <w:rPr>
          <w:rStyle w:val="Refdenotaalpie"/>
        </w:rPr>
        <w:footnoteReference w:id="2"/>
      </w:r>
      <w:r w:rsidR="00996ACD" w:rsidRPr="0019644A">
        <w:t xml:space="preserve">. </w:t>
      </w:r>
      <w:r w:rsidR="00996ACD">
        <w:t xml:space="preserve">Entregaron </w:t>
      </w:r>
      <w:r w:rsidR="00996ACD" w:rsidRPr="0019644A">
        <w:t>al Estado panameño en el año 2002, los resultados de la investigación que realiz</w:t>
      </w:r>
      <w:r w:rsidR="00996ACD">
        <w:t xml:space="preserve">aron en </w:t>
      </w:r>
      <w:r w:rsidR="00996ACD" w:rsidRPr="0019644A">
        <w:t xml:space="preserve">tres periodos: </w:t>
      </w:r>
      <w:r w:rsidR="00996ACD">
        <w:t xml:space="preserve">de octubre de </w:t>
      </w:r>
      <w:r w:rsidR="00996ACD" w:rsidRPr="0019644A">
        <w:t xml:space="preserve">1968 hasta octubre de 1972; </w:t>
      </w:r>
      <w:r w:rsidR="00996ACD">
        <w:t xml:space="preserve">de </w:t>
      </w:r>
      <w:r w:rsidR="00996ACD" w:rsidRPr="0019644A">
        <w:t xml:space="preserve">noviembre de 1972 hasta diciembre de 1983; y </w:t>
      </w:r>
      <w:r w:rsidR="00996ACD">
        <w:t xml:space="preserve">de </w:t>
      </w:r>
      <w:r w:rsidR="00996ACD" w:rsidRPr="0019644A">
        <w:t xml:space="preserve">enero de 1984 </w:t>
      </w:r>
      <w:r w:rsidR="00996ACD">
        <w:t xml:space="preserve">hasta </w:t>
      </w:r>
      <w:r w:rsidR="00996ACD" w:rsidRPr="0019644A">
        <w:t xml:space="preserve">el 20 de diciembre de 1989, </w:t>
      </w:r>
      <w:r w:rsidR="00996ACD">
        <w:t>con la invasión norteamericana a Panamá.</w:t>
      </w:r>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76"/>
        <w:gridCol w:w="826"/>
        <w:gridCol w:w="1134"/>
        <w:gridCol w:w="518"/>
        <w:gridCol w:w="741"/>
        <w:gridCol w:w="1092"/>
        <w:gridCol w:w="588"/>
        <w:gridCol w:w="784"/>
        <w:gridCol w:w="1106"/>
        <w:gridCol w:w="539"/>
      </w:tblGrid>
      <w:tr w:rsidR="00A06406" w:rsidRPr="00704139" w14:paraId="44EFEA82" w14:textId="77777777" w:rsidTr="00A06406">
        <w:tc>
          <w:tcPr>
            <w:tcW w:w="1176" w:type="dxa"/>
            <w:tcBorders>
              <w:top w:val="single" w:sz="4" w:space="0" w:color="auto"/>
            </w:tcBorders>
            <w:shd w:val="clear" w:color="auto" w:fill="auto"/>
            <w:vAlign w:val="bottom"/>
          </w:tcPr>
          <w:p w14:paraId="594F5C29" w14:textId="77777777" w:rsidR="00A06406" w:rsidRPr="00704139" w:rsidRDefault="00A06406" w:rsidP="00A06406">
            <w:pPr>
              <w:pStyle w:val="SingleTxtG"/>
              <w:spacing w:before="80" w:after="80" w:line="200" w:lineRule="exact"/>
              <w:ind w:left="0" w:right="0"/>
              <w:jc w:val="left"/>
              <w:rPr>
                <w:i/>
                <w:sz w:val="16"/>
              </w:rPr>
            </w:pPr>
          </w:p>
        </w:tc>
        <w:tc>
          <w:tcPr>
            <w:tcW w:w="826" w:type="dxa"/>
            <w:tcBorders>
              <w:top w:val="single" w:sz="4" w:space="0" w:color="auto"/>
            </w:tcBorders>
            <w:shd w:val="clear" w:color="auto" w:fill="auto"/>
            <w:vAlign w:val="bottom"/>
          </w:tcPr>
          <w:p w14:paraId="548F7D3D" w14:textId="77777777" w:rsidR="00A06406" w:rsidRPr="00704139" w:rsidRDefault="00A06406" w:rsidP="00A06406">
            <w:pPr>
              <w:pStyle w:val="SingleTxtG"/>
              <w:spacing w:before="80" w:after="80" w:line="200" w:lineRule="exact"/>
              <w:ind w:left="0" w:right="57"/>
              <w:jc w:val="right"/>
              <w:rPr>
                <w:i/>
                <w:sz w:val="16"/>
              </w:rPr>
            </w:pPr>
          </w:p>
        </w:tc>
        <w:tc>
          <w:tcPr>
            <w:tcW w:w="1134" w:type="dxa"/>
            <w:tcBorders>
              <w:top w:val="single" w:sz="4" w:space="0" w:color="auto"/>
            </w:tcBorders>
            <w:shd w:val="clear" w:color="auto" w:fill="auto"/>
            <w:vAlign w:val="bottom"/>
          </w:tcPr>
          <w:p w14:paraId="1FC48007" w14:textId="77777777" w:rsidR="00A06406" w:rsidRPr="00704139" w:rsidRDefault="00A06406" w:rsidP="00A06406">
            <w:pPr>
              <w:pStyle w:val="SingleTxtG"/>
              <w:spacing w:before="80" w:after="80" w:line="200" w:lineRule="exact"/>
              <w:ind w:left="0" w:right="57"/>
              <w:jc w:val="right"/>
              <w:rPr>
                <w:i/>
                <w:sz w:val="16"/>
              </w:rPr>
            </w:pPr>
          </w:p>
        </w:tc>
        <w:tc>
          <w:tcPr>
            <w:tcW w:w="518" w:type="dxa"/>
            <w:tcBorders>
              <w:top w:val="single" w:sz="4" w:space="0" w:color="auto"/>
            </w:tcBorders>
            <w:shd w:val="clear" w:color="auto" w:fill="auto"/>
            <w:vAlign w:val="bottom"/>
          </w:tcPr>
          <w:p w14:paraId="5070517A" w14:textId="77777777" w:rsidR="00A06406" w:rsidRPr="00704139" w:rsidRDefault="00A06406" w:rsidP="00A06406">
            <w:pPr>
              <w:pStyle w:val="SingleTxtG"/>
              <w:spacing w:before="80" w:after="80" w:line="200" w:lineRule="exact"/>
              <w:ind w:left="0" w:right="57"/>
              <w:jc w:val="right"/>
              <w:rPr>
                <w:i/>
                <w:sz w:val="16"/>
              </w:rPr>
            </w:pPr>
          </w:p>
        </w:tc>
        <w:tc>
          <w:tcPr>
            <w:tcW w:w="2421" w:type="dxa"/>
            <w:gridSpan w:val="3"/>
            <w:tcBorders>
              <w:top w:val="single" w:sz="4" w:space="0" w:color="auto"/>
              <w:bottom w:val="single" w:sz="4" w:space="0" w:color="auto"/>
              <w:right w:val="single" w:sz="24" w:space="0" w:color="FFFFFF" w:themeColor="background1"/>
            </w:tcBorders>
            <w:shd w:val="clear" w:color="auto" w:fill="auto"/>
            <w:vAlign w:val="center"/>
          </w:tcPr>
          <w:p w14:paraId="1AF66318" w14:textId="5214CDC7" w:rsidR="00A06406" w:rsidRPr="00704139" w:rsidRDefault="00A06406" w:rsidP="00A06406">
            <w:pPr>
              <w:pStyle w:val="SingleTxtG"/>
              <w:spacing w:before="80" w:after="80" w:line="200" w:lineRule="exact"/>
              <w:ind w:left="0" w:right="57"/>
              <w:jc w:val="center"/>
              <w:rPr>
                <w:i/>
                <w:sz w:val="16"/>
              </w:rPr>
            </w:pPr>
            <w:r w:rsidRPr="00A06406">
              <w:rPr>
                <w:i/>
                <w:sz w:val="16"/>
              </w:rPr>
              <w:t>Provincia de Panamá y otras</w:t>
            </w:r>
          </w:p>
        </w:tc>
        <w:tc>
          <w:tcPr>
            <w:tcW w:w="2429" w:type="dxa"/>
            <w:gridSpan w:val="3"/>
            <w:tcBorders>
              <w:top w:val="single" w:sz="4" w:space="0" w:color="auto"/>
              <w:left w:val="single" w:sz="24" w:space="0" w:color="FFFFFF" w:themeColor="background1"/>
              <w:bottom w:val="single" w:sz="4" w:space="0" w:color="auto"/>
            </w:tcBorders>
            <w:shd w:val="clear" w:color="auto" w:fill="auto"/>
            <w:vAlign w:val="center"/>
          </w:tcPr>
          <w:p w14:paraId="05E1DD35" w14:textId="03273399" w:rsidR="00A06406" w:rsidRPr="00704139" w:rsidRDefault="00A06406" w:rsidP="00A06406">
            <w:pPr>
              <w:pStyle w:val="SingleTxtG"/>
              <w:spacing w:before="80" w:after="80" w:line="200" w:lineRule="exact"/>
              <w:ind w:left="0" w:right="57"/>
              <w:jc w:val="center"/>
              <w:rPr>
                <w:i/>
                <w:sz w:val="16"/>
              </w:rPr>
            </w:pPr>
            <w:r w:rsidRPr="00A06406">
              <w:rPr>
                <w:i/>
                <w:sz w:val="16"/>
              </w:rPr>
              <w:t>Provincia de Chiriquí</w:t>
            </w:r>
          </w:p>
        </w:tc>
      </w:tr>
      <w:tr w:rsidR="00A06406" w:rsidRPr="00704139" w14:paraId="70A0A45F" w14:textId="77777777" w:rsidTr="00A06406">
        <w:tc>
          <w:tcPr>
            <w:tcW w:w="1176" w:type="dxa"/>
            <w:tcBorders>
              <w:bottom w:val="single" w:sz="12" w:space="0" w:color="auto"/>
            </w:tcBorders>
            <w:shd w:val="clear" w:color="auto" w:fill="auto"/>
            <w:vAlign w:val="bottom"/>
          </w:tcPr>
          <w:p w14:paraId="30C0196E" w14:textId="3853ED37" w:rsidR="00A06406" w:rsidRPr="00704139" w:rsidRDefault="00A06406" w:rsidP="00A06406">
            <w:pPr>
              <w:pStyle w:val="SingleTxtG"/>
              <w:spacing w:before="80" w:after="80" w:line="200" w:lineRule="exact"/>
              <w:ind w:left="0" w:right="0"/>
              <w:jc w:val="left"/>
              <w:rPr>
                <w:i/>
                <w:sz w:val="16"/>
              </w:rPr>
            </w:pPr>
            <w:r w:rsidRPr="00704139">
              <w:rPr>
                <w:i/>
                <w:sz w:val="16"/>
              </w:rPr>
              <w:t>Información de Expedientes</w:t>
            </w:r>
          </w:p>
        </w:tc>
        <w:tc>
          <w:tcPr>
            <w:tcW w:w="826" w:type="dxa"/>
            <w:tcBorders>
              <w:bottom w:val="single" w:sz="12" w:space="0" w:color="auto"/>
            </w:tcBorders>
            <w:shd w:val="clear" w:color="auto" w:fill="auto"/>
            <w:vAlign w:val="center"/>
          </w:tcPr>
          <w:p w14:paraId="549C54FF" w14:textId="15DC0A74" w:rsidR="00A06406" w:rsidRPr="00704139" w:rsidRDefault="00A06406" w:rsidP="00A06406">
            <w:pPr>
              <w:pStyle w:val="SingleTxtG"/>
              <w:spacing w:before="80" w:after="80" w:line="200" w:lineRule="exact"/>
              <w:ind w:left="0" w:right="57"/>
              <w:jc w:val="right"/>
              <w:rPr>
                <w:i/>
                <w:sz w:val="16"/>
              </w:rPr>
            </w:pPr>
            <w:r w:rsidRPr="00704139">
              <w:rPr>
                <w:i/>
                <w:sz w:val="16"/>
              </w:rPr>
              <w:t>Muertos</w:t>
            </w:r>
          </w:p>
        </w:tc>
        <w:tc>
          <w:tcPr>
            <w:tcW w:w="1134" w:type="dxa"/>
            <w:tcBorders>
              <w:bottom w:val="single" w:sz="12" w:space="0" w:color="auto"/>
            </w:tcBorders>
            <w:shd w:val="clear" w:color="auto" w:fill="auto"/>
            <w:vAlign w:val="center"/>
          </w:tcPr>
          <w:p w14:paraId="0C7591C8" w14:textId="3589AEED" w:rsidR="00A06406" w:rsidRPr="00704139" w:rsidRDefault="00A06406" w:rsidP="00A06406">
            <w:pPr>
              <w:pStyle w:val="SingleTxtG"/>
              <w:spacing w:before="80" w:after="80" w:line="200" w:lineRule="exact"/>
              <w:ind w:left="0" w:right="57"/>
              <w:jc w:val="right"/>
              <w:rPr>
                <w:i/>
                <w:sz w:val="16"/>
              </w:rPr>
            </w:pPr>
            <w:r w:rsidRPr="00704139">
              <w:rPr>
                <w:i/>
                <w:sz w:val="16"/>
              </w:rPr>
              <w:t>Desaparecidos</w:t>
            </w:r>
          </w:p>
        </w:tc>
        <w:tc>
          <w:tcPr>
            <w:tcW w:w="518" w:type="dxa"/>
            <w:tcBorders>
              <w:bottom w:val="single" w:sz="12" w:space="0" w:color="auto"/>
            </w:tcBorders>
            <w:shd w:val="clear" w:color="auto" w:fill="auto"/>
            <w:vAlign w:val="center"/>
          </w:tcPr>
          <w:p w14:paraId="156662A7" w14:textId="7E088912" w:rsidR="00A06406" w:rsidRPr="00704139" w:rsidRDefault="00A06406" w:rsidP="00A06406">
            <w:pPr>
              <w:pStyle w:val="SingleTxtG"/>
              <w:spacing w:before="80" w:after="80" w:line="200" w:lineRule="exact"/>
              <w:ind w:left="0" w:right="57"/>
              <w:jc w:val="right"/>
              <w:rPr>
                <w:i/>
                <w:sz w:val="16"/>
              </w:rPr>
            </w:pPr>
            <w:r w:rsidRPr="00704139">
              <w:rPr>
                <w:i/>
                <w:sz w:val="16"/>
              </w:rPr>
              <w:t>Total</w:t>
            </w:r>
          </w:p>
        </w:tc>
        <w:tc>
          <w:tcPr>
            <w:tcW w:w="741" w:type="dxa"/>
            <w:tcBorders>
              <w:top w:val="single" w:sz="4" w:space="0" w:color="auto"/>
              <w:bottom w:val="single" w:sz="12" w:space="0" w:color="auto"/>
            </w:tcBorders>
            <w:shd w:val="clear" w:color="auto" w:fill="auto"/>
            <w:vAlign w:val="center"/>
          </w:tcPr>
          <w:p w14:paraId="13E34E9A" w14:textId="0D1D5AD0" w:rsidR="00A06406" w:rsidRPr="00704139" w:rsidRDefault="00A06406" w:rsidP="00A06406">
            <w:pPr>
              <w:pStyle w:val="SingleTxtG"/>
              <w:spacing w:before="80" w:after="80" w:line="200" w:lineRule="exact"/>
              <w:ind w:left="0" w:right="57"/>
              <w:jc w:val="right"/>
              <w:rPr>
                <w:i/>
                <w:sz w:val="16"/>
              </w:rPr>
            </w:pPr>
            <w:r w:rsidRPr="00704139">
              <w:rPr>
                <w:i/>
                <w:sz w:val="16"/>
              </w:rPr>
              <w:t>Muertos</w:t>
            </w:r>
          </w:p>
        </w:tc>
        <w:tc>
          <w:tcPr>
            <w:tcW w:w="1092" w:type="dxa"/>
            <w:tcBorders>
              <w:top w:val="single" w:sz="4" w:space="0" w:color="auto"/>
              <w:bottom w:val="single" w:sz="12" w:space="0" w:color="auto"/>
            </w:tcBorders>
            <w:shd w:val="clear" w:color="auto" w:fill="auto"/>
            <w:vAlign w:val="center"/>
          </w:tcPr>
          <w:p w14:paraId="124B2AB0" w14:textId="3A31A592" w:rsidR="00A06406" w:rsidRPr="00704139" w:rsidRDefault="00A06406" w:rsidP="00A06406">
            <w:pPr>
              <w:pStyle w:val="SingleTxtG"/>
              <w:spacing w:before="80" w:after="80" w:line="200" w:lineRule="exact"/>
              <w:ind w:left="0" w:right="57"/>
              <w:jc w:val="right"/>
              <w:rPr>
                <w:i/>
                <w:sz w:val="16"/>
              </w:rPr>
            </w:pPr>
            <w:r w:rsidRPr="00704139">
              <w:rPr>
                <w:i/>
                <w:sz w:val="16"/>
              </w:rPr>
              <w:t>Desaparecidos</w:t>
            </w:r>
          </w:p>
        </w:tc>
        <w:tc>
          <w:tcPr>
            <w:tcW w:w="588" w:type="dxa"/>
            <w:tcBorders>
              <w:top w:val="single" w:sz="4" w:space="0" w:color="auto"/>
              <w:bottom w:val="single" w:sz="12" w:space="0" w:color="auto"/>
              <w:right w:val="single" w:sz="24" w:space="0" w:color="FFFFFF" w:themeColor="background1"/>
            </w:tcBorders>
            <w:shd w:val="clear" w:color="auto" w:fill="auto"/>
            <w:vAlign w:val="center"/>
          </w:tcPr>
          <w:p w14:paraId="68B15303" w14:textId="1DA99ADF" w:rsidR="00A06406" w:rsidRPr="00704139" w:rsidRDefault="00A06406" w:rsidP="00A06406">
            <w:pPr>
              <w:pStyle w:val="SingleTxtG"/>
              <w:spacing w:before="80" w:after="80" w:line="200" w:lineRule="exact"/>
              <w:ind w:left="0" w:right="57"/>
              <w:jc w:val="right"/>
              <w:rPr>
                <w:i/>
                <w:sz w:val="16"/>
              </w:rPr>
            </w:pPr>
            <w:r w:rsidRPr="00704139">
              <w:rPr>
                <w:i/>
                <w:sz w:val="16"/>
              </w:rPr>
              <w:t>Total</w:t>
            </w:r>
          </w:p>
        </w:tc>
        <w:tc>
          <w:tcPr>
            <w:tcW w:w="784" w:type="dxa"/>
            <w:tcBorders>
              <w:top w:val="single" w:sz="4" w:space="0" w:color="auto"/>
              <w:left w:val="single" w:sz="24" w:space="0" w:color="FFFFFF" w:themeColor="background1"/>
              <w:bottom w:val="single" w:sz="12" w:space="0" w:color="auto"/>
            </w:tcBorders>
            <w:shd w:val="clear" w:color="auto" w:fill="auto"/>
            <w:vAlign w:val="center"/>
          </w:tcPr>
          <w:p w14:paraId="75CA9951" w14:textId="0EA725C5" w:rsidR="00A06406" w:rsidRPr="00704139" w:rsidRDefault="00A06406" w:rsidP="00A06406">
            <w:pPr>
              <w:pStyle w:val="SingleTxtG"/>
              <w:spacing w:before="80" w:after="80" w:line="200" w:lineRule="exact"/>
              <w:ind w:left="0" w:right="57"/>
              <w:jc w:val="right"/>
              <w:rPr>
                <w:i/>
                <w:sz w:val="16"/>
              </w:rPr>
            </w:pPr>
            <w:r w:rsidRPr="00704139">
              <w:rPr>
                <w:i/>
                <w:sz w:val="16"/>
              </w:rPr>
              <w:t>Muertos</w:t>
            </w:r>
          </w:p>
        </w:tc>
        <w:tc>
          <w:tcPr>
            <w:tcW w:w="1106" w:type="dxa"/>
            <w:tcBorders>
              <w:top w:val="single" w:sz="4" w:space="0" w:color="auto"/>
              <w:bottom w:val="single" w:sz="12" w:space="0" w:color="auto"/>
            </w:tcBorders>
            <w:shd w:val="clear" w:color="auto" w:fill="auto"/>
            <w:vAlign w:val="center"/>
          </w:tcPr>
          <w:p w14:paraId="7868A299" w14:textId="3D60B85B" w:rsidR="00A06406" w:rsidRPr="00704139" w:rsidRDefault="00A06406" w:rsidP="00A06406">
            <w:pPr>
              <w:pStyle w:val="SingleTxtG"/>
              <w:spacing w:before="80" w:after="80" w:line="200" w:lineRule="exact"/>
              <w:ind w:left="0" w:right="57"/>
              <w:jc w:val="right"/>
              <w:rPr>
                <w:i/>
                <w:sz w:val="16"/>
              </w:rPr>
            </w:pPr>
            <w:r w:rsidRPr="00704139">
              <w:rPr>
                <w:i/>
                <w:sz w:val="16"/>
              </w:rPr>
              <w:t>Desaparecidos</w:t>
            </w:r>
          </w:p>
        </w:tc>
        <w:tc>
          <w:tcPr>
            <w:tcW w:w="539" w:type="dxa"/>
            <w:tcBorders>
              <w:top w:val="single" w:sz="4" w:space="0" w:color="auto"/>
              <w:bottom w:val="single" w:sz="12" w:space="0" w:color="auto"/>
            </w:tcBorders>
            <w:shd w:val="clear" w:color="auto" w:fill="auto"/>
            <w:vAlign w:val="center"/>
          </w:tcPr>
          <w:p w14:paraId="6132B041" w14:textId="428D40F8" w:rsidR="00A06406" w:rsidRPr="00704139" w:rsidRDefault="00A06406" w:rsidP="00A06406">
            <w:pPr>
              <w:pStyle w:val="SingleTxtG"/>
              <w:spacing w:before="80" w:after="80" w:line="200" w:lineRule="exact"/>
              <w:ind w:left="0" w:right="57"/>
              <w:jc w:val="right"/>
              <w:rPr>
                <w:i/>
                <w:sz w:val="16"/>
              </w:rPr>
            </w:pPr>
            <w:r w:rsidRPr="00704139">
              <w:rPr>
                <w:i/>
                <w:sz w:val="16"/>
              </w:rPr>
              <w:t>Total</w:t>
            </w:r>
          </w:p>
        </w:tc>
      </w:tr>
      <w:tr w:rsidR="00A06406" w:rsidRPr="00704139" w14:paraId="3FF925D3" w14:textId="77777777" w:rsidTr="00AC4E18">
        <w:tc>
          <w:tcPr>
            <w:tcW w:w="1176" w:type="dxa"/>
            <w:tcBorders>
              <w:top w:val="single" w:sz="12" w:space="0" w:color="auto"/>
            </w:tcBorders>
            <w:shd w:val="clear" w:color="auto" w:fill="auto"/>
          </w:tcPr>
          <w:p w14:paraId="5DCECCE4" w14:textId="3B738058" w:rsidR="00A06406" w:rsidRPr="00704139" w:rsidRDefault="00A06406" w:rsidP="00A06406">
            <w:pPr>
              <w:pStyle w:val="SingleTxtG"/>
              <w:spacing w:before="40" w:after="40" w:line="220" w:lineRule="exact"/>
              <w:ind w:left="0" w:right="0"/>
              <w:jc w:val="left"/>
              <w:rPr>
                <w:sz w:val="18"/>
              </w:rPr>
            </w:pPr>
            <w:r w:rsidRPr="00704139">
              <w:rPr>
                <w:sz w:val="18"/>
              </w:rPr>
              <w:t>Expedientes</w:t>
            </w:r>
          </w:p>
        </w:tc>
        <w:tc>
          <w:tcPr>
            <w:tcW w:w="826" w:type="dxa"/>
            <w:tcBorders>
              <w:top w:val="single" w:sz="12" w:space="0" w:color="auto"/>
            </w:tcBorders>
            <w:shd w:val="clear" w:color="auto" w:fill="auto"/>
            <w:vAlign w:val="center"/>
          </w:tcPr>
          <w:p w14:paraId="619734BF" w14:textId="36F47454" w:rsidR="00A06406" w:rsidRPr="00704139" w:rsidRDefault="00A06406" w:rsidP="00A06406">
            <w:pPr>
              <w:pStyle w:val="SingleTxtG"/>
              <w:spacing w:before="40" w:after="40" w:line="220" w:lineRule="exact"/>
              <w:ind w:left="0" w:right="57"/>
              <w:jc w:val="right"/>
              <w:rPr>
                <w:sz w:val="18"/>
              </w:rPr>
            </w:pPr>
            <w:r w:rsidRPr="00704139">
              <w:rPr>
                <w:sz w:val="18"/>
              </w:rPr>
              <w:t>103</w:t>
            </w:r>
          </w:p>
        </w:tc>
        <w:tc>
          <w:tcPr>
            <w:tcW w:w="1134" w:type="dxa"/>
            <w:tcBorders>
              <w:top w:val="single" w:sz="12" w:space="0" w:color="auto"/>
            </w:tcBorders>
            <w:shd w:val="clear" w:color="auto" w:fill="auto"/>
            <w:vAlign w:val="center"/>
          </w:tcPr>
          <w:p w14:paraId="00CF6F23" w14:textId="5B1F7DA6" w:rsidR="00A06406" w:rsidRPr="00704139" w:rsidRDefault="00A06406" w:rsidP="00A06406">
            <w:pPr>
              <w:pStyle w:val="SingleTxtG"/>
              <w:spacing w:before="40" w:after="40" w:line="220" w:lineRule="exact"/>
              <w:ind w:left="0" w:right="57"/>
              <w:jc w:val="right"/>
              <w:rPr>
                <w:sz w:val="18"/>
              </w:rPr>
            </w:pPr>
            <w:r w:rsidRPr="00704139">
              <w:rPr>
                <w:sz w:val="18"/>
              </w:rPr>
              <w:t>104</w:t>
            </w:r>
          </w:p>
        </w:tc>
        <w:tc>
          <w:tcPr>
            <w:tcW w:w="518" w:type="dxa"/>
            <w:tcBorders>
              <w:top w:val="single" w:sz="12" w:space="0" w:color="auto"/>
            </w:tcBorders>
            <w:shd w:val="clear" w:color="auto" w:fill="auto"/>
            <w:vAlign w:val="center"/>
          </w:tcPr>
          <w:p w14:paraId="30E74CD6" w14:textId="62243FEA" w:rsidR="00A06406" w:rsidRPr="00704139" w:rsidRDefault="00A06406" w:rsidP="00A06406">
            <w:pPr>
              <w:pStyle w:val="SingleTxtG"/>
              <w:spacing w:before="40" w:after="40" w:line="220" w:lineRule="exact"/>
              <w:ind w:left="0" w:right="57"/>
              <w:jc w:val="right"/>
              <w:rPr>
                <w:sz w:val="18"/>
              </w:rPr>
            </w:pPr>
            <w:r w:rsidRPr="00704139">
              <w:rPr>
                <w:sz w:val="18"/>
              </w:rPr>
              <w:t>207</w:t>
            </w:r>
          </w:p>
        </w:tc>
        <w:tc>
          <w:tcPr>
            <w:tcW w:w="741" w:type="dxa"/>
            <w:tcBorders>
              <w:top w:val="single" w:sz="12" w:space="0" w:color="auto"/>
            </w:tcBorders>
            <w:shd w:val="clear" w:color="auto" w:fill="auto"/>
            <w:vAlign w:val="center"/>
          </w:tcPr>
          <w:p w14:paraId="347B6D49" w14:textId="23B4E274" w:rsidR="00A06406" w:rsidRPr="00704139" w:rsidRDefault="00A06406" w:rsidP="00A06406">
            <w:pPr>
              <w:pStyle w:val="SingleTxtG"/>
              <w:spacing w:before="40" w:after="40" w:line="220" w:lineRule="exact"/>
              <w:ind w:left="0" w:right="57"/>
              <w:jc w:val="right"/>
              <w:rPr>
                <w:sz w:val="18"/>
              </w:rPr>
            </w:pPr>
            <w:r w:rsidRPr="00704139">
              <w:rPr>
                <w:sz w:val="18"/>
              </w:rPr>
              <w:t>69</w:t>
            </w:r>
          </w:p>
        </w:tc>
        <w:tc>
          <w:tcPr>
            <w:tcW w:w="1092" w:type="dxa"/>
            <w:tcBorders>
              <w:top w:val="single" w:sz="12" w:space="0" w:color="auto"/>
            </w:tcBorders>
            <w:shd w:val="clear" w:color="auto" w:fill="auto"/>
            <w:vAlign w:val="center"/>
          </w:tcPr>
          <w:p w14:paraId="7E1C49B1" w14:textId="6D604BF0" w:rsidR="00A06406" w:rsidRPr="00704139" w:rsidRDefault="00A06406" w:rsidP="00A06406">
            <w:pPr>
              <w:pStyle w:val="SingleTxtG"/>
              <w:spacing w:before="40" w:after="40" w:line="220" w:lineRule="exact"/>
              <w:ind w:left="0" w:right="57"/>
              <w:jc w:val="right"/>
              <w:rPr>
                <w:sz w:val="18"/>
              </w:rPr>
            </w:pPr>
            <w:r w:rsidRPr="00704139">
              <w:rPr>
                <w:sz w:val="18"/>
              </w:rPr>
              <w:t>54</w:t>
            </w:r>
          </w:p>
        </w:tc>
        <w:tc>
          <w:tcPr>
            <w:tcW w:w="588" w:type="dxa"/>
            <w:tcBorders>
              <w:top w:val="single" w:sz="12" w:space="0" w:color="auto"/>
            </w:tcBorders>
            <w:shd w:val="clear" w:color="auto" w:fill="auto"/>
            <w:vAlign w:val="center"/>
          </w:tcPr>
          <w:p w14:paraId="1E440E64" w14:textId="224E2130" w:rsidR="00A06406" w:rsidRPr="00704139" w:rsidRDefault="00A06406" w:rsidP="00A06406">
            <w:pPr>
              <w:pStyle w:val="SingleTxtG"/>
              <w:spacing w:before="40" w:after="40" w:line="220" w:lineRule="exact"/>
              <w:ind w:left="0" w:right="57"/>
              <w:jc w:val="right"/>
              <w:rPr>
                <w:sz w:val="18"/>
              </w:rPr>
            </w:pPr>
            <w:r w:rsidRPr="00704139">
              <w:rPr>
                <w:sz w:val="18"/>
              </w:rPr>
              <w:t>123</w:t>
            </w:r>
          </w:p>
        </w:tc>
        <w:tc>
          <w:tcPr>
            <w:tcW w:w="784" w:type="dxa"/>
            <w:tcBorders>
              <w:top w:val="single" w:sz="12" w:space="0" w:color="auto"/>
            </w:tcBorders>
            <w:shd w:val="clear" w:color="auto" w:fill="auto"/>
            <w:vAlign w:val="center"/>
          </w:tcPr>
          <w:p w14:paraId="33E8D098" w14:textId="2A5BF09A" w:rsidR="00A06406" w:rsidRPr="00704139" w:rsidRDefault="00A06406" w:rsidP="00A06406">
            <w:pPr>
              <w:pStyle w:val="SingleTxtG"/>
              <w:spacing w:before="40" w:after="40" w:line="220" w:lineRule="exact"/>
              <w:ind w:left="0" w:right="57"/>
              <w:jc w:val="right"/>
              <w:rPr>
                <w:sz w:val="18"/>
              </w:rPr>
            </w:pPr>
            <w:r w:rsidRPr="00704139">
              <w:rPr>
                <w:sz w:val="18"/>
              </w:rPr>
              <w:t>34</w:t>
            </w:r>
          </w:p>
        </w:tc>
        <w:tc>
          <w:tcPr>
            <w:tcW w:w="1106" w:type="dxa"/>
            <w:tcBorders>
              <w:top w:val="single" w:sz="12" w:space="0" w:color="auto"/>
            </w:tcBorders>
            <w:shd w:val="clear" w:color="auto" w:fill="auto"/>
            <w:vAlign w:val="center"/>
          </w:tcPr>
          <w:p w14:paraId="05972EE4" w14:textId="242A0655" w:rsidR="00A06406" w:rsidRPr="00704139" w:rsidRDefault="00A06406" w:rsidP="00A06406">
            <w:pPr>
              <w:pStyle w:val="SingleTxtG"/>
              <w:spacing w:before="40" w:after="40" w:line="220" w:lineRule="exact"/>
              <w:ind w:left="0" w:right="57"/>
              <w:jc w:val="right"/>
              <w:rPr>
                <w:sz w:val="18"/>
              </w:rPr>
            </w:pPr>
            <w:r w:rsidRPr="00704139">
              <w:rPr>
                <w:sz w:val="18"/>
              </w:rPr>
              <w:t>50</w:t>
            </w:r>
          </w:p>
        </w:tc>
        <w:tc>
          <w:tcPr>
            <w:tcW w:w="539" w:type="dxa"/>
            <w:tcBorders>
              <w:top w:val="single" w:sz="12" w:space="0" w:color="auto"/>
            </w:tcBorders>
            <w:shd w:val="clear" w:color="auto" w:fill="auto"/>
            <w:vAlign w:val="center"/>
          </w:tcPr>
          <w:p w14:paraId="13EE81E0" w14:textId="7B41C22B" w:rsidR="00A06406" w:rsidRPr="00704139" w:rsidRDefault="00A06406" w:rsidP="00A06406">
            <w:pPr>
              <w:pStyle w:val="SingleTxtG"/>
              <w:spacing w:before="40" w:after="40" w:line="220" w:lineRule="exact"/>
              <w:ind w:left="0" w:right="57"/>
              <w:jc w:val="right"/>
              <w:rPr>
                <w:sz w:val="18"/>
              </w:rPr>
            </w:pPr>
            <w:r w:rsidRPr="00704139">
              <w:rPr>
                <w:sz w:val="18"/>
              </w:rPr>
              <w:t>84</w:t>
            </w:r>
          </w:p>
        </w:tc>
      </w:tr>
      <w:tr w:rsidR="00A06406" w:rsidRPr="00704139" w14:paraId="49555BAC" w14:textId="77777777" w:rsidTr="00AC4E18">
        <w:tc>
          <w:tcPr>
            <w:tcW w:w="1176" w:type="dxa"/>
            <w:shd w:val="clear" w:color="auto" w:fill="auto"/>
          </w:tcPr>
          <w:p w14:paraId="542CD303" w14:textId="590F7FC4" w:rsidR="00A06406" w:rsidRPr="00704139" w:rsidRDefault="00A06406" w:rsidP="00A06406">
            <w:pPr>
              <w:pStyle w:val="SingleTxtG"/>
              <w:spacing w:before="40" w:after="40" w:line="220" w:lineRule="exact"/>
              <w:ind w:left="0" w:right="0"/>
              <w:jc w:val="left"/>
              <w:rPr>
                <w:sz w:val="18"/>
              </w:rPr>
            </w:pPr>
            <w:r w:rsidRPr="00704139">
              <w:rPr>
                <w:sz w:val="18"/>
              </w:rPr>
              <w:t>Expedientes Documentados</w:t>
            </w:r>
          </w:p>
        </w:tc>
        <w:tc>
          <w:tcPr>
            <w:tcW w:w="826" w:type="dxa"/>
            <w:shd w:val="clear" w:color="auto" w:fill="auto"/>
            <w:vAlign w:val="center"/>
          </w:tcPr>
          <w:p w14:paraId="56A7FF3E" w14:textId="24C2DCEA" w:rsidR="00A06406" w:rsidRPr="00704139" w:rsidRDefault="00A06406" w:rsidP="00A06406">
            <w:pPr>
              <w:pStyle w:val="SingleTxtG"/>
              <w:spacing w:before="40" w:after="40" w:line="220" w:lineRule="exact"/>
              <w:ind w:left="0" w:right="57"/>
              <w:jc w:val="right"/>
              <w:rPr>
                <w:sz w:val="18"/>
              </w:rPr>
            </w:pPr>
            <w:r w:rsidRPr="00704139">
              <w:rPr>
                <w:sz w:val="18"/>
              </w:rPr>
              <w:t>70</w:t>
            </w:r>
          </w:p>
        </w:tc>
        <w:tc>
          <w:tcPr>
            <w:tcW w:w="1134" w:type="dxa"/>
            <w:shd w:val="clear" w:color="auto" w:fill="auto"/>
            <w:vAlign w:val="center"/>
          </w:tcPr>
          <w:p w14:paraId="05F7CF9C" w14:textId="62A1C90F" w:rsidR="00A06406" w:rsidRPr="00704139" w:rsidRDefault="00A06406" w:rsidP="00A06406">
            <w:pPr>
              <w:pStyle w:val="SingleTxtG"/>
              <w:spacing w:before="40" w:after="40" w:line="220" w:lineRule="exact"/>
              <w:ind w:left="0" w:right="57"/>
              <w:jc w:val="right"/>
              <w:rPr>
                <w:sz w:val="18"/>
              </w:rPr>
            </w:pPr>
            <w:r w:rsidRPr="00704139">
              <w:rPr>
                <w:sz w:val="18"/>
              </w:rPr>
              <w:t>40</w:t>
            </w:r>
          </w:p>
        </w:tc>
        <w:tc>
          <w:tcPr>
            <w:tcW w:w="518" w:type="dxa"/>
            <w:shd w:val="clear" w:color="auto" w:fill="auto"/>
            <w:vAlign w:val="center"/>
          </w:tcPr>
          <w:p w14:paraId="0EE43E3C" w14:textId="73AB2C4C" w:rsidR="00A06406" w:rsidRPr="00704139" w:rsidRDefault="00A06406" w:rsidP="00A06406">
            <w:pPr>
              <w:pStyle w:val="SingleTxtG"/>
              <w:spacing w:before="40" w:after="40" w:line="220" w:lineRule="exact"/>
              <w:ind w:left="0" w:right="57"/>
              <w:jc w:val="right"/>
              <w:rPr>
                <w:sz w:val="18"/>
              </w:rPr>
            </w:pPr>
            <w:r w:rsidRPr="00704139">
              <w:rPr>
                <w:sz w:val="18"/>
              </w:rPr>
              <w:t>110</w:t>
            </w:r>
          </w:p>
        </w:tc>
        <w:tc>
          <w:tcPr>
            <w:tcW w:w="741" w:type="dxa"/>
            <w:shd w:val="clear" w:color="auto" w:fill="auto"/>
            <w:vAlign w:val="center"/>
          </w:tcPr>
          <w:p w14:paraId="65343DDD" w14:textId="08CF5660" w:rsidR="00A06406" w:rsidRPr="00704139" w:rsidRDefault="00A06406" w:rsidP="00A06406">
            <w:pPr>
              <w:pStyle w:val="SingleTxtG"/>
              <w:spacing w:before="40" w:after="40" w:line="220" w:lineRule="exact"/>
              <w:ind w:left="0" w:right="57"/>
              <w:jc w:val="right"/>
              <w:rPr>
                <w:sz w:val="18"/>
              </w:rPr>
            </w:pPr>
            <w:r w:rsidRPr="00704139">
              <w:rPr>
                <w:sz w:val="18"/>
              </w:rPr>
              <w:t>49</w:t>
            </w:r>
          </w:p>
        </w:tc>
        <w:tc>
          <w:tcPr>
            <w:tcW w:w="1092" w:type="dxa"/>
            <w:shd w:val="clear" w:color="auto" w:fill="auto"/>
            <w:vAlign w:val="center"/>
          </w:tcPr>
          <w:p w14:paraId="20363EB9" w14:textId="1531509B" w:rsidR="00A06406" w:rsidRPr="00704139" w:rsidRDefault="00A06406" w:rsidP="00A06406">
            <w:pPr>
              <w:pStyle w:val="SingleTxtG"/>
              <w:spacing w:before="40" w:after="40" w:line="220" w:lineRule="exact"/>
              <w:ind w:left="0" w:right="57"/>
              <w:jc w:val="right"/>
              <w:rPr>
                <w:sz w:val="18"/>
              </w:rPr>
            </w:pPr>
            <w:r w:rsidRPr="00704139">
              <w:rPr>
                <w:sz w:val="18"/>
              </w:rPr>
              <w:t>17</w:t>
            </w:r>
          </w:p>
        </w:tc>
        <w:tc>
          <w:tcPr>
            <w:tcW w:w="588" w:type="dxa"/>
            <w:shd w:val="clear" w:color="auto" w:fill="auto"/>
            <w:vAlign w:val="center"/>
          </w:tcPr>
          <w:p w14:paraId="5C110736" w14:textId="1FEE18D6" w:rsidR="00A06406" w:rsidRPr="00704139" w:rsidRDefault="00A06406" w:rsidP="00A06406">
            <w:pPr>
              <w:pStyle w:val="SingleTxtG"/>
              <w:spacing w:before="40" w:after="40" w:line="220" w:lineRule="exact"/>
              <w:ind w:left="0" w:right="57"/>
              <w:jc w:val="right"/>
              <w:rPr>
                <w:sz w:val="18"/>
              </w:rPr>
            </w:pPr>
            <w:r w:rsidRPr="00704139">
              <w:rPr>
                <w:sz w:val="18"/>
              </w:rPr>
              <w:t>66</w:t>
            </w:r>
          </w:p>
        </w:tc>
        <w:tc>
          <w:tcPr>
            <w:tcW w:w="784" w:type="dxa"/>
            <w:shd w:val="clear" w:color="auto" w:fill="auto"/>
            <w:vAlign w:val="center"/>
          </w:tcPr>
          <w:p w14:paraId="144E91D0" w14:textId="0C3B8B02" w:rsidR="00A06406" w:rsidRPr="00704139" w:rsidRDefault="00A06406" w:rsidP="00A06406">
            <w:pPr>
              <w:pStyle w:val="SingleTxtG"/>
              <w:spacing w:before="40" w:after="40" w:line="220" w:lineRule="exact"/>
              <w:ind w:left="0" w:right="57"/>
              <w:jc w:val="right"/>
              <w:rPr>
                <w:sz w:val="18"/>
              </w:rPr>
            </w:pPr>
            <w:r w:rsidRPr="00704139">
              <w:rPr>
                <w:sz w:val="18"/>
              </w:rPr>
              <w:t>21</w:t>
            </w:r>
          </w:p>
        </w:tc>
        <w:tc>
          <w:tcPr>
            <w:tcW w:w="1106" w:type="dxa"/>
            <w:shd w:val="clear" w:color="auto" w:fill="auto"/>
            <w:vAlign w:val="center"/>
          </w:tcPr>
          <w:p w14:paraId="253CA152" w14:textId="63508738" w:rsidR="00A06406" w:rsidRPr="00704139" w:rsidRDefault="00A06406" w:rsidP="00A06406">
            <w:pPr>
              <w:pStyle w:val="SingleTxtG"/>
              <w:spacing w:before="40" w:after="40" w:line="220" w:lineRule="exact"/>
              <w:ind w:left="0" w:right="57"/>
              <w:jc w:val="right"/>
              <w:rPr>
                <w:sz w:val="18"/>
              </w:rPr>
            </w:pPr>
            <w:r w:rsidRPr="00704139">
              <w:rPr>
                <w:sz w:val="18"/>
              </w:rPr>
              <w:t>23</w:t>
            </w:r>
          </w:p>
        </w:tc>
        <w:tc>
          <w:tcPr>
            <w:tcW w:w="539" w:type="dxa"/>
            <w:shd w:val="clear" w:color="auto" w:fill="auto"/>
            <w:vAlign w:val="center"/>
          </w:tcPr>
          <w:p w14:paraId="22058894" w14:textId="236051BA" w:rsidR="00A06406" w:rsidRPr="00704139" w:rsidRDefault="00A06406" w:rsidP="00A06406">
            <w:pPr>
              <w:pStyle w:val="SingleTxtG"/>
              <w:spacing w:before="40" w:after="40" w:line="220" w:lineRule="exact"/>
              <w:ind w:left="0" w:right="57"/>
              <w:jc w:val="right"/>
              <w:rPr>
                <w:sz w:val="18"/>
              </w:rPr>
            </w:pPr>
            <w:r w:rsidRPr="00704139">
              <w:rPr>
                <w:sz w:val="18"/>
              </w:rPr>
              <w:t>44</w:t>
            </w:r>
          </w:p>
        </w:tc>
      </w:tr>
      <w:tr w:rsidR="00A06406" w:rsidRPr="00704139" w14:paraId="7D509EBA" w14:textId="77777777" w:rsidTr="00AC4E18">
        <w:tc>
          <w:tcPr>
            <w:tcW w:w="1176" w:type="dxa"/>
            <w:shd w:val="clear" w:color="auto" w:fill="auto"/>
          </w:tcPr>
          <w:p w14:paraId="6AAAC161" w14:textId="42A56D33" w:rsidR="00A06406" w:rsidRPr="00704139" w:rsidRDefault="00A06406" w:rsidP="00A06406">
            <w:pPr>
              <w:pStyle w:val="SingleTxtG"/>
              <w:spacing w:before="40" w:after="40" w:line="220" w:lineRule="exact"/>
              <w:ind w:left="0" w:right="0"/>
              <w:jc w:val="left"/>
              <w:rPr>
                <w:sz w:val="18"/>
              </w:rPr>
            </w:pPr>
            <w:r w:rsidRPr="00704139">
              <w:rPr>
                <w:sz w:val="18"/>
              </w:rPr>
              <w:t>Expedientes no Documentados</w:t>
            </w:r>
          </w:p>
        </w:tc>
        <w:tc>
          <w:tcPr>
            <w:tcW w:w="826" w:type="dxa"/>
            <w:shd w:val="clear" w:color="auto" w:fill="auto"/>
            <w:vAlign w:val="center"/>
          </w:tcPr>
          <w:p w14:paraId="33C995A8" w14:textId="412C1301" w:rsidR="00A06406" w:rsidRPr="00704139" w:rsidRDefault="00A06406" w:rsidP="00A06406">
            <w:pPr>
              <w:pStyle w:val="SingleTxtG"/>
              <w:spacing w:before="40" w:after="40" w:line="220" w:lineRule="exact"/>
              <w:ind w:left="0" w:right="57"/>
              <w:jc w:val="right"/>
              <w:rPr>
                <w:sz w:val="18"/>
              </w:rPr>
            </w:pPr>
            <w:r w:rsidRPr="00704139">
              <w:rPr>
                <w:sz w:val="18"/>
              </w:rPr>
              <w:t>6</w:t>
            </w:r>
          </w:p>
        </w:tc>
        <w:tc>
          <w:tcPr>
            <w:tcW w:w="1134" w:type="dxa"/>
            <w:shd w:val="clear" w:color="auto" w:fill="auto"/>
            <w:vAlign w:val="center"/>
          </w:tcPr>
          <w:p w14:paraId="577F2BB1" w14:textId="52E1DD50" w:rsidR="00A06406" w:rsidRPr="00704139" w:rsidRDefault="00A06406" w:rsidP="00A06406">
            <w:pPr>
              <w:pStyle w:val="SingleTxtG"/>
              <w:spacing w:before="40" w:after="40" w:line="220" w:lineRule="exact"/>
              <w:ind w:left="0" w:right="57"/>
              <w:jc w:val="right"/>
              <w:rPr>
                <w:sz w:val="18"/>
              </w:rPr>
            </w:pPr>
            <w:r w:rsidRPr="00704139">
              <w:rPr>
                <w:sz w:val="18"/>
              </w:rPr>
              <w:t>24</w:t>
            </w:r>
          </w:p>
        </w:tc>
        <w:tc>
          <w:tcPr>
            <w:tcW w:w="518" w:type="dxa"/>
            <w:shd w:val="clear" w:color="auto" w:fill="auto"/>
            <w:vAlign w:val="center"/>
          </w:tcPr>
          <w:p w14:paraId="44BC0117" w14:textId="3DF418A2" w:rsidR="00A06406" w:rsidRPr="00704139" w:rsidRDefault="00A06406" w:rsidP="00A06406">
            <w:pPr>
              <w:pStyle w:val="SingleTxtG"/>
              <w:spacing w:before="40" w:after="40" w:line="220" w:lineRule="exact"/>
              <w:ind w:left="0" w:right="57"/>
              <w:jc w:val="right"/>
              <w:rPr>
                <w:sz w:val="18"/>
              </w:rPr>
            </w:pPr>
            <w:r w:rsidRPr="00704139">
              <w:rPr>
                <w:sz w:val="18"/>
              </w:rPr>
              <w:t>30</w:t>
            </w:r>
          </w:p>
        </w:tc>
        <w:tc>
          <w:tcPr>
            <w:tcW w:w="741" w:type="dxa"/>
            <w:shd w:val="clear" w:color="auto" w:fill="auto"/>
            <w:vAlign w:val="center"/>
          </w:tcPr>
          <w:p w14:paraId="7B829662" w14:textId="5861DF22" w:rsidR="00A06406" w:rsidRPr="00704139" w:rsidRDefault="00A06406" w:rsidP="00A06406">
            <w:pPr>
              <w:pStyle w:val="SingleTxtG"/>
              <w:spacing w:before="40" w:after="40" w:line="220" w:lineRule="exact"/>
              <w:ind w:left="0" w:right="57"/>
              <w:jc w:val="right"/>
              <w:rPr>
                <w:sz w:val="18"/>
              </w:rPr>
            </w:pPr>
            <w:r w:rsidRPr="00704139">
              <w:rPr>
                <w:sz w:val="18"/>
              </w:rPr>
              <w:t>2</w:t>
            </w:r>
          </w:p>
        </w:tc>
        <w:tc>
          <w:tcPr>
            <w:tcW w:w="1092" w:type="dxa"/>
            <w:shd w:val="clear" w:color="auto" w:fill="auto"/>
            <w:vAlign w:val="center"/>
          </w:tcPr>
          <w:p w14:paraId="5BD0354C" w14:textId="3DBA04DA" w:rsidR="00A06406" w:rsidRPr="00704139" w:rsidRDefault="00A06406" w:rsidP="00A06406">
            <w:pPr>
              <w:pStyle w:val="SingleTxtG"/>
              <w:spacing w:before="40" w:after="40" w:line="220" w:lineRule="exact"/>
              <w:ind w:left="0" w:right="57"/>
              <w:jc w:val="right"/>
              <w:rPr>
                <w:sz w:val="18"/>
              </w:rPr>
            </w:pPr>
            <w:r w:rsidRPr="00704139">
              <w:rPr>
                <w:sz w:val="18"/>
              </w:rPr>
              <w:t>18</w:t>
            </w:r>
          </w:p>
        </w:tc>
        <w:tc>
          <w:tcPr>
            <w:tcW w:w="588" w:type="dxa"/>
            <w:shd w:val="clear" w:color="auto" w:fill="auto"/>
            <w:vAlign w:val="center"/>
          </w:tcPr>
          <w:p w14:paraId="5D997CA6" w14:textId="2458EF72" w:rsidR="00A06406" w:rsidRPr="00704139" w:rsidRDefault="00A06406" w:rsidP="00A06406">
            <w:pPr>
              <w:pStyle w:val="SingleTxtG"/>
              <w:spacing w:before="40" w:after="40" w:line="220" w:lineRule="exact"/>
              <w:ind w:left="0" w:right="57"/>
              <w:jc w:val="right"/>
              <w:rPr>
                <w:sz w:val="18"/>
              </w:rPr>
            </w:pPr>
            <w:r w:rsidRPr="00704139">
              <w:rPr>
                <w:sz w:val="18"/>
              </w:rPr>
              <w:t>20</w:t>
            </w:r>
          </w:p>
        </w:tc>
        <w:tc>
          <w:tcPr>
            <w:tcW w:w="784" w:type="dxa"/>
            <w:shd w:val="clear" w:color="auto" w:fill="auto"/>
            <w:vAlign w:val="center"/>
          </w:tcPr>
          <w:p w14:paraId="644FD68D" w14:textId="02E6B080" w:rsidR="00A06406" w:rsidRPr="00704139" w:rsidRDefault="00A06406" w:rsidP="00A06406">
            <w:pPr>
              <w:pStyle w:val="SingleTxtG"/>
              <w:spacing w:before="40" w:after="40" w:line="220" w:lineRule="exact"/>
              <w:ind w:left="0" w:right="57"/>
              <w:jc w:val="right"/>
              <w:rPr>
                <w:sz w:val="18"/>
              </w:rPr>
            </w:pPr>
            <w:r w:rsidRPr="00704139">
              <w:rPr>
                <w:sz w:val="18"/>
              </w:rPr>
              <w:t>4</w:t>
            </w:r>
          </w:p>
        </w:tc>
        <w:tc>
          <w:tcPr>
            <w:tcW w:w="1106" w:type="dxa"/>
            <w:shd w:val="clear" w:color="auto" w:fill="auto"/>
            <w:vAlign w:val="center"/>
          </w:tcPr>
          <w:p w14:paraId="65E6CECA" w14:textId="670DC7EF" w:rsidR="00A06406" w:rsidRPr="00704139" w:rsidRDefault="00A06406" w:rsidP="00A06406">
            <w:pPr>
              <w:pStyle w:val="SingleTxtG"/>
              <w:spacing w:before="40" w:after="40" w:line="220" w:lineRule="exact"/>
              <w:ind w:left="0" w:right="57"/>
              <w:jc w:val="right"/>
              <w:rPr>
                <w:sz w:val="18"/>
              </w:rPr>
            </w:pPr>
            <w:r w:rsidRPr="00704139">
              <w:rPr>
                <w:sz w:val="18"/>
              </w:rPr>
              <w:t>6</w:t>
            </w:r>
          </w:p>
        </w:tc>
        <w:tc>
          <w:tcPr>
            <w:tcW w:w="539" w:type="dxa"/>
            <w:shd w:val="clear" w:color="auto" w:fill="auto"/>
            <w:vAlign w:val="center"/>
          </w:tcPr>
          <w:p w14:paraId="629806FA" w14:textId="16BC06D4" w:rsidR="00A06406" w:rsidRPr="00704139" w:rsidRDefault="00A06406" w:rsidP="00A06406">
            <w:pPr>
              <w:pStyle w:val="SingleTxtG"/>
              <w:spacing w:before="40" w:after="40" w:line="220" w:lineRule="exact"/>
              <w:ind w:left="0" w:right="57"/>
              <w:jc w:val="right"/>
              <w:rPr>
                <w:sz w:val="18"/>
              </w:rPr>
            </w:pPr>
            <w:r w:rsidRPr="00704139">
              <w:rPr>
                <w:sz w:val="18"/>
              </w:rPr>
              <w:t>10</w:t>
            </w:r>
          </w:p>
        </w:tc>
      </w:tr>
      <w:tr w:rsidR="00A06406" w:rsidRPr="00704139" w14:paraId="20EC79FD" w14:textId="77777777" w:rsidTr="00AC4E18">
        <w:tc>
          <w:tcPr>
            <w:tcW w:w="1176" w:type="dxa"/>
            <w:tcBorders>
              <w:bottom w:val="single" w:sz="12" w:space="0" w:color="auto"/>
            </w:tcBorders>
            <w:shd w:val="clear" w:color="auto" w:fill="auto"/>
          </w:tcPr>
          <w:p w14:paraId="18E633B8" w14:textId="5F5B260D" w:rsidR="00A06406" w:rsidRPr="00704139" w:rsidRDefault="00A06406" w:rsidP="00A06406">
            <w:pPr>
              <w:pStyle w:val="SingleTxtG"/>
              <w:spacing w:before="40" w:after="40" w:line="220" w:lineRule="exact"/>
              <w:ind w:left="0" w:right="0"/>
              <w:jc w:val="left"/>
              <w:rPr>
                <w:sz w:val="18"/>
              </w:rPr>
            </w:pPr>
            <w:r w:rsidRPr="00704139">
              <w:rPr>
                <w:sz w:val="18"/>
              </w:rPr>
              <w:t>Expedientes Cerrado</w:t>
            </w:r>
          </w:p>
        </w:tc>
        <w:tc>
          <w:tcPr>
            <w:tcW w:w="826" w:type="dxa"/>
            <w:tcBorders>
              <w:bottom w:val="single" w:sz="12" w:space="0" w:color="auto"/>
            </w:tcBorders>
            <w:shd w:val="clear" w:color="auto" w:fill="auto"/>
            <w:vAlign w:val="center"/>
          </w:tcPr>
          <w:p w14:paraId="525ACDEB" w14:textId="465EA5D1" w:rsidR="00A06406" w:rsidRPr="00704139" w:rsidRDefault="00A06406" w:rsidP="00A06406">
            <w:pPr>
              <w:pStyle w:val="SingleTxtG"/>
              <w:spacing w:before="40" w:after="40" w:line="220" w:lineRule="exact"/>
              <w:ind w:left="0" w:right="57"/>
              <w:jc w:val="right"/>
              <w:rPr>
                <w:sz w:val="18"/>
              </w:rPr>
            </w:pPr>
            <w:r w:rsidRPr="00704139">
              <w:rPr>
                <w:sz w:val="18"/>
              </w:rPr>
              <w:t>27</w:t>
            </w:r>
          </w:p>
        </w:tc>
        <w:tc>
          <w:tcPr>
            <w:tcW w:w="1134" w:type="dxa"/>
            <w:tcBorders>
              <w:bottom w:val="single" w:sz="12" w:space="0" w:color="auto"/>
            </w:tcBorders>
            <w:shd w:val="clear" w:color="auto" w:fill="auto"/>
            <w:vAlign w:val="center"/>
          </w:tcPr>
          <w:p w14:paraId="009A936E" w14:textId="380C229C" w:rsidR="00A06406" w:rsidRPr="00704139" w:rsidRDefault="00A06406" w:rsidP="00A06406">
            <w:pPr>
              <w:pStyle w:val="SingleTxtG"/>
              <w:spacing w:before="40" w:after="40" w:line="220" w:lineRule="exact"/>
              <w:ind w:left="0" w:right="57"/>
              <w:jc w:val="right"/>
              <w:rPr>
                <w:sz w:val="18"/>
              </w:rPr>
            </w:pPr>
            <w:r w:rsidRPr="00704139">
              <w:rPr>
                <w:sz w:val="18"/>
              </w:rPr>
              <w:t>40</w:t>
            </w:r>
          </w:p>
        </w:tc>
        <w:tc>
          <w:tcPr>
            <w:tcW w:w="518" w:type="dxa"/>
            <w:tcBorders>
              <w:bottom w:val="single" w:sz="12" w:space="0" w:color="auto"/>
            </w:tcBorders>
            <w:shd w:val="clear" w:color="auto" w:fill="auto"/>
            <w:vAlign w:val="center"/>
          </w:tcPr>
          <w:p w14:paraId="45169B62" w14:textId="449892CA" w:rsidR="00A06406" w:rsidRPr="00704139" w:rsidRDefault="00A06406" w:rsidP="00A06406">
            <w:pPr>
              <w:pStyle w:val="SingleTxtG"/>
              <w:spacing w:before="40" w:after="40" w:line="220" w:lineRule="exact"/>
              <w:ind w:left="0" w:right="57"/>
              <w:jc w:val="right"/>
              <w:rPr>
                <w:sz w:val="18"/>
              </w:rPr>
            </w:pPr>
            <w:r w:rsidRPr="00704139">
              <w:rPr>
                <w:sz w:val="18"/>
              </w:rPr>
              <w:t>67</w:t>
            </w:r>
          </w:p>
        </w:tc>
        <w:tc>
          <w:tcPr>
            <w:tcW w:w="741" w:type="dxa"/>
            <w:tcBorders>
              <w:bottom w:val="single" w:sz="12" w:space="0" w:color="auto"/>
            </w:tcBorders>
            <w:shd w:val="clear" w:color="auto" w:fill="auto"/>
            <w:vAlign w:val="center"/>
          </w:tcPr>
          <w:p w14:paraId="0F53CFD4" w14:textId="2C441A3D" w:rsidR="00A06406" w:rsidRPr="00704139" w:rsidRDefault="00A06406" w:rsidP="00A06406">
            <w:pPr>
              <w:pStyle w:val="SingleTxtG"/>
              <w:spacing w:before="40" w:after="40" w:line="220" w:lineRule="exact"/>
              <w:ind w:left="0" w:right="57"/>
              <w:jc w:val="right"/>
              <w:rPr>
                <w:sz w:val="18"/>
              </w:rPr>
            </w:pPr>
            <w:r w:rsidRPr="00704139">
              <w:rPr>
                <w:sz w:val="18"/>
              </w:rPr>
              <w:t>18</w:t>
            </w:r>
          </w:p>
        </w:tc>
        <w:tc>
          <w:tcPr>
            <w:tcW w:w="1092" w:type="dxa"/>
            <w:tcBorders>
              <w:bottom w:val="single" w:sz="12" w:space="0" w:color="auto"/>
            </w:tcBorders>
            <w:shd w:val="clear" w:color="auto" w:fill="auto"/>
            <w:vAlign w:val="center"/>
          </w:tcPr>
          <w:p w14:paraId="1D58B310" w14:textId="4BAF5B3E" w:rsidR="00A06406" w:rsidRPr="00704139" w:rsidRDefault="00A06406" w:rsidP="00A06406">
            <w:pPr>
              <w:pStyle w:val="SingleTxtG"/>
              <w:spacing w:before="40" w:after="40" w:line="220" w:lineRule="exact"/>
              <w:ind w:left="0" w:right="57"/>
              <w:jc w:val="right"/>
              <w:rPr>
                <w:sz w:val="18"/>
              </w:rPr>
            </w:pPr>
            <w:r w:rsidRPr="00704139">
              <w:rPr>
                <w:sz w:val="18"/>
              </w:rPr>
              <w:t>19</w:t>
            </w:r>
          </w:p>
        </w:tc>
        <w:tc>
          <w:tcPr>
            <w:tcW w:w="588" w:type="dxa"/>
            <w:tcBorders>
              <w:bottom w:val="single" w:sz="12" w:space="0" w:color="auto"/>
            </w:tcBorders>
            <w:shd w:val="clear" w:color="auto" w:fill="auto"/>
            <w:vAlign w:val="center"/>
          </w:tcPr>
          <w:p w14:paraId="6EDA2561" w14:textId="214C457F" w:rsidR="00A06406" w:rsidRPr="00704139" w:rsidRDefault="00A06406" w:rsidP="00A06406">
            <w:pPr>
              <w:pStyle w:val="SingleTxtG"/>
              <w:spacing w:before="40" w:after="40" w:line="220" w:lineRule="exact"/>
              <w:ind w:left="0" w:right="57"/>
              <w:jc w:val="right"/>
              <w:rPr>
                <w:sz w:val="18"/>
              </w:rPr>
            </w:pPr>
            <w:r w:rsidRPr="00704139">
              <w:rPr>
                <w:sz w:val="18"/>
              </w:rPr>
              <w:t>37</w:t>
            </w:r>
          </w:p>
        </w:tc>
        <w:tc>
          <w:tcPr>
            <w:tcW w:w="784" w:type="dxa"/>
            <w:tcBorders>
              <w:bottom w:val="single" w:sz="12" w:space="0" w:color="auto"/>
            </w:tcBorders>
            <w:shd w:val="clear" w:color="auto" w:fill="auto"/>
            <w:vAlign w:val="center"/>
          </w:tcPr>
          <w:p w14:paraId="41D8FFC3" w14:textId="0612E92A" w:rsidR="00A06406" w:rsidRPr="00704139" w:rsidRDefault="00A06406" w:rsidP="00A06406">
            <w:pPr>
              <w:pStyle w:val="SingleTxtG"/>
              <w:spacing w:before="40" w:after="40" w:line="220" w:lineRule="exact"/>
              <w:ind w:left="0" w:right="57"/>
              <w:jc w:val="right"/>
              <w:rPr>
                <w:sz w:val="18"/>
              </w:rPr>
            </w:pPr>
            <w:r w:rsidRPr="00704139">
              <w:rPr>
                <w:sz w:val="18"/>
              </w:rPr>
              <w:t>9</w:t>
            </w:r>
          </w:p>
        </w:tc>
        <w:tc>
          <w:tcPr>
            <w:tcW w:w="1106" w:type="dxa"/>
            <w:tcBorders>
              <w:bottom w:val="single" w:sz="12" w:space="0" w:color="auto"/>
            </w:tcBorders>
            <w:shd w:val="clear" w:color="auto" w:fill="auto"/>
            <w:vAlign w:val="center"/>
          </w:tcPr>
          <w:p w14:paraId="3CD8A9B1" w14:textId="1E87A370" w:rsidR="00A06406" w:rsidRPr="00704139" w:rsidRDefault="00A06406" w:rsidP="00A06406">
            <w:pPr>
              <w:pStyle w:val="SingleTxtG"/>
              <w:spacing w:before="40" w:after="40" w:line="220" w:lineRule="exact"/>
              <w:ind w:left="0" w:right="57"/>
              <w:jc w:val="right"/>
              <w:rPr>
                <w:sz w:val="18"/>
              </w:rPr>
            </w:pPr>
            <w:r w:rsidRPr="00704139">
              <w:rPr>
                <w:sz w:val="18"/>
              </w:rPr>
              <w:t>21</w:t>
            </w:r>
          </w:p>
        </w:tc>
        <w:tc>
          <w:tcPr>
            <w:tcW w:w="539" w:type="dxa"/>
            <w:tcBorders>
              <w:bottom w:val="single" w:sz="12" w:space="0" w:color="auto"/>
            </w:tcBorders>
            <w:shd w:val="clear" w:color="auto" w:fill="auto"/>
            <w:vAlign w:val="center"/>
          </w:tcPr>
          <w:p w14:paraId="5EF2BA93" w14:textId="5495B57C" w:rsidR="00A06406" w:rsidRPr="00704139" w:rsidRDefault="00A06406" w:rsidP="00A06406">
            <w:pPr>
              <w:pStyle w:val="SingleTxtG"/>
              <w:spacing w:before="40" w:after="40" w:line="220" w:lineRule="exact"/>
              <w:ind w:left="0" w:right="57"/>
              <w:jc w:val="right"/>
              <w:rPr>
                <w:sz w:val="18"/>
              </w:rPr>
            </w:pPr>
            <w:r w:rsidRPr="00704139">
              <w:rPr>
                <w:sz w:val="18"/>
              </w:rPr>
              <w:t>30</w:t>
            </w:r>
          </w:p>
        </w:tc>
      </w:tr>
    </w:tbl>
    <w:p w14:paraId="40EF99E4" w14:textId="7075F136" w:rsidR="00996ACD" w:rsidRPr="00DF437B" w:rsidRDefault="008E2C7A" w:rsidP="00A06406">
      <w:pPr>
        <w:pStyle w:val="SingleTxtG"/>
        <w:keepNext/>
        <w:keepLines/>
        <w:spacing w:before="240"/>
      </w:pPr>
      <w:r w:rsidRPr="00DF437B">
        <w:t>7.</w:t>
      </w:r>
      <w:r w:rsidRPr="00DF437B">
        <w:tab/>
      </w:r>
      <w:r w:rsidR="00996ACD" w:rsidRPr="00DF437B">
        <w:rPr>
          <w:color w:val="000000"/>
        </w:rPr>
        <w:t>El</w:t>
      </w:r>
      <w:r w:rsidR="00996ACD" w:rsidRPr="00DF437B">
        <w:t xml:space="preserve"> Ministerio Público de Panamá, inicialmente reportó que de los casos que reúnen las características de desaparición forzada ocurridas durante el régimen militar, se contaban 53 víctimas identificadas a razón de las constancias que se encuentran dentro de cada causa penal; de igual forma se clasifican 25, catalogadas como homicidio doloso, y 33 como desaparecidas, lo que según la actualización asciende a 111 víctimas.</w:t>
      </w:r>
    </w:p>
    <w:p w14:paraId="7B9C75A9" w14:textId="5C136E29" w:rsidR="00996ACD" w:rsidRPr="00BE5879" w:rsidRDefault="008E2C7A" w:rsidP="008E2C7A">
      <w:pPr>
        <w:pStyle w:val="SingleTxtG"/>
      </w:pPr>
      <w:r w:rsidRPr="00BE5879">
        <w:t>8.</w:t>
      </w:r>
      <w:r w:rsidRPr="00BE5879">
        <w:tab/>
      </w:r>
      <w:r w:rsidR="00996ACD">
        <w:t>De</w:t>
      </w:r>
      <w:r w:rsidR="00996ACD" w:rsidRPr="00BE5879">
        <w:t xml:space="preserve"> las 11</w:t>
      </w:r>
      <w:r w:rsidR="00996ACD">
        <w:t>1</w:t>
      </w:r>
      <w:r w:rsidR="00996ACD" w:rsidRPr="00BE5879">
        <w:t xml:space="preserve"> personas cuyos casos fueron analizados y confirmados por </w:t>
      </w:r>
      <w:r w:rsidR="00996ACD" w:rsidRPr="000A1B42">
        <w:t>la Comisión de la Verdad como víctimas, 13 personas se encuentran en el listado de reparación que reposa dentro del Acuerdo Amistoso celebrado entre Panamá y el Comité de Familiares de Asesinados y Desaparecidos durante la Dictadura Militar en Panamá (COFADEPA), de manera que, la investigación llevada a cabo por la Comisión, sirvió de bas</w:t>
      </w:r>
      <w:r w:rsidR="00996ACD" w:rsidRPr="00BE5879">
        <w:t>e para instaurar ante organismos internacionales solicitudes de resarcimiento, producto de las violaciones sufridas durante el periodo comprendido entre 1968 y 1989, llamado dictadura militar.</w:t>
      </w:r>
    </w:p>
    <w:p w14:paraId="0591CCC7" w14:textId="5F91165A" w:rsidR="00996ACD" w:rsidRDefault="008E2C7A" w:rsidP="008E2C7A">
      <w:pPr>
        <w:pStyle w:val="SingleTxtG"/>
      </w:pPr>
      <w:r>
        <w:t>9.</w:t>
      </w:r>
      <w:r>
        <w:tab/>
      </w:r>
      <w:r w:rsidR="00996ACD">
        <w:t>Por su parte, el Tribunal Electoral de Panamá dentro de sus funciones de hechos vitales, apertura expediente por cada persona reportada desaparecida, la cual constituye una herramienta para posteriores procesos de investigación, incluyendo la siguiente información</w:t>
      </w:r>
      <w:r w:rsidR="00AB513B">
        <w:t>:</w:t>
      </w:r>
    </w:p>
    <w:p w14:paraId="4569909C" w14:textId="7721BEB2" w:rsidR="00996ACD" w:rsidRDefault="00483652" w:rsidP="00483652">
      <w:pPr>
        <w:pStyle w:val="SingleTxtG"/>
      </w:pPr>
      <w:r>
        <w:tab/>
        <w:t>a)</w:t>
      </w:r>
      <w:r>
        <w:tab/>
      </w:r>
      <w:r w:rsidR="00996ACD">
        <w:t>Nombres y apellidos de la persona indicada como víctima y si se trataba de una persona muerta o desaparecida</w:t>
      </w:r>
      <w:r w:rsidR="00AB513B">
        <w:t>;</w:t>
      </w:r>
    </w:p>
    <w:p w14:paraId="7DDD91DA" w14:textId="11AA1766" w:rsidR="00996ACD" w:rsidRDefault="00483652" w:rsidP="00483652">
      <w:pPr>
        <w:pStyle w:val="SingleTxtG"/>
      </w:pPr>
      <w:r>
        <w:tab/>
        <w:t>b)</w:t>
      </w:r>
      <w:r>
        <w:tab/>
      </w:r>
      <w:r w:rsidR="00996ACD">
        <w:t>Edad, estado civil, número de hijos e hijas, grado de escolaridad, ocupación y militancia política</w:t>
      </w:r>
      <w:r w:rsidR="00AB513B">
        <w:t>;</w:t>
      </w:r>
    </w:p>
    <w:p w14:paraId="38314897" w14:textId="6002AF85" w:rsidR="00996ACD" w:rsidRDefault="00483652" w:rsidP="00483652">
      <w:pPr>
        <w:pStyle w:val="SingleTxtG"/>
      </w:pPr>
      <w:r>
        <w:tab/>
        <w:t>c)</w:t>
      </w:r>
      <w:r>
        <w:tab/>
      </w:r>
      <w:r w:rsidR="00996ACD">
        <w:t>Información relacionada con la desaparición, que generalmente eran narrados por familiares de las víctimas, así como de otros testigos, incluyendo el análisis de expedientes judiciales.</w:t>
      </w:r>
    </w:p>
    <w:p w14:paraId="70E6FC07" w14:textId="55D17562" w:rsidR="00996ACD" w:rsidRPr="00BE5879" w:rsidRDefault="008E2C7A" w:rsidP="008E2C7A">
      <w:pPr>
        <w:pStyle w:val="SingleTxtG"/>
      </w:pPr>
      <w:r w:rsidRPr="00BE5879">
        <w:t>10.</w:t>
      </w:r>
      <w:r w:rsidRPr="00BE5879">
        <w:tab/>
      </w:r>
      <w:r w:rsidR="00996ACD" w:rsidRPr="000525CD">
        <w:rPr>
          <w:color w:val="000000"/>
        </w:rPr>
        <w:t>En cuanto a las personas desaparecidas durante la invasión del 20 de diciembre de 1989, cuya</w:t>
      </w:r>
      <w:r w:rsidR="00996ACD" w:rsidRPr="00BE5879">
        <w:t xml:space="preserve"> </w:t>
      </w:r>
      <w:r w:rsidR="00996ACD" w:rsidRPr="000525CD">
        <w:rPr>
          <w:color w:val="000000"/>
        </w:rPr>
        <w:t>actualización</w:t>
      </w:r>
      <w:r w:rsidR="00996ACD" w:rsidRPr="00BE5879">
        <w:t xml:space="preserve"> está a cargo de </w:t>
      </w:r>
      <w:r w:rsidR="00996ACD" w:rsidRPr="000A1B42">
        <w:t>la Comisión del 20 de diciembre, e</w:t>
      </w:r>
      <w:r w:rsidR="00996ACD" w:rsidRPr="00BE5879">
        <w:t xml:space="preserve">n un principio se contaba con un aproximado de 333 personas desaparecidas. Posteriormente, se realizó una depuración en conjunto con el Ministerio Público, quedando un listado </w:t>
      </w:r>
      <w:r w:rsidR="00996ACD">
        <w:t xml:space="preserve">oficial </w:t>
      </w:r>
      <w:r w:rsidR="00996ACD" w:rsidRPr="00BE5879">
        <w:t>de 313 personas.</w:t>
      </w:r>
    </w:p>
    <w:p w14:paraId="345D0130" w14:textId="7A3F8EEC" w:rsidR="00996ACD" w:rsidRDefault="008E2C7A" w:rsidP="008E2C7A">
      <w:pPr>
        <w:pStyle w:val="SingleTxtG"/>
        <w:rPr>
          <w:lang w:val="es-PA"/>
        </w:rPr>
      </w:pPr>
      <w:r>
        <w:rPr>
          <w:lang w:val="es-PA"/>
        </w:rPr>
        <w:t>11.</w:t>
      </w:r>
      <w:r>
        <w:rPr>
          <w:lang w:val="es-PA"/>
        </w:rPr>
        <w:tab/>
      </w:r>
      <w:r w:rsidR="00996ACD" w:rsidRPr="00C75F14">
        <w:t xml:space="preserve">Es importante mencionar que el Ministerio Público, a través de la Fiscalía Superior de Descarga, ha logrado recuperar 68 expedientes que fueron judicializados y sobreseídos provisionalmente, los cuales guardan relación con las víctimas supra citadas. </w:t>
      </w:r>
      <w:r w:rsidR="00996ACD" w:rsidRPr="008B2535">
        <w:rPr>
          <w:lang w:val="es-PA"/>
        </w:rPr>
        <w:t>Del total de los 17 casos de personas desaparecidas, se obtuvo la identificación de una víctima, por parte de la colaboración de la Fundación de Antropología Forense de Guatemala</w:t>
      </w:r>
      <w:r w:rsidR="00996ACD">
        <w:rPr>
          <w:lang w:val="es-PA"/>
        </w:rPr>
        <w:t>, a</w:t>
      </w:r>
      <w:r w:rsidR="00996ACD" w:rsidRPr="006167E8">
        <w:rPr>
          <w:lang w:val="es-PA"/>
        </w:rPr>
        <w:t xml:space="preserve"> través de Asistencia Legal Mutua No. 59-24 de fecha 27 de mayo de 2024, solicitada a la República de Guatemala se gestione ante la Fundación de Antropología Forense de Guatemala la realización de análisis genético de muestras de veintiocho (28) restos óseos humanos de víctimas de la invasión para obtención de perfil genético, y cotejadas con los perfiles genéticos de familiares de víctimas con fines de identificación, para culminar con la FASE</w:t>
      </w:r>
      <w:r>
        <w:rPr>
          <w:lang w:val="es-PA"/>
        </w:rPr>
        <w:t> </w:t>
      </w:r>
      <w:r w:rsidR="00996ACD" w:rsidRPr="006167E8">
        <w:rPr>
          <w:lang w:val="es-PA"/>
        </w:rPr>
        <w:t>IV, correspondiente al análisis genético y FASE V, de identificación.</w:t>
      </w:r>
    </w:p>
    <w:p w14:paraId="71A19381" w14:textId="3A314078" w:rsidR="00996ACD" w:rsidRDefault="008E2C7A" w:rsidP="008E2C7A">
      <w:pPr>
        <w:pStyle w:val="SingleTxtG"/>
      </w:pPr>
      <w:r>
        <w:t>12.</w:t>
      </w:r>
      <w:r>
        <w:tab/>
      </w:r>
      <w:r w:rsidR="00996ACD">
        <w:rPr>
          <w:lang w:val="es-PA"/>
        </w:rPr>
        <w:t xml:space="preserve">Hasta la </w:t>
      </w:r>
      <w:r w:rsidR="00996ACD" w:rsidRPr="00C75F14">
        <w:t xml:space="preserve">fecha </w:t>
      </w:r>
      <w:r w:rsidR="00996ACD">
        <w:t xml:space="preserve">se contabilizaron </w:t>
      </w:r>
      <w:r w:rsidR="00996ACD" w:rsidRPr="00C75F14">
        <w:t xml:space="preserve">43 bolsas con restos óseos humanos, más un fragmento, divididas en 35 sepulturas ubicadas en el Cementerio Jardín de Paz, y, 8 en el Cementerio Monte Esperanza. </w:t>
      </w:r>
      <w:r w:rsidR="00996ACD">
        <w:t>S</w:t>
      </w:r>
      <w:r w:rsidR="00996ACD" w:rsidRPr="00C75F14">
        <w:t>e ha concluido el análisis multidisciplinario de antropología, medicina y odontología forense de las sepulturas exhumadas.</w:t>
      </w:r>
    </w:p>
    <w:p w14:paraId="6F31BC8B" w14:textId="304DF809" w:rsidR="00996ACD" w:rsidRPr="00FE6BEB" w:rsidRDefault="008E2C7A" w:rsidP="008E2C7A">
      <w:pPr>
        <w:pStyle w:val="SingleTxtG"/>
        <w:rPr>
          <w:lang w:val="es-PA"/>
        </w:rPr>
      </w:pPr>
      <w:r w:rsidRPr="00FE6BEB">
        <w:rPr>
          <w:lang w:val="es-PA"/>
        </w:rPr>
        <w:t>13.</w:t>
      </w:r>
      <w:r w:rsidRPr="00FE6BEB">
        <w:rPr>
          <w:lang w:val="es-PA"/>
        </w:rPr>
        <w:tab/>
      </w:r>
      <w:r w:rsidR="00996ACD" w:rsidRPr="00FE6BEB">
        <w:t>La justicia penal panameña concluyó casi en su totalidad los casos relacionados con las víctimas del régimen militar, quedando pendiente 2 procesos que se encuentran activos, que a la fecha se ordenó la suspensión de las audiencias de fondo por la condición de salud de los imputados</w:t>
      </w:r>
      <w:r w:rsidR="00996ACD">
        <w:t>.</w:t>
      </w:r>
    </w:p>
    <w:p w14:paraId="43AE7CC6" w14:textId="148F0386" w:rsidR="00996ACD" w:rsidRPr="00BE5879" w:rsidRDefault="00996ACD" w:rsidP="00483652">
      <w:pPr>
        <w:pStyle w:val="HChG"/>
      </w:pPr>
      <w:r w:rsidRPr="00776700">
        <w:lastRenderedPageBreak/>
        <w:t xml:space="preserve"> </w:t>
      </w:r>
      <w:r w:rsidR="00483652">
        <w:tab/>
      </w:r>
      <w:r w:rsidRPr="00BE5879">
        <w:t>III.</w:t>
      </w:r>
      <w:r w:rsidR="00483652">
        <w:tab/>
      </w:r>
      <w:r w:rsidRPr="00BE5879">
        <w:t xml:space="preserve">Medidas para prevenir las desapariciones forzadas </w:t>
      </w:r>
      <w:r w:rsidR="008E2C7A">
        <w:br/>
      </w:r>
      <w:r w:rsidRPr="00BE5879">
        <w:t>(arts. 16 a 23)</w:t>
      </w:r>
    </w:p>
    <w:p w14:paraId="4430955E" w14:textId="1FC64698" w:rsidR="00996ACD" w:rsidRPr="00BE5879" w:rsidRDefault="00483652" w:rsidP="000525CD">
      <w:pPr>
        <w:pStyle w:val="H1G"/>
      </w:pPr>
      <w:r>
        <w:tab/>
      </w:r>
      <w:r>
        <w:tab/>
      </w:r>
      <w:r w:rsidR="00996ACD" w:rsidRPr="00BE5879">
        <w:t>Comunicación de las personas privadas de libertad</w:t>
      </w:r>
    </w:p>
    <w:p w14:paraId="16DF02FB" w14:textId="7A59404F" w:rsidR="00996ACD" w:rsidRPr="00BE5879" w:rsidRDefault="00483652" w:rsidP="00483652">
      <w:pPr>
        <w:pStyle w:val="H23G"/>
        <w:rPr>
          <w:rFonts w:eastAsia="Cambria"/>
          <w:bCs/>
          <w:color w:val="000000"/>
          <w:sz w:val="24"/>
          <w:szCs w:val="24"/>
        </w:rPr>
      </w:pPr>
      <w:r>
        <w:tab/>
      </w:r>
      <w:r>
        <w:tab/>
      </w:r>
      <w:r w:rsidRPr="00996ACD">
        <w:t>Información de seguimiento sobre el párrafo</w:t>
      </w:r>
      <w:r>
        <w:t xml:space="preserve"> 27</w:t>
      </w:r>
      <w:r w:rsidRPr="00996ACD">
        <w:t xml:space="preserve"> de las observaciones finales</w:t>
      </w:r>
    </w:p>
    <w:p w14:paraId="0196A2A1" w14:textId="4A152571" w:rsidR="00996ACD" w:rsidRDefault="008E2C7A" w:rsidP="008E2C7A">
      <w:pPr>
        <w:pStyle w:val="SingleTxtG"/>
      </w:pPr>
      <w:r>
        <w:t>14.</w:t>
      </w:r>
      <w:r>
        <w:tab/>
      </w:r>
      <w:r w:rsidR="00996ACD" w:rsidRPr="00E66659">
        <w:rPr>
          <w:bCs/>
        </w:rPr>
        <w:t xml:space="preserve">La Dirección General del Sistema Penitenciario de Panamá bajo el Ministerio de Gobierno, </w:t>
      </w:r>
      <w:r w:rsidR="00996ACD" w:rsidRPr="000525CD">
        <w:rPr>
          <w:color w:val="000000"/>
        </w:rPr>
        <w:t>cuenta</w:t>
      </w:r>
      <w:r w:rsidR="00996ACD" w:rsidRPr="00E66659">
        <w:rPr>
          <w:bCs/>
        </w:rPr>
        <w:t xml:space="preserve"> con el </w:t>
      </w:r>
      <w:r w:rsidR="00996ACD" w:rsidRPr="00E66659">
        <w:t>“Protocolo para ingreso de personas privadas de libertad a un centro penitenciario” de obligatorio cumplimiento</w:t>
      </w:r>
      <w:r w:rsidR="00996ACD">
        <w:t>.</w:t>
      </w:r>
    </w:p>
    <w:p w14:paraId="409B9BB9" w14:textId="0DD1F0F2" w:rsidR="00996ACD" w:rsidRDefault="008E2C7A" w:rsidP="008E2C7A">
      <w:pPr>
        <w:pStyle w:val="SingleTxtG"/>
      </w:pPr>
      <w:r>
        <w:t>15.</w:t>
      </w:r>
      <w:r>
        <w:tab/>
      </w:r>
      <w:r w:rsidR="00996ACD">
        <w:rPr>
          <w:bCs/>
        </w:rPr>
        <w:t xml:space="preserve">El Protocolo contempla para </w:t>
      </w:r>
      <w:r w:rsidR="00996ACD" w:rsidRPr="001A1803">
        <w:t xml:space="preserve">aquellas personas </w:t>
      </w:r>
      <w:r w:rsidR="00996ACD">
        <w:t>que se le ha dispuesto</w:t>
      </w:r>
      <w:r w:rsidR="00996ACD" w:rsidRPr="001A1803">
        <w:t xml:space="preserve"> una orden de detención provisional, </w:t>
      </w:r>
      <w:r w:rsidR="00996ACD">
        <w:t xml:space="preserve">o </w:t>
      </w:r>
      <w:r w:rsidR="00996ACD" w:rsidRPr="001A1803">
        <w:t xml:space="preserve">una sanción penal privativa de libertad, o una sanción administrativa de policía, a </w:t>
      </w:r>
      <w:r w:rsidR="00996ACD" w:rsidRPr="000525CD">
        <w:rPr>
          <w:color w:val="000000"/>
        </w:rPr>
        <w:t>su</w:t>
      </w:r>
      <w:r w:rsidR="00996ACD" w:rsidRPr="001A1803">
        <w:t xml:space="preserve"> ingreso a un centro penitenciario</w:t>
      </w:r>
      <w:r w:rsidR="00996ACD">
        <w:t xml:space="preserve">, la oportunidad de </w:t>
      </w:r>
      <w:r w:rsidR="00996ACD" w:rsidRPr="001A1803">
        <w:t>llama</w:t>
      </w:r>
      <w:r w:rsidR="00996ACD">
        <w:t>r</w:t>
      </w:r>
      <w:r w:rsidR="00996ACD" w:rsidRPr="001A1803">
        <w:t xml:space="preserve"> telefónica</w:t>
      </w:r>
      <w:r w:rsidR="00996ACD">
        <w:t xml:space="preserve">mente </w:t>
      </w:r>
      <w:r w:rsidR="00996ACD" w:rsidRPr="001A1803">
        <w:t>a un familiar, persona de su elección, o a un representante consular</w:t>
      </w:r>
      <w:r w:rsidR="00996ACD">
        <w:t xml:space="preserve">, </w:t>
      </w:r>
      <w:r w:rsidR="00996ACD" w:rsidRPr="001A1803">
        <w:t>en caso de ser extranjero</w:t>
      </w:r>
      <w:r w:rsidR="00996ACD">
        <w:t xml:space="preserve">. </w:t>
      </w:r>
      <w:r w:rsidR="00996ACD" w:rsidRPr="001A1803">
        <w:t>Esta llamada es parte del proceso regular de ingreso</w:t>
      </w:r>
      <w:r w:rsidR="00996ACD">
        <w:t xml:space="preserve"> al centro,</w:t>
      </w:r>
      <w:r w:rsidR="00996ACD" w:rsidRPr="001A1803">
        <w:t xml:space="preserve"> y se realiza durante la primera entrevista</w:t>
      </w:r>
      <w:r w:rsidR="00996ACD">
        <w:t xml:space="preserve">. En este momento la persona privada de libertad puede informar a la persona que llama dónde se encuentra </w:t>
      </w:r>
      <w:r w:rsidR="00996ACD" w:rsidRPr="001A1803">
        <w:t>ubicado y cualquier necesidad inmediata</w:t>
      </w:r>
      <w:r w:rsidR="00996ACD">
        <w:t xml:space="preserve">, por ejemplo, </w:t>
      </w:r>
      <w:r w:rsidR="00996ACD" w:rsidRPr="001A1803">
        <w:t xml:space="preserve">de </w:t>
      </w:r>
      <w:r w:rsidR="00996ACD">
        <w:t>artículos de primera necesidad.</w:t>
      </w:r>
    </w:p>
    <w:p w14:paraId="414090A7" w14:textId="1974C992" w:rsidR="00996ACD" w:rsidRPr="003302EE" w:rsidRDefault="008E2C7A" w:rsidP="008E2C7A">
      <w:pPr>
        <w:pStyle w:val="SingleTxtG"/>
      </w:pPr>
      <w:r w:rsidRPr="003302EE">
        <w:t>16.</w:t>
      </w:r>
      <w:r w:rsidRPr="003302EE">
        <w:tab/>
      </w:r>
      <w:r w:rsidR="00996ACD" w:rsidRPr="003302EE">
        <w:t xml:space="preserve">Para el caso de privados de libertad extranjeros, el Ministerio Público ha establecido </w:t>
      </w:r>
      <w:r w:rsidR="00996ACD" w:rsidRPr="000525CD">
        <w:rPr>
          <w:color w:val="000000"/>
        </w:rPr>
        <w:t>directrices</w:t>
      </w:r>
      <w:r w:rsidR="00996ACD" w:rsidRPr="00BE5879">
        <w:t xml:space="preserve"> para que los </w:t>
      </w:r>
      <w:r w:rsidR="00996ACD">
        <w:t>y las F</w:t>
      </w:r>
      <w:r w:rsidR="00996ACD" w:rsidRPr="00BE5879">
        <w:t xml:space="preserve">iscales realicen las </w:t>
      </w:r>
      <w:r w:rsidR="00996ACD" w:rsidRPr="00483652">
        <w:t>comunicaciones pertinentes de manera inmediata con el Consulado del país de origen, a fin de garantizar sus derechos, en el marco del Artículo 36 de la Convención de Viena sobre Relaciones Consulares.</w:t>
      </w:r>
    </w:p>
    <w:p w14:paraId="6A4F5D7C" w14:textId="42FA8D3B" w:rsidR="00996ACD" w:rsidRDefault="008E2C7A" w:rsidP="008E2C7A">
      <w:pPr>
        <w:pStyle w:val="SingleTxtG"/>
      </w:pPr>
      <w:r>
        <w:t>17.</w:t>
      </w:r>
      <w:r>
        <w:tab/>
      </w:r>
      <w:r w:rsidR="00996ACD">
        <w:t xml:space="preserve">Paralelamente, se ha establecido formación continua en la sensibilización sobre los Derechos </w:t>
      </w:r>
      <w:r w:rsidR="00996ACD" w:rsidRPr="000525CD">
        <w:rPr>
          <w:color w:val="000000"/>
        </w:rPr>
        <w:t>Humanos</w:t>
      </w:r>
      <w:r w:rsidR="00996ACD">
        <w:t xml:space="preserve">. </w:t>
      </w:r>
      <w:r w:rsidR="00996ACD" w:rsidRPr="001A1803">
        <w:t>E</w:t>
      </w:r>
      <w:r w:rsidR="00996ACD">
        <w:t>l</w:t>
      </w:r>
      <w:r w:rsidR="00996ACD" w:rsidRPr="001A1803">
        <w:t xml:space="preserve"> </w:t>
      </w:r>
      <w:r w:rsidR="00996ACD">
        <w:t>P</w:t>
      </w:r>
      <w:r w:rsidR="00996ACD" w:rsidRPr="001A1803">
        <w:t xml:space="preserve">rotocolo </w:t>
      </w:r>
      <w:r w:rsidR="00996ACD">
        <w:t xml:space="preserve">de Admisión (antes referenciado), </w:t>
      </w:r>
      <w:r w:rsidR="00996ACD" w:rsidRPr="001A1803">
        <w:t>se enseña</w:t>
      </w:r>
      <w:r w:rsidR="00996ACD">
        <w:t xml:space="preserve"> en la capacitación del personal custodio y nuevos funcionarios a través de </w:t>
      </w:r>
      <w:r w:rsidR="00996ACD" w:rsidRPr="001A1803">
        <w:t>la Academia de Formación Penitenciaria</w:t>
      </w:r>
      <w:r w:rsidR="00996ACD">
        <w:t>.</w:t>
      </w:r>
    </w:p>
    <w:p w14:paraId="18FCCB0B" w14:textId="34C587BE" w:rsidR="00996ACD" w:rsidRPr="00BE5879" w:rsidRDefault="008E2C7A" w:rsidP="008E2C7A">
      <w:pPr>
        <w:pStyle w:val="SingleTxtG"/>
      </w:pPr>
      <w:r w:rsidRPr="00BE5879">
        <w:t>18.</w:t>
      </w:r>
      <w:r w:rsidRPr="00BE5879">
        <w:tab/>
      </w:r>
      <w:r w:rsidR="00996ACD">
        <w:t>De igual manera, l</w:t>
      </w:r>
      <w:r w:rsidR="00996ACD" w:rsidRPr="00BE5879">
        <w:t xml:space="preserve">a Policía </w:t>
      </w:r>
      <w:r w:rsidR="00996ACD" w:rsidRPr="00416FBF">
        <w:t xml:space="preserve">Nacional de Panamá bajo la División Académica del Centro de Capacitación y Especialización Policial “General José Domingo Espinar”, realiza </w:t>
      </w:r>
      <w:r w:rsidR="00996ACD" w:rsidRPr="000525CD">
        <w:rPr>
          <w:color w:val="000000"/>
        </w:rPr>
        <w:t>Diplomados</w:t>
      </w:r>
      <w:r w:rsidR="00996ACD" w:rsidRPr="00416FBF">
        <w:t>, Cursos, Seminarios, Jornadas y Talleres. Asimismo, el Centro de Capacitación y Especialización de la Policía (CECAESPOL), tiene programas en Educación Continua (ECO), dictados a unidades policiales. En el 2022 se formaron 15,021 y para el 2023 fueron 13,889 aproximadamente</w:t>
      </w:r>
      <w:r w:rsidR="00996ACD">
        <w:t>.</w:t>
      </w:r>
    </w:p>
    <w:p w14:paraId="4A4C8FF0" w14:textId="092A96FF" w:rsidR="00996ACD" w:rsidRPr="00BE5879" w:rsidRDefault="00483652" w:rsidP="00483652">
      <w:pPr>
        <w:pStyle w:val="HChG"/>
      </w:pPr>
      <w:r>
        <w:tab/>
      </w:r>
      <w:r w:rsidR="00996ACD" w:rsidRPr="00BE5879">
        <w:t>IV.</w:t>
      </w:r>
      <w:r>
        <w:tab/>
      </w:r>
      <w:r w:rsidR="00996ACD" w:rsidRPr="00BE5879">
        <w:t>Medidas para proteger y garantizar los derechos de las víctimas de desaparición forzada</w:t>
      </w:r>
    </w:p>
    <w:p w14:paraId="457109E2" w14:textId="4683111E" w:rsidR="00996ACD" w:rsidRPr="00BE5879" w:rsidRDefault="00483652" w:rsidP="00483652">
      <w:pPr>
        <w:pStyle w:val="H1G"/>
      </w:pPr>
      <w:r>
        <w:tab/>
      </w:r>
      <w:r>
        <w:tab/>
      </w:r>
      <w:r w:rsidR="00996ACD" w:rsidRPr="00BE5879">
        <w:t>Búsqueda de personas desaparecidas y entrega de restos mortales</w:t>
      </w:r>
    </w:p>
    <w:p w14:paraId="6D445808" w14:textId="70B4E2DB" w:rsidR="00996ACD" w:rsidRPr="00483652" w:rsidRDefault="00483652" w:rsidP="00483652">
      <w:pPr>
        <w:pStyle w:val="H23G"/>
        <w:rPr>
          <w:rFonts w:eastAsia="Cambria"/>
          <w:bCs/>
          <w:color w:val="000000"/>
          <w:sz w:val="24"/>
          <w:szCs w:val="24"/>
        </w:rPr>
      </w:pPr>
      <w:r>
        <w:tab/>
      </w:r>
      <w:r>
        <w:tab/>
      </w:r>
      <w:r w:rsidRPr="00996ACD">
        <w:t>Información de seguimiento sobre el párrafo</w:t>
      </w:r>
      <w:r>
        <w:t xml:space="preserve"> 37 a)</w:t>
      </w:r>
      <w:r w:rsidRPr="00996ACD">
        <w:t xml:space="preserve"> de las observaciones finales</w:t>
      </w:r>
    </w:p>
    <w:p w14:paraId="71F210F5" w14:textId="1A406DEB" w:rsidR="00996ACD" w:rsidRPr="00135B0C" w:rsidRDefault="008E2C7A" w:rsidP="008E2C7A">
      <w:pPr>
        <w:pStyle w:val="SingleTxtG"/>
        <w:rPr>
          <w:rFonts w:eastAsia="Cambria"/>
          <w:b/>
          <w:color w:val="000000"/>
        </w:rPr>
      </w:pPr>
      <w:r w:rsidRPr="00135B0C">
        <w:rPr>
          <w:rFonts w:eastAsia="Cambria"/>
          <w:color w:val="000000"/>
        </w:rPr>
        <w:t>19.</w:t>
      </w:r>
      <w:r w:rsidRPr="00135B0C">
        <w:rPr>
          <w:rFonts w:eastAsia="Cambria"/>
          <w:color w:val="000000"/>
        </w:rPr>
        <w:tab/>
      </w:r>
      <w:r w:rsidR="00996ACD">
        <w:t>A</w:t>
      </w:r>
      <w:r w:rsidR="00996ACD" w:rsidRPr="00135B0C">
        <w:t>unque existe desafíos en materia pres</w:t>
      </w:r>
      <w:r w:rsidR="00996ACD">
        <w:t>upuestaria,</w:t>
      </w:r>
      <w:r w:rsidR="00996ACD" w:rsidRPr="00135B0C">
        <w:t xml:space="preserve"> </w:t>
      </w:r>
      <w:r w:rsidR="00996ACD">
        <w:t>e</w:t>
      </w:r>
      <w:r w:rsidR="00996ACD" w:rsidRPr="00135B0C">
        <w:t>l Estado panameño con fundamento en la Ley 80 de 1998, cuenta con una base y un banco de datos de Ácido Desoxirribonucleico (ADN), siendo el Instituto de Medicina Legal y Ciencias Forenses (IMELFC), el ente responsable de la información genética contenida en la base y banco de datos</w:t>
      </w:r>
      <w:r w:rsidR="00996ACD">
        <w:t>.</w:t>
      </w:r>
    </w:p>
    <w:p w14:paraId="7730501B" w14:textId="2108FB49" w:rsidR="00996ACD" w:rsidRPr="001664E8" w:rsidRDefault="008E2C7A" w:rsidP="008E2C7A">
      <w:pPr>
        <w:pStyle w:val="SingleTxtG"/>
      </w:pPr>
      <w:r w:rsidRPr="001664E8">
        <w:t>20.</w:t>
      </w:r>
      <w:r w:rsidRPr="001664E8">
        <w:tab/>
      </w:r>
      <w:r w:rsidR="00996ACD" w:rsidRPr="006F37A2">
        <w:t>El Laboratorio de Análisis de Biomolecular</w:t>
      </w:r>
      <w:r w:rsidR="00996ACD" w:rsidRPr="00F60637">
        <w:t xml:space="preserve">, </w:t>
      </w:r>
      <w:r w:rsidR="00996ACD" w:rsidRPr="001664E8">
        <w:t xml:space="preserve">se encarga del almacenamiento, organización y comparación de perfiles genéticos y muestras biológicas que se recaban de acuerdo con la ley, </w:t>
      </w:r>
      <w:r w:rsidR="00996ACD" w:rsidRPr="000525CD">
        <w:rPr>
          <w:color w:val="000000"/>
        </w:rPr>
        <w:t>de</w:t>
      </w:r>
      <w:r w:rsidR="00996ACD" w:rsidRPr="001664E8">
        <w:t xml:space="preserve"> casos humanitarios, civiles, criminales, de control de calidad e índices especiales, en los cuales labora personal técnico y científicos idóneos</w:t>
      </w:r>
      <w:r w:rsidR="00996ACD">
        <w:t xml:space="preserve"> quienes realizan </w:t>
      </w:r>
      <w:r w:rsidR="00996ACD" w:rsidRPr="001664E8">
        <w:t xml:space="preserve">los procesos de identificación dentro de las investigaciones por </w:t>
      </w:r>
      <w:r w:rsidR="00996ACD" w:rsidRPr="006F37A2">
        <w:t>desaparición forzadas</w:t>
      </w:r>
      <w:r w:rsidR="00996ACD" w:rsidRPr="001664E8">
        <w:t>.</w:t>
      </w:r>
    </w:p>
    <w:p w14:paraId="66AC805B" w14:textId="709CD3BE" w:rsidR="00996ACD" w:rsidRDefault="008E2C7A" w:rsidP="008E2C7A">
      <w:pPr>
        <w:pStyle w:val="SingleTxtG"/>
      </w:pPr>
      <w:r>
        <w:t>21.</w:t>
      </w:r>
      <w:r>
        <w:tab/>
      </w:r>
      <w:r w:rsidR="00996ACD" w:rsidRPr="00BE5879">
        <w:t xml:space="preserve">En la base de datos del laboratorio de </w:t>
      </w:r>
      <w:r w:rsidR="00996ACD" w:rsidRPr="006F37A2">
        <w:t>Análisis Biomolecular de ADN</w:t>
      </w:r>
      <w:r w:rsidR="00996ACD" w:rsidRPr="00BE5879">
        <w:t xml:space="preserve"> se almacena material genético de posibles restos humanos, juntamente con los perfiles genéticos de familiares de las víctimas, tanto de la época de la dictadura militar, como las de la invasión de los Estados Unidos a Panamá. Se procedió a reabrir 1</w:t>
      </w:r>
      <w:r w:rsidR="00996ACD">
        <w:t>7</w:t>
      </w:r>
      <w:r w:rsidR="00996ACD" w:rsidRPr="00BE5879">
        <w:t xml:space="preserve"> casos, mencionamos anteriormente, </w:t>
      </w:r>
      <w:r w:rsidR="00996ACD">
        <w:lastRenderedPageBreak/>
        <w:t xml:space="preserve">a </w:t>
      </w:r>
      <w:r w:rsidR="00996ACD" w:rsidRPr="000525CD">
        <w:rPr>
          <w:color w:val="000000"/>
        </w:rPr>
        <w:t>partir</w:t>
      </w:r>
      <w:r w:rsidR="00996ACD">
        <w:t xml:space="preserve"> de los restos óseos que se obtuvieron a través de diligencias judiciales de exhumación,</w:t>
      </w:r>
      <w:r w:rsidR="00996ACD" w:rsidRPr="00412B77">
        <w:t xml:space="preserve"> en cementerios de la ciudad de Panamá y Colón.</w:t>
      </w:r>
    </w:p>
    <w:p w14:paraId="5A7FF137" w14:textId="4B735E50" w:rsidR="00996ACD" w:rsidRPr="00BE5879" w:rsidRDefault="008E2C7A" w:rsidP="008E2C7A">
      <w:pPr>
        <w:pStyle w:val="SingleTxtG"/>
      </w:pPr>
      <w:r w:rsidRPr="00BE5879">
        <w:t>22.</w:t>
      </w:r>
      <w:r w:rsidRPr="00BE5879">
        <w:tab/>
      </w:r>
      <w:r w:rsidR="00996ACD" w:rsidRPr="000525CD">
        <w:rPr>
          <w:color w:val="000000"/>
        </w:rPr>
        <w:t>Para</w:t>
      </w:r>
      <w:r w:rsidR="00996ACD" w:rsidRPr="00BE5879">
        <w:t xml:space="preserve"> la investigación </w:t>
      </w:r>
      <w:r w:rsidR="00996ACD">
        <w:t xml:space="preserve">de casos reabiertos </w:t>
      </w:r>
      <w:r w:rsidR="00996ACD" w:rsidRPr="00BE5879">
        <w:t xml:space="preserve">de las víctimas de la </w:t>
      </w:r>
      <w:r w:rsidR="00996ACD" w:rsidRPr="006F37A2">
        <w:t>Invasión a Panamá, se utilizó el protocolo denominado “Estándares forenses mínimos para la búsqueda de personas desaparecidas y la recuperación e identificación de cadáveres”,</w:t>
      </w:r>
      <w:r w:rsidR="00996ACD" w:rsidRPr="00BE5879">
        <w:t xml:space="preserve"> el cual exige el cumplimiento de cinco (5) fases, a saber:</w:t>
      </w:r>
    </w:p>
    <w:p w14:paraId="7955BE12" w14:textId="398AC7ED" w:rsidR="00996ACD" w:rsidRPr="00BE5879" w:rsidRDefault="007E041B" w:rsidP="007E041B">
      <w:pPr>
        <w:pStyle w:val="SingleTxtG"/>
      </w:pPr>
      <w:r>
        <w:tab/>
        <w:t>a)</w:t>
      </w:r>
      <w:r>
        <w:tab/>
      </w:r>
      <w:r w:rsidR="00996ACD" w:rsidRPr="00BE5879">
        <w:t>Fase I: Investigación Preliminar</w:t>
      </w:r>
      <w:r w:rsidR="00AB513B">
        <w:t>;</w:t>
      </w:r>
    </w:p>
    <w:p w14:paraId="6969A961" w14:textId="47299D13" w:rsidR="00996ACD" w:rsidRPr="00BE5879" w:rsidRDefault="007E041B" w:rsidP="007E041B">
      <w:pPr>
        <w:pStyle w:val="SingleTxtG"/>
      </w:pPr>
      <w:r>
        <w:tab/>
        <w:t>b)</w:t>
      </w:r>
      <w:r>
        <w:tab/>
      </w:r>
      <w:r w:rsidR="00996ACD" w:rsidRPr="00BE5879">
        <w:t>Fase II: Arqueología Forense</w:t>
      </w:r>
      <w:r w:rsidR="00AB513B">
        <w:t>;</w:t>
      </w:r>
    </w:p>
    <w:p w14:paraId="1593DD5C" w14:textId="7D4BF74F" w:rsidR="00996ACD" w:rsidRPr="00BE5879" w:rsidRDefault="007E041B" w:rsidP="007E041B">
      <w:pPr>
        <w:pStyle w:val="SingleTxtG"/>
      </w:pPr>
      <w:r>
        <w:tab/>
        <w:t>c)</w:t>
      </w:r>
      <w:r>
        <w:tab/>
      </w:r>
      <w:r w:rsidR="00996ACD" w:rsidRPr="00BE5879">
        <w:t>Fase III: Análisis de Laboratorio, subdividido en dos fases A y B</w:t>
      </w:r>
      <w:r w:rsidR="00AB513B">
        <w:t>;</w:t>
      </w:r>
    </w:p>
    <w:p w14:paraId="649FD435" w14:textId="5F9A97E0" w:rsidR="00996ACD" w:rsidRPr="00BE5879" w:rsidRDefault="007E041B" w:rsidP="007E041B">
      <w:pPr>
        <w:pStyle w:val="SingleTxtG"/>
      </w:pPr>
      <w:r>
        <w:tab/>
        <w:t>d)</w:t>
      </w:r>
      <w:r>
        <w:tab/>
      </w:r>
      <w:r w:rsidR="00996ACD" w:rsidRPr="00BE5879">
        <w:t>Fase III-A: Procedimientos para el procesado y limpieza de los restos óseos y las evidencias no biológicas asociadas</w:t>
      </w:r>
      <w:r w:rsidR="00AB513B">
        <w:t>;</w:t>
      </w:r>
    </w:p>
    <w:p w14:paraId="629CE186" w14:textId="48C15F51" w:rsidR="00996ACD" w:rsidRPr="00BE5879" w:rsidRDefault="007E041B" w:rsidP="007E041B">
      <w:pPr>
        <w:pStyle w:val="SingleTxtG"/>
      </w:pPr>
      <w:r>
        <w:tab/>
        <w:t>e)</w:t>
      </w:r>
      <w:r>
        <w:tab/>
      </w:r>
      <w:r w:rsidR="00996ACD" w:rsidRPr="0013201F">
        <w:t>Fase III-B: Estudio e identificación interdisciplinarios de cadáveres o restos óseos en las que las determinaciones incluyen variables métricas y no métricas que son: edad, estatura, sexo, patología y traumas, determinación de ancestros y otros.</w:t>
      </w:r>
      <w:r w:rsidR="00996ACD" w:rsidRPr="00BE5879">
        <w:t xml:space="preserve"> (Actualmente el IMELFC se encuentra en esta fase)</w:t>
      </w:r>
      <w:r w:rsidR="00AB513B">
        <w:t>;</w:t>
      </w:r>
    </w:p>
    <w:p w14:paraId="3784BD94" w14:textId="6A98DA6D" w:rsidR="00996ACD" w:rsidRPr="00BE5879" w:rsidRDefault="00416FBF" w:rsidP="007E041B">
      <w:pPr>
        <w:pStyle w:val="SingleTxtG"/>
      </w:pPr>
      <w:r>
        <w:tab/>
        <w:t>f)</w:t>
      </w:r>
      <w:r>
        <w:tab/>
      </w:r>
      <w:r w:rsidR="00996ACD" w:rsidRPr="00BE5879">
        <w:t>Fase IV: Genética Forense</w:t>
      </w:r>
      <w:r w:rsidR="00AB513B">
        <w:t>;</w:t>
      </w:r>
    </w:p>
    <w:p w14:paraId="7A699FD1" w14:textId="69DAA102" w:rsidR="00996ACD" w:rsidRPr="00BE5879" w:rsidRDefault="00416FBF" w:rsidP="007E041B">
      <w:pPr>
        <w:pStyle w:val="SingleTxtG"/>
      </w:pPr>
      <w:r>
        <w:tab/>
        <w:t>g)</w:t>
      </w:r>
      <w:r>
        <w:tab/>
      </w:r>
      <w:r w:rsidR="00996ACD" w:rsidRPr="00BE5879">
        <w:t>Fase V: Identificación Final.</w:t>
      </w:r>
    </w:p>
    <w:p w14:paraId="34FCA57A" w14:textId="6AC13533" w:rsidR="007E7906" w:rsidRPr="00483652" w:rsidRDefault="007E041B" w:rsidP="007E7906">
      <w:pPr>
        <w:pStyle w:val="H23G"/>
        <w:rPr>
          <w:rFonts w:eastAsia="Cambria"/>
          <w:bCs/>
          <w:color w:val="000000"/>
          <w:sz w:val="24"/>
          <w:szCs w:val="24"/>
        </w:rPr>
      </w:pPr>
      <w:r>
        <w:tab/>
      </w:r>
      <w:r>
        <w:tab/>
      </w:r>
      <w:r w:rsidR="007E7906" w:rsidRPr="00996ACD">
        <w:t>Información de seguimiento sobre el párrafo</w:t>
      </w:r>
      <w:r w:rsidR="007E7906">
        <w:t xml:space="preserve"> 37 b)</w:t>
      </w:r>
      <w:r w:rsidR="007E7906" w:rsidRPr="00996ACD">
        <w:t xml:space="preserve"> de las observaciones finales</w:t>
      </w:r>
    </w:p>
    <w:p w14:paraId="01719CB7" w14:textId="4B741104" w:rsidR="00996ACD" w:rsidRPr="00987263" w:rsidRDefault="008E2C7A" w:rsidP="008E2C7A">
      <w:pPr>
        <w:pStyle w:val="SingleTxtG"/>
      </w:pPr>
      <w:r w:rsidRPr="00987263">
        <w:t>23.</w:t>
      </w:r>
      <w:r w:rsidRPr="00987263">
        <w:tab/>
      </w:r>
      <w:r w:rsidR="00996ACD" w:rsidRPr="00987263">
        <w:t xml:space="preserve">El IMELCF trabaja directamente con la Comisión del 20 de diciembre, en lo que respecta a las </w:t>
      </w:r>
      <w:r w:rsidR="00996ACD" w:rsidRPr="000525CD">
        <w:rPr>
          <w:color w:val="000000"/>
        </w:rPr>
        <w:t>víctimas</w:t>
      </w:r>
      <w:r w:rsidR="00996ACD" w:rsidRPr="00987263">
        <w:t xml:space="preserve"> de la invasión estadounidense a Panamá.</w:t>
      </w:r>
    </w:p>
    <w:p w14:paraId="5356CC55" w14:textId="735AEE8A" w:rsidR="00996ACD" w:rsidRDefault="008E2C7A" w:rsidP="008E2C7A">
      <w:pPr>
        <w:pStyle w:val="SingleTxtG"/>
      </w:pPr>
      <w:r>
        <w:t>24.</w:t>
      </w:r>
      <w:r>
        <w:tab/>
      </w:r>
      <w:r w:rsidR="00996ACD" w:rsidRPr="00DE4AE1">
        <w:t xml:space="preserve">El Instituto de Medicina Legal y Ciencias Forense seleccionó dieciséis (16) casos de los </w:t>
      </w:r>
      <w:r w:rsidR="00996ACD" w:rsidRPr="000525CD">
        <w:rPr>
          <w:color w:val="000000"/>
        </w:rPr>
        <w:t>menos</w:t>
      </w:r>
      <w:r w:rsidR="00996ACD" w:rsidRPr="00DE4AE1">
        <w:t xml:space="preserve"> degradados, correspondientes a las sepulturas 1, 2, 3, 4, 5, 10,11,21, 38, 62, 64, 93, 97, 98, 102 y 108, para que sean analizados en el Laboratorio de Análisis Biomolecular, las que han sido procesadas, y de las cuales se ha obtenido perfil genético apto para cotejo de 10 sepulturas, y se encuentran en proceso de comparación con perfiles genéticos de las víctimas. Actualmente, de estas 10 sepulturas se ha logrado identificar 3 víctimas. A la fecha se cuenta con 70 muestras de familiares de víctimas de la invasión, que han sido ingresadas a la base de datos del Laboratorio de Análisis Biomolecular del IMELCF.</w:t>
      </w:r>
    </w:p>
    <w:p w14:paraId="37A7D1F3" w14:textId="7E649BB0" w:rsidR="007E041B" w:rsidRPr="00483652" w:rsidRDefault="007E041B" w:rsidP="007E041B">
      <w:pPr>
        <w:pStyle w:val="H23G"/>
        <w:rPr>
          <w:rFonts w:eastAsia="Cambria"/>
          <w:bCs/>
          <w:color w:val="000000"/>
          <w:sz w:val="24"/>
          <w:szCs w:val="24"/>
        </w:rPr>
      </w:pPr>
      <w:r>
        <w:tab/>
      </w:r>
      <w:r>
        <w:tab/>
      </w:r>
      <w:r w:rsidRPr="00996ACD">
        <w:t>Información de seguimiento sobre el párrafo</w:t>
      </w:r>
      <w:r>
        <w:t xml:space="preserve"> 37 c)</w:t>
      </w:r>
      <w:r w:rsidRPr="00996ACD">
        <w:t xml:space="preserve"> de las observaciones finales</w:t>
      </w:r>
    </w:p>
    <w:p w14:paraId="32DE897E" w14:textId="5A7CCA41" w:rsidR="00996ACD" w:rsidRPr="000525CD" w:rsidRDefault="008E2C7A" w:rsidP="008E2C7A">
      <w:pPr>
        <w:pStyle w:val="SingleTxtG"/>
        <w:rPr>
          <w:color w:val="000000"/>
        </w:rPr>
      </w:pPr>
      <w:r w:rsidRPr="000525CD">
        <w:rPr>
          <w:color w:val="000000"/>
        </w:rPr>
        <w:t>25.</w:t>
      </w:r>
      <w:r w:rsidRPr="000525CD">
        <w:rPr>
          <w:color w:val="000000"/>
        </w:rPr>
        <w:tab/>
      </w:r>
      <w:r w:rsidR="00996ACD" w:rsidRPr="005754B9">
        <w:t xml:space="preserve">Con el apoyo de organismos de cooperación internacional, el IMELCF ha realizado avances en </w:t>
      </w:r>
      <w:r w:rsidR="00996ACD" w:rsidRPr="000525CD">
        <w:rPr>
          <w:color w:val="000000"/>
        </w:rPr>
        <w:t>materia</w:t>
      </w:r>
      <w:r w:rsidR="00996ACD" w:rsidRPr="005754B9">
        <w:t xml:space="preserve"> de identificación genética, que han permitido obtener los insumos para los análisis de ADN, así como para la elaboración del Manual General de Banco y Base de Datos de ADN, que establece los lineamientos generales para el mejor desempeño de los fundamentos que deben cumplir los peritos de la Unidad de Base de Datos de ADN</w:t>
      </w:r>
      <w:r w:rsidR="00996ACD">
        <w:t>.</w:t>
      </w:r>
    </w:p>
    <w:p w14:paraId="79B6B311" w14:textId="71008537" w:rsidR="000525CD" w:rsidRPr="000525CD" w:rsidRDefault="000525CD" w:rsidP="000525CD">
      <w:pPr>
        <w:pStyle w:val="SingleTxtG"/>
        <w:suppressAutoHyphens/>
        <w:spacing w:before="240" w:after="0"/>
        <w:jc w:val="center"/>
        <w:rPr>
          <w:u w:val="single"/>
        </w:rPr>
      </w:pPr>
      <w:r>
        <w:rPr>
          <w:u w:val="single"/>
        </w:rPr>
        <w:tab/>
      </w:r>
      <w:r>
        <w:rPr>
          <w:u w:val="single"/>
        </w:rPr>
        <w:tab/>
      </w:r>
      <w:r>
        <w:rPr>
          <w:u w:val="single"/>
        </w:rPr>
        <w:tab/>
      </w:r>
    </w:p>
    <w:sectPr w:rsidR="000525CD" w:rsidRPr="000525CD" w:rsidSect="00E56EE3">
      <w:headerReference w:type="even" r:id="rId12"/>
      <w:headerReference w:type="default" r:id="rId13"/>
      <w:footerReference w:type="even" r:id="rId14"/>
      <w:footerReference w:type="defaul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A7514" w14:textId="77777777" w:rsidR="00914DC1" w:rsidRDefault="00914DC1">
      <w:r>
        <w:separator/>
      </w:r>
    </w:p>
  </w:endnote>
  <w:endnote w:type="continuationSeparator" w:id="0">
    <w:p w14:paraId="55CB6A3C" w14:textId="77777777" w:rsidR="00914DC1" w:rsidRDefault="00914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8E1C0" w14:textId="77777777" w:rsidR="001A4396" w:rsidRPr="001A4396" w:rsidRDefault="000525CD"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810554">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11BAF" w14:textId="77777777" w:rsidR="001A4396" w:rsidRPr="001A4396" w:rsidRDefault="000525CD"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D82740">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03B1A" w14:textId="53CD8E6D" w:rsidR="00A86F80" w:rsidRPr="00795AA1" w:rsidRDefault="00795AA1" w:rsidP="00795AA1">
    <w:pPr>
      <w:pStyle w:val="Piedepgina"/>
      <w:tabs>
        <w:tab w:val="left" w:pos="6520"/>
        <w:tab w:val="right" w:pos="9638"/>
      </w:tabs>
      <w:spacing w:before="120" w:line="240" w:lineRule="auto"/>
      <w:rPr>
        <w:sz w:val="20"/>
      </w:rPr>
    </w:pPr>
    <w:r>
      <w:rPr>
        <w:sz w:val="20"/>
      </w:rPr>
      <w:t>GE.24-10837  (S)</w:t>
    </w:r>
    <w:bookmarkStart w:id="0" w:name="_GoBack"/>
    <w:bookmarkEnd w:id="0"/>
    <w:r w:rsidR="008E2C7A">
      <w:rPr>
        <w:sz w:val="20"/>
      </w:rPr>
      <w:t xml:space="preserve">    210624    260624</w:t>
    </w:r>
    <w:r>
      <w:rPr>
        <w:sz w:val="20"/>
      </w:rPr>
      <w:tab/>
    </w:r>
    <w:r w:rsidRPr="00795AA1">
      <w:rPr>
        <w:noProof/>
        <w:sz w:val="20"/>
        <w:lang w:val="fr-CH" w:eastAsia="zh-CN"/>
      </w:rPr>
      <w:drawing>
        <wp:inline distT="0" distB="0" distL="0" distR="0" wp14:anchorId="38800499" wp14:editId="223D2ACA">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05A237B3" wp14:editId="78B46C55">
          <wp:extent cx="626745" cy="626745"/>
          <wp:effectExtent l="0" t="0" r="1905"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745" cy="6267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84186B" w14:textId="77777777" w:rsidR="00914DC1" w:rsidRPr="001075E9" w:rsidRDefault="00914DC1" w:rsidP="001075E9">
      <w:pPr>
        <w:tabs>
          <w:tab w:val="right" w:pos="2155"/>
        </w:tabs>
        <w:spacing w:after="80" w:line="240" w:lineRule="auto"/>
        <w:ind w:left="680"/>
        <w:rPr>
          <w:u w:val="single"/>
        </w:rPr>
      </w:pPr>
      <w:r>
        <w:rPr>
          <w:u w:val="single"/>
        </w:rPr>
        <w:tab/>
      </w:r>
    </w:p>
  </w:footnote>
  <w:footnote w:type="continuationSeparator" w:id="0">
    <w:p w14:paraId="1CA4EEB9" w14:textId="77777777" w:rsidR="00914DC1" w:rsidRDefault="00914DC1" w:rsidP="00407B78">
      <w:pPr>
        <w:tabs>
          <w:tab w:val="right" w:pos="2155"/>
        </w:tabs>
        <w:spacing w:after="80"/>
        <w:ind w:left="680"/>
        <w:rPr>
          <w:u w:val="single"/>
        </w:rPr>
      </w:pPr>
      <w:r>
        <w:rPr>
          <w:u w:val="single"/>
        </w:rPr>
        <w:tab/>
      </w:r>
    </w:p>
  </w:footnote>
  <w:footnote w:id="1">
    <w:p w14:paraId="686F0522" w14:textId="6546AECF" w:rsidR="00520413" w:rsidRPr="00895653" w:rsidRDefault="000525CD" w:rsidP="00520413">
      <w:pPr>
        <w:pStyle w:val="Textonotapie"/>
        <w:rPr>
          <w:sz w:val="20"/>
        </w:rPr>
      </w:pPr>
      <w:r>
        <w:tab/>
      </w:r>
      <w:r w:rsidRPr="00895653">
        <w:rPr>
          <w:rStyle w:val="Refdenotaalpie"/>
          <w:sz w:val="20"/>
          <w:vertAlign w:val="baseline"/>
        </w:rPr>
        <w:t>*</w:t>
      </w:r>
      <w:r w:rsidRPr="00895653">
        <w:rPr>
          <w:rStyle w:val="Refdenotaalpie"/>
          <w:vertAlign w:val="baseline"/>
        </w:rPr>
        <w:tab/>
      </w:r>
      <w:r w:rsidR="00AC669A" w:rsidRPr="00823578">
        <w:t>El presente documento se publica sin haber sido objeto de revisión editorial oficial.</w:t>
      </w:r>
    </w:p>
  </w:footnote>
  <w:footnote w:id="2">
    <w:p w14:paraId="49937DE6" w14:textId="2FC03DF0" w:rsidR="008E2C7A" w:rsidRDefault="008E2C7A" w:rsidP="008E2C7A">
      <w:pPr>
        <w:pStyle w:val="Textonotapie"/>
        <w:widowControl w:val="0"/>
        <w:tabs>
          <w:tab w:val="clear" w:pos="1021"/>
          <w:tab w:val="right" w:pos="1020"/>
        </w:tabs>
        <w:suppressAutoHyphens/>
      </w:pPr>
      <w:r>
        <w:tab/>
      </w:r>
      <w:r>
        <w:rPr>
          <w:rStyle w:val="Refdenotaalpie"/>
        </w:rPr>
        <w:footnoteRef/>
      </w:r>
      <w:r>
        <w:tab/>
      </w:r>
      <w:hyperlink r:id="rId1" w:history="1">
        <w:r w:rsidRPr="009149F4">
          <w:rPr>
            <w:rStyle w:val="Hipervnculo"/>
          </w:rPr>
          <w:t>https://defensoria.gob.pa/wp-content/</w:t>
        </w:r>
        <w:r w:rsidRPr="009149F4">
          <w:rPr>
            <w:rStyle w:val="Hipervnculo"/>
          </w:rPr>
          <w:t>u</w:t>
        </w:r>
        <w:r w:rsidRPr="009149F4">
          <w:rPr>
            <w:rStyle w:val="Hipervnculo"/>
          </w:rPr>
          <w:t>ploads/2021/06/Informe-de-la-Comision-de-la-Verdad.pdf</w:t>
        </w:r>
      </w:hyperlink>
      <w:r>
        <w:rPr>
          <w:rStyle w:val="Hipervncul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719D1" w14:textId="77777777" w:rsidR="001A4396" w:rsidRPr="001A4396" w:rsidRDefault="00935A0B">
    <w:pPr>
      <w:pStyle w:val="Encabezado"/>
    </w:pPr>
    <w:r>
      <w:t>CED/C/PAN/FCO/1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F6C9F" w14:textId="77777777" w:rsidR="001A4396" w:rsidRPr="00935A0B" w:rsidRDefault="00935A0B" w:rsidP="00935A0B">
    <w:pPr>
      <w:pStyle w:val="Encabezado"/>
      <w:jc w:val="right"/>
      <w:rPr>
        <w:u w:val="double"/>
      </w:rPr>
    </w:pPr>
    <w:r>
      <w:t>CED/C/PAN/FCO/1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5BA426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DD04992" w:tentative="1">
      <w:start w:val="1"/>
      <w:numFmt w:val="lowerLetter"/>
      <w:lvlText w:val="%2."/>
      <w:lvlJc w:val="left"/>
      <w:pPr>
        <w:tabs>
          <w:tab w:val="num" w:pos="1440"/>
        </w:tabs>
        <w:ind w:left="1440" w:hanging="360"/>
      </w:pPr>
    </w:lvl>
    <w:lvl w:ilvl="2" w:tplc="E38E8222" w:tentative="1">
      <w:start w:val="1"/>
      <w:numFmt w:val="lowerRoman"/>
      <w:lvlText w:val="%3."/>
      <w:lvlJc w:val="right"/>
      <w:pPr>
        <w:tabs>
          <w:tab w:val="num" w:pos="2160"/>
        </w:tabs>
        <w:ind w:left="2160" w:hanging="180"/>
      </w:pPr>
    </w:lvl>
    <w:lvl w:ilvl="3" w:tplc="DD6E55B6" w:tentative="1">
      <w:start w:val="1"/>
      <w:numFmt w:val="decimal"/>
      <w:lvlText w:val="%4."/>
      <w:lvlJc w:val="left"/>
      <w:pPr>
        <w:tabs>
          <w:tab w:val="num" w:pos="2880"/>
        </w:tabs>
        <w:ind w:left="2880" w:hanging="360"/>
      </w:pPr>
    </w:lvl>
    <w:lvl w:ilvl="4" w:tplc="7DA24892" w:tentative="1">
      <w:start w:val="1"/>
      <w:numFmt w:val="lowerLetter"/>
      <w:lvlText w:val="%5."/>
      <w:lvlJc w:val="left"/>
      <w:pPr>
        <w:tabs>
          <w:tab w:val="num" w:pos="3600"/>
        </w:tabs>
        <w:ind w:left="3600" w:hanging="360"/>
      </w:pPr>
    </w:lvl>
    <w:lvl w:ilvl="5" w:tplc="9E407548" w:tentative="1">
      <w:start w:val="1"/>
      <w:numFmt w:val="lowerRoman"/>
      <w:lvlText w:val="%6."/>
      <w:lvlJc w:val="right"/>
      <w:pPr>
        <w:tabs>
          <w:tab w:val="num" w:pos="4320"/>
        </w:tabs>
        <w:ind w:left="4320" w:hanging="180"/>
      </w:pPr>
    </w:lvl>
    <w:lvl w:ilvl="6" w:tplc="B0426A6E" w:tentative="1">
      <w:start w:val="1"/>
      <w:numFmt w:val="decimal"/>
      <w:lvlText w:val="%7."/>
      <w:lvlJc w:val="left"/>
      <w:pPr>
        <w:tabs>
          <w:tab w:val="num" w:pos="5040"/>
        </w:tabs>
        <w:ind w:left="5040" w:hanging="360"/>
      </w:pPr>
    </w:lvl>
    <w:lvl w:ilvl="7" w:tplc="9C34E24C" w:tentative="1">
      <w:start w:val="1"/>
      <w:numFmt w:val="lowerLetter"/>
      <w:lvlText w:val="%8."/>
      <w:lvlJc w:val="left"/>
      <w:pPr>
        <w:tabs>
          <w:tab w:val="num" w:pos="5760"/>
        </w:tabs>
        <w:ind w:left="5760" w:hanging="360"/>
      </w:pPr>
    </w:lvl>
    <w:lvl w:ilvl="8" w:tplc="0BA2CC08" w:tentative="1">
      <w:start w:val="1"/>
      <w:numFmt w:val="lowerRoman"/>
      <w:lvlText w:val="%9."/>
      <w:lvlJc w:val="right"/>
      <w:pPr>
        <w:tabs>
          <w:tab w:val="num" w:pos="6480"/>
        </w:tabs>
        <w:ind w:left="6480" w:hanging="180"/>
      </w:pPr>
    </w:lvl>
  </w:abstractNum>
  <w:abstractNum w:abstractNumId="11" w15:restartNumberingAfterBreak="0">
    <w:nsid w:val="1E6428D9"/>
    <w:multiLevelType w:val="hybridMultilevel"/>
    <w:tmpl w:val="DE66B41A"/>
    <w:lvl w:ilvl="0" w:tplc="180A0017">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202E4B17"/>
    <w:multiLevelType w:val="hybridMultilevel"/>
    <w:tmpl w:val="A1B892FE"/>
    <w:lvl w:ilvl="0" w:tplc="5536537E">
      <w:start w:val="1"/>
      <w:numFmt w:val="lowerLetter"/>
      <w:lvlText w:val="%1.)"/>
      <w:lvlJc w:val="left"/>
      <w:pPr>
        <w:ind w:left="1078" w:hanging="370"/>
      </w:pPr>
      <w:rPr>
        <w:rFonts w:hint="default"/>
      </w:rPr>
    </w:lvl>
    <w:lvl w:ilvl="1" w:tplc="180A0019" w:tentative="1">
      <w:start w:val="1"/>
      <w:numFmt w:val="lowerLetter"/>
      <w:lvlText w:val="%2."/>
      <w:lvlJc w:val="left"/>
      <w:pPr>
        <w:ind w:left="1788" w:hanging="360"/>
      </w:pPr>
    </w:lvl>
    <w:lvl w:ilvl="2" w:tplc="180A001B" w:tentative="1">
      <w:start w:val="1"/>
      <w:numFmt w:val="lowerRoman"/>
      <w:lvlText w:val="%3."/>
      <w:lvlJc w:val="right"/>
      <w:pPr>
        <w:ind w:left="2508" w:hanging="180"/>
      </w:pPr>
    </w:lvl>
    <w:lvl w:ilvl="3" w:tplc="180A000F" w:tentative="1">
      <w:start w:val="1"/>
      <w:numFmt w:val="decimal"/>
      <w:lvlText w:val="%4."/>
      <w:lvlJc w:val="left"/>
      <w:pPr>
        <w:ind w:left="3228" w:hanging="360"/>
      </w:pPr>
    </w:lvl>
    <w:lvl w:ilvl="4" w:tplc="180A0019" w:tentative="1">
      <w:start w:val="1"/>
      <w:numFmt w:val="lowerLetter"/>
      <w:lvlText w:val="%5."/>
      <w:lvlJc w:val="left"/>
      <w:pPr>
        <w:ind w:left="3948" w:hanging="360"/>
      </w:pPr>
    </w:lvl>
    <w:lvl w:ilvl="5" w:tplc="180A001B" w:tentative="1">
      <w:start w:val="1"/>
      <w:numFmt w:val="lowerRoman"/>
      <w:lvlText w:val="%6."/>
      <w:lvlJc w:val="right"/>
      <w:pPr>
        <w:ind w:left="4668" w:hanging="180"/>
      </w:pPr>
    </w:lvl>
    <w:lvl w:ilvl="6" w:tplc="180A000F" w:tentative="1">
      <w:start w:val="1"/>
      <w:numFmt w:val="decimal"/>
      <w:lvlText w:val="%7."/>
      <w:lvlJc w:val="left"/>
      <w:pPr>
        <w:ind w:left="5388" w:hanging="360"/>
      </w:pPr>
    </w:lvl>
    <w:lvl w:ilvl="7" w:tplc="180A0019" w:tentative="1">
      <w:start w:val="1"/>
      <w:numFmt w:val="lowerLetter"/>
      <w:lvlText w:val="%8."/>
      <w:lvlJc w:val="left"/>
      <w:pPr>
        <w:ind w:left="6108" w:hanging="360"/>
      </w:pPr>
    </w:lvl>
    <w:lvl w:ilvl="8" w:tplc="180A001B" w:tentative="1">
      <w:start w:val="1"/>
      <w:numFmt w:val="lowerRoman"/>
      <w:lvlText w:val="%9."/>
      <w:lvlJc w:val="right"/>
      <w:pPr>
        <w:ind w:left="6828" w:hanging="180"/>
      </w:pPr>
    </w:lvl>
  </w:abstractNum>
  <w:abstractNum w:abstractNumId="13" w15:restartNumberingAfterBreak="0">
    <w:nsid w:val="29C47AD8"/>
    <w:multiLevelType w:val="hybridMultilevel"/>
    <w:tmpl w:val="D2604758"/>
    <w:lvl w:ilvl="0" w:tplc="5A18B6C2">
      <w:start w:val="1"/>
      <w:numFmt w:val="decimal"/>
      <w:lvlText w:val="%1."/>
      <w:lvlJc w:val="left"/>
      <w:pPr>
        <w:ind w:left="1068" w:hanging="360"/>
      </w:pPr>
      <w:rPr>
        <w:rFonts w:hint="default"/>
        <w:b w:val="0"/>
        <w:bCs/>
      </w:rPr>
    </w:lvl>
    <w:lvl w:ilvl="1" w:tplc="180A0019">
      <w:start w:val="1"/>
      <w:numFmt w:val="lowerLetter"/>
      <w:lvlText w:val="%2."/>
      <w:lvlJc w:val="left"/>
      <w:pPr>
        <w:ind w:left="2148" w:hanging="360"/>
      </w:pPr>
    </w:lvl>
    <w:lvl w:ilvl="2" w:tplc="180A001B" w:tentative="1">
      <w:start w:val="1"/>
      <w:numFmt w:val="lowerRoman"/>
      <w:lvlText w:val="%3."/>
      <w:lvlJc w:val="right"/>
      <w:pPr>
        <w:ind w:left="2868" w:hanging="180"/>
      </w:pPr>
    </w:lvl>
    <w:lvl w:ilvl="3" w:tplc="180A000F" w:tentative="1">
      <w:start w:val="1"/>
      <w:numFmt w:val="decimal"/>
      <w:lvlText w:val="%4."/>
      <w:lvlJc w:val="left"/>
      <w:pPr>
        <w:ind w:left="3588" w:hanging="360"/>
      </w:pPr>
    </w:lvl>
    <w:lvl w:ilvl="4" w:tplc="180A0019" w:tentative="1">
      <w:start w:val="1"/>
      <w:numFmt w:val="lowerLetter"/>
      <w:lvlText w:val="%5."/>
      <w:lvlJc w:val="left"/>
      <w:pPr>
        <w:ind w:left="4308" w:hanging="360"/>
      </w:pPr>
    </w:lvl>
    <w:lvl w:ilvl="5" w:tplc="180A001B" w:tentative="1">
      <w:start w:val="1"/>
      <w:numFmt w:val="lowerRoman"/>
      <w:lvlText w:val="%6."/>
      <w:lvlJc w:val="right"/>
      <w:pPr>
        <w:ind w:left="5028" w:hanging="180"/>
      </w:pPr>
    </w:lvl>
    <w:lvl w:ilvl="6" w:tplc="180A000F" w:tentative="1">
      <w:start w:val="1"/>
      <w:numFmt w:val="decimal"/>
      <w:lvlText w:val="%7."/>
      <w:lvlJc w:val="left"/>
      <w:pPr>
        <w:ind w:left="5748" w:hanging="360"/>
      </w:pPr>
    </w:lvl>
    <w:lvl w:ilvl="7" w:tplc="180A0019" w:tentative="1">
      <w:start w:val="1"/>
      <w:numFmt w:val="lowerLetter"/>
      <w:lvlText w:val="%8."/>
      <w:lvlJc w:val="left"/>
      <w:pPr>
        <w:ind w:left="6468" w:hanging="360"/>
      </w:pPr>
    </w:lvl>
    <w:lvl w:ilvl="8" w:tplc="180A001B" w:tentative="1">
      <w:start w:val="1"/>
      <w:numFmt w:val="lowerRoman"/>
      <w:lvlText w:val="%9."/>
      <w:lvlJc w:val="right"/>
      <w:pPr>
        <w:ind w:left="7188" w:hanging="180"/>
      </w:pPr>
    </w:lvl>
  </w:abstractNum>
  <w:abstractNum w:abstractNumId="14" w15:restartNumberingAfterBreak="0">
    <w:nsid w:val="36A7743B"/>
    <w:multiLevelType w:val="hybridMultilevel"/>
    <w:tmpl w:val="165289D8"/>
    <w:lvl w:ilvl="0" w:tplc="D4B23C14">
      <w:start w:val="1"/>
      <w:numFmt w:val="bullet"/>
      <w:pStyle w:val="Bullet2G"/>
      <w:lvlText w:val="•"/>
      <w:lvlJc w:val="left"/>
      <w:pPr>
        <w:tabs>
          <w:tab w:val="num" w:pos="2268"/>
        </w:tabs>
        <w:ind w:left="2268" w:hanging="170"/>
      </w:pPr>
      <w:rPr>
        <w:rFonts w:ascii="Times New Roman" w:hAnsi="Times New Roman" w:cs="Times New Roman" w:hint="default"/>
      </w:rPr>
    </w:lvl>
    <w:lvl w:ilvl="1" w:tplc="4B546812" w:tentative="1">
      <w:start w:val="1"/>
      <w:numFmt w:val="bullet"/>
      <w:lvlText w:val="o"/>
      <w:lvlJc w:val="left"/>
      <w:pPr>
        <w:tabs>
          <w:tab w:val="num" w:pos="1440"/>
        </w:tabs>
        <w:ind w:left="1440" w:hanging="360"/>
      </w:pPr>
      <w:rPr>
        <w:rFonts w:ascii="Courier New" w:hAnsi="Courier New" w:hint="default"/>
      </w:rPr>
    </w:lvl>
    <w:lvl w:ilvl="2" w:tplc="ECE252EE" w:tentative="1">
      <w:start w:val="1"/>
      <w:numFmt w:val="bullet"/>
      <w:lvlText w:val=""/>
      <w:lvlJc w:val="left"/>
      <w:pPr>
        <w:tabs>
          <w:tab w:val="num" w:pos="2160"/>
        </w:tabs>
        <w:ind w:left="2160" w:hanging="360"/>
      </w:pPr>
      <w:rPr>
        <w:rFonts w:ascii="Wingdings" w:hAnsi="Wingdings" w:hint="default"/>
      </w:rPr>
    </w:lvl>
    <w:lvl w:ilvl="3" w:tplc="D29E8DFC" w:tentative="1">
      <w:start w:val="1"/>
      <w:numFmt w:val="bullet"/>
      <w:lvlText w:val=""/>
      <w:lvlJc w:val="left"/>
      <w:pPr>
        <w:tabs>
          <w:tab w:val="num" w:pos="2880"/>
        </w:tabs>
        <w:ind w:left="2880" w:hanging="360"/>
      </w:pPr>
      <w:rPr>
        <w:rFonts w:ascii="Symbol" w:hAnsi="Symbol" w:hint="default"/>
      </w:rPr>
    </w:lvl>
    <w:lvl w:ilvl="4" w:tplc="6D4802DE" w:tentative="1">
      <w:start w:val="1"/>
      <w:numFmt w:val="bullet"/>
      <w:lvlText w:val="o"/>
      <w:lvlJc w:val="left"/>
      <w:pPr>
        <w:tabs>
          <w:tab w:val="num" w:pos="3600"/>
        </w:tabs>
        <w:ind w:left="3600" w:hanging="360"/>
      </w:pPr>
      <w:rPr>
        <w:rFonts w:ascii="Courier New" w:hAnsi="Courier New" w:hint="default"/>
      </w:rPr>
    </w:lvl>
    <w:lvl w:ilvl="5" w:tplc="7932F1A2" w:tentative="1">
      <w:start w:val="1"/>
      <w:numFmt w:val="bullet"/>
      <w:lvlText w:val=""/>
      <w:lvlJc w:val="left"/>
      <w:pPr>
        <w:tabs>
          <w:tab w:val="num" w:pos="4320"/>
        </w:tabs>
        <w:ind w:left="4320" w:hanging="360"/>
      </w:pPr>
      <w:rPr>
        <w:rFonts w:ascii="Wingdings" w:hAnsi="Wingdings" w:hint="default"/>
      </w:rPr>
    </w:lvl>
    <w:lvl w:ilvl="6" w:tplc="80163A22" w:tentative="1">
      <w:start w:val="1"/>
      <w:numFmt w:val="bullet"/>
      <w:lvlText w:val=""/>
      <w:lvlJc w:val="left"/>
      <w:pPr>
        <w:tabs>
          <w:tab w:val="num" w:pos="5040"/>
        </w:tabs>
        <w:ind w:left="5040" w:hanging="360"/>
      </w:pPr>
      <w:rPr>
        <w:rFonts w:ascii="Symbol" w:hAnsi="Symbol" w:hint="default"/>
      </w:rPr>
    </w:lvl>
    <w:lvl w:ilvl="7" w:tplc="BCB4EC80" w:tentative="1">
      <w:start w:val="1"/>
      <w:numFmt w:val="bullet"/>
      <w:lvlText w:val="o"/>
      <w:lvlJc w:val="left"/>
      <w:pPr>
        <w:tabs>
          <w:tab w:val="num" w:pos="5760"/>
        </w:tabs>
        <w:ind w:left="5760" w:hanging="360"/>
      </w:pPr>
      <w:rPr>
        <w:rFonts w:ascii="Courier New" w:hAnsi="Courier New" w:hint="default"/>
      </w:rPr>
    </w:lvl>
    <w:lvl w:ilvl="8" w:tplc="9EA2567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C8C7B0E"/>
    <w:multiLevelType w:val="hybridMultilevel"/>
    <w:tmpl w:val="49FCCAC4"/>
    <w:lvl w:ilvl="0" w:tplc="565EDEC8">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5466323"/>
    <w:multiLevelType w:val="hybridMultilevel"/>
    <w:tmpl w:val="6DD2828A"/>
    <w:lvl w:ilvl="0" w:tplc="180A0017">
      <w:start w:val="1"/>
      <w:numFmt w:val="lowerLetter"/>
      <w:lvlText w:val="%1)"/>
      <w:lvlJc w:val="left"/>
      <w:pPr>
        <w:ind w:left="1776" w:hanging="360"/>
      </w:pPr>
      <w:rPr>
        <w:rFonts w:hint="default"/>
      </w:rPr>
    </w:lvl>
    <w:lvl w:ilvl="1" w:tplc="FFFFFFFF" w:tentative="1">
      <w:start w:val="1"/>
      <w:numFmt w:val="bullet"/>
      <w:lvlText w:val="o"/>
      <w:lvlJc w:val="left"/>
      <w:pPr>
        <w:ind w:left="2496" w:hanging="360"/>
      </w:pPr>
      <w:rPr>
        <w:rFonts w:ascii="Courier New" w:hAnsi="Courier New" w:cs="Courier New" w:hint="default"/>
      </w:rPr>
    </w:lvl>
    <w:lvl w:ilvl="2" w:tplc="FFFFFFFF" w:tentative="1">
      <w:start w:val="1"/>
      <w:numFmt w:val="bullet"/>
      <w:lvlText w:val=""/>
      <w:lvlJc w:val="left"/>
      <w:pPr>
        <w:ind w:left="3216" w:hanging="360"/>
      </w:pPr>
      <w:rPr>
        <w:rFonts w:ascii="Wingdings" w:hAnsi="Wingdings" w:hint="default"/>
      </w:rPr>
    </w:lvl>
    <w:lvl w:ilvl="3" w:tplc="FFFFFFFF" w:tentative="1">
      <w:start w:val="1"/>
      <w:numFmt w:val="bullet"/>
      <w:lvlText w:val=""/>
      <w:lvlJc w:val="left"/>
      <w:pPr>
        <w:ind w:left="3936" w:hanging="360"/>
      </w:pPr>
      <w:rPr>
        <w:rFonts w:ascii="Symbol" w:hAnsi="Symbol" w:hint="default"/>
      </w:rPr>
    </w:lvl>
    <w:lvl w:ilvl="4" w:tplc="FFFFFFFF" w:tentative="1">
      <w:start w:val="1"/>
      <w:numFmt w:val="bullet"/>
      <w:lvlText w:val="o"/>
      <w:lvlJc w:val="left"/>
      <w:pPr>
        <w:ind w:left="4656" w:hanging="360"/>
      </w:pPr>
      <w:rPr>
        <w:rFonts w:ascii="Courier New" w:hAnsi="Courier New" w:cs="Courier New" w:hint="default"/>
      </w:rPr>
    </w:lvl>
    <w:lvl w:ilvl="5" w:tplc="FFFFFFFF" w:tentative="1">
      <w:start w:val="1"/>
      <w:numFmt w:val="bullet"/>
      <w:lvlText w:val=""/>
      <w:lvlJc w:val="left"/>
      <w:pPr>
        <w:ind w:left="5376" w:hanging="360"/>
      </w:pPr>
      <w:rPr>
        <w:rFonts w:ascii="Wingdings" w:hAnsi="Wingdings" w:hint="default"/>
      </w:rPr>
    </w:lvl>
    <w:lvl w:ilvl="6" w:tplc="FFFFFFFF" w:tentative="1">
      <w:start w:val="1"/>
      <w:numFmt w:val="bullet"/>
      <w:lvlText w:val=""/>
      <w:lvlJc w:val="left"/>
      <w:pPr>
        <w:ind w:left="6096" w:hanging="360"/>
      </w:pPr>
      <w:rPr>
        <w:rFonts w:ascii="Symbol" w:hAnsi="Symbol" w:hint="default"/>
      </w:rPr>
    </w:lvl>
    <w:lvl w:ilvl="7" w:tplc="FFFFFFFF" w:tentative="1">
      <w:start w:val="1"/>
      <w:numFmt w:val="bullet"/>
      <w:lvlText w:val="o"/>
      <w:lvlJc w:val="left"/>
      <w:pPr>
        <w:ind w:left="6816" w:hanging="360"/>
      </w:pPr>
      <w:rPr>
        <w:rFonts w:ascii="Courier New" w:hAnsi="Courier New" w:cs="Courier New" w:hint="default"/>
      </w:rPr>
    </w:lvl>
    <w:lvl w:ilvl="8" w:tplc="FFFFFFFF" w:tentative="1">
      <w:start w:val="1"/>
      <w:numFmt w:val="bullet"/>
      <w:lvlText w:val=""/>
      <w:lvlJc w:val="left"/>
      <w:pPr>
        <w:ind w:left="7536" w:hanging="360"/>
      </w:pPr>
      <w:rPr>
        <w:rFonts w:ascii="Wingdings" w:hAnsi="Wingdings" w:hint="default"/>
      </w:r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AFD3DE4"/>
    <w:multiLevelType w:val="hybridMultilevel"/>
    <w:tmpl w:val="569E52D4"/>
    <w:lvl w:ilvl="0" w:tplc="4B5EE428">
      <w:start w:val="1"/>
      <w:numFmt w:val="bullet"/>
      <w:pStyle w:val="Bullet1G"/>
      <w:lvlText w:val="•"/>
      <w:lvlJc w:val="left"/>
      <w:pPr>
        <w:tabs>
          <w:tab w:val="num" w:pos="1701"/>
        </w:tabs>
        <w:ind w:left="1701" w:hanging="170"/>
      </w:pPr>
      <w:rPr>
        <w:rFonts w:ascii="Times New Roman" w:hAnsi="Times New Roman" w:cs="Times New Roman" w:hint="default"/>
      </w:rPr>
    </w:lvl>
    <w:lvl w:ilvl="1" w:tplc="7B387FCA" w:tentative="1">
      <w:start w:val="1"/>
      <w:numFmt w:val="bullet"/>
      <w:lvlText w:val="o"/>
      <w:lvlJc w:val="left"/>
      <w:pPr>
        <w:tabs>
          <w:tab w:val="num" w:pos="1440"/>
        </w:tabs>
        <w:ind w:left="1440" w:hanging="360"/>
      </w:pPr>
      <w:rPr>
        <w:rFonts w:ascii="Courier New" w:hAnsi="Courier New" w:hint="default"/>
      </w:rPr>
    </w:lvl>
    <w:lvl w:ilvl="2" w:tplc="057CB10A" w:tentative="1">
      <w:start w:val="1"/>
      <w:numFmt w:val="bullet"/>
      <w:lvlText w:val=""/>
      <w:lvlJc w:val="left"/>
      <w:pPr>
        <w:tabs>
          <w:tab w:val="num" w:pos="2160"/>
        </w:tabs>
        <w:ind w:left="2160" w:hanging="360"/>
      </w:pPr>
      <w:rPr>
        <w:rFonts w:ascii="Wingdings" w:hAnsi="Wingdings" w:hint="default"/>
      </w:rPr>
    </w:lvl>
    <w:lvl w:ilvl="3" w:tplc="624A2C2A" w:tentative="1">
      <w:start w:val="1"/>
      <w:numFmt w:val="bullet"/>
      <w:lvlText w:val=""/>
      <w:lvlJc w:val="left"/>
      <w:pPr>
        <w:tabs>
          <w:tab w:val="num" w:pos="2880"/>
        </w:tabs>
        <w:ind w:left="2880" w:hanging="360"/>
      </w:pPr>
      <w:rPr>
        <w:rFonts w:ascii="Symbol" w:hAnsi="Symbol" w:hint="default"/>
      </w:rPr>
    </w:lvl>
    <w:lvl w:ilvl="4" w:tplc="C04E1CD6" w:tentative="1">
      <w:start w:val="1"/>
      <w:numFmt w:val="bullet"/>
      <w:lvlText w:val="o"/>
      <w:lvlJc w:val="left"/>
      <w:pPr>
        <w:tabs>
          <w:tab w:val="num" w:pos="3600"/>
        </w:tabs>
        <w:ind w:left="3600" w:hanging="360"/>
      </w:pPr>
      <w:rPr>
        <w:rFonts w:ascii="Courier New" w:hAnsi="Courier New" w:hint="default"/>
      </w:rPr>
    </w:lvl>
    <w:lvl w:ilvl="5" w:tplc="7F02E17A" w:tentative="1">
      <w:start w:val="1"/>
      <w:numFmt w:val="bullet"/>
      <w:lvlText w:val=""/>
      <w:lvlJc w:val="left"/>
      <w:pPr>
        <w:tabs>
          <w:tab w:val="num" w:pos="4320"/>
        </w:tabs>
        <w:ind w:left="4320" w:hanging="360"/>
      </w:pPr>
      <w:rPr>
        <w:rFonts w:ascii="Wingdings" w:hAnsi="Wingdings" w:hint="default"/>
      </w:rPr>
    </w:lvl>
    <w:lvl w:ilvl="6" w:tplc="C752208A" w:tentative="1">
      <w:start w:val="1"/>
      <w:numFmt w:val="bullet"/>
      <w:lvlText w:val=""/>
      <w:lvlJc w:val="left"/>
      <w:pPr>
        <w:tabs>
          <w:tab w:val="num" w:pos="5040"/>
        </w:tabs>
        <w:ind w:left="5040" w:hanging="360"/>
      </w:pPr>
      <w:rPr>
        <w:rFonts w:ascii="Symbol" w:hAnsi="Symbol" w:hint="default"/>
      </w:rPr>
    </w:lvl>
    <w:lvl w:ilvl="7" w:tplc="D3E206BA" w:tentative="1">
      <w:start w:val="1"/>
      <w:numFmt w:val="bullet"/>
      <w:lvlText w:val="o"/>
      <w:lvlJc w:val="left"/>
      <w:pPr>
        <w:tabs>
          <w:tab w:val="num" w:pos="5760"/>
        </w:tabs>
        <w:ind w:left="5760" w:hanging="360"/>
      </w:pPr>
      <w:rPr>
        <w:rFonts w:ascii="Courier New" w:hAnsi="Courier New" w:hint="default"/>
      </w:rPr>
    </w:lvl>
    <w:lvl w:ilvl="8" w:tplc="58204310"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42062897">
    <w:abstractNumId w:val="20"/>
  </w:num>
  <w:num w:numId="2" w16cid:durableId="1374309049">
    <w:abstractNumId w:val="19"/>
  </w:num>
  <w:num w:numId="3" w16cid:durableId="1668553027">
    <w:abstractNumId w:val="17"/>
  </w:num>
  <w:num w:numId="4" w16cid:durableId="1890265478">
    <w:abstractNumId w:val="18"/>
  </w:num>
  <w:num w:numId="5" w16cid:durableId="1738475003">
    <w:abstractNumId w:val="14"/>
  </w:num>
  <w:num w:numId="6" w16cid:durableId="1038776824">
    <w:abstractNumId w:val="9"/>
  </w:num>
  <w:num w:numId="7" w16cid:durableId="1380395426">
    <w:abstractNumId w:val="7"/>
  </w:num>
  <w:num w:numId="8" w16cid:durableId="986587494">
    <w:abstractNumId w:val="6"/>
  </w:num>
  <w:num w:numId="9" w16cid:durableId="2109421546">
    <w:abstractNumId w:val="5"/>
  </w:num>
  <w:num w:numId="10" w16cid:durableId="1674258744">
    <w:abstractNumId w:val="4"/>
  </w:num>
  <w:num w:numId="11" w16cid:durableId="929240218">
    <w:abstractNumId w:val="8"/>
  </w:num>
  <w:num w:numId="12" w16cid:durableId="1649357847">
    <w:abstractNumId w:val="3"/>
  </w:num>
  <w:num w:numId="13" w16cid:durableId="984774544">
    <w:abstractNumId w:val="2"/>
  </w:num>
  <w:num w:numId="14" w16cid:durableId="105782241">
    <w:abstractNumId w:val="1"/>
  </w:num>
  <w:num w:numId="15" w16cid:durableId="1918050355">
    <w:abstractNumId w:val="0"/>
  </w:num>
  <w:num w:numId="16" w16cid:durableId="621771284">
    <w:abstractNumId w:val="10"/>
  </w:num>
  <w:num w:numId="17" w16cid:durableId="1540320892">
    <w:abstractNumId w:val="13"/>
  </w:num>
  <w:num w:numId="18" w16cid:durableId="866412858">
    <w:abstractNumId w:val="12"/>
  </w:num>
  <w:num w:numId="19" w16cid:durableId="2017608435">
    <w:abstractNumId w:val="16"/>
  </w:num>
  <w:num w:numId="20" w16cid:durableId="1147433815">
    <w:abstractNumId w:val="11"/>
    <w:lvlOverride w:ilvl="0">
      <w:startOverride w:val="1"/>
    </w:lvlOverride>
    <w:lvlOverride w:ilvl="1"/>
    <w:lvlOverride w:ilvl="2"/>
    <w:lvlOverride w:ilvl="3"/>
    <w:lvlOverride w:ilvl="4"/>
    <w:lvlOverride w:ilvl="5"/>
    <w:lvlOverride w:ilvl="6"/>
    <w:lvlOverride w:ilvl="7"/>
    <w:lvlOverride w:ilvl="8"/>
  </w:num>
  <w:num w:numId="21" w16cid:durableId="1676885754">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5"/>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7BCB"/>
    <w:rsid w:val="000107AA"/>
    <w:rsid w:val="00033EE1"/>
    <w:rsid w:val="00042B72"/>
    <w:rsid w:val="000525CD"/>
    <w:rsid w:val="000558BD"/>
    <w:rsid w:val="00055E20"/>
    <w:rsid w:val="000904D0"/>
    <w:rsid w:val="000B53EA"/>
    <w:rsid w:val="000B57E7"/>
    <w:rsid w:val="000B6373"/>
    <w:rsid w:val="000D3664"/>
    <w:rsid w:val="000F09DF"/>
    <w:rsid w:val="000F61B2"/>
    <w:rsid w:val="001075E9"/>
    <w:rsid w:val="00110A5F"/>
    <w:rsid w:val="001145BF"/>
    <w:rsid w:val="001232DF"/>
    <w:rsid w:val="00180183"/>
    <w:rsid w:val="0018024D"/>
    <w:rsid w:val="00183CDF"/>
    <w:rsid w:val="0018649F"/>
    <w:rsid w:val="00196389"/>
    <w:rsid w:val="001A00E6"/>
    <w:rsid w:val="001A4396"/>
    <w:rsid w:val="001A6D30"/>
    <w:rsid w:val="001B3EF6"/>
    <w:rsid w:val="001C7A89"/>
    <w:rsid w:val="001F2886"/>
    <w:rsid w:val="00236359"/>
    <w:rsid w:val="00291EEF"/>
    <w:rsid w:val="002A02C6"/>
    <w:rsid w:val="002A2EFC"/>
    <w:rsid w:val="002C0E18"/>
    <w:rsid w:val="002D4172"/>
    <w:rsid w:val="002D5AAC"/>
    <w:rsid w:val="002F405F"/>
    <w:rsid w:val="002F4473"/>
    <w:rsid w:val="002F7594"/>
    <w:rsid w:val="00301299"/>
    <w:rsid w:val="00307FB6"/>
    <w:rsid w:val="00317339"/>
    <w:rsid w:val="00322004"/>
    <w:rsid w:val="003346C2"/>
    <w:rsid w:val="003402C2"/>
    <w:rsid w:val="00347A24"/>
    <w:rsid w:val="00364072"/>
    <w:rsid w:val="00376E4E"/>
    <w:rsid w:val="00381C24"/>
    <w:rsid w:val="003958D0"/>
    <w:rsid w:val="003A068D"/>
    <w:rsid w:val="003A3CE4"/>
    <w:rsid w:val="003B00E5"/>
    <w:rsid w:val="003B1614"/>
    <w:rsid w:val="003D3526"/>
    <w:rsid w:val="003E0332"/>
    <w:rsid w:val="003F2E2C"/>
    <w:rsid w:val="003F43D1"/>
    <w:rsid w:val="003F6FF0"/>
    <w:rsid w:val="00407B78"/>
    <w:rsid w:val="00416FBF"/>
    <w:rsid w:val="00424203"/>
    <w:rsid w:val="004452DE"/>
    <w:rsid w:val="00454E07"/>
    <w:rsid w:val="00473889"/>
    <w:rsid w:val="00483652"/>
    <w:rsid w:val="00494E72"/>
    <w:rsid w:val="004A7F24"/>
    <w:rsid w:val="004B34C6"/>
    <w:rsid w:val="004D1828"/>
    <w:rsid w:val="0050108D"/>
    <w:rsid w:val="0050260D"/>
    <w:rsid w:val="00513081"/>
    <w:rsid w:val="00517901"/>
    <w:rsid w:val="00520413"/>
    <w:rsid w:val="00521DC1"/>
    <w:rsid w:val="00526284"/>
    <w:rsid w:val="00526683"/>
    <w:rsid w:val="00531279"/>
    <w:rsid w:val="005404F5"/>
    <w:rsid w:val="00564A11"/>
    <w:rsid w:val="005709E0"/>
    <w:rsid w:val="00572E19"/>
    <w:rsid w:val="00582FAA"/>
    <w:rsid w:val="005961C8"/>
    <w:rsid w:val="005B1307"/>
    <w:rsid w:val="005B3572"/>
    <w:rsid w:val="005D7914"/>
    <w:rsid w:val="005F0B42"/>
    <w:rsid w:val="00615628"/>
    <w:rsid w:val="00621949"/>
    <w:rsid w:val="00681A10"/>
    <w:rsid w:val="006C2031"/>
    <w:rsid w:val="006D461A"/>
    <w:rsid w:val="006F2B28"/>
    <w:rsid w:val="006F35EE"/>
    <w:rsid w:val="007021FF"/>
    <w:rsid w:val="00704139"/>
    <w:rsid w:val="00712895"/>
    <w:rsid w:val="007267A6"/>
    <w:rsid w:val="00754B77"/>
    <w:rsid w:val="00757357"/>
    <w:rsid w:val="0076769E"/>
    <w:rsid w:val="00795AA1"/>
    <w:rsid w:val="007C333F"/>
    <w:rsid w:val="007E041B"/>
    <w:rsid w:val="007E072F"/>
    <w:rsid w:val="007E7906"/>
    <w:rsid w:val="00805D1C"/>
    <w:rsid w:val="00810554"/>
    <w:rsid w:val="00823578"/>
    <w:rsid w:val="00825F8D"/>
    <w:rsid w:val="00834B71"/>
    <w:rsid w:val="00841CBA"/>
    <w:rsid w:val="0086445C"/>
    <w:rsid w:val="00894693"/>
    <w:rsid w:val="00895653"/>
    <w:rsid w:val="008A08D7"/>
    <w:rsid w:val="008B6909"/>
    <w:rsid w:val="008E2C7A"/>
    <w:rsid w:val="00906890"/>
    <w:rsid w:val="00911BE4"/>
    <w:rsid w:val="00914DC1"/>
    <w:rsid w:val="009152F0"/>
    <w:rsid w:val="00917030"/>
    <w:rsid w:val="00935A0B"/>
    <w:rsid w:val="00951972"/>
    <w:rsid w:val="00953B31"/>
    <w:rsid w:val="009608F3"/>
    <w:rsid w:val="00996ACD"/>
    <w:rsid w:val="009A3FA9"/>
    <w:rsid w:val="009D0A26"/>
    <w:rsid w:val="009D28EB"/>
    <w:rsid w:val="009D5E91"/>
    <w:rsid w:val="00A06406"/>
    <w:rsid w:val="00A32382"/>
    <w:rsid w:val="00A417C5"/>
    <w:rsid w:val="00A44B2D"/>
    <w:rsid w:val="00A84021"/>
    <w:rsid w:val="00A85732"/>
    <w:rsid w:val="00A86F80"/>
    <w:rsid w:val="00A90C2B"/>
    <w:rsid w:val="00A917B3"/>
    <w:rsid w:val="00AB4B51"/>
    <w:rsid w:val="00AB513B"/>
    <w:rsid w:val="00AC5CC5"/>
    <w:rsid w:val="00AC669A"/>
    <w:rsid w:val="00AE5F3B"/>
    <w:rsid w:val="00AF3CB7"/>
    <w:rsid w:val="00AF7075"/>
    <w:rsid w:val="00B10CC7"/>
    <w:rsid w:val="00B539E7"/>
    <w:rsid w:val="00B563EB"/>
    <w:rsid w:val="00B62458"/>
    <w:rsid w:val="00B80A93"/>
    <w:rsid w:val="00BD33EE"/>
    <w:rsid w:val="00BF2E5C"/>
    <w:rsid w:val="00C106D6"/>
    <w:rsid w:val="00C1764C"/>
    <w:rsid w:val="00C60F0C"/>
    <w:rsid w:val="00C805C9"/>
    <w:rsid w:val="00C83850"/>
    <w:rsid w:val="00C92939"/>
    <w:rsid w:val="00C97E6D"/>
    <w:rsid w:val="00CA1679"/>
    <w:rsid w:val="00CB151C"/>
    <w:rsid w:val="00CB242B"/>
    <w:rsid w:val="00CE5A1A"/>
    <w:rsid w:val="00CF55F6"/>
    <w:rsid w:val="00D04407"/>
    <w:rsid w:val="00D23885"/>
    <w:rsid w:val="00D33D63"/>
    <w:rsid w:val="00D4778E"/>
    <w:rsid w:val="00D6685A"/>
    <w:rsid w:val="00D82740"/>
    <w:rsid w:val="00D90138"/>
    <w:rsid w:val="00DA4720"/>
    <w:rsid w:val="00DA6600"/>
    <w:rsid w:val="00DC6C4E"/>
    <w:rsid w:val="00DF1F15"/>
    <w:rsid w:val="00E246AF"/>
    <w:rsid w:val="00E247DC"/>
    <w:rsid w:val="00E31CF9"/>
    <w:rsid w:val="00E56EE3"/>
    <w:rsid w:val="00E6615D"/>
    <w:rsid w:val="00E73F76"/>
    <w:rsid w:val="00E86371"/>
    <w:rsid w:val="00E964F0"/>
    <w:rsid w:val="00EA2C9F"/>
    <w:rsid w:val="00ED0BDA"/>
    <w:rsid w:val="00EE7654"/>
    <w:rsid w:val="00EF1360"/>
    <w:rsid w:val="00EF2827"/>
    <w:rsid w:val="00EF3220"/>
    <w:rsid w:val="00F261E7"/>
    <w:rsid w:val="00F43810"/>
    <w:rsid w:val="00F63772"/>
    <w:rsid w:val="00F63F3C"/>
    <w:rsid w:val="00F7434A"/>
    <w:rsid w:val="00F76A49"/>
    <w:rsid w:val="00F9377E"/>
    <w:rsid w:val="00F94155"/>
    <w:rsid w:val="00FD234F"/>
    <w:rsid w:val="00FD2EF7"/>
    <w:rsid w:val="00FE3304"/>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96C63B"/>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1614"/>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3B161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3B1614"/>
    <w:pPr>
      <w:keepNext/>
      <w:outlineLvl w:val="1"/>
    </w:pPr>
    <w:rPr>
      <w:rFonts w:cs="Arial"/>
      <w:bCs/>
      <w:iCs/>
      <w:szCs w:val="28"/>
    </w:rPr>
  </w:style>
  <w:style w:type="paragraph" w:styleId="Ttulo3">
    <w:name w:val="heading 3"/>
    <w:basedOn w:val="Normal"/>
    <w:next w:val="Normal"/>
    <w:semiHidden/>
    <w:rsid w:val="003B1614"/>
    <w:pPr>
      <w:keepNext/>
      <w:spacing w:before="240" w:after="60"/>
      <w:outlineLvl w:val="2"/>
    </w:pPr>
    <w:rPr>
      <w:rFonts w:ascii="Arial" w:hAnsi="Arial" w:cs="Arial"/>
      <w:b/>
      <w:bCs/>
      <w:sz w:val="26"/>
      <w:szCs w:val="26"/>
    </w:rPr>
  </w:style>
  <w:style w:type="paragraph" w:styleId="Ttulo4">
    <w:name w:val="heading 4"/>
    <w:basedOn w:val="Normal"/>
    <w:next w:val="Normal"/>
    <w:semiHidden/>
    <w:rsid w:val="003B1614"/>
    <w:pPr>
      <w:keepNext/>
      <w:spacing w:before="240" w:after="60"/>
      <w:outlineLvl w:val="3"/>
    </w:pPr>
    <w:rPr>
      <w:b/>
      <w:bCs/>
      <w:sz w:val="28"/>
      <w:szCs w:val="28"/>
    </w:rPr>
  </w:style>
  <w:style w:type="paragraph" w:styleId="Ttulo5">
    <w:name w:val="heading 5"/>
    <w:basedOn w:val="Normal"/>
    <w:next w:val="Normal"/>
    <w:semiHidden/>
    <w:rsid w:val="003B1614"/>
    <w:pPr>
      <w:spacing w:before="240" w:after="60"/>
      <w:outlineLvl w:val="4"/>
    </w:pPr>
    <w:rPr>
      <w:b/>
      <w:bCs/>
      <w:i/>
      <w:iCs/>
      <w:sz w:val="26"/>
      <w:szCs w:val="26"/>
    </w:rPr>
  </w:style>
  <w:style w:type="paragraph" w:styleId="Ttulo6">
    <w:name w:val="heading 6"/>
    <w:basedOn w:val="Normal"/>
    <w:next w:val="Normal"/>
    <w:semiHidden/>
    <w:rsid w:val="003B1614"/>
    <w:pPr>
      <w:spacing w:before="240" w:after="60"/>
      <w:outlineLvl w:val="5"/>
    </w:pPr>
    <w:rPr>
      <w:b/>
      <w:bCs/>
      <w:sz w:val="22"/>
      <w:szCs w:val="22"/>
    </w:rPr>
  </w:style>
  <w:style w:type="paragraph" w:styleId="Ttulo7">
    <w:name w:val="heading 7"/>
    <w:basedOn w:val="Normal"/>
    <w:next w:val="Normal"/>
    <w:semiHidden/>
    <w:rsid w:val="003B1614"/>
    <w:pPr>
      <w:spacing w:before="240" w:after="60"/>
      <w:outlineLvl w:val="6"/>
    </w:pPr>
    <w:rPr>
      <w:sz w:val="24"/>
      <w:szCs w:val="24"/>
    </w:rPr>
  </w:style>
  <w:style w:type="paragraph" w:styleId="Ttulo8">
    <w:name w:val="heading 8"/>
    <w:basedOn w:val="Normal"/>
    <w:next w:val="Normal"/>
    <w:semiHidden/>
    <w:rsid w:val="003B1614"/>
    <w:pPr>
      <w:spacing w:before="240" w:after="60"/>
      <w:outlineLvl w:val="7"/>
    </w:pPr>
    <w:rPr>
      <w:i/>
      <w:iCs/>
      <w:sz w:val="24"/>
      <w:szCs w:val="24"/>
    </w:rPr>
  </w:style>
  <w:style w:type="paragraph" w:styleId="Ttulo9">
    <w:name w:val="heading 9"/>
    <w:basedOn w:val="Normal"/>
    <w:next w:val="Normal"/>
    <w:semiHidden/>
    <w:rsid w:val="003B161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3B1614"/>
    <w:rPr>
      <w:rFonts w:ascii="Times New Roman" w:hAnsi="Times New Roman"/>
      <w:sz w:val="18"/>
      <w:vertAlign w:val="superscript"/>
    </w:rPr>
  </w:style>
  <w:style w:type="paragraph" w:customStyle="1" w:styleId="HMG">
    <w:name w:val="_ H __M_G"/>
    <w:basedOn w:val="Normal"/>
    <w:next w:val="Normal"/>
    <w:link w:val="HMGChar"/>
    <w:qFormat/>
    <w:rsid w:val="003B161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B1614"/>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3B161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3B161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3B161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3B161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3B1614"/>
    <w:pPr>
      <w:pBdr>
        <w:bottom w:val="single" w:sz="4" w:space="4" w:color="auto"/>
      </w:pBdr>
      <w:spacing w:line="240" w:lineRule="auto"/>
    </w:pPr>
    <w:rPr>
      <w:b/>
      <w:sz w:val="18"/>
    </w:rPr>
  </w:style>
  <w:style w:type="paragraph" w:customStyle="1" w:styleId="SingleTxtG">
    <w:name w:val="_ Single Txt_G"/>
    <w:basedOn w:val="Normal"/>
    <w:link w:val="SingleTxtGChar"/>
    <w:qFormat/>
    <w:rsid w:val="003B1614"/>
    <w:pPr>
      <w:tabs>
        <w:tab w:val="left" w:pos="1701"/>
        <w:tab w:val="left" w:pos="2268"/>
        <w:tab w:val="left" w:pos="2835"/>
      </w:tabs>
      <w:spacing w:after="120"/>
      <w:ind w:left="1134" w:right="1134"/>
      <w:jc w:val="both"/>
    </w:pPr>
  </w:style>
  <w:style w:type="paragraph" w:customStyle="1" w:styleId="SMG">
    <w:name w:val="__S_M_G"/>
    <w:basedOn w:val="Normal"/>
    <w:next w:val="Normal"/>
    <w:rsid w:val="003B1614"/>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B1614"/>
    <w:pPr>
      <w:keepNext/>
      <w:keepLines/>
      <w:spacing w:before="240" w:after="240" w:line="580" w:lineRule="exact"/>
      <w:ind w:left="1134" w:right="1134"/>
    </w:pPr>
    <w:rPr>
      <w:b/>
      <w:sz w:val="56"/>
    </w:rPr>
  </w:style>
  <w:style w:type="paragraph" w:customStyle="1" w:styleId="SSG">
    <w:name w:val="__S_S_G"/>
    <w:basedOn w:val="Normal"/>
    <w:next w:val="Normal"/>
    <w:rsid w:val="003B1614"/>
    <w:pPr>
      <w:keepNext/>
      <w:keepLines/>
      <w:spacing w:before="240" w:after="240" w:line="300" w:lineRule="exact"/>
      <w:ind w:left="1134" w:right="1134"/>
    </w:pPr>
    <w:rPr>
      <w:b/>
      <w:sz w:val="28"/>
    </w:rPr>
  </w:style>
  <w:style w:type="paragraph" w:styleId="Piedepgina">
    <w:name w:val="footer"/>
    <w:aliases w:val="3_G"/>
    <w:basedOn w:val="Normal"/>
    <w:next w:val="Normal"/>
    <w:qFormat/>
    <w:rsid w:val="003B1614"/>
    <w:rPr>
      <w:sz w:val="16"/>
    </w:rPr>
  </w:style>
  <w:style w:type="paragraph" w:customStyle="1" w:styleId="XLargeG">
    <w:name w:val="__XLarge_G"/>
    <w:basedOn w:val="Normal"/>
    <w:next w:val="Normal"/>
    <w:rsid w:val="003B161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3B1614"/>
    <w:pPr>
      <w:tabs>
        <w:tab w:val="right" w:pos="1021"/>
      </w:tabs>
      <w:spacing w:line="220" w:lineRule="exact"/>
      <w:ind w:left="1134" w:right="1134" w:hanging="1134"/>
    </w:pPr>
    <w:rPr>
      <w:sz w:val="18"/>
    </w:rPr>
  </w:style>
  <w:style w:type="table" w:styleId="Tablaconcuadrcula">
    <w:name w:val="Table Grid"/>
    <w:basedOn w:val="Tablanormal"/>
    <w:rsid w:val="003B1614"/>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B1614"/>
    <w:pPr>
      <w:numPr>
        <w:numId w:val="1"/>
      </w:numPr>
    </w:pPr>
  </w:style>
  <w:style w:type="numbering" w:styleId="1ai">
    <w:name w:val="Outline List 1"/>
    <w:basedOn w:val="Sinlista"/>
    <w:semiHidden/>
    <w:rsid w:val="003B1614"/>
    <w:pPr>
      <w:numPr>
        <w:numId w:val="2"/>
      </w:numPr>
    </w:pPr>
  </w:style>
  <w:style w:type="character" w:styleId="AcrnimoHTML">
    <w:name w:val="HTML Acronym"/>
    <w:basedOn w:val="Fuentedeprrafopredeter"/>
    <w:semiHidden/>
    <w:rsid w:val="003B1614"/>
  </w:style>
  <w:style w:type="numbering" w:styleId="ArtculoSeccin">
    <w:name w:val="Outline List 3"/>
    <w:basedOn w:val="Sinlista"/>
    <w:semiHidden/>
    <w:rsid w:val="003B1614"/>
    <w:pPr>
      <w:numPr>
        <w:numId w:val="3"/>
      </w:numPr>
    </w:pPr>
  </w:style>
  <w:style w:type="paragraph" w:styleId="Cierre">
    <w:name w:val="Closing"/>
    <w:basedOn w:val="Normal"/>
    <w:semiHidden/>
    <w:rsid w:val="003B1614"/>
    <w:pPr>
      <w:ind w:left="4252"/>
    </w:pPr>
  </w:style>
  <w:style w:type="character" w:styleId="CitaHTML">
    <w:name w:val="HTML Cite"/>
    <w:semiHidden/>
    <w:rsid w:val="003B1614"/>
    <w:rPr>
      <w:i/>
      <w:iCs/>
    </w:rPr>
  </w:style>
  <w:style w:type="character" w:styleId="CdigoHTML">
    <w:name w:val="HTML Code"/>
    <w:semiHidden/>
    <w:rsid w:val="003B1614"/>
    <w:rPr>
      <w:rFonts w:ascii="Courier New" w:hAnsi="Courier New" w:cs="Courier New"/>
      <w:sz w:val="20"/>
      <w:szCs w:val="20"/>
    </w:rPr>
  </w:style>
  <w:style w:type="paragraph" w:styleId="Continuarlista">
    <w:name w:val="List Continue"/>
    <w:basedOn w:val="Normal"/>
    <w:semiHidden/>
    <w:rsid w:val="003B1614"/>
    <w:pPr>
      <w:spacing w:after="120"/>
      <w:ind w:left="283"/>
    </w:pPr>
  </w:style>
  <w:style w:type="paragraph" w:styleId="Continuarlista2">
    <w:name w:val="List Continue 2"/>
    <w:basedOn w:val="Normal"/>
    <w:semiHidden/>
    <w:rsid w:val="003B1614"/>
    <w:pPr>
      <w:spacing w:after="120"/>
      <w:ind w:left="566"/>
    </w:pPr>
  </w:style>
  <w:style w:type="paragraph" w:styleId="Continuarlista3">
    <w:name w:val="List Continue 3"/>
    <w:basedOn w:val="Normal"/>
    <w:semiHidden/>
    <w:rsid w:val="003B1614"/>
    <w:pPr>
      <w:spacing w:after="120"/>
      <w:ind w:left="849"/>
    </w:pPr>
  </w:style>
  <w:style w:type="paragraph" w:styleId="Continuarlista4">
    <w:name w:val="List Continue 4"/>
    <w:basedOn w:val="Normal"/>
    <w:semiHidden/>
    <w:rsid w:val="003B1614"/>
    <w:pPr>
      <w:spacing w:after="120"/>
      <w:ind w:left="1132"/>
    </w:pPr>
  </w:style>
  <w:style w:type="paragraph" w:styleId="Continuarlista5">
    <w:name w:val="List Continue 5"/>
    <w:basedOn w:val="Normal"/>
    <w:semiHidden/>
    <w:rsid w:val="003B1614"/>
    <w:pPr>
      <w:spacing w:after="120"/>
      <w:ind w:left="1415"/>
    </w:pPr>
  </w:style>
  <w:style w:type="character" w:styleId="DefinicinHTML">
    <w:name w:val="HTML Definition"/>
    <w:semiHidden/>
    <w:rsid w:val="003B1614"/>
    <w:rPr>
      <w:i/>
      <w:iCs/>
    </w:rPr>
  </w:style>
  <w:style w:type="paragraph" w:styleId="DireccinHTML">
    <w:name w:val="HTML Address"/>
    <w:basedOn w:val="Normal"/>
    <w:semiHidden/>
    <w:rsid w:val="003B1614"/>
    <w:rPr>
      <w:i/>
      <w:iCs/>
    </w:rPr>
  </w:style>
  <w:style w:type="paragraph" w:styleId="Direccinsobre">
    <w:name w:val="envelope address"/>
    <w:basedOn w:val="Normal"/>
    <w:semiHidden/>
    <w:rsid w:val="003B161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3B1614"/>
    <w:rPr>
      <w:rFonts w:ascii="Courier New" w:hAnsi="Courier New" w:cs="Courier New"/>
    </w:rPr>
  </w:style>
  <w:style w:type="paragraph" w:styleId="Encabezadodemensaje">
    <w:name w:val="Message Header"/>
    <w:basedOn w:val="Normal"/>
    <w:semiHidden/>
    <w:rsid w:val="003B161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B1614"/>
  </w:style>
  <w:style w:type="character" w:styleId="nfasis">
    <w:name w:val="Emphasis"/>
    <w:semiHidden/>
    <w:rsid w:val="003B1614"/>
    <w:rPr>
      <w:i/>
      <w:iCs/>
    </w:rPr>
  </w:style>
  <w:style w:type="paragraph" w:styleId="Fecha">
    <w:name w:val="Date"/>
    <w:basedOn w:val="Normal"/>
    <w:next w:val="Normal"/>
    <w:semiHidden/>
    <w:rsid w:val="003B1614"/>
  </w:style>
  <w:style w:type="paragraph" w:styleId="Firma">
    <w:name w:val="Signature"/>
    <w:basedOn w:val="Normal"/>
    <w:semiHidden/>
    <w:rsid w:val="003B1614"/>
    <w:pPr>
      <w:ind w:left="4252"/>
    </w:pPr>
  </w:style>
  <w:style w:type="paragraph" w:styleId="Firmadecorreoelectrnico">
    <w:name w:val="E-mail Signature"/>
    <w:basedOn w:val="Normal"/>
    <w:semiHidden/>
    <w:rsid w:val="003B1614"/>
  </w:style>
  <w:style w:type="character" w:styleId="Hipervnculo">
    <w:name w:val="Hyperlink"/>
    <w:rsid w:val="003B1614"/>
    <w:rPr>
      <w:color w:val="0000FF"/>
      <w:u w:val="none"/>
    </w:rPr>
  </w:style>
  <w:style w:type="character" w:styleId="Hipervnculovisitado">
    <w:name w:val="FollowedHyperlink"/>
    <w:rsid w:val="003B1614"/>
    <w:rPr>
      <w:color w:val="0000FF"/>
      <w:u w:val="none"/>
    </w:rPr>
  </w:style>
  <w:style w:type="paragraph" w:styleId="HTMLconformatoprevio">
    <w:name w:val="HTML Preformatted"/>
    <w:basedOn w:val="Normal"/>
    <w:semiHidden/>
    <w:rsid w:val="003B1614"/>
    <w:rPr>
      <w:rFonts w:ascii="Courier New" w:hAnsi="Courier New" w:cs="Courier New"/>
    </w:rPr>
  </w:style>
  <w:style w:type="paragraph" w:styleId="Lista">
    <w:name w:val="List"/>
    <w:basedOn w:val="Normal"/>
    <w:semiHidden/>
    <w:rsid w:val="003B1614"/>
    <w:pPr>
      <w:ind w:left="283" w:hanging="283"/>
    </w:pPr>
  </w:style>
  <w:style w:type="paragraph" w:styleId="Lista2">
    <w:name w:val="List 2"/>
    <w:basedOn w:val="Normal"/>
    <w:semiHidden/>
    <w:rsid w:val="003B1614"/>
    <w:pPr>
      <w:ind w:left="566" w:hanging="283"/>
    </w:pPr>
  </w:style>
  <w:style w:type="paragraph" w:styleId="Lista3">
    <w:name w:val="List 3"/>
    <w:basedOn w:val="Normal"/>
    <w:semiHidden/>
    <w:rsid w:val="003B1614"/>
    <w:pPr>
      <w:ind w:left="849" w:hanging="283"/>
    </w:pPr>
  </w:style>
  <w:style w:type="paragraph" w:styleId="Lista4">
    <w:name w:val="List 4"/>
    <w:basedOn w:val="Normal"/>
    <w:semiHidden/>
    <w:rsid w:val="003B1614"/>
    <w:pPr>
      <w:ind w:left="1132" w:hanging="283"/>
    </w:pPr>
  </w:style>
  <w:style w:type="paragraph" w:styleId="Lista5">
    <w:name w:val="List 5"/>
    <w:basedOn w:val="Normal"/>
    <w:semiHidden/>
    <w:rsid w:val="003B1614"/>
    <w:pPr>
      <w:ind w:left="1415" w:hanging="283"/>
    </w:pPr>
  </w:style>
  <w:style w:type="paragraph" w:styleId="Listaconnmeros">
    <w:name w:val="List Number"/>
    <w:basedOn w:val="Normal"/>
    <w:semiHidden/>
    <w:rsid w:val="003B1614"/>
    <w:pPr>
      <w:numPr>
        <w:numId w:val="11"/>
      </w:numPr>
    </w:pPr>
  </w:style>
  <w:style w:type="paragraph" w:styleId="Listaconnmeros2">
    <w:name w:val="List Number 2"/>
    <w:basedOn w:val="Normal"/>
    <w:semiHidden/>
    <w:rsid w:val="003B1614"/>
    <w:pPr>
      <w:numPr>
        <w:numId w:val="12"/>
      </w:numPr>
    </w:pPr>
  </w:style>
  <w:style w:type="paragraph" w:styleId="Listaconnmeros3">
    <w:name w:val="List Number 3"/>
    <w:basedOn w:val="Normal"/>
    <w:semiHidden/>
    <w:rsid w:val="003B1614"/>
    <w:pPr>
      <w:numPr>
        <w:numId w:val="13"/>
      </w:numPr>
    </w:pPr>
  </w:style>
  <w:style w:type="paragraph" w:styleId="Listaconnmeros4">
    <w:name w:val="List Number 4"/>
    <w:basedOn w:val="Normal"/>
    <w:semiHidden/>
    <w:rsid w:val="003B1614"/>
    <w:pPr>
      <w:numPr>
        <w:numId w:val="14"/>
      </w:numPr>
    </w:pPr>
  </w:style>
  <w:style w:type="paragraph" w:styleId="Listaconnmeros5">
    <w:name w:val="List Number 5"/>
    <w:basedOn w:val="Normal"/>
    <w:semiHidden/>
    <w:rsid w:val="003B1614"/>
    <w:pPr>
      <w:numPr>
        <w:numId w:val="15"/>
      </w:numPr>
    </w:pPr>
  </w:style>
  <w:style w:type="paragraph" w:styleId="Listaconvietas">
    <w:name w:val="List Bullet"/>
    <w:basedOn w:val="Normal"/>
    <w:semiHidden/>
    <w:rsid w:val="003B1614"/>
    <w:pPr>
      <w:numPr>
        <w:numId w:val="6"/>
      </w:numPr>
    </w:pPr>
  </w:style>
  <w:style w:type="paragraph" w:styleId="Listaconvietas2">
    <w:name w:val="List Bullet 2"/>
    <w:basedOn w:val="Normal"/>
    <w:semiHidden/>
    <w:rsid w:val="003B1614"/>
    <w:pPr>
      <w:numPr>
        <w:numId w:val="7"/>
      </w:numPr>
    </w:pPr>
  </w:style>
  <w:style w:type="paragraph" w:styleId="Listaconvietas3">
    <w:name w:val="List Bullet 3"/>
    <w:basedOn w:val="Normal"/>
    <w:semiHidden/>
    <w:rsid w:val="003B1614"/>
    <w:pPr>
      <w:numPr>
        <w:numId w:val="8"/>
      </w:numPr>
    </w:pPr>
  </w:style>
  <w:style w:type="paragraph" w:styleId="Listaconvietas4">
    <w:name w:val="List Bullet 4"/>
    <w:basedOn w:val="Normal"/>
    <w:semiHidden/>
    <w:rsid w:val="003B1614"/>
    <w:pPr>
      <w:numPr>
        <w:numId w:val="9"/>
      </w:numPr>
    </w:pPr>
  </w:style>
  <w:style w:type="paragraph" w:styleId="Listaconvietas5">
    <w:name w:val="List Bullet 5"/>
    <w:basedOn w:val="Normal"/>
    <w:semiHidden/>
    <w:rsid w:val="003B1614"/>
    <w:pPr>
      <w:numPr>
        <w:numId w:val="10"/>
      </w:numPr>
    </w:pPr>
  </w:style>
  <w:style w:type="character" w:styleId="MquinadeescribirHTML">
    <w:name w:val="HTML Typewriter"/>
    <w:semiHidden/>
    <w:rsid w:val="003B1614"/>
    <w:rPr>
      <w:rFonts w:ascii="Courier New" w:hAnsi="Courier New" w:cs="Courier New"/>
      <w:sz w:val="20"/>
      <w:szCs w:val="20"/>
    </w:rPr>
  </w:style>
  <w:style w:type="paragraph" w:styleId="NormalWeb">
    <w:name w:val="Normal (Web)"/>
    <w:basedOn w:val="Normal"/>
    <w:semiHidden/>
    <w:rsid w:val="003B1614"/>
    <w:rPr>
      <w:sz w:val="24"/>
      <w:szCs w:val="24"/>
    </w:rPr>
  </w:style>
  <w:style w:type="character" w:styleId="Nmerodelnea">
    <w:name w:val="line number"/>
    <w:basedOn w:val="Fuentedeprrafopredeter"/>
    <w:semiHidden/>
    <w:rsid w:val="003B1614"/>
  </w:style>
  <w:style w:type="character" w:styleId="Nmerodepgina">
    <w:name w:val="page number"/>
    <w:aliases w:val="7_G"/>
    <w:qFormat/>
    <w:rsid w:val="003B1614"/>
    <w:rPr>
      <w:b/>
      <w:sz w:val="18"/>
    </w:rPr>
  </w:style>
  <w:style w:type="character" w:styleId="Refdenotaalfinal">
    <w:name w:val="endnote reference"/>
    <w:aliases w:val="1_G"/>
    <w:qFormat/>
    <w:rsid w:val="003B1614"/>
    <w:rPr>
      <w:rFonts w:ascii="Times New Roman" w:hAnsi="Times New Roman"/>
      <w:sz w:val="18"/>
      <w:vertAlign w:val="superscript"/>
    </w:rPr>
  </w:style>
  <w:style w:type="paragraph" w:styleId="Remitedesobre">
    <w:name w:val="envelope return"/>
    <w:basedOn w:val="Normal"/>
    <w:semiHidden/>
    <w:rsid w:val="003B1614"/>
    <w:rPr>
      <w:rFonts w:ascii="Arial" w:hAnsi="Arial" w:cs="Arial"/>
    </w:rPr>
  </w:style>
  <w:style w:type="paragraph" w:styleId="Saludo">
    <w:name w:val="Salutation"/>
    <w:basedOn w:val="Normal"/>
    <w:next w:val="Normal"/>
    <w:semiHidden/>
    <w:rsid w:val="003B1614"/>
  </w:style>
  <w:style w:type="paragraph" w:styleId="Sangra2detindependiente">
    <w:name w:val="Body Text Indent 2"/>
    <w:basedOn w:val="Normal"/>
    <w:semiHidden/>
    <w:rsid w:val="003B1614"/>
    <w:pPr>
      <w:spacing w:after="120" w:line="480" w:lineRule="auto"/>
      <w:ind w:left="283"/>
    </w:pPr>
  </w:style>
  <w:style w:type="paragraph" w:styleId="Sangra3detindependiente">
    <w:name w:val="Body Text Indent 3"/>
    <w:basedOn w:val="Normal"/>
    <w:semiHidden/>
    <w:rsid w:val="003B1614"/>
    <w:pPr>
      <w:spacing w:after="120"/>
      <w:ind w:left="283"/>
    </w:pPr>
    <w:rPr>
      <w:sz w:val="16"/>
      <w:szCs w:val="16"/>
    </w:rPr>
  </w:style>
  <w:style w:type="paragraph" w:styleId="Sangradetextonormal">
    <w:name w:val="Body Text Indent"/>
    <w:basedOn w:val="Normal"/>
    <w:semiHidden/>
    <w:rsid w:val="003B1614"/>
    <w:pPr>
      <w:spacing w:after="120"/>
      <w:ind w:left="283"/>
    </w:pPr>
  </w:style>
  <w:style w:type="paragraph" w:styleId="Sangranormal">
    <w:name w:val="Normal Indent"/>
    <w:basedOn w:val="Normal"/>
    <w:semiHidden/>
    <w:rsid w:val="003B1614"/>
    <w:pPr>
      <w:ind w:left="567"/>
    </w:pPr>
  </w:style>
  <w:style w:type="paragraph" w:styleId="Subttulo">
    <w:name w:val="Subtitle"/>
    <w:basedOn w:val="Normal"/>
    <w:semiHidden/>
    <w:rsid w:val="003B1614"/>
    <w:pPr>
      <w:spacing w:after="60"/>
      <w:jc w:val="center"/>
      <w:outlineLvl w:val="1"/>
    </w:pPr>
    <w:rPr>
      <w:rFonts w:ascii="Arial" w:hAnsi="Arial" w:cs="Arial"/>
      <w:sz w:val="24"/>
      <w:szCs w:val="24"/>
    </w:rPr>
  </w:style>
  <w:style w:type="table" w:styleId="Tablabsica1">
    <w:name w:val="Table Simple 1"/>
    <w:basedOn w:val="Tablanormal"/>
    <w:semiHidden/>
    <w:rsid w:val="003B1614"/>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B1614"/>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B1614"/>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B1614"/>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B1614"/>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B1614"/>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B1614"/>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B1614"/>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B1614"/>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B1614"/>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B1614"/>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B1614"/>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B1614"/>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B1614"/>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B1614"/>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B1614"/>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B1614"/>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B1614"/>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B1614"/>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B1614"/>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B1614"/>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B1614"/>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B1614"/>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B1614"/>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B1614"/>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B1614"/>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B1614"/>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B1614"/>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B1614"/>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B1614"/>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B1614"/>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B1614"/>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B1614"/>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B1614"/>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B1614"/>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B1614"/>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B1614"/>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B1614"/>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B1614"/>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B1614"/>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B1614"/>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B1614"/>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B1614"/>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3B1614"/>
    <w:rPr>
      <w:rFonts w:ascii="Courier New" w:hAnsi="Courier New" w:cs="Courier New"/>
      <w:sz w:val="20"/>
      <w:szCs w:val="20"/>
    </w:rPr>
  </w:style>
  <w:style w:type="paragraph" w:styleId="Textodebloque">
    <w:name w:val="Block Text"/>
    <w:basedOn w:val="Normal"/>
    <w:semiHidden/>
    <w:rsid w:val="003B1614"/>
    <w:pPr>
      <w:spacing w:after="120"/>
      <w:ind w:left="1440" w:right="1440"/>
    </w:pPr>
  </w:style>
  <w:style w:type="character" w:styleId="Textoennegrita">
    <w:name w:val="Strong"/>
    <w:semiHidden/>
    <w:rsid w:val="003B1614"/>
    <w:rPr>
      <w:b/>
      <w:bCs/>
    </w:rPr>
  </w:style>
  <w:style w:type="paragraph" w:styleId="Textoindependiente">
    <w:name w:val="Body Text"/>
    <w:basedOn w:val="Normal"/>
    <w:semiHidden/>
    <w:rsid w:val="003B1614"/>
    <w:pPr>
      <w:spacing w:after="120"/>
    </w:pPr>
  </w:style>
  <w:style w:type="paragraph" w:styleId="Textoindependiente2">
    <w:name w:val="Body Text 2"/>
    <w:basedOn w:val="Normal"/>
    <w:semiHidden/>
    <w:rsid w:val="003B1614"/>
    <w:pPr>
      <w:spacing w:after="120" w:line="480" w:lineRule="auto"/>
    </w:pPr>
  </w:style>
  <w:style w:type="paragraph" w:styleId="Textoindependiente3">
    <w:name w:val="Body Text 3"/>
    <w:basedOn w:val="Normal"/>
    <w:semiHidden/>
    <w:rsid w:val="003B1614"/>
    <w:pPr>
      <w:spacing w:after="120"/>
    </w:pPr>
    <w:rPr>
      <w:sz w:val="16"/>
      <w:szCs w:val="16"/>
    </w:rPr>
  </w:style>
  <w:style w:type="paragraph" w:styleId="Textoindependienteprimerasangra">
    <w:name w:val="Body Text First Indent"/>
    <w:basedOn w:val="Textoindependiente"/>
    <w:semiHidden/>
    <w:rsid w:val="003B1614"/>
    <w:pPr>
      <w:ind w:firstLine="210"/>
    </w:pPr>
  </w:style>
  <w:style w:type="paragraph" w:styleId="Textoindependienteprimerasangra2">
    <w:name w:val="Body Text First Indent 2"/>
    <w:basedOn w:val="Sangradetextonormal"/>
    <w:semiHidden/>
    <w:rsid w:val="003B1614"/>
    <w:pPr>
      <w:ind w:firstLine="210"/>
    </w:pPr>
  </w:style>
  <w:style w:type="paragraph" w:styleId="Textonotaalfinal">
    <w:name w:val="endnote text"/>
    <w:aliases w:val="2_G"/>
    <w:basedOn w:val="Textonotapie"/>
    <w:qFormat/>
    <w:rsid w:val="003B1614"/>
  </w:style>
  <w:style w:type="paragraph" w:styleId="Textosinformato">
    <w:name w:val="Plain Text"/>
    <w:basedOn w:val="Normal"/>
    <w:semiHidden/>
    <w:rsid w:val="003B1614"/>
    <w:rPr>
      <w:rFonts w:ascii="Courier New" w:hAnsi="Courier New" w:cs="Courier New"/>
    </w:rPr>
  </w:style>
  <w:style w:type="paragraph" w:styleId="Ttulo">
    <w:name w:val="Title"/>
    <w:basedOn w:val="Normal"/>
    <w:semiHidden/>
    <w:rsid w:val="003B1614"/>
    <w:pPr>
      <w:spacing w:before="240" w:after="60"/>
      <w:jc w:val="center"/>
      <w:outlineLvl w:val="0"/>
    </w:pPr>
    <w:rPr>
      <w:rFonts w:ascii="Arial" w:hAnsi="Arial" w:cs="Arial"/>
      <w:b/>
      <w:bCs/>
      <w:kern w:val="28"/>
      <w:sz w:val="32"/>
      <w:szCs w:val="32"/>
    </w:rPr>
  </w:style>
  <w:style w:type="character" w:styleId="VariableHTML">
    <w:name w:val="HTML Variable"/>
    <w:semiHidden/>
    <w:rsid w:val="003B1614"/>
    <w:rPr>
      <w:i/>
      <w:iCs/>
    </w:rPr>
  </w:style>
  <w:style w:type="paragraph" w:customStyle="1" w:styleId="Bullet1G">
    <w:name w:val="_Bullet 1_G"/>
    <w:basedOn w:val="Normal"/>
    <w:qFormat/>
    <w:rsid w:val="003B1614"/>
    <w:pPr>
      <w:numPr>
        <w:numId w:val="4"/>
      </w:numPr>
      <w:spacing w:after="120"/>
      <w:ind w:right="1134"/>
      <w:jc w:val="both"/>
    </w:pPr>
    <w:rPr>
      <w:lang w:eastAsia="en-US"/>
    </w:rPr>
  </w:style>
  <w:style w:type="paragraph" w:customStyle="1" w:styleId="Bullet2G">
    <w:name w:val="_Bullet 2_G"/>
    <w:basedOn w:val="Normal"/>
    <w:qFormat/>
    <w:rsid w:val="003B1614"/>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3B161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3B1614"/>
    <w:rPr>
      <w:rFonts w:eastAsiaTheme="minorEastAsia"/>
      <w:b/>
      <w:bCs/>
      <w:i/>
      <w:iCs/>
      <w:color w:val="4F81BD"/>
      <w:lang w:val="es-ES" w:eastAsia="es-ES"/>
    </w:rPr>
  </w:style>
  <w:style w:type="character" w:styleId="nfasisintenso">
    <w:name w:val="Intense Emphasis"/>
    <w:uiPriority w:val="21"/>
    <w:semiHidden/>
    <w:rsid w:val="003B1614"/>
    <w:rPr>
      <w:b/>
      <w:bCs/>
      <w:i/>
      <w:iCs/>
      <w:color w:val="4F81BD"/>
    </w:rPr>
  </w:style>
  <w:style w:type="character" w:customStyle="1" w:styleId="Ttulo1Car">
    <w:name w:val="Título 1 Car"/>
    <w:aliases w:val="Cuadro_G Car"/>
    <w:basedOn w:val="Fuentedeprrafopredeter"/>
    <w:link w:val="Ttulo1"/>
    <w:rsid w:val="003B1614"/>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5404F5"/>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D5E91"/>
    <w:rPr>
      <w:rFonts w:eastAsiaTheme="minorEastAsia"/>
      <w:lang w:val="es-ES" w:eastAsia="es-ES"/>
    </w:rPr>
  </w:style>
  <w:style w:type="character" w:customStyle="1" w:styleId="TextonotapieCar">
    <w:name w:val="Texto nota pie Car"/>
    <w:aliases w:val="5_G Car"/>
    <w:link w:val="Textonotapie"/>
    <w:uiPriority w:val="99"/>
    <w:locked/>
    <w:rsid w:val="00582FAA"/>
    <w:rPr>
      <w:rFonts w:eastAsiaTheme="minorEastAsia"/>
      <w:sz w:val="18"/>
      <w:lang w:val="es-ES" w:eastAsia="es-ES"/>
    </w:rPr>
  </w:style>
  <w:style w:type="paragraph" w:styleId="Prrafodelista">
    <w:name w:val="List Paragraph"/>
    <w:aliases w:val="Dot pt,No Spacing1,List Paragraph Char Char Char,Indicator Text,List Paragraph1,Numbered Para 1,Colorful List - Accent 11,Bullet 1,F5 List Paragraph,Bullet Points,titulo 3,viñetas,lp1,List Paragraph2,MAIN CONTENT,3,Bullet"/>
    <w:basedOn w:val="Normal"/>
    <w:link w:val="PrrafodelistaCar"/>
    <w:uiPriority w:val="34"/>
    <w:qFormat/>
    <w:rsid w:val="00996ACD"/>
    <w:pPr>
      <w:ind w:left="720"/>
      <w:contextualSpacing/>
    </w:pPr>
    <w:rPr>
      <w:rFonts w:eastAsia="Times New Roman"/>
    </w:rPr>
  </w:style>
  <w:style w:type="character" w:customStyle="1" w:styleId="PrrafodelistaCar">
    <w:name w:val="Párrafo de lista Car"/>
    <w:aliases w:val="Dot pt Car,No Spacing1 Car,List Paragraph Char Char Char Car,Indicator Text Car,List Paragraph1 Car,Numbered Para 1 Car,Colorful List - Accent 11 Car,Bullet 1 Car,F5 List Paragraph Car,Bullet Points Car,titulo 3 Car,viñetas Car"/>
    <w:basedOn w:val="Fuentedeprrafopredeter"/>
    <w:link w:val="Prrafodelista"/>
    <w:uiPriority w:val="34"/>
    <w:qFormat/>
    <w:locked/>
    <w:rsid w:val="00996ACD"/>
    <w:rPr>
      <w:lang w:val="es-ES" w:eastAsia="es-ES"/>
    </w:rPr>
  </w:style>
  <w:style w:type="paragraph" w:styleId="Revisin">
    <w:name w:val="Revision"/>
    <w:hidden/>
    <w:uiPriority w:val="99"/>
    <w:semiHidden/>
    <w:rsid w:val="00DF1F15"/>
    <w:rPr>
      <w:rFonts w:eastAsiaTheme="minorEastAsia"/>
      <w:lang w:val="es-ES" w:eastAsia="es-ES"/>
    </w:rPr>
  </w:style>
  <w:style w:type="character" w:styleId="Mencinsinresolver">
    <w:name w:val="Unresolved Mention"/>
    <w:basedOn w:val="Fuentedeprrafopredeter"/>
    <w:uiPriority w:val="99"/>
    <w:semiHidden/>
    <w:unhideWhenUsed/>
    <w:rsid w:val="008E2C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20177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efensoria.gob.pa/wp-content/uploads/2021/06/Informe-de-la-Comision-de-la-Verdad.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6" ma:contentTypeDescription="Create a new document." ma:contentTypeScope="" ma:versionID="835c4c2661dfb863b16e2314294d07d6">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7eed262a6ea866d3889207adf611bd9c"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E71CFE-475F-4B04-898E-4922A880E45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89C9364-C298-4BB0-928D-2725393F23F8}">
  <ds:schemaRefs>
    <ds:schemaRef ds:uri="http://schemas.openxmlformats.org/officeDocument/2006/bibliography"/>
  </ds:schemaRefs>
</ds:datastoreItem>
</file>

<file path=customXml/itemProps3.xml><?xml version="1.0" encoding="utf-8"?>
<ds:datastoreItem xmlns:ds="http://schemas.openxmlformats.org/officeDocument/2006/customXml" ds:itemID="{16E45320-7BA5-4386-8F12-3A574B131F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82EDF5-DD09-4392-9FC4-3A5C1B00BA5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2034</Words>
  <Characters>10989</Characters>
  <Application>Microsoft Office Word</Application>
  <DocSecurity>0</DocSecurity>
  <Lines>244</Lines>
  <Paragraphs>130</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CED/C/PAN/FCO/1</vt:lpstr>
      <vt:lpstr>CED/C/PAN/FCO/1</vt:lpstr>
      <vt:lpstr>CAT/C/XXX/Y</vt:lpstr>
    </vt:vector>
  </TitlesOfParts>
  <Company>DCM</Company>
  <LinksUpToDate>false</LinksUpToDate>
  <CharactersWithSpaces>12893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CED/C/PAN/FCO/1</dc:title>
  <dc:subject/>
  <dc:creator>Gloria</dc:creator>
  <cp:keywords/>
  <cp:lastModifiedBy>Luz Urquizu Marroquin</cp:lastModifiedBy>
  <cp:revision>2</cp:revision>
  <cp:lastPrinted>2013-10-24T10:25:00Z</cp:lastPrinted>
  <dcterms:created xsi:type="dcterms:W3CDTF">2024-06-26T14:13:00Z</dcterms:created>
  <dcterms:modified xsi:type="dcterms:W3CDTF">2024-06-26T14:13:00Z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ntentTypeId">
    <vt:lpwstr>0x010100F6C8A26EFEF88B48B35F38778DBC3EF6</vt:lpwstr>
  </property>
  <property fmtid="{D5CDD505-2E9C-101B-9397-08002B2CF9AE}" pid="8" name="count">
    <vt:lpwstr>de Panamá</vt:lpwstr>
  </property>
  <property fmtid="{D5CDD505-2E9C-101B-9397-08002B2CF9AE}" pid="9" name="countw">
    <vt:lpwstr>Panamá</vt:lpwstr>
  </property>
  <property fmtid="{D5CDD505-2E9C-101B-9397-08002B2CF9AE}" pid="10" name="countwd">
    <vt:lpwstr>Panamá</vt:lpwstr>
  </property>
  <property fmtid="{D5CDD505-2E9C-101B-9397-08002B2CF9AE}" pid="11" name="date">
    <vt:lpwstr>14 de junio de 2024</vt:lpwstr>
  </property>
  <property fmtid="{D5CDD505-2E9C-101B-9397-08002B2CF9AE}" pid="12" name="Date-Generated">
    <vt:filetime>2024-06-14T12:10:58Z</vt:filetime>
  </property>
  <property fmtid="{D5CDD505-2E9C-101B-9397-08002B2CF9AE}" pid="13" name="dist">
    <vt:lpwstr>general</vt:lpwstr>
  </property>
  <property fmtid="{D5CDD505-2E9C-101B-9397-08002B2CF9AE}" pid="14" name="doctype">
    <vt:lpwstr>Draft</vt:lpwstr>
  </property>
  <property fmtid="{D5CDD505-2E9C-101B-9397-08002B2CF9AE}" pid="15" name="Entity">
    <vt:lpwstr>	Concluding observations -  Follow Up</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Nmeet">
    <vt:lpwstr>Number</vt:lpwstr>
  </property>
  <property fmtid="{D5CDD505-2E9C-101B-9397-08002B2CF9AE}" pid="20" name="olang">
    <vt:lpwstr>español</vt:lpwstr>
  </property>
  <property fmtid="{D5CDD505-2E9C-101B-9397-08002B2CF9AE}" pid="21" name="Order">
    <vt:r8>255600</vt:r8>
  </property>
  <property fmtid="{D5CDD505-2E9C-101B-9397-08002B2CF9AE}" pid="22" name="Org">
    <vt:lpwstr>OHCHR</vt:lpwstr>
  </property>
  <property fmtid="{D5CDD505-2E9C-101B-9397-08002B2CF9AE}" pid="23" name="prep">
    <vt:lpwstr>al informe inicial de Panamá</vt:lpwstr>
  </property>
  <property fmtid="{D5CDD505-2E9C-101B-9397-08002B2CF9AE}" pid="24" name="preps">
    <vt:lpwstr>informe inicial de Panamá</vt:lpwstr>
  </property>
  <property fmtid="{D5CDD505-2E9C-101B-9397-08002B2CF9AE}" pid="25" name="prepw">
    <vt:lpwstr>al informe inicial </vt:lpwstr>
  </property>
  <property fmtid="{D5CDD505-2E9C-101B-9397-08002B2CF9AE}" pid="26" name="prepwc">
    <vt:lpwstr>Informe inicial </vt:lpwstr>
  </property>
  <property fmtid="{D5CDD505-2E9C-101B-9397-08002B2CF9AE}" pid="27" name="prepws">
    <vt:lpwstr>informe inicial</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C/PAN/FCO/1</vt:lpwstr>
  </property>
  <property fmtid="{D5CDD505-2E9C-101B-9397-08002B2CF9AE}" pid="33" name="symh">
    <vt:lpwstr>CED/C/PAN/FCO/1</vt:lpwstr>
  </property>
  <property fmtid="{D5CDD505-2E9C-101B-9397-08002B2CF9AE}" pid="34" name="Title">
    <vt:lpwstr>CED/C/PAN/FCO/1</vt:lpwstr>
  </property>
  <property fmtid="{D5CDD505-2E9C-101B-9397-08002B2CF9AE}" pid="35" name="tlang">
    <vt:lpwstr/>
  </property>
  <property fmtid="{D5CDD505-2E9C-101B-9397-08002B2CF9AE}" pid="36" name="virs">
    <vt:lpwstr>Español, francés e inglés únicamente</vt:lpwstr>
  </property>
  <property fmtid="{D5CDD505-2E9C-101B-9397-08002B2CF9AE}" pid="37" name="MediaServiceImageTags">
    <vt:lpwstr/>
  </property>
</Properties>
</file>