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EB9AFD" w14:textId="77777777" w:rsidTr="005A0E8D">
        <w:trPr>
          <w:trHeight w:hRule="exact" w:val="851"/>
        </w:trPr>
        <w:tc>
          <w:tcPr>
            <w:tcW w:w="1280" w:type="dxa"/>
            <w:tcBorders>
              <w:bottom w:val="single" w:sz="4" w:space="0" w:color="auto"/>
            </w:tcBorders>
          </w:tcPr>
          <w:p w14:paraId="711CCB47" w14:textId="77777777" w:rsidR="002D5AAC" w:rsidRDefault="002D5AAC" w:rsidP="00EF3F5C">
            <w:pPr>
              <w:kinsoku w:val="0"/>
              <w:overflowPunct w:val="0"/>
              <w:autoSpaceDE w:val="0"/>
              <w:autoSpaceDN w:val="0"/>
              <w:adjustRightInd w:val="0"/>
              <w:snapToGrid w:val="0"/>
            </w:pPr>
          </w:p>
        </w:tc>
        <w:tc>
          <w:tcPr>
            <w:tcW w:w="2273" w:type="dxa"/>
            <w:tcBorders>
              <w:bottom w:val="single" w:sz="4" w:space="0" w:color="auto"/>
            </w:tcBorders>
            <w:vAlign w:val="bottom"/>
          </w:tcPr>
          <w:p w14:paraId="78AF49AB"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AA0E18" w14:textId="13429E06" w:rsidR="002D5AAC" w:rsidRDefault="00EF3F5C" w:rsidP="00EF3F5C">
            <w:pPr>
              <w:jc w:val="right"/>
            </w:pPr>
            <w:r w:rsidRPr="00EF3F5C">
              <w:rPr>
                <w:sz w:val="40"/>
              </w:rPr>
              <w:t>CMW</w:t>
            </w:r>
            <w:r>
              <w:t>/C/39/1</w:t>
            </w:r>
          </w:p>
        </w:tc>
      </w:tr>
      <w:tr w:rsidR="002D5AAC" w14:paraId="68CB996B" w14:textId="77777777" w:rsidTr="005A0E8D">
        <w:trPr>
          <w:trHeight w:hRule="exact" w:val="2835"/>
        </w:trPr>
        <w:tc>
          <w:tcPr>
            <w:tcW w:w="1280" w:type="dxa"/>
            <w:tcBorders>
              <w:top w:val="single" w:sz="4" w:space="0" w:color="auto"/>
              <w:bottom w:val="single" w:sz="12" w:space="0" w:color="auto"/>
            </w:tcBorders>
          </w:tcPr>
          <w:p w14:paraId="56A5C7E1" w14:textId="77777777" w:rsidR="002D5AAC" w:rsidRDefault="00EE7DF4" w:rsidP="004D749D">
            <w:pPr>
              <w:spacing w:before="120"/>
              <w:jc w:val="center"/>
            </w:pPr>
            <w:r>
              <w:rPr>
                <w:noProof/>
              </w:rPr>
              <w:drawing>
                <wp:inline distT="0" distB="0" distL="0" distR="0" wp14:anchorId="7F69771C" wp14:editId="0C0B6D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F1F92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92B13DF" w14:textId="77777777" w:rsidR="002D5AAC" w:rsidRDefault="00EF3F5C" w:rsidP="004D749D">
            <w:pPr>
              <w:spacing w:before="240"/>
            </w:pPr>
            <w:r>
              <w:t>Distr. general</w:t>
            </w:r>
          </w:p>
          <w:p w14:paraId="35B20BB3" w14:textId="3BE31DA5" w:rsidR="00EF3F5C" w:rsidRDefault="009E5FDB" w:rsidP="00EF3F5C">
            <w:pPr>
              <w:spacing w:line="240" w:lineRule="exact"/>
            </w:pPr>
            <w:r>
              <w:t xml:space="preserve">27 </w:t>
            </w:r>
            <w:r w:rsidR="00EF3F5C">
              <w:t xml:space="preserve">de </w:t>
            </w:r>
            <w:r>
              <w:t xml:space="preserve">septiembre </w:t>
            </w:r>
            <w:r w:rsidR="00EF3F5C">
              <w:t>de 2024</w:t>
            </w:r>
          </w:p>
          <w:p w14:paraId="3FB2310B" w14:textId="77777777" w:rsidR="00EF3F5C" w:rsidRDefault="00EF3F5C" w:rsidP="00EF3F5C">
            <w:pPr>
              <w:spacing w:line="240" w:lineRule="exact"/>
            </w:pPr>
            <w:r>
              <w:t>Español</w:t>
            </w:r>
          </w:p>
          <w:p w14:paraId="24B74913" w14:textId="77777777" w:rsidR="00EF3F5C" w:rsidRDefault="00EF3F5C" w:rsidP="00EF3F5C">
            <w:pPr>
              <w:spacing w:line="240" w:lineRule="exact"/>
            </w:pPr>
            <w:r>
              <w:t>Original: inglés</w:t>
            </w:r>
          </w:p>
          <w:p w14:paraId="4DEF1A2A" w14:textId="3F48972A" w:rsidR="009E5FDB" w:rsidRDefault="009E5FDB" w:rsidP="00EF3F5C">
            <w:pPr>
              <w:spacing w:line="240" w:lineRule="exact"/>
            </w:pPr>
            <w:r>
              <w:t>Español, francés e inglés únicamente</w:t>
            </w:r>
          </w:p>
        </w:tc>
      </w:tr>
    </w:tbl>
    <w:p w14:paraId="38E3CA8B" w14:textId="09BE85A8" w:rsidR="005A0E8D" w:rsidRPr="005A0E8D" w:rsidRDefault="005A0E8D" w:rsidP="005A0E8D">
      <w:pPr>
        <w:spacing w:before="120"/>
        <w:rPr>
          <w:b/>
          <w:bCs/>
          <w:sz w:val="24"/>
          <w:szCs w:val="24"/>
        </w:rPr>
      </w:pPr>
      <w:r w:rsidRPr="005A0E8D">
        <w:rPr>
          <w:b/>
          <w:bCs/>
          <w:sz w:val="24"/>
          <w:szCs w:val="24"/>
        </w:rPr>
        <w:t xml:space="preserve">Comité de Protección de los Derechos de Todos </w:t>
      </w:r>
      <w:r>
        <w:rPr>
          <w:b/>
          <w:bCs/>
          <w:sz w:val="24"/>
          <w:szCs w:val="24"/>
        </w:rPr>
        <w:br/>
      </w:r>
      <w:r w:rsidRPr="005A0E8D">
        <w:rPr>
          <w:b/>
          <w:bCs/>
          <w:sz w:val="24"/>
          <w:szCs w:val="24"/>
        </w:rPr>
        <w:t>los Trabajadores Migratorios y de Sus Familiares</w:t>
      </w:r>
    </w:p>
    <w:p w14:paraId="15DE1821" w14:textId="77777777" w:rsidR="005A0E8D" w:rsidRPr="005A0E8D" w:rsidRDefault="005A0E8D" w:rsidP="005A0E8D">
      <w:pPr>
        <w:rPr>
          <w:b/>
          <w:bCs/>
        </w:rPr>
      </w:pPr>
      <w:r w:rsidRPr="005A0E8D">
        <w:rPr>
          <w:b/>
          <w:bCs/>
        </w:rPr>
        <w:t>39º período de sesiones</w:t>
      </w:r>
    </w:p>
    <w:p w14:paraId="04507778" w14:textId="77777777" w:rsidR="005A0E8D" w:rsidRPr="005A0E8D" w:rsidRDefault="005A0E8D" w:rsidP="005A0E8D">
      <w:r w:rsidRPr="005A0E8D">
        <w:t>Ginebra, 2 a 13 de diciembre de 2024</w:t>
      </w:r>
    </w:p>
    <w:p w14:paraId="1E03E307" w14:textId="77777777" w:rsidR="005A0E8D" w:rsidRPr="005A0E8D" w:rsidRDefault="005A0E8D" w:rsidP="005A0E8D">
      <w:r w:rsidRPr="005A0E8D">
        <w:t>Tema 2 del programa provisional</w:t>
      </w:r>
    </w:p>
    <w:p w14:paraId="1629525F" w14:textId="77777777" w:rsidR="005A0E8D" w:rsidRPr="005A0E8D" w:rsidRDefault="005A0E8D" w:rsidP="005A0E8D">
      <w:pPr>
        <w:rPr>
          <w:b/>
          <w:bCs/>
        </w:rPr>
      </w:pPr>
      <w:r w:rsidRPr="005A0E8D">
        <w:rPr>
          <w:b/>
          <w:bCs/>
        </w:rPr>
        <w:t>Aprobación del programa</w:t>
      </w:r>
    </w:p>
    <w:p w14:paraId="4A49BD49" w14:textId="1DB6EEA1" w:rsidR="005A0E8D" w:rsidRPr="005A0E8D" w:rsidRDefault="005A0E8D" w:rsidP="005A0E8D">
      <w:pPr>
        <w:pStyle w:val="HChG"/>
      </w:pPr>
      <w:r>
        <w:tab/>
      </w:r>
      <w:r w:rsidRPr="005A0E8D">
        <w:tab/>
        <w:t>Programa provisional anotado</w:t>
      </w:r>
    </w:p>
    <w:p w14:paraId="09EF6AE5" w14:textId="0DED683D" w:rsidR="005A0E8D" w:rsidRPr="005A0E8D" w:rsidRDefault="005A0E8D" w:rsidP="005A0E8D">
      <w:pPr>
        <w:pStyle w:val="H1G"/>
      </w:pPr>
      <w:r>
        <w:tab/>
      </w:r>
      <w:r w:rsidRPr="005A0E8D">
        <w:tab/>
        <w:t>Programa provisional</w:t>
      </w:r>
    </w:p>
    <w:p w14:paraId="40E490B5" w14:textId="77777777" w:rsidR="005A0E8D" w:rsidRPr="005A0E8D" w:rsidRDefault="005A0E8D" w:rsidP="005A0E8D">
      <w:pPr>
        <w:pStyle w:val="SingleTxtG"/>
        <w:ind w:left="1701" w:hanging="567"/>
      </w:pPr>
      <w:r w:rsidRPr="005A0E8D">
        <w:t>1.</w:t>
      </w:r>
      <w:r w:rsidRPr="005A0E8D">
        <w:tab/>
        <w:t>Apertura del período de sesiones.</w:t>
      </w:r>
    </w:p>
    <w:p w14:paraId="1B904E77" w14:textId="77777777" w:rsidR="005A0E8D" w:rsidRPr="005A0E8D" w:rsidRDefault="005A0E8D" w:rsidP="005A0E8D">
      <w:pPr>
        <w:pStyle w:val="SingleTxtG"/>
        <w:ind w:left="1701" w:hanging="567"/>
      </w:pPr>
      <w:r w:rsidRPr="005A0E8D">
        <w:t>2.</w:t>
      </w:r>
      <w:r w:rsidRPr="005A0E8D">
        <w:tab/>
        <w:t>Aprobación del programa.</w:t>
      </w:r>
    </w:p>
    <w:p w14:paraId="0A1EF57D" w14:textId="77777777" w:rsidR="005A0E8D" w:rsidRPr="005A0E8D" w:rsidRDefault="005A0E8D" w:rsidP="005A0E8D">
      <w:pPr>
        <w:pStyle w:val="SingleTxtG"/>
        <w:ind w:left="1701" w:hanging="567"/>
      </w:pPr>
      <w:r w:rsidRPr="005A0E8D">
        <w:t>3.</w:t>
      </w:r>
      <w:r w:rsidRPr="005A0E8D">
        <w:tab/>
        <w:t>Cuestiones de organización.</w:t>
      </w:r>
    </w:p>
    <w:p w14:paraId="60BC701C" w14:textId="77777777" w:rsidR="005A0E8D" w:rsidRPr="005A0E8D" w:rsidRDefault="005A0E8D" w:rsidP="005A0E8D">
      <w:pPr>
        <w:pStyle w:val="SingleTxtG"/>
        <w:ind w:left="1701" w:hanging="567"/>
      </w:pPr>
      <w:r w:rsidRPr="005A0E8D">
        <w:t>4.</w:t>
      </w:r>
      <w:r w:rsidRPr="005A0E8D">
        <w:tab/>
        <w:t>Presentación de informes por los Estados partes.</w:t>
      </w:r>
    </w:p>
    <w:p w14:paraId="3825C8C0" w14:textId="77777777" w:rsidR="005A0E8D" w:rsidRPr="005A0E8D" w:rsidRDefault="005A0E8D" w:rsidP="005A0E8D">
      <w:pPr>
        <w:pStyle w:val="SingleTxtG"/>
        <w:ind w:left="1701" w:hanging="567"/>
      </w:pPr>
      <w:r w:rsidRPr="005A0E8D">
        <w:t>5.</w:t>
      </w:r>
      <w:r w:rsidRPr="005A0E8D">
        <w:tab/>
        <w:t>Examen de los informes presentados por los Estados partes en virtud del artículo 73 de la Convención.</w:t>
      </w:r>
    </w:p>
    <w:p w14:paraId="1C933AC7" w14:textId="77777777" w:rsidR="005A0E8D" w:rsidRPr="005A0E8D" w:rsidRDefault="005A0E8D" w:rsidP="005A0E8D">
      <w:pPr>
        <w:pStyle w:val="SingleTxtG"/>
        <w:ind w:left="1701" w:hanging="567"/>
      </w:pPr>
      <w:r w:rsidRPr="005A0E8D">
        <w:t>6.</w:t>
      </w:r>
      <w:r w:rsidRPr="005A0E8D">
        <w:tab/>
        <w:t>Métodos de trabajo del Comité.</w:t>
      </w:r>
    </w:p>
    <w:p w14:paraId="5742B3A4" w14:textId="77777777" w:rsidR="005A0E8D" w:rsidRPr="005A0E8D" w:rsidRDefault="005A0E8D" w:rsidP="005A0E8D">
      <w:pPr>
        <w:pStyle w:val="SingleTxtG"/>
        <w:ind w:left="1701" w:hanging="567"/>
      </w:pPr>
      <w:r w:rsidRPr="005A0E8D">
        <w:t>7.</w:t>
      </w:r>
      <w:r w:rsidRPr="005A0E8D">
        <w:tab/>
        <w:t>Promoción de la Convención.</w:t>
      </w:r>
    </w:p>
    <w:p w14:paraId="34F28221" w14:textId="26EC6810" w:rsidR="005A0E8D" w:rsidRPr="005A0E8D" w:rsidRDefault="005A0E8D" w:rsidP="005A0E8D">
      <w:pPr>
        <w:pStyle w:val="H1G"/>
      </w:pPr>
      <w:r w:rsidRPr="005A0E8D">
        <w:tab/>
      </w:r>
      <w:r>
        <w:tab/>
      </w:r>
      <w:r w:rsidRPr="005A0E8D">
        <w:t>Anotaciones</w:t>
      </w:r>
    </w:p>
    <w:p w14:paraId="567706E0" w14:textId="5660FE49" w:rsidR="005A0E8D" w:rsidRPr="005A0E8D" w:rsidRDefault="005A0E8D" w:rsidP="005A0E8D">
      <w:pPr>
        <w:pStyle w:val="H23G"/>
      </w:pPr>
      <w:r>
        <w:tab/>
      </w:r>
      <w:r w:rsidRPr="005A0E8D">
        <w:t>1.</w:t>
      </w:r>
      <w:r w:rsidRPr="005A0E8D">
        <w:tab/>
        <w:t>Apertura del período de sesiones</w:t>
      </w:r>
    </w:p>
    <w:p w14:paraId="2F4FA5E1" w14:textId="21437510" w:rsidR="005A0E8D" w:rsidRPr="005A0E8D" w:rsidRDefault="005A0E8D" w:rsidP="005A0E8D">
      <w:pPr>
        <w:pStyle w:val="SingleTxtG"/>
      </w:pPr>
      <w:r>
        <w:tab/>
      </w:r>
      <w:r w:rsidRPr="005A0E8D">
        <w:t>El representante del Secretario General declarará abierto el 39º período de sesiones del Comité.</w:t>
      </w:r>
    </w:p>
    <w:p w14:paraId="1D9B6ECC" w14:textId="74E4D516" w:rsidR="005A0E8D" w:rsidRPr="005A0E8D" w:rsidRDefault="005A0E8D" w:rsidP="005A0E8D">
      <w:pPr>
        <w:pStyle w:val="H23G"/>
      </w:pPr>
      <w:r>
        <w:tab/>
      </w:r>
      <w:r w:rsidRPr="005A0E8D">
        <w:t>2.</w:t>
      </w:r>
      <w:r w:rsidRPr="005A0E8D">
        <w:tab/>
        <w:t>Aprobación del programa</w:t>
      </w:r>
    </w:p>
    <w:p w14:paraId="6EF65B94" w14:textId="33EEAB39" w:rsidR="005A0E8D" w:rsidRPr="005A0E8D" w:rsidRDefault="005A0E8D" w:rsidP="005A0E8D">
      <w:pPr>
        <w:pStyle w:val="SingleTxtG"/>
      </w:pPr>
      <w:r>
        <w:tab/>
      </w:r>
      <w:r w:rsidRPr="005A0E8D">
        <w:t>De conformidad con el artículo 5 del reglamento del Comité, el Secretario General ha preparado el presente programa provisional anotado en consulta con la Presidencia del Comité.</w:t>
      </w:r>
    </w:p>
    <w:p w14:paraId="7C2423F0" w14:textId="662B7D53" w:rsidR="005A0E8D" w:rsidRPr="005A0E8D" w:rsidRDefault="005A0E8D" w:rsidP="005A0E8D">
      <w:pPr>
        <w:pStyle w:val="SingleTxtG"/>
      </w:pPr>
      <w:r>
        <w:tab/>
      </w:r>
      <w:r w:rsidRPr="005A0E8D">
        <w:t>De conformidad con el artículo 6 del reglamento,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1183B30A" w14:textId="2D73CE44" w:rsidR="005A0E8D" w:rsidRPr="005A0E8D" w:rsidRDefault="005A0E8D" w:rsidP="005A0E8D">
      <w:pPr>
        <w:pStyle w:val="H23G"/>
      </w:pPr>
      <w:r>
        <w:tab/>
      </w:r>
      <w:r w:rsidRPr="005A0E8D">
        <w:t>3.</w:t>
      </w:r>
      <w:r w:rsidRPr="005A0E8D">
        <w:tab/>
        <w:t>Cuestiones de organización</w:t>
      </w:r>
    </w:p>
    <w:p w14:paraId="04783C10" w14:textId="07919C36" w:rsidR="005A0E8D" w:rsidRPr="005A0E8D" w:rsidRDefault="005A0E8D" w:rsidP="005A0E8D">
      <w:pPr>
        <w:pStyle w:val="SingleTxtG"/>
      </w:pPr>
      <w:r>
        <w:tab/>
      </w:r>
      <w:r w:rsidRPr="005A0E8D">
        <w:t>El 39º período de sesiones del Comité se celebrará en el Palais Wilson del 2 al 13 de diciembre de 2024. La primera sesión tendrá lugar el lunes 2 de diciembre a las 10.00 horas.</w:t>
      </w:r>
    </w:p>
    <w:p w14:paraId="13A4D27C" w14:textId="782271FF" w:rsidR="005A0E8D" w:rsidRPr="005A0E8D" w:rsidRDefault="005A0E8D" w:rsidP="005A0E8D">
      <w:pPr>
        <w:pStyle w:val="SingleTxtG"/>
      </w:pPr>
      <w:r>
        <w:lastRenderedPageBreak/>
        <w:tab/>
      </w:r>
      <w:r w:rsidRPr="005A0E8D">
        <w:t>El Comité examinará su programa de trabajo y asuntos relacionados con sus actividades, incluidas las fechas de futuros períodos de sesiones. El programa de trabajo podrá consultarse en la página web del Comité</w:t>
      </w:r>
      <w:r w:rsidRPr="005A0E8D">
        <w:rPr>
          <w:sz w:val="18"/>
          <w:szCs w:val="18"/>
          <w:vertAlign w:val="superscript"/>
        </w:rPr>
        <w:footnoteReference w:id="1"/>
      </w:r>
      <w:r w:rsidRPr="005A0E8D">
        <w:t>.</w:t>
      </w:r>
    </w:p>
    <w:p w14:paraId="352B9A04" w14:textId="046CC107" w:rsidR="005A0E8D" w:rsidRPr="005A0E8D" w:rsidRDefault="005A0E8D" w:rsidP="005A0E8D">
      <w:pPr>
        <w:pStyle w:val="H23G"/>
      </w:pPr>
      <w:r>
        <w:tab/>
      </w:r>
      <w:r w:rsidRPr="005A0E8D">
        <w:t>4.</w:t>
      </w:r>
      <w:r w:rsidRPr="005A0E8D">
        <w:tab/>
        <w:t>Presentación de informes por los Estados partes</w:t>
      </w:r>
    </w:p>
    <w:p w14:paraId="64C0636B" w14:textId="5C7C2E2F" w:rsidR="005A0E8D" w:rsidRPr="005A0E8D" w:rsidRDefault="005A0E8D" w:rsidP="005A0E8D">
      <w:pPr>
        <w:pStyle w:val="SingleTxtG"/>
      </w:pPr>
      <w:r>
        <w:tab/>
      </w:r>
      <w:r w:rsidRPr="005A0E8D">
        <w:t>Durante su 34ª reunión, las Presidencias de los órganos creados en virtud de tratados de derechos humanos decidieron que el procedimiento simplificado de presentación de informes pasaría a ser el procedimiento que utilizarían por defecto todos los Comités, con la posibilidad de que los Estados partes optaran por que no se les aplicara. En su 35ª reunión, las Presidencias reafirmaron esa decisión, aclarando que el procedimiento simplificado debía utilizarse tanto en los informes iniciales como en los periódicos. De conformidad con dichas decisiones, y en función de los recursos humanos de que disponga, el Comité aprobará listas de cuestiones previas a la presentación de informes para los Estados que no se hayan acogido a la posibilidad de que no se les aplique el procedimiento simplificado.</w:t>
      </w:r>
    </w:p>
    <w:p w14:paraId="43B2E327" w14:textId="2304A64E" w:rsidR="005A0E8D" w:rsidRPr="005A0E8D" w:rsidRDefault="005A0E8D" w:rsidP="005A0E8D">
      <w:pPr>
        <w:pStyle w:val="SingleTxtG"/>
      </w:pPr>
      <w:r>
        <w:tab/>
      </w:r>
      <w:r w:rsidRPr="005A0E8D">
        <w:t>Al 23 de septiembre de 2024, no se habían presentado aún los informes iniciales de los siguientes Estados partes,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728"/>
        <w:gridCol w:w="2092"/>
        <w:gridCol w:w="2550"/>
      </w:tblGrid>
      <w:tr w:rsidR="005A0E8D" w:rsidRPr="005A0E8D" w14:paraId="3FDA46C7" w14:textId="77777777" w:rsidTr="005A0E8D">
        <w:trPr>
          <w:trHeight w:val="240"/>
          <w:tblHeader/>
        </w:trPr>
        <w:tc>
          <w:tcPr>
            <w:tcW w:w="2728" w:type="dxa"/>
            <w:tcBorders>
              <w:top w:val="single" w:sz="4" w:space="0" w:color="auto"/>
              <w:bottom w:val="single" w:sz="12" w:space="0" w:color="auto"/>
            </w:tcBorders>
            <w:shd w:val="clear" w:color="auto" w:fill="auto"/>
            <w:vAlign w:val="bottom"/>
          </w:tcPr>
          <w:p w14:paraId="40C11C7F"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Estado parte</w:t>
            </w:r>
          </w:p>
        </w:tc>
        <w:tc>
          <w:tcPr>
            <w:tcW w:w="2092" w:type="dxa"/>
            <w:tcBorders>
              <w:top w:val="single" w:sz="4" w:space="0" w:color="auto"/>
              <w:bottom w:val="single" w:sz="12" w:space="0" w:color="auto"/>
            </w:tcBorders>
            <w:shd w:val="clear" w:color="auto" w:fill="auto"/>
            <w:vAlign w:val="bottom"/>
          </w:tcPr>
          <w:p w14:paraId="4B6EF8FF"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en que debía presentarse inicialmente el informe</w:t>
            </w:r>
          </w:p>
        </w:tc>
        <w:tc>
          <w:tcPr>
            <w:tcW w:w="2550" w:type="dxa"/>
            <w:tcBorders>
              <w:top w:val="single" w:sz="4" w:space="0" w:color="auto"/>
              <w:bottom w:val="single" w:sz="12" w:space="0" w:color="auto"/>
            </w:tcBorders>
            <w:shd w:val="clear" w:color="auto" w:fill="auto"/>
            <w:vAlign w:val="bottom"/>
          </w:tcPr>
          <w:p w14:paraId="7B5325B3"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límite para la presentación de las respuestas a la lista de cuestiones previa a la presentación del informe</w:t>
            </w:r>
          </w:p>
        </w:tc>
      </w:tr>
      <w:tr w:rsidR="005A0E8D" w:rsidRPr="005A0E8D" w14:paraId="2482AA9E" w14:textId="77777777" w:rsidTr="005A0E8D">
        <w:trPr>
          <w:trHeight w:val="240"/>
        </w:trPr>
        <w:tc>
          <w:tcPr>
            <w:tcW w:w="2728" w:type="dxa"/>
            <w:tcBorders>
              <w:top w:val="single" w:sz="12" w:space="0" w:color="auto"/>
            </w:tcBorders>
            <w:shd w:val="clear" w:color="auto" w:fill="auto"/>
          </w:tcPr>
          <w:p w14:paraId="33DA18C9" w14:textId="77777777" w:rsidR="005A0E8D" w:rsidRPr="005A0E8D" w:rsidRDefault="005A0E8D" w:rsidP="005A0E8D">
            <w:pPr>
              <w:pStyle w:val="SingleTxtG"/>
              <w:tabs>
                <w:tab w:val="clear" w:pos="1701"/>
                <w:tab w:val="clear" w:pos="2268"/>
                <w:tab w:val="clear" w:pos="2835"/>
              </w:tabs>
              <w:spacing w:before="40"/>
              <w:ind w:left="0" w:right="0"/>
              <w:jc w:val="left"/>
            </w:pPr>
            <w:r w:rsidRPr="005A0E8D">
              <w:t>Chad</w:t>
            </w:r>
            <w:r w:rsidRPr="005A0E8D">
              <w:rPr>
                <w:i/>
                <w:vertAlign w:val="superscript"/>
              </w:rPr>
              <w:t>a</w:t>
            </w:r>
          </w:p>
        </w:tc>
        <w:tc>
          <w:tcPr>
            <w:tcW w:w="2092" w:type="dxa"/>
            <w:tcBorders>
              <w:top w:val="single" w:sz="12" w:space="0" w:color="auto"/>
            </w:tcBorders>
            <w:shd w:val="clear" w:color="auto" w:fill="auto"/>
          </w:tcPr>
          <w:p w14:paraId="50F59E5A"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junio de 2023</w:t>
            </w:r>
          </w:p>
        </w:tc>
        <w:tc>
          <w:tcPr>
            <w:tcW w:w="2550" w:type="dxa"/>
            <w:tcBorders>
              <w:top w:val="single" w:sz="12" w:space="0" w:color="auto"/>
            </w:tcBorders>
            <w:shd w:val="clear" w:color="auto" w:fill="auto"/>
          </w:tcPr>
          <w:p w14:paraId="79C8B989"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2B6347FC" w14:textId="77777777" w:rsidTr="005A0E8D">
        <w:trPr>
          <w:trHeight w:val="240"/>
        </w:trPr>
        <w:tc>
          <w:tcPr>
            <w:tcW w:w="2728" w:type="dxa"/>
            <w:shd w:val="clear" w:color="auto" w:fill="auto"/>
          </w:tcPr>
          <w:p w14:paraId="43D82DF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Fiji</w:t>
            </w:r>
            <w:r w:rsidRPr="005A0E8D">
              <w:rPr>
                <w:i/>
                <w:vertAlign w:val="superscript"/>
              </w:rPr>
              <w:t>a</w:t>
            </w:r>
          </w:p>
        </w:tc>
        <w:tc>
          <w:tcPr>
            <w:tcW w:w="2092" w:type="dxa"/>
            <w:shd w:val="clear" w:color="auto" w:fill="auto"/>
          </w:tcPr>
          <w:p w14:paraId="576829E8"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diciembre de 2020</w:t>
            </w:r>
          </w:p>
        </w:tc>
        <w:tc>
          <w:tcPr>
            <w:tcW w:w="2550" w:type="dxa"/>
            <w:shd w:val="clear" w:color="auto" w:fill="auto"/>
          </w:tcPr>
          <w:p w14:paraId="521C8691"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527E2266" w14:textId="77777777" w:rsidTr="005A0E8D">
        <w:trPr>
          <w:trHeight w:val="240"/>
        </w:trPr>
        <w:tc>
          <w:tcPr>
            <w:tcW w:w="2728" w:type="dxa"/>
            <w:shd w:val="clear" w:color="auto" w:fill="auto"/>
          </w:tcPr>
          <w:p w14:paraId="1ACD6A30" w14:textId="77777777" w:rsidR="005A0E8D" w:rsidRPr="005A0E8D" w:rsidRDefault="005A0E8D" w:rsidP="005A0E8D">
            <w:pPr>
              <w:pStyle w:val="SingleTxtG"/>
              <w:tabs>
                <w:tab w:val="clear" w:pos="1701"/>
                <w:tab w:val="clear" w:pos="2268"/>
                <w:tab w:val="clear" w:pos="2835"/>
              </w:tabs>
              <w:spacing w:before="40"/>
              <w:ind w:left="0" w:right="0"/>
              <w:jc w:val="left"/>
            </w:pPr>
            <w:r w:rsidRPr="005A0E8D">
              <w:t>Gambia</w:t>
            </w:r>
            <w:r w:rsidRPr="005A0E8D">
              <w:rPr>
                <w:i/>
                <w:vertAlign w:val="superscript"/>
              </w:rPr>
              <w:t>b</w:t>
            </w:r>
          </w:p>
        </w:tc>
        <w:tc>
          <w:tcPr>
            <w:tcW w:w="2092" w:type="dxa"/>
            <w:shd w:val="clear" w:color="auto" w:fill="auto"/>
          </w:tcPr>
          <w:p w14:paraId="556F6C88"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enero de 2020</w:t>
            </w:r>
          </w:p>
        </w:tc>
        <w:tc>
          <w:tcPr>
            <w:tcW w:w="2550" w:type="dxa"/>
            <w:shd w:val="clear" w:color="auto" w:fill="auto"/>
          </w:tcPr>
          <w:p w14:paraId="2EA386F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19 de agosto de 2024</w:t>
            </w:r>
          </w:p>
        </w:tc>
      </w:tr>
      <w:tr w:rsidR="005A0E8D" w:rsidRPr="005A0E8D" w14:paraId="05F880AF" w14:textId="77777777" w:rsidTr="005A0E8D">
        <w:trPr>
          <w:trHeight w:val="240"/>
        </w:trPr>
        <w:tc>
          <w:tcPr>
            <w:tcW w:w="2728" w:type="dxa"/>
            <w:shd w:val="clear" w:color="auto" w:fill="auto"/>
          </w:tcPr>
          <w:p w14:paraId="4BFA8D61" w14:textId="77777777" w:rsidR="005A0E8D" w:rsidRPr="005A0E8D" w:rsidRDefault="005A0E8D" w:rsidP="005A0E8D">
            <w:pPr>
              <w:pStyle w:val="SingleTxtG"/>
              <w:tabs>
                <w:tab w:val="clear" w:pos="1701"/>
                <w:tab w:val="clear" w:pos="2268"/>
                <w:tab w:val="clear" w:pos="2835"/>
              </w:tabs>
              <w:spacing w:before="40"/>
              <w:ind w:left="0" w:right="0"/>
              <w:jc w:val="left"/>
            </w:pPr>
            <w:r w:rsidRPr="005A0E8D">
              <w:t>Guinea-Bissau</w:t>
            </w:r>
            <w:r w:rsidRPr="005A0E8D">
              <w:rPr>
                <w:i/>
                <w:vertAlign w:val="superscript"/>
              </w:rPr>
              <w:t>a</w:t>
            </w:r>
          </w:p>
        </w:tc>
        <w:tc>
          <w:tcPr>
            <w:tcW w:w="2092" w:type="dxa"/>
            <w:shd w:val="clear" w:color="auto" w:fill="auto"/>
          </w:tcPr>
          <w:p w14:paraId="660E9269"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febrero de 2020</w:t>
            </w:r>
          </w:p>
        </w:tc>
        <w:tc>
          <w:tcPr>
            <w:tcW w:w="2550" w:type="dxa"/>
            <w:shd w:val="clear" w:color="auto" w:fill="auto"/>
          </w:tcPr>
          <w:p w14:paraId="5813AD9F"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02FFB247" w14:textId="77777777" w:rsidTr="005A0E8D">
        <w:trPr>
          <w:trHeight w:val="240"/>
        </w:trPr>
        <w:tc>
          <w:tcPr>
            <w:tcW w:w="2728" w:type="dxa"/>
            <w:shd w:val="clear" w:color="auto" w:fill="auto"/>
          </w:tcPr>
          <w:p w14:paraId="296D7DD6" w14:textId="77777777" w:rsidR="005A0E8D" w:rsidRPr="005A0E8D" w:rsidRDefault="005A0E8D" w:rsidP="005A0E8D">
            <w:pPr>
              <w:pStyle w:val="SingleTxtG"/>
              <w:tabs>
                <w:tab w:val="clear" w:pos="1701"/>
                <w:tab w:val="clear" w:pos="2268"/>
                <w:tab w:val="clear" w:pos="2835"/>
              </w:tabs>
              <w:spacing w:before="40"/>
              <w:ind w:left="0" w:right="0"/>
              <w:jc w:val="left"/>
            </w:pPr>
            <w:r w:rsidRPr="005A0E8D">
              <w:t>Malawi</w:t>
            </w:r>
            <w:r w:rsidRPr="005A0E8D">
              <w:rPr>
                <w:i/>
                <w:vertAlign w:val="superscript"/>
              </w:rPr>
              <w:t>a</w:t>
            </w:r>
          </w:p>
        </w:tc>
        <w:tc>
          <w:tcPr>
            <w:tcW w:w="2092" w:type="dxa"/>
            <w:shd w:val="clear" w:color="auto" w:fill="auto"/>
          </w:tcPr>
          <w:p w14:paraId="6881406C"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enero de 2024</w:t>
            </w:r>
          </w:p>
        </w:tc>
        <w:tc>
          <w:tcPr>
            <w:tcW w:w="2550" w:type="dxa"/>
            <w:shd w:val="clear" w:color="auto" w:fill="auto"/>
          </w:tcPr>
          <w:p w14:paraId="41916C97"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513AE98B" w14:textId="77777777" w:rsidTr="005A0E8D">
        <w:trPr>
          <w:trHeight w:val="240"/>
        </w:trPr>
        <w:tc>
          <w:tcPr>
            <w:tcW w:w="2728" w:type="dxa"/>
            <w:tcBorders>
              <w:bottom w:val="single" w:sz="12" w:space="0" w:color="auto"/>
            </w:tcBorders>
            <w:shd w:val="clear" w:color="auto" w:fill="auto"/>
          </w:tcPr>
          <w:p w14:paraId="266703F8" w14:textId="77777777" w:rsidR="005A0E8D" w:rsidRPr="005A0E8D" w:rsidRDefault="005A0E8D" w:rsidP="005A0E8D">
            <w:pPr>
              <w:pStyle w:val="SingleTxtG"/>
              <w:tabs>
                <w:tab w:val="clear" w:pos="1701"/>
                <w:tab w:val="clear" w:pos="2268"/>
                <w:tab w:val="clear" w:pos="2835"/>
              </w:tabs>
              <w:spacing w:before="40"/>
              <w:ind w:left="0" w:right="0"/>
              <w:jc w:val="left"/>
            </w:pPr>
            <w:r w:rsidRPr="005A0E8D">
              <w:t>Togo</w:t>
            </w:r>
            <w:r w:rsidRPr="005A0E8D">
              <w:rPr>
                <w:i/>
                <w:vertAlign w:val="superscript"/>
              </w:rPr>
              <w:t>a</w:t>
            </w:r>
          </w:p>
        </w:tc>
        <w:tc>
          <w:tcPr>
            <w:tcW w:w="2092" w:type="dxa"/>
            <w:tcBorders>
              <w:bottom w:val="single" w:sz="12" w:space="0" w:color="auto"/>
            </w:tcBorders>
            <w:shd w:val="clear" w:color="auto" w:fill="auto"/>
          </w:tcPr>
          <w:p w14:paraId="59100115"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abril de 2022</w:t>
            </w:r>
          </w:p>
        </w:tc>
        <w:tc>
          <w:tcPr>
            <w:tcW w:w="2550" w:type="dxa"/>
            <w:tcBorders>
              <w:bottom w:val="single" w:sz="12" w:space="0" w:color="auto"/>
            </w:tcBorders>
            <w:shd w:val="clear" w:color="auto" w:fill="auto"/>
          </w:tcPr>
          <w:p w14:paraId="5606781E" w14:textId="77777777" w:rsidR="005A0E8D" w:rsidRPr="005A0E8D" w:rsidRDefault="005A0E8D" w:rsidP="005A0E8D">
            <w:pPr>
              <w:pStyle w:val="SingleTxtG"/>
              <w:tabs>
                <w:tab w:val="clear" w:pos="1701"/>
                <w:tab w:val="clear" w:pos="2268"/>
                <w:tab w:val="clear" w:pos="2835"/>
              </w:tabs>
              <w:spacing w:before="40"/>
              <w:ind w:left="0" w:right="0"/>
              <w:jc w:val="left"/>
            </w:pPr>
          </w:p>
        </w:tc>
      </w:tr>
    </w:tbl>
    <w:p w14:paraId="5C1E60BF" w14:textId="0A010AF6" w:rsidR="005A0E8D" w:rsidRPr="005A0E8D" w:rsidRDefault="005A0E8D" w:rsidP="005A0E8D">
      <w:pPr>
        <w:pStyle w:val="SingleTxtG"/>
        <w:spacing w:before="120" w:after="0"/>
        <w:ind w:firstLine="170"/>
        <w:jc w:val="left"/>
        <w:rPr>
          <w:sz w:val="18"/>
          <w:szCs w:val="18"/>
        </w:rPr>
      </w:pPr>
      <w:r w:rsidRPr="005A0E8D">
        <w:rPr>
          <w:i/>
          <w:iCs/>
          <w:sz w:val="18"/>
          <w:szCs w:val="18"/>
          <w:vertAlign w:val="superscript"/>
        </w:rPr>
        <w:t>a</w:t>
      </w:r>
      <w:r w:rsidRPr="005A0E8D">
        <w:rPr>
          <w:sz w:val="18"/>
          <w:szCs w:val="18"/>
        </w:rPr>
        <w:t xml:space="preserve"> </w:t>
      </w:r>
      <w:r>
        <w:rPr>
          <w:sz w:val="18"/>
          <w:szCs w:val="18"/>
        </w:rPr>
        <w:t xml:space="preserve"> </w:t>
      </w:r>
      <w:r w:rsidRPr="005A0E8D">
        <w:rPr>
          <w:sz w:val="18"/>
          <w:szCs w:val="18"/>
        </w:rPr>
        <w:t>La lista de cuestiones previa a la presentación del informe será aprobada por el Comité en un próximo período de sesiones.</w:t>
      </w:r>
    </w:p>
    <w:p w14:paraId="147264C5" w14:textId="0032CD61" w:rsidR="005A0E8D" w:rsidRPr="005A0E8D" w:rsidRDefault="005A0E8D" w:rsidP="005A0E8D">
      <w:pPr>
        <w:pStyle w:val="SingleTxtG"/>
        <w:spacing w:after="240"/>
        <w:ind w:firstLine="170"/>
        <w:jc w:val="left"/>
        <w:rPr>
          <w:sz w:val="18"/>
          <w:szCs w:val="18"/>
        </w:rPr>
      </w:pPr>
      <w:r w:rsidRPr="005A0E8D">
        <w:rPr>
          <w:i/>
          <w:iCs/>
          <w:sz w:val="18"/>
          <w:szCs w:val="18"/>
          <w:vertAlign w:val="superscript"/>
        </w:rPr>
        <w:t>b</w:t>
      </w:r>
      <w:r w:rsidRPr="005A0E8D">
        <w:rPr>
          <w:sz w:val="18"/>
          <w:szCs w:val="18"/>
        </w:rPr>
        <w:t xml:space="preserve"> </w:t>
      </w:r>
      <w:r>
        <w:rPr>
          <w:sz w:val="18"/>
          <w:szCs w:val="18"/>
        </w:rPr>
        <w:t xml:space="preserve"> </w:t>
      </w:r>
      <w:r w:rsidRPr="005A0E8D">
        <w:rPr>
          <w:sz w:val="18"/>
          <w:szCs w:val="18"/>
        </w:rPr>
        <w:t>La lista de cuestiones previa a la presentación del informe (</w:t>
      </w:r>
      <w:hyperlink r:id="rId8" w:history="1">
        <w:r w:rsidRPr="005A0E8D">
          <w:rPr>
            <w:rStyle w:val="Hipervnculo"/>
            <w:sz w:val="18"/>
            <w:szCs w:val="18"/>
          </w:rPr>
          <w:t>CMW/C/GMB/QPR/1</w:t>
        </w:r>
      </w:hyperlink>
      <w:r w:rsidRPr="005A0E8D">
        <w:rPr>
          <w:sz w:val="18"/>
          <w:szCs w:val="18"/>
        </w:rPr>
        <w:t xml:space="preserve">) fue aprobada por el Comité en su 37º período de sesiones. </w:t>
      </w:r>
    </w:p>
    <w:p w14:paraId="039083D4" w14:textId="0D4E6BFA" w:rsidR="005A0E8D" w:rsidRPr="005A0E8D" w:rsidRDefault="005A0E8D" w:rsidP="005A0E8D">
      <w:pPr>
        <w:pStyle w:val="SingleTxtG"/>
      </w:pPr>
      <w:r>
        <w:tab/>
      </w:r>
      <w:r w:rsidRPr="005A0E8D">
        <w:t>El Comité recibió el segundo informe periódico del Perú (</w:t>
      </w:r>
      <w:hyperlink r:id="rId9" w:history="1">
        <w:r w:rsidRPr="005A0E8D">
          <w:rPr>
            <w:rStyle w:val="Hipervnculo"/>
          </w:rPr>
          <w:t>CMW/C/PER/2</w:t>
        </w:r>
      </w:hyperlink>
      <w:r w:rsidRPr="005A0E8D">
        <w:t>) el 1 de julio de 2024. Los segundos informes periódicos de los siguientes Estados partes debían haberse presentado, pero aún no se habían recibido al 23 de septiembre de 2024.</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20"/>
        <w:gridCol w:w="2457"/>
        <w:gridCol w:w="2593"/>
      </w:tblGrid>
      <w:tr w:rsidR="005A0E8D" w:rsidRPr="005A0E8D" w14:paraId="31AF674B" w14:textId="77777777" w:rsidTr="005A0E8D">
        <w:trPr>
          <w:trHeight w:val="240"/>
          <w:tblHeader/>
        </w:trPr>
        <w:tc>
          <w:tcPr>
            <w:tcW w:w="2320" w:type="dxa"/>
            <w:tcBorders>
              <w:top w:val="single" w:sz="4" w:space="0" w:color="auto"/>
              <w:bottom w:val="single" w:sz="12" w:space="0" w:color="auto"/>
            </w:tcBorders>
            <w:shd w:val="clear" w:color="auto" w:fill="auto"/>
            <w:vAlign w:val="bottom"/>
          </w:tcPr>
          <w:p w14:paraId="5A1E2093"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Estado parte</w:t>
            </w:r>
          </w:p>
        </w:tc>
        <w:tc>
          <w:tcPr>
            <w:tcW w:w="2457" w:type="dxa"/>
            <w:tcBorders>
              <w:top w:val="single" w:sz="4" w:space="0" w:color="auto"/>
              <w:bottom w:val="single" w:sz="12" w:space="0" w:color="auto"/>
            </w:tcBorders>
            <w:shd w:val="clear" w:color="auto" w:fill="auto"/>
            <w:vAlign w:val="bottom"/>
          </w:tcPr>
          <w:p w14:paraId="50D488F5"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en que debía presentarse inicialmente el informe</w:t>
            </w:r>
          </w:p>
        </w:tc>
        <w:tc>
          <w:tcPr>
            <w:tcW w:w="2593" w:type="dxa"/>
            <w:tcBorders>
              <w:top w:val="single" w:sz="4" w:space="0" w:color="auto"/>
              <w:bottom w:val="single" w:sz="12" w:space="0" w:color="auto"/>
            </w:tcBorders>
            <w:shd w:val="clear" w:color="auto" w:fill="auto"/>
            <w:vAlign w:val="bottom"/>
          </w:tcPr>
          <w:p w14:paraId="04970BE1"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límite para la presentación de las respuestas a la lista de cuestiones previa a la presentación del informe</w:t>
            </w:r>
          </w:p>
        </w:tc>
      </w:tr>
      <w:tr w:rsidR="005A0E8D" w:rsidRPr="005A0E8D" w14:paraId="0EF2F6E7" w14:textId="77777777" w:rsidTr="005A0E8D">
        <w:trPr>
          <w:trHeight w:val="240"/>
        </w:trPr>
        <w:tc>
          <w:tcPr>
            <w:tcW w:w="2320" w:type="dxa"/>
            <w:shd w:val="clear" w:color="auto" w:fill="auto"/>
          </w:tcPr>
          <w:p w14:paraId="4F8F7C92" w14:textId="77777777" w:rsidR="005A0E8D" w:rsidRPr="005A0E8D" w:rsidRDefault="005A0E8D" w:rsidP="005A0E8D">
            <w:pPr>
              <w:pStyle w:val="SingleTxtG"/>
              <w:tabs>
                <w:tab w:val="clear" w:pos="1701"/>
                <w:tab w:val="clear" w:pos="2268"/>
                <w:tab w:val="clear" w:pos="2835"/>
              </w:tabs>
              <w:spacing w:before="40"/>
              <w:ind w:left="0" w:right="0"/>
              <w:jc w:val="left"/>
            </w:pPr>
            <w:r w:rsidRPr="005A0E8D">
              <w:t>Bangladesh</w:t>
            </w:r>
            <w:r w:rsidRPr="005A0E8D">
              <w:rPr>
                <w:i/>
                <w:vertAlign w:val="superscript"/>
              </w:rPr>
              <w:t>a</w:t>
            </w:r>
          </w:p>
        </w:tc>
        <w:tc>
          <w:tcPr>
            <w:tcW w:w="2457" w:type="dxa"/>
            <w:shd w:val="clear" w:color="auto" w:fill="auto"/>
          </w:tcPr>
          <w:p w14:paraId="4EAAD198"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2022</w:t>
            </w:r>
          </w:p>
        </w:tc>
        <w:tc>
          <w:tcPr>
            <w:tcW w:w="2593" w:type="dxa"/>
            <w:shd w:val="clear" w:color="auto" w:fill="auto"/>
          </w:tcPr>
          <w:p w14:paraId="0A3784EC"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7B939A4D" w14:textId="77777777" w:rsidTr="005A0E8D">
        <w:trPr>
          <w:trHeight w:val="240"/>
        </w:trPr>
        <w:tc>
          <w:tcPr>
            <w:tcW w:w="2320" w:type="dxa"/>
            <w:shd w:val="clear" w:color="auto" w:fill="auto"/>
          </w:tcPr>
          <w:p w14:paraId="19F6B2FE" w14:textId="77777777" w:rsidR="005A0E8D" w:rsidRPr="005A0E8D" w:rsidRDefault="005A0E8D" w:rsidP="005A0E8D">
            <w:pPr>
              <w:pStyle w:val="SingleTxtG"/>
              <w:tabs>
                <w:tab w:val="clear" w:pos="1701"/>
                <w:tab w:val="clear" w:pos="2268"/>
                <w:tab w:val="clear" w:pos="2835"/>
              </w:tabs>
              <w:spacing w:before="40"/>
              <w:ind w:left="0" w:right="0"/>
              <w:jc w:val="left"/>
            </w:pPr>
            <w:r w:rsidRPr="005A0E8D">
              <w:t>Guinea</w:t>
            </w:r>
            <w:r w:rsidRPr="005A0E8D">
              <w:rPr>
                <w:i/>
                <w:vertAlign w:val="superscript"/>
              </w:rPr>
              <w:t>b</w:t>
            </w:r>
          </w:p>
        </w:tc>
        <w:tc>
          <w:tcPr>
            <w:tcW w:w="2457" w:type="dxa"/>
            <w:shd w:val="clear" w:color="auto" w:fill="auto"/>
          </w:tcPr>
          <w:p w14:paraId="283D8128" w14:textId="77777777" w:rsidR="005A0E8D" w:rsidRPr="005A0E8D" w:rsidRDefault="005A0E8D" w:rsidP="005A0E8D">
            <w:pPr>
              <w:pStyle w:val="SingleTxtG"/>
              <w:tabs>
                <w:tab w:val="clear" w:pos="1701"/>
                <w:tab w:val="clear" w:pos="2268"/>
                <w:tab w:val="clear" w:pos="2835"/>
              </w:tabs>
              <w:spacing w:before="40"/>
              <w:ind w:left="0" w:right="0"/>
              <w:jc w:val="left"/>
            </w:pPr>
            <w:r w:rsidRPr="005A0E8D">
              <w:t>9 de septiembre de 2020</w:t>
            </w:r>
          </w:p>
        </w:tc>
        <w:tc>
          <w:tcPr>
            <w:tcW w:w="2593" w:type="dxa"/>
            <w:shd w:val="clear" w:color="auto" w:fill="auto"/>
          </w:tcPr>
          <w:p w14:paraId="5A90AEED"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7C03920A" w14:textId="77777777" w:rsidTr="005A0E8D">
        <w:trPr>
          <w:trHeight w:val="240"/>
        </w:trPr>
        <w:tc>
          <w:tcPr>
            <w:tcW w:w="2320" w:type="dxa"/>
            <w:shd w:val="clear" w:color="auto" w:fill="auto"/>
          </w:tcPr>
          <w:p w14:paraId="689384DD" w14:textId="77777777" w:rsidR="005A0E8D" w:rsidRPr="005A0E8D" w:rsidRDefault="005A0E8D" w:rsidP="005A0E8D">
            <w:pPr>
              <w:pStyle w:val="SingleTxtG"/>
              <w:tabs>
                <w:tab w:val="clear" w:pos="1701"/>
                <w:tab w:val="clear" w:pos="2268"/>
                <w:tab w:val="clear" w:pos="2835"/>
              </w:tabs>
              <w:spacing w:before="40"/>
              <w:ind w:left="0" w:right="0"/>
              <w:jc w:val="left"/>
            </w:pPr>
            <w:r w:rsidRPr="005A0E8D">
              <w:t>Guyana</w:t>
            </w:r>
            <w:r w:rsidRPr="005A0E8D">
              <w:rPr>
                <w:i/>
                <w:vertAlign w:val="superscript"/>
              </w:rPr>
              <w:t>b</w:t>
            </w:r>
          </w:p>
        </w:tc>
        <w:tc>
          <w:tcPr>
            <w:tcW w:w="2457" w:type="dxa"/>
            <w:shd w:val="clear" w:color="auto" w:fill="auto"/>
          </w:tcPr>
          <w:p w14:paraId="7E5D0D1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2023</w:t>
            </w:r>
          </w:p>
        </w:tc>
        <w:tc>
          <w:tcPr>
            <w:tcW w:w="2593" w:type="dxa"/>
            <w:shd w:val="clear" w:color="auto" w:fill="auto"/>
          </w:tcPr>
          <w:p w14:paraId="52CC2065"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24D8DDDB" w14:textId="77777777" w:rsidTr="005A0E8D">
        <w:trPr>
          <w:trHeight w:val="240"/>
        </w:trPr>
        <w:tc>
          <w:tcPr>
            <w:tcW w:w="2320" w:type="dxa"/>
            <w:shd w:val="clear" w:color="auto" w:fill="auto"/>
          </w:tcPr>
          <w:p w14:paraId="3006712F" w14:textId="77777777" w:rsidR="005A0E8D" w:rsidRPr="005A0E8D" w:rsidRDefault="005A0E8D" w:rsidP="005A0E8D">
            <w:pPr>
              <w:pStyle w:val="SingleTxtG"/>
              <w:tabs>
                <w:tab w:val="clear" w:pos="1701"/>
                <w:tab w:val="clear" w:pos="2268"/>
                <w:tab w:val="clear" w:pos="2835"/>
              </w:tabs>
              <w:spacing w:before="40"/>
              <w:ind w:left="0" w:right="0"/>
              <w:jc w:val="left"/>
            </w:pPr>
            <w:r w:rsidRPr="005A0E8D">
              <w:t>Indonesia</w:t>
            </w:r>
            <w:r w:rsidRPr="005A0E8D">
              <w:rPr>
                <w:i/>
                <w:vertAlign w:val="superscript"/>
              </w:rPr>
              <w:t>c</w:t>
            </w:r>
          </w:p>
        </w:tc>
        <w:tc>
          <w:tcPr>
            <w:tcW w:w="2457" w:type="dxa"/>
            <w:shd w:val="clear" w:color="auto" w:fill="auto"/>
          </w:tcPr>
          <w:p w14:paraId="0230F31E"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2022</w:t>
            </w:r>
          </w:p>
        </w:tc>
        <w:tc>
          <w:tcPr>
            <w:tcW w:w="2593" w:type="dxa"/>
            <w:shd w:val="clear" w:color="auto" w:fill="auto"/>
          </w:tcPr>
          <w:p w14:paraId="2AEB6D9D"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738AF8D1" w14:textId="77777777" w:rsidTr="005A0E8D">
        <w:trPr>
          <w:trHeight w:val="240"/>
        </w:trPr>
        <w:tc>
          <w:tcPr>
            <w:tcW w:w="2320" w:type="dxa"/>
            <w:shd w:val="clear" w:color="auto" w:fill="auto"/>
          </w:tcPr>
          <w:p w14:paraId="2EC3DF6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Lesotho</w:t>
            </w:r>
            <w:r w:rsidRPr="005A0E8D">
              <w:rPr>
                <w:i/>
                <w:vertAlign w:val="superscript"/>
              </w:rPr>
              <w:t>b</w:t>
            </w:r>
          </w:p>
        </w:tc>
        <w:tc>
          <w:tcPr>
            <w:tcW w:w="2457" w:type="dxa"/>
            <w:shd w:val="clear" w:color="auto" w:fill="auto"/>
          </w:tcPr>
          <w:p w14:paraId="2B5EE2F0"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2021</w:t>
            </w:r>
          </w:p>
        </w:tc>
        <w:tc>
          <w:tcPr>
            <w:tcW w:w="2593" w:type="dxa"/>
            <w:shd w:val="clear" w:color="auto" w:fill="auto"/>
          </w:tcPr>
          <w:p w14:paraId="7234ED92"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068FFB33" w14:textId="77777777" w:rsidTr="005A0E8D">
        <w:trPr>
          <w:trHeight w:val="240"/>
        </w:trPr>
        <w:tc>
          <w:tcPr>
            <w:tcW w:w="2320" w:type="dxa"/>
            <w:shd w:val="clear" w:color="auto" w:fill="auto"/>
          </w:tcPr>
          <w:p w14:paraId="357850A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Libia</w:t>
            </w:r>
            <w:r w:rsidRPr="005A0E8D">
              <w:rPr>
                <w:i/>
                <w:vertAlign w:val="superscript"/>
              </w:rPr>
              <w:t>b</w:t>
            </w:r>
          </w:p>
        </w:tc>
        <w:tc>
          <w:tcPr>
            <w:tcW w:w="2457" w:type="dxa"/>
            <w:shd w:val="clear" w:color="auto" w:fill="auto"/>
          </w:tcPr>
          <w:p w14:paraId="63BAF1B4"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2024</w:t>
            </w:r>
          </w:p>
        </w:tc>
        <w:tc>
          <w:tcPr>
            <w:tcW w:w="2593" w:type="dxa"/>
            <w:shd w:val="clear" w:color="auto" w:fill="auto"/>
          </w:tcPr>
          <w:p w14:paraId="15D77AD5"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0954276A" w14:textId="77777777" w:rsidTr="005A0E8D">
        <w:trPr>
          <w:trHeight w:val="240"/>
        </w:trPr>
        <w:tc>
          <w:tcPr>
            <w:tcW w:w="2320" w:type="dxa"/>
            <w:shd w:val="clear" w:color="auto" w:fill="auto"/>
          </w:tcPr>
          <w:p w14:paraId="5CA48162" w14:textId="77777777" w:rsidR="005A0E8D" w:rsidRPr="005A0E8D" w:rsidRDefault="005A0E8D" w:rsidP="005A0E8D">
            <w:pPr>
              <w:pStyle w:val="SingleTxtG"/>
              <w:tabs>
                <w:tab w:val="clear" w:pos="1701"/>
                <w:tab w:val="clear" w:pos="2268"/>
                <w:tab w:val="clear" w:pos="2835"/>
              </w:tabs>
              <w:spacing w:before="40"/>
              <w:ind w:left="0" w:right="0"/>
              <w:jc w:val="left"/>
            </w:pPr>
            <w:r w:rsidRPr="005A0E8D">
              <w:t>Madagascar</w:t>
            </w:r>
            <w:r w:rsidRPr="005A0E8D">
              <w:rPr>
                <w:i/>
                <w:vertAlign w:val="superscript"/>
              </w:rPr>
              <w:t>b</w:t>
            </w:r>
          </w:p>
        </w:tc>
        <w:tc>
          <w:tcPr>
            <w:tcW w:w="2457" w:type="dxa"/>
            <w:shd w:val="clear" w:color="auto" w:fill="auto"/>
          </w:tcPr>
          <w:p w14:paraId="2E046CBC"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2023</w:t>
            </w:r>
          </w:p>
        </w:tc>
        <w:tc>
          <w:tcPr>
            <w:tcW w:w="2593" w:type="dxa"/>
            <w:shd w:val="clear" w:color="auto" w:fill="auto"/>
          </w:tcPr>
          <w:p w14:paraId="7ACC43DB"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684D3675" w14:textId="77777777" w:rsidTr="005A0E8D">
        <w:trPr>
          <w:trHeight w:val="240"/>
        </w:trPr>
        <w:tc>
          <w:tcPr>
            <w:tcW w:w="2320" w:type="dxa"/>
            <w:shd w:val="clear" w:color="auto" w:fill="auto"/>
          </w:tcPr>
          <w:p w14:paraId="7C78D4E9" w14:textId="77777777" w:rsidR="005A0E8D" w:rsidRPr="005A0E8D" w:rsidRDefault="005A0E8D" w:rsidP="005A0E8D">
            <w:pPr>
              <w:pStyle w:val="SingleTxtG"/>
              <w:tabs>
                <w:tab w:val="clear" w:pos="1701"/>
                <w:tab w:val="clear" w:pos="2268"/>
                <w:tab w:val="clear" w:pos="2835"/>
              </w:tabs>
              <w:spacing w:before="40"/>
              <w:ind w:left="0" w:right="0"/>
              <w:jc w:val="left"/>
            </w:pPr>
            <w:r w:rsidRPr="005A0E8D">
              <w:lastRenderedPageBreak/>
              <w:t>Mozambique</w:t>
            </w:r>
            <w:r w:rsidRPr="005A0E8D">
              <w:rPr>
                <w:i/>
                <w:vertAlign w:val="superscript"/>
              </w:rPr>
              <w:t>b</w:t>
            </w:r>
          </w:p>
        </w:tc>
        <w:tc>
          <w:tcPr>
            <w:tcW w:w="2457" w:type="dxa"/>
            <w:shd w:val="clear" w:color="auto" w:fill="auto"/>
          </w:tcPr>
          <w:p w14:paraId="428CF2D1"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2023</w:t>
            </w:r>
          </w:p>
        </w:tc>
        <w:tc>
          <w:tcPr>
            <w:tcW w:w="2593" w:type="dxa"/>
            <w:shd w:val="clear" w:color="auto" w:fill="auto"/>
          </w:tcPr>
          <w:p w14:paraId="344C25A7"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2BAF73A0" w14:textId="77777777" w:rsidTr="005A0E8D">
        <w:trPr>
          <w:trHeight w:val="240"/>
        </w:trPr>
        <w:tc>
          <w:tcPr>
            <w:tcW w:w="2320" w:type="dxa"/>
            <w:shd w:val="clear" w:color="auto" w:fill="auto"/>
          </w:tcPr>
          <w:p w14:paraId="752F0895" w14:textId="77777777" w:rsidR="005A0E8D" w:rsidRPr="005A0E8D" w:rsidRDefault="005A0E8D" w:rsidP="005A0E8D">
            <w:pPr>
              <w:pStyle w:val="SingleTxtG"/>
              <w:tabs>
                <w:tab w:val="clear" w:pos="1701"/>
                <w:tab w:val="clear" w:pos="2268"/>
                <w:tab w:val="clear" w:pos="2835"/>
              </w:tabs>
              <w:spacing w:before="40"/>
              <w:ind w:left="0" w:right="0"/>
              <w:jc w:val="left"/>
            </w:pPr>
            <w:r w:rsidRPr="005A0E8D">
              <w:t>Nicaragua</w:t>
            </w:r>
            <w:r w:rsidRPr="005A0E8D">
              <w:rPr>
                <w:i/>
                <w:vertAlign w:val="superscript"/>
              </w:rPr>
              <w:t>b</w:t>
            </w:r>
          </w:p>
        </w:tc>
        <w:tc>
          <w:tcPr>
            <w:tcW w:w="2457" w:type="dxa"/>
            <w:shd w:val="clear" w:color="auto" w:fill="auto"/>
          </w:tcPr>
          <w:p w14:paraId="2869336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2021</w:t>
            </w:r>
          </w:p>
        </w:tc>
        <w:tc>
          <w:tcPr>
            <w:tcW w:w="2593" w:type="dxa"/>
            <w:shd w:val="clear" w:color="auto" w:fill="auto"/>
          </w:tcPr>
          <w:p w14:paraId="66E649F0"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7CA2AA2A" w14:textId="77777777" w:rsidTr="005A0E8D">
        <w:trPr>
          <w:trHeight w:val="240"/>
        </w:trPr>
        <w:tc>
          <w:tcPr>
            <w:tcW w:w="2320" w:type="dxa"/>
            <w:shd w:val="clear" w:color="auto" w:fill="auto"/>
          </w:tcPr>
          <w:p w14:paraId="04F38923" w14:textId="77777777" w:rsidR="005A0E8D" w:rsidRPr="005A0E8D" w:rsidRDefault="005A0E8D" w:rsidP="005A0E8D">
            <w:pPr>
              <w:pStyle w:val="SingleTxtG"/>
              <w:tabs>
                <w:tab w:val="clear" w:pos="1701"/>
                <w:tab w:val="clear" w:pos="2268"/>
                <w:tab w:val="clear" w:pos="2835"/>
              </w:tabs>
              <w:spacing w:before="40"/>
              <w:ind w:left="0" w:right="0"/>
              <w:jc w:val="left"/>
            </w:pPr>
            <w:r w:rsidRPr="005A0E8D">
              <w:t>Níger</w:t>
            </w:r>
            <w:r w:rsidRPr="005A0E8D">
              <w:rPr>
                <w:i/>
                <w:vertAlign w:val="superscript"/>
              </w:rPr>
              <w:t>d</w:t>
            </w:r>
          </w:p>
        </w:tc>
        <w:tc>
          <w:tcPr>
            <w:tcW w:w="2457" w:type="dxa"/>
            <w:shd w:val="clear" w:color="auto" w:fill="auto"/>
          </w:tcPr>
          <w:p w14:paraId="0DE0A62F"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2021</w:t>
            </w:r>
          </w:p>
        </w:tc>
        <w:tc>
          <w:tcPr>
            <w:tcW w:w="2593" w:type="dxa"/>
            <w:shd w:val="clear" w:color="auto" w:fill="auto"/>
          </w:tcPr>
          <w:p w14:paraId="7E5421D3" w14:textId="77777777" w:rsidR="005A0E8D" w:rsidRPr="005A0E8D" w:rsidRDefault="005A0E8D" w:rsidP="005A0E8D">
            <w:pPr>
              <w:pStyle w:val="SingleTxtG"/>
              <w:tabs>
                <w:tab w:val="clear" w:pos="1701"/>
                <w:tab w:val="clear" w:pos="2268"/>
                <w:tab w:val="clear" w:pos="2835"/>
              </w:tabs>
              <w:spacing w:before="40"/>
              <w:ind w:left="0" w:right="0"/>
              <w:jc w:val="left"/>
            </w:pPr>
            <w:r w:rsidRPr="005A0E8D">
              <w:t>29 de diciembre de 2023</w:t>
            </w:r>
          </w:p>
        </w:tc>
      </w:tr>
      <w:tr w:rsidR="005A0E8D" w:rsidRPr="005A0E8D" w14:paraId="258A6344" w14:textId="77777777" w:rsidTr="005A0E8D">
        <w:trPr>
          <w:trHeight w:val="240"/>
        </w:trPr>
        <w:tc>
          <w:tcPr>
            <w:tcW w:w="2320" w:type="dxa"/>
            <w:shd w:val="clear" w:color="auto" w:fill="auto"/>
          </w:tcPr>
          <w:p w14:paraId="0766F9AF" w14:textId="77777777" w:rsidR="005A0E8D" w:rsidRPr="005A0E8D" w:rsidRDefault="005A0E8D" w:rsidP="005A0E8D">
            <w:pPr>
              <w:pStyle w:val="SingleTxtG"/>
              <w:tabs>
                <w:tab w:val="clear" w:pos="1701"/>
                <w:tab w:val="clear" w:pos="2268"/>
                <w:tab w:val="clear" w:pos="2835"/>
              </w:tabs>
              <w:spacing w:before="40"/>
              <w:ind w:left="0" w:right="0"/>
              <w:jc w:val="left"/>
            </w:pPr>
            <w:r w:rsidRPr="005A0E8D">
              <w:t>Timor-Leste</w:t>
            </w:r>
            <w:r w:rsidRPr="005A0E8D">
              <w:rPr>
                <w:i/>
                <w:vertAlign w:val="superscript"/>
              </w:rPr>
              <w:t>c</w:t>
            </w:r>
          </w:p>
        </w:tc>
        <w:tc>
          <w:tcPr>
            <w:tcW w:w="2457" w:type="dxa"/>
            <w:shd w:val="clear" w:color="auto" w:fill="auto"/>
          </w:tcPr>
          <w:p w14:paraId="14855BC2" w14:textId="77777777" w:rsidR="005A0E8D" w:rsidRPr="005A0E8D" w:rsidRDefault="005A0E8D" w:rsidP="005A0E8D">
            <w:pPr>
              <w:pStyle w:val="SingleTxtG"/>
              <w:tabs>
                <w:tab w:val="clear" w:pos="1701"/>
                <w:tab w:val="clear" w:pos="2268"/>
                <w:tab w:val="clear" w:pos="2835"/>
              </w:tabs>
              <w:spacing w:before="40"/>
              <w:ind w:left="0" w:right="0"/>
              <w:jc w:val="left"/>
            </w:pPr>
            <w:r w:rsidRPr="005A0E8D">
              <w:t>9 de septiembre de 2020</w:t>
            </w:r>
          </w:p>
        </w:tc>
        <w:tc>
          <w:tcPr>
            <w:tcW w:w="2593" w:type="dxa"/>
            <w:shd w:val="clear" w:color="auto" w:fill="auto"/>
          </w:tcPr>
          <w:p w14:paraId="5B1DE942"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76761E8A" w14:textId="77777777" w:rsidTr="005A0E8D">
        <w:trPr>
          <w:trHeight w:val="240"/>
        </w:trPr>
        <w:tc>
          <w:tcPr>
            <w:tcW w:w="2320" w:type="dxa"/>
            <w:tcBorders>
              <w:bottom w:val="single" w:sz="12" w:space="0" w:color="auto"/>
            </w:tcBorders>
            <w:shd w:val="clear" w:color="auto" w:fill="auto"/>
          </w:tcPr>
          <w:p w14:paraId="490EFCD2" w14:textId="77777777" w:rsidR="005A0E8D" w:rsidRPr="005A0E8D" w:rsidRDefault="005A0E8D" w:rsidP="005A0E8D">
            <w:pPr>
              <w:pStyle w:val="SingleTxtG"/>
              <w:tabs>
                <w:tab w:val="clear" w:pos="1701"/>
                <w:tab w:val="clear" w:pos="2268"/>
                <w:tab w:val="clear" w:pos="2835"/>
              </w:tabs>
              <w:spacing w:before="40"/>
              <w:ind w:left="0" w:right="0"/>
              <w:jc w:val="left"/>
            </w:pPr>
            <w:r w:rsidRPr="005A0E8D">
              <w:t>Uganda</w:t>
            </w:r>
            <w:r w:rsidRPr="005A0E8D">
              <w:rPr>
                <w:i/>
                <w:vertAlign w:val="superscript"/>
              </w:rPr>
              <w:t>b</w:t>
            </w:r>
          </w:p>
        </w:tc>
        <w:tc>
          <w:tcPr>
            <w:tcW w:w="2457" w:type="dxa"/>
            <w:tcBorders>
              <w:bottom w:val="single" w:sz="12" w:space="0" w:color="auto"/>
            </w:tcBorders>
            <w:shd w:val="clear" w:color="auto" w:fill="auto"/>
          </w:tcPr>
          <w:p w14:paraId="5F05EB50" w14:textId="77777777" w:rsidR="005A0E8D" w:rsidRPr="005A0E8D" w:rsidRDefault="005A0E8D" w:rsidP="005A0E8D">
            <w:pPr>
              <w:pStyle w:val="SingleTxtG"/>
              <w:tabs>
                <w:tab w:val="clear" w:pos="1701"/>
                <w:tab w:val="clear" w:pos="2268"/>
                <w:tab w:val="clear" w:pos="2835"/>
              </w:tabs>
              <w:spacing w:before="40"/>
              <w:ind w:left="0" w:right="0"/>
              <w:jc w:val="left"/>
            </w:pPr>
            <w:r w:rsidRPr="005A0E8D">
              <w:t>24 de abril de 2020</w:t>
            </w:r>
          </w:p>
        </w:tc>
        <w:tc>
          <w:tcPr>
            <w:tcW w:w="2593" w:type="dxa"/>
            <w:tcBorders>
              <w:bottom w:val="single" w:sz="12" w:space="0" w:color="auto"/>
            </w:tcBorders>
            <w:shd w:val="clear" w:color="auto" w:fill="auto"/>
          </w:tcPr>
          <w:p w14:paraId="012152E7" w14:textId="77777777" w:rsidR="005A0E8D" w:rsidRPr="005A0E8D" w:rsidRDefault="005A0E8D" w:rsidP="005A0E8D">
            <w:pPr>
              <w:pStyle w:val="SingleTxtG"/>
              <w:tabs>
                <w:tab w:val="clear" w:pos="1701"/>
                <w:tab w:val="clear" w:pos="2268"/>
                <w:tab w:val="clear" w:pos="2835"/>
              </w:tabs>
              <w:spacing w:before="40"/>
              <w:ind w:left="0" w:right="0"/>
              <w:jc w:val="left"/>
            </w:pPr>
          </w:p>
        </w:tc>
      </w:tr>
    </w:tbl>
    <w:p w14:paraId="2C7E7DEF" w14:textId="19F7BCD7" w:rsidR="005A0E8D" w:rsidRPr="005A0E8D" w:rsidRDefault="005A0E8D" w:rsidP="005A0E8D">
      <w:pPr>
        <w:pStyle w:val="SingleTxtG"/>
        <w:spacing w:before="120" w:after="0"/>
        <w:ind w:firstLine="170"/>
        <w:jc w:val="left"/>
        <w:rPr>
          <w:sz w:val="18"/>
          <w:szCs w:val="18"/>
        </w:rPr>
      </w:pPr>
      <w:r w:rsidRPr="005A0E8D">
        <w:rPr>
          <w:i/>
          <w:iCs/>
          <w:sz w:val="18"/>
          <w:szCs w:val="18"/>
          <w:vertAlign w:val="superscript"/>
        </w:rPr>
        <w:t>a</w:t>
      </w:r>
      <w:r w:rsidRPr="005A0E8D">
        <w:rPr>
          <w:sz w:val="18"/>
          <w:szCs w:val="18"/>
        </w:rPr>
        <w:t xml:space="preserve"> </w:t>
      </w:r>
      <w:r>
        <w:rPr>
          <w:sz w:val="18"/>
          <w:szCs w:val="18"/>
        </w:rPr>
        <w:t xml:space="preserve"> </w:t>
      </w:r>
      <w:r w:rsidRPr="005A0E8D">
        <w:rPr>
          <w:sz w:val="18"/>
          <w:szCs w:val="18"/>
        </w:rPr>
        <w:t>El 28 de marzo de 2023, el Estado parte decidió no acogerse al procedimiento simplificado de presentación de informes, por lo que presentará su informe con arreglo al procedimiento tradicional.</w:t>
      </w:r>
    </w:p>
    <w:p w14:paraId="0BB20B20" w14:textId="50144DAF" w:rsidR="005A0E8D" w:rsidRPr="005A0E8D" w:rsidRDefault="005A0E8D" w:rsidP="005A0E8D">
      <w:pPr>
        <w:pStyle w:val="SingleTxtG"/>
        <w:spacing w:after="0"/>
        <w:ind w:firstLine="170"/>
        <w:jc w:val="left"/>
        <w:rPr>
          <w:sz w:val="18"/>
          <w:szCs w:val="18"/>
        </w:rPr>
      </w:pPr>
      <w:r w:rsidRPr="005A0E8D">
        <w:rPr>
          <w:i/>
          <w:iCs/>
          <w:sz w:val="18"/>
          <w:szCs w:val="18"/>
          <w:vertAlign w:val="superscript"/>
        </w:rPr>
        <w:t>b</w:t>
      </w:r>
      <w:r w:rsidRPr="005A0E8D">
        <w:rPr>
          <w:sz w:val="18"/>
          <w:szCs w:val="18"/>
        </w:rPr>
        <w:t xml:space="preserve"> </w:t>
      </w:r>
      <w:r>
        <w:rPr>
          <w:sz w:val="18"/>
          <w:szCs w:val="18"/>
        </w:rPr>
        <w:t xml:space="preserve"> </w:t>
      </w:r>
      <w:r w:rsidRPr="005A0E8D">
        <w:rPr>
          <w:sz w:val="18"/>
          <w:szCs w:val="18"/>
        </w:rPr>
        <w:t>La lista de cuestiones previa a la presentación del informe será aprobada por el Comité en un próximo período de sesiones.</w:t>
      </w:r>
    </w:p>
    <w:p w14:paraId="4861812C" w14:textId="35F51AA7" w:rsidR="005A0E8D" w:rsidRPr="005A0E8D" w:rsidRDefault="005A0E8D" w:rsidP="005A0E8D">
      <w:pPr>
        <w:pStyle w:val="SingleTxtG"/>
        <w:spacing w:after="0"/>
        <w:ind w:firstLine="170"/>
        <w:jc w:val="left"/>
        <w:rPr>
          <w:sz w:val="18"/>
          <w:szCs w:val="18"/>
        </w:rPr>
      </w:pPr>
      <w:r w:rsidRPr="005A0E8D">
        <w:rPr>
          <w:i/>
          <w:iCs/>
          <w:sz w:val="18"/>
          <w:szCs w:val="18"/>
          <w:vertAlign w:val="superscript"/>
        </w:rPr>
        <w:t>c</w:t>
      </w:r>
      <w:r w:rsidRPr="005A0E8D">
        <w:rPr>
          <w:sz w:val="18"/>
          <w:szCs w:val="18"/>
        </w:rPr>
        <w:t xml:space="preserve"> </w:t>
      </w:r>
      <w:r>
        <w:rPr>
          <w:sz w:val="18"/>
          <w:szCs w:val="18"/>
        </w:rPr>
        <w:t xml:space="preserve"> </w:t>
      </w:r>
      <w:r w:rsidRPr="005A0E8D">
        <w:rPr>
          <w:sz w:val="18"/>
          <w:szCs w:val="18"/>
        </w:rPr>
        <w:t>En su 39º período de sesiones, el Comité tendrá ante sí, para su aprobación, la lista de cuestiones previa a la presentación del informe.</w:t>
      </w:r>
      <w:bookmarkStart w:id="0" w:name="_Hlk177662625"/>
    </w:p>
    <w:bookmarkEnd w:id="0"/>
    <w:p w14:paraId="5FA557D0" w14:textId="7F8A8589" w:rsidR="005A0E8D" w:rsidRPr="005A0E8D" w:rsidRDefault="005A0E8D" w:rsidP="005A0E8D">
      <w:pPr>
        <w:pStyle w:val="SingleTxtG"/>
        <w:spacing w:after="240"/>
        <w:ind w:firstLine="170"/>
        <w:jc w:val="left"/>
        <w:rPr>
          <w:sz w:val="18"/>
          <w:szCs w:val="18"/>
        </w:rPr>
      </w:pPr>
      <w:r w:rsidRPr="005A0E8D">
        <w:rPr>
          <w:i/>
          <w:iCs/>
          <w:sz w:val="18"/>
          <w:szCs w:val="18"/>
          <w:vertAlign w:val="superscript"/>
        </w:rPr>
        <w:t>d</w:t>
      </w:r>
      <w:r w:rsidRPr="005A0E8D">
        <w:rPr>
          <w:sz w:val="18"/>
          <w:szCs w:val="18"/>
        </w:rPr>
        <w:t xml:space="preserve"> </w:t>
      </w:r>
      <w:r>
        <w:rPr>
          <w:sz w:val="18"/>
          <w:szCs w:val="18"/>
        </w:rPr>
        <w:t xml:space="preserve"> </w:t>
      </w:r>
      <w:r w:rsidRPr="005A0E8D">
        <w:rPr>
          <w:sz w:val="18"/>
          <w:szCs w:val="18"/>
        </w:rPr>
        <w:t>La lista de cuestiones previa a la presentación del informe (</w:t>
      </w:r>
      <w:hyperlink r:id="rId10" w:history="1">
        <w:r w:rsidRPr="005A0E8D">
          <w:rPr>
            <w:rStyle w:val="Hipervnculo"/>
            <w:sz w:val="18"/>
            <w:szCs w:val="18"/>
          </w:rPr>
          <w:t>CMW/C/NER/QPR/2</w:t>
        </w:r>
      </w:hyperlink>
      <w:r w:rsidRPr="005A0E8D">
        <w:rPr>
          <w:sz w:val="18"/>
          <w:szCs w:val="18"/>
        </w:rPr>
        <w:t xml:space="preserve">) fue aprobada por el Comité en su 36º período de sesiones. </w:t>
      </w:r>
      <w:bookmarkStart w:id="1" w:name="_Hlk177661504"/>
    </w:p>
    <w:bookmarkEnd w:id="1"/>
    <w:p w14:paraId="6526B6CE" w14:textId="6836CD47" w:rsidR="005A0E8D" w:rsidRPr="005A0E8D" w:rsidRDefault="005A0E8D" w:rsidP="005A0E8D">
      <w:pPr>
        <w:pStyle w:val="SingleTxtG"/>
      </w:pPr>
      <w:r>
        <w:tab/>
      </w:r>
      <w:r w:rsidRPr="005A0E8D">
        <w:t>El Comité recibió el tercer informe periódico de Tayikistán el 6 de mayo de 2024. Los terceros informes periódicos de los siguientes Estados partes debían haberse presentado, pero aún no se habían recibido al 23 de septiembre de 2024.</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843"/>
        <w:gridCol w:w="2468"/>
        <w:gridCol w:w="3059"/>
      </w:tblGrid>
      <w:tr w:rsidR="005A0E8D" w:rsidRPr="005A0E8D" w14:paraId="65A23F1E" w14:textId="77777777" w:rsidTr="005A0E8D">
        <w:trPr>
          <w:trHeight w:val="240"/>
          <w:tblHeader/>
        </w:trPr>
        <w:tc>
          <w:tcPr>
            <w:tcW w:w="1843" w:type="dxa"/>
            <w:tcBorders>
              <w:top w:val="single" w:sz="4" w:space="0" w:color="auto"/>
              <w:bottom w:val="single" w:sz="12" w:space="0" w:color="auto"/>
            </w:tcBorders>
            <w:shd w:val="clear" w:color="auto" w:fill="auto"/>
            <w:vAlign w:val="bottom"/>
          </w:tcPr>
          <w:p w14:paraId="193FDA6D"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Estado parte</w:t>
            </w:r>
          </w:p>
        </w:tc>
        <w:tc>
          <w:tcPr>
            <w:tcW w:w="2468" w:type="dxa"/>
            <w:tcBorders>
              <w:top w:val="single" w:sz="4" w:space="0" w:color="auto"/>
              <w:bottom w:val="single" w:sz="12" w:space="0" w:color="auto"/>
            </w:tcBorders>
            <w:shd w:val="clear" w:color="auto" w:fill="auto"/>
            <w:vAlign w:val="bottom"/>
          </w:tcPr>
          <w:p w14:paraId="41AB360E"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en que debía presentarse inicialmente el informe</w:t>
            </w:r>
          </w:p>
        </w:tc>
        <w:tc>
          <w:tcPr>
            <w:tcW w:w="3059" w:type="dxa"/>
            <w:tcBorders>
              <w:top w:val="single" w:sz="4" w:space="0" w:color="auto"/>
              <w:bottom w:val="single" w:sz="12" w:space="0" w:color="auto"/>
            </w:tcBorders>
            <w:shd w:val="clear" w:color="auto" w:fill="auto"/>
            <w:vAlign w:val="bottom"/>
          </w:tcPr>
          <w:p w14:paraId="6045823D"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límite para la presentación de las respuestas a la lista de cuestiones previa a la presentación del informe</w:t>
            </w:r>
          </w:p>
        </w:tc>
      </w:tr>
      <w:tr w:rsidR="005A0E8D" w:rsidRPr="005A0E8D" w14:paraId="53FBF2C0" w14:textId="77777777" w:rsidTr="005A0E8D">
        <w:trPr>
          <w:trHeight w:val="240"/>
        </w:trPr>
        <w:tc>
          <w:tcPr>
            <w:tcW w:w="1843" w:type="dxa"/>
            <w:tcBorders>
              <w:top w:val="single" w:sz="12" w:space="0" w:color="auto"/>
            </w:tcBorders>
            <w:shd w:val="clear" w:color="auto" w:fill="auto"/>
          </w:tcPr>
          <w:p w14:paraId="1C5C3D63" w14:textId="77777777" w:rsidR="005A0E8D" w:rsidRPr="005A0E8D" w:rsidRDefault="005A0E8D" w:rsidP="005A0E8D">
            <w:pPr>
              <w:pStyle w:val="SingleTxtG"/>
              <w:tabs>
                <w:tab w:val="clear" w:pos="1701"/>
                <w:tab w:val="clear" w:pos="2268"/>
                <w:tab w:val="clear" w:pos="2835"/>
              </w:tabs>
              <w:spacing w:before="40"/>
              <w:ind w:left="0" w:right="0"/>
              <w:jc w:val="left"/>
            </w:pPr>
            <w:r w:rsidRPr="005A0E8D">
              <w:t>Albania</w:t>
            </w:r>
            <w:r w:rsidRPr="005A0E8D">
              <w:rPr>
                <w:i/>
                <w:vertAlign w:val="superscript"/>
              </w:rPr>
              <w:t>a</w:t>
            </w:r>
          </w:p>
        </w:tc>
        <w:tc>
          <w:tcPr>
            <w:tcW w:w="2468" w:type="dxa"/>
            <w:tcBorders>
              <w:top w:val="single" w:sz="12" w:space="0" w:color="auto"/>
            </w:tcBorders>
            <w:shd w:val="clear" w:color="auto" w:fill="auto"/>
          </w:tcPr>
          <w:p w14:paraId="19ABD07D"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2024</w:t>
            </w:r>
          </w:p>
        </w:tc>
        <w:tc>
          <w:tcPr>
            <w:tcW w:w="3059" w:type="dxa"/>
            <w:tcBorders>
              <w:top w:val="single" w:sz="12" w:space="0" w:color="auto"/>
            </w:tcBorders>
            <w:shd w:val="clear" w:color="auto" w:fill="auto"/>
          </w:tcPr>
          <w:p w14:paraId="6F6A16DC"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4161E3A0" w14:textId="77777777" w:rsidTr="005A0E8D">
        <w:trPr>
          <w:trHeight w:val="240"/>
        </w:trPr>
        <w:tc>
          <w:tcPr>
            <w:tcW w:w="1843" w:type="dxa"/>
            <w:shd w:val="clear" w:color="auto" w:fill="auto"/>
          </w:tcPr>
          <w:p w14:paraId="039CA145" w14:textId="77777777" w:rsidR="005A0E8D" w:rsidRPr="005A0E8D" w:rsidRDefault="005A0E8D" w:rsidP="005A0E8D">
            <w:pPr>
              <w:pStyle w:val="SingleTxtG"/>
              <w:tabs>
                <w:tab w:val="clear" w:pos="1701"/>
                <w:tab w:val="clear" w:pos="2268"/>
                <w:tab w:val="clear" w:pos="2835"/>
              </w:tabs>
              <w:spacing w:before="40"/>
              <w:ind w:left="0" w:right="0"/>
              <w:jc w:val="left"/>
            </w:pPr>
            <w:r w:rsidRPr="005A0E8D">
              <w:t>Argelia</w:t>
            </w:r>
            <w:r w:rsidRPr="005A0E8D">
              <w:rPr>
                <w:i/>
                <w:vertAlign w:val="superscript"/>
              </w:rPr>
              <w:t>b</w:t>
            </w:r>
          </w:p>
        </w:tc>
        <w:tc>
          <w:tcPr>
            <w:tcW w:w="2468" w:type="dxa"/>
            <w:shd w:val="clear" w:color="auto" w:fill="auto"/>
          </w:tcPr>
          <w:p w14:paraId="2AE38EA9"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2023</w:t>
            </w:r>
          </w:p>
        </w:tc>
        <w:tc>
          <w:tcPr>
            <w:tcW w:w="3059" w:type="dxa"/>
            <w:shd w:val="clear" w:color="auto" w:fill="auto"/>
          </w:tcPr>
          <w:p w14:paraId="76E4C4E1"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1616837F" w14:textId="77777777" w:rsidTr="005A0E8D">
        <w:trPr>
          <w:trHeight w:val="240"/>
        </w:trPr>
        <w:tc>
          <w:tcPr>
            <w:tcW w:w="1843" w:type="dxa"/>
            <w:shd w:val="clear" w:color="auto" w:fill="auto"/>
          </w:tcPr>
          <w:p w14:paraId="63663C93" w14:textId="77777777" w:rsidR="005A0E8D" w:rsidRPr="005A0E8D" w:rsidRDefault="005A0E8D" w:rsidP="005A0E8D">
            <w:pPr>
              <w:pStyle w:val="SingleTxtG"/>
              <w:tabs>
                <w:tab w:val="clear" w:pos="1701"/>
                <w:tab w:val="clear" w:pos="2268"/>
                <w:tab w:val="clear" w:pos="2835"/>
              </w:tabs>
              <w:spacing w:before="40"/>
              <w:ind w:left="0" w:right="0"/>
              <w:jc w:val="left"/>
            </w:pPr>
            <w:r w:rsidRPr="005A0E8D">
              <w:t>Guatemala</w:t>
            </w:r>
            <w:r w:rsidRPr="005A0E8D">
              <w:rPr>
                <w:i/>
                <w:vertAlign w:val="superscript"/>
              </w:rPr>
              <w:t>a</w:t>
            </w:r>
          </w:p>
        </w:tc>
        <w:tc>
          <w:tcPr>
            <w:tcW w:w="2468" w:type="dxa"/>
            <w:shd w:val="clear" w:color="auto" w:fill="auto"/>
          </w:tcPr>
          <w:p w14:paraId="642ED03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2024</w:t>
            </w:r>
          </w:p>
        </w:tc>
        <w:tc>
          <w:tcPr>
            <w:tcW w:w="3059" w:type="dxa"/>
            <w:shd w:val="clear" w:color="auto" w:fill="auto"/>
          </w:tcPr>
          <w:p w14:paraId="72F758CC"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513A9B2C" w14:textId="77777777" w:rsidTr="005A0E8D">
        <w:trPr>
          <w:trHeight w:val="240"/>
        </w:trPr>
        <w:tc>
          <w:tcPr>
            <w:tcW w:w="1843" w:type="dxa"/>
            <w:shd w:val="clear" w:color="auto" w:fill="auto"/>
          </w:tcPr>
          <w:p w14:paraId="78BF5C80" w14:textId="77777777" w:rsidR="005A0E8D" w:rsidRPr="005A0E8D" w:rsidRDefault="005A0E8D" w:rsidP="005A0E8D">
            <w:pPr>
              <w:pStyle w:val="SingleTxtG"/>
              <w:tabs>
                <w:tab w:val="clear" w:pos="1701"/>
                <w:tab w:val="clear" w:pos="2268"/>
                <w:tab w:val="clear" w:pos="2835"/>
              </w:tabs>
              <w:spacing w:before="40"/>
              <w:ind w:left="0" w:right="0"/>
              <w:jc w:val="left"/>
            </w:pPr>
            <w:r w:rsidRPr="005A0E8D">
              <w:t>Malí</w:t>
            </w:r>
            <w:r w:rsidRPr="005A0E8D">
              <w:rPr>
                <w:i/>
                <w:vertAlign w:val="superscript"/>
              </w:rPr>
              <w:t>c</w:t>
            </w:r>
          </w:p>
        </w:tc>
        <w:tc>
          <w:tcPr>
            <w:tcW w:w="2468" w:type="dxa"/>
            <w:shd w:val="clear" w:color="auto" w:fill="auto"/>
          </w:tcPr>
          <w:p w14:paraId="604C91A2"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2019</w:t>
            </w:r>
          </w:p>
        </w:tc>
        <w:tc>
          <w:tcPr>
            <w:tcW w:w="3059" w:type="dxa"/>
            <w:shd w:val="clear" w:color="auto" w:fill="auto"/>
          </w:tcPr>
          <w:p w14:paraId="747BECDC" w14:textId="77777777" w:rsidR="005A0E8D" w:rsidRPr="005A0E8D" w:rsidRDefault="005A0E8D" w:rsidP="005A0E8D">
            <w:pPr>
              <w:pStyle w:val="SingleTxtG"/>
              <w:tabs>
                <w:tab w:val="clear" w:pos="1701"/>
                <w:tab w:val="clear" w:pos="2268"/>
                <w:tab w:val="clear" w:pos="2835"/>
              </w:tabs>
              <w:spacing w:before="40"/>
              <w:ind w:left="0" w:right="0"/>
              <w:jc w:val="left"/>
            </w:pPr>
          </w:p>
        </w:tc>
      </w:tr>
      <w:tr w:rsidR="005A0E8D" w:rsidRPr="005A0E8D" w14:paraId="0B1AB75B" w14:textId="77777777" w:rsidTr="005A0E8D">
        <w:trPr>
          <w:trHeight w:val="240"/>
        </w:trPr>
        <w:tc>
          <w:tcPr>
            <w:tcW w:w="1843" w:type="dxa"/>
            <w:tcBorders>
              <w:bottom w:val="single" w:sz="12" w:space="0" w:color="auto"/>
            </w:tcBorders>
            <w:shd w:val="clear" w:color="auto" w:fill="auto"/>
          </w:tcPr>
          <w:p w14:paraId="505FCC83" w14:textId="77777777" w:rsidR="005A0E8D" w:rsidRPr="005A0E8D" w:rsidRDefault="005A0E8D" w:rsidP="005A0E8D">
            <w:pPr>
              <w:pStyle w:val="SingleTxtG"/>
              <w:tabs>
                <w:tab w:val="clear" w:pos="1701"/>
                <w:tab w:val="clear" w:pos="2268"/>
                <w:tab w:val="clear" w:pos="2835"/>
              </w:tabs>
              <w:spacing w:before="40"/>
              <w:ind w:left="0" w:right="0"/>
              <w:jc w:val="left"/>
            </w:pPr>
            <w:r w:rsidRPr="005A0E8D">
              <w:t>Sri Lanka</w:t>
            </w:r>
            <w:r w:rsidRPr="005A0E8D">
              <w:rPr>
                <w:i/>
                <w:vertAlign w:val="superscript"/>
              </w:rPr>
              <w:t>d</w:t>
            </w:r>
          </w:p>
        </w:tc>
        <w:tc>
          <w:tcPr>
            <w:tcW w:w="2468" w:type="dxa"/>
            <w:tcBorders>
              <w:bottom w:val="single" w:sz="12" w:space="0" w:color="auto"/>
            </w:tcBorders>
            <w:shd w:val="clear" w:color="auto" w:fill="auto"/>
          </w:tcPr>
          <w:p w14:paraId="06359C2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2021</w:t>
            </w:r>
          </w:p>
        </w:tc>
        <w:tc>
          <w:tcPr>
            <w:tcW w:w="3059" w:type="dxa"/>
            <w:tcBorders>
              <w:bottom w:val="single" w:sz="12" w:space="0" w:color="auto"/>
            </w:tcBorders>
            <w:shd w:val="clear" w:color="auto" w:fill="auto"/>
          </w:tcPr>
          <w:p w14:paraId="51B4407C" w14:textId="77777777" w:rsidR="005A0E8D" w:rsidRPr="005A0E8D" w:rsidRDefault="005A0E8D" w:rsidP="005A0E8D">
            <w:pPr>
              <w:pStyle w:val="SingleTxtG"/>
              <w:tabs>
                <w:tab w:val="clear" w:pos="1701"/>
                <w:tab w:val="clear" w:pos="2268"/>
                <w:tab w:val="clear" w:pos="2835"/>
              </w:tabs>
              <w:spacing w:before="40"/>
              <w:ind w:left="0" w:right="0"/>
              <w:jc w:val="left"/>
            </w:pPr>
          </w:p>
        </w:tc>
      </w:tr>
    </w:tbl>
    <w:p w14:paraId="1AF8DD87" w14:textId="79A92C2C" w:rsidR="005A0E8D" w:rsidRPr="005A0E8D" w:rsidRDefault="005A0E8D" w:rsidP="005A0E8D">
      <w:pPr>
        <w:pStyle w:val="SingleTxtG"/>
        <w:spacing w:before="120" w:after="0"/>
        <w:ind w:firstLine="170"/>
        <w:jc w:val="left"/>
        <w:rPr>
          <w:sz w:val="18"/>
          <w:szCs w:val="18"/>
        </w:rPr>
      </w:pPr>
      <w:r w:rsidRPr="005A0E8D">
        <w:rPr>
          <w:i/>
          <w:iCs/>
          <w:sz w:val="18"/>
          <w:szCs w:val="18"/>
          <w:vertAlign w:val="superscript"/>
        </w:rPr>
        <w:t>a</w:t>
      </w:r>
      <w:r w:rsidRPr="005A0E8D">
        <w:rPr>
          <w:sz w:val="18"/>
          <w:szCs w:val="18"/>
        </w:rPr>
        <w:t xml:space="preserve"> </w:t>
      </w:r>
      <w:r>
        <w:rPr>
          <w:sz w:val="18"/>
          <w:szCs w:val="18"/>
        </w:rPr>
        <w:t xml:space="preserve"> </w:t>
      </w:r>
      <w:r w:rsidRPr="005A0E8D">
        <w:rPr>
          <w:sz w:val="18"/>
          <w:szCs w:val="18"/>
        </w:rPr>
        <w:t>La lista de cuestiones previa a la presentación del informe será aprobada por el Comité en un próximo período de sesiones.</w:t>
      </w:r>
    </w:p>
    <w:p w14:paraId="585731C0" w14:textId="343BEABD" w:rsidR="005A0E8D" w:rsidRPr="005A0E8D" w:rsidRDefault="005A0E8D" w:rsidP="005A0E8D">
      <w:pPr>
        <w:pStyle w:val="SingleTxtG"/>
        <w:spacing w:after="0"/>
        <w:ind w:firstLine="170"/>
        <w:jc w:val="left"/>
        <w:rPr>
          <w:sz w:val="18"/>
          <w:szCs w:val="18"/>
        </w:rPr>
      </w:pPr>
      <w:r w:rsidRPr="005A0E8D">
        <w:rPr>
          <w:i/>
          <w:iCs/>
          <w:sz w:val="18"/>
          <w:szCs w:val="18"/>
          <w:vertAlign w:val="superscript"/>
        </w:rPr>
        <w:t>b</w:t>
      </w:r>
      <w:r w:rsidRPr="005A0E8D">
        <w:rPr>
          <w:sz w:val="18"/>
          <w:szCs w:val="18"/>
        </w:rPr>
        <w:t xml:space="preserve"> </w:t>
      </w:r>
      <w:r>
        <w:rPr>
          <w:sz w:val="18"/>
          <w:szCs w:val="18"/>
        </w:rPr>
        <w:t xml:space="preserve"> </w:t>
      </w:r>
      <w:r w:rsidRPr="005A0E8D">
        <w:rPr>
          <w:sz w:val="18"/>
          <w:szCs w:val="18"/>
        </w:rPr>
        <w:t>El 31 de marzo de 2023, el Estado parte decidió no acogerse al procedimiento simplificado de presentación de informes, por lo que presentará su informe con arreglo al procedimiento tradicional.</w:t>
      </w:r>
    </w:p>
    <w:p w14:paraId="241C64F3" w14:textId="5E8F22EE" w:rsidR="005A0E8D" w:rsidRPr="005A0E8D" w:rsidRDefault="005A0E8D" w:rsidP="005A0E8D">
      <w:pPr>
        <w:pStyle w:val="SingleTxtG"/>
        <w:spacing w:after="0"/>
        <w:ind w:firstLine="170"/>
        <w:jc w:val="left"/>
        <w:rPr>
          <w:sz w:val="18"/>
          <w:szCs w:val="18"/>
        </w:rPr>
      </w:pPr>
      <w:r w:rsidRPr="005A0E8D">
        <w:rPr>
          <w:i/>
          <w:iCs/>
          <w:sz w:val="18"/>
          <w:szCs w:val="18"/>
          <w:vertAlign w:val="superscript"/>
        </w:rPr>
        <w:t>c</w:t>
      </w:r>
      <w:r w:rsidRPr="005A0E8D">
        <w:rPr>
          <w:sz w:val="18"/>
          <w:szCs w:val="18"/>
        </w:rPr>
        <w:t xml:space="preserve"> </w:t>
      </w:r>
      <w:r>
        <w:rPr>
          <w:sz w:val="18"/>
          <w:szCs w:val="18"/>
        </w:rPr>
        <w:t xml:space="preserve"> </w:t>
      </w:r>
      <w:r w:rsidRPr="005A0E8D">
        <w:rPr>
          <w:sz w:val="18"/>
          <w:szCs w:val="18"/>
        </w:rPr>
        <w:t>En su 39º período de sesiones, el Comité tendrá ante sí, para su aprobación, la lista de cuestiones previa a la presentación del informe.</w:t>
      </w:r>
    </w:p>
    <w:p w14:paraId="70597BB7" w14:textId="0D0D9EBB" w:rsidR="005A0E8D" w:rsidRPr="005A0E8D" w:rsidRDefault="005A0E8D" w:rsidP="005A0E8D">
      <w:pPr>
        <w:pStyle w:val="SingleTxtG"/>
        <w:spacing w:after="240"/>
        <w:ind w:firstLine="170"/>
        <w:jc w:val="left"/>
        <w:rPr>
          <w:sz w:val="18"/>
          <w:szCs w:val="18"/>
        </w:rPr>
      </w:pPr>
      <w:r w:rsidRPr="005A0E8D">
        <w:rPr>
          <w:i/>
          <w:iCs/>
          <w:sz w:val="18"/>
          <w:szCs w:val="18"/>
          <w:vertAlign w:val="superscript"/>
        </w:rPr>
        <w:t>d</w:t>
      </w:r>
      <w:r w:rsidRPr="005A0E8D">
        <w:rPr>
          <w:sz w:val="18"/>
          <w:szCs w:val="18"/>
        </w:rPr>
        <w:t xml:space="preserve"> </w:t>
      </w:r>
      <w:r>
        <w:rPr>
          <w:sz w:val="18"/>
          <w:szCs w:val="18"/>
        </w:rPr>
        <w:t xml:space="preserve"> </w:t>
      </w:r>
      <w:r w:rsidRPr="005A0E8D">
        <w:rPr>
          <w:sz w:val="18"/>
          <w:szCs w:val="18"/>
        </w:rPr>
        <w:t>El 16 de mayo de 2023, el Estado parte decidió no acogerse al procedimiento simplificado de presentación de informes, por lo que presentará su informe con arreglo al procedimiento tradicional.</w:t>
      </w:r>
    </w:p>
    <w:p w14:paraId="33EC1996" w14:textId="6A109A2E" w:rsidR="005A0E8D" w:rsidRPr="005A0E8D" w:rsidRDefault="005A0E8D" w:rsidP="005A0E8D">
      <w:pPr>
        <w:pStyle w:val="SingleTxtG"/>
      </w:pPr>
      <w:r>
        <w:tab/>
      </w:r>
      <w:r w:rsidRPr="005A0E8D">
        <w:t>El Comité recibió el cuarto informe periódico de México el 13 de septiembre de 2024. El cuarto informe periódico del siguiente Estado parte debía haberse presentado, pero aún no se había recibido al 23 de septiembre de 2024.</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2410"/>
        <w:gridCol w:w="1843"/>
        <w:gridCol w:w="3117"/>
      </w:tblGrid>
      <w:tr w:rsidR="005A0E8D" w:rsidRPr="005A0E8D" w14:paraId="024F1385" w14:textId="77777777" w:rsidTr="005A0E8D">
        <w:trPr>
          <w:trHeight w:val="240"/>
          <w:tblHeader/>
        </w:trPr>
        <w:tc>
          <w:tcPr>
            <w:tcW w:w="2410" w:type="dxa"/>
            <w:shd w:val="clear" w:color="auto" w:fill="auto"/>
            <w:vAlign w:val="bottom"/>
          </w:tcPr>
          <w:p w14:paraId="039E5DF2"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Estado parte</w:t>
            </w:r>
          </w:p>
        </w:tc>
        <w:tc>
          <w:tcPr>
            <w:tcW w:w="1843" w:type="dxa"/>
            <w:shd w:val="clear" w:color="auto" w:fill="auto"/>
            <w:vAlign w:val="bottom"/>
          </w:tcPr>
          <w:p w14:paraId="6D86C735"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en que debía presentarse inicialmente el informe</w:t>
            </w:r>
          </w:p>
        </w:tc>
        <w:tc>
          <w:tcPr>
            <w:tcW w:w="3117" w:type="dxa"/>
            <w:shd w:val="clear" w:color="auto" w:fill="auto"/>
            <w:vAlign w:val="bottom"/>
          </w:tcPr>
          <w:p w14:paraId="6695223B"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límite para la presentación de las respuestas a la lista de cuestiones previa a la presentación del informe</w:t>
            </w:r>
          </w:p>
        </w:tc>
      </w:tr>
      <w:tr w:rsidR="005A0E8D" w:rsidRPr="005A0E8D" w14:paraId="48B4AFBC" w14:textId="77777777" w:rsidTr="005A0E8D">
        <w:trPr>
          <w:trHeight w:val="240"/>
        </w:trPr>
        <w:tc>
          <w:tcPr>
            <w:tcW w:w="2410" w:type="dxa"/>
            <w:shd w:val="clear" w:color="auto" w:fill="auto"/>
          </w:tcPr>
          <w:p w14:paraId="2EAC7FE1" w14:textId="77777777" w:rsidR="005A0E8D" w:rsidRPr="005A0E8D" w:rsidRDefault="005A0E8D" w:rsidP="005A0E8D">
            <w:pPr>
              <w:pStyle w:val="SingleTxtG"/>
              <w:tabs>
                <w:tab w:val="clear" w:pos="1701"/>
                <w:tab w:val="clear" w:pos="2268"/>
                <w:tab w:val="clear" w:pos="2835"/>
              </w:tabs>
              <w:spacing w:before="40"/>
              <w:ind w:left="0" w:right="0"/>
              <w:jc w:val="left"/>
            </w:pPr>
            <w:r w:rsidRPr="005A0E8D">
              <w:t>Ecuador</w:t>
            </w:r>
            <w:r w:rsidRPr="005A0E8D">
              <w:rPr>
                <w:i/>
                <w:vertAlign w:val="superscript"/>
              </w:rPr>
              <w:t>a</w:t>
            </w:r>
          </w:p>
        </w:tc>
        <w:tc>
          <w:tcPr>
            <w:tcW w:w="1843" w:type="dxa"/>
            <w:shd w:val="clear" w:color="auto" w:fill="auto"/>
          </w:tcPr>
          <w:p w14:paraId="2AB294D0"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octubre de 2022</w:t>
            </w:r>
          </w:p>
        </w:tc>
        <w:tc>
          <w:tcPr>
            <w:tcW w:w="3117" w:type="dxa"/>
            <w:shd w:val="clear" w:color="auto" w:fill="auto"/>
          </w:tcPr>
          <w:p w14:paraId="2003B147" w14:textId="77777777" w:rsidR="005A0E8D" w:rsidRPr="005A0E8D" w:rsidRDefault="005A0E8D" w:rsidP="005A0E8D">
            <w:pPr>
              <w:pStyle w:val="SingleTxtG"/>
              <w:tabs>
                <w:tab w:val="clear" w:pos="1701"/>
                <w:tab w:val="clear" w:pos="2268"/>
                <w:tab w:val="clear" w:pos="2835"/>
              </w:tabs>
              <w:spacing w:before="40"/>
              <w:ind w:left="0" w:right="0"/>
              <w:jc w:val="left"/>
            </w:pPr>
          </w:p>
        </w:tc>
      </w:tr>
    </w:tbl>
    <w:p w14:paraId="56C688F3" w14:textId="77777777" w:rsidR="005A0E8D" w:rsidRPr="005A0E8D" w:rsidRDefault="005A0E8D" w:rsidP="005A0E8D">
      <w:pPr>
        <w:pStyle w:val="SingleTxtG"/>
        <w:spacing w:before="120" w:after="240"/>
        <w:ind w:firstLine="170"/>
        <w:jc w:val="left"/>
        <w:rPr>
          <w:sz w:val="18"/>
          <w:szCs w:val="18"/>
        </w:rPr>
      </w:pPr>
      <w:r w:rsidRPr="005A0E8D">
        <w:rPr>
          <w:i/>
          <w:iCs/>
          <w:sz w:val="18"/>
          <w:szCs w:val="18"/>
          <w:vertAlign w:val="superscript"/>
        </w:rPr>
        <w:t>a</w:t>
      </w:r>
      <w:r w:rsidRPr="005A0E8D">
        <w:rPr>
          <w:sz w:val="18"/>
          <w:szCs w:val="18"/>
        </w:rPr>
        <w:t xml:space="preserve"> La lista de cuestiones previa a la presentación del informe será aprobada por el Comité en un próximo período de sesiones.</w:t>
      </w:r>
    </w:p>
    <w:p w14:paraId="1980C153" w14:textId="03E7ABD6" w:rsidR="005A0E8D" w:rsidRPr="005A0E8D" w:rsidRDefault="005A0E8D" w:rsidP="005A0E8D">
      <w:pPr>
        <w:pStyle w:val="SingleTxtG"/>
      </w:pPr>
      <w:r>
        <w:lastRenderedPageBreak/>
        <w:tab/>
      </w:r>
      <w:r w:rsidRPr="005A0E8D">
        <w:t>Se examinaron los siguientes Estados partes en ausencia de un informe y se les pidió que presentaran sus informes inicial y periódico combinados.</w:t>
      </w:r>
    </w:p>
    <w:tbl>
      <w:tblPr>
        <w:tblW w:w="7513" w:type="dxa"/>
        <w:tblInd w:w="1134" w:type="dxa"/>
        <w:tblBorders>
          <w:top w:val="single" w:sz="4" w:space="0" w:color="auto"/>
        </w:tblBorders>
        <w:tblCellMar>
          <w:left w:w="0" w:type="dxa"/>
          <w:right w:w="113" w:type="dxa"/>
        </w:tblCellMar>
        <w:tblLook w:val="01E0" w:firstRow="1" w:lastRow="1" w:firstColumn="1" w:lastColumn="1" w:noHBand="0" w:noVBand="0"/>
      </w:tblPr>
      <w:tblGrid>
        <w:gridCol w:w="1418"/>
        <w:gridCol w:w="1843"/>
        <w:gridCol w:w="2126"/>
        <w:gridCol w:w="2126"/>
      </w:tblGrid>
      <w:tr w:rsidR="005A0E8D" w:rsidRPr="005A0E8D" w14:paraId="1B514B4E" w14:textId="77777777" w:rsidTr="0091518E">
        <w:trPr>
          <w:trHeight w:val="240"/>
          <w:tblHeader/>
        </w:trPr>
        <w:tc>
          <w:tcPr>
            <w:tcW w:w="1418" w:type="dxa"/>
            <w:tcBorders>
              <w:top w:val="single" w:sz="4" w:space="0" w:color="auto"/>
              <w:bottom w:val="single" w:sz="12" w:space="0" w:color="auto"/>
            </w:tcBorders>
            <w:shd w:val="clear" w:color="auto" w:fill="auto"/>
            <w:vAlign w:val="bottom"/>
          </w:tcPr>
          <w:p w14:paraId="7B8547F8"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Estado parte</w:t>
            </w:r>
          </w:p>
        </w:tc>
        <w:tc>
          <w:tcPr>
            <w:tcW w:w="1843" w:type="dxa"/>
            <w:tcBorders>
              <w:top w:val="single" w:sz="4" w:space="0" w:color="auto"/>
              <w:bottom w:val="single" w:sz="12" w:space="0" w:color="auto"/>
            </w:tcBorders>
            <w:shd w:val="clear" w:color="auto" w:fill="auto"/>
            <w:vAlign w:val="bottom"/>
          </w:tcPr>
          <w:p w14:paraId="4326E57C"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en que debía presentarse el informe inicial</w:t>
            </w:r>
          </w:p>
        </w:tc>
        <w:tc>
          <w:tcPr>
            <w:tcW w:w="2126" w:type="dxa"/>
            <w:tcBorders>
              <w:top w:val="single" w:sz="4" w:space="0" w:color="auto"/>
              <w:bottom w:val="single" w:sz="12" w:space="0" w:color="auto"/>
            </w:tcBorders>
            <w:shd w:val="clear" w:color="auto" w:fill="auto"/>
            <w:vAlign w:val="bottom"/>
          </w:tcPr>
          <w:p w14:paraId="463EB192"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establecida para la presentación de los informes inicial y periódico combinados</w:t>
            </w:r>
          </w:p>
        </w:tc>
        <w:tc>
          <w:tcPr>
            <w:tcW w:w="2126" w:type="dxa"/>
            <w:tcBorders>
              <w:top w:val="single" w:sz="4" w:space="0" w:color="auto"/>
              <w:bottom w:val="single" w:sz="12" w:space="0" w:color="auto"/>
            </w:tcBorders>
            <w:shd w:val="clear" w:color="auto" w:fill="auto"/>
            <w:vAlign w:val="bottom"/>
          </w:tcPr>
          <w:p w14:paraId="6E2EFA9D" w14:textId="77777777" w:rsidR="005A0E8D" w:rsidRPr="005A0E8D" w:rsidRDefault="005A0E8D" w:rsidP="005A0E8D">
            <w:pPr>
              <w:pStyle w:val="SingleTxtG"/>
              <w:tabs>
                <w:tab w:val="clear" w:pos="1701"/>
                <w:tab w:val="clear" w:pos="2268"/>
                <w:tab w:val="clear" w:pos="2835"/>
              </w:tabs>
              <w:spacing w:before="80" w:after="80" w:line="200" w:lineRule="exact"/>
              <w:ind w:left="0" w:right="0"/>
              <w:jc w:val="left"/>
              <w:rPr>
                <w:i/>
                <w:sz w:val="16"/>
              </w:rPr>
            </w:pPr>
            <w:r w:rsidRPr="005A0E8D">
              <w:rPr>
                <w:i/>
                <w:iCs/>
                <w:sz w:val="16"/>
              </w:rPr>
              <w:t>Fecha límite para la presentación de las respuestas a la lista de cuestiones previa a la presentación del informe</w:t>
            </w:r>
          </w:p>
        </w:tc>
      </w:tr>
      <w:tr w:rsidR="005A0E8D" w:rsidRPr="005A0E8D" w14:paraId="7601791E" w14:textId="77777777" w:rsidTr="0091518E">
        <w:trPr>
          <w:trHeight w:val="240"/>
        </w:trPr>
        <w:tc>
          <w:tcPr>
            <w:tcW w:w="1418" w:type="dxa"/>
            <w:tcBorders>
              <w:top w:val="single" w:sz="12" w:space="0" w:color="auto"/>
            </w:tcBorders>
            <w:shd w:val="clear" w:color="auto" w:fill="auto"/>
          </w:tcPr>
          <w:p w14:paraId="18C2A2F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Belice</w:t>
            </w:r>
            <w:r w:rsidRPr="005A0E8D">
              <w:rPr>
                <w:i/>
                <w:vertAlign w:val="superscript"/>
              </w:rPr>
              <w:t>a</w:t>
            </w:r>
          </w:p>
        </w:tc>
        <w:tc>
          <w:tcPr>
            <w:tcW w:w="1843" w:type="dxa"/>
            <w:tcBorders>
              <w:top w:val="single" w:sz="12" w:space="0" w:color="auto"/>
            </w:tcBorders>
            <w:shd w:val="clear" w:color="auto" w:fill="auto"/>
          </w:tcPr>
          <w:p w14:paraId="7DF296F9"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julio de 2004</w:t>
            </w:r>
          </w:p>
        </w:tc>
        <w:tc>
          <w:tcPr>
            <w:tcW w:w="2126" w:type="dxa"/>
            <w:tcBorders>
              <w:top w:val="single" w:sz="12" w:space="0" w:color="auto"/>
            </w:tcBorders>
            <w:shd w:val="clear" w:color="auto" w:fill="auto"/>
          </w:tcPr>
          <w:p w14:paraId="5E96C5F7" w14:textId="77777777" w:rsidR="005A0E8D" w:rsidRPr="005A0E8D" w:rsidRDefault="005A0E8D" w:rsidP="005A0E8D">
            <w:pPr>
              <w:pStyle w:val="SingleTxtG"/>
              <w:tabs>
                <w:tab w:val="clear" w:pos="1701"/>
                <w:tab w:val="clear" w:pos="2268"/>
                <w:tab w:val="clear" w:pos="2835"/>
              </w:tabs>
              <w:spacing w:before="40"/>
              <w:ind w:left="0" w:right="0"/>
              <w:jc w:val="left"/>
            </w:pPr>
            <w:r w:rsidRPr="005A0E8D">
              <w:t>5 de septiembre de 2016</w:t>
            </w:r>
          </w:p>
        </w:tc>
        <w:tc>
          <w:tcPr>
            <w:tcW w:w="2126" w:type="dxa"/>
            <w:tcBorders>
              <w:top w:val="single" w:sz="12" w:space="0" w:color="auto"/>
            </w:tcBorders>
            <w:shd w:val="clear" w:color="auto" w:fill="auto"/>
          </w:tcPr>
          <w:p w14:paraId="59358A24"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noviembre de 2020</w:t>
            </w:r>
          </w:p>
        </w:tc>
      </w:tr>
      <w:tr w:rsidR="005A0E8D" w:rsidRPr="005A0E8D" w14:paraId="06DBFD8D" w14:textId="77777777" w:rsidTr="0091518E">
        <w:trPr>
          <w:trHeight w:val="240"/>
        </w:trPr>
        <w:tc>
          <w:tcPr>
            <w:tcW w:w="1418" w:type="dxa"/>
            <w:shd w:val="clear" w:color="auto" w:fill="auto"/>
          </w:tcPr>
          <w:p w14:paraId="31905F46" w14:textId="77777777" w:rsidR="005A0E8D" w:rsidRPr="005A0E8D" w:rsidRDefault="005A0E8D" w:rsidP="005A0E8D">
            <w:pPr>
              <w:pStyle w:val="SingleTxtG"/>
              <w:tabs>
                <w:tab w:val="clear" w:pos="1701"/>
                <w:tab w:val="clear" w:pos="2268"/>
                <w:tab w:val="clear" w:pos="2835"/>
              </w:tabs>
              <w:spacing w:before="40"/>
              <w:ind w:left="0" w:right="0"/>
              <w:jc w:val="left"/>
            </w:pPr>
            <w:r w:rsidRPr="005A0E8D">
              <w:t>Jamaica</w:t>
            </w:r>
            <w:r w:rsidRPr="005A0E8D">
              <w:rPr>
                <w:i/>
                <w:vertAlign w:val="superscript"/>
              </w:rPr>
              <w:t>b</w:t>
            </w:r>
          </w:p>
        </w:tc>
        <w:tc>
          <w:tcPr>
            <w:tcW w:w="1843" w:type="dxa"/>
            <w:shd w:val="clear" w:color="auto" w:fill="auto"/>
          </w:tcPr>
          <w:p w14:paraId="0AA3BF26"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enero de 2010</w:t>
            </w:r>
          </w:p>
        </w:tc>
        <w:tc>
          <w:tcPr>
            <w:tcW w:w="2126" w:type="dxa"/>
            <w:shd w:val="clear" w:color="auto" w:fill="auto"/>
          </w:tcPr>
          <w:p w14:paraId="46E8C98E"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2019</w:t>
            </w:r>
          </w:p>
        </w:tc>
        <w:tc>
          <w:tcPr>
            <w:tcW w:w="2126" w:type="dxa"/>
            <w:shd w:val="clear" w:color="auto" w:fill="auto"/>
          </w:tcPr>
          <w:p w14:paraId="6B8921A1"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marzo de 2022</w:t>
            </w:r>
          </w:p>
        </w:tc>
      </w:tr>
      <w:tr w:rsidR="005A0E8D" w:rsidRPr="005A0E8D" w14:paraId="3622FDBE" w14:textId="77777777" w:rsidTr="0091518E">
        <w:trPr>
          <w:trHeight w:val="240"/>
        </w:trPr>
        <w:tc>
          <w:tcPr>
            <w:tcW w:w="1418" w:type="dxa"/>
            <w:tcBorders>
              <w:bottom w:val="single" w:sz="12" w:space="0" w:color="auto"/>
            </w:tcBorders>
            <w:shd w:val="clear" w:color="auto" w:fill="auto"/>
          </w:tcPr>
          <w:p w14:paraId="409AB89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San Vicente y las Granadinas</w:t>
            </w:r>
            <w:r w:rsidRPr="005A0E8D">
              <w:rPr>
                <w:i/>
                <w:vertAlign w:val="superscript"/>
              </w:rPr>
              <w:t>c</w:t>
            </w:r>
          </w:p>
        </w:tc>
        <w:tc>
          <w:tcPr>
            <w:tcW w:w="1843" w:type="dxa"/>
            <w:tcBorders>
              <w:bottom w:val="single" w:sz="12" w:space="0" w:color="auto"/>
            </w:tcBorders>
            <w:shd w:val="clear" w:color="auto" w:fill="auto"/>
          </w:tcPr>
          <w:p w14:paraId="0AA8D67F"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febrero de 2012</w:t>
            </w:r>
          </w:p>
        </w:tc>
        <w:tc>
          <w:tcPr>
            <w:tcW w:w="2126" w:type="dxa"/>
            <w:tcBorders>
              <w:bottom w:val="single" w:sz="12" w:space="0" w:color="auto"/>
            </w:tcBorders>
            <w:shd w:val="clear" w:color="auto" w:fill="auto"/>
          </w:tcPr>
          <w:p w14:paraId="0A3984DB" w14:textId="77777777" w:rsidR="005A0E8D" w:rsidRPr="005A0E8D" w:rsidRDefault="005A0E8D" w:rsidP="005A0E8D">
            <w:pPr>
              <w:pStyle w:val="SingleTxtG"/>
              <w:tabs>
                <w:tab w:val="clear" w:pos="1701"/>
                <w:tab w:val="clear" w:pos="2268"/>
                <w:tab w:val="clear" w:pos="2835"/>
              </w:tabs>
              <w:spacing w:before="40"/>
              <w:ind w:left="0" w:right="0"/>
              <w:jc w:val="left"/>
            </w:pPr>
            <w:r w:rsidRPr="005A0E8D">
              <w:t>1 de mayo de 2019</w:t>
            </w:r>
          </w:p>
        </w:tc>
        <w:tc>
          <w:tcPr>
            <w:tcW w:w="2126" w:type="dxa"/>
            <w:tcBorders>
              <w:bottom w:val="single" w:sz="12" w:space="0" w:color="auto"/>
            </w:tcBorders>
            <w:shd w:val="clear" w:color="auto" w:fill="auto"/>
          </w:tcPr>
          <w:p w14:paraId="5BAA7A4F" w14:textId="77777777" w:rsidR="005A0E8D" w:rsidRPr="005A0E8D" w:rsidRDefault="005A0E8D" w:rsidP="005A0E8D">
            <w:pPr>
              <w:pStyle w:val="SingleTxtG"/>
              <w:tabs>
                <w:tab w:val="clear" w:pos="1701"/>
                <w:tab w:val="clear" w:pos="2268"/>
                <w:tab w:val="clear" w:pos="2835"/>
              </w:tabs>
              <w:spacing w:before="40"/>
              <w:ind w:left="0" w:right="0"/>
              <w:jc w:val="left"/>
            </w:pPr>
          </w:p>
        </w:tc>
      </w:tr>
    </w:tbl>
    <w:p w14:paraId="776D4214" w14:textId="25927FB8" w:rsidR="005A0E8D" w:rsidRPr="005A0E8D" w:rsidRDefault="005A0E8D" w:rsidP="005A0E8D">
      <w:pPr>
        <w:pStyle w:val="SingleTxtG"/>
        <w:spacing w:before="120" w:after="0"/>
        <w:ind w:firstLine="170"/>
        <w:jc w:val="left"/>
        <w:rPr>
          <w:sz w:val="18"/>
          <w:szCs w:val="18"/>
        </w:rPr>
      </w:pPr>
      <w:r w:rsidRPr="005A0E8D">
        <w:rPr>
          <w:i/>
          <w:iCs/>
          <w:sz w:val="18"/>
          <w:szCs w:val="18"/>
          <w:vertAlign w:val="superscript"/>
        </w:rPr>
        <w:t>a</w:t>
      </w:r>
      <w:r w:rsidRPr="005A0E8D">
        <w:rPr>
          <w:sz w:val="18"/>
          <w:szCs w:val="18"/>
        </w:rPr>
        <w:t xml:space="preserve"> </w:t>
      </w:r>
      <w:r>
        <w:rPr>
          <w:sz w:val="18"/>
          <w:szCs w:val="18"/>
        </w:rPr>
        <w:t xml:space="preserve"> </w:t>
      </w:r>
      <w:r w:rsidRPr="005A0E8D">
        <w:rPr>
          <w:sz w:val="18"/>
          <w:szCs w:val="18"/>
        </w:rPr>
        <w:t>El Estado parte fue examinado en ausencia de un informe durante el 21</w:t>
      </w:r>
      <w:r w:rsidRPr="005A0E8D">
        <w:rPr>
          <w:sz w:val="18"/>
          <w:szCs w:val="18"/>
          <w:vertAlign w:val="superscript"/>
        </w:rPr>
        <w:t>er</w:t>
      </w:r>
      <w:r w:rsidRPr="005A0E8D">
        <w:rPr>
          <w:sz w:val="18"/>
          <w:szCs w:val="18"/>
        </w:rPr>
        <w:t xml:space="preserve"> período de sesiones del Comité. En el mismo período de sesiones, se pidió a Belice que presentara su informe inicial e informes periódicos segundo y tercero combinados. La lista de cuestiones previa a la presentación del informe (</w:t>
      </w:r>
      <w:hyperlink r:id="rId11" w:history="1">
        <w:r w:rsidRPr="005A0E8D">
          <w:rPr>
            <w:rStyle w:val="Hipervnculo"/>
            <w:sz w:val="18"/>
            <w:szCs w:val="18"/>
          </w:rPr>
          <w:t>CMW/C/BLZ/QPR/1-3</w:t>
        </w:r>
      </w:hyperlink>
      <w:r w:rsidRPr="005A0E8D">
        <w:rPr>
          <w:sz w:val="18"/>
          <w:szCs w:val="18"/>
        </w:rPr>
        <w:t>) fue aprobada por el Comité en su 31</w:t>
      </w:r>
      <w:r w:rsidRPr="005A0E8D">
        <w:rPr>
          <w:sz w:val="18"/>
          <w:szCs w:val="18"/>
          <w:vertAlign w:val="superscript"/>
        </w:rPr>
        <w:t>er</w:t>
      </w:r>
      <w:r w:rsidRPr="005A0E8D">
        <w:rPr>
          <w:sz w:val="18"/>
          <w:szCs w:val="18"/>
        </w:rPr>
        <w:t xml:space="preserve"> período de sesiones.</w:t>
      </w:r>
    </w:p>
    <w:p w14:paraId="358CF439" w14:textId="221B75EF" w:rsidR="005A0E8D" w:rsidRPr="005A0E8D" w:rsidRDefault="005A0E8D" w:rsidP="005A0E8D">
      <w:pPr>
        <w:pStyle w:val="SingleTxtG"/>
        <w:spacing w:after="0"/>
        <w:ind w:firstLine="170"/>
        <w:jc w:val="left"/>
        <w:rPr>
          <w:sz w:val="18"/>
          <w:szCs w:val="18"/>
        </w:rPr>
      </w:pPr>
      <w:r w:rsidRPr="005A0E8D">
        <w:rPr>
          <w:i/>
          <w:iCs/>
          <w:sz w:val="18"/>
          <w:szCs w:val="18"/>
          <w:vertAlign w:val="superscript"/>
        </w:rPr>
        <w:t>b</w:t>
      </w:r>
      <w:r w:rsidRPr="005A0E8D">
        <w:rPr>
          <w:sz w:val="18"/>
          <w:szCs w:val="18"/>
        </w:rPr>
        <w:t xml:space="preserve"> </w:t>
      </w:r>
      <w:r>
        <w:rPr>
          <w:sz w:val="18"/>
          <w:szCs w:val="18"/>
        </w:rPr>
        <w:t xml:space="preserve"> </w:t>
      </w:r>
      <w:r w:rsidRPr="005A0E8D">
        <w:rPr>
          <w:sz w:val="18"/>
          <w:szCs w:val="18"/>
        </w:rPr>
        <w:t>El Estado parte fue examinado en ausencia de un informe en el 26º período de sesiones del Comité. En el mismo período de sesiones, se pidió a Jamaica que presentara su informe inicial y segundo informe periódico combinados. Debido a la pandemia de enfermedad por coronavirus (COVID-19), la lista de cuestiones previa a la presentación del informe de Jamaica (</w:t>
      </w:r>
      <w:hyperlink r:id="rId12" w:history="1">
        <w:r w:rsidRPr="005A0E8D">
          <w:rPr>
            <w:rStyle w:val="Hipervnculo"/>
            <w:sz w:val="18"/>
            <w:szCs w:val="18"/>
          </w:rPr>
          <w:t>CMW/C/JAM/QPR/1-2</w:t>
        </w:r>
      </w:hyperlink>
      <w:r w:rsidRPr="005A0E8D">
        <w:rPr>
          <w:sz w:val="18"/>
          <w:szCs w:val="18"/>
        </w:rPr>
        <w:t>) fue aprobada por el Comité entre períodos de sesiones el 5 de febrero de</w:t>
      </w:r>
      <w:r>
        <w:rPr>
          <w:sz w:val="18"/>
          <w:szCs w:val="18"/>
        </w:rPr>
        <w:t> </w:t>
      </w:r>
      <w:r w:rsidRPr="005A0E8D">
        <w:rPr>
          <w:sz w:val="18"/>
          <w:szCs w:val="18"/>
        </w:rPr>
        <w:t>2021.</w:t>
      </w:r>
    </w:p>
    <w:p w14:paraId="7B820B64" w14:textId="61B51180" w:rsidR="005A0E8D" w:rsidRPr="005A0E8D" w:rsidRDefault="005A0E8D" w:rsidP="005A0E8D">
      <w:pPr>
        <w:pStyle w:val="SingleTxtG"/>
        <w:spacing w:after="240"/>
        <w:ind w:firstLine="170"/>
        <w:jc w:val="left"/>
        <w:rPr>
          <w:sz w:val="18"/>
          <w:szCs w:val="18"/>
        </w:rPr>
      </w:pPr>
      <w:r w:rsidRPr="005A0E8D">
        <w:rPr>
          <w:i/>
          <w:iCs/>
          <w:sz w:val="18"/>
          <w:szCs w:val="18"/>
          <w:vertAlign w:val="superscript"/>
        </w:rPr>
        <w:t>c</w:t>
      </w:r>
      <w:r w:rsidRPr="005A0E8D">
        <w:rPr>
          <w:sz w:val="18"/>
          <w:szCs w:val="18"/>
        </w:rPr>
        <w:t xml:space="preserve"> </w:t>
      </w:r>
      <w:r>
        <w:rPr>
          <w:sz w:val="18"/>
          <w:szCs w:val="18"/>
        </w:rPr>
        <w:t xml:space="preserve"> </w:t>
      </w:r>
      <w:r w:rsidRPr="005A0E8D">
        <w:rPr>
          <w:sz w:val="18"/>
          <w:szCs w:val="18"/>
        </w:rPr>
        <w:t>El Comité examinó al Estado parte en ausencia de un informe en su 28º período de sesiones. En el mismo período de sesiones, se pidió a San Vicente y las Granadinas que presentara su informe inicial y segundo informe periódico combinados. La lista de cuestiones previa a la presentación del informe será aprobada por el Comité en un próximo período de sesiones.</w:t>
      </w:r>
    </w:p>
    <w:p w14:paraId="46FBEF9E" w14:textId="31A0E115" w:rsidR="005A0E8D" w:rsidRPr="005A0E8D" w:rsidRDefault="005A0E8D" w:rsidP="005A0E8D">
      <w:pPr>
        <w:pStyle w:val="H23G"/>
      </w:pPr>
      <w:r>
        <w:tab/>
      </w:r>
      <w:r w:rsidRPr="005A0E8D">
        <w:t>5.</w:t>
      </w:r>
      <w:r w:rsidRPr="005A0E8D">
        <w:tab/>
        <w:t xml:space="preserve">Examen de los informes presentados por los Estados partes en virtud </w:t>
      </w:r>
      <w:r>
        <w:br/>
      </w:r>
      <w:r w:rsidRPr="005A0E8D">
        <w:t>del artículo 73 de la Convención</w:t>
      </w:r>
    </w:p>
    <w:p w14:paraId="4A2456A4" w14:textId="43258768" w:rsidR="005A0E8D" w:rsidRPr="005A0E8D" w:rsidRDefault="005A0E8D" w:rsidP="005A0E8D">
      <w:pPr>
        <w:pStyle w:val="SingleTxtG"/>
      </w:pPr>
      <w:r>
        <w:tab/>
      </w:r>
      <w:r w:rsidRPr="005A0E8D">
        <w:t>En su 39º período de sesiones, el Comité examinará el informe inicial de Benin (</w:t>
      </w:r>
      <w:hyperlink r:id="rId13" w:history="1">
        <w:r w:rsidRPr="005A0E8D">
          <w:rPr>
            <w:rStyle w:val="Hipervnculo"/>
          </w:rPr>
          <w:t>CMW/C/BEN/1</w:t>
        </w:r>
      </w:hyperlink>
      <w:r w:rsidRPr="005A0E8D">
        <w:t>), los informes periódicos segundo a cuarto combinados de Egipto (</w:t>
      </w:r>
      <w:hyperlink r:id="rId14" w:history="1">
        <w:r w:rsidRPr="005A0E8D">
          <w:rPr>
            <w:rStyle w:val="Hipervnculo"/>
          </w:rPr>
          <w:t>CMW/C/EGY/2-4</w:t>
        </w:r>
      </w:hyperlink>
      <w:r w:rsidRPr="005A0E8D">
        <w:t>), el segundo informe periódico del Perú (</w:t>
      </w:r>
      <w:hyperlink r:id="rId15" w:history="1">
        <w:r w:rsidRPr="005A0E8D">
          <w:rPr>
            <w:rStyle w:val="Hipervnculo"/>
          </w:rPr>
          <w:t>CMW/C/PER/2</w:t>
        </w:r>
      </w:hyperlink>
      <w:r w:rsidRPr="005A0E8D">
        <w:t>) y el segundo informe periódico de Seychelles. Aprobará observaciones finales sobre los informes.</w:t>
      </w:r>
    </w:p>
    <w:p w14:paraId="6F1CAE09" w14:textId="2F8C239F" w:rsidR="005A0E8D" w:rsidRPr="005A0E8D" w:rsidRDefault="005A0E8D" w:rsidP="005A0E8D">
      <w:pPr>
        <w:pStyle w:val="SingleTxtG"/>
      </w:pPr>
      <w:r>
        <w:tab/>
      </w:r>
      <w:r w:rsidRPr="005A0E8D">
        <w:t>El Secretario General ha comunicado a los Estados partes pertinentes las fechas en las que está previsto que el Comité examine su informe, de conformidad con el programa de trabajo provisional.</w:t>
      </w:r>
    </w:p>
    <w:p w14:paraId="3A4D9504" w14:textId="548C9064" w:rsidR="005A0E8D" w:rsidRPr="005A0E8D" w:rsidRDefault="005A0E8D" w:rsidP="005A0E8D">
      <w:pPr>
        <w:pStyle w:val="SingleTxtG"/>
      </w:pPr>
      <w:r>
        <w:tab/>
      </w:r>
      <w:r w:rsidRPr="005A0E8D">
        <w:t>En su 14º período de sesiones, el Comité estableció un procedimiento simplificado de presentación de informes,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34º período de sesiones, que este se aplicaría según el principio de exclusión voluntaria y no de aceptación voluntaria, de manera que, en adelante, el procedimiento simplificado previsto en el artículo 33, párrafo 2, de su reglamento sería el procedimiento por defecto y el procedimiento tradicional constituiría la excepción. Por consiguiente, una vez que los Estados partes hubieran sido debidamente informados de esta decisión, el Comité aprobaría una lista de cuestiones previa a la presentación del informe para todo Estado parte en la Convención que no hubiera solicitado explícitamente acogerse al procedimiento tradicional. En su 39º período de sesiones, el Comité aprobará listas de cuestiones previas a la presentación de informes para Indonesia, Malí y Timor-Leste, y una lista de cuestiones relativa al segundo informe periódico de Mauritania.</w:t>
      </w:r>
    </w:p>
    <w:p w14:paraId="4D5A9D22" w14:textId="3E0803F5" w:rsidR="005A0E8D" w:rsidRPr="005A0E8D" w:rsidRDefault="005A0E8D" w:rsidP="005A0E8D">
      <w:pPr>
        <w:pStyle w:val="H23G"/>
      </w:pPr>
      <w:r>
        <w:tab/>
      </w:r>
      <w:r w:rsidRPr="005A0E8D">
        <w:t>6.</w:t>
      </w:r>
      <w:r w:rsidRPr="005A0E8D">
        <w:tab/>
        <w:t>Métodos de trabajo del Comité</w:t>
      </w:r>
    </w:p>
    <w:p w14:paraId="284B03A9" w14:textId="396484E4" w:rsidR="005A0E8D" w:rsidRPr="005A0E8D" w:rsidRDefault="005A0E8D" w:rsidP="005A0E8D">
      <w:pPr>
        <w:pStyle w:val="SingleTxtG"/>
      </w:pPr>
      <w:r>
        <w:tab/>
      </w:r>
      <w:r w:rsidRPr="005A0E8D">
        <w:t xml:space="preserve">El 8 de diciembre de 2023, en su 37º período de sesiones y de conformidad con la resolución 68/268 de la Asamblea General, sobre el fortalecimiento y la mejora del </w:t>
      </w:r>
      <w:r w:rsidRPr="005A0E8D">
        <w:lastRenderedPageBreak/>
        <w:t>funcionamiento eficaz del sistema de órganos creados en virtud de tratados de derechos humanos, el Comité aprobó sus orientaciones revisadas sobre la armonización de sus métodos de trabajo.</w:t>
      </w:r>
    </w:p>
    <w:p w14:paraId="60D829DB" w14:textId="53F4DE95" w:rsidR="005A0E8D" w:rsidRPr="005A0E8D" w:rsidRDefault="005A0E8D" w:rsidP="005A0E8D">
      <w:pPr>
        <w:pStyle w:val="SingleTxtG"/>
      </w:pPr>
      <w:r>
        <w:tab/>
      </w:r>
      <w:r w:rsidRPr="005A0E8D">
        <w:t>El Comité recuerda las conclusiones aprobadas por las Presidencias de los órganos de tratados en su 36ª reunión anual, que tenían por objeto: garantizar que se adoptara un enfoque armonizado sobre el procedimiento de presentación de informes de los Estados partes de conformidad con los párrafos 1 y 2 de la resolución 68/268 de la Asamblea General; garantizar que todos los Comités con un procedimiento de presentación de informes periódicos aplicaran de manera coherente las conclusiones aprobadas por las Presidencias en sus reuniones anuales 34ª y 35ª sobre la introducción del procedimiento simplificado de presentación de informes como procedimiento por defecto para los informes iniciales y periódicos, con la opción de que los Estados partes se excluyeran voluntariamente; ahorrar recursos en el marco del procedimiento tradicional de presentación de informes; y mantener actualizados la información y los datos presentes en los informes de los Estados partes (</w:t>
      </w:r>
      <w:hyperlink r:id="rId16" w:history="1">
        <w:r w:rsidRPr="005A0E8D">
          <w:rPr>
            <w:rStyle w:val="Hipervnculo"/>
          </w:rPr>
          <w:t>A/79/292</w:t>
        </w:r>
      </w:hyperlink>
      <w:r w:rsidRPr="005A0E8D">
        <w:t xml:space="preserve">, párr. 59). </w:t>
      </w:r>
    </w:p>
    <w:p w14:paraId="5FCAB0FD" w14:textId="5225B916" w:rsidR="005A0E8D" w:rsidRPr="005A0E8D" w:rsidRDefault="005A0E8D" w:rsidP="005A0E8D">
      <w:pPr>
        <w:pStyle w:val="SingleTxtG"/>
      </w:pPr>
      <w:r>
        <w:tab/>
      </w:r>
      <w:r w:rsidRPr="005A0E8D">
        <w:t xml:space="preserve">El Comité observa a este respecto que, con sujeción a la disponibilidad de recursos y en vista de las discrepancias en cuanto al tiempo necesario para que los respectivos Comités elaboraran y aprobaran las listas de cuestiones previas a la presentación de informes, las Presidencias reiteraron las conclusiones aprobadas en sus reuniones 34ª y 35ª y reafirmaron que el procedimiento simplificado de presentación de informes pasaría a ser el procedimiento que utilizarían por defecto todos los Comités con un ciclo de presentación de informes periódicos para los informes iniciales y periódicos, con la posibilidad de que los Estados partes optaran por que no se les aplicara. </w:t>
      </w:r>
    </w:p>
    <w:p w14:paraId="7DF4D277" w14:textId="74007F6F" w:rsidR="005A0E8D" w:rsidRPr="005A0E8D" w:rsidRDefault="005A0E8D" w:rsidP="005A0E8D">
      <w:pPr>
        <w:pStyle w:val="H23G"/>
      </w:pPr>
      <w:r>
        <w:tab/>
      </w:r>
      <w:r w:rsidRPr="005A0E8D">
        <w:t>7.</w:t>
      </w:r>
      <w:r w:rsidRPr="005A0E8D">
        <w:tab/>
        <w:t>Promoción de la Convención</w:t>
      </w:r>
    </w:p>
    <w:p w14:paraId="343B2966" w14:textId="196E1A60" w:rsidR="005A0E8D" w:rsidRDefault="005A0E8D" w:rsidP="005A0E8D">
      <w:pPr>
        <w:pStyle w:val="SingleTxtG"/>
      </w:pPr>
      <w:r>
        <w:tab/>
      </w:r>
      <w:r w:rsidRPr="005A0E8D">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p>
    <w:p w14:paraId="504721F7" w14:textId="53EEEB5A" w:rsidR="005A0E8D" w:rsidRPr="005A0E8D" w:rsidRDefault="005A0E8D" w:rsidP="005A0E8D">
      <w:pPr>
        <w:pStyle w:val="SingleTxtG"/>
        <w:suppressAutoHyphens/>
        <w:spacing w:before="240" w:after="0"/>
        <w:jc w:val="center"/>
        <w:rPr>
          <w:u w:val="single"/>
        </w:rPr>
      </w:pPr>
      <w:r>
        <w:rPr>
          <w:u w:val="single"/>
        </w:rPr>
        <w:tab/>
      </w:r>
      <w:r>
        <w:rPr>
          <w:u w:val="single"/>
        </w:rPr>
        <w:tab/>
      </w:r>
      <w:r>
        <w:rPr>
          <w:u w:val="single"/>
        </w:rPr>
        <w:tab/>
      </w:r>
    </w:p>
    <w:sectPr w:rsidR="005A0E8D" w:rsidRPr="005A0E8D" w:rsidSect="00EF3F5C">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38E40" w14:textId="77777777" w:rsidR="0012037D" w:rsidRPr="00FE2321" w:rsidRDefault="0012037D" w:rsidP="00FE2321">
      <w:pPr>
        <w:pStyle w:val="Piedepgina"/>
      </w:pPr>
    </w:p>
  </w:endnote>
  <w:endnote w:type="continuationSeparator" w:id="0">
    <w:p w14:paraId="68B8664E" w14:textId="77777777" w:rsidR="0012037D" w:rsidRPr="00FE2321" w:rsidRDefault="0012037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5FFAC" w14:textId="6CB32893" w:rsidR="00EF3F5C" w:rsidRPr="00EF3F5C" w:rsidRDefault="00EF3F5C" w:rsidP="00EF3F5C">
    <w:pPr>
      <w:pStyle w:val="Piedepgina"/>
      <w:tabs>
        <w:tab w:val="right" w:pos="9638"/>
      </w:tabs>
    </w:pPr>
    <w:r w:rsidRPr="00EF3F5C">
      <w:rPr>
        <w:b/>
        <w:sz w:val="18"/>
      </w:rPr>
      <w:fldChar w:fldCharType="begin"/>
    </w:r>
    <w:r w:rsidRPr="00EF3F5C">
      <w:rPr>
        <w:b/>
        <w:sz w:val="18"/>
      </w:rPr>
      <w:instrText xml:space="preserve"> PAGE  \* MERGEFORMAT </w:instrText>
    </w:r>
    <w:r w:rsidRPr="00EF3F5C">
      <w:rPr>
        <w:b/>
        <w:sz w:val="18"/>
      </w:rPr>
      <w:fldChar w:fldCharType="separate"/>
    </w:r>
    <w:r w:rsidRPr="00EF3F5C">
      <w:rPr>
        <w:b/>
        <w:noProof/>
        <w:sz w:val="18"/>
      </w:rPr>
      <w:t>2</w:t>
    </w:r>
    <w:r w:rsidRPr="00EF3F5C">
      <w:rPr>
        <w:b/>
        <w:sz w:val="18"/>
      </w:rPr>
      <w:fldChar w:fldCharType="end"/>
    </w:r>
    <w:r>
      <w:rPr>
        <w:b/>
        <w:sz w:val="18"/>
      </w:rPr>
      <w:tab/>
    </w:r>
    <w:r>
      <w:t>GE.24-17225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07D6" w14:textId="1315B256" w:rsidR="00EF3F5C" w:rsidRPr="00EF3F5C" w:rsidRDefault="00EF3F5C" w:rsidP="00EF3F5C">
    <w:pPr>
      <w:pStyle w:val="Piedepgina"/>
      <w:tabs>
        <w:tab w:val="right" w:pos="9638"/>
      </w:tabs>
      <w:rPr>
        <w:b/>
        <w:sz w:val="18"/>
      </w:rPr>
    </w:pPr>
    <w:r>
      <w:t>GE.24-17225</w:t>
    </w:r>
    <w:r>
      <w:tab/>
    </w:r>
    <w:r w:rsidRPr="00EF3F5C">
      <w:rPr>
        <w:b/>
        <w:sz w:val="18"/>
      </w:rPr>
      <w:fldChar w:fldCharType="begin"/>
    </w:r>
    <w:r w:rsidRPr="00EF3F5C">
      <w:rPr>
        <w:b/>
        <w:sz w:val="18"/>
      </w:rPr>
      <w:instrText xml:space="preserve"> PAGE  \* MERGEFORMAT </w:instrText>
    </w:r>
    <w:r w:rsidRPr="00EF3F5C">
      <w:rPr>
        <w:b/>
        <w:sz w:val="18"/>
      </w:rPr>
      <w:fldChar w:fldCharType="separate"/>
    </w:r>
    <w:r w:rsidRPr="00EF3F5C">
      <w:rPr>
        <w:b/>
        <w:noProof/>
        <w:sz w:val="18"/>
      </w:rPr>
      <w:t>3</w:t>
    </w:r>
    <w:r w:rsidRPr="00EF3F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CF28E" w14:textId="1BC78F0D" w:rsidR="00986C75" w:rsidRPr="00EF3F5C" w:rsidRDefault="00EF3F5C" w:rsidP="00EF3F5C">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0FF4DB1" wp14:editId="5230F2E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24-17225  (S)</w:t>
    </w:r>
    <w:r>
      <w:rPr>
        <w:noProof/>
        <w:sz w:val="20"/>
      </w:rPr>
      <w:drawing>
        <wp:anchor distT="0" distB="0" distL="114300" distR="114300" simplePos="0" relativeHeight="251658752" behindDoc="0" locked="0" layoutInCell="1" allowOverlap="1" wp14:anchorId="131D97AA" wp14:editId="1160EC77">
          <wp:simplePos x="0" y="0"/>
          <wp:positionH relativeFrom="margin">
            <wp:posOffset>5489575</wp:posOffset>
          </wp:positionH>
          <wp:positionV relativeFrom="margin">
            <wp:posOffset>8891905</wp:posOffset>
          </wp:positionV>
          <wp:extent cx="628650" cy="628650"/>
          <wp:effectExtent l="0" t="0" r="0" b="0"/>
          <wp:wrapNone/>
          <wp:docPr id="2146070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101024    111024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FCDA0" w14:textId="77777777" w:rsidR="0012037D" w:rsidRPr="001075E9" w:rsidRDefault="0012037D" w:rsidP="001075E9">
      <w:pPr>
        <w:tabs>
          <w:tab w:val="right" w:pos="2155"/>
        </w:tabs>
        <w:spacing w:after="80" w:line="240" w:lineRule="auto"/>
        <w:ind w:left="680"/>
        <w:rPr>
          <w:u w:val="single"/>
        </w:rPr>
      </w:pPr>
      <w:r>
        <w:rPr>
          <w:u w:val="single"/>
        </w:rPr>
        <w:tab/>
      </w:r>
    </w:p>
  </w:footnote>
  <w:footnote w:type="continuationSeparator" w:id="0">
    <w:p w14:paraId="143FC85E" w14:textId="77777777" w:rsidR="0012037D" w:rsidRDefault="0012037D" w:rsidP="00FE2321">
      <w:pPr>
        <w:tabs>
          <w:tab w:val="right" w:pos="2155"/>
        </w:tabs>
        <w:spacing w:after="80" w:line="240" w:lineRule="auto"/>
        <w:ind w:left="680"/>
        <w:rPr>
          <w:u w:val="single"/>
        </w:rPr>
      </w:pPr>
      <w:r>
        <w:rPr>
          <w:u w:val="single"/>
        </w:rPr>
        <w:tab/>
      </w:r>
    </w:p>
  </w:footnote>
  <w:footnote w:id="1">
    <w:p w14:paraId="5F063BBC" w14:textId="6BC6A546" w:rsidR="005A0E8D" w:rsidRPr="001820F9" w:rsidRDefault="005A0E8D" w:rsidP="00F36E95">
      <w:pPr>
        <w:pStyle w:val="Textonotapie"/>
      </w:pPr>
      <w:r w:rsidRPr="001820F9">
        <w:tab/>
      </w:r>
      <w:r w:rsidRPr="00F36E95">
        <w:rPr>
          <w:rStyle w:val="Refdenotaalpie"/>
        </w:rPr>
        <w:footnoteRef/>
      </w:r>
      <w:r w:rsidRPr="001820F9">
        <w:tab/>
        <w:t xml:space="preserve">Véase </w:t>
      </w:r>
      <w:hyperlink r:id="rId1" w:history="1">
        <w:r w:rsidR="00F36E95" w:rsidRPr="00290324">
          <w:rPr>
            <w:rStyle w:val="Hipervnculo"/>
          </w:rPr>
          <w:t>https://tbinternet.ohchr.org/_layouts/15/treatybodyexternal/SessionDetails1.aspx?SessionID=</w:t>
        </w:r>
        <w:r w:rsidR="00F36E95" w:rsidRPr="00290324">
          <w:rPr>
            <w:rStyle w:val="Hipervnculo"/>
          </w:rPr>
          <w:br/>
          <w:t>2806&amp;Lang=es</w:t>
        </w:r>
      </w:hyperlink>
      <w:r w:rsidRPr="001820F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C33F9" w14:textId="30E89716" w:rsidR="00EF3F5C" w:rsidRPr="00EF3F5C" w:rsidRDefault="00EF3F5C">
    <w:pPr>
      <w:pStyle w:val="Encabezado"/>
    </w:pPr>
    <w:fldSimple w:instr=" TITLE  \* MERGEFORMAT ">
      <w:r w:rsidR="00D45916">
        <w:t>CMW/C/39/1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D9F0" w14:textId="1B9948F4" w:rsidR="00EF3F5C" w:rsidRPr="00EF3F5C" w:rsidRDefault="00EF3F5C" w:rsidP="00EF3F5C">
    <w:pPr>
      <w:pStyle w:val="Encabezado"/>
      <w:jc w:val="right"/>
    </w:pPr>
    <w:fldSimple w:instr=" TITLE  \* MERGEFORMAT ">
      <w:r w:rsidR="00D45916">
        <w:t>CMW/C/39/1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8837850">
    <w:abstractNumId w:val="14"/>
  </w:num>
  <w:num w:numId="2" w16cid:durableId="50616361">
    <w:abstractNumId w:val="11"/>
  </w:num>
  <w:num w:numId="3" w16cid:durableId="1829394546">
    <w:abstractNumId w:val="16"/>
  </w:num>
  <w:num w:numId="4" w16cid:durableId="1737359886">
    <w:abstractNumId w:val="15"/>
  </w:num>
  <w:num w:numId="5" w16cid:durableId="448819841">
    <w:abstractNumId w:val="13"/>
  </w:num>
  <w:num w:numId="6" w16cid:durableId="1627541607">
    <w:abstractNumId w:val="8"/>
  </w:num>
  <w:num w:numId="7" w16cid:durableId="578563577">
    <w:abstractNumId w:val="3"/>
  </w:num>
  <w:num w:numId="8" w16cid:durableId="2082214736">
    <w:abstractNumId w:val="2"/>
  </w:num>
  <w:num w:numId="9" w16cid:durableId="1474641059">
    <w:abstractNumId w:val="1"/>
  </w:num>
  <w:num w:numId="10" w16cid:durableId="2093547539">
    <w:abstractNumId w:val="0"/>
  </w:num>
  <w:num w:numId="11" w16cid:durableId="90929960">
    <w:abstractNumId w:val="9"/>
  </w:num>
  <w:num w:numId="12" w16cid:durableId="930116856">
    <w:abstractNumId w:val="7"/>
  </w:num>
  <w:num w:numId="13" w16cid:durableId="1361929285">
    <w:abstractNumId w:val="6"/>
  </w:num>
  <w:num w:numId="14" w16cid:durableId="357438351">
    <w:abstractNumId w:val="5"/>
  </w:num>
  <w:num w:numId="15" w16cid:durableId="1882479329">
    <w:abstractNumId w:val="4"/>
  </w:num>
  <w:num w:numId="16" w16cid:durableId="756484499">
    <w:abstractNumId w:val="10"/>
  </w:num>
  <w:num w:numId="17" w16cid:durableId="1240674297">
    <w:abstractNumId w:val="14"/>
  </w:num>
  <w:num w:numId="18" w16cid:durableId="1895116193">
    <w:abstractNumId w:val="11"/>
  </w:num>
  <w:num w:numId="19" w16cid:durableId="808327571">
    <w:abstractNumId w:val="10"/>
  </w:num>
  <w:num w:numId="20" w16cid:durableId="938679486">
    <w:abstractNumId w:val="16"/>
  </w:num>
  <w:num w:numId="21" w16cid:durableId="352921981">
    <w:abstractNumId w:val="15"/>
  </w:num>
  <w:num w:numId="22" w16cid:durableId="1875194831">
    <w:abstractNumId w:val="12"/>
  </w:num>
  <w:num w:numId="23" w16cid:durableId="638339848">
    <w:abstractNumId w:val="12"/>
  </w:num>
  <w:num w:numId="24" w16cid:durableId="81265039">
    <w:abstractNumId w:val="13"/>
  </w:num>
  <w:num w:numId="25" w16cid:durableId="1544439697">
    <w:abstractNumId w:val="9"/>
  </w:num>
  <w:num w:numId="26" w16cid:durableId="1306859262">
    <w:abstractNumId w:val="7"/>
  </w:num>
  <w:num w:numId="27" w16cid:durableId="566065772">
    <w:abstractNumId w:val="6"/>
  </w:num>
  <w:num w:numId="28" w16cid:durableId="113251171">
    <w:abstractNumId w:val="5"/>
  </w:num>
  <w:num w:numId="29" w16cid:durableId="1468082856">
    <w:abstractNumId w:val="4"/>
  </w:num>
  <w:num w:numId="30" w16cid:durableId="477647026">
    <w:abstractNumId w:val="8"/>
  </w:num>
  <w:num w:numId="31" w16cid:durableId="276908576">
    <w:abstractNumId w:val="3"/>
  </w:num>
  <w:num w:numId="32" w16cid:durableId="1940485980">
    <w:abstractNumId w:val="2"/>
  </w:num>
  <w:num w:numId="33" w16cid:durableId="742727415">
    <w:abstractNumId w:val="1"/>
  </w:num>
  <w:num w:numId="34" w16cid:durableId="19250648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37D"/>
    <w:rsid w:val="00012FEE"/>
    <w:rsid w:val="00033EE1"/>
    <w:rsid w:val="000666CA"/>
    <w:rsid w:val="000B57E7"/>
    <w:rsid w:val="000C1909"/>
    <w:rsid w:val="000F000A"/>
    <w:rsid w:val="000F09DF"/>
    <w:rsid w:val="000F61B2"/>
    <w:rsid w:val="001039B7"/>
    <w:rsid w:val="001075E9"/>
    <w:rsid w:val="0012037D"/>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A0E8D"/>
    <w:rsid w:val="005C43E4"/>
    <w:rsid w:val="005C5FCE"/>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1518E"/>
    <w:rsid w:val="00951972"/>
    <w:rsid w:val="0095363F"/>
    <w:rsid w:val="00972A64"/>
    <w:rsid w:val="00986C75"/>
    <w:rsid w:val="009E5FDB"/>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45916"/>
    <w:rsid w:val="00D667CE"/>
    <w:rsid w:val="00D90138"/>
    <w:rsid w:val="00DB6076"/>
    <w:rsid w:val="00DD56E3"/>
    <w:rsid w:val="00DE58C4"/>
    <w:rsid w:val="00E20056"/>
    <w:rsid w:val="00E271D4"/>
    <w:rsid w:val="00E73F76"/>
    <w:rsid w:val="00EA23EC"/>
    <w:rsid w:val="00EE7DF4"/>
    <w:rsid w:val="00EF1360"/>
    <w:rsid w:val="00EF3220"/>
    <w:rsid w:val="00EF3F5C"/>
    <w:rsid w:val="00F36E95"/>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9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F36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MW/C/GMB/QPR/1" TargetMode="External"/><Relationship Id="rId13" Type="http://schemas.openxmlformats.org/officeDocument/2006/relationships/hyperlink" Target="https://undocs.org/es/CMW/C/BEN/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undocs.org/es/CMW/C/JAM/QPR/1-2"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es/A/79/292"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MW/C/BLZ/QPR/1-3" TargetMode="External"/><Relationship Id="rId5" Type="http://schemas.openxmlformats.org/officeDocument/2006/relationships/footnotes" Target="footnotes.xml"/><Relationship Id="rId15" Type="http://schemas.openxmlformats.org/officeDocument/2006/relationships/hyperlink" Target="https://undocs.org/es/CMW/C/PER/2" TargetMode="External"/><Relationship Id="rId23" Type="http://schemas.openxmlformats.org/officeDocument/2006/relationships/theme" Target="theme/theme1.xml"/><Relationship Id="rId10" Type="http://schemas.openxmlformats.org/officeDocument/2006/relationships/hyperlink" Target="https://undocs.org/es/CMW/C/NER/QPR/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ndocs.org/es/CMW/C/PER/2" TargetMode="External"/><Relationship Id="rId14" Type="http://schemas.openxmlformats.org/officeDocument/2006/relationships/hyperlink" Target="https://undocs.org/es/CMW/C/EGY/2-4"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2806&amp;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2132</Words>
  <Characters>10931</Characters>
  <Application>Microsoft Office Word</Application>
  <DocSecurity>0</DocSecurity>
  <Lines>287</Lines>
  <Paragraphs>139</Paragraphs>
  <ScaleCrop>false</ScaleCrop>
  <HeadingPairs>
    <vt:vector size="2" baseType="variant">
      <vt:variant>
        <vt:lpstr>Título</vt:lpstr>
      </vt:variant>
      <vt:variant>
        <vt:i4>1</vt:i4>
      </vt:variant>
    </vt:vector>
  </HeadingPairs>
  <TitlesOfParts>
    <vt:vector size="1" baseType="lpstr">
      <vt:lpstr>CMW/C/39/1</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CMW/C/39/1</dc:title>
  <dc:subject/>
  <dc:creator/>
  <cp:keywords/>
  <cp:lastModifiedBy/>
  <cp:revision>1</cp:revision>
  <dcterms:created xsi:type="dcterms:W3CDTF">2024-10-11T08:14:00Z</dcterms:created>
  <dcterms:modified xsi:type="dcterms:W3CDTF">2024-10-11T08:16:00Z</dcterms:modified>
</cp:coreProperties>
</file>