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2273"/>
        <w:gridCol w:w="3267"/>
        <w:gridCol w:w="2819"/>
      </w:tblGrid>
      <w:tr w:rsidR="002D5AAC" w:rsidTr="00CF7D36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18649F"/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18649F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EB3B5D" w:rsidP="00EB3B5D">
            <w:pPr>
              <w:jc w:val="right"/>
            </w:pPr>
            <w:r w:rsidRPr="00EB3B5D">
              <w:rPr>
                <w:sz w:val="40"/>
              </w:rPr>
              <w:t>CRC</w:t>
            </w:r>
            <w:r>
              <w:t>/C/COG/Q/2-4</w:t>
            </w:r>
          </w:p>
        </w:tc>
      </w:tr>
      <w:tr w:rsidR="002D5AAC" w:rsidTr="00CF7D36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BD33EE" w:rsidP="0018649F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FB2D3D" w:rsidRDefault="004D45DB" w:rsidP="00FB2D3D">
            <w:pPr>
              <w:spacing w:before="120" w:line="440" w:lineRule="exact"/>
              <w:rPr>
                <w:b/>
                <w:sz w:val="40"/>
                <w:szCs w:val="40"/>
              </w:rPr>
            </w:pPr>
            <w:r w:rsidRPr="00FB2D3D">
              <w:rPr>
                <w:b/>
                <w:sz w:val="40"/>
                <w:szCs w:val="40"/>
              </w:rPr>
              <w:t>Convención sobre los</w:t>
            </w:r>
            <w:r w:rsidR="00FB2D3D">
              <w:rPr>
                <w:b/>
                <w:sz w:val="40"/>
                <w:szCs w:val="40"/>
              </w:rPr>
              <w:br/>
            </w:r>
            <w:r w:rsidRPr="00FB2D3D">
              <w:rPr>
                <w:b/>
                <w:sz w:val="40"/>
                <w:szCs w:val="40"/>
              </w:rPr>
              <w:t>Derechos</w:t>
            </w:r>
            <w:r w:rsidR="00FB2D3D">
              <w:rPr>
                <w:b/>
                <w:sz w:val="40"/>
                <w:szCs w:val="40"/>
              </w:rPr>
              <w:t xml:space="preserve"> </w:t>
            </w:r>
            <w:r w:rsidRPr="00FB2D3D">
              <w:rPr>
                <w:b/>
                <w:sz w:val="40"/>
                <w:szCs w:val="40"/>
              </w:rPr>
              <w:t>del Niño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EB3B5D" w:rsidRDefault="00EB3B5D" w:rsidP="00DD299D">
            <w:pPr>
              <w:spacing w:before="240"/>
            </w:pPr>
            <w:r>
              <w:t>Distr. general</w:t>
            </w:r>
          </w:p>
          <w:p w:rsidR="00EB3B5D" w:rsidRDefault="00EB3B5D" w:rsidP="00EB3B5D">
            <w:pPr>
              <w:spacing w:line="240" w:lineRule="exact"/>
            </w:pPr>
            <w:r>
              <w:t>4 de julio de 2013</w:t>
            </w:r>
          </w:p>
          <w:p w:rsidR="00EB3B5D" w:rsidRDefault="00EB3B5D" w:rsidP="00EB3B5D">
            <w:pPr>
              <w:spacing w:line="240" w:lineRule="exact"/>
            </w:pPr>
            <w:r>
              <w:t>Español</w:t>
            </w:r>
          </w:p>
          <w:p w:rsidR="002D5AAC" w:rsidRDefault="00EB3B5D" w:rsidP="00EB3B5D">
            <w:pPr>
              <w:spacing w:line="240" w:lineRule="exact"/>
            </w:pPr>
            <w:r>
              <w:t>Original: francés</w:t>
            </w:r>
          </w:p>
        </w:tc>
      </w:tr>
    </w:tbl>
    <w:p w:rsidR="00CF7D36" w:rsidRPr="00CF3A45" w:rsidRDefault="00CF7D36" w:rsidP="00CF7D36">
      <w:pPr>
        <w:spacing w:before="120"/>
        <w:rPr>
          <w:b/>
          <w:sz w:val="24"/>
          <w:szCs w:val="24"/>
        </w:rPr>
      </w:pPr>
      <w:r w:rsidRPr="00CF3A45">
        <w:rPr>
          <w:b/>
          <w:sz w:val="24"/>
          <w:szCs w:val="24"/>
        </w:rPr>
        <w:t>Comité de los Derechos del Niño</w:t>
      </w:r>
    </w:p>
    <w:p w:rsidR="00CF7D36" w:rsidRPr="00E74B6C" w:rsidRDefault="00CF7D36" w:rsidP="00CF7D36">
      <w:pPr>
        <w:rPr>
          <w:b/>
        </w:rPr>
      </w:pPr>
      <w:r w:rsidRPr="00E74B6C">
        <w:rPr>
          <w:b/>
        </w:rPr>
        <w:t>65</w:t>
      </w:r>
      <w:r>
        <w:rPr>
          <w:b/>
        </w:rPr>
        <w:t>º</w:t>
      </w:r>
      <w:r w:rsidRPr="00E74B6C">
        <w:rPr>
          <w:b/>
        </w:rPr>
        <w:t xml:space="preserve"> período de sesiones</w:t>
      </w:r>
    </w:p>
    <w:p w:rsidR="00CF7D36" w:rsidRPr="00E74B6C" w:rsidRDefault="00CF7D36" w:rsidP="00CF7D36">
      <w:r w:rsidRPr="00E74B6C">
        <w:t>13 a 31 de enero de 2014</w:t>
      </w:r>
    </w:p>
    <w:p w:rsidR="00CF7D36" w:rsidRPr="00E74B6C" w:rsidRDefault="00CF7D36" w:rsidP="00CF7D36">
      <w:r w:rsidRPr="00E74B6C">
        <w:t>Tema 4 del programa provisional</w:t>
      </w:r>
    </w:p>
    <w:p w:rsidR="00CF7D36" w:rsidRPr="00E74B6C" w:rsidRDefault="00CF7D36" w:rsidP="00CF7D36">
      <w:pPr>
        <w:rPr>
          <w:b/>
        </w:rPr>
      </w:pPr>
      <w:r w:rsidRPr="00E74B6C">
        <w:rPr>
          <w:b/>
        </w:rPr>
        <w:t>Examen de los informes de los Estados partes</w:t>
      </w:r>
    </w:p>
    <w:p w:rsidR="00CF7D36" w:rsidRPr="00E74B6C" w:rsidRDefault="00CF7D36" w:rsidP="00CF7D36">
      <w:pPr>
        <w:pStyle w:val="HChG"/>
      </w:pPr>
      <w:r w:rsidRPr="00E74B6C">
        <w:tab/>
      </w:r>
      <w:r w:rsidRPr="00E74B6C">
        <w:tab/>
        <w:t xml:space="preserve">Lista de cuestiones que deben abordarse al examinar los informes periódicos </w:t>
      </w:r>
      <w:r>
        <w:t xml:space="preserve">segundo, tercero y cuarto </w:t>
      </w:r>
      <w:r w:rsidR="00944EC7">
        <w:t>del Congo </w:t>
      </w:r>
      <w:r w:rsidRPr="00E74B6C">
        <w:t>(CRC/C/COG/2-4)</w:t>
      </w:r>
    </w:p>
    <w:p w:rsidR="00CF7D36" w:rsidRPr="00E74B6C" w:rsidRDefault="00CF7D36" w:rsidP="00CF7D36">
      <w:pPr>
        <w:pStyle w:val="SingleTxtG"/>
        <w:rPr>
          <w:b/>
        </w:rPr>
      </w:pPr>
      <w:r w:rsidRPr="00E74B6C">
        <w:rPr>
          <w:b/>
        </w:rPr>
        <w:t>Se pide al Estado parte que presente por escrito información adicional y actualizada, de ser posible antes del 1 de noviembre de 2013.</w:t>
      </w:r>
    </w:p>
    <w:p w:rsidR="00CF7D36" w:rsidRPr="00E74B6C" w:rsidRDefault="00CF7D36" w:rsidP="00CF7D36">
      <w:pPr>
        <w:pStyle w:val="SingleTxtG"/>
        <w:rPr>
          <w:i/>
        </w:rPr>
      </w:pPr>
      <w:r w:rsidRPr="00E74B6C">
        <w:rPr>
          <w:i/>
        </w:rPr>
        <w:t>En el diálogo con el Estado parte, el Comité puede abordar todos los aspectos de los derechos del niño contemplados</w:t>
      </w:r>
      <w:r>
        <w:rPr>
          <w:i/>
        </w:rPr>
        <w:t xml:space="preserve"> </w:t>
      </w:r>
      <w:r w:rsidRPr="00E74B6C">
        <w:rPr>
          <w:i/>
        </w:rPr>
        <w:t>en la Convención.</w:t>
      </w:r>
    </w:p>
    <w:p w:rsidR="00CF7D36" w:rsidRPr="00E74B6C" w:rsidRDefault="00CF7D36" w:rsidP="00CF7D36">
      <w:pPr>
        <w:pStyle w:val="HChG"/>
      </w:pPr>
      <w:r w:rsidRPr="00E74B6C">
        <w:tab/>
      </w:r>
      <w:r w:rsidRPr="00E74B6C">
        <w:tab/>
        <w:t>Parte I</w:t>
      </w:r>
    </w:p>
    <w:p w:rsidR="00CF7D36" w:rsidRPr="004C3D7E" w:rsidRDefault="00CF7D36" w:rsidP="00CF7D36">
      <w:pPr>
        <w:pStyle w:val="SingleTxtG"/>
        <w:rPr>
          <w:b/>
        </w:rPr>
      </w:pPr>
      <w:r w:rsidRPr="004C3D7E">
        <w:rPr>
          <w:b/>
        </w:rPr>
        <w:t>En esta sección se pide al Estado parte que presente sus respuestas a las siguientes preguntas (en un máximo de 30 páginas).</w:t>
      </w:r>
    </w:p>
    <w:p w:rsidR="00CF7D36" w:rsidRPr="00E74B6C" w:rsidRDefault="00CF7D36" w:rsidP="00CF7D36">
      <w:pPr>
        <w:pStyle w:val="SingleTxtG"/>
      </w:pPr>
      <w:r w:rsidRPr="00E74B6C">
        <w:t>1.</w:t>
      </w:r>
      <w:r w:rsidRPr="00E74B6C">
        <w:tab/>
        <w:t>Sírvanse proporcionar información sobre los progresos realizados respecto de la elaboración de los decretos de aplicación de la Ley N</w:t>
      </w:r>
      <w:r>
        <w:t>º</w:t>
      </w:r>
      <w:r w:rsidRPr="00E74B6C">
        <w:t xml:space="preserve"> 4-2010 de 14 de junio de 2010 relativa a la protección del niño. Expliquen también si el Estado parte tiene previsto establecer los mecanismos necesarios para la plena aplicación de esta Ley y de sus decretos de aplicación. Describan asimismo las medidas adoptadas para acelerar la aprobación del decreto de aplicación de la Ley N</w:t>
      </w:r>
      <w:r>
        <w:t>º</w:t>
      </w:r>
      <w:r w:rsidRPr="00E74B6C">
        <w:t xml:space="preserve"> 5-2011 de 25 de febrero de 2011 relativa a la promoción y protección de los derechos de los pueblos indígenas.</w:t>
      </w:r>
    </w:p>
    <w:p w:rsidR="00CF7D36" w:rsidRPr="00E74B6C" w:rsidRDefault="00CF7D36" w:rsidP="00CF7D36">
      <w:pPr>
        <w:pStyle w:val="SingleTxtG"/>
      </w:pPr>
      <w:r w:rsidRPr="00E74B6C">
        <w:t>2.</w:t>
      </w:r>
      <w:r w:rsidRPr="00E74B6C">
        <w:tab/>
        <w:t>Indiquen las medidas que se han adoptado con miras a la elaboración de una estrategia nacional en favor de la infancia que abarque todas las esferas de la Convención.</w:t>
      </w:r>
    </w:p>
    <w:p w:rsidR="00CF7D36" w:rsidRPr="00E74B6C" w:rsidRDefault="00CF7D36" w:rsidP="00CF7D36">
      <w:pPr>
        <w:pStyle w:val="SingleTxtG"/>
      </w:pPr>
      <w:r w:rsidRPr="00E74B6C">
        <w:t>3.</w:t>
      </w:r>
      <w:r w:rsidRPr="00E74B6C">
        <w:tab/>
        <w:t xml:space="preserve">Expongan las medidas adoptadas recientemente para establecer un mecanismo de coordinación, dotado de un mandato apropiado, de la labor </w:t>
      </w:r>
      <w:r>
        <w:t>emprendida</w:t>
      </w:r>
      <w:r w:rsidRPr="00E74B6C">
        <w:t xml:space="preserve"> en todos los sectores para la aplicación de los derechos del niño, tanto a nivel nacional como en los departamentos y distritos.</w:t>
      </w:r>
    </w:p>
    <w:p w:rsidR="00CF7D36" w:rsidRPr="00E74B6C" w:rsidRDefault="00CF7D36" w:rsidP="00CF7D36">
      <w:pPr>
        <w:pStyle w:val="SingleTxtG"/>
      </w:pPr>
      <w:r w:rsidRPr="00E74B6C">
        <w:t>4.</w:t>
      </w:r>
      <w:r w:rsidRPr="00E74B6C">
        <w:tab/>
        <w:t>Sírvanse facilitar información acerca de la parte del presupuesto nacional destinada a hacer efectivos los derechos del niño y el desembolso ef</w:t>
      </w:r>
      <w:r>
        <w:t>ectuado a tal efecto en 2012 y </w:t>
      </w:r>
      <w:r w:rsidRPr="00E74B6C">
        <w:t>2013. Descríbanse también las medidas adoptadas para luchar contra la corrupción en el Estado parte.</w:t>
      </w:r>
    </w:p>
    <w:p w:rsidR="00CF7D36" w:rsidRPr="00E74B6C" w:rsidRDefault="00CF7D36" w:rsidP="00CF7D36">
      <w:pPr>
        <w:pStyle w:val="SingleTxtG"/>
      </w:pPr>
      <w:r w:rsidRPr="00E74B6C">
        <w:t>5.</w:t>
      </w:r>
      <w:r w:rsidRPr="00E74B6C">
        <w:tab/>
        <w:t>Expliquen las medidas que se han adoptado o se prevé adoptar para establecer un sistema centralizado de recopilación de datos sobre los niños a nivel nacional.</w:t>
      </w:r>
    </w:p>
    <w:p w:rsidR="00CF7D36" w:rsidRPr="00E74B6C" w:rsidRDefault="00CF7D36" w:rsidP="00CF7D36">
      <w:pPr>
        <w:pStyle w:val="SingleTxtG"/>
      </w:pPr>
      <w:r w:rsidRPr="00E74B6C">
        <w:t>6.</w:t>
      </w:r>
      <w:r w:rsidRPr="00E74B6C">
        <w:tab/>
        <w:t>Describan las medidas que se prevé adoptar para eliminar la discriminación contra los niños indígenas, los niños con discapacidad y los niños acusados de brujería.</w:t>
      </w:r>
    </w:p>
    <w:p w:rsidR="00CF7D36" w:rsidRPr="00E74B6C" w:rsidRDefault="00CF7D36" w:rsidP="00CF7D36">
      <w:pPr>
        <w:pStyle w:val="SingleTxtG"/>
      </w:pPr>
      <w:r w:rsidRPr="00E74B6C">
        <w:t>7.</w:t>
      </w:r>
      <w:r w:rsidRPr="00E74B6C">
        <w:tab/>
        <w:t>Expongan las medidas que se han adoptado para garantizar la aplicación efectiva del Plan de Acción Nacional para las personas con discapacidad (2009).</w:t>
      </w:r>
    </w:p>
    <w:p w:rsidR="00CF7D36" w:rsidRPr="00E74B6C" w:rsidRDefault="00CF7D36" w:rsidP="00CF7D36">
      <w:pPr>
        <w:pStyle w:val="SingleTxtG"/>
      </w:pPr>
      <w:r w:rsidRPr="00E74B6C">
        <w:t>8.</w:t>
      </w:r>
      <w:r w:rsidRPr="00E74B6C">
        <w:tab/>
        <w:t xml:space="preserve">Sírvanse proporcionar información sobre el contenido del Plan estratégico para el registro de nacimientos 2009-2013 e indicar las medidas que se han adoptado para garantizar la aplicación efectiva de este plan, en particular en lo que respecta a los niños indígenas y los niños refugiados y solicitantes de asilo. Expongan también si se han adoptado medidas </w:t>
      </w:r>
      <w:r>
        <w:t>para</w:t>
      </w:r>
      <w:r w:rsidRPr="00E74B6C">
        <w:t xml:space="preserve"> eliminar los gastos por los registros realizados con demora.</w:t>
      </w:r>
    </w:p>
    <w:p w:rsidR="00CF7D36" w:rsidRPr="00E74B6C" w:rsidRDefault="00CF7D36" w:rsidP="00CF7D36">
      <w:pPr>
        <w:pStyle w:val="SingleTxtG"/>
      </w:pPr>
      <w:r w:rsidRPr="00E74B6C">
        <w:t>9.</w:t>
      </w:r>
      <w:r w:rsidRPr="00E74B6C">
        <w:tab/>
        <w:t xml:space="preserve">Expliquen las medidas adoptadas para combatir la violencia contra los niños. Indiquen si el Estado parte ha investigado los casos de actos de tortura o de tratos crueles, inhumanos o degradantes, incluida la violación, de los que hubieran sido o todavía serían víctimas los niños detenidos por el ejército o la policía, y expongan las medidas que se han adoptado para proporcionar una indemnización a las víctimas. Indiquen también las medidas que se han adoptado o se prevé adoptar para </w:t>
      </w:r>
      <w:r>
        <w:t>penalizar</w:t>
      </w:r>
      <w:r w:rsidRPr="00E74B6C">
        <w:t xml:space="preserve"> la violación colectiva de la que son víctimas las niñas indígenas en particular, garantizar que se procese a los autores de estos actos y que los servicios sociales se hagan cargo de los niños. </w:t>
      </w:r>
      <w:r>
        <w:t>Expliquen</w:t>
      </w:r>
      <w:r w:rsidRPr="00E74B6C">
        <w:t>, además, las medidas que se han adoptado a fin de prestar una atención particular a los niños víctimas de incesto.</w:t>
      </w:r>
    </w:p>
    <w:p w:rsidR="00CF7D36" w:rsidRPr="00E74B6C" w:rsidRDefault="00CF7D36" w:rsidP="00CF7D36">
      <w:pPr>
        <w:pStyle w:val="SingleTxtG"/>
      </w:pPr>
      <w:r w:rsidRPr="00E74B6C">
        <w:t>10.</w:t>
      </w:r>
      <w:r w:rsidRPr="00E74B6C">
        <w:tab/>
        <w:t>Faciliten información detallada sobre las medidas adoptadas para prevenir y prohibir las prácticas nocivas contra los niños, como los matrimonios precoces y la mutilación genital femenina.</w:t>
      </w:r>
    </w:p>
    <w:p w:rsidR="00CF7D36" w:rsidRPr="00E74B6C" w:rsidRDefault="00CF7D36" w:rsidP="00CF7D36">
      <w:pPr>
        <w:pStyle w:val="SingleTxtG"/>
      </w:pPr>
      <w:r w:rsidRPr="00E74B6C">
        <w:t>11.</w:t>
      </w:r>
      <w:r w:rsidRPr="00E74B6C">
        <w:tab/>
        <w:t>Describan las medidas adoptadas recientemente para regular la adopción y reforzar el control de las adopciones internacionales. Indiquen en particular si el Estado parte prevé regular los servicios de colocación de menores.</w:t>
      </w:r>
    </w:p>
    <w:p w:rsidR="00CF7D36" w:rsidRPr="00E74B6C" w:rsidRDefault="00CF7D36" w:rsidP="00CF7D36">
      <w:pPr>
        <w:pStyle w:val="SingleTxtG"/>
      </w:pPr>
      <w:r w:rsidRPr="00E74B6C">
        <w:t>12.</w:t>
      </w:r>
      <w:r w:rsidRPr="00E74B6C">
        <w:tab/>
        <w:t>Expongan las medidas que se han adoptado o se prevé adoptar para aplicar</w:t>
      </w:r>
      <w:r>
        <w:t>:</w:t>
      </w:r>
      <w:r w:rsidRPr="00E74B6C">
        <w:t xml:space="preserve"> i) la Hoja de ruta nacional para reducir la mortalidad materna e infa</w:t>
      </w:r>
      <w:r>
        <w:t>ntil (2010) y la Estrategia de a</w:t>
      </w:r>
      <w:r w:rsidRPr="00E74B6C">
        <w:t xml:space="preserve">tención integrada de las enfermedades prevalentes </w:t>
      </w:r>
      <w:r>
        <w:t>en</w:t>
      </w:r>
      <w:r w:rsidRPr="00E74B6C">
        <w:t xml:space="preserve"> la infancia; ii) la Estrategia sobre la nutrición (2009)</w:t>
      </w:r>
      <w:r>
        <w:t>;</w:t>
      </w:r>
      <w:r w:rsidRPr="00E74B6C">
        <w:t xml:space="preserve"> y iii) el Marco estratégico nacional de lucha contra el VIH/SIDA y las infecciones de transmisión sexual para 2009-2013. Proporcionen información sobre la</w:t>
      </w:r>
      <w:r>
        <w:t xml:space="preserve"> </w:t>
      </w:r>
      <w:r w:rsidRPr="00E74B6C">
        <w:t>organización de la distribución de medicamentos y vacunas a nivel local. Indiquen también las medidas adoptadas para prevenir el VIH/SIDA entre los jóvenes, y para hacerse cargo de los adolescentes y jóvenes afectados por el VIH/SIDA. Describan asimismo las medidas que se han adoptado para reactivar el Comité Técnico Interministerial de Lucha contra las Drogas.</w:t>
      </w:r>
    </w:p>
    <w:p w:rsidR="00CF7D36" w:rsidRPr="00E74B6C" w:rsidRDefault="00CF7D36" w:rsidP="00CF7D36">
      <w:pPr>
        <w:pStyle w:val="SingleTxtG"/>
      </w:pPr>
      <w:r w:rsidRPr="00E74B6C">
        <w:t>13.</w:t>
      </w:r>
      <w:r w:rsidRPr="00E74B6C">
        <w:tab/>
        <w:t>Expongan las medidas que se han adoptado: i) para supervisar la aplicación efectiva de la Orden ministerial N</w:t>
      </w:r>
      <w:r>
        <w:t>º</w:t>
      </w:r>
      <w:r w:rsidRPr="00E74B6C">
        <w:t xml:space="preserve"> 278/MEFB/METP/MEPSA de 20 de marzo de 2008 mediante la que se consagró la gratuidad de la enseñanza y del Marco estratégico para la escolarización de los niños con discapacidad (elaborado en 2007)</w:t>
      </w:r>
      <w:r>
        <w:t>;</w:t>
      </w:r>
      <w:r w:rsidRPr="00E74B6C">
        <w:t xml:space="preserve"> y ii) para finalizar y aplicar la Estrategia sectorial de la educación. Describan asimismo las medidas previstas para disminuir la tasa de repetición y abandono escolar.</w:t>
      </w:r>
    </w:p>
    <w:p w:rsidR="00CF7D36" w:rsidRPr="00E74B6C" w:rsidRDefault="00CF7D36" w:rsidP="00CF7D36">
      <w:pPr>
        <w:pStyle w:val="SingleTxtG"/>
      </w:pPr>
      <w:r w:rsidRPr="00E74B6C">
        <w:t>14.</w:t>
      </w:r>
      <w:r w:rsidRPr="00E74B6C">
        <w:tab/>
        <w:t>Indiquen las medidas que se han adoptado para apli</w:t>
      </w:r>
      <w:r>
        <w:t>car las disposiciones de la Ley </w:t>
      </w:r>
      <w:r w:rsidRPr="00E74B6C">
        <w:t>N</w:t>
      </w:r>
      <w:r>
        <w:t>º</w:t>
      </w:r>
      <w:r w:rsidRPr="00E74B6C">
        <w:t xml:space="preserve"> 4-2010 de 14 de junio de 2010 relativa a la protección del niño y que prohíbe el empleo precoz y las peores formas de trabajo</w:t>
      </w:r>
      <w:r>
        <w:t xml:space="preserve"> infantil</w:t>
      </w:r>
      <w:r w:rsidRPr="00E74B6C">
        <w:t>. Faciliten información sobre las penas previstas a este respecto y las condenas efectivamente impuestas. Describan asimismo las medidas adoptadas para prevenir y combatir todas las formas de explotación económica de niños y proteger a los niños en situación de mayor riesgo, en particular los niños indígenas y los niños migrantes.</w:t>
      </w:r>
    </w:p>
    <w:p w:rsidR="00CF7D36" w:rsidRPr="00E74B6C" w:rsidRDefault="00CF7D36" w:rsidP="00CF7D36">
      <w:pPr>
        <w:pStyle w:val="SingleTxtG"/>
      </w:pPr>
      <w:r>
        <w:t>15.</w:t>
      </w:r>
      <w:r w:rsidRPr="00E74B6C">
        <w:tab/>
        <w:t>Proporcionen información sobre las medidas previstas para la aprobación de una ley contra la venta y/o la trata de seres humanos y niños, e indiquen los proyectos y programas de alcance nacional previstos tras la realización del proyecto piloto de reintegración de los niños víctimas de trata en Pointe-Noire (2007-2008).</w:t>
      </w:r>
    </w:p>
    <w:p w:rsidR="00CF7D36" w:rsidRPr="00E74B6C" w:rsidRDefault="00CF7D36" w:rsidP="00CF7D36">
      <w:pPr>
        <w:pStyle w:val="SingleTxtG"/>
      </w:pPr>
      <w:r>
        <w:t>16.</w:t>
      </w:r>
      <w:r w:rsidRPr="00E74B6C">
        <w:tab/>
        <w:t xml:space="preserve">Faciliten información sobre </w:t>
      </w:r>
      <w:r>
        <w:t>los</w:t>
      </w:r>
      <w:r w:rsidRPr="00E74B6C">
        <w:t xml:space="preserve"> progreso</w:t>
      </w:r>
      <w:r>
        <w:t>s</w:t>
      </w:r>
      <w:r w:rsidRPr="00E74B6C">
        <w:t xml:space="preserve"> realizado</w:t>
      </w:r>
      <w:r>
        <w:t>s</w:t>
      </w:r>
      <w:r w:rsidRPr="00E74B6C">
        <w:t xml:space="preserve"> en la aprobación del proyecto de ley sobre la modernización de la justicia. Expliquen </w:t>
      </w:r>
      <w:r>
        <w:t>los</w:t>
      </w:r>
      <w:r w:rsidRPr="00E74B6C">
        <w:t xml:space="preserve"> progreso</w:t>
      </w:r>
      <w:r>
        <w:t>s</w:t>
      </w:r>
      <w:r w:rsidRPr="00E74B6C">
        <w:t xml:space="preserve"> realizado</w:t>
      </w:r>
      <w:r>
        <w:t>s</w:t>
      </w:r>
      <w:r w:rsidRPr="00E74B6C">
        <w:t xml:space="preserve"> en lo que respecta a las obras de rehabilitación del Centro de Observación de Niños de Brazzaville y la redacción del proyecto de decreto sobre las responsabilidades y la organización de dicho Centro. Proporcionen también información específica sobre las medidas que se han adoptado para mejorar las condiciones en las cárceles y los centros de detención donde se retiene a niños y para garantizar que los niños que tengan problemas con la ley solo </w:t>
      </w:r>
      <w:r>
        <w:t>serán detenidos</w:t>
      </w:r>
      <w:r w:rsidRPr="00E74B6C">
        <w:t xml:space="preserve"> como último recurso y </w:t>
      </w:r>
      <w:r>
        <w:t>estarán</w:t>
      </w:r>
      <w:r w:rsidRPr="00E74B6C">
        <w:t xml:space="preserve"> separados de los adultos detenidos.</w:t>
      </w:r>
    </w:p>
    <w:p w:rsidR="00CF7D36" w:rsidRPr="00E74B6C" w:rsidRDefault="00CF7D36" w:rsidP="00CF7D36">
      <w:pPr>
        <w:pStyle w:val="HChG"/>
      </w:pPr>
      <w:r w:rsidRPr="00E74B6C">
        <w:tab/>
      </w:r>
      <w:r w:rsidRPr="00E74B6C">
        <w:tab/>
        <w:t>Parte II</w:t>
      </w:r>
    </w:p>
    <w:p w:rsidR="00CF7D36" w:rsidRPr="008B65D1" w:rsidRDefault="00CF7D36" w:rsidP="00CF7D36">
      <w:pPr>
        <w:pStyle w:val="SingleTxtG"/>
        <w:rPr>
          <w:b/>
        </w:rPr>
      </w:pPr>
      <w:r w:rsidRPr="008B65D1">
        <w:rPr>
          <w:b/>
        </w:rPr>
        <w:t>En esta sección se invita al Estado parte a actualizar brevemente (en tres páginas como máximo) la información proporcionada en su informe en relación con:</w:t>
      </w:r>
    </w:p>
    <w:p w:rsidR="00CF7D36" w:rsidRPr="00E74B6C" w:rsidRDefault="00CF7D36" w:rsidP="00CF7D36">
      <w:pPr>
        <w:pStyle w:val="SingleTxtG"/>
      </w:pPr>
      <w:r w:rsidRPr="00E74B6C">
        <w:tab/>
        <w:t>a)</w:t>
      </w:r>
      <w:r w:rsidRPr="00E74B6C">
        <w:tab/>
        <w:t>Los nuevos proyectos de ley o las nuevas leyes, y sus respectivos reglamentos de aplicación;</w:t>
      </w:r>
    </w:p>
    <w:p w:rsidR="00CF7D36" w:rsidRPr="00E74B6C" w:rsidRDefault="00CF7D36" w:rsidP="00CF7D36">
      <w:pPr>
        <w:pStyle w:val="SingleTxtG"/>
      </w:pPr>
      <w:r w:rsidRPr="00E74B6C">
        <w:tab/>
        <w:t>b)</w:t>
      </w:r>
      <w:r w:rsidRPr="00E74B6C">
        <w:tab/>
        <w:t xml:space="preserve">Las nuevas instituciones (y sus mandatos) o las reformas de instituciones; </w:t>
      </w:r>
    </w:p>
    <w:p w:rsidR="00CF7D36" w:rsidRPr="00E74B6C" w:rsidRDefault="00CF7D36" w:rsidP="00CF7D36">
      <w:pPr>
        <w:pStyle w:val="SingleTxtG"/>
      </w:pPr>
      <w:r w:rsidRPr="00E74B6C">
        <w:tab/>
        <w:t>c)</w:t>
      </w:r>
      <w:r w:rsidRPr="00E74B6C">
        <w:tab/>
        <w:t>Las políticas, los programas y los planes de acción adoptados recientemente, así como su alcance y financiación</w:t>
      </w:r>
      <w:r w:rsidR="00944EC7">
        <w:t>;</w:t>
      </w:r>
      <w:r w:rsidRPr="00E74B6C">
        <w:t xml:space="preserve"> y</w:t>
      </w:r>
    </w:p>
    <w:p w:rsidR="00CF7D36" w:rsidRPr="00E74B6C" w:rsidRDefault="00CF7D36" w:rsidP="00CF7D36">
      <w:pPr>
        <w:pStyle w:val="SingleTxtG"/>
      </w:pPr>
      <w:r w:rsidRPr="00E74B6C">
        <w:tab/>
        <w:t>d)</w:t>
      </w:r>
      <w:r w:rsidRPr="00E74B6C">
        <w:tab/>
        <w:t>Las ratificaciones recientes de instrumentos de derechos humanos.</w:t>
      </w:r>
    </w:p>
    <w:p w:rsidR="00CF7D36" w:rsidRPr="00E74B6C" w:rsidRDefault="00CF7D36" w:rsidP="00CF7D36">
      <w:pPr>
        <w:pStyle w:val="HChG"/>
      </w:pPr>
      <w:r w:rsidRPr="00E74B6C">
        <w:tab/>
      </w:r>
      <w:r w:rsidRPr="00E74B6C">
        <w:tab/>
        <w:t>Parte III</w:t>
      </w:r>
    </w:p>
    <w:p w:rsidR="00CF7D36" w:rsidRPr="008B65D1" w:rsidRDefault="00CF7D36" w:rsidP="00CF7D36">
      <w:pPr>
        <w:pStyle w:val="SingleTxtG"/>
        <w:rPr>
          <w:b/>
        </w:rPr>
      </w:pPr>
      <w:r w:rsidRPr="008B65D1">
        <w:rPr>
          <w:b/>
        </w:rPr>
        <w:t xml:space="preserve">Datos, estadísticas y demás información </w:t>
      </w:r>
      <w:r>
        <w:rPr>
          <w:b/>
        </w:rPr>
        <w:t>disponible</w:t>
      </w:r>
    </w:p>
    <w:p w:rsidR="00CF7D36" w:rsidRPr="00E74B6C" w:rsidRDefault="00CF7D36" w:rsidP="00CF7D36">
      <w:pPr>
        <w:pStyle w:val="SingleTxtG"/>
      </w:pPr>
      <w:r w:rsidRPr="00E74B6C">
        <w:t>1.</w:t>
      </w:r>
      <w:r w:rsidRPr="00E74B6C">
        <w:tab/>
        <w:t>Sírvanse facilitar los datos estadísticos disponibles (desglosados por edad, sexo, ubicación geográfica, origen étnico y entorno socioeconómico) de los tres últimos a</w:t>
      </w:r>
      <w:r>
        <w:t>ños (2010, 2011 y 2012) sobre:</w:t>
      </w:r>
    </w:p>
    <w:p w:rsidR="00CF7D36" w:rsidRPr="00E74B6C" w:rsidRDefault="00CF7D36" w:rsidP="00CF7D36">
      <w:pPr>
        <w:pStyle w:val="SingleTxtG"/>
      </w:pPr>
      <w:r w:rsidRPr="00E74B6C">
        <w:tab/>
        <w:t>a)</w:t>
      </w:r>
      <w:r w:rsidRPr="00E74B6C">
        <w:tab/>
        <w:t>El número de niños que trabajan;</w:t>
      </w:r>
    </w:p>
    <w:p w:rsidR="00CF7D36" w:rsidRPr="00E74B6C" w:rsidRDefault="00CF7D36" w:rsidP="00CF7D36">
      <w:pPr>
        <w:pStyle w:val="SingleTxtG"/>
      </w:pPr>
      <w:r w:rsidRPr="00E74B6C">
        <w:tab/>
        <w:t>b)</w:t>
      </w:r>
      <w:r w:rsidRPr="00E74B6C">
        <w:tab/>
        <w:t>El número de niños que trabajan en el servicio doméstico;</w:t>
      </w:r>
    </w:p>
    <w:p w:rsidR="00CF7D36" w:rsidRPr="00E74B6C" w:rsidRDefault="00CF7D36" w:rsidP="00CF7D36">
      <w:pPr>
        <w:pStyle w:val="SingleTxtG"/>
      </w:pPr>
      <w:r w:rsidRPr="00E74B6C">
        <w:tab/>
        <w:t>c)</w:t>
      </w:r>
      <w:r w:rsidRPr="00E74B6C">
        <w:tab/>
        <w:t>El número de niños q</w:t>
      </w:r>
      <w:r>
        <w:t>ue realizan trabajos peligrosos;</w:t>
      </w:r>
      <w:r w:rsidRPr="00E74B6C">
        <w:t xml:space="preserve"> y</w:t>
      </w:r>
    </w:p>
    <w:p w:rsidR="00CF7D36" w:rsidRPr="00E74B6C" w:rsidRDefault="00CF7D36" w:rsidP="00CF7D36">
      <w:pPr>
        <w:pStyle w:val="SingleTxtG"/>
      </w:pPr>
      <w:r w:rsidRPr="00E74B6C">
        <w:tab/>
        <w:t>d)</w:t>
      </w:r>
      <w:r w:rsidRPr="00E74B6C">
        <w:tab/>
        <w:t xml:space="preserve">El número de muertes, lesiones y enfermedades </w:t>
      </w:r>
      <w:r>
        <w:t>laborales graves de niños que trabajan</w:t>
      </w:r>
      <w:r w:rsidRPr="00E74B6C">
        <w:t>.</w:t>
      </w:r>
    </w:p>
    <w:p w:rsidR="00CF7D36" w:rsidRPr="00E74B6C" w:rsidRDefault="00CF7D36" w:rsidP="00CF7D36">
      <w:pPr>
        <w:pStyle w:val="SingleTxtG"/>
      </w:pPr>
      <w:r w:rsidRPr="00E74B6C">
        <w:t>2.</w:t>
      </w:r>
      <w:r w:rsidRPr="00E74B6C">
        <w:tab/>
        <w:t xml:space="preserve">Proporcionen, </w:t>
      </w:r>
      <w:r>
        <w:t>con</w:t>
      </w:r>
      <w:r w:rsidRPr="00E74B6C">
        <w:t xml:space="preserve"> referencia a los tres últimos años, datos desglosados por edad, sexo, entorno socioeconómico, origen étnico</w:t>
      </w:r>
      <w:r>
        <w:t xml:space="preserve"> y ubicación geográfica, sobre:</w:t>
      </w:r>
    </w:p>
    <w:p w:rsidR="00CF7D36" w:rsidRPr="00E74B6C" w:rsidRDefault="00CF7D36" w:rsidP="00CF7D36">
      <w:pPr>
        <w:pStyle w:val="SingleTxtG"/>
      </w:pPr>
      <w:r w:rsidRPr="00E74B6C">
        <w:tab/>
        <w:t>a)</w:t>
      </w:r>
      <w:r w:rsidRPr="00E74B6C">
        <w:tab/>
        <w:t>El número de denuncias de abusos y actos de violencia contra niños, incluidas todas las formas de castigo corporal. Sírvanse facilitar información adicional sobre el tipo de asistencia ofrecida a los niños víctimas de estos actos y sobre el seguimiento realizado, por ejemplo sobre el enjuiciamiento de los responsables y la imposición de penas en el Estado parte.</w:t>
      </w:r>
    </w:p>
    <w:p w:rsidR="00CF7D36" w:rsidRPr="00E74B6C" w:rsidRDefault="00CF7D36" w:rsidP="00CF7D36">
      <w:pPr>
        <w:pStyle w:val="SingleTxtG"/>
      </w:pPr>
      <w:r>
        <w:tab/>
      </w:r>
      <w:r w:rsidRPr="00E74B6C">
        <w:t>b)</w:t>
      </w:r>
      <w:r w:rsidRPr="00E74B6C">
        <w:tab/>
        <w:t>El número de investigaciones de casos de violaciones y abusos sexuales, los resultados de los juicios pertinentes y las penas impuestas a los autores, así como las medidas de reparación y las indemnizaciones ofrecidas a las víctimas.</w:t>
      </w:r>
    </w:p>
    <w:p w:rsidR="00CF7D36" w:rsidRPr="00E74B6C" w:rsidRDefault="00CF7D36" w:rsidP="00CF7D36">
      <w:pPr>
        <w:pStyle w:val="SingleTxtG"/>
      </w:pPr>
      <w:r w:rsidRPr="00E74B6C">
        <w:t>3</w:t>
      </w:r>
      <w:r>
        <w:t>.</w:t>
      </w:r>
      <w:r w:rsidRPr="00E74B6C">
        <w:tab/>
        <w:t>Sírvanse especificar, en relación con los tres últimos años y desglosando los datos por edad, sexo, tipo de discapacidad, origen étnico y ubicación geográfica, el número de niños con discapacidad:</w:t>
      </w:r>
    </w:p>
    <w:p w:rsidR="00CF7D36" w:rsidRPr="00E74B6C" w:rsidRDefault="00CF7D36" w:rsidP="00CF7D36">
      <w:pPr>
        <w:pStyle w:val="SingleTxtG"/>
      </w:pPr>
      <w:r w:rsidRPr="00E74B6C">
        <w:tab/>
        <w:t>a)</w:t>
      </w:r>
      <w:r w:rsidRPr="00E74B6C">
        <w:tab/>
        <w:t>Que viven con sus familias;</w:t>
      </w:r>
    </w:p>
    <w:p w:rsidR="00CF7D36" w:rsidRPr="00E74B6C" w:rsidRDefault="00CF7D36" w:rsidP="00CF7D36">
      <w:pPr>
        <w:pStyle w:val="SingleTxtG"/>
      </w:pPr>
      <w:r w:rsidRPr="00E74B6C">
        <w:tab/>
        <w:t>b)</w:t>
      </w:r>
      <w:r w:rsidRPr="00E74B6C">
        <w:tab/>
        <w:t>Internados en instituciones;</w:t>
      </w:r>
    </w:p>
    <w:p w:rsidR="00CF7D36" w:rsidRPr="00E74B6C" w:rsidRDefault="00CF7D36" w:rsidP="00CF7D36">
      <w:pPr>
        <w:pStyle w:val="SingleTxtG"/>
      </w:pPr>
      <w:r w:rsidRPr="00E74B6C">
        <w:tab/>
        <w:t>c)</w:t>
      </w:r>
      <w:r w:rsidRPr="00E74B6C">
        <w:tab/>
        <w:t>Que asisten a escuelas ordinarias de enseñanza primaria;</w:t>
      </w:r>
    </w:p>
    <w:p w:rsidR="00CF7D36" w:rsidRPr="00E74B6C" w:rsidRDefault="00CF7D36" w:rsidP="00CF7D36">
      <w:pPr>
        <w:pStyle w:val="SingleTxtG"/>
      </w:pPr>
      <w:r w:rsidRPr="00E74B6C">
        <w:tab/>
        <w:t>d)</w:t>
      </w:r>
      <w:r w:rsidRPr="00E74B6C">
        <w:tab/>
        <w:t>Que asisten a escuelas ordinarias de enseñanza secundaria;</w:t>
      </w:r>
    </w:p>
    <w:p w:rsidR="00CF7D36" w:rsidRPr="00E74B6C" w:rsidRDefault="00CF7D36" w:rsidP="00CF7D36">
      <w:pPr>
        <w:pStyle w:val="SingleTxtG"/>
      </w:pPr>
      <w:r w:rsidRPr="00E74B6C">
        <w:tab/>
        <w:t>e)</w:t>
      </w:r>
      <w:r w:rsidRPr="00E74B6C">
        <w:tab/>
        <w:t>Que asisten a escuelas especiales;</w:t>
      </w:r>
    </w:p>
    <w:p w:rsidR="00CF7D36" w:rsidRPr="00E74B6C" w:rsidRDefault="00CF7D36" w:rsidP="00CF7D36">
      <w:pPr>
        <w:pStyle w:val="SingleTxtG"/>
      </w:pPr>
      <w:r w:rsidRPr="00E74B6C">
        <w:tab/>
        <w:t>f)</w:t>
      </w:r>
      <w:r w:rsidRPr="00E74B6C">
        <w:tab/>
        <w:t>Que no van a la escuela;</w:t>
      </w:r>
    </w:p>
    <w:p w:rsidR="00CF7D36" w:rsidRPr="00E74B6C" w:rsidRDefault="00CF7D36" w:rsidP="00CF7D36">
      <w:pPr>
        <w:pStyle w:val="SingleTxtG"/>
      </w:pPr>
      <w:r w:rsidRPr="00E74B6C">
        <w:tab/>
        <w:t>g)</w:t>
      </w:r>
      <w:r w:rsidRPr="00E74B6C">
        <w:tab/>
        <w:t>Que han sido abandonados.</w:t>
      </w:r>
    </w:p>
    <w:p w:rsidR="00CF7D36" w:rsidRPr="00E74B6C" w:rsidRDefault="00CF7D36" w:rsidP="00CF7D36">
      <w:pPr>
        <w:pStyle w:val="SingleTxtG"/>
      </w:pPr>
      <w:r>
        <w:t>4.</w:t>
      </w:r>
      <w:r w:rsidRPr="00E74B6C">
        <w:tab/>
        <w:t>Proporcionen, en relación con los tres últimos años, los datos estadísticos disponibles (desglosados por edad, sexo, ubicación geográfica, origen étnico, entorno socioeconómico y tipo de delito), sobre el número de:</w:t>
      </w:r>
    </w:p>
    <w:p w:rsidR="00CF7D36" w:rsidRPr="00E74B6C" w:rsidRDefault="00CF7D36" w:rsidP="00CF7D36">
      <w:pPr>
        <w:pStyle w:val="SingleTxtG"/>
      </w:pPr>
      <w:r w:rsidRPr="00E74B6C">
        <w:tab/>
        <w:t>a)</w:t>
      </w:r>
      <w:r w:rsidRPr="00E74B6C">
        <w:tab/>
        <w:t>Niños denunciados a la policía por haber cometido presuntos delitos;</w:t>
      </w:r>
    </w:p>
    <w:p w:rsidR="00CF7D36" w:rsidRPr="00E74B6C" w:rsidRDefault="00CF7D36" w:rsidP="00CF7D36">
      <w:pPr>
        <w:pStyle w:val="SingleTxtG"/>
      </w:pPr>
      <w:r w:rsidRPr="00E74B6C">
        <w:tab/>
        <w:t>b)</w:t>
      </w:r>
      <w:r w:rsidRPr="00E74B6C">
        <w:tab/>
        <w:t>Niños condenados, indicando el tipo de pena o sanción correspondiente al delito, así como la duración de la privación de libertad;</w:t>
      </w:r>
    </w:p>
    <w:p w:rsidR="00CF7D36" w:rsidRPr="00E74B6C" w:rsidRDefault="00CF7D36" w:rsidP="00CF7D36">
      <w:pPr>
        <w:pStyle w:val="SingleTxtG"/>
      </w:pPr>
      <w:r w:rsidRPr="00E74B6C">
        <w:tab/>
        <w:t>c)</w:t>
      </w:r>
      <w:r w:rsidRPr="00E74B6C">
        <w:tab/>
        <w:t>Centros de detención para menores delincuentes, indicando su capacidad</w:t>
      </w:r>
      <w:r>
        <w:t xml:space="preserve"> de acogida</w:t>
      </w:r>
      <w:r w:rsidRPr="00E74B6C">
        <w:t>;</w:t>
      </w:r>
    </w:p>
    <w:p w:rsidR="00CF7D36" w:rsidRPr="00E74B6C" w:rsidRDefault="00CF7D36" w:rsidP="00CF7D36">
      <w:pPr>
        <w:pStyle w:val="SingleTxtG"/>
      </w:pPr>
      <w:r w:rsidRPr="00E74B6C">
        <w:tab/>
        <w:t>d)</w:t>
      </w:r>
      <w:r w:rsidRPr="00E74B6C">
        <w:tab/>
        <w:t>Niños detenidos en esos centros y niños detenidos en centros para adultos;</w:t>
      </w:r>
    </w:p>
    <w:p w:rsidR="00CF7D36" w:rsidRPr="00E74B6C" w:rsidRDefault="00CF7D36" w:rsidP="00CF7D36">
      <w:pPr>
        <w:pStyle w:val="SingleTxtG"/>
      </w:pPr>
      <w:r w:rsidRPr="00E74B6C">
        <w:tab/>
        <w:t>e)</w:t>
      </w:r>
      <w:r w:rsidRPr="00E74B6C">
        <w:tab/>
        <w:t>Niños en prisión preventiva, indicando la duración media de su detención</w:t>
      </w:r>
      <w:r>
        <w:t>;</w:t>
      </w:r>
      <w:r w:rsidRPr="00E74B6C">
        <w:t xml:space="preserve"> y</w:t>
      </w:r>
    </w:p>
    <w:p w:rsidR="00CF7D36" w:rsidRPr="00E74B6C" w:rsidRDefault="00CF7D36" w:rsidP="00CF7D36">
      <w:pPr>
        <w:pStyle w:val="SingleTxtG"/>
      </w:pPr>
      <w:r w:rsidRPr="00E74B6C">
        <w:tab/>
        <w:t>f)</w:t>
      </w:r>
      <w:r w:rsidRPr="00E74B6C">
        <w:tab/>
        <w:t>Casos denunciados de abusos y malos tratos infligidos a niños al proceder a su detención y durante su privación de libertad.</w:t>
      </w:r>
    </w:p>
    <w:p w:rsidR="00CF7D36" w:rsidRPr="00E74B6C" w:rsidRDefault="00CF7D36" w:rsidP="00CF7D36">
      <w:pPr>
        <w:pStyle w:val="SingleTxtG"/>
      </w:pPr>
      <w:r>
        <w:t>5.</w:t>
      </w:r>
      <w:r w:rsidRPr="00E74B6C">
        <w:tab/>
        <w:t>Sírvanse actualizar los datos del informe que pudieran haberse quedado anticuados y facilitar información sobre acontecimientos recientes relacionados con los derechos del niño.</w:t>
      </w:r>
    </w:p>
    <w:p w:rsidR="00CF7D36" w:rsidRDefault="00CF7D36" w:rsidP="00CF7D36">
      <w:pPr>
        <w:pStyle w:val="SingleTxtG"/>
      </w:pPr>
      <w:r w:rsidRPr="00E74B6C">
        <w:t>6.</w:t>
      </w:r>
      <w:r w:rsidRPr="00E74B6C">
        <w:tab/>
        <w:t>Además, el Estado parte puede citar las cuestiones relacionadas con los niños que considere prioritarias para la aplicación de la Convención.</w:t>
      </w:r>
    </w:p>
    <w:p w:rsidR="00CF7D36" w:rsidRPr="008B65D1" w:rsidRDefault="00CF7D36" w:rsidP="00CF7D36">
      <w:pPr>
        <w:pStyle w:val="SingleTxtG"/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381C24" w:rsidRPr="001075E9" w:rsidRDefault="00381C24" w:rsidP="00EB3B5D">
      <w:pPr>
        <w:pStyle w:val="SingleTxtG"/>
      </w:pPr>
    </w:p>
    <w:sectPr w:rsidR="00381C24" w:rsidRPr="001075E9" w:rsidSect="00EB3B5D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0C78" w:rsidRDefault="00F10C78">
      <w:r>
        <w:separator/>
      </w:r>
    </w:p>
  </w:endnote>
  <w:endnote w:type="continuationSeparator" w:id="0">
    <w:p w:rsidR="00F10C78" w:rsidRDefault="00F10C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5CC5" w:rsidRPr="00EB3B5D" w:rsidRDefault="002A5CC5" w:rsidP="00EB3B5D">
    <w:pPr>
      <w:pStyle w:val="Footer"/>
      <w:tabs>
        <w:tab w:val="right" w:pos="9638"/>
      </w:tabs>
    </w:pPr>
    <w:r w:rsidRPr="00EB3B5D">
      <w:rPr>
        <w:b/>
        <w:sz w:val="18"/>
      </w:rPr>
      <w:fldChar w:fldCharType="begin"/>
    </w:r>
    <w:r w:rsidRPr="00EB3B5D">
      <w:rPr>
        <w:b/>
        <w:sz w:val="18"/>
      </w:rPr>
      <w:instrText xml:space="preserve"> PAGE  \* MERGEFORMAT </w:instrText>
    </w:r>
    <w:r w:rsidRPr="00EB3B5D">
      <w:rPr>
        <w:b/>
        <w:sz w:val="18"/>
      </w:rPr>
      <w:fldChar w:fldCharType="separate"/>
    </w:r>
    <w:r w:rsidR="00C25A21">
      <w:rPr>
        <w:b/>
        <w:noProof/>
        <w:sz w:val="18"/>
      </w:rPr>
      <w:t>4</w:t>
    </w:r>
    <w:r w:rsidRPr="00EB3B5D">
      <w:rPr>
        <w:b/>
        <w:sz w:val="18"/>
      </w:rPr>
      <w:fldChar w:fldCharType="end"/>
    </w:r>
    <w:r>
      <w:rPr>
        <w:b/>
        <w:sz w:val="18"/>
      </w:rPr>
      <w:tab/>
    </w:r>
    <w:r>
      <w:t>GE.13-45066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5CC5" w:rsidRPr="00EB3B5D" w:rsidRDefault="002A5CC5" w:rsidP="00EB3B5D">
    <w:pPr>
      <w:pStyle w:val="Footer"/>
      <w:tabs>
        <w:tab w:val="right" w:pos="9638"/>
      </w:tabs>
      <w:rPr>
        <w:b/>
        <w:sz w:val="18"/>
      </w:rPr>
    </w:pPr>
    <w:r>
      <w:t>GE.13-45066</w:t>
    </w:r>
    <w:r>
      <w:tab/>
    </w:r>
    <w:r w:rsidRPr="00EB3B5D">
      <w:rPr>
        <w:b/>
        <w:sz w:val="18"/>
      </w:rPr>
      <w:fldChar w:fldCharType="begin"/>
    </w:r>
    <w:r w:rsidRPr="00EB3B5D">
      <w:rPr>
        <w:b/>
        <w:sz w:val="18"/>
      </w:rPr>
      <w:instrText xml:space="preserve"> PAGE  \* MERGEFORMAT </w:instrText>
    </w:r>
    <w:r w:rsidRPr="00EB3B5D">
      <w:rPr>
        <w:b/>
        <w:sz w:val="18"/>
      </w:rPr>
      <w:fldChar w:fldCharType="separate"/>
    </w:r>
    <w:r w:rsidR="00C25A21">
      <w:rPr>
        <w:b/>
        <w:noProof/>
        <w:sz w:val="18"/>
      </w:rPr>
      <w:t>3</w:t>
    </w:r>
    <w:r w:rsidRPr="00EB3B5D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5CC5" w:rsidRPr="00EB3B5D" w:rsidRDefault="002A5CC5" w:rsidP="008675EF">
    <w:pPr>
      <w:pStyle w:val="Footer"/>
      <w:rPr>
        <w:sz w:val="20"/>
      </w:rPr>
    </w:pPr>
    <w:r>
      <w:rPr>
        <w:sz w:val="20"/>
      </w:rPr>
      <w:t>GE.</w: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7.25pt;margin-top:742.05pt;width:85.5pt;height:18pt;z-index:1;mso-position-horizontal-relative:margin;mso-position-vertical-relative:page" wrapcoords="18189 0 0 9900 -189 12600 -189 17100 758 19800 19516 19800 20274 19800 21032 14400 21600 14400 21600 8100 20653 0 18189 0">
          <v:imagedata r:id="rId1" o:title="recycle_Spanish"/>
          <w10:wrap anchorx="margin" anchory="page"/>
          <w10:anchorlock/>
        </v:shape>
      </w:pict>
    </w:r>
    <w:r>
      <w:rPr>
        <w:sz w:val="20"/>
      </w:rPr>
      <w:t>13-45066  (S)    050813    060813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0C78" w:rsidRPr="001075E9" w:rsidRDefault="00F10C78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F10C78" w:rsidRDefault="00F10C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5CC5" w:rsidRPr="00EB3B5D" w:rsidRDefault="002A5CC5">
    <w:pPr>
      <w:pStyle w:val="Header"/>
    </w:pPr>
    <w:r>
      <w:t>CRC/C/COG/Q/2-4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5CC5" w:rsidRPr="00EB3B5D" w:rsidRDefault="002A5CC5" w:rsidP="00EB3B5D">
    <w:pPr>
      <w:pStyle w:val="Header"/>
      <w:jc w:val="right"/>
    </w:pPr>
    <w:r>
      <w:t>CRC/C/COG/Q/2-4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attachedTemplate r:id="rId1"/>
  <w:stylePaneFormatFilter w:val="3801"/>
  <w:doNotTrackMoves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53637"/>
    <w:rsid w:val="00002131"/>
    <w:rsid w:val="00033EE1"/>
    <w:rsid w:val="000B57E7"/>
    <w:rsid w:val="000F09DF"/>
    <w:rsid w:val="000F61B2"/>
    <w:rsid w:val="001075E9"/>
    <w:rsid w:val="001256EA"/>
    <w:rsid w:val="00161852"/>
    <w:rsid w:val="00180183"/>
    <w:rsid w:val="0018649F"/>
    <w:rsid w:val="00196389"/>
    <w:rsid w:val="001B5FFA"/>
    <w:rsid w:val="001C7A89"/>
    <w:rsid w:val="00220F72"/>
    <w:rsid w:val="00240004"/>
    <w:rsid w:val="002931F6"/>
    <w:rsid w:val="002A2EFC"/>
    <w:rsid w:val="002A5CC5"/>
    <w:rsid w:val="002C0E18"/>
    <w:rsid w:val="002D5AAC"/>
    <w:rsid w:val="00301299"/>
    <w:rsid w:val="00322004"/>
    <w:rsid w:val="003402C2"/>
    <w:rsid w:val="00381C24"/>
    <w:rsid w:val="003958D0"/>
    <w:rsid w:val="003B00E5"/>
    <w:rsid w:val="00414A16"/>
    <w:rsid w:val="00427F10"/>
    <w:rsid w:val="00454E07"/>
    <w:rsid w:val="004779DE"/>
    <w:rsid w:val="004D45DB"/>
    <w:rsid w:val="0050108D"/>
    <w:rsid w:val="00536DF4"/>
    <w:rsid w:val="00572E19"/>
    <w:rsid w:val="005C43E4"/>
    <w:rsid w:val="005D7179"/>
    <w:rsid w:val="005F0B42"/>
    <w:rsid w:val="005F2AD1"/>
    <w:rsid w:val="006B3A76"/>
    <w:rsid w:val="006F35EE"/>
    <w:rsid w:val="006F7B0F"/>
    <w:rsid w:val="007021FF"/>
    <w:rsid w:val="00757357"/>
    <w:rsid w:val="007A059A"/>
    <w:rsid w:val="007E16A7"/>
    <w:rsid w:val="007F4281"/>
    <w:rsid w:val="008136D8"/>
    <w:rsid w:val="00834B71"/>
    <w:rsid w:val="0086445C"/>
    <w:rsid w:val="00867322"/>
    <w:rsid w:val="008675EF"/>
    <w:rsid w:val="008A08D7"/>
    <w:rsid w:val="008C2B1A"/>
    <w:rsid w:val="008E1429"/>
    <w:rsid w:val="00906890"/>
    <w:rsid w:val="00944EC7"/>
    <w:rsid w:val="00951972"/>
    <w:rsid w:val="009C646E"/>
    <w:rsid w:val="00A060DE"/>
    <w:rsid w:val="00A43957"/>
    <w:rsid w:val="00A917B3"/>
    <w:rsid w:val="00A97C80"/>
    <w:rsid w:val="00AB4B51"/>
    <w:rsid w:val="00B10CC7"/>
    <w:rsid w:val="00B53637"/>
    <w:rsid w:val="00B62458"/>
    <w:rsid w:val="00B8687E"/>
    <w:rsid w:val="00BD33EE"/>
    <w:rsid w:val="00BF6289"/>
    <w:rsid w:val="00C25A21"/>
    <w:rsid w:val="00C60F0C"/>
    <w:rsid w:val="00C67843"/>
    <w:rsid w:val="00C805C9"/>
    <w:rsid w:val="00CA1679"/>
    <w:rsid w:val="00CF7D36"/>
    <w:rsid w:val="00D15EAE"/>
    <w:rsid w:val="00D318C7"/>
    <w:rsid w:val="00D33D63"/>
    <w:rsid w:val="00D83653"/>
    <w:rsid w:val="00D90138"/>
    <w:rsid w:val="00D969CD"/>
    <w:rsid w:val="00D97606"/>
    <w:rsid w:val="00DD299D"/>
    <w:rsid w:val="00DF63E3"/>
    <w:rsid w:val="00E23796"/>
    <w:rsid w:val="00E73F76"/>
    <w:rsid w:val="00EB3B5D"/>
    <w:rsid w:val="00EF1360"/>
    <w:rsid w:val="00EF3220"/>
    <w:rsid w:val="00F10C78"/>
    <w:rsid w:val="00F23FB6"/>
    <w:rsid w:val="00F80811"/>
    <w:rsid w:val="00F94155"/>
    <w:rsid w:val="00FB2D3D"/>
    <w:rsid w:val="00FD2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C2B1A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qFormat/>
    <w:rsid w:val="007F4281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qFormat/>
    <w:rsid w:val="008C2B1A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qFormat/>
    <w:rsid w:val="008C2B1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8C2B1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8C2B1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8C2B1A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8C2B1A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8C2B1A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8C2B1A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8C2B1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8C2B1A"/>
  </w:style>
  <w:style w:type="character" w:styleId="FootnoteReference">
    <w:name w:val="footnote reference"/>
    <w:aliases w:val="4_G"/>
    <w:basedOn w:val="DefaultParagraphFont"/>
    <w:rsid w:val="008C2B1A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1B5FFA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rsid w:val="008C2B1A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8C2B1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8C2B1A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8C2B1A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8C2B1A"/>
    <w:rPr>
      <w:sz w:val="16"/>
    </w:rPr>
  </w:style>
  <w:style w:type="paragraph" w:customStyle="1" w:styleId="XLargeG">
    <w:name w:val="__XLarge_G"/>
    <w:basedOn w:val="Normal"/>
    <w:next w:val="Normal"/>
    <w:rsid w:val="008C2B1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rsid w:val="008C2B1A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111111">
    <w:name w:val="Outline List 2"/>
    <w:basedOn w:val="NoList"/>
    <w:semiHidden/>
    <w:rsid w:val="008C2B1A"/>
    <w:pPr>
      <w:numPr>
        <w:numId w:val="3"/>
      </w:numPr>
    </w:pPr>
  </w:style>
  <w:style w:type="numbering" w:styleId="1ai">
    <w:name w:val="Outline List 1"/>
    <w:basedOn w:val="NoList"/>
    <w:semiHidden/>
    <w:rsid w:val="008C2B1A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8C2B1A"/>
  </w:style>
  <w:style w:type="numbering" w:styleId="ArticleSection">
    <w:name w:val="Outline List 3"/>
    <w:basedOn w:val="NoList"/>
    <w:semiHidden/>
    <w:rsid w:val="008C2B1A"/>
    <w:pPr>
      <w:numPr>
        <w:numId w:val="5"/>
      </w:numPr>
    </w:pPr>
  </w:style>
  <w:style w:type="paragraph" w:styleId="Closing">
    <w:name w:val="Closing"/>
    <w:basedOn w:val="Normal"/>
    <w:semiHidden/>
    <w:rsid w:val="008C2B1A"/>
    <w:pPr>
      <w:ind w:left="4252"/>
    </w:pPr>
  </w:style>
  <w:style w:type="character" w:styleId="HTMLCite">
    <w:name w:val="HTML Cite"/>
    <w:basedOn w:val="DefaultParagraphFont"/>
    <w:semiHidden/>
    <w:rsid w:val="008C2B1A"/>
    <w:rPr>
      <w:i/>
      <w:iCs/>
    </w:rPr>
  </w:style>
  <w:style w:type="character" w:styleId="HTMLCode">
    <w:name w:val="HTML Code"/>
    <w:basedOn w:val="DefaultParagraphFont"/>
    <w:semiHidden/>
    <w:rsid w:val="008C2B1A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8C2B1A"/>
    <w:pPr>
      <w:spacing w:after="120"/>
      <w:ind w:left="283"/>
    </w:pPr>
  </w:style>
  <w:style w:type="paragraph" w:styleId="ListContinue2">
    <w:name w:val="List Continue 2"/>
    <w:basedOn w:val="Normal"/>
    <w:semiHidden/>
    <w:rsid w:val="008C2B1A"/>
    <w:pPr>
      <w:spacing w:after="120"/>
      <w:ind w:left="566"/>
    </w:pPr>
  </w:style>
  <w:style w:type="paragraph" w:styleId="ListContinue3">
    <w:name w:val="List Continue 3"/>
    <w:basedOn w:val="Normal"/>
    <w:semiHidden/>
    <w:rsid w:val="008C2B1A"/>
    <w:pPr>
      <w:spacing w:after="120"/>
      <w:ind w:left="849"/>
    </w:pPr>
  </w:style>
  <w:style w:type="paragraph" w:styleId="ListContinue4">
    <w:name w:val="List Continue 4"/>
    <w:basedOn w:val="Normal"/>
    <w:semiHidden/>
    <w:rsid w:val="008C2B1A"/>
    <w:pPr>
      <w:spacing w:after="120"/>
      <w:ind w:left="1132"/>
    </w:pPr>
  </w:style>
  <w:style w:type="paragraph" w:styleId="ListContinue5">
    <w:name w:val="List Continue 5"/>
    <w:basedOn w:val="Normal"/>
    <w:semiHidden/>
    <w:rsid w:val="008C2B1A"/>
    <w:pPr>
      <w:spacing w:after="120"/>
      <w:ind w:left="1415"/>
    </w:pPr>
  </w:style>
  <w:style w:type="character" w:styleId="HTMLDefinition">
    <w:name w:val="HTML Definition"/>
    <w:basedOn w:val="DefaultParagraphFont"/>
    <w:semiHidden/>
    <w:rsid w:val="008C2B1A"/>
    <w:rPr>
      <w:i/>
      <w:iCs/>
    </w:rPr>
  </w:style>
  <w:style w:type="paragraph" w:styleId="HTMLAddress">
    <w:name w:val="HTML Address"/>
    <w:basedOn w:val="Normal"/>
    <w:semiHidden/>
    <w:rsid w:val="008C2B1A"/>
    <w:rPr>
      <w:i/>
      <w:iCs/>
    </w:rPr>
  </w:style>
  <w:style w:type="paragraph" w:styleId="EnvelopeAddress">
    <w:name w:val="envelope address"/>
    <w:basedOn w:val="Normal"/>
    <w:semiHidden/>
    <w:rsid w:val="008C2B1A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basedOn w:val="DefaultParagraphFont"/>
    <w:semiHidden/>
    <w:rsid w:val="008C2B1A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8C2B1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8C2B1A"/>
  </w:style>
  <w:style w:type="character" w:styleId="Emphasis">
    <w:name w:val="Emphasis"/>
    <w:basedOn w:val="DefaultParagraphFont"/>
    <w:qFormat/>
    <w:rsid w:val="008C2B1A"/>
    <w:rPr>
      <w:i/>
      <w:iCs/>
    </w:rPr>
  </w:style>
  <w:style w:type="paragraph" w:styleId="Date">
    <w:name w:val="Date"/>
    <w:basedOn w:val="Normal"/>
    <w:next w:val="Normal"/>
    <w:semiHidden/>
    <w:rsid w:val="008C2B1A"/>
  </w:style>
  <w:style w:type="paragraph" w:styleId="Signature">
    <w:name w:val="Signature"/>
    <w:basedOn w:val="Normal"/>
    <w:semiHidden/>
    <w:rsid w:val="008C2B1A"/>
    <w:pPr>
      <w:ind w:left="4252"/>
    </w:pPr>
  </w:style>
  <w:style w:type="paragraph" w:styleId="E-mailSignature">
    <w:name w:val="E-mail Signature"/>
    <w:basedOn w:val="Normal"/>
    <w:semiHidden/>
    <w:rsid w:val="008C2B1A"/>
  </w:style>
  <w:style w:type="character" w:styleId="Hyperlink">
    <w:name w:val="Hyperlink"/>
    <w:basedOn w:val="DefaultParagraphFont"/>
    <w:semiHidden/>
    <w:rsid w:val="008C2B1A"/>
    <w:rPr>
      <w:color w:val="0000FF"/>
      <w:u w:val="single"/>
    </w:rPr>
  </w:style>
  <w:style w:type="character" w:styleId="FollowedHyperlink">
    <w:name w:val="FollowedHyperlink"/>
    <w:basedOn w:val="DefaultParagraphFont"/>
    <w:semiHidden/>
    <w:rsid w:val="008C2B1A"/>
    <w:rPr>
      <w:color w:val="800080"/>
      <w:u w:val="single"/>
    </w:rPr>
  </w:style>
  <w:style w:type="paragraph" w:styleId="HTMLPreformatted">
    <w:name w:val="HTML Preformatted"/>
    <w:basedOn w:val="Normal"/>
    <w:semiHidden/>
    <w:rsid w:val="008C2B1A"/>
    <w:rPr>
      <w:rFonts w:ascii="Courier New" w:hAnsi="Courier New" w:cs="Courier New"/>
    </w:rPr>
  </w:style>
  <w:style w:type="paragraph" w:styleId="List">
    <w:name w:val="List"/>
    <w:basedOn w:val="Normal"/>
    <w:semiHidden/>
    <w:rsid w:val="008C2B1A"/>
    <w:pPr>
      <w:ind w:left="283" w:hanging="283"/>
    </w:pPr>
  </w:style>
  <w:style w:type="paragraph" w:styleId="List2">
    <w:name w:val="List 2"/>
    <w:basedOn w:val="Normal"/>
    <w:semiHidden/>
    <w:rsid w:val="008C2B1A"/>
    <w:pPr>
      <w:ind w:left="566" w:hanging="283"/>
    </w:pPr>
  </w:style>
  <w:style w:type="paragraph" w:styleId="List3">
    <w:name w:val="List 3"/>
    <w:basedOn w:val="Normal"/>
    <w:semiHidden/>
    <w:rsid w:val="008C2B1A"/>
    <w:pPr>
      <w:ind w:left="849" w:hanging="283"/>
    </w:pPr>
  </w:style>
  <w:style w:type="paragraph" w:styleId="List4">
    <w:name w:val="List 4"/>
    <w:basedOn w:val="Normal"/>
    <w:semiHidden/>
    <w:rsid w:val="008C2B1A"/>
    <w:pPr>
      <w:ind w:left="1132" w:hanging="283"/>
    </w:pPr>
  </w:style>
  <w:style w:type="paragraph" w:styleId="List5">
    <w:name w:val="List 5"/>
    <w:basedOn w:val="Normal"/>
    <w:semiHidden/>
    <w:rsid w:val="008C2B1A"/>
    <w:pPr>
      <w:ind w:left="1415" w:hanging="283"/>
    </w:pPr>
  </w:style>
  <w:style w:type="paragraph" w:styleId="ListNumber">
    <w:name w:val="List Number"/>
    <w:basedOn w:val="Normal"/>
    <w:semiHidden/>
    <w:rsid w:val="008C2B1A"/>
    <w:pPr>
      <w:numPr>
        <w:numId w:val="6"/>
      </w:numPr>
    </w:pPr>
  </w:style>
  <w:style w:type="paragraph" w:styleId="ListNumber2">
    <w:name w:val="List Number 2"/>
    <w:basedOn w:val="Normal"/>
    <w:semiHidden/>
    <w:rsid w:val="008C2B1A"/>
    <w:pPr>
      <w:numPr>
        <w:numId w:val="7"/>
      </w:numPr>
    </w:pPr>
  </w:style>
  <w:style w:type="paragraph" w:styleId="ListNumber3">
    <w:name w:val="List Number 3"/>
    <w:basedOn w:val="Normal"/>
    <w:semiHidden/>
    <w:rsid w:val="008C2B1A"/>
    <w:pPr>
      <w:numPr>
        <w:numId w:val="8"/>
      </w:numPr>
    </w:pPr>
  </w:style>
  <w:style w:type="paragraph" w:styleId="ListNumber4">
    <w:name w:val="List Number 4"/>
    <w:basedOn w:val="Normal"/>
    <w:semiHidden/>
    <w:rsid w:val="008C2B1A"/>
    <w:pPr>
      <w:numPr>
        <w:numId w:val="9"/>
      </w:numPr>
    </w:pPr>
  </w:style>
  <w:style w:type="paragraph" w:styleId="ListNumber5">
    <w:name w:val="List Number 5"/>
    <w:basedOn w:val="Normal"/>
    <w:semiHidden/>
    <w:rsid w:val="008C2B1A"/>
    <w:pPr>
      <w:numPr>
        <w:numId w:val="10"/>
      </w:numPr>
    </w:pPr>
  </w:style>
  <w:style w:type="paragraph" w:styleId="ListBullet">
    <w:name w:val="List Bullet"/>
    <w:basedOn w:val="Normal"/>
    <w:semiHidden/>
    <w:rsid w:val="008C2B1A"/>
    <w:pPr>
      <w:numPr>
        <w:numId w:val="11"/>
      </w:numPr>
    </w:pPr>
  </w:style>
  <w:style w:type="paragraph" w:styleId="ListBullet2">
    <w:name w:val="List Bullet 2"/>
    <w:basedOn w:val="Normal"/>
    <w:semiHidden/>
    <w:rsid w:val="008C2B1A"/>
    <w:pPr>
      <w:numPr>
        <w:numId w:val="12"/>
      </w:numPr>
    </w:pPr>
  </w:style>
  <w:style w:type="paragraph" w:styleId="ListBullet3">
    <w:name w:val="List Bullet 3"/>
    <w:basedOn w:val="Normal"/>
    <w:semiHidden/>
    <w:rsid w:val="008C2B1A"/>
    <w:pPr>
      <w:numPr>
        <w:numId w:val="13"/>
      </w:numPr>
    </w:pPr>
  </w:style>
  <w:style w:type="paragraph" w:styleId="ListBullet4">
    <w:name w:val="List Bullet 4"/>
    <w:basedOn w:val="Normal"/>
    <w:semiHidden/>
    <w:rsid w:val="008C2B1A"/>
    <w:pPr>
      <w:numPr>
        <w:numId w:val="14"/>
      </w:numPr>
    </w:pPr>
  </w:style>
  <w:style w:type="paragraph" w:styleId="ListBullet5">
    <w:name w:val="List Bullet 5"/>
    <w:basedOn w:val="Normal"/>
    <w:semiHidden/>
    <w:rsid w:val="008C2B1A"/>
    <w:pPr>
      <w:numPr>
        <w:numId w:val="15"/>
      </w:numPr>
    </w:pPr>
  </w:style>
  <w:style w:type="character" w:styleId="HTMLTypewriter">
    <w:name w:val="HTML Typewriter"/>
    <w:basedOn w:val="DefaultParagraphFont"/>
    <w:semiHidden/>
    <w:rsid w:val="008C2B1A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8C2B1A"/>
    <w:rPr>
      <w:sz w:val="24"/>
      <w:szCs w:val="24"/>
    </w:rPr>
  </w:style>
  <w:style w:type="character" w:styleId="LineNumber">
    <w:name w:val="line number"/>
    <w:basedOn w:val="DefaultParagraphFont"/>
    <w:semiHidden/>
    <w:rsid w:val="008C2B1A"/>
  </w:style>
  <w:style w:type="character" w:styleId="PageNumber">
    <w:name w:val="page number"/>
    <w:aliases w:val="7_G"/>
    <w:basedOn w:val="DefaultParagraphFont"/>
    <w:rsid w:val="008C2B1A"/>
    <w:rPr>
      <w:b/>
      <w:sz w:val="18"/>
    </w:rPr>
  </w:style>
  <w:style w:type="character" w:styleId="EndnoteReference">
    <w:name w:val="endnote reference"/>
    <w:aliases w:val="1_G"/>
    <w:basedOn w:val="FootnoteReference"/>
    <w:rsid w:val="008C2B1A"/>
  </w:style>
  <w:style w:type="paragraph" w:styleId="EnvelopeReturn">
    <w:name w:val="envelope return"/>
    <w:basedOn w:val="Normal"/>
    <w:semiHidden/>
    <w:rsid w:val="008C2B1A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8C2B1A"/>
  </w:style>
  <w:style w:type="paragraph" w:styleId="BodyTextIndent2">
    <w:name w:val="Body Text Indent 2"/>
    <w:basedOn w:val="Normal"/>
    <w:semiHidden/>
    <w:rsid w:val="008C2B1A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8C2B1A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8C2B1A"/>
    <w:pPr>
      <w:spacing w:after="120"/>
      <w:ind w:left="283"/>
    </w:pPr>
  </w:style>
  <w:style w:type="paragraph" w:styleId="NormalIndent">
    <w:name w:val="Normal Indent"/>
    <w:basedOn w:val="Normal"/>
    <w:semiHidden/>
    <w:rsid w:val="008C2B1A"/>
    <w:pPr>
      <w:ind w:left="567"/>
    </w:pPr>
  </w:style>
  <w:style w:type="paragraph" w:styleId="Subtitle">
    <w:name w:val="Subtitle"/>
    <w:basedOn w:val="Normal"/>
    <w:qFormat/>
    <w:rsid w:val="008C2B1A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8C2B1A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8C2B1A"/>
    <w:pPr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8C2B1A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8C2B1A"/>
    <w:pPr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8C2B1A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8C2B1A"/>
    <w:pPr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8C2B1A"/>
    <w:pPr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8C2B1A"/>
    <w:pPr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8C2B1A"/>
    <w:pPr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8C2B1A"/>
    <w:pPr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8C2B1A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8C2B1A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8C2B1A"/>
    <w:pPr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8C2B1A"/>
    <w:pPr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semiHidden/>
    <w:rsid w:val="008C2B1A"/>
    <w:pPr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8C2B1A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8C2B1A"/>
    <w:pPr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8C2B1A"/>
    <w:pPr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8C2B1A"/>
    <w:pPr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8C2B1A"/>
    <w:pPr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8C2B1A"/>
    <w:pPr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8C2B1A"/>
    <w:pPr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8C2B1A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8C2B1A"/>
    <w:pPr>
      <w:spacing w:after="120"/>
      <w:ind w:left="1440" w:right="1440"/>
    </w:pPr>
  </w:style>
  <w:style w:type="character" w:styleId="Strong">
    <w:name w:val="Strong"/>
    <w:basedOn w:val="DefaultParagraphFont"/>
    <w:qFormat/>
    <w:rsid w:val="008C2B1A"/>
    <w:rPr>
      <w:b/>
      <w:bCs/>
    </w:rPr>
  </w:style>
  <w:style w:type="paragraph" w:styleId="BodyText">
    <w:name w:val="Body Text"/>
    <w:basedOn w:val="Normal"/>
    <w:semiHidden/>
    <w:rsid w:val="008C2B1A"/>
    <w:pPr>
      <w:spacing w:after="120"/>
    </w:pPr>
  </w:style>
  <w:style w:type="paragraph" w:styleId="BodyText2">
    <w:name w:val="Body Text 2"/>
    <w:basedOn w:val="Normal"/>
    <w:semiHidden/>
    <w:rsid w:val="008C2B1A"/>
    <w:pPr>
      <w:spacing w:after="120" w:line="480" w:lineRule="auto"/>
    </w:pPr>
  </w:style>
  <w:style w:type="paragraph" w:styleId="BodyText3">
    <w:name w:val="Body Text 3"/>
    <w:basedOn w:val="Normal"/>
    <w:semiHidden/>
    <w:rsid w:val="008C2B1A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8C2B1A"/>
    <w:pPr>
      <w:ind w:firstLine="210"/>
    </w:pPr>
  </w:style>
  <w:style w:type="paragraph" w:styleId="BodyTextFirstIndent2">
    <w:name w:val="Body Text First Indent 2"/>
    <w:basedOn w:val="BodyTextIndent"/>
    <w:semiHidden/>
    <w:rsid w:val="008C2B1A"/>
    <w:pPr>
      <w:ind w:firstLine="210"/>
    </w:pPr>
  </w:style>
  <w:style w:type="paragraph" w:styleId="EndnoteText">
    <w:name w:val="endnote text"/>
    <w:aliases w:val="2_G"/>
    <w:basedOn w:val="FootnoteText"/>
    <w:rsid w:val="008C2B1A"/>
  </w:style>
  <w:style w:type="paragraph" w:styleId="PlainText">
    <w:name w:val="Plain Text"/>
    <w:basedOn w:val="Normal"/>
    <w:semiHidden/>
    <w:rsid w:val="008C2B1A"/>
    <w:rPr>
      <w:rFonts w:ascii="Courier New" w:hAnsi="Courier New" w:cs="Courier New"/>
    </w:rPr>
  </w:style>
  <w:style w:type="paragraph" w:styleId="Title">
    <w:name w:val="Title"/>
    <w:basedOn w:val="Normal"/>
    <w:qFormat/>
    <w:rsid w:val="008C2B1A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basedOn w:val="DefaultParagraphFont"/>
    <w:semiHidden/>
    <w:rsid w:val="008C2B1A"/>
    <w:rPr>
      <w:i/>
      <w:iCs/>
    </w:rPr>
  </w:style>
  <w:style w:type="paragraph" w:customStyle="1" w:styleId="Bullet1G">
    <w:name w:val="_Bullet 1_G"/>
    <w:basedOn w:val="Normal"/>
    <w:rsid w:val="008C2B1A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8C2B1A"/>
    <w:pPr>
      <w:numPr>
        <w:numId w:val="2"/>
      </w:numPr>
      <w:spacing w:after="120"/>
      <w:ind w:right="1134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%20FORMAT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</Template>
  <TotalTime>1</TotalTime>
  <Pages>1</Pages>
  <Words>1681</Words>
  <Characters>8910</Characters>
  <Application>Microsoft Office Outlook</Application>
  <DocSecurity>4</DocSecurity>
  <Lines>162</Lines>
  <Paragraphs>78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CRC/C/COG/Q/2-4</vt:lpstr>
    </vt:vector>
  </TitlesOfParts>
  <Company/>
  <LinksUpToDate>false</LinksUpToDate>
  <CharactersWithSpaces>10513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CRC/C/COG/Q/2-4</dc:title>
  <dc:subject>13-45066 (FINAL)</dc:subject>
  <dc:creator>Ruth</dc:creator>
  <cp:keywords/>
  <dc:description/>
  <cp:lastModifiedBy>Ruth</cp:lastModifiedBy>
  <cp:revision>3</cp:revision>
  <cp:lastPrinted>2013-08-06T13:44:00Z</cp:lastPrinted>
  <dcterms:created xsi:type="dcterms:W3CDTF">2013-08-06T13:44:00Z</dcterms:created>
  <dcterms:modified xsi:type="dcterms:W3CDTF">2013-08-06T13:44:00Z</dcterms:modified>
</cp:coreProperties>
</file>