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66C637" w14:textId="77777777" w:rsidTr="00FA139B">
        <w:trPr>
          <w:trHeight w:hRule="exact" w:val="851"/>
        </w:trPr>
        <w:tc>
          <w:tcPr>
            <w:tcW w:w="1280" w:type="dxa"/>
            <w:tcBorders>
              <w:bottom w:val="single" w:sz="4" w:space="0" w:color="auto"/>
            </w:tcBorders>
          </w:tcPr>
          <w:p w14:paraId="6A2C3505" w14:textId="77777777" w:rsidR="002D5AAC" w:rsidRDefault="002D5AAC" w:rsidP="00FA139B">
            <w:pPr>
              <w:kinsoku w:val="0"/>
              <w:overflowPunct w:val="0"/>
              <w:autoSpaceDE w:val="0"/>
              <w:autoSpaceDN w:val="0"/>
              <w:adjustRightInd w:val="0"/>
              <w:snapToGrid w:val="0"/>
            </w:pPr>
          </w:p>
        </w:tc>
        <w:tc>
          <w:tcPr>
            <w:tcW w:w="2273" w:type="dxa"/>
            <w:tcBorders>
              <w:bottom w:val="single" w:sz="4" w:space="0" w:color="auto"/>
            </w:tcBorders>
            <w:vAlign w:val="bottom"/>
          </w:tcPr>
          <w:p w14:paraId="3CFAECD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15DB148" w14:textId="77777777" w:rsidR="002D5AAC" w:rsidRDefault="00FA139B" w:rsidP="00FA139B">
            <w:pPr>
              <w:jc w:val="right"/>
            </w:pPr>
            <w:r w:rsidRPr="00FA139B">
              <w:rPr>
                <w:sz w:val="40"/>
              </w:rPr>
              <w:t>CERD</w:t>
            </w:r>
            <w:r>
              <w:t>/C/KWT/25-26</w:t>
            </w:r>
          </w:p>
        </w:tc>
      </w:tr>
      <w:tr w:rsidR="002D5AAC" w14:paraId="3D16EAFE" w14:textId="77777777" w:rsidTr="00FA139B">
        <w:trPr>
          <w:trHeight w:hRule="exact" w:val="2835"/>
        </w:trPr>
        <w:tc>
          <w:tcPr>
            <w:tcW w:w="1280" w:type="dxa"/>
            <w:tcBorders>
              <w:top w:val="single" w:sz="4" w:space="0" w:color="auto"/>
              <w:bottom w:val="single" w:sz="12" w:space="0" w:color="auto"/>
            </w:tcBorders>
          </w:tcPr>
          <w:p w14:paraId="3BCEE228" w14:textId="77777777" w:rsidR="002D5AAC" w:rsidRDefault="00CC15A3" w:rsidP="00213632">
            <w:pPr>
              <w:spacing w:before="120"/>
              <w:jc w:val="center"/>
            </w:pPr>
            <w:r>
              <w:rPr>
                <w:noProof/>
              </w:rPr>
              <w:drawing>
                <wp:inline distT="0" distB="0" distL="0" distR="0" wp14:anchorId="29DD2FA2" wp14:editId="257934B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C6E40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B2669FD" w14:textId="77777777" w:rsidR="002D5AAC" w:rsidRDefault="00FA139B" w:rsidP="00213632">
            <w:pPr>
              <w:spacing w:before="240"/>
            </w:pPr>
            <w:r>
              <w:t>Distr. general</w:t>
            </w:r>
          </w:p>
          <w:p w14:paraId="5BBCBE0A" w14:textId="77777777" w:rsidR="00FA139B" w:rsidRDefault="00FA139B" w:rsidP="00FA139B">
            <w:pPr>
              <w:spacing w:line="240" w:lineRule="exact"/>
            </w:pPr>
            <w:r>
              <w:t>11 de agosto de 2020</w:t>
            </w:r>
          </w:p>
          <w:p w14:paraId="72D36923" w14:textId="77777777" w:rsidR="00FA139B" w:rsidRDefault="00FA139B" w:rsidP="00FA139B">
            <w:pPr>
              <w:spacing w:line="240" w:lineRule="exact"/>
            </w:pPr>
            <w:r>
              <w:t>Español</w:t>
            </w:r>
          </w:p>
          <w:p w14:paraId="337545F2" w14:textId="77777777" w:rsidR="00FA139B" w:rsidRDefault="00FA139B" w:rsidP="00FA139B">
            <w:pPr>
              <w:spacing w:line="240" w:lineRule="exact"/>
            </w:pPr>
            <w:r>
              <w:t>Original: árabe</w:t>
            </w:r>
          </w:p>
          <w:p w14:paraId="350933D9" w14:textId="77777777" w:rsidR="00FA139B" w:rsidRDefault="00FA139B" w:rsidP="00FA139B">
            <w:pPr>
              <w:spacing w:line="240" w:lineRule="exact"/>
            </w:pPr>
            <w:r>
              <w:t>Árabe, español, francés e inglés únicamente</w:t>
            </w:r>
          </w:p>
        </w:tc>
      </w:tr>
    </w:tbl>
    <w:p w14:paraId="3341DFFA" w14:textId="77777777" w:rsidR="00FA139B" w:rsidRPr="00FA139B" w:rsidRDefault="00FA139B" w:rsidP="00FA139B">
      <w:pPr>
        <w:spacing w:before="120"/>
        <w:rPr>
          <w:b/>
          <w:bCs/>
          <w:sz w:val="24"/>
          <w:szCs w:val="24"/>
        </w:rPr>
      </w:pPr>
      <w:r w:rsidRPr="00FA139B">
        <w:rPr>
          <w:b/>
          <w:bCs/>
          <w:sz w:val="24"/>
          <w:szCs w:val="24"/>
        </w:rPr>
        <w:t>Comité para la Eliminación de la Discriminación Racial</w:t>
      </w:r>
    </w:p>
    <w:p w14:paraId="013A3B29" w14:textId="77777777" w:rsidR="00FA139B" w:rsidRPr="00FA139B" w:rsidRDefault="00FA139B" w:rsidP="00FA139B">
      <w:pPr>
        <w:pStyle w:val="HMG"/>
      </w:pPr>
      <w:r>
        <w:tab/>
      </w:r>
      <w:r w:rsidRPr="00FA139B">
        <w:tab/>
        <w:t>Informes periódicos 25º y 26º combinados que Kuwait debía presentar en 2020 en virtud del artículo 9 de la Convención</w:t>
      </w:r>
      <w:r w:rsidRPr="00F16CA7">
        <w:rPr>
          <w:b w:val="0"/>
          <w:bCs/>
          <w:sz w:val="20"/>
        </w:rPr>
        <w:footnoteReference w:customMarkFollows="1" w:id="1"/>
        <w:t>*</w:t>
      </w:r>
    </w:p>
    <w:p w14:paraId="31FC565B" w14:textId="77777777" w:rsidR="00FA139B" w:rsidRPr="00FA139B" w:rsidRDefault="00FA139B" w:rsidP="00FA139B">
      <w:pPr>
        <w:pStyle w:val="SingleTxtG"/>
        <w:jc w:val="right"/>
      </w:pPr>
      <w:r w:rsidRPr="00FA139B">
        <w:t>[Fecha de recepción: 20 de diciembre 2019]</w:t>
      </w:r>
    </w:p>
    <w:p w14:paraId="3889BF52" w14:textId="77777777" w:rsidR="00FA139B" w:rsidRPr="00FA139B" w:rsidRDefault="00FA139B" w:rsidP="00FA139B">
      <w:pPr>
        <w:pStyle w:val="HChG"/>
      </w:pPr>
      <w:r>
        <w:br w:type="page"/>
      </w:r>
      <w:r w:rsidRPr="00FA139B">
        <w:lastRenderedPageBreak/>
        <w:tab/>
        <w:t>I.</w:t>
      </w:r>
      <w:r w:rsidRPr="00FA139B">
        <w:tab/>
        <w:t>Introducción</w:t>
      </w:r>
    </w:p>
    <w:p w14:paraId="177D7F1A" w14:textId="77777777" w:rsidR="00FA139B" w:rsidRPr="00FA139B" w:rsidRDefault="00FA139B" w:rsidP="00FA139B">
      <w:pPr>
        <w:pStyle w:val="SingleTxtG"/>
        <w:rPr>
          <w:cs/>
        </w:rPr>
      </w:pPr>
      <w:r w:rsidRPr="00FA139B">
        <w:t>1.</w:t>
      </w:r>
      <w:r w:rsidRPr="00FA139B">
        <w:tab/>
        <w:t xml:space="preserve">El Estado de Kuwait tiene el honor de presentar sus informes periódicos combinados 25º y 26º de conformidad con el artículo 9, párrafo 1, de la Convención Internacional sobre la Eliminación de Todas las Formas de Discriminación Racial. </w:t>
      </w:r>
      <w:bookmarkStart w:id="0" w:name="OLE_LINK1"/>
      <w:bookmarkStart w:id="1" w:name="OLE_LINK2"/>
    </w:p>
    <w:p w14:paraId="4481BD32" w14:textId="77777777" w:rsidR="00FA139B" w:rsidRPr="00FA139B" w:rsidRDefault="00FA139B" w:rsidP="00FA139B">
      <w:pPr>
        <w:pStyle w:val="SingleTxtG"/>
      </w:pPr>
      <w:r w:rsidRPr="00FA139B">
        <w:t>2.</w:t>
      </w:r>
      <w:r w:rsidRPr="00FA139B">
        <w:tab/>
        <w:t xml:space="preserve">El presente informe se ajusta a las directrices emitidas por el Comité para la Eliminación de la Discriminación Racial. </w:t>
      </w:r>
      <w:bookmarkEnd w:id="0"/>
      <w:bookmarkEnd w:id="1"/>
    </w:p>
    <w:p w14:paraId="4043FC35" w14:textId="77777777" w:rsidR="00FA139B" w:rsidRPr="00FA139B" w:rsidRDefault="00FA139B" w:rsidP="00FA139B">
      <w:pPr>
        <w:pStyle w:val="SingleTxtG"/>
      </w:pPr>
      <w:r w:rsidRPr="00FA139B">
        <w:t>3.</w:t>
      </w:r>
      <w:r w:rsidRPr="00FA139B">
        <w:tab/>
        <w:t xml:space="preserve">En la elaboración de este informe participó la Comisión Nacional Permanente para la Elaboración de los Informes y el Seguimiento de las Recomendaciones de Derechos Humanos, en la que se integran todas las instancias gubernamentales pertinentes. El martes 9 de abril de 2019, la Comisión se reunió con las organizaciones no gubernamentales </w:t>
      </w:r>
      <w:r w:rsidR="00451E02">
        <w:t xml:space="preserve">(ONG) </w:t>
      </w:r>
      <w:r w:rsidRPr="00FA139B">
        <w:t xml:space="preserve">para celebrar consultas con miras a elaborar el presente informe. </w:t>
      </w:r>
    </w:p>
    <w:p w14:paraId="0B2F5D51" w14:textId="77777777" w:rsidR="00FA139B" w:rsidRPr="00FA139B" w:rsidRDefault="00FA139B" w:rsidP="00FA139B">
      <w:pPr>
        <w:pStyle w:val="HChG"/>
      </w:pPr>
      <w:r w:rsidRPr="00FA139B">
        <w:tab/>
        <w:t>II.</w:t>
      </w:r>
      <w:r w:rsidRPr="00FA139B">
        <w:tab/>
        <w:t xml:space="preserve">Motivos de preocupación y recomendaciones formuladas </w:t>
      </w:r>
      <w:r>
        <w:br/>
      </w:r>
      <w:r w:rsidRPr="00FA139B">
        <w:t>por el Comité en el apartado C del documento CERD/C/KWT/CO/21-24</w:t>
      </w:r>
    </w:p>
    <w:p w14:paraId="331B9AA8" w14:textId="77777777" w:rsidR="00FA139B" w:rsidRPr="00FA139B" w:rsidRDefault="00FA139B" w:rsidP="00FA139B">
      <w:pPr>
        <w:pStyle w:val="H1G"/>
      </w:pPr>
      <w:r w:rsidRPr="00FA139B">
        <w:tab/>
      </w:r>
      <w:r w:rsidRPr="00FA139B">
        <w:tab/>
        <w:t>Recomendación núm. 8</w:t>
      </w:r>
    </w:p>
    <w:p w14:paraId="4508FBA5" w14:textId="75B3B186" w:rsidR="00FA139B" w:rsidRPr="00FA139B" w:rsidRDefault="00FA139B" w:rsidP="00FA139B">
      <w:pPr>
        <w:pStyle w:val="SingleTxtG"/>
      </w:pPr>
      <w:r w:rsidRPr="00FA139B">
        <w:t>4.</w:t>
      </w:r>
      <w:r w:rsidRPr="00FA139B">
        <w:tab/>
        <w:t xml:space="preserve">La información facilitada por la Dirección Central de Estadística de Kuwait constata la efectividad de los derechos económicos y sociales que asisten a toda la población del Estado. Esos datos figuran en los boletines socioeconómicos publicados en el sitio web oficial </w:t>
      </w:r>
      <w:hyperlink r:id="rId9" w:history="1">
        <w:r w:rsidRPr="00FA139B">
          <w:rPr>
            <w:rStyle w:val="Hipervnculo"/>
          </w:rPr>
          <w:t>https://</w:t>
        </w:r>
        <w:proofErr w:type="spellStart"/>
        <w:r w:rsidRPr="00FA139B">
          <w:rPr>
            <w:rStyle w:val="Hipervnculo"/>
          </w:rPr>
          <w:t>www.csb.gov.kw</w:t>
        </w:r>
        <w:proofErr w:type="spellEnd"/>
        <w:r w:rsidRPr="00FA139B">
          <w:rPr>
            <w:rStyle w:val="Hipervnculo"/>
          </w:rPr>
          <w:t>/</w:t>
        </w:r>
      </w:hyperlink>
      <w:r w:rsidRPr="00FA139B">
        <w:t xml:space="preserve"> y se encuentran a disposición de los investigadores y las personas interesadas de todo el mundo. De conformidad con los estándares de la Comisión de Estadística de las Naciones Unidas y lo dispuesto en la Constitución y la legislación kuwaitíes, gran parte de esa información se presenta desglosada por </w:t>
      </w:r>
      <w:r w:rsidR="006E23E2">
        <w:t>“</w:t>
      </w:r>
      <w:r w:rsidRPr="00FA139B">
        <w:t>kuwaitíes</w:t>
      </w:r>
      <w:r w:rsidR="006E23E2">
        <w:t>”</w:t>
      </w:r>
      <w:r w:rsidRPr="00FA139B">
        <w:t xml:space="preserve"> y </w:t>
      </w:r>
      <w:r w:rsidR="006E23E2">
        <w:t>“</w:t>
      </w:r>
      <w:r w:rsidRPr="00FA139B">
        <w:t>no</w:t>
      </w:r>
      <w:r w:rsidR="00F16CA7">
        <w:t> </w:t>
      </w:r>
      <w:r w:rsidRPr="00FA139B">
        <w:t>kuwaitíes</w:t>
      </w:r>
      <w:r w:rsidR="006E23E2">
        <w:t>”</w:t>
      </w:r>
      <w:r w:rsidRPr="00FA139B">
        <w:t xml:space="preserve"> o por nacionalidades. </w:t>
      </w:r>
    </w:p>
    <w:p w14:paraId="04AAAFE7" w14:textId="77777777" w:rsidR="00FA139B" w:rsidRPr="00FA139B" w:rsidRDefault="00FA139B" w:rsidP="00FA139B">
      <w:pPr>
        <w:pStyle w:val="SingleTxtG"/>
      </w:pPr>
      <w:r w:rsidRPr="00FA139B">
        <w:t>5.</w:t>
      </w:r>
      <w:r w:rsidRPr="00FA139B">
        <w:tab/>
        <w:t>En el Estado de Kuwait y con arreglo a su legislación no hay migrantes en el sentido terminológico occidental de la palabra, sino expatriados o residentes. En el sitio web de la Dirección Central de Estadística figura también información sobre esas personas desglosada por nacionalidades.</w:t>
      </w:r>
    </w:p>
    <w:p w14:paraId="232AE4EC" w14:textId="77777777" w:rsidR="00FA139B" w:rsidRPr="00FA139B" w:rsidRDefault="00FA139B" w:rsidP="00FA139B">
      <w:pPr>
        <w:pStyle w:val="SingleTxtG"/>
      </w:pPr>
      <w:r w:rsidRPr="00FA139B">
        <w:t>6.</w:t>
      </w:r>
      <w:r w:rsidRPr="00FA139B">
        <w:tab/>
        <w:t>A finales de 2018 había en el Estado unos 85.000 residentes en situación irregular según el examen exhaustivo y la labor archivística realizados por el equipo del Organismo Central. Esa cifra es variable debido a las regularizaciones, la migración y el incremento del número de nacimientos y defunciones.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49"/>
        <w:gridCol w:w="1721"/>
      </w:tblGrid>
      <w:tr w:rsidR="008051D8" w:rsidRPr="008051D8" w14:paraId="1AC7CAFF" w14:textId="77777777" w:rsidTr="008051D8">
        <w:trPr>
          <w:trHeight w:val="240"/>
          <w:tblHeader/>
        </w:trPr>
        <w:tc>
          <w:tcPr>
            <w:tcW w:w="5561" w:type="dxa"/>
            <w:tcBorders>
              <w:top w:val="single" w:sz="4" w:space="0" w:color="auto"/>
              <w:bottom w:val="single" w:sz="12" w:space="0" w:color="auto"/>
            </w:tcBorders>
            <w:shd w:val="clear" w:color="auto" w:fill="auto"/>
            <w:vAlign w:val="bottom"/>
          </w:tcPr>
          <w:p w14:paraId="3F9CE775" w14:textId="77777777" w:rsidR="008051D8" w:rsidRPr="008051D8" w:rsidRDefault="008051D8" w:rsidP="008051D8">
            <w:pPr>
              <w:pStyle w:val="SingleTxtG"/>
              <w:spacing w:before="80" w:after="80" w:line="220" w:lineRule="exact"/>
              <w:ind w:left="0" w:right="0"/>
              <w:jc w:val="left"/>
              <w:rPr>
                <w:sz w:val="16"/>
                <w:szCs w:val="18"/>
              </w:rPr>
            </w:pPr>
          </w:p>
        </w:tc>
        <w:tc>
          <w:tcPr>
            <w:tcW w:w="1694" w:type="dxa"/>
            <w:tcBorders>
              <w:top w:val="single" w:sz="4" w:space="0" w:color="auto"/>
              <w:bottom w:val="single" w:sz="12" w:space="0" w:color="auto"/>
            </w:tcBorders>
            <w:shd w:val="clear" w:color="auto" w:fill="auto"/>
            <w:vAlign w:val="bottom"/>
          </w:tcPr>
          <w:p w14:paraId="0168566A" w14:textId="77777777" w:rsidR="008051D8" w:rsidRPr="008051D8" w:rsidRDefault="008051D8" w:rsidP="008051D8">
            <w:pPr>
              <w:pStyle w:val="SingleTxtG"/>
              <w:spacing w:before="80" w:after="80" w:line="220" w:lineRule="exact"/>
              <w:ind w:left="113" w:right="0"/>
              <w:jc w:val="right"/>
              <w:rPr>
                <w:i/>
                <w:sz w:val="16"/>
                <w:szCs w:val="18"/>
              </w:rPr>
            </w:pPr>
            <w:r w:rsidRPr="008051D8">
              <w:rPr>
                <w:i/>
                <w:sz w:val="16"/>
                <w:szCs w:val="18"/>
              </w:rPr>
              <w:t>Personas</w:t>
            </w:r>
          </w:p>
        </w:tc>
      </w:tr>
      <w:tr w:rsidR="00FA139B" w:rsidRPr="00FA139B" w14:paraId="7858E373" w14:textId="77777777" w:rsidTr="008051D8">
        <w:trPr>
          <w:trHeight w:val="240"/>
          <w:tblHeader/>
        </w:trPr>
        <w:tc>
          <w:tcPr>
            <w:tcW w:w="5561" w:type="dxa"/>
            <w:tcBorders>
              <w:top w:val="single" w:sz="12" w:space="0" w:color="auto"/>
              <w:bottom w:val="nil"/>
            </w:tcBorders>
            <w:shd w:val="clear" w:color="auto" w:fill="auto"/>
            <w:vAlign w:val="bottom"/>
            <w:hideMark/>
          </w:tcPr>
          <w:p w14:paraId="7DC34BBC" w14:textId="77777777" w:rsidR="00FA139B" w:rsidRPr="00FA139B" w:rsidRDefault="00FA139B" w:rsidP="00FA139B">
            <w:pPr>
              <w:pStyle w:val="SingleTxtG"/>
              <w:spacing w:before="40" w:after="40" w:line="220" w:lineRule="exact"/>
              <w:ind w:left="0" w:right="0"/>
              <w:jc w:val="left"/>
              <w:rPr>
                <w:sz w:val="18"/>
              </w:rPr>
            </w:pPr>
            <w:r w:rsidRPr="00FA139B">
              <w:rPr>
                <w:sz w:val="18"/>
              </w:rPr>
              <w:t>1990</w:t>
            </w:r>
          </w:p>
        </w:tc>
        <w:tc>
          <w:tcPr>
            <w:tcW w:w="1694" w:type="dxa"/>
            <w:tcBorders>
              <w:top w:val="single" w:sz="12" w:space="0" w:color="auto"/>
              <w:bottom w:val="nil"/>
            </w:tcBorders>
            <w:shd w:val="clear" w:color="auto" w:fill="auto"/>
            <w:vAlign w:val="bottom"/>
            <w:hideMark/>
          </w:tcPr>
          <w:p w14:paraId="483D725B" w14:textId="77777777" w:rsidR="00FA139B" w:rsidRPr="00FA139B" w:rsidRDefault="00FA139B" w:rsidP="00FA139B">
            <w:pPr>
              <w:pStyle w:val="SingleTxtG"/>
              <w:spacing w:before="40" w:after="40" w:line="220" w:lineRule="exact"/>
              <w:ind w:left="113" w:right="0"/>
              <w:jc w:val="right"/>
              <w:rPr>
                <w:sz w:val="18"/>
              </w:rPr>
            </w:pPr>
            <w:r w:rsidRPr="00FA139B">
              <w:rPr>
                <w:sz w:val="18"/>
              </w:rPr>
              <w:t>220</w:t>
            </w:r>
            <w:r>
              <w:rPr>
                <w:sz w:val="18"/>
              </w:rPr>
              <w:t xml:space="preserve"> </w:t>
            </w:r>
            <w:r w:rsidRPr="00FA139B">
              <w:rPr>
                <w:sz w:val="18"/>
              </w:rPr>
              <w:t>000</w:t>
            </w:r>
          </w:p>
        </w:tc>
      </w:tr>
      <w:tr w:rsidR="00FA139B" w:rsidRPr="00FA139B" w14:paraId="242904C4" w14:textId="77777777" w:rsidTr="00FA139B">
        <w:trPr>
          <w:trHeight w:val="240"/>
        </w:trPr>
        <w:tc>
          <w:tcPr>
            <w:tcW w:w="5561" w:type="dxa"/>
            <w:tcBorders>
              <w:top w:val="nil"/>
            </w:tcBorders>
            <w:shd w:val="clear" w:color="auto" w:fill="auto"/>
            <w:hideMark/>
          </w:tcPr>
          <w:p w14:paraId="051A9D2E" w14:textId="77777777" w:rsidR="00FA139B" w:rsidRPr="00FA139B" w:rsidRDefault="00FA139B" w:rsidP="00FA139B">
            <w:pPr>
              <w:pStyle w:val="SingleTxtG"/>
              <w:spacing w:before="40" w:after="40" w:line="220" w:lineRule="exact"/>
              <w:ind w:left="0" w:right="0"/>
              <w:jc w:val="left"/>
              <w:rPr>
                <w:sz w:val="18"/>
              </w:rPr>
            </w:pPr>
            <w:r w:rsidRPr="00FA139B">
              <w:rPr>
                <w:sz w:val="18"/>
              </w:rPr>
              <w:t>1995</w:t>
            </w:r>
          </w:p>
        </w:tc>
        <w:tc>
          <w:tcPr>
            <w:tcW w:w="1694" w:type="dxa"/>
            <w:tcBorders>
              <w:top w:val="nil"/>
            </w:tcBorders>
            <w:shd w:val="clear" w:color="auto" w:fill="auto"/>
            <w:vAlign w:val="bottom"/>
            <w:hideMark/>
          </w:tcPr>
          <w:p w14:paraId="690C9E7D" w14:textId="77777777" w:rsidR="00FA139B" w:rsidRPr="00FA139B" w:rsidRDefault="00FA139B" w:rsidP="00FA139B">
            <w:pPr>
              <w:pStyle w:val="SingleTxtG"/>
              <w:spacing w:before="40" w:after="40" w:line="220" w:lineRule="exact"/>
              <w:ind w:left="113" w:right="0"/>
              <w:jc w:val="right"/>
              <w:rPr>
                <w:sz w:val="18"/>
              </w:rPr>
            </w:pPr>
            <w:r w:rsidRPr="00FA139B">
              <w:rPr>
                <w:sz w:val="18"/>
              </w:rPr>
              <w:t>121</w:t>
            </w:r>
            <w:r>
              <w:rPr>
                <w:sz w:val="18"/>
              </w:rPr>
              <w:t xml:space="preserve"> </w:t>
            </w:r>
            <w:r w:rsidRPr="00FA139B">
              <w:rPr>
                <w:sz w:val="18"/>
              </w:rPr>
              <w:t>000</w:t>
            </w:r>
          </w:p>
        </w:tc>
      </w:tr>
      <w:tr w:rsidR="00FA139B" w:rsidRPr="00FA139B" w14:paraId="47DFED9A" w14:textId="77777777" w:rsidTr="00FA139B">
        <w:trPr>
          <w:trHeight w:val="240"/>
        </w:trPr>
        <w:tc>
          <w:tcPr>
            <w:tcW w:w="5561" w:type="dxa"/>
            <w:shd w:val="clear" w:color="auto" w:fill="auto"/>
            <w:hideMark/>
          </w:tcPr>
          <w:p w14:paraId="54A8A77F" w14:textId="77777777" w:rsidR="00FA139B" w:rsidRPr="00FA139B" w:rsidRDefault="00FA139B" w:rsidP="00FA139B">
            <w:pPr>
              <w:pStyle w:val="SingleTxtG"/>
              <w:spacing w:before="40" w:after="40" w:line="220" w:lineRule="exact"/>
              <w:ind w:left="0" w:right="0"/>
              <w:jc w:val="left"/>
              <w:rPr>
                <w:sz w:val="18"/>
              </w:rPr>
            </w:pPr>
            <w:r w:rsidRPr="00FA139B">
              <w:rPr>
                <w:sz w:val="18"/>
              </w:rPr>
              <w:t>2010</w:t>
            </w:r>
          </w:p>
        </w:tc>
        <w:tc>
          <w:tcPr>
            <w:tcW w:w="1694" w:type="dxa"/>
            <w:shd w:val="clear" w:color="auto" w:fill="auto"/>
            <w:vAlign w:val="bottom"/>
            <w:hideMark/>
          </w:tcPr>
          <w:p w14:paraId="652E9A3C" w14:textId="77777777" w:rsidR="00FA139B" w:rsidRPr="00FA139B" w:rsidRDefault="00FA139B" w:rsidP="00FA139B">
            <w:pPr>
              <w:pStyle w:val="SingleTxtG"/>
              <w:spacing w:before="40" w:after="40" w:line="220" w:lineRule="exact"/>
              <w:ind w:left="113" w:right="0"/>
              <w:jc w:val="right"/>
              <w:rPr>
                <w:sz w:val="18"/>
              </w:rPr>
            </w:pPr>
            <w:r w:rsidRPr="00FA139B">
              <w:rPr>
                <w:sz w:val="18"/>
              </w:rPr>
              <w:t>105</w:t>
            </w:r>
            <w:r>
              <w:rPr>
                <w:sz w:val="18"/>
              </w:rPr>
              <w:t xml:space="preserve"> </w:t>
            </w:r>
            <w:r w:rsidRPr="00FA139B">
              <w:rPr>
                <w:sz w:val="18"/>
              </w:rPr>
              <w:t>000</w:t>
            </w:r>
          </w:p>
        </w:tc>
      </w:tr>
      <w:tr w:rsidR="00FA139B" w:rsidRPr="00FA139B" w14:paraId="1782E530" w14:textId="77777777" w:rsidTr="00FA139B">
        <w:trPr>
          <w:trHeight w:val="240"/>
        </w:trPr>
        <w:tc>
          <w:tcPr>
            <w:tcW w:w="5561" w:type="dxa"/>
            <w:shd w:val="clear" w:color="auto" w:fill="auto"/>
            <w:hideMark/>
          </w:tcPr>
          <w:p w14:paraId="74AB05CF" w14:textId="77777777" w:rsidR="00FA139B" w:rsidRPr="00FA139B" w:rsidRDefault="00FA139B" w:rsidP="00FA139B">
            <w:pPr>
              <w:pStyle w:val="SingleTxtG"/>
              <w:spacing w:before="40" w:after="40" w:line="220" w:lineRule="exact"/>
              <w:ind w:left="0" w:right="0"/>
              <w:jc w:val="left"/>
              <w:rPr>
                <w:sz w:val="18"/>
              </w:rPr>
            </w:pPr>
            <w:r w:rsidRPr="00FA139B">
              <w:rPr>
                <w:sz w:val="18"/>
              </w:rPr>
              <w:t>2015</w:t>
            </w:r>
          </w:p>
        </w:tc>
        <w:tc>
          <w:tcPr>
            <w:tcW w:w="1694" w:type="dxa"/>
            <w:shd w:val="clear" w:color="auto" w:fill="auto"/>
            <w:vAlign w:val="bottom"/>
            <w:hideMark/>
          </w:tcPr>
          <w:p w14:paraId="600AC05F" w14:textId="77777777" w:rsidR="00FA139B" w:rsidRPr="00FA139B" w:rsidRDefault="00FA139B" w:rsidP="00FA139B">
            <w:pPr>
              <w:pStyle w:val="SingleTxtG"/>
              <w:spacing w:before="40" w:after="40" w:line="220" w:lineRule="exact"/>
              <w:ind w:left="113" w:right="0"/>
              <w:jc w:val="right"/>
              <w:rPr>
                <w:sz w:val="18"/>
              </w:rPr>
            </w:pPr>
            <w:r w:rsidRPr="00FA139B">
              <w:rPr>
                <w:sz w:val="18"/>
              </w:rPr>
              <w:t>96</w:t>
            </w:r>
            <w:r>
              <w:rPr>
                <w:sz w:val="18"/>
              </w:rPr>
              <w:t xml:space="preserve"> </w:t>
            </w:r>
            <w:r w:rsidRPr="00FA139B">
              <w:rPr>
                <w:sz w:val="18"/>
              </w:rPr>
              <w:t>000</w:t>
            </w:r>
          </w:p>
        </w:tc>
      </w:tr>
      <w:tr w:rsidR="00FA139B" w:rsidRPr="00FA139B" w14:paraId="7465C381" w14:textId="77777777" w:rsidTr="00FA139B">
        <w:trPr>
          <w:trHeight w:val="240"/>
        </w:trPr>
        <w:tc>
          <w:tcPr>
            <w:tcW w:w="5561" w:type="dxa"/>
            <w:shd w:val="clear" w:color="auto" w:fill="auto"/>
            <w:hideMark/>
          </w:tcPr>
          <w:p w14:paraId="139F32C3" w14:textId="77777777" w:rsidR="00FA139B" w:rsidRPr="00FA139B" w:rsidRDefault="00FA139B" w:rsidP="00FA139B">
            <w:pPr>
              <w:pStyle w:val="SingleTxtG"/>
              <w:spacing w:before="40" w:after="40" w:line="220" w:lineRule="exact"/>
              <w:ind w:left="0" w:right="0"/>
              <w:jc w:val="left"/>
              <w:rPr>
                <w:sz w:val="18"/>
              </w:rPr>
            </w:pPr>
            <w:r w:rsidRPr="00FA139B">
              <w:rPr>
                <w:sz w:val="18"/>
              </w:rPr>
              <w:t>2016</w:t>
            </w:r>
          </w:p>
        </w:tc>
        <w:tc>
          <w:tcPr>
            <w:tcW w:w="1694" w:type="dxa"/>
            <w:shd w:val="clear" w:color="auto" w:fill="auto"/>
            <w:vAlign w:val="bottom"/>
            <w:hideMark/>
          </w:tcPr>
          <w:p w14:paraId="5D6B31E3" w14:textId="77777777" w:rsidR="00FA139B" w:rsidRPr="00FA139B" w:rsidRDefault="00FA139B" w:rsidP="00FA139B">
            <w:pPr>
              <w:pStyle w:val="SingleTxtG"/>
              <w:spacing w:before="40" w:after="40" w:line="220" w:lineRule="exact"/>
              <w:ind w:left="113" w:right="0"/>
              <w:jc w:val="right"/>
              <w:rPr>
                <w:sz w:val="18"/>
              </w:rPr>
            </w:pPr>
            <w:r w:rsidRPr="00FA139B">
              <w:rPr>
                <w:sz w:val="18"/>
              </w:rPr>
              <w:t>92</w:t>
            </w:r>
            <w:r>
              <w:rPr>
                <w:sz w:val="18"/>
              </w:rPr>
              <w:t xml:space="preserve"> </w:t>
            </w:r>
            <w:r w:rsidRPr="00FA139B">
              <w:rPr>
                <w:sz w:val="18"/>
              </w:rPr>
              <w:t>000</w:t>
            </w:r>
          </w:p>
        </w:tc>
      </w:tr>
      <w:tr w:rsidR="00FA139B" w:rsidRPr="00FA139B" w14:paraId="0C949591" w14:textId="77777777" w:rsidTr="00FA139B">
        <w:trPr>
          <w:trHeight w:val="240"/>
        </w:trPr>
        <w:tc>
          <w:tcPr>
            <w:tcW w:w="5561" w:type="dxa"/>
            <w:shd w:val="clear" w:color="auto" w:fill="auto"/>
            <w:hideMark/>
          </w:tcPr>
          <w:p w14:paraId="7F0A173B" w14:textId="77777777" w:rsidR="00FA139B" w:rsidRPr="00FA139B" w:rsidRDefault="00FA139B" w:rsidP="00FA139B">
            <w:pPr>
              <w:pStyle w:val="SingleTxtG"/>
              <w:spacing w:before="40" w:after="40" w:line="220" w:lineRule="exact"/>
              <w:ind w:left="0" w:right="0"/>
              <w:jc w:val="left"/>
              <w:rPr>
                <w:sz w:val="18"/>
              </w:rPr>
            </w:pPr>
            <w:r w:rsidRPr="00FA139B">
              <w:rPr>
                <w:sz w:val="18"/>
              </w:rPr>
              <w:t>2017</w:t>
            </w:r>
          </w:p>
        </w:tc>
        <w:tc>
          <w:tcPr>
            <w:tcW w:w="1694" w:type="dxa"/>
            <w:shd w:val="clear" w:color="auto" w:fill="auto"/>
            <w:vAlign w:val="bottom"/>
            <w:hideMark/>
          </w:tcPr>
          <w:p w14:paraId="412A3DE0" w14:textId="77777777" w:rsidR="00FA139B" w:rsidRPr="00FA139B" w:rsidRDefault="00FA139B" w:rsidP="00FA139B">
            <w:pPr>
              <w:pStyle w:val="SingleTxtG"/>
              <w:spacing w:before="40" w:after="40" w:line="220" w:lineRule="exact"/>
              <w:ind w:left="113" w:right="0"/>
              <w:jc w:val="right"/>
              <w:rPr>
                <w:sz w:val="18"/>
              </w:rPr>
            </w:pPr>
            <w:r w:rsidRPr="00FA139B">
              <w:rPr>
                <w:sz w:val="18"/>
              </w:rPr>
              <w:t>88</w:t>
            </w:r>
            <w:r>
              <w:rPr>
                <w:sz w:val="18"/>
              </w:rPr>
              <w:t xml:space="preserve"> </w:t>
            </w:r>
            <w:r w:rsidRPr="00FA139B">
              <w:rPr>
                <w:sz w:val="18"/>
              </w:rPr>
              <w:t>000</w:t>
            </w:r>
          </w:p>
        </w:tc>
      </w:tr>
      <w:tr w:rsidR="00FA139B" w:rsidRPr="00FA139B" w14:paraId="2191BC54" w14:textId="77777777" w:rsidTr="00FA139B">
        <w:trPr>
          <w:trHeight w:val="240"/>
        </w:trPr>
        <w:tc>
          <w:tcPr>
            <w:tcW w:w="5561" w:type="dxa"/>
            <w:tcBorders>
              <w:bottom w:val="single" w:sz="12" w:space="0" w:color="auto"/>
            </w:tcBorders>
            <w:shd w:val="clear" w:color="auto" w:fill="auto"/>
            <w:hideMark/>
          </w:tcPr>
          <w:p w14:paraId="3B3A9153" w14:textId="77777777" w:rsidR="00FA139B" w:rsidRPr="00FA139B" w:rsidRDefault="00FA139B" w:rsidP="00FA139B">
            <w:pPr>
              <w:pStyle w:val="SingleTxtG"/>
              <w:spacing w:before="40" w:after="40" w:line="220" w:lineRule="exact"/>
              <w:ind w:left="0" w:right="0"/>
              <w:jc w:val="left"/>
              <w:rPr>
                <w:sz w:val="18"/>
              </w:rPr>
            </w:pPr>
            <w:r w:rsidRPr="00FA139B">
              <w:rPr>
                <w:sz w:val="18"/>
              </w:rPr>
              <w:t>2018</w:t>
            </w:r>
          </w:p>
        </w:tc>
        <w:tc>
          <w:tcPr>
            <w:tcW w:w="1694" w:type="dxa"/>
            <w:tcBorders>
              <w:bottom w:val="single" w:sz="12" w:space="0" w:color="auto"/>
            </w:tcBorders>
            <w:shd w:val="clear" w:color="auto" w:fill="auto"/>
            <w:vAlign w:val="bottom"/>
            <w:hideMark/>
          </w:tcPr>
          <w:p w14:paraId="50E5F917" w14:textId="77777777" w:rsidR="00FA139B" w:rsidRPr="00FA139B" w:rsidRDefault="00FA139B" w:rsidP="00FA139B">
            <w:pPr>
              <w:pStyle w:val="SingleTxtG"/>
              <w:spacing w:before="40" w:after="40" w:line="220" w:lineRule="exact"/>
              <w:ind w:left="113" w:right="0"/>
              <w:jc w:val="right"/>
              <w:rPr>
                <w:sz w:val="18"/>
              </w:rPr>
            </w:pPr>
            <w:r w:rsidRPr="00FA139B">
              <w:rPr>
                <w:sz w:val="18"/>
              </w:rPr>
              <w:t>85</w:t>
            </w:r>
            <w:r>
              <w:rPr>
                <w:sz w:val="18"/>
              </w:rPr>
              <w:t xml:space="preserve"> </w:t>
            </w:r>
            <w:r w:rsidRPr="00FA139B">
              <w:rPr>
                <w:sz w:val="18"/>
              </w:rPr>
              <w:t>000</w:t>
            </w:r>
          </w:p>
        </w:tc>
      </w:tr>
    </w:tbl>
    <w:p w14:paraId="6EF2953D" w14:textId="77777777" w:rsidR="00FA139B" w:rsidRPr="00FA139B" w:rsidRDefault="00FA139B" w:rsidP="00FA139B">
      <w:pPr>
        <w:pStyle w:val="H1G"/>
      </w:pPr>
      <w:r w:rsidRPr="00FA139B">
        <w:tab/>
      </w:r>
      <w:r w:rsidRPr="00FA139B">
        <w:tab/>
        <w:t>Recomendación núm. 10</w:t>
      </w:r>
    </w:p>
    <w:p w14:paraId="6B54443C" w14:textId="77777777" w:rsidR="00FA139B" w:rsidRPr="00FA139B" w:rsidRDefault="00FA139B" w:rsidP="00FA139B">
      <w:pPr>
        <w:pStyle w:val="SingleTxtG"/>
        <w:rPr>
          <w:b/>
          <w:bCs/>
          <w:u w:val="single"/>
        </w:rPr>
      </w:pPr>
      <w:r w:rsidRPr="00FA139B">
        <w:t>7.</w:t>
      </w:r>
      <w:r w:rsidRPr="00FA139B">
        <w:tab/>
        <w:t xml:space="preserve">El Estado de Kuwait se adhirió a la Convención Internacional sobre la Eliminación de Todas las Formas de Discriminación Racial mediante la Ley núm. 33/1968. Los convenios ratificados por Kuwait pasan desde la fecha de su entrada en vigor a formar parte integrante del ordenamiento jurídico del Estado. En consecuencia, los organismos e </w:t>
      </w:r>
      <w:r w:rsidRPr="00FA139B">
        <w:lastRenderedPageBreak/>
        <w:t>instituciones gubernamentales y las personas individuales están obligados a aplicarlos. La judicatura kuwaití vela por la observancia y la protección de esas disposiciones.</w:t>
      </w:r>
    </w:p>
    <w:p w14:paraId="1ACAB466" w14:textId="77777777" w:rsidR="00FA139B" w:rsidRPr="00FA139B" w:rsidRDefault="00FA139B" w:rsidP="00FA139B">
      <w:pPr>
        <w:pStyle w:val="SingleTxtG"/>
      </w:pPr>
      <w:r w:rsidRPr="00FA139B">
        <w:t>8.</w:t>
      </w:r>
      <w:r w:rsidRPr="00FA139B">
        <w:tab/>
        <w:t xml:space="preserve">El carácter vinculante de los convenios en el derecho nacional dimana de lo dispuesto en el artículo 70 de la Constitución del Estado de Kuwait: </w:t>
      </w:r>
      <w:r w:rsidR="006E23E2">
        <w:t>“</w:t>
      </w:r>
      <w:r w:rsidRPr="00FA139B">
        <w:t xml:space="preserve">El Emir sanciona los tratados mediante decreto y los transmite sin demora a la Asamblea Nacional acompañados de la declaración correspondiente. El tratado tiene fuerza de ley una vez firmado, ratificado y publicado en el </w:t>
      </w:r>
      <w:r w:rsidRPr="00FA139B">
        <w:rPr>
          <w:i/>
          <w:iCs/>
        </w:rPr>
        <w:t>Boletín Oficial</w:t>
      </w:r>
      <w:r w:rsidR="006E23E2">
        <w:t>”</w:t>
      </w:r>
      <w:r w:rsidRPr="00FA139B">
        <w:t>.</w:t>
      </w:r>
    </w:p>
    <w:p w14:paraId="6D77779B" w14:textId="77777777" w:rsidR="00FA139B" w:rsidRPr="00FA139B" w:rsidRDefault="00FA139B" w:rsidP="00FA139B">
      <w:pPr>
        <w:pStyle w:val="SingleTxtG"/>
      </w:pPr>
      <w:r w:rsidRPr="00FA139B">
        <w:t>9.</w:t>
      </w:r>
      <w:r w:rsidRPr="00FA139B">
        <w:tab/>
        <w:t xml:space="preserve">El Estado de Kuwait reprueba el racismo y la discriminación racial y promueve la justicia a la luz de la aleya coránica siguiente: </w:t>
      </w:r>
      <w:r w:rsidR="006E23E2">
        <w:t>“</w:t>
      </w:r>
      <w:r w:rsidRPr="00FA139B">
        <w:t>¡Gentes! Os hemos creado de un varón y una mujer y hemos hecho de vosotros pueblos y tribus diferentes para que os conozcáis. Para Dios, el más noble de vosotros es el más piadoso. Dios es omnisciente</w:t>
      </w:r>
      <w:r w:rsidR="006E23E2">
        <w:t>”</w:t>
      </w:r>
      <w:r w:rsidRPr="00FA139B">
        <w:t xml:space="preserve">. La </w:t>
      </w:r>
      <w:proofErr w:type="spellStart"/>
      <w:r w:rsidRPr="00F16CA7">
        <w:rPr>
          <w:i/>
        </w:rPr>
        <w:t>shar</w:t>
      </w:r>
      <w:r w:rsidR="00F16CA7" w:rsidRPr="00F16CA7">
        <w:rPr>
          <w:i/>
        </w:rPr>
        <w:t>i</w:t>
      </w:r>
      <w:r w:rsidRPr="00F16CA7">
        <w:rPr>
          <w:i/>
        </w:rPr>
        <w:t>a</w:t>
      </w:r>
      <w:proofErr w:type="spellEnd"/>
      <w:r w:rsidRPr="00FA139B">
        <w:t xml:space="preserve"> es una fuente fundamental de la Constitución del Estado de Kuwait, como se señala en su artículo 2.</w:t>
      </w:r>
    </w:p>
    <w:p w14:paraId="1B346B40" w14:textId="77777777" w:rsidR="00FA139B" w:rsidRPr="00FA139B" w:rsidRDefault="00FA139B" w:rsidP="00FA139B">
      <w:pPr>
        <w:pStyle w:val="SingleTxtG"/>
      </w:pPr>
      <w:r w:rsidRPr="00FA139B">
        <w:t>10.</w:t>
      </w:r>
      <w:r w:rsidRPr="00FA139B">
        <w:tab/>
        <w:t xml:space="preserve">La lucha contra el racismo se consagra como principio general en el artículo 29 de la Constitución, cuyo tenor ha promovido la articulación de reglas y marcos en favor de la igualdad, contra la discriminación racial y en defensa de la dignidad humana. El artículo citado dispone que </w:t>
      </w:r>
      <w:r w:rsidR="006E23E2">
        <w:t>“</w:t>
      </w:r>
      <w:r w:rsidRPr="00FA139B">
        <w:t>todas las personas son iguales ante la ley en dignidad y en derechos y deberes generales. No se harán distinciones entre ellas por motivo de sexo, origen, lengua o religión</w:t>
      </w:r>
      <w:r w:rsidR="006E23E2">
        <w:t>”</w:t>
      </w:r>
      <w:r w:rsidRPr="00FA139B">
        <w:t>.</w:t>
      </w:r>
    </w:p>
    <w:p w14:paraId="45032621" w14:textId="77777777" w:rsidR="00FA139B" w:rsidRPr="00FA139B" w:rsidRDefault="00FA139B" w:rsidP="00FA139B">
      <w:pPr>
        <w:pStyle w:val="SingleTxtG"/>
      </w:pPr>
      <w:r w:rsidRPr="00FA139B">
        <w:t>11.</w:t>
      </w:r>
      <w:r w:rsidRPr="00FA139B">
        <w:tab/>
        <w:t xml:space="preserve">El artículo 7 de la Constitución establece que </w:t>
      </w:r>
      <w:r w:rsidR="006E23E2">
        <w:t>“</w:t>
      </w:r>
      <w:r w:rsidRPr="00FA139B">
        <w:t>la justicia, la libertad y la igualdad son los pilares sobre los que se sustenta la sociedad. La cooperación y la compasión mutua generan un firme vínculo entre los ciudadanos</w:t>
      </w:r>
      <w:r w:rsidR="006E23E2">
        <w:t>”</w:t>
      </w:r>
      <w:r w:rsidRPr="00FA139B">
        <w:t>.</w:t>
      </w:r>
    </w:p>
    <w:p w14:paraId="24DA9C74" w14:textId="77777777" w:rsidR="00FA139B" w:rsidRPr="00FA139B" w:rsidRDefault="00FA139B" w:rsidP="00FA139B">
      <w:pPr>
        <w:pStyle w:val="SingleTxtG"/>
      </w:pPr>
      <w:r w:rsidRPr="00FA139B">
        <w:t>12.</w:t>
      </w:r>
      <w:r w:rsidRPr="00FA139B">
        <w:tab/>
        <w:t>Según el preámbulo de la Constitución, su artículo 29 consagra el principio de igualdad de derechos y deberes de manera general, por lo que solo explicita sus esferas fundamentales de aplicación (</w:t>
      </w:r>
      <w:r w:rsidR="006E23E2">
        <w:t>“</w:t>
      </w:r>
      <w:r w:rsidRPr="00FA139B">
        <w:t>no se harán distinciones entre ellas [las personas] por motivo de sexo, origen, lengua o religión</w:t>
      </w:r>
      <w:r w:rsidR="006E23E2">
        <w:t>”</w:t>
      </w:r>
      <w:r w:rsidRPr="00FA139B">
        <w:t>). El artículo citado no alude al color de la piel y la posición económica como motivos de discriminación, pese a que figuran como tales en la Declaración Universal de Derechos Humanos, porque el país no es en absoluto sospechoso de segregación racial. El tenor del artículo 29 citado basta para disipar cualquier sospecha de esa índole. Por otra parte, la discriminación motivada por la posición económica es totalmente ajena a la sociedad kuwaití y, por tanto, no se precisa una disposición específica que la prohíba.</w:t>
      </w:r>
    </w:p>
    <w:p w14:paraId="71B0C729" w14:textId="77777777" w:rsidR="00FA139B" w:rsidRPr="00FA139B" w:rsidRDefault="00FA139B" w:rsidP="00FA139B">
      <w:pPr>
        <w:pStyle w:val="SingleTxtG"/>
      </w:pPr>
      <w:r w:rsidRPr="00FA139B">
        <w:t>13.</w:t>
      </w:r>
      <w:r w:rsidRPr="00FA139B">
        <w:tab/>
        <w:t xml:space="preserve">La legislación nacional, en consonancia con los principios consagrados en la Constitución, promueve y protege los derechos humanos y las libertades fundamentales y repudia la discriminación racial y el racismo, con independencia de su forma o motivo. Entre las disposiciones pertinentes conviene señalar las que siguen. </w:t>
      </w:r>
    </w:p>
    <w:p w14:paraId="25D55281" w14:textId="77777777" w:rsidR="00FA139B" w:rsidRPr="00FA139B" w:rsidRDefault="00FA139B" w:rsidP="00FA139B">
      <w:pPr>
        <w:pStyle w:val="SingleTxtG"/>
      </w:pPr>
      <w:r w:rsidRPr="00FA139B">
        <w:t>14.</w:t>
      </w:r>
      <w:r w:rsidRPr="00FA139B">
        <w:tab/>
      </w:r>
      <w:r w:rsidR="006E23E2">
        <w:t>“</w:t>
      </w:r>
      <w:r w:rsidRPr="00FA139B">
        <w:t xml:space="preserve">La asociación o agrupación no perseguirá fines ilícitos [...]. Tampoco se inmiscuirá en política o controversias religiosas ni fomentará antagonismos sectarios, raciales o doctrinales </w:t>
      </w:r>
      <w:r w:rsidR="006E23E2">
        <w:t>“</w:t>
      </w:r>
      <w:r w:rsidRPr="00FA139B">
        <w:t xml:space="preserve"> (art. 6 de la Ley núm. 24/1962 de las Agrupaciones y Asociaciones de Interés Público).</w:t>
      </w:r>
    </w:p>
    <w:p w14:paraId="03CAD3D7" w14:textId="77777777" w:rsidR="00FA139B" w:rsidRPr="00FA139B" w:rsidRDefault="00FA139B" w:rsidP="00FA139B">
      <w:pPr>
        <w:pStyle w:val="SingleTxtG"/>
      </w:pPr>
      <w:r w:rsidRPr="00FA139B">
        <w:t>15.</w:t>
      </w:r>
      <w:r w:rsidRPr="00FA139B">
        <w:tab/>
      </w:r>
      <w:r w:rsidR="006E23E2">
        <w:t>“</w:t>
      </w:r>
      <w:r w:rsidRPr="00FA139B">
        <w:t>Tampoco se prescindirá de los servicios del trabajador por motivos de sexo, origen o religión</w:t>
      </w:r>
      <w:r w:rsidR="006E23E2">
        <w:t>”</w:t>
      </w:r>
      <w:r w:rsidRPr="00FA139B">
        <w:t xml:space="preserve"> (art. 46 de la Ley núm. 6/2010 del Empleo en el Sector Privado).</w:t>
      </w:r>
    </w:p>
    <w:p w14:paraId="172DA2B2" w14:textId="77777777" w:rsidR="00FA139B" w:rsidRPr="00FA139B" w:rsidRDefault="00FA139B" w:rsidP="00FA139B">
      <w:pPr>
        <w:pStyle w:val="SingleTxtG"/>
      </w:pPr>
      <w:r w:rsidRPr="00FA139B">
        <w:t>16.</w:t>
      </w:r>
      <w:r w:rsidRPr="00FA139B">
        <w:tab/>
        <w:t>El Código Penal de Kuwait tipifica de manera general la propagación de ideas destructivas dirigidas contra el sistema social y económico del país. El artículo 30 de la Ley núm. 31/1970, por la que se modifica parte del articulado del Código Penal (Ley núm.</w:t>
      </w:r>
      <w:r w:rsidR="00817E48">
        <w:t> </w:t>
      </w:r>
      <w:r w:rsidRPr="00FA139B">
        <w:t xml:space="preserve">16/1960), dispone al respecto lo siguiente: </w:t>
      </w:r>
      <w:r w:rsidR="006E23E2">
        <w:t>“</w:t>
      </w:r>
      <w:r w:rsidRPr="00FA139B">
        <w:t>Se prohíben las asociaciones, los grupos y las entidades cuyo objetivo sea propagar ideas dirigidas a demoler por medios ilícitos los cimientos de la sociedad kuwaití o a comprometer mediante el uso de la fuerza el sistema social y económico del país</w:t>
      </w:r>
      <w:r w:rsidR="006E23E2">
        <w:t>”</w:t>
      </w:r>
      <w:r w:rsidRPr="00FA139B">
        <w:t>.</w:t>
      </w:r>
    </w:p>
    <w:p w14:paraId="4CC733FF" w14:textId="77777777" w:rsidR="00FA139B" w:rsidRPr="00FA139B" w:rsidRDefault="00FA139B" w:rsidP="00FA139B">
      <w:pPr>
        <w:pStyle w:val="SingleTxtG"/>
      </w:pPr>
      <w:r w:rsidRPr="00FA139B">
        <w:t>17.</w:t>
      </w:r>
      <w:r w:rsidRPr="00FA139B">
        <w:tab/>
        <w:t xml:space="preserve">En este sentido, y en afirmación del principio de igualdad, la Constitución kuwaití equipara a todas las personas en materia de derechos y obligaciones legales. Toda la legislación del Estado se ajusta a ese precepto. Por ejemplo, la Ley núm. 16/1960, por la que se promulga el Código Penal, afirma el principio de igualdad en la aplicación de sus disposiciones. Según su artículo 11, las disposiciones del Código Penal se aplicarán a </w:t>
      </w:r>
      <w:r w:rsidRPr="00FA139B">
        <w:lastRenderedPageBreak/>
        <w:t xml:space="preserve">cuantos cometan en el territorio de Kuwait alguno de los delitos en él tipificados. La Ley núm. 109/2014, por la que se añade el artículo 4 </w:t>
      </w:r>
      <w:r w:rsidRPr="00F16CA7">
        <w:rPr>
          <w:i/>
        </w:rPr>
        <w:t>bis</w:t>
      </w:r>
      <w:r w:rsidRPr="00FA139B">
        <w:t xml:space="preserve"> a la Ley núm. 14/1973 del Establecimiento del Tribunal Constitucional del Estado de Kuwait, dispone que </w:t>
      </w:r>
      <w:r w:rsidR="006E23E2">
        <w:t>“</w:t>
      </w:r>
      <w:r w:rsidRPr="00FA139B">
        <w:t>toda persona física o jurídica podrá impugnar ante el Tribunal Constitucional mediante acción principal la ley, el decreto ley o el reglamento ejecutivo del que tuviera indicios fundados de inconstitucionalidad, siempre que le asista un interés personal directo en el recurso</w:t>
      </w:r>
      <w:r w:rsidR="006E23E2">
        <w:t>”</w:t>
      </w:r>
      <w:r w:rsidRPr="00FA139B">
        <w:t>. Esa disposición permite a cuantos se encuentren en el Estado de Kuwait recurrir ante el Tribunal Constitucional una ley o un reglamento ejecutivo que infrinja un precepto constitucional, incluido el principio de igualdad y no discriminación.</w:t>
      </w:r>
    </w:p>
    <w:p w14:paraId="1122935C" w14:textId="77777777" w:rsidR="00FA139B" w:rsidRPr="00FA139B" w:rsidRDefault="00FA139B" w:rsidP="00FA139B">
      <w:pPr>
        <w:pStyle w:val="SingleTxtG"/>
      </w:pPr>
      <w:r w:rsidRPr="00FA139B">
        <w:t>18.</w:t>
      </w:r>
      <w:r w:rsidRPr="00FA139B">
        <w:tab/>
        <w:t xml:space="preserve">La Ley núm. 67/1980, por la que se promulga la Ley Civil, afirma la capacidad jurídica de todas las personas presentes en el Estado de Kuwait, sin distinción entre ciudadanos y residentes. Esa norma tiene un ámbito de aplicación general y no consagra distinción ni discriminación alguna. Según su artículo 84, </w:t>
      </w:r>
      <w:r w:rsidR="006E23E2">
        <w:t>“</w:t>
      </w:r>
      <w:r w:rsidRPr="00FA139B">
        <w:t>toda persona tiene capacidad contractual, salvo que la ley lo considere incapaz o con capacidad restringida</w:t>
      </w:r>
      <w:r w:rsidR="006E23E2">
        <w:t>”</w:t>
      </w:r>
      <w:r w:rsidRPr="00FA139B">
        <w:t>.</w:t>
      </w:r>
    </w:p>
    <w:p w14:paraId="767BDC1A" w14:textId="77777777" w:rsidR="00FA139B" w:rsidRPr="00FA139B" w:rsidRDefault="00FA139B" w:rsidP="00FA139B">
      <w:pPr>
        <w:pStyle w:val="SingleTxtG"/>
      </w:pPr>
      <w:r w:rsidRPr="00FA139B">
        <w:t>19.</w:t>
      </w:r>
      <w:r w:rsidRPr="00FA139B">
        <w:tab/>
        <w:t>El artículo 1 del Decreto</w:t>
      </w:r>
      <w:r w:rsidR="00F16CA7">
        <w:t>-l</w:t>
      </w:r>
      <w:r w:rsidRPr="00FA139B">
        <w:t xml:space="preserve">ey núm. 19/2012 para la Protección de la Unidad Nacional dispone lo siguiente: </w:t>
      </w:r>
      <w:r w:rsidR="006E23E2">
        <w:t>“</w:t>
      </w:r>
      <w:r w:rsidRPr="00FA139B">
        <w:t>Se prohíbe la incitación al odio o el escarnio de colectivo social alguno por cualquiera de los medios de expresión señalados en el artículo 29 de la Ley núm. 31/1970, por la que se modifica parte del articulado del Código Penal, la incitación a la discordia confesional o tribual, la promoción de ideologías basadas en la superioridad de una raza, grupo, color de piel, origen, confesión religiosa, género o linaje, la incitación a la comisión de actos de violencia dirigidos a tal fin, la difusión de idearios que propugnen la superioridad por motivos de raza, pertenencia comunitaria, color de la piel, origen, adscripción doctrinal religiosa, sexo o linaje, así como la exhortación a todo ello. Se prohíbe asimismo la incitación a la comisión de actos de violencia y la emisión radiofónica, difusión, impresión, transmisión o retransmisión y producción de contenidos o material impreso o audiovisual violento, así como la propagación de rumores falsos que conduzcan a la comisión de esos actos. Las disposiciones del párrafo anterior se aplicarán a toda persona que fuera de la jurisdicción del Estado de Kuwait realice un acto, en calidad de autor o cómplice, que permita la comisión total o parcial de un delito en la jurisdicción del Estado de Kuwait. Se considerarán medios de expresión las redes informáticas de datos, los blogs en ellas publicados y cualquier otro medio de comunicación contemporáneo</w:t>
      </w:r>
      <w:r w:rsidR="006E23E2">
        <w:t>”</w:t>
      </w:r>
      <w:r w:rsidRPr="00FA139B">
        <w:t>.</w:t>
      </w:r>
    </w:p>
    <w:p w14:paraId="08B7CDAE" w14:textId="77777777" w:rsidR="00FA139B" w:rsidRPr="00FA139B" w:rsidRDefault="00FA139B" w:rsidP="00FA139B">
      <w:pPr>
        <w:pStyle w:val="SingleTxtG"/>
      </w:pPr>
      <w:r w:rsidRPr="00FA139B">
        <w:t>20.</w:t>
      </w:r>
      <w:r w:rsidRPr="00FA139B">
        <w:tab/>
        <w:t xml:space="preserve">El artículo 2 de la misma </w:t>
      </w:r>
      <w:r w:rsidR="00F16CA7">
        <w:t>L</w:t>
      </w:r>
      <w:r w:rsidRPr="00FA139B">
        <w:t xml:space="preserve">ey dispone que, </w:t>
      </w:r>
      <w:r w:rsidR="006E23E2">
        <w:t>“</w:t>
      </w:r>
      <w:r w:rsidRPr="00FA139B">
        <w:t xml:space="preserve">sin perjuicio de cualesquiera otras sanciones más graves previstas en otra ley, el que vulnere lo dispuesto en el artículo primero de esta </w:t>
      </w:r>
      <w:r w:rsidR="00817E48">
        <w:t>L</w:t>
      </w:r>
      <w:r w:rsidRPr="00FA139B">
        <w:t>ey será castigado con la pena de prisión de hasta siete años o multa de</w:t>
      </w:r>
      <w:r w:rsidR="008051D8">
        <w:t> </w:t>
      </w:r>
      <w:r w:rsidRPr="00FA139B">
        <w:t>10.000 a 100.000 dinares. También será condenado al decomiso de los medios, bienes, instrumentos, periódicos y publicaciones utilizados en la comisión del delito. En caso de reincidencia se duplicará la pena</w:t>
      </w:r>
      <w:r w:rsidR="006E23E2">
        <w:t>”</w:t>
      </w:r>
      <w:r w:rsidRPr="00FA139B">
        <w:t>.</w:t>
      </w:r>
    </w:p>
    <w:p w14:paraId="0E5A45FC" w14:textId="77777777" w:rsidR="00FA139B" w:rsidRPr="00FA139B" w:rsidRDefault="00FA139B" w:rsidP="00FA139B">
      <w:pPr>
        <w:pStyle w:val="H1G"/>
      </w:pPr>
      <w:r w:rsidRPr="00FA139B">
        <w:tab/>
      </w:r>
      <w:r w:rsidRPr="00FA139B">
        <w:tab/>
        <w:t>Recomendación núm. 12</w:t>
      </w:r>
    </w:p>
    <w:p w14:paraId="383B89BF" w14:textId="77777777" w:rsidR="00FA139B" w:rsidRPr="00FA139B" w:rsidRDefault="00FA139B" w:rsidP="00FA139B">
      <w:pPr>
        <w:pStyle w:val="SingleTxtG"/>
      </w:pPr>
      <w:r w:rsidRPr="00FA139B">
        <w:t>21.</w:t>
      </w:r>
      <w:r w:rsidRPr="00FA139B">
        <w:tab/>
        <w:t>El Estado promulgó la Ley núm. 67/2015, por la que se establece la Oficina Nacional de Derechos Humanos, con el fin de asegurar la efectividad de los derechos y las libertades de las personas en el país y el cumplimiento de los compromisos voluntarios adquiridos por Kuwait ante el Consejo de Derechos Humanos durante su primer examen periódico universal (mayo de 2010).</w:t>
      </w:r>
    </w:p>
    <w:p w14:paraId="5F203CE0" w14:textId="77777777" w:rsidR="00FA139B" w:rsidRPr="00FA139B" w:rsidRDefault="00FA139B" w:rsidP="00FA139B">
      <w:pPr>
        <w:pStyle w:val="SingleTxtG"/>
      </w:pPr>
      <w:r w:rsidRPr="00FA139B">
        <w:t>22.</w:t>
      </w:r>
      <w:r w:rsidRPr="00FA139B">
        <w:tab/>
        <w:t xml:space="preserve">Esa </w:t>
      </w:r>
      <w:r w:rsidR="00817E48">
        <w:t>L</w:t>
      </w:r>
      <w:r w:rsidRPr="00FA139B">
        <w:t>ey presenta una naturaleza jurídica particular, ya que su objetivo es alcanzar los fines señalados plasmándolos en un documento normativo que les dé cumplimiento en la práctica. La Oficina Nacional de Derechos Humanos es una institución nacional de derechos humanos gubernamental e independiente. No se trata de un órgano administrativo o público al uso, ni tampoco es asimilable a una organización de la sociedad civil. Se puede afirmar que la descripción jurídica más precisa de la Oficina Nacional de Derechos Humanos es que constituye un organismo nacional permanente que se ocupa de los derechos y las libertades de las personas.</w:t>
      </w:r>
    </w:p>
    <w:p w14:paraId="72CC4B11" w14:textId="77777777" w:rsidR="00FA139B" w:rsidRPr="00FA139B" w:rsidRDefault="00FA139B" w:rsidP="00FA139B">
      <w:pPr>
        <w:pStyle w:val="SingleTxtG"/>
      </w:pPr>
      <w:r w:rsidRPr="00FA139B">
        <w:t>23.</w:t>
      </w:r>
      <w:r w:rsidRPr="00FA139B">
        <w:tab/>
        <w:t>La Oficina Nacional de Derechos Humanos, según el artículo 2 de su ley constituyente, depende del Consejo de Ministros y goza de personalidad jurídica y autonomía para el ejercicio de las funciones, actividades y competencias señaladas.</w:t>
      </w:r>
    </w:p>
    <w:p w14:paraId="2268C862" w14:textId="77777777" w:rsidR="00FA139B" w:rsidRPr="00FA139B" w:rsidRDefault="00FA139B" w:rsidP="00FA139B">
      <w:pPr>
        <w:pStyle w:val="SingleTxtG"/>
      </w:pPr>
      <w:r w:rsidRPr="00FA139B">
        <w:lastRenderedPageBreak/>
        <w:t>24.</w:t>
      </w:r>
      <w:r w:rsidRPr="00FA139B">
        <w:tab/>
        <w:t>El artículo 3 determina el número de miembros de su Junta Directiva y su composición plural. Los miembros de la Junta gozan en el ejercicio de su mandato de la inmunidad prevista para los miembros de las entidades nacionales independientes, de conformidad con las convenciones internacionales de derechos humanos.</w:t>
      </w:r>
    </w:p>
    <w:p w14:paraId="28DC1F29" w14:textId="77777777" w:rsidR="00FA139B" w:rsidRPr="00FA139B" w:rsidRDefault="00FA139B" w:rsidP="00FA139B">
      <w:pPr>
        <w:pStyle w:val="SingleTxtG"/>
      </w:pPr>
      <w:r w:rsidRPr="00FA139B">
        <w:t>25.</w:t>
      </w:r>
      <w:r w:rsidRPr="00FA139B">
        <w:tab/>
        <w:t>El artículo 6 enumera con precisión en torno a 14 facultades, entre competencias legales, labores y actividades realistas, propuestas para la Oficina considerando diversos marcos de derechos humanos y acción humanitaria, en particular las obligaciones contempladas en las principales convenciones de derechos humanos y las atribuciones definidas en el párrafo 3 de los Principios de París.</w:t>
      </w:r>
    </w:p>
    <w:p w14:paraId="1FA42D48" w14:textId="77777777" w:rsidR="00FA139B" w:rsidRPr="00FA139B" w:rsidRDefault="00FA139B" w:rsidP="00FA139B">
      <w:pPr>
        <w:pStyle w:val="SingleTxtG"/>
      </w:pPr>
      <w:r w:rsidRPr="00FA139B">
        <w:t>26.</w:t>
      </w:r>
      <w:r w:rsidRPr="00FA139B">
        <w:tab/>
        <w:t>El artículo 7, en consideración a la importancia máxima que revisten los marcos de cooperación y coordinación entre los organismos nacionales, obliga a todas las instancias gubernamentales, con independencia de su naturaleza, y a las entidades no gubernamentales a auxiliar a la Oficina facilitándole la información, los datos y la documentación que precise.</w:t>
      </w:r>
    </w:p>
    <w:p w14:paraId="7869DE46" w14:textId="77777777" w:rsidR="00FA139B" w:rsidRPr="00FA139B" w:rsidRDefault="00FA139B" w:rsidP="00FA139B">
      <w:pPr>
        <w:pStyle w:val="SingleTxtG"/>
      </w:pPr>
      <w:r w:rsidRPr="00FA139B">
        <w:t>27.</w:t>
      </w:r>
      <w:r w:rsidRPr="00FA139B">
        <w:tab/>
        <w:t>El artículo 9 prevé la constitución en la Junta Directiva de diversos comités permanentes (Comité de Derechos Civiles y Políticos, Comité de los Derechos de la Familia, Comité contra la Tortura, la Discriminación Racial y la Trata de Personas, y Comité de Quejas y Denuncias). Cada uno de ellos estará encabezado por un miembro de la Junta Directiva.</w:t>
      </w:r>
    </w:p>
    <w:p w14:paraId="10810956" w14:textId="77777777" w:rsidR="00FA139B" w:rsidRPr="00FA139B" w:rsidRDefault="00FA139B" w:rsidP="00FA139B">
      <w:pPr>
        <w:pStyle w:val="SingleTxtG"/>
      </w:pPr>
      <w:r w:rsidRPr="00FA139B">
        <w:t>28.</w:t>
      </w:r>
      <w:r w:rsidRPr="00FA139B">
        <w:tab/>
        <w:t>En relación con el apartado b) de esta recomendación, en el que se solicita que se ponga en funcionamiento la Oficina Nacional de Derechos Humanos, conviene señalar que los miembros de su Junta Directiva fueron designados en virtud del Decreto núm.</w:t>
      </w:r>
      <w:r>
        <w:t> </w:t>
      </w:r>
      <w:r w:rsidRPr="00FA139B">
        <w:t>269/2018. La Oficina está en funcionamiento, vigila la situación de los derechos humanos en Kuwait y participa en numerosas reuniones dentro y fuera del Estado.</w:t>
      </w:r>
    </w:p>
    <w:p w14:paraId="414FDCEB" w14:textId="77777777" w:rsidR="00FA139B" w:rsidRPr="00FA139B" w:rsidRDefault="00FA139B" w:rsidP="00FA139B">
      <w:pPr>
        <w:pStyle w:val="H1G"/>
      </w:pPr>
      <w:r w:rsidRPr="00FA139B">
        <w:tab/>
      </w:r>
      <w:r w:rsidRPr="00FA139B">
        <w:tab/>
        <w:t>Recomendación núm. 14 a)</w:t>
      </w:r>
    </w:p>
    <w:p w14:paraId="2FDAF173" w14:textId="77777777" w:rsidR="00FA139B" w:rsidRPr="00FA139B" w:rsidRDefault="00FA139B" w:rsidP="00FA139B">
      <w:pPr>
        <w:pStyle w:val="SingleTxtG"/>
      </w:pPr>
      <w:r w:rsidRPr="00FA139B">
        <w:t>29.</w:t>
      </w:r>
      <w:r w:rsidRPr="00FA139B">
        <w:tab/>
        <w:t xml:space="preserve">El Ministerio del Interior hace cumplir la ley a todos, con independencia de la nacionalidad, el color de la piel o el sexo, y preserva la seguridad y el orden público en el país. Para ello, el Ministerio aplica los criterios siguientes: </w:t>
      </w:r>
    </w:p>
    <w:p w14:paraId="7D6D8697" w14:textId="77777777" w:rsidR="00FA139B" w:rsidRPr="00FA139B" w:rsidRDefault="00FA139B" w:rsidP="00FA139B">
      <w:pPr>
        <w:pStyle w:val="Bullet1G"/>
      </w:pPr>
      <w:r w:rsidRPr="00FA139B">
        <w:t>Principio de imperio universal de la ley, sin distinción ni discriminación entre ciudadanos y extranjeros residentes. Las comisarías de policía, dependientes de las direcciones de seguridad, reciben las notificaciones y denuncias sobre cualquier tipo de infracción y las tramitan, sin discriminación ni manifestación de odio o racismo hacia el denunciante o denunciado ni distinción por motivo de sexo o nacionalidad. La ley se aplica a todos, pues todos son iguales antes la ley</w:t>
      </w:r>
      <w:r>
        <w:t>.</w:t>
      </w:r>
    </w:p>
    <w:p w14:paraId="6DD14970" w14:textId="77777777" w:rsidR="00FA139B" w:rsidRPr="00FA139B" w:rsidRDefault="00FA139B" w:rsidP="00FA139B">
      <w:pPr>
        <w:pStyle w:val="Bullet1G"/>
      </w:pPr>
      <w:r w:rsidRPr="00FA139B">
        <w:t>La ley determina el trato que debe dispensarse a todas las personas en los establecimientos de privación de libertad. Los agentes de policía han recibido instrucciones estrictas de abstenerse de toda forma o manifestación de odio o racismo hacia las personas detenidas. Los agentes deben ejecutar de manera estricta las resoluciones de detención y reclusión dictadas por las instancias de investigación (la Fiscalía y los instructores). Esas resoluciones se ejecutan, desde luego, sin manifestación alguna de racismo.</w:t>
      </w:r>
    </w:p>
    <w:p w14:paraId="10FB2DD3" w14:textId="77777777" w:rsidR="00FA139B" w:rsidRPr="00FA139B" w:rsidRDefault="00FA139B" w:rsidP="00FA139B">
      <w:pPr>
        <w:pStyle w:val="H1G"/>
      </w:pPr>
      <w:r w:rsidRPr="00FA139B">
        <w:tab/>
      </w:r>
      <w:r w:rsidRPr="00FA139B">
        <w:tab/>
        <w:t>Recomendación núm. 14 b)</w:t>
      </w:r>
    </w:p>
    <w:p w14:paraId="0F19ACEE" w14:textId="77777777" w:rsidR="00FA139B" w:rsidRPr="00FA139B" w:rsidRDefault="00FA139B" w:rsidP="00FA139B">
      <w:pPr>
        <w:pStyle w:val="SingleTxtG"/>
      </w:pPr>
      <w:r w:rsidRPr="00FA139B">
        <w:t>30.</w:t>
      </w:r>
      <w:r w:rsidRPr="00FA139B">
        <w:tab/>
        <w:t>A continuación figuran datos estadísticos de 2016 a 2019 sobre el número de causas sustanciadas en las diferentes instancias judiciales del Estado de Kuwait por infracción a la Ley para la Protección de la Unidad Nacional o por la comisión de actos de incitación a la discordia sectaria, así como el número de personas acusadas y las resoluciones dictadas.</w:t>
      </w:r>
    </w:p>
    <w:p w14:paraId="670BDF8E" w14:textId="77777777" w:rsidR="00FA139B" w:rsidRPr="00FA139B" w:rsidRDefault="00FA139B" w:rsidP="00FA139B">
      <w:pPr>
        <w:pStyle w:val="H23G"/>
      </w:pPr>
      <w:r>
        <w:lastRenderedPageBreak/>
        <w:tab/>
      </w:r>
      <w:r w:rsidRPr="00FA139B">
        <w:t>1.</w:t>
      </w:r>
      <w:r w:rsidRPr="00FA139B">
        <w:tab/>
        <w:t xml:space="preserve">Información estadística sobre el número de causas sustanciadas por infracción </w:t>
      </w:r>
      <w:r>
        <w:br/>
      </w:r>
      <w:r w:rsidRPr="00FA139B">
        <w:t xml:space="preserve">a la Ley para la Protección de la Unidad Nacional y por la comisión de actos de incitación a la discordia sectaria, así como sobre el número de personas acusadas </w:t>
      </w:r>
      <w:r>
        <w:br/>
      </w:r>
      <w:r w:rsidRPr="00FA139B">
        <w:t>y las resoluciones dictadas entre 2016 y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4253"/>
        <w:gridCol w:w="1275"/>
        <w:gridCol w:w="1133"/>
      </w:tblGrid>
      <w:tr w:rsidR="00FA139B" w:rsidRPr="00FA139B" w14:paraId="3E769253" w14:textId="77777777" w:rsidTr="00FA139B">
        <w:trPr>
          <w:trHeight w:val="240"/>
          <w:tblHeader/>
        </w:trPr>
        <w:tc>
          <w:tcPr>
            <w:tcW w:w="709" w:type="dxa"/>
            <w:tcBorders>
              <w:top w:val="single" w:sz="4" w:space="0" w:color="auto"/>
              <w:bottom w:val="single" w:sz="12" w:space="0" w:color="auto"/>
            </w:tcBorders>
            <w:shd w:val="clear" w:color="auto" w:fill="auto"/>
            <w:vAlign w:val="bottom"/>
            <w:hideMark/>
          </w:tcPr>
          <w:p w14:paraId="4D8C3429" w14:textId="77777777" w:rsidR="00FA139B" w:rsidRPr="00FA139B" w:rsidRDefault="00FA139B" w:rsidP="00FA139B">
            <w:pPr>
              <w:pStyle w:val="SingleTxtG"/>
              <w:keepNext/>
              <w:spacing w:before="80" w:after="80" w:line="200" w:lineRule="exact"/>
              <w:ind w:left="0" w:right="0"/>
              <w:jc w:val="left"/>
              <w:rPr>
                <w:i/>
                <w:sz w:val="16"/>
              </w:rPr>
            </w:pPr>
            <w:r w:rsidRPr="00FA139B">
              <w:rPr>
                <w:i/>
                <w:sz w:val="16"/>
              </w:rPr>
              <w:t>Año</w:t>
            </w:r>
          </w:p>
        </w:tc>
        <w:tc>
          <w:tcPr>
            <w:tcW w:w="4253" w:type="dxa"/>
            <w:tcBorders>
              <w:top w:val="single" w:sz="4" w:space="0" w:color="auto"/>
              <w:bottom w:val="single" w:sz="12" w:space="0" w:color="auto"/>
            </w:tcBorders>
            <w:shd w:val="clear" w:color="auto" w:fill="auto"/>
            <w:vAlign w:val="bottom"/>
            <w:hideMark/>
          </w:tcPr>
          <w:p w14:paraId="16B9E01D" w14:textId="77777777" w:rsidR="00FA139B" w:rsidRPr="00FA139B" w:rsidRDefault="00FA139B" w:rsidP="00FA139B">
            <w:pPr>
              <w:pStyle w:val="SingleTxtG"/>
              <w:keepNext/>
              <w:spacing w:before="80" w:after="80" w:line="200" w:lineRule="exact"/>
              <w:ind w:left="113" w:right="0"/>
              <w:jc w:val="left"/>
              <w:rPr>
                <w:i/>
                <w:iCs/>
                <w:sz w:val="16"/>
              </w:rPr>
            </w:pPr>
            <w:r w:rsidRPr="00FA139B">
              <w:rPr>
                <w:i/>
                <w:iCs/>
                <w:sz w:val="16"/>
              </w:rPr>
              <w:t>Fallo</w:t>
            </w:r>
          </w:p>
        </w:tc>
        <w:tc>
          <w:tcPr>
            <w:tcW w:w="1275" w:type="dxa"/>
            <w:tcBorders>
              <w:top w:val="single" w:sz="4" w:space="0" w:color="auto"/>
              <w:bottom w:val="single" w:sz="12" w:space="0" w:color="auto"/>
            </w:tcBorders>
            <w:shd w:val="clear" w:color="auto" w:fill="auto"/>
            <w:vAlign w:val="bottom"/>
            <w:hideMark/>
          </w:tcPr>
          <w:p w14:paraId="73D77C7E" w14:textId="77777777" w:rsidR="00FA139B" w:rsidRPr="00FA139B" w:rsidRDefault="00FA139B" w:rsidP="00FA139B">
            <w:pPr>
              <w:pStyle w:val="SingleTxtG"/>
              <w:keepNext/>
              <w:spacing w:before="80" w:after="80" w:line="200" w:lineRule="exact"/>
              <w:ind w:left="113" w:right="0"/>
              <w:jc w:val="right"/>
              <w:rPr>
                <w:i/>
                <w:iCs/>
                <w:sz w:val="16"/>
              </w:rPr>
            </w:pPr>
            <w:r w:rsidRPr="00FA139B">
              <w:rPr>
                <w:i/>
                <w:iCs/>
                <w:sz w:val="16"/>
              </w:rPr>
              <w:t>Causas resueltas</w:t>
            </w:r>
          </w:p>
        </w:tc>
        <w:tc>
          <w:tcPr>
            <w:tcW w:w="1133" w:type="dxa"/>
            <w:tcBorders>
              <w:top w:val="single" w:sz="4" w:space="0" w:color="auto"/>
              <w:bottom w:val="single" w:sz="12" w:space="0" w:color="auto"/>
            </w:tcBorders>
            <w:shd w:val="clear" w:color="auto" w:fill="auto"/>
            <w:vAlign w:val="bottom"/>
            <w:hideMark/>
          </w:tcPr>
          <w:p w14:paraId="2CCFE450" w14:textId="77777777" w:rsidR="00FA139B" w:rsidRPr="00FA139B" w:rsidRDefault="00FA139B" w:rsidP="00FA139B">
            <w:pPr>
              <w:pStyle w:val="SingleTxtG"/>
              <w:keepNext/>
              <w:spacing w:before="80" w:after="80" w:line="200" w:lineRule="exact"/>
              <w:ind w:left="113" w:right="0"/>
              <w:jc w:val="right"/>
              <w:rPr>
                <w:i/>
                <w:iCs/>
                <w:sz w:val="16"/>
              </w:rPr>
            </w:pPr>
            <w:r w:rsidRPr="00FA139B">
              <w:rPr>
                <w:i/>
                <w:iCs/>
                <w:sz w:val="16"/>
              </w:rPr>
              <w:t>Núm</w:t>
            </w:r>
            <w:r>
              <w:rPr>
                <w:i/>
                <w:iCs/>
                <w:sz w:val="16"/>
              </w:rPr>
              <w:t>ero</w:t>
            </w:r>
            <w:r w:rsidRPr="00FA139B">
              <w:rPr>
                <w:i/>
                <w:iCs/>
                <w:sz w:val="16"/>
              </w:rPr>
              <w:t xml:space="preserve"> de acusados</w:t>
            </w:r>
          </w:p>
        </w:tc>
      </w:tr>
      <w:tr w:rsidR="00FA139B" w:rsidRPr="00FA139B" w14:paraId="63B6178C" w14:textId="77777777" w:rsidTr="00FA139B">
        <w:trPr>
          <w:trHeight w:val="240"/>
        </w:trPr>
        <w:tc>
          <w:tcPr>
            <w:tcW w:w="709" w:type="dxa"/>
            <w:vMerge w:val="restart"/>
            <w:shd w:val="clear" w:color="auto" w:fill="auto"/>
          </w:tcPr>
          <w:p w14:paraId="65D85C02" w14:textId="77777777" w:rsidR="00FA139B" w:rsidRPr="00FA139B" w:rsidRDefault="00FA139B" w:rsidP="00FA139B">
            <w:pPr>
              <w:pStyle w:val="SingleTxtG"/>
              <w:spacing w:before="40" w:after="40" w:line="220" w:lineRule="exact"/>
              <w:ind w:left="0" w:right="0"/>
              <w:jc w:val="left"/>
              <w:rPr>
                <w:sz w:val="18"/>
              </w:rPr>
            </w:pPr>
            <w:r w:rsidRPr="00FA139B">
              <w:rPr>
                <w:sz w:val="18"/>
              </w:rPr>
              <w:t>2016</w:t>
            </w:r>
          </w:p>
        </w:tc>
        <w:tc>
          <w:tcPr>
            <w:tcW w:w="4253" w:type="dxa"/>
            <w:shd w:val="clear" w:color="auto" w:fill="auto"/>
            <w:vAlign w:val="bottom"/>
            <w:hideMark/>
          </w:tcPr>
          <w:p w14:paraId="384E9B1C" w14:textId="77777777" w:rsidR="00FA139B" w:rsidRPr="00FA139B" w:rsidRDefault="00FA139B" w:rsidP="00FA139B">
            <w:pPr>
              <w:pStyle w:val="SingleTxtG"/>
              <w:spacing w:before="40" w:after="40" w:line="220" w:lineRule="exact"/>
              <w:ind w:left="113" w:right="0"/>
              <w:jc w:val="left"/>
              <w:rPr>
                <w:sz w:val="18"/>
              </w:rPr>
            </w:pPr>
            <w:r w:rsidRPr="00FA139B">
              <w:rPr>
                <w:sz w:val="18"/>
              </w:rPr>
              <w:t>Pena de prisión de 5 a 10 años</w:t>
            </w:r>
          </w:p>
        </w:tc>
        <w:tc>
          <w:tcPr>
            <w:tcW w:w="1275" w:type="dxa"/>
            <w:shd w:val="clear" w:color="auto" w:fill="auto"/>
            <w:vAlign w:val="bottom"/>
          </w:tcPr>
          <w:p w14:paraId="3AA1479B"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5844D542"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7FE69E91" w14:textId="77777777" w:rsidTr="00FA139B">
        <w:trPr>
          <w:trHeight w:val="240"/>
        </w:trPr>
        <w:tc>
          <w:tcPr>
            <w:tcW w:w="709" w:type="dxa"/>
            <w:vMerge/>
            <w:shd w:val="clear" w:color="auto" w:fill="auto"/>
            <w:hideMark/>
          </w:tcPr>
          <w:p w14:paraId="5BB23624"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ED3EC93" w14:textId="77777777" w:rsidR="00FA139B" w:rsidRPr="00FA139B" w:rsidRDefault="00FA139B" w:rsidP="00FA139B">
            <w:pPr>
              <w:pStyle w:val="SingleTxtG"/>
              <w:spacing w:before="40" w:after="40" w:line="220" w:lineRule="exact"/>
              <w:ind w:left="113" w:right="0"/>
              <w:jc w:val="left"/>
              <w:rPr>
                <w:sz w:val="18"/>
              </w:rPr>
            </w:pPr>
            <w:r w:rsidRPr="00FA139B">
              <w:rPr>
                <w:sz w:val="18"/>
              </w:rPr>
              <w:t>Absolución</w:t>
            </w:r>
          </w:p>
        </w:tc>
        <w:tc>
          <w:tcPr>
            <w:tcW w:w="1275" w:type="dxa"/>
            <w:shd w:val="clear" w:color="auto" w:fill="auto"/>
            <w:vAlign w:val="bottom"/>
          </w:tcPr>
          <w:p w14:paraId="0327BA05"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2617F389"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70682E72" w14:textId="77777777" w:rsidTr="00FA139B">
        <w:trPr>
          <w:trHeight w:val="240"/>
        </w:trPr>
        <w:tc>
          <w:tcPr>
            <w:tcW w:w="709" w:type="dxa"/>
            <w:vMerge/>
            <w:shd w:val="clear" w:color="auto" w:fill="auto"/>
            <w:hideMark/>
          </w:tcPr>
          <w:p w14:paraId="4D5E22AD"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2F652662" w14:textId="77777777" w:rsidR="00FA139B" w:rsidRPr="00FA139B" w:rsidRDefault="00FA139B" w:rsidP="00FA139B">
            <w:pPr>
              <w:pStyle w:val="SingleTxtG"/>
              <w:spacing w:before="40" w:after="40" w:line="220" w:lineRule="exact"/>
              <w:ind w:left="113" w:right="0"/>
              <w:jc w:val="left"/>
              <w:rPr>
                <w:sz w:val="18"/>
              </w:rPr>
            </w:pPr>
            <w:r w:rsidRPr="00FA139B">
              <w:rPr>
                <w:sz w:val="18"/>
              </w:rPr>
              <w:t>Remisión</w:t>
            </w:r>
          </w:p>
        </w:tc>
        <w:tc>
          <w:tcPr>
            <w:tcW w:w="1275" w:type="dxa"/>
            <w:shd w:val="clear" w:color="auto" w:fill="auto"/>
            <w:vAlign w:val="bottom"/>
          </w:tcPr>
          <w:p w14:paraId="567E47C8"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459496C0"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7C495BF2" w14:textId="77777777" w:rsidTr="00FA139B">
        <w:trPr>
          <w:trHeight w:val="240"/>
        </w:trPr>
        <w:tc>
          <w:tcPr>
            <w:tcW w:w="709" w:type="dxa"/>
            <w:vMerge/>
            <w:shd w:val="clear" w:color="auto" w:fill="auto"/>
            <w:hideMark/>
          </w:tcPr>
          <w:p w14:paraId="67CABE6D" w14:textId="77777777" w:rsidR="00FA139B" w:rsidRPr="00FA139B" w:rsidRDefault="00FA139B" w:rsidP="00FA139B">
            <w:pPr>
              <w:pStyle w:val="SingleTxtG"/>
              <w:spacing w:before="40" w:after="40" w:line="220" w:lineRule="exact"/>
              <w:ind w:left="0" w:right="0"/>
              <w:jc w:val="left"/>
              <w:rPr>
                <w:sz w:val="18"/>
              </w:rPr>
            </w:pPr>
          </w:p>
        </w:tc>
        <w:tc>
          <w:tcPr>
            <w:tcW w:w="4253" w:type="dxa"/>
            <w:tcBorders>
              <w:bottom w:val="single" w:sz="4" w:space="0" w:color="auto"/>
            </w:tcBorders>
            <w:shd w:val="clear" w:color="auto" w:fill="auto"/>
            <w:vAlign w:val="bottom"/>
            <w:hideMark/>
          </w:tcPr>
          <w:p w14:paraId="67F854E8"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y ratificación</w:t>
            </w:r>
          </w:p>
        </w:tc>
        <w:tc>
          <w:tcPr>
            <w:tcW w:w="1275" w:type="dxa"/>
            <w:tcBorders>
              <w:bottom w:val="single" w:sz="4" w:space="0" w:color="auto"/>
            </w:tcBorders>
            <w:shd w:val="clear" w:color="auto" w:fill="auto"/>
            <w:vAlign w:val="bottom"/>
          </w:tcPr>
          <w:p w14:paraId="3CDE250B"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tcBorders>
              <w:bottom w:val="single" w:sz="4" w:space="0" w:color="auto"/>
            </w:tcBorders>
            <w:shd w:val="clear" w:color="auto" w:fill="auto"/>
            <w:vAlign w:val="bottom"/>
            <w:hideMark/>
          </w:tcPr>
          <w:p w14:paraId="313FEBE4" w14:textId="77777777" w:rsidR="00FA139B" w:rsidRPr="00FA139B" w:rsidRDefault="00FA139B" w:rsidP="00FA139B">
            <w:pPr>
              <w:pStyle w:val="SingleTxtG"/>
              <w:spacing w:before="40" w:after="40" w:line="220" w:lineRule="exact"/>
              <w:ind w:left="113" w:right="0"/>
              <w:jc w:val="right"/>
              <w:rPr>
                <w:sz w:val="18"/>
              </w:rPr>
            </w:pPr>
            <w:r w:rsidRPr="00FA139B">
              <w:rPr>
                <w:sz w:val="18"/>
              </w:rPr>
              <w:t>3</w:t>
            </w:r>
          </w:p>
        </w:tc>
      </w:tr>
      <w:tr w:rsidR="00FA139B" w:rsidRPr="00FA139B" w14:paraId="5DE5F2F8" w14:textId="77777777" w:rsidTr="00FA139B">
        <w:trPr>
          <w:trHeight w:val="240"/>
        </w:trPr>
        <w:tc>
          <w:tcPr>
            <w:tcW w:w="709" w:type="dxa"/>
            <w:vMerge/>
            <w:shd w:val="clear" w:color="auto" w:fill="auto"/>
            <w:hideMark/>
          </w:tcPr>
          <w:p w14:paraId="2559561E" w14:textId="77777777" w:rsidR="00FA139B" w:rsidRPr="00FA139B" w:rsidRDefault="00FA139B" w:rsidP="00FA139B">
            <w:pPr>
              <w:pStyle w:val="SingleTxtG"/>
              <w:spacing w:before="40" w:after="40" w:line="220" w:lineRule="exact"/>
              <w:ind w:left="0" w:right="0"/>
              <w:jc w:val="left"/>
              <w:rPr>
                <w:sz w:val="18"/>
              </w:rPr>
            </w:pPr>
          </w:p>
        </w:tc>
        <w:tc>
          <w:tcPr>
            <w:tcW w:w="4253" w:type="dxa"/>
            <w:tcBorders>
              <w:top w:val="single" w:sz="4" w:space="0" w:color="auto"/>
              <w:bottom w:val="single" w:sz="4" w:space="0" w:color="auto"/>
            </w:tcBorders>
            <w:shd w:val="clear" w:color="auto" w:fill="auto"/>
            <w:vAlign w:val="bottom"/>
            <w:hideMark/>
          </w:tcPr>
          <w:p w14:paraId="6F497278" w14:textId="77777777" w:rsidR="00FA139B" w:rsidRPr="00FA139B" w:rsidRDefault="00FA139B" w:rsidP="00FA139B">
            <w:pPr>
              <w:pStyle w:val="SingleTxtG"/>
              <w:spacing w:before="80" w:after="80" w:line="220" w:lineRule="exact"/>
              <w:ind w:left="284" w:right="0"/>
              <w:jc w:val="left"/>
              <w:rPr>
                <w:b/>
                <w:bCs/>
                <w:sz w:val="18"/>
              </w:rPr>
            </w:pPr>
            <w:r w:rsidRPr="00FA139B">
              <w:rPr>
                <w:b/>
                <w:bCs/>
                <w:sz w:val="18"/>
              </w:rPr>
              <w:t>Total</w:t>
            </w:r>
          </w:p>
        </w:tc>
        <w:tc>
          <w:tcPr>
            <w:tcW w:w="1275" w:type="dxa"/>
            <w:tcBorders>
              <w:top w:val="single" w:sz="4" w:space="0" w:color="auto"/>
              <w:bottom w:val="single" w:sz="4" w:space="0" w:color="auto"/>
            </w:tcBorders>
            <w:shd w:val="clear" w:color="auto" w:fill="auto"/>
            <w:vAlign w:val="bottom"/>
            <w:hideMark/>
          </w:tcPr>
          <w:p w14:paraId="6FB960EC"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5</w:t>
            </w:r>
          </w:p>
        </w:tc>
        <w:tc>
          <w:tcPr>
            <w:tcW w:w="1133" w:type="dxa"/>
            <w:tcBorders>
              <w:top w:val="single" w:sz="4" w:space="0" w:color="auto"/>
              <w:bottom w:val="single" w:sz="4" w:space="0" w:color="auto"/>
            </w:tcBorders>
            <w:shd w:val="clear" w:color="auto" w:fill="auto"/>
            <w:vAlign w:val="bottom"/>
            <w:hideMark/>
          </w:tcPr>
          <w:p w14:paraId="35C83D57"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6</w:t>
            </w:r>
          </w:p>
        </w:tc>
      </w:tr>
      <w:tr w:rsidR="00FA139B" w:rsidRPr="00FA139B" w14:paraId="7C24565A" w14:textId="77777777" w:rsidTr="00FA139B">
        <w:trPr>
          <w:trHeight w:val="240"/>
        </w:trPr>
        <w:tc>
          <w:tcPr>
            <w:tcW w:w="709" w:type="dxa"/>
            <w:vMerge w:val="restart"/>
            <w:shd w:val="clear" w:color="auto" w:fill="auto"/>
          </w:tcPr>
          <w:p w14:paraId="59A6EF0E" w14:textId="77777777" w:rsidR="00FA139B" w:rsidRPr="00FA139B" w:rsidRDefault="00FA139B" w:rsidP="00FA139B">
            <w:pPr>
              <w:pStyle w:val="SingleTxtG"/>
              <w:spacing w:before="40" w:after="40" w:line="220" w:lineRule="exact"/>
              <w:ind w:left="0" w:right="0"/>
              <w:jc w:val="left"/>
              <w:rPr>
                <w:sz w:val="18"/>
              </w:rPr>
            </w:pPr>
            <w:r w:rsidRPr="00FA139B">
              <w:rPr>
                <w:sz w:val="18"/>
              </w:rPr>
              <w:t>2017</w:t>
            </w:r>
          </w:p>
        </w:tc>
        <w:tc>
          <w:tcPr>
            <w:tcW w:w="4253" w:type="dxa"/>
            <w:tcBorders>
              <w:top w:val="single" w:sz="4" w:space="0" w:color="auto"/>
            </w:tcBorders>
            <w:shd w:val="clear" w:color="auto" w:fill="auto"/>
            <w:vAlign w:val="bottom"/>
            <w:hideMark/>
          </w:tcPr>
          <w:p w14:paraId="742DD98E"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del proceso penal a prueba</w:t>
            </w:r>
          </w:p>
        </w:tc>
        <w:tc>
          <w:tcPr>
            <w:tcW w:w="1275" w:type="dxa"/>
            <w:tcBorders>
              <w:top w:val="single" w:sz="4" w:space="0" w:color="auto"/>
            </w:tcBorders>
            <w:shd w:val="clear" w:color="auto" w:fill="auto"/>
            <w:vAlign w:val="bottom"/>
          </w:tcPr>
          <w:p w14:paraId="1E0004E3"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tcBorders>
              <w:top w:val="single" w:sz="4" w:space="0" w:color="auto"/>
            </w:tcBorders>
            <w:shd w:val="clear" w:color="auto" w:fill="auto"/>
            <w:vAlign w:val="bottom"/>
            <w:hideMark/>
          </w:tcPr>
          <w:p w14:paraId="01C84C50"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03D093C2" w14:textId="77777777" w:rsidTr="00FA139B">
        <w:trPr>
          <w:trHeight w:val="240"/>
        </w:trPr>
        <w:tc>
          <w:tcPr>
            <w:tcW w:w="709" w:type="dxa"/>
            <w:vMerge/>
            <w:shd w:val="clear" w:color="auto" w:fill="auto"/>
            <w:hideMark/>
          </w:tcPr>
          <w:p w14:paraId="1911AADE"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5D4CDE7"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del proceso penal a prueba sin caución</w:t>
            </w:r>
          </w:p>
        </w:tc>
        <w:tc>
          <w:tcPr>
            <w:tcW w:w="1275" w:type="dxa"/>
            <w:shd w:val="clear" w:color="auto" w:fill="auto"/>
            <w:vAlign w:val="bottom"/>
          </w:tcPr>
          <w:p w14:paraId="5FEC0D27"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7DC18321"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7758A0F4" w14:textId="77777777" w:rsidTr="00FA139B">
        <w:trPr>
          <w:trHeight w:val="240"/>
        </w:trPr>
        <w:tc>
          <w:tcPr>
            <w:tcW w:w="709" w:type="dxa"/>
            <w:vMerge/>
            <w:shd w:val="clear" w:color="auto" w:fill="auto"/>
            <w:hideMark/>
          </w:tcPr>
          <w:p w14:paraId="73C13C3C"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730C3EE" w14:textId="77777777" w:rsidR="00FA139B" w:rsidRPr="00FA139B" w:rsidRDefault="00FA139B" w:rsidP="00FA139B">
            <w:pPr>
              <w:pStyle w:val="SingleTxtG"/>
              <w:spacing w:before="40" w:after="40" w:line="220" w:lineRule="exact"/>
              <w:ind w:left="113" w:right="0"/>
              <w:jc w:val="left"/>
              <w:rPr>
                <w:sz w:val="18"/>
              </w:rPr>
            </w:pPr>
            <w:r w:rsidRPr="00FA139B">
              <w:rPr>
                <w:sz w:val="18"/>
              </w:rPr>
              <w:t>Decomiso</w:t>
            </w:r>
          </w:p>
        </w:tc>
        <w:tc>
          <w:tcPr>
            <w:tcW w:w="1275" w:type="dxa"/>
            <w:shd w:val="clear" w:color="auto" w:fill="auto"/>
            <w:vAlign w:val="bottom"/>
          </w:tcPr>
          <w:p w14:paraId="04D95E4D"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22036579"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08E472A6" w14:textId="77777777" w:rsidTr="00FA139B">
        <w:trPr>
          <w:trHeight w:val="240"/>
        </w:trPr>
        <w:tc>
          <w:tcPr>
            <w:tcW w:w="709" w:type="dxa"/>
            <w:vMerge/>
            <w:shd w:val="clear" w:color="auto" w:fill="auto"/>
            <w:hideMark/>
          </w:tcPr>
          <w:p w14:paraId="1E23B438"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AC57A52" w14:textId="77777777" w:rsidR="00FA139B" w:rsidRPr="00FA139B" w:rsidRDefault="00FA139B" w:rsidP="00FA139B">
            <w:pPr>
              <w:pStyle w:val="SingleTxtG"/>
              <w:spacing w:before="40" w:after="40" w:line="220" w:lineRule="exact"/>
              <w:ind w:left="113" w:right="0"/>
              <w:jc w:val="left"/>
              <w:rPr>
                <w:sz w:val="18"/>
              </w:rPr>
            </w:pPr>
            <w:r w:rsidRPr="00FA139B">
              <w:rPr>
                <w:sz w:val="18"/>
              </w:rPr>
              <w:t>Absolución</w:t>
            </w:r>
          </w:p>
        </w:tc>
        <w:tc>
          <w:tcPr>
            <w:tcW w:w="1275" w:type="dxa"/>
            <w:shd w:val="clear" w:color="auto" w:fill="auto"/>
            <w:vAlign w:val="bottom"/>
          </w:tcPr>
          <w:p w14:paraId="64F27B8C"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457A88F2"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3776DF8A" w14:textId="77777777" w:rsidTr="00FA139B">
        <w:trPr>
          <w:trHeight w:val="240"/>
        </w:trPr>
        <w:tc>
          <w:tcPr>
            <w:tcW w:w="709" w:type="dxa"/>
            <w:vMerge/>
            <w:shd w:val="clear" w:color="auto" w:fill="auto"/>
            <w:hideMark/>
          </w:tcPr>
          <w:p w14:paraId="3F0F0FC3"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3FDC944A" w14:textId="77777777" w:rsidR="00FA139B" w:rsidRPr="00FA139B" w:rsidRDefault="00FA139B" w:rsidP="00FA139B">
            <w:pPr>
              <w:pStyle w:val="SingleTxtG"/>
              <w:spacing w:before="40" w:after="40" w:line="220" w:lineRule="exact"/>
              <w:ind w:left="113" w:right="0"/>
              <w:jc w:val="left"/>
              <w:rPr>
                <w:sz w:val="18"/>
              </w:rPr>
            </w:pPr>
            <w:r w:rsidRPr="00FA139B">
              <w:rPr>
                <w:sz w:val="18"/>
              </w:rPr>
              <w:t>Declaración de nulidad del fallo</w:t>
            </w:r>
          </w:p>
        </w:tc>
        <w:tc>
          <w:tcPr>
            <w:tcW w:w="1275" w:type="dxa"/>
            <w:shd w:val="clear" w:color="auto" w:fill="auto"/>
            <w:vAlign w:val="bottom"/>
          </w:tcPr>
          <w:p w14:paraId="0C31BCAB"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6B1FA12B"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496788CD" w14:textId="77777777" w:rsidTr="00FA139B">
        <w:trPr>
          <w:trHeight w:val="240"/>
        </w:trPr>
        <w:tc>
          <w:tcPr>
            <w:tcW w:w="709" w:type="dxa"/>
            <w:vMerge/>
            <w:shd w:val="clear" w:color="auto" w:fill="auto"/>
            <w:hideMark/>
          </w:tcPr>
          <w:p w14:paraId="666A80C8"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1EDB55B8"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y ratificación</w:t>
            </w:r>
          </w:p>
        </w:tc>
        <w:tc>
          <w:tcPr>
            <w:tcW w:w="1275" w:type="dxa"/>
            <w:shd w:val="clear" w:color="auto" w:fill="auto"/>
            <w:vAlign w:val="bottom"/>
          </w:tcPr>
          <w:p w14:paraId="5F743E3F"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0984DEE4" w14:textId="77777777" w:rsidR="00FA139B" w:rsidRPr="00FA139B" w:rsidRDefault="00FA139B" w:rsidP="00FA139B">
            <w:pPr>
              <w:pStyle w:val="SingleTxtG"/>
              <w:spacing w:before="40" w:after="40" w:line="220" w:lineRule="exact"/>
              <w:ind w:left="113" w:right="0"/>
              <w:jc w:val="right"/>
              <w:rPr>
                <w:sz w:val="18"/>
              </w:rPr>
            </w:pPr>
            <w:r w:rsidRPr="00FA139B">
              <w:rPr>
                <w:sz w:val="18"/>
              </w:rPr>
              <w:t>8</w:t>
            </w:r>
          </w:p>
        </w:tc>
      </w:tr>
      <w:tr w:rsidR="00FA139B" w:rsidRPr="00FA139B" w14:paraId="0A56679B" w14:textId="77777777" w:rsidTr="00FA139B">
        <w:trPr>
          <w:trHeight w:val="240"/>
        </w:trPr>
        <w:tc>
          <w:tcPr>
            <w:tcW w:w="709" w:type="dxa"/>
            <w:vMerge/>
            <w:shd w:val="clear" w:color="auto" w:fill="auto"/>
            <w:hideMark/>
          </w:tcPr>
          <w:p w14:paraId="23F7EE40"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797BD58D"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del procedimiento de apelación incoado por la Fiscalía o el acusado</w:t>
            </w:r>
          </w:p>
        </w:tc>
        <w:tc>
          <w:tcPr>
            <w:tcW w:w="1275" w:type="dxa"/>
            <w:shd w:val="clear" w:color="auto" w:fill="auto"/>
            <w:vAlign w:val="bottom"/>
          </w:tcPr>
          <w:p w14:paraId="1EBC8D4B"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42852E84" w14:textId="77777777" w:rsidR="00FA139B" w:rsidRPr="00FA139B" w:rsidRDefault="00FA139B" w:rsidP="00FA139B">
            <w:pPr>
              <w:pStyle w:val="SingleTxtG"/>
              <w:spacing w:before="40" w:after="40" w:line="220" w:lineRule="exact"/>
              <w:ind w:left="113" w:right="0"/>
              <w:jc w:val="right"/>
              <w:rPr>
                <w:sz w:val="18"/>
              </w:rPr>
            </w:pPr>
            <w:r w:rsidRPr="00FA139B">
              <w:rPr>
                <w:sz w:val="18"/>
              </w:rPr>
              <w:t>4</w:t>
            </w:r>
          </w:p>
        </w:tc>
      </w:tr>
      <w:tr w:rsidR="00FA139B" w:rsidRPr="00FA139B" w14:paraId="3B077533" w14:textId="77777777" w:rsidTr="00FA139B">
        <w:trPr>
          <w:trHeight w:val="240"/>
        </w:trPr>
        <w:tc>
          <w:tcPr>
            <w:tcW w:w="709" w:type="dxa"/>
            <w:vMerge/>
            <w:shd w:val="clear" w:color="auto" w:fill="auto"/>
            <w:hideMark/>
          </w:tcPr>
          <w:p w14:paraId="2FD15D22"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0DEEA132"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del recurso interpuesto por la acusación particular o la Fiscalía y ratificación de la sentencia de anterior instancia</w:t>
            </w:r>
          </w:p>
        </w:tc>
        <w:tc>
          <w:tcPr>
            <w:tcW w:w="1275" w:type="dxa"/>
            <w:shd w:val="clear" w:color="auto" w:fill="auto"/>
            <w:vAlign w:val="bottom"/>
          </w:tcPr>
          <w:p w14:paraId="16AAA55A"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2B962B4A"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1C3D5A79" w14:textId="77777777" w:rsidTr="00FA139B">
        <w:trPr>
          <w:trHeight w:val="240"/>
        </w:trPr>
        <w:tc>
          <w:tcPr>
            <w:tcW w:w="709" w:type="dxa"/>
            <w:vMerge/>
            <w:shd w:val="clear" w:color="auto" w:fill="auto"/>
            <w:hideMark/>
          </w:tcPr>
          <w:p w14:paraId="2827EBA9" w14:textId="77777777" w:rsidR="00FA139B" w:rsidRPr="00FA139B" w:rsidRDefault="00FA139B" w:rsidP="00FA139B">
            <w:pPr>
              <w:pStyle w:val="SingleTxtG"/>
              <w:spacing w:before="40" w:after="40" w:line="220" w:lineRule="exact"/>
              <w:ind w:left="0" w:right="0"/>
              <w:jc w:val="left"/>
              <w:rPr>
                <w:sz w:val="18"/>
              </w:rPr>
            </w:pPr>
          </w:p>
        </w:tc>
        <w:tc>
          <w:tcPr>
            <w:tcW w:w="4253" w:type="dxa"/>
            <w:tcBorders>
              <w:bottom w:val="single" w:sz="4" w:space="0" w:color="auto"/>
            </w:tcBorders>
            <w:shd w:val="clear" w:color="auto" w:fill="auto"/>
            <w:vAlign w:val="bottom"/>
            <w:hideMark/>
          </w:tcPr>
          <w:p w14:paraId="1E888CD6"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w:t>
            </w:r>
          </w:p>
        </w:tc>
        <w:tc>
          <w:tcPr>
            <w:tcW w:w="1275" w:type="dxa"/>
            <w:tcBorders>
              <w:bottom w:val="single" w:sz="4" w:space="0" w:color="auto"/>
            </w:tcBorders>
            <w:shd w:val="clear" w:color="auto" w:fill="auto"/>
            <w:vAlign w:val="bottom"/>
          </w:tcPr>
          <w:p w14:paraId="778FAA6E"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tcBorders>
              <w:bottom w:val="single" w:sz="4" w:space="0" w:color="auto"/>
            </w:tcBorders>
            <w:shd w:val="clear" w:color="auto" w:fill="auto"/>
            <w:vAlign w:val="bottom"/>
            <w:hideMark/>
          </w:tcPr>
          <w:p w14:paraId="5D8A431B"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56AD7156" w14:textId="77777777" w:rsidTr="00FA139B">
        <w:trPr>
          <w:trHeight w:val="240"/>
        </w:trPr>
        <w:tc>
          <w:tcPr>
            <w:tcW w:w="709" w:type="dxa"/>
            <w:vMerge/>
            <w:shd w:val="clear" w:color="auto" w:fill="auto"/>
            <w:hideMark/>
          </w:tcPr>
          <w:p w14:paraId="78C48A80" w14:textId="77777777" w:rsidR="00FA139B" w:rsidRPr="00FA139B" w:rsidRDefault="00FA139B" w:rsidP="00FA139B">
            <w:pPr>
              <w:pStyle w:val="SingleTxtG"/>
              <w:spacing w:before="40" w:after="40" w:line="220" w:lineRule="exact"/>
              <w:ind w:left="0" w:right="0"/>
              <w:jc w:val="left"/>
              <w:rPr>
                <w:sz w:val="18"/>
              </w:rPr>
            </w:pPr>
          </w:p>
        </w:tc>
        <w:tc>
          <w:tcPr>
            <w:tcW w:w="4253" w:type="dxa"/>
            <w:tcBorders>
              <w:top w:val="single" w:sz="4" w:space="0" w:color="auto"/>
              <w:bottom w:val="single" w:sz="4" w:space="0" w:color="auto"/>
            </w:tcBorders>
            <w:shd w:val="clear" w:color="auto" w:fill="auto"/>
            <w:vAlign w:val="bottom"/>
            <w:hideMark/>
          </w:tcPr>
          <w:p w14:paraId="270259B2" w14:textId="77777777" w:rsidR="00FA139B" w:rsidRPr="00FA139B" w:rsidRDefault="00FA139B" w:rsidP="00FA139B">
            <w:pPr>
              <w:pStyle w:val="SingleTxtG"/>
              <w:spacing w:before="80" w:after="80" w:line="220" w:lineRule="exact"/>
              <w:ind w:left="284" w:right="0"/>
              <w:jc w:val="left"/>
              <w:rPr>
                <w:b/>
                <w:bCs/>
                <w:sz w:val="18"/>
              </w:rPr>
            </w:pPr>
            <w:r w:rsidRPr="00FA139B">
              <w:rPr>
                <w:b/>
                <w:bCs/>
                <w:sz w:val="18"/>
              </w:rPr>
              <w:t xml:space="preserve">Total </w:t>
            </w:r>
          </w:p>
        </w:tc>
        <w:tc>
          <w:tcPr>
            <w:tcW w:w="1275" w:type="dxa"/>
            <w:tcBorders>
              <w:top w:val="single" w:sz="4" w:space="0" w:color="auto"/>
              <w:bottom w:val="single" w:sz="4" w:space="0" w:color="auto"/>
            </w:tcBorders>
            <w:shd w:val="clear" w:color="auto" w:fill="auto"/>
            <w:vAlign w:val="bottom"/>
            <w:hideMark/>
          </w:tcPr>
          <w:p w14:paraId="2037CB9F"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15</w:t>
            </w:r>
          </w:p>
        </w:tc>
        <w:tc>
          <w:tcPr>
            <w:tcW w:w="1133" w:type="dxa"/>
            <w:tcBorders>
              <w:top w:val="single" w:sz="4" w:space="0" w:color="auto"/>
              <w:bottom w:val="single" w:sz="4" w:space="0" w:color="auto"/>
            </w:tcBorders>
            <w:shd w:val="clear" w:color="auto" w:fill="auto"/>
            <w:vAlign w:val="bottom"/>
            <w:hideMark/>
          </w:tcPr>
          <w:p w14:paraId="178B50F4"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19</w:t>
            </w:r>
          </w:p>
        </w:tc>
      </w:tr>
      <w:tr w:rsidR="00FA139B" w:rsidRPr="00FA139B" w14:paraId="7BC6CA49" w14:textId="77777777" w:rsidTr="00FA139B">
        <w:trPr>
          <w:trHeight w:val="240"/>
        </w:trPr>
        <w:tc>
          <w:tcPr>
            <w:tcW w:w="709" w:type="dxa"/>
            <w:vMerge w:val="restart"/>
            <w:shd w:val="clear" w:color="auto" w:fill="auto"/>
          </w:tcPr>
          <w:p w14:paraId="56E1E222" w14:textId="77777777" w:rsidR="00FA139B" w:rsidRPr="00FA139B" w:rsidRDefault="00FA139B" w:rsidP="00FA139B">
            <w:pPr>
              <w:pStyle w:val="SingleTxtG"/>
              <w:spacing w:before="40" w:after="40" w:line="220" w:lineRule="exact"/>
              <w:ind w:left="0" w:right="0"/>
              <w:jc w:val="left"/>
              <w:rPr>
                <w:sz w:val="18"/>
              </w:rPr>
            </w:pPr>
            <w:r w:rsidRPr="00FA139B">
              <w:rPr>
                <w:sz w:val="18"/>
              </w:rPr>
              <w:t>2018</w:t>
            </w:r>
          </w:p>
        </w:tc>
        <w:tc>
          <w:tcPr>
            <w:tcW w:w="4253" w:type="dxa"/>
            <w:tcBorders>
              <w:top w:val="single" w:sz="4" w:space="0" w:color="auto"/>
            </w:tcBorders>
            <w:shd w:val="clear" w:color="auto" w:fill="auto"/>
            <w:vAlign w:val="bottom"/>
            <w:hideMark/>
          </w:tcPr>
          <w:p w14:paraId="32AD0FCA" w14:textId="77777777" w:rsidR="00FA139B" w:rsidRPr="00FA139B" w:rsidRDefault="00FA139B" w:rsidP="00FA139B">
            <w:pPr>
              <w:pStyle w:val="SingleTxtG"/>
              <w:spacing w:before="40" w:after="40" w:line="220" w:lineRule="exact"/>
              <w:ind w:left="113" w:right="0"/>
              <w:jc w:val="left"/>
              <w:rPr>
                <w:sz w:val="18"/>
              </w:rPr>
            </w:pPr>
            <w:r w:rsidRPr="00FA139B">
              <w:rPr>
                <w:sz w:val="18"/>
              </w:rPr>
              <w:t>Sanción pecuniaria</w:t>
            </w:r>
          </w:p>
        </w:tc>
        <w:tc>
          <w:tcPr>
            <w:tcW w:w="1275" w:type="dxa"/>
            <w:tcBorders>
              <w:top w:val="single" w:sz="4" w:space="0" w:color="auto"/>
            </w:tcBorders>
            <w:shd w:val="clear" w:color="auto" w:fill="auto"/>
            <w:vAlign w:val="bottom"/>
          </w:tcPr>
          <w:p w14:paraId="34437F44"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tcBorders>
              <w:top w:val="single" w:sz="4" w:space="0" w:color="auto"/>
            </w:tcBorders>
            <w:shd w:val="clear" w:color="auto" w:fill="auto"/>
            <w:vAlign w:val="bottom"/>
            <w:hideMark/>
          </w:tcPr>
          <w:p w14:paraId="1C76271A"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0FE92DBE" w14:textId="77777777" w:rsidTr="00FA139B">
        <w:trPr>
          <w:trHeight w:val="240"/>
        </w:trPr>
        <w:tc>
          <w:tcPr>
            <w:tcW w:w="709" w:type="dxa"/>
            <w:vMerge/>
            <w:shd w:val="clear" w:color="auto" w:fill="auto"/>
            <w:hideMark/>
          </w:tcPr>
          <w:p w14:paraId="144B5B6B"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29FEC5F4"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del proceso penal a prueba con caución</w:t>
            </w:r>
          </w:p>
        </w:tc>
        <w:tc>
          <w:tcPr>
            <w:tcW w:w="1275" w:type="dxa"/>
            <w:shd w:val="clear" w:color="auto" w:fill="auto"/>
            <w:vAlign w:val="bottom"/>
          </w:tcPr>
          <w:p w14:paraId="2DFCF051"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5B9C22A0"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4E38F1BC" w14:textId="77777777" w:rsidTr="00FA139B">
        <w:trPr>
          <w:trHeight w:val="240"/>
        </w:trPr>
        <w:tc>
          <w:tcPr>
            <w:tcW w:w="709" w:type="dxa"/>
            <w:vMerge/>
            <w:shd w:val="clear" w:color="auto" w:fill="auto"/>
            <w:hideMark/>
          </w:tcPr>
          <w:p w14:paraId="7F8C8EC9"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4E4EC123" w14:textId="77777777" w:rsidR="00FA139B" w:rsidRPr="00FA139B" w:rsidRDefault="00FA139B" w:rsidP="00FA139B">
            <w:pPr>
              <w:pStyle w:val="SingleTxtG"/>
              <w:spacing w:before="40" w:after="40" w:line="220" w:lineRule="exact"/>
              <w:ind w:left="113" w:right="0"/>
              <w:jc w:val="left"/>
              <w:rPr>
                <w:sz w:val="18"/>
              </w:rPr>
            </w:pPr>
            <w:r w:rsidRPr="00FA139B">
              <w:rPr>
                <w:sz w:val="18"/>
              </w:rPr>
              <w:t>Decomiso</w:t>
            </w:r>
          </w:p>
        </w:tc>
        <w:tc>
          <w:tcPr>
            <w:tcW w:w="1275" w:type="dxa"/>
            <w:shd w:val="clear" w:color="auto" w:fill="auto"/>
            <w:vAlign w:val="bottom"/>
          </w:tcPr>
          <w:p w14:paraId="3E5428F7"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3DB46FFC"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245C52DE" w14:textId="77777777" w:rsidTr="00FA139B">
        <w:trPr>
          <w:trHeight w:val="240"/>
        </w:trPr>
        <w:tc>
          <w:tcPr>
            <w:tcW w:w="709" w:type="dxa"/>
            <w:vMerge/>
            <w:shd w:val="clear" w:color="auto" w:fill="auto"/>
            <w:hideMark/>
          </w:tcPr>
          <w:p w14:paraId="799E954E"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3D2D3A3" w14:textId="77777777" w:rsidR="00FA139B" w:rsidRPr="00FA139B" w:rsidRDefault="00FA139B" w:rsidP="00FA139B">
            <w:pPr>
              <w:pStyle w:val="SingleTxtG"/>
              <w:spacing w:before="40" w:after="40" w:line="220" w:lineRule="exact"/>
              <w:ind w:left="113" w:right="0"/>
              <w:jc w:val="left"/>
              <w:rPr>
                <w:sz w:val="18"/>
              </w:rPr>
            </w:pPr>
            <w:r w:rsidRPr="00FA139B">
              <w:rPr>
                <w:sz w:val="18"/>
              </w:rPr>
              <w:t>Extinción del recurso de apelación interpuesto por la Fiscalía</w:t>
            </w:r>
          </w:p>
        </w:tc>
        <w:tc>
          <w:tcPr>
            <w:tcW w:w="1275" w:type="dxa"/>
            <w:shd w:val="clear" w:color="auto" w:fill="auto"/>
            <w:vAlign w:val="bottom"/>
          </w:tcPr>
          <w:p w14:paraId="5A0DE942"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62BA6908"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0A9FCB7B" w14:textId="77777777" w:rsidTr="00FA139B">
        <w:trPr>
          <w:trHeight w:val="240"/>
        </w:trPr>
        <w:tc>
          <w:tcPr>
            <w:tcW w:w="709" w:type="dxa"/>
            <w:vMerge/>
            <w:shd w:val="clear" w:color="auto" w:fill="auto"/>
            <w:hideMark/>
          </w:tcPr>
          <w:p w14:paraId="04E3C4E7"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31057283" w14:textId="77777777" w:rsidR="00FA139B" w:rsidRPr="00FA139B" w:rsidRDefault="00FA139B" w:rsidP="00FA139B">
            <w:pPr>
              <w:pStyle w:val="SingleTxtG"/>
              <w:spacing w:before="40" w:after="40" w:line="220" w:lineRule="exact"/>
              <w:ind w:left="113" w:right="0"/>
              <w:jc w:val="left"/>
              <w:rPr>
                <w:sz w:val="18"/>
              </w:rPr>
            </w:pPr>
            <w:r w:rsidRPr="00FA139B">
              <w:rPr>
                <w:sz w:val="18"/>
              </w:rPr>
              <w:t>Modificación de la sentencia</w:t>
            </w:r>
          </w:p>
        </w:tc>
        <w:tc>
          <w:tcPr>
            <w:tcW w:w="1275" w:type="dxa"/>
            <w:shd w:val="clear" w:color="auto" w:fill="auto"/>
            <w:vAlign w:val="bottom"/>
          </w:tcPr>
          <w:p w14:paraId="3906E5F4"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58B09DBA" w14:textId="77777777" w:rsidR="00FA139B" w:rsidRPr="00FA139B" w:rsidRDefault="00FA139B" w:rsidP="00FA139B">
            <w:pPr>
              <w:pStyle w:val="SingleTxtG"/>
              <w:spacing w:before="40" w:after="40" w:line="220" w:lineRule="exact"/>
              <w:ind w:left="113" w:right="0"/>
              <w:jc w:val="right"/>
              <w:rPr>
                <w:sz w:val="18"/>
              </w:rPr>
            </w:pPr>
            <w:r w:rsidRPr="00FA139B">
              <w:rPr>
                <w:sz w:val="18"/>
              </w:rPr>
              <w:t>2</w:t>
            </w:r>
          </w:p>
        </w:tc>
      </w:tr>
      <w:tr w:rsidR="00FA139B" w:rsidRPr="00FA139B" w14:paraId="0ABBABE5" w14:textId="77777777" w:rsidTr="00FA139B">
        <w:trPr>
          <w:trHeight w:val="240"/>
        </w:trPr>
        <w:tc>
          <w:tcPr>
            <w:tcW w:w="709" w:type="dxa"/>
            <w:vMerge/>
            <w:shd w:val="clear" w:color="auto" w:fill="auto"/>
            <w:hideMark/>
          </w:tcPr>
          <w:p w14:paraId="2F4DD82B"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586AC316" w14:textId="77777777" w:rsidR="00FA139B" w:rsidRPr="00FA139B" w:rsidRDefault="00FA139B" w:rsidP="00FA139B">
            <w:pPr>
              <w:pStyle w:val="SingleTxtG"/>
              <w:spacing w:before="40" w:after="40" w:line="220" w:lineRule="exact"/>
              <w:ind w:left="113" w:right="0"/>
              <w:jc w:val="left"/>
              <w:rPr>
                <w:sz w:val="18"/>
              </w:rPr>
            </w:pPr>
            <w:r w:rsidRPr="00FA139B">
              <w:rPr>
                <w:sz w:val="18"/>
              </w:rPr>
              <w:t>Declaración de nulidad del fallo</w:t>
            </w:r>
          </w:p>
        </w:tc>
        <w:tc>
          <w:tcPr>
            <w:tcW w:w="1275" w:type="dxa"/>
            <w:shd w:val="clear" w:color="auto" w:fill="auto"/>
            <w:vAlign w:val="bottom"/>
          </w:tcPr>
          <w:p w14:paraId="12CAF830"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0FA01112" w14:textId="77777777" w:rsidR="00FA139B" w:rsidRPr="00FA139B" w:rsidRDefault="00FA139B" w:rsidP="00FA139B">
            <w:pPr>
              <w:pStyle w:val="SingleTxtG"/>
              <w:spacing w:before="40" w:after="40" w:line="220" w:lineRule="exact"/>
              <w:ind w:left="113" w:right="0"/>
              <w:jc w:val="right"/>
              <w:rPr>
                <w:sz w:val="18"/>
              </w:rPr>
            </w:pPr>
            <w:r w:rsidRPr="00FA139B">
              <w:rPr>
                <w:sz w:val="18"/>
              </w:rPr>
              <w:t>2</w:t>
            </w:r>
          </w:p>
        </w:tc>
      </w:tr>
      <w:tr w:rsidR="00FA139B" w:rsidRPr="00FA139B" w14:paraId="6250C4A5" w14:textId="77777777" w:rsidTr="00FA139B">
        <w:trPr>
          <w:trHeight w:val="240"/>
        </w:trPr>
        <w:tc>
          <w:tcPr>
            <w:tcW w:w="709" w:type="dxa"/>
            <w:vMerge/>
            <w:shd w:val="clear" w:color="auto" w:fill="auto"/>
            <w:hideMark/>
          </w:tcPr>
          <w:p w14:paraId="5CBE2730"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05F242B8"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y ratificación</w:t>
            </w:r>
          </w:p>
        </w:tc>
        <w:tc>
          <w:tcPr>
            <w:tcW w:w="1275" w:type="dxa"/>
            <w:shd w:val="clear" w:color="auto" w:fill="auto"/>
            <w:vAlign w:val="bottom"/>
          </w:tcPr>
          <w:p w14:paraId="39F63DFF"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36B53F79" w14:textId="77777777" w:rsidR="00FA139B" w:rsidRPr="00FA139B" w:rsidRDefault="00FA139B" w:rsidP="00FA139B">
            <w:pPr>
              <w:pStyle w:val="SingleTxtG"/>
              <w:spacing w:before="40" w:after="40" w:line="220" w:lineRule="exact"/>
              <w:ind w:left="113" w:right="0"/>
              <w:jc w:val="right"/>
              <w:rPr>
                <w:sz w:val="18"/>
              </w:rPr>
            </w:pPr>
            <w:r w:rsidRPr="00FA139B">
              <w:rPr>
                <w:sz w:val="18"/>
              </w:rPr>
              <w:t>5</w:t>
            </w:r>
          </w:p>
        </w:tc>
      </w:tr>
      <w:tr w:rsidR="00FA139B" w:rsidRPr="00FA139B" w14:paraId="4D16D184" w14:textId="77777777" w:rsidTr="00FA139B">
        <w:trPr>
          <w:trHeight w:val="240"/>
        </w:trPr>
        <w:tc>
          <w:tcPr>
            <w:tcW w:w="709" w:type="dxa"/>
            <w:vMerge/>
            <w:shd w:val="clear" w:color="auto" w:fill="auto"/>
            <w:hideMark/>
          </w:tcPr>
          <w:p w14:paraId="4F94D6EA"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1C05BB35"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del procedimiento de apelación incoado por la Fiscalía o el acusado</w:t>
            </w:r>
          </w:p>
        </w:tc>
        <w:tc>
          <w:tcPr>
            <w:tcW w:w="1275" w:type="dxa"/>
            <w:shd w:val="clear" w:color="auto" w:fill="auto"/>
            <w:vAlign w:val="bottom"/>
          </w:tcPr>
          <w:p w14:paraId="22EB9ED2"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4438AB77" w14:textId="77777777" w:rsidR="00FA139B" w:rsidRPr="00FA139B" w:rsidRDefault="00FA139B" w:rsidP="00FA139B">
            <w:pPr>
              <w:pStyle w:val="SingleTxtG"/>
              <w:spacing w:before="40" w:after="40" w:line="220" w:lineRule="exact"/>
              <w:ind w:left="113" w:right="0"/>
              <w:jc w:val="right"/>
              <w:rPr>
                <w:sz w:val="18"/>
              </w:rPr>
            </w:pPr>
            <w:r w:rsidRPr="00FA139B">
              <w:rPr>
                <w:sz w:val="18"/>
              </w:rPr>
              <w:t>3</w:t>
            </w:r>
          </w:p>
        </w:tc>
      </w:tr>
      <w:tr w:rsidR="00FA139B" w:rsidRPr="00FA139B" w14:paraId="0DB06369" w14:textId="77777777" w:rsidTr="00FA139B">
        <w:trPr>
          <w:trHeight w:val="240"/>
        </w:trPr>
        <w:tc>
          <w:tcPr>
            <w:tcW w:w="709" w:type="dxa"/>
            <w:vMerge/>
            <w:shd w:val="clear" w:color="auto" w:fill="auto"/>
            <w:hideMark/>
          </w:tcPr>
          <w:p w14:paraId="7F709442" w14:textId="77777777" w:rsidR="00FA139B" w:rsidRPr="00FA139B" w:rsidRDefault="00FA139B" w:rsidP="00FA139B">
            <w:pPr>
              <w:pStyle w:val="SingleTxtG"/>
              <w:spacing w:before="40" w:after="40" w:line="220" w:lineRule="exact"/>
              <w:ind w:left="0" w:right="0"/>
              <w:jc w:val="left"/>
              <w:rPr>
                <w:sz w:val="18"/>
              </w:rPr>
            </w:pPr>
          </w:p>
        </w:tc>
        <w:tc>
          <w:tcPr>
            <w:tcW w:w="4253" w:type="dxa"/>
            <w:shd w:val="clear" w:color="auto" w:fill="auto"/>
            <w:vAlign w:val="bottom"/>
            <w:hideMark/>
          </w:tcPr>
          <w:p w14:paraId="1CF4A9FB" w14:textId="77777777" w:rsidR="00FA139B" w:rsidRPr="00FA139B" w:rsidRDefault="00FA139B" w:rsidP="00FA139B">
            <w:pPr>
              <w:pStyle w:val="SingleTxtG"/>
              <w:spacing w:before="40" w:after="40" w:line="220" w:lineRule="exact"/>
              <w:ind w:left="113" w:right="0"/>
              <w:jc w:val="left"/>
              <w:rPr>
                <w:sz w:val="18"/>
              </w:rPr>
            </w:pPr>
            <w:r w:rsidRPr="00FA139B">
              <w:rPr>
                <w:sz w:val="18"/>
              </w:rPr>
              <w:t>Declaración de incompetencia judicial</w:t>
            </w:r>
          </w:p>
        </w:tc>
        <w:tc>
          <w:tcPr>
            <w:tcW w:w="1275" w:type="dxa"/>
            <w:shd w:val="clear" w:color="auto" w:fill="auto"/>
            <w:vAlign w:val="bottom"/>
          </w:tcPr>
          <w:p w14:paraId="7129BB5A"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shd w:val="clear" w:color="auto" w:fill="auto"/>
            <w:vAlign w:val="bottom"/>
            <w:hideMark/>
          </w:tcPr>
          <w:p w14:paraId="69055C3C"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405F22BD" w14:textId="77777777" w:rsidTr="00FA139B">
        <w:trPr>
          <w:trHeight w:val="240"/>
        </w:trPr>
        <w:tc>
          <w:tcPr>
            <w:tcW w:w="709" w:type="dxa"/>
            <w:vMerge/>
            <w:shd w:val="clear" w:color="auto" w:fill="auto"/>
            <w:hideMark/>
          </w:tcPr>
          <w:p w14:paraId="42E25F0D" w14:textId="77777777" w:rsidR="00FA139B" w:rsidRPr="00FA139B" w:rsidRDefault="00FA139B" w:rsidP="00FA139B">
            <w:pPr>
              <w:pStyle w:val="SingleTxtG"/>
              <w:spacing w:before="40" w:after="40" w:line="220" w:lineRule="exact"/>
              <w:ind w:left="0" w:right="0"/>
              <w:jc w:val="left"/>
              <w:rPr>
                <w:sz w:val="18"/>
              </w:rPr>
            </w:pPr>
          </w:p>
        </w:tc>
        <w:tc>
          <w:tcPr>
            <w:tcW w:w="4253" w:type="dxa"/>
            <w:tcBorders>
              <w:bottom w:val="single" w:sz="4" w:space="0" w:color="auto"/>
            </w:tcBorders>
            <w:shd w:val="clear" w:color="auto" w:fill="auto"/>
            <w:vAlign w:val="bottom"/>
            <w:hideMark/>
          </w:tcPr>
          <w:p w14:paraId="01656080"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del recurso interpuesto por la acusación particular o la Fiscalía y ratificación de la sentencia de anterior instancia</w:t>
            </w:r>
          </w:p>
        </w:tc>
        <w:tc>
          <w:tcPr>
            <w:tcW w:w="1275" w:type="dxa"/>
            <w:tcBorders>
              <w:bottom w:val="single" w:sz="4" w:space="0" w:color="auto"/>
            </w:tcBorders>
            <w:shd w:val="clear" w:color="auto" w:fill="auto"/>
            <w:vAlign w:val="bottom"/>
          </w:tcPr>
          <w:p w14:paraId="2933BBC2" w14:textId="77777777" w:rsidR="00FA139B" w:rsidRPr="00FA139B" w:rsidRDefault="00FA139B" w:rsidP="00FA139B">
            <w:pPr>
              <w:pStyle w:val="SingleTxtG"/>
              <w:spacing w:before="40" w:after="40" w:line="220" w:lineRule="exact"/>
              <w:ind w:left="113" w:right="0"/>
              <w:jc w:val="right"/>
              <w:rPr>
                <w:sz w:val="18"/>
                <w:rtl/>
                <w:lang w:bidi="ar-KW"/>
              </w:rPr>
            </w:pPr>
          </w:p>
        </w:tc>
        <w:tc>
          <w:tcPr>
            <w:tcW w:w="1133" w:type="dxa"/>
            <w:tcBorders>
              <w:bottom w:val="single" w:sz="4" w:space="0" w:color="auto"/>
            </w:tcBorders>
            <w:shd w:val="clear" w:color="auto" w:fill="auto"/>
            <w:vAlign w:val="bottom"/>
            <w:hideMark/>
          </w:tcPr>
          <w:p w14:paraId="40B6D03A" w14:textId="77777777" w:rsidR="00FA139B" w:rsidRPr="00FA139B" w:rsidRDefault="00FA139B" w:rsidP="00FA139B">
            <w:pPr>
              <w:pStyle w:val="SingleTxtG"/>
              <w:spacing w:before="40" w:after="40" w:line="220" w:lineRule="exact"/>
              <w:ind w:left="113" w:right="0"/>
              <w:jc w:val="right"/>
              <w:rPr>
                <w:sz w:val="18"/>
              </w:rPr>
            </w:pPr>
            <w:r w:rsidRPr="00FA139B">
              <w:rPr>
                <w:sz w:val="18"/>
              </w:rPr>
              <w:t>5</w:t>
            </w:r>
          </w:p>
        </w:tc>
      </w:tr>
      <w:tr w:rsidR="00FA139B" w:rsidRPr="00FA139B" w14:paraId="4AF6DEC0" w14:textId="77777777" w:rsidTr="00FA139B">
        <w:trPr>
          <w:trHeight w:val="240"/>
        </w:trPr>
        <w:tc>
          <w:tcPr>
            <w:tcW w:w="709" w:type="dxa"/>
            <w:vMerge/>
            <w:shd w:val="clear" w:color="auto" w:fill="auto"/>
            <w:hideMark/>
          </w:tcPr>
          <w:p w14:paraId="1CC490C4" w14:textId="77777777" w:rsidR="00FA139B" w:rsidRPr="00FA139B" w:rsidRDefault="00FA139B" w:rsidP="00FA139B">
            <w:pPr>
              <w:pStyle w:val="SingleTxtG"/>
              <w:spacing w:before="40" w:after="40" w:line="220" w:lineRule="exact"/>
              <w:ind w:left="0" w:right="0"/>
              <w:jc w:val="left"/>
              <w:rPr>
                <w:sz w:val="18"/>
              </w:rPr>
            </w:pPr>
          </w:p>
        </w:tc>
        <w:tc>
          <w:tcPr>
            <w:tcW w:w="4253" w:type="dxa"/>
            <w:tcBorders>
              <w:top w:val="single" w:sz="4" w:space="0" w:color="auto"/>
              <w:bottom w:val="single" w:sz="4" w:space="0" w:color="auto"/>
            </w:tcBorders>
            <w:shd w:val="clear" w:color="auto" w:fill="auto"/>
            <w:vAlign w:val="bottom"/>
            <w:hideMark/>
          </w:tcPr>
          <w:p w14:paraId="3BF27C74" w14:textId="77777777" w:rsidR="00FA139B" w:rsidRPr="00FA139B" w:rsidRDefault="00FA139B" w:rsidP="00FA139B">
            <w:pPr>
              <w:pStyle w:val="SingleTxtG"/>
              <w:spacing w:before="80" w:after="80" w:line="220" w:lineRule="exact"/>
              <w:ind w:left="284" w:right="0"/>
              <w:jc w:val="left"/>
              <w:rPr>
                <w:b/>
                <w:bCs/>
                <w:sz w:val="18"/>
              </w:rPr>
            </w:pPr>
            <w:r w:rsidRPr="00FA139B">
              <w:rPr>
                <w:b/>
                <w:bCs/>
                <w:sz w:val="18"/>
              </w:rPr>
              <w:t xml:space="preserve">Total </w:t>
            </w:r>
          </w:p>
        </w:tc>
        <w:tc>
          <w:tcPr>
            <w:tcW w:w="1275" w:type="dxa"/>
            <w:tcBorders>
              <w:top w:val="single" w:sz="4" w:space="0" w:color="auto"/>
              <w:bottom w:val="single" w:sz="4" w:space="0" w:color="auto"/>
            </w:tcBorders>
            <w:shd w:val="clear" w:color="auto" w:fill="auto"/>
            <w:vAlign w:val="bottom"/>
            <w:hideMark/>
          </w:tcPr>
          <w:p w14:paraId="609D5265"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18</w:t>
            </w:r>
          </w:p>
        </w:tc>
        <w:tc>
          <w:tcPr>
            <w:tcW w:w="1133" w:type="dxa"/>
            <w:tcBorders>
              <w:top w:val="single" w:sz="4" w:space="0" w:color="auto"/>
              <w:bottom w:val="single" w:sz="4" w:space="0" w:color="auto"/>
            </w:tcBorders>
            <w:shd w:val="clear" w:color="auto" w:fill="auto"/>
            <w:vAlign w:val="bottom"/>
            <w:hideMark/>
          </w:tcPr>
          <w:p w14:paraId="0E6EC7E2"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22</w:t>
            </w:r>
          </w:p>
        </w:tc>
      </w:tr>
      <w:tr w:rsidR="00FA139B" w:rsidRPr="00FA139B" w14:paraId="1E9D4217" w14:textId="77777777" w:rsidTr="00FA139B">
        <w:trPr>
          <w:trHeight w:val="240"/>
        </w:trPr>
        <w:tc>
          <w:tcPr>
            <w:tcW w:w="709" w:type="dxa"/>
            <w:vMerge w:val="restart"/>
            <w:shd w:val="clear" w:color="auto" w:fill="auto"/>
            <w:hideMark/>
          </w:tcPr>
          <w:p w14:paraId="7BCC47AF" w14:textId="77777777" w:rsidR="00FA139B" w:rsidRPr="00FA139B" w:rsidRDefault="00FA139B" w:rsidP="00FA139B">
            <w:pPr>
              <w:pStyle w:val="SingleTxtG"/>
              <w:spacing w:before="40" w:after="40" w:line="220" w:lineRule="exact"/>
              <w:ind w:left="0" w:right="0"/>
              <w:jc w:val="left"/>
              <w:rPr>
                <w:sz w:val="18"/>
              </w:rPr>
            </w:pPr>
            <w:r w:rsidRPr="00FA139B">
              <w:rPr>
                <w:sz w:val="18"/>
              </w:rPr>
              <w:t>2019</w:t>
            </w:r>
          </w:p>
        </w:tc>
        <w:tc>
          <w:tcPr>
            <w:tcW w:w="4253" w:type="dxa"/>
            <w:tcBorders>
              <w:top w:val="single" w:sz="4" w:space="0" w:color="auto"/>
            </w:tcBorders>
            <w:shd w:val="clear" w:color="auto" w:fill="auto"/>
            <w:vAlign w:val="bottom"/>
            <w:hideMark/>
          </w:tcPr>
          <w:p w14:paraId="66E6FFE7" w14:textId="77777777" w:rsidR="00FA139B" w:rsidRPr="00FA139B" w:rsidRDefault="00FA139B" w:rsidP="00FA139B">
            <w:pPr>
              <w:pStyle w:val="SingleTxtG"/>
              <w:spacing w:before="40" w:after="40" w:line="220" w:lineRule="exact"/>
              <w:ind w:left="113" w:right="0"/>
              <w:jc w:val="left"/>
              <w:rPr>
                <w:sz w:val="18"/>
              </w:rPr>
            </w:pPr>
            <w:r w:rsidRPr="00FA139B">
              <w:rPr>
                <w:sz w:val="18"/>
              </w:rPr>
              <w:t>Ninguna</w:t>
            </w:r>
          </w:p>
        </w:tc>
        <w:tc>
          <w:tcPr>
            <w:tcW w:w="1275" w:type="dxa"/>
            <w:tcBorders>
              <w:top w:val="single" w:sz="4" w:space="0" w:color="auto"/>
            </w:tcBorders>
            <w:shd w:val="clear" w:color="auto" w:fill="auto"/>
            <w:vAlign w:val="bottom"/>
            <w:hideMark/>
          </w:tcPr>
          <w:p w14:paraId="46F44085" w14:textId="77777777" w:rsidR="00FA139B" w:rsidRPr="00FA139B" w:rsidRDefault="00FA139B" w:rsidP="00FA139B">
            <w:pPr>
              <w:pStyle w:val="SingleTxtG"/>
              <w:spacing w:before="40" w:after="40" w:line="220" w:lineRule="exact"/>
              <w:ind w:left="113" w:right="0"/>
              <w:jc w:val="right"/>
              <w:rPr>
                <w:sz w:val="18"/>
              </w:rPr>
            </w:pPr>
            <w:r w:rsidRPr="00FA139B">
              <w:rPr>
                <w:sz w:val="18"/>
              </w:rPr>
              <w:t>-</w:t>
            </w:r>
          </w:p>
        </w:tc>
        <w:tc>
          <w:tcPr>
            <w:tcW w:w="1133" w:type="dxa"/>
            <w:tcBorders>
              <w:top w:val="single" w:sz="4" w:space="0" w:color="auto"/>
            </w:tcBorders>
            <w:shd w:val="clear" w:color="auto" w:fill="auto"/>
            <w:vAlign w:val="bottom"/>
            <w:hideMark/>
          </w:tcPr>
          <w:p w14:paraId="235C14F8" w14:textId="77777777" w:rsidR="00FA139B" w:rsidRPr="00FA139B" w:rsidRDefault="00FA139B" w:rsidP="00FA139B">
            <w:pPr>
              <w:pStyle w:val="SingleTxtG"/>
              <w:spacing w:before="40" w:after="40" w:line="220" w:lineRule="exact"/>
              <w:ind w:left="113" w:right="0"/>
              <w:jc w:val="right"/>
              <w:rPr>
                <w:sz w:val="18"/>
              </w:rPr>
            </w:pPr>
            <w:r w:rsidRPr="00FA139B">
              <w:rPr>
                <w:sz w:val="18"/>
              </w:rPr>
              <w:t>-</w:t>
            </w:r>
          </w:p>
        </w:tc>
      </w:tr>
      <w:tr w:rsidR="00FA139B" w:rsidRPr="00FA139B" w14:paraId="3A14AE91" w14:textId="77777777" w:rsidTr="00FA139B">
        <w:trPr>
          <w:trHeight w:val="240"/>
        </w:trPr>
        <w:tc>
          <w:tcPr>
            <w:tcW w:w="709" w:type="dxa"/>
            <w:vMerge/>
            <w:tcBorders>
              <w:bottom w:val="single" w:sz="4" w:space="0" w:color="auto"/>
            </w:tcBorders>
            <w:shd w:val="clear" w:color="auto" w:fill="auto"/>
            <w:hideMark/>
          </w:tcPr>
          <w:p w14:paraId="11FD3796" w14:textId="77777777" w:rsidR="00FA139B" w:rsidRPr="00FA139B" w:rsidRDefault="00FA139B" w:rsidP="00FA139B">
            <w:pPr>
              <w:pStyle w:val="SingleTxtG"/>
              <w:spacing w:before="40" w:after="40" w:line="220" w:lineRule="exact"/>
              <w:ind w:left="0" w:right="0"/>
              <w:jc w:val="left"/>
              <w:rPr>
                <w:sz w:val="18"/>
              </w:rPr>
            </w:pPr>
          </w:p>
        </w:tc>
        <w:tc>
          <w:tcPr>
            <w:tcW w:w="4253" w:type="dxa"/>
            <w:tcBorders>
              <w:bottom w:val="single" w:sz="4" w:space="0" w:color="auto"/>
            </w:tcBorders>
            <w:shd w:val="clear" w:color="auto" w:fill="auto"/>
            <w:vAlign w:val="bottom"/>
            <w:hideMark/>
          </w:tcPr>
          <w:p w14:paraId="3A4A370E" w14:textId="77777777" w:rsidR="00FA139B" w:rsidRPr="00FA139B" w:rsidRDefault="00FA139B" w:rsidP="00FA139B">
            <w:pPr>
              <w:pStyle w:val="SingleTxtG"/>
              <w:spacing w:before="40" w:after="40" w:line="220" w:lineRule="exact"/>
              <w:ind w:left="113" w:right="0"/>
              <w:jc w:val="left"/>
              <w:rPr>
                <w:sz w:val="18"/>
              </w:rPr>
            </w:pPr>
            <w:r w:rsidRPr="00FA139B">
              <w:rPr>
                <w:sz w:val="18"/>
              </w:rPr>
              <w:t>Total de causas</w:t>
            </w:r>
          </w:p>
        </w:tc>
        <w:tc>
          <w:tcPr>
            <w:tcW w:w="1275" w:type="dxa"/>
            <w:tcBorders>
              <w:bottom w:val="single" w:sz="4" w:space="0" w:color="auto"/>
            </w:tcBorders>
            <w:shd w:val="clear" w:color="auto" w:fill="auto"/>
            <w:vAlign w:val="bottom"/>
            <w:hideMark/>
          </w:tcPr>
          <w:p w14:paraId="4C2EEB74" w14:textId="77777777" w:rsidR="00FA139B" w:rsidRPr="00FA139B" w:rsidRDefault="00FA139B" w:rsidP="00FA139B">
            <w:pPr>
              <w:pStyle w:val="SingleTxtG"/>
              <w:spacing w:before="40" w:after="40" w:line="220" w:lineRule="exact"/>
              <w:ind w:left="113" w:right="0"/>
              <w:jc w:val="right"/>
              <w:rPr>
                <w:sz w:val="18"/>
              </w:rPr>
            </w:pPr>
            <w:r w:rsidRPr="00FA139B">
              <w:rPr>
                <w:sz w:val="18"/>
              </w:rPr>
              <w:t>-</w:t>
            </w:r>
          </w:p>
        </w:tc>
        <w:tc>
          <w:tcPr>
            <w:tcW w:w="1133" w:type="dxa"/>
            <w:tcBorders>
              <w:bottom w:val="single" w:sz="4" w:space="0" w:color="auto"/>
            </w:tcBorders>
            <w:shd w:val="clear" w:color="auto" w:fill="auto"/>
            <w:vAlign w:val="bottom"/>
            <w:hideMark/>
          </w:tcPr>
          <w:p w14:paraId="3F0B930A" w14:textId="77777777" w:rsidR="00FA139B" w:rsidRPr="00FA139B" w:rsidRDefault="00FA139B" w:rsidP="00FA139B">
            <w:pPr>
              <w:pStyle w:val="SingleTxtG"/>
              <w:spacing w:before="40" w:after="40" w:line="220" w:lineRule="exact"/>
              <w:ind w:left="113" w:right="0"/>
              <w:jc w:val="right"/>
              <w:rPr>
                <w:sz w:val="18"/>
              </w:rPr>
            </w:pPr>
            <w:r w:rsidRPr="00FA139B">
              <w:rPr>
                <w:sz w:val="18"/>
              </w:rPr>
              <w:t>-</w:t>
            </w:r>
          </w:p>
        </w:tc>
      </w:tr>
      <w:tr w:rsidR="00FA139B" w:rsidRPr="00FA139B" w14:paraId="582D0F4B" w14:textId="77777777" w:rsidTr="00FA139B">
        <w:trPr>
          <w:trHeight w:val="240"/>
        </w:trPr>
        <w:tc>
          <w:tcPr>
            <w:tcW w:w="4962" w:type="dxa"/>
            <w:gridSpan w:val="2"/>
            <w:tcBorders>
              <w:top w:val="single" w:sz="4" w:space="0" w:color="auto"/>
              <w:bottom w:val="single" w:sz="12" w:space="0" w:color="auto"/>
            </w:tcBorders>
            <w:shd w:val="clear" w:color="auto" w:fill="auto"/>
            <w:hideMark/>
          </w:tcPr>
          <w:p w14:paraId="4679B28A" w14:textId="77777777" w:rsidR="00FA139B" w:rsidRPr="00FA139B" w:rsidRDefault="00FA139B" w:rsidP="00FA139B">
            <w:pPr>
              <w:pStyle w:val="SingleTxtG"/>
              <w:spacing w:before="80" w:after="80" w:line="220" w:lineRule="exact"/>
              <w:ind w:left="284" w:right="0"/>
              <w:jc w:val="left"/>
              <w:rPr>
                <w:b/>
                <w:bCs/>
                <w:sz w:val="18"/>
              </w:rPr>
            </w:pPr>
            <w:r w:rsidRPr="00FA139B">
              <w:rPr>
                <w:b/>
                <w:bCs/>
                <w:sz w:val="18"/>
              </w:rPr>
              <w:t>T</w:t>
            </w:r>
            <w:r>
              <w:rPr>
                <w:b/>
                <w:bCs/>
                <w:sz w:val="18"/>
              </w:rPr>
              <w:t>otal</w:t>
            </w:r>
          </w:p>
        </w:tc>
        <w:tc>
          <w:tcPr>
            <w:tcW w:w="1275" w:type="dxa"/>
            <w:tcBorders>
              <w:top w:val="single" w:sz="4" w:space="0" w:color="auto"/>
              <w:bottom w:val="single" w:sz="12" w:space="0" w:color="auto"/>
            </w:tcBorders>
            <w:shd w:val="clear" w:color="auto" w:fill="auto"/>
            <w:vAlign w:val="bottom"/>
            <w:hideMark/>
          </w:tcPr>
          <w:p w14:paraId="45C32502"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38</w:t>
            </w:r>
          </w:p>
        </w:tc>
        <w:tc>
          <w:tcPr>
            <w:tcW w:w="1133" w:type="dxa"/>
            <w:tcBorders>
              <w:top w:val="single" w:sz="4" w:space="0" w:color="auto"/>
              <w:bottom w:val="single" w:sz="12" w:space="0" w:color="auto"/>
            </w:tcBorders>
            <w:shd w:val="clear" w:color="auto" w:fill="auto"/>
            <w:vAlign w:val="bottom"/>
            <w:hideMark/>
          </w:tcPr>
          <w:p w14:paraId="6A6FA580" w14:textId="77777777" w:rsidR="00FA139B" w:rsidRPr="00FA139B" w:rsidRDefault="00FA139B" w:rsidP="00FA139B">
            <w:pPr>
              <w:pStyle w:val="SingleTxtG"/>
              <w:spacing w:before="80" w:after="80" w:line="220" w:lineRule="exact"/>
              <w:ind w:left="113" w:right="0"/>
              <w:jc w:val="right"/>
              <w:rPr>
                <w:b/>
                <w:bCs/>
                <w:sz w:val="18"/>
              </w:rPr>
            </w:pPr>
            <w:r w:rsidRPr="00FA139B">
              <w:rPr>
                <w:b/>
                <w:bCs/>
                <w:sz w:val="18"/>
              </w:rPr>
              <w:t>47</w:t>
            </w:r>
          </w:p>
        </w:tc>
      </w:tr>
    </w:tbl>
    <w:p w14:paraId="53B08A62" w14:textId="77777777" w:rsidR="00FA139B" w:rsidRPr="00FA139B" w:rsidRDefault="00FA139B" w:rsidP="00FA139B">
      <w:pPr>
        <w:pStyle w:val="H23G"/>
      </w:pPr>
      <w:r w:rsidRPr="00FA139B">
        <w:lastRenderedPageBreak/>
        <w:tab/>
        <w:t>2.</w:t>
      </w:r>
      <w:r w:rsidRPr="00FA139B">
        <w:tab/>
        <w:t xml:space="preserve">Información estadística sobre el número de causas sustanciadas por infracción </w:t>
      </w:r>
      <w:r>
        <w:br/>
      </w:r>
      <w:r w:rsidRPr="00FA139B">
        <w:t xml:space="preserve">a la Ley para la Protección de la Unidad Nacional y por la comisión de actos de incitación a la discordia sectaria, así como sobre el número de personas acusadas </w:t>
      </w:r>
      <w:r>
        <w:br/>
      </w:r>
      <w:r w:rsidRPr="00FA139B">
        <w:t>y las resoluciones dictadas (en casación) entre 2016 y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4394"/>
        <w:gridCol w:w="1276"/>
        <w:gridCol w:w="991"/>
      </w:tblGrid>
      <w:tr w:rsidR="00FA139B" w:rsidRPr="00FA139B" w14:paraId="0FC0FF00" w14:textId="77777777" w:rsidTr="00D04F36">
        <w:trPr>
          <w:trHeight w:val="240"/>
          <w:tblHeader/>
        </w:trPr>
        <w:tc>
          <w:tcPr>
            <w:tcW w:w="709" w:type="dxa"/>
            <w:tcBorders>
              <w:top w:val="single" w:sz="4" w:space="0" w:color="auto"/>
              <w:bottom w:val="single" w:sz="12" w:space="0" w:color="auto"/>
            </w:tcBorders>
            <w:shd w:val="clear" w:color="auto" w:fill="auto"/>
            <w:vAlign w:val="bottom"/>
            <w:hideMark/>
          </w:tcPr>
          <w:p w14:paraId="36B9BF26" w14:textId="77777777" w:rsidR="00FA139B" w:rsidRPr="00FA139B" w:rsidRDefault="00FA139B" w:rsidP="00FA139B">
            <w:pPr>
              <w:pStyle w:val="SingleTxtG"/>
              <w:keepNext/>
              <w:spacing w:before="80" w:after="80" w:line="200" w:lineRule="exact"/>
              <w:ind w:left="0" w:right="0"/>
              <w:jc w:val="left"/>
              <w:rPr>
                <w:i/>
                <w:sz w:val="16"/>
              </w:rPr>
            </w:pPr>
            <w:r w:rsidRPr="00FA139B">
              <w:rPr>
                <w:i/>
                <w:sz w:val="16"/>
              </w:rPr>
              <w:t>Año</w:t>
            </w:r>
          </w:p>
        </w:tc>
        <w:tc>
          <w:tcPr>
            <w:tcW w:w="4394" w:type="dxa"/>
            <w:tcBorders>
              <w:top w:val="single" w:sz="4" w:space="0" w:color="auto"/>
              <w:bottom w:val="single" w:sz="12" w:space="0" w:color="auto"/>
            </w:tcBorders>
            <w:shd w:val="clear" w:color="auto" w:fill="auto"/>
            <w:vAlign w:val="bottom"/>
            <w:hideMark/>
          </w:tcPr>
          <w:p w14:paraId="0EE6DDB7" w14:textId="77777777" w:rsidR="00FA139B" w:rsidRPr="00FA139B" w:rsidRDefault="00FA139B" w:rsidP="00FA139B">
            <w:pPr>
              <w:pStyle w:val="SingleTxtG"/>
              <w:keepNext/>
              <w:spacing w:before="80" w:after="80" w:line="200" w:lineRule="exact"/>
              <w:ind w:left="113" w:right="0"/>
              <w:jc w:val="left"/>
              <w:rPr>
                <w:i/>
                <w:sz w:val="16"/>
              </w:rPr>
            </w:pPr>
            <w:r w:rsidRPr="00FA139B">
              <w:rPr>
                <w:i/>
                <w:iCs/>
                <w:sz w:val="16"/>
              </w:rPr>
              <w:t>Fallo</w:t>
            </w:r>
          </w:p>
        </w:tc>
        <w:tc>
          <w:tcPr>
            <w:tcW w:w="1276" w:type="dxa"/>
            <w:tcBorders>
              <w:top w:val="single" w:sz="4" w:space="0" w:color="auto"/>
              <w:bottom w:val="single" w:sz="12" w:space="0" w:color="auto"/>
            </w:tcBorders>
            <w:shd w:val="clear" w:color="auto" w:fill="auto"/>
            <w:vAlign w:val="bottom"/>
            <w:hideMark/>
          </w:tcPr>
          <w:p w14:paraId="49D45ED7" w14:textId="77777777" w:rsidR="00FA139B" w:rsidRPr="00FA139B" w:rsidRDefault="00FA139B" w:rsidP="00FA139B">
            <w:pPr>
              <w:pStyle w:val="SingleTxtG"/>
              <w:keepNext/>
              <w:spacing w:before="80" w:after="80" w:line="200" w:lineRule="exact"/>
              <w:ind w:left="113" w:right="0"/>
              <w:jc w:val="right"/>
              <w:rPr>
                <w:i/>
                <w:sz w:val="16"/>
              </w:rPr>
            </w:pPr>
            <w:r w:rsidRPr="00FA139B">
              <w:rPr>
                <w:i/>
                <w:iCs/>
                <w:sz w:val="16"/>
              </w:rPr>
              <w:t>Causas resueltas</w:t>
            </w:r>
          </w:p>
        </w:tc>
        <w:tc>
          <w:tcPr>
            <w:tcW w:w="991" w:type="dxa"/>
            <w:tcBorders>
              <w:top w:val="single" w:sz="4" w:space="0" w:color="auto"/>
              <w:bottom w:val="single" w:sz="12" w:space="0" w:color="auto"/>
            </w:tcBorders>
            <w:shd w:val="clear" w:color="auto" w:fill="auto"/>
            <w:vAlign w:val="bottom"/>
            <w:hideMark/>
          </w:tcPr>
          <w:p w14:paraId="73474222" w14:textId="77777777" w:rsidR="00FA139B" w:rsidRPr="00FA139B" w:rsidRDefault="00FA139B" w:rsidP="00FA139B">
            <w:pPr>
              <w:pStyle w:val="SingleTxtG"/>
              <w:keepNext/>
              <w:spacing w:before="80" w:after="80" w:line="200" w:lineRule="exact"/>
              <w:ind w:left="113" w:right="0"/>
              <w:jc w:val="right"/>
              <w:rPr>
                <w:i/>
                <w:sz w:val="16"/>
              </w:rPr>
            </w:pPr>
            <w:r w:rsidRPr="00FA139B">
              <w:rPr>
                <w:i/>
                <w:iCs/>
                <w:sz w:val="16"/>
              </w:rPr>
              <w:t>Núm</w:t>
            </w:r>
            <w:r w:rsidR="00D04F36">
              <w:rPr>
                <w:i/>
                <w:iCs/>
                <w:sz w:val="16"/>
              </w:rPr>
              <w:t>ero</w:t>
            </w:r>
            <w:r w:rsidRPr="00FA139B">
              <w:rPr>
                <w:i/>
                <w:iCs/>
                <w:sz w:val="16"/>
              </w:rPr>
              <w:t xml:space="preserve"> de acusados</w:t>
            </w:r>
          </w:p>
        </w:tc>
      </w:tr>
      <w:tr w:rsidR="00FA139B" w:rsidRPr="00FA139B" w14:paraId="00CD965B" w14:textId="77777777" w:rsidTr="00D04F36">
        <w:trPr>
          <w:trHeight w:val="240"/>
        </w:trPr>
        <w:tc>
          <w:tcPr>
            <w:tcW w:w="709" w:type="dxa"/>
            <w:shd w:val="clear" w:color="auto" w:fill="auto"/>
            <w:hideMark/>
          </w:tcPr>
          <w:p w14:paraId="7A036529" w14:textId="77777777" w:rsidR="00FA139B" w:rsidRPr="00FA139B" w:rsidRDefault="00FA139B" w:rsidP="00FA139B">
            <w:pPr>
              <w:pStyle w:val="SingleTxtG"/>
              <w:spacing w:before="40" w:after="40" w:line="220" w:lineRule="exact"/>
              <w:ind w:left="0" w:right="0"/>
              <w:jc w:val="left"/>
              <w:rPr>
                <w:sz w:val="18"/>
              </w:rPr>
            </w:pPr>
            <w:r w:rsidRPr="00FA139B">
              <w:rPr>
                <w:sz w:val="18"/>
              </w:rPr>
              <w:t>2016</w:t>
            </w:r>
          </w:p>
        </w:tc>
        <w:tc>
          <w:tcPr>
            <w:tcW w:w="4394" w:type="dxa"/>
            <w:shd w:val="clear" w:color="auto" w:fill="auto"/>
            <w:vAlign w:val="bottom"/>
            <w:hideMark/>
          </w:tcPr>
          <w:p w14:paraId="6F4CBEA4" w14:textId="77777777" w:rsidR="00FA139B" w:rsidRPr="00FA139B" w:rsidRDefault="00FA139B" w:rsidP="00FA139B">
            <w:pPr>
              <w:pStyle w:val="SingleTxtG"/>
              <w:spacing w:before="40" w:after="40" w:line="220" w:lineRule="exact"/>
              <w:ind w:left="113" w:right="0"/>
              <w:jc w:val="left"/>
              <w:rPr>
                <w:sz w:val="18"/>
              </w:rPr>
            </w:pPr>
            <w:r w:rsidRPr="00FA139B">
              <w:rPr>
                <w:sz w:val="18"/>
              </w:rPr>
              <w:t>Sanción pecuniaria</w:t>
            </w:r>
          </w:p>
        </w:tc>
        <w:tc>
          <w:tcPr>
            <w:tcW w:w="1276" w:type="dxa"/>
            <w:shd w:val="clear" w:color="auto" w:fill="auto"/>
            <w:vAlign w:val="bottom"/>
            <w:hideMark/>
          </w:tcPr>
          <w:p w14:paraId="6E3A9761"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58CE638A"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2FCE319B" w14:textId="77777777" w:rsidTr="00D04F36">
        <w:trPr>
          <w:trHeight w:val="240"/>
        </w:trPr>
        <w:tc>
          <w:tcPr>
            <w:tcW w:w="709" w:type="dxa"/>
            <w:shd w:val="clear" w:color="auto" w:fill="auto"/>
            <w:hideMark/>
          </w:tcPr>
          <w:p w14:paraId="6A0DBFC7" w14:textId="77777777" w:rsidR="00FA139B" w:rsidRPr="00FA139B" w:rsidRDefault="00FA139B" w:rsidP="00FA139B">
            <w:pPr>
              <w:pStyle w:val="SingleTxtG"/>
              <w:spacing w:before="40" w:after="40" w:line="220" w:lineRule="exact"/>
              <w:ind w:left="0" w:right="0"/>
              <w:jc w:val="left"/>
              <w:rPr>
                <w:sz w:val="18"/>
              </w:rPr>
            </w:pPr>
            <w:r w:rsidRPr="00FA139B">
              <w:rPr>
                <w:sz w:val="18"/>
              </w:rPr>
              <w:t>2017</w:t>
            </w:r>
          </w:p>
        </w:tc>
        <w:tc>
          <w:tcPr>
            <w:tcW w:w="4394" w:type="dxa"/>
            <w:shd w:val="clear" w:color="auto" w:fill="auto"/>
            <w:vAlign w:val="bottom"/>
            <w:hideMark/>
          </w:tcPr>
          <w:p w14:paraId="2C832144" w14:textId="77777777" w:rsidR="00FA139B" w:rsidRPr="00FA139B" w:rsidRDefault="00FA139B" w:rsidP="00FA139B">
            <w:pPr>
              <w:pStyle w:val="SingleTxtG"/>
              <w:spacing w:before="40" w:after="40" w:line="220" w:lineRule="exact"/>
              <w:ind w:left="113" w:right="0"/>
              <w:jc w:val="left"/>
              <w:rPr>
                <w:sz w:val="18"/>
              </w:rPr>
            </w:pPr>
            <w:r w:rsidRPr="00FA139B">
              <w:rPr>
                <w:sz w:val="18"/>
              </w:rPr>
              <w:t>Sanción pecuniaria</w:t>
            </w:r>
          </w:p>
        </w:tc>
        <w:tc>
          <w:tcPr>
            <w:tcW w:w="1276" w:type="dxa"/>
            <w:shd w:val="clear" w:color="auto" w:fill="auto"/>
            <w:vAlign w:val="bottom"/>
            <w:hideMark/>
          </w:tcPr>
          <w:p w14:paraId="3DA00931"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3F8D6E53"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463D8D1E" w14:textId="77777777" w:rsidTr="00D04F36">
        <w:trPr>
          <w:trHeight w:val="240"/>
        </w:trPr>
        <w:tc>
          <w:tcPr>
            <w:tcW w:w="709" w:type="dxa"/>
            <w:shd w:val="clear" w:color="auto" w:fill="auto"/>
          </w:tcPr>
          <w:p w14:paraId="1451DDC7" w14:textId="77777777" w:rsidR="00FA139B" w:rsidRPr="00FA139B" w:rsidRDefault="00FA139B" w:rsidP="00FA139B">
            <w:pPr>
              <w:pStyle w:val="SingleTxtG"/>
              <w:spacing w:before="40" w:after="40" w:line="220" w:lineRule="exact"/>
              <w:ind w:left="0" w:right="0"/>
              <w:jc w:val="left"/>
              <w:rPr>
                <w:sz w:val="18"/>
                <w:rtl/>
                <w:lang w:bidi="ar-KW"/>
              </w:rPr>
            </w:pPr>
          </w:p>
        </w:tc>
        <w:tc>
          <w:tcPr>
            <w:tcW w:w="4394" w:type="dxa"/>
            <w:shd w:val="clear" w:color="auto" w:fill="auto"/>
            <w:vAlign w:val="bottom"/>
            <w:hideMark/>
          </w:tcPr>
          <w:p w14:paraId="23B5E64C"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y ratificación</w:t>
            </w:r>
          </w:p>
        </w:tc>
        <w:tc>
          <w:tcPr>
            <w:tcW w:w="1276" w:type="dxa"/>
            <w:shd w:val="clear" w:color="auto" w:fill="auto"/>
            <w:vAlign w:val="bottom"/>
          </w:tcPr>
          <w:p w14:paraId="1450C4A2" w14:textId="77777777" w:rsidR="00FA139B" w:rsidRPr="00FA139B" w:rsidRDefault="00FA139B" w:rsidP="00FA139B">
            <w:pPr>
              <w:pStyle w:val="SingleTxtG"/>
              <w:spacing w:before="40" w:after="40" w:line="220" w:lineRule="exact"/>
              <w:ind w:left="113" w:right="0"/>
              <w:jc w:val="right"/>
              <w:rPr>
                <w:sz w:val="18"/>
                <w:rtl/>
                <w:lang w:bidi="ar-KW"/>
              </w:rPr>
            </w:pPr>
          </w:p>
        </w:tc>
        <w:tc>
          <w:tcPr>
            <w:tcW w:w="991" w:type="dxa"/>
            <w:shd w:val="clear" w:color="auto" w:fill="auto"/>
            <w:vAlign w:val="bottom"/>
            <w:hideMark/>
          </w:tcPr>
          <w:p w14:paraId="79943837"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76889192" w14:textId="77777777" w:rsidTr="00D04F36">
        <w:trPr>
          <w:trHeight w:val="240"/>
        </w:trPr>
        <w:tc>
          <w:tcPr>
            <w:tcW w:w="709" w:type="dxa"/>
            <w:vMerge w:val="restart"/>
            <w:shd w:val="clear" w:color="auto" w:fill="auto"/>
            <w:hideMark/>
          </w:tcPr>
          <w:p w14:paraId="425B8A8B" w14:textId="77777777" w:rsidR="00FA139B" w:rsidRPr="00FA139B" w:rsidRDefault="00FA139B" w:rsidP="00FA139B">
            <w:pPr>
              <w:pStyle w:val="SingleTxtG"/>
              <w:spacing w:before="40" w:after="40" w:line="220" w:lineRule="exact"/>
              <w:ind w:left="0" w:right="0"/>
              <w:jc w:val="left"/>
              <w:rPr>
                <w:sz w:val="18"/>
              </w:rPr>
            </w:pPr>
            <w:r w:rsidRPr="00FA139B">
              <w:rPr>
                <w:sz w:val="18"/>
              </w:rPr>
              <w:t>2018</w:t>
            </w:r>
          </w:p>
        </w:tc>
        <w:tc>
          <w:tcPr>
            <w:tcW w:w="4394" w:type="dxa"/>
            <w:shd w:val="clear" w:color="auto" w:fill="auto"/>
            <w:vAlign w:val="bottom"/>
            <w:hideMark/>
          </w:tcPr>
          <w:p w14:paraId="4CDEDDBF" w14:textId="77777777" w:rsidR="00FA139B" w:rsidRPr="00FA139B" w:rsidRDefault="00FA139B" w:rsidP="00FA139B">
            <w:pPr>
              <w:pStyle w:val="SingleTxtG"/>
              <w:spacing w:before="40" w:after="40" w:line="220" w:lineRule="exact"/>
              <w:ind w:left="113" w:right="0"/>
              <w:jc w:val="left"/>
              <w:rPr>
                <w:sz w:val="18"/>
              </w:rPr>
            </w:pPr>
            <w:r w:rsidRPr="00FA139B">
              <w:rPr>
                <w:sz w:val="18"/>
              </w:rPr>
              <w:t>Pena de prisión de hasta 6 meses</w:t>
            </w:r>
          </w:p>
        </w:tc>
        <w:tc>
          <w:tcPr>
            <w:tcW w:w="1276" w:type="dxa"/>
            <w:shd w:val="clear" w:color="auto" w:fill="auto"/>
            <w:vAlign w:val="bottom"/>
            <w:hideMark/>
          </w:tcPr>
          <w:p w14:paraId="1CEDCDC4"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69FBA8D3"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1BAE129F" w14:textId="77777777" w:rsidTr="00D04F36">
        <w:trPr>
          <w:trHeight w:val="240"/>
        </w:trPr>
        <w:tc>
          <w:tcPr>
            <w:tcW w:w="709" w:type="dxa"/>
            <w:vMerge/>
            <w:shd w:val="clear" w:color="auto" w:fill="auto"/>
            <w:hideMark/>
          </w:tcPr>
          <w:p w14:paraId="704595F5" w14:textId="77777777" w:rsidR="00FA139B" w:rsidRPr="00FA139B" w:rsidRDefault="00FA139B" w:rsidP="00FA139B">
            <w:pPr>
              <w:pStyle w:val="SingleTxtG"/>
              <w:spacing w:before="40" w:after="40" w:line="220" w:lineRule="exact"/>
              <w:ind w:left="0" w:right="0"/>
              <w:jc w:val="left"/>
              <w:rPr>
                <w:sz w:val="18"/>
              </w:rPr>
            </w:pPr>
          </w:p>
        </w:tc>
        <w:tc>
          <w:tcPr>
            <w:tcW w:w="4394" w:type="dxa"/>
            <w:shd w:val="clear" w:color="auto" w:fill="auto"/>
            <w:vAlign w:val="bottom"/>
            <w:hideMark/>
          </w:tcPr>
          <w:p w14:paraId="3896C506" w14:textId="77777777" w:rsidR="00FA139B" w:rsidRPr="00FA139B" w:rsidRDefault="00FA139B" w:rsidP="00FA139B">
            <w:pPr>
              <w:pStyle w:val="SingleTxtG"/>
              <w:spacing w:before="40" w:after="40" w:line="220" w:lineRule="exact"/>
              <w:ind w:left="113" w:right="0"/>
              <w:jc w:val="left"/>
              <w:rPr>
                <w:sz w:val="18"/>
              </w:rPr>
            </w:pPr>
            <w:r w:rsidRPr="00FA139B">
              <w:rPr>
                <w:sz w:val="18"/>
              </w:rPr>
              <w:t>Modificación de la sentencia</w:t>
            </w:r>
          </w:p>
        </w:tc>
        <w:tc>
          <w:tcPr>
            <w:tcW w:w="1276" w:type="dxa"/>
            <w:shd w:val="clear" w:color="auto" w:fill="auto"/>
            <w:vAlign w:val="bottom"/>
            <w:hideMark/>
          </w:tcPr>
          <w:p w14:paraId="0B115C1D"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34076B59"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50F836DD" w14:textId="77777777" w:rsidTr="00D04F36">
        <w:trPr>
          <w:trHeight w:val="240"/>
        </w:trPr>
        <w:tc>
          <w:tcPr>
            <w:tcW w:w="709" w:type="dxa"/>
            <w:vMerge/>
            <w:shd w:val="clear" w:color="auto" w:fill="auto"/>
            <w:hideMark/>
          </w:tcPr>
          <w:p w14:paraId="000D16B6" w14:textId="77777777" w:rsidR="00FA139B" w:rsidRPr="00FA139B" w:rsidRDefault="00FA139B" w:rsidP="00FA139B">
            <w:pPr>
              <w:pStyle w:val="SingleTxtG"/>
              <w:spacing w:before="40" w:after="40" w:line="220" w:lineRule="exact"/>
              <w:ind w:left="0" w:right="0"/>
              <w:jc w:val="left"/>
              <w:rPr>
                <w:sz w:val="18"/>
              </w:rPr>
            </w:pPr>
          </w:p>
        </w:tc>
        <w:tc>
          <w:tcPr>
            <w:tcW w:w="4394" w:type="dxa"/>
            <w:shd w:val="clear" w:color="auto" w:fill="auto"/>
            <w:vAlign w:val="bottom"/>
            <w:hideMark/>
          </w:tcPr>
          <w:p w14:paraId="112CF965" w14:textId="77777777" w:rsidR="00FA139B" w:rsidRPr="00FA139B" w:rsidRDefault="00FA139B" w:rsidP="00FA139B">
            <w:pPr>
              <w:pStyle w:val="SingleTxtG"/>
              <w:spacing w:before="40" w:after="40" w:line="220" w:lineRule="exact"/>
              <w:ind w:left="113" w:right="0"/>
              <w:jc w:val="left"/>
              <w:rPr>
                <w:sz w:val="18"/>
              </w:rPr>
            </w:pPr>
            <w:r w:rsidRPr="00FA139B">
              <w:rPr>
                <w:sz w:val="18"/>
              </w:rPr>
              <w:t>Suspensión de la ejecución de la pena</w:t>
            </w:r>
          </w:p>
        </w:tc>
        <w:tc>
          <w:tcPr>
            <w:tcW w:w="1276" w:type="dxa"/>
            <w:shd w:val="clear" w:color="auto" w:fill="auto"/>
            <w:vAlign w:val="bottom"/>
            <w:hideMark/>
          </w:tcPr>
          <w:p w14:paraId="056850CB"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0DF02641"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6F7AFE43" w14:textId="77777777" w:rsidTr="00D04F36">
        <w:trPr>
          <w:trHeight w:val="240"/>
        </w:trPr>
        <w:tc>
          <w:tcPr>
            <w:tcW w:w="709" w:type="dxa"/>
            <w:vMerge/>
            <w:shd w:val="clear" w:color="auto" w:fill="auto"/>
            <w:hideMark/>
          </w:tcPr>
          <w:p w14:paraId="5D5DAD38" w14:textId="77777777" w:rsidR="00FA139B" w:rsidRPr="00FA139B" w:rsidRDefault="00FA139B" w:rsidP="00FA139B">
            <w:pPr>
              <w:pStyle w:val="SingleTxtG"/>
              <w:spacing w:before="40" w:after="40" w:line="220" w:lineRule="exact"/>
              <w:ind w:left="0" w:right="0"/>
              <w:jc w:val="left"/>
              <w:rPr>
                <w:sz w:val="18"/>
              </w:rPr>
            </w:pPr>
          </w:p>
        </w:tc>
        <w:tc>
          <w:tcPr>
            <w:tcW w:w="4394" w:type="dxa"/>
            <w:shd w:val="clear" w:color="auto" w:fill="auto"/>
            <w:vAlign w:val="bottom"/>
            <w:hideMark/>
          </w:tcPr>
          <w:p w14:paraId="6DCB2B69"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w:t>
            </w:r>
          </w:p>
        </w:tc>
        <w:tc>
          <w:tcPr>
            <w:tcW w:w="1276" w:type="dxa"/>
            <w:shd w:val="clear" w:color="auto" w:fill="auto"/>
            <w:vAlign w:val="bottom"/>
          </w:tcPr>
          <w:p w14:paraId="264D54D4" w14:textId="77777777" w:rsidR="00FA139B" w:rsidRPr="00FA139B" w:rsidRDefault="00FA139B" w:rsidP="00FA139B">
            <w:pPr>
              <w:pStyle w:val="SingleTxtG"/>
              <w:spacing w:before="40" w:after="40" w:line="220" w:lineRule="exact"/>
              <w:ind w:left="113" w:right="0"/>
              <w:jc w:val="right"/>
              <w:rPr>
                <w:sz w:val="18"/>
                <w:rtl/>
                <w:lang w:bidi="ar-KW"/>
              </w:rPr>
            </w:pPr>
          </w:p>
        </w:tc>
        <w:tc>
          <w:tcPr>
            <w:tcW w:w="991" w:type="dxa"/>
            <w:shd w:val="clear" w:color="auto" w:fill="auto"/>
            <w:vAlign w:val="bottom"/>
            <w:hideMark/>
          </w:tcPr>
          <w:p w14:paraId="7FBC2240"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59335D56" w14:textId="77777777" w:rsidTr="00D04F36">
        <w:trPr>
          <w:trHeight w:val="240"/>
        </w:trPr>
        <w:tc>
          <w:tcPr>
            <w:tcW w:w="709" w:type="dxa"/>
            <w:vMerge w:val="restart"/>
            <w:shd w:val="clear" w:color="auto" w:fill="auto"/>
            <w:hideMark/>
          </w:tcPr>
          <w:p w14:paraId="5C794AD9" w14:textId="77777777" w:rsidR="00FA139B" w:rsidRPr="00FA139B" w:rsidRDefault="00FA139B" w:rsidP="00FA139B">
            <w:pPr>
              <w:pStyle w:val="SingleTxtG"/>
              <w:spacing w:before="40" w:after="40" w:line="220" w:lineRule="exact"/>
              <w:ind w:left="0" w:right="0"/>
              <w:jc w:val="left"/>
              <w:rPr>
                <w:sz w:val="18"/>
              </w:rPr>
            </w:pPr>
            <w:r w:rsidRPr="00FA139B">
              <w:rPr>
                <w:sz w:val="18"/>
              </w:rPr>
              <w:t>2019</w:t>
            </w:r>
          </w:p>
        </w:tc>
        <w:tc>
          <w:tcPr>
            <w:tcW w:w="4394" w:type="dxa"/>
            <w:shd w:val="clear" w:color="auto" w:fill="auto"/>
            <w:vAlign w:val="bottom"/>
            <w:hideMark/>
          </w:tcPr>
          <w:p w14:paraId="34394013"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del recurso</w:t>
            </w:r>
          </w:p>
        </w:tc>
        <w:tc>
          <w:tcPr>
            <w:tcW w:w="1276" w:type="dxa"/>
            <w:shd w:val="clear" w:color="auto" w:fill="auto"/>
            <w:vAlign w:val="bottom"/>
            <w:hideMark/>
          </w:tcPr>
          <w:p w14:paraId="135BD932"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45A800CC"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21826237" w14:textId="77777777" w:rsidTr="00D04F36">
        <w:trPr>
          <w:trHeight w:val="240"/>
        </w:trPr>
        <w:tc>
          <w:tcPr>
            <w:tcW w:w="709" w:type="dxa"/>
            <w:vMerge/>
            <w:shd w:val="clear" w:color="auto" w:fill="auto"/>
            <w:hideMark/>
          </w:tcPr>
          <w:p w14:paraId="2290942B" w14:textId="77777777" w:rsidR="00FA139B" w:rsidRPr="00FA139B" w:rsidRDefault="00FA139B" w:rsidP="00FA139B">
            <w:pPr>
              <w:pStyle w:val="SingleTxtG"/>
              <w:spacing w:before="40" w:after="40" w:line="220" w:lineRule="exact"/>
              <w:ind w:left="0" w:right="0"/>
              <w:jc w:val="left"/>
              <w:rPr>
                <w:sz w:val="18"/>
              </w:rPr>
            </w:pPr>
          </w:p>
        </w:tc>
        <w:tc>
          <w:tcPr>
            <w:tcW w:w="4394" w:type="dxa"/>
            <w:shd w:val="clear" w:color="auto" w:fill="auto"/>
            <w:vAlign w:val="bottom"/>
            <w:hideMark/>
          </w:tcPr>
          <w:p w14:paraId="1F910CFD"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 del recurso en sala de deliberaciones</w:t>
            </w:r>
          </w:p>
        </w:tc>
        <w:tc>
          <w:tcPr>
            <w:tcW w:w="1276" w:type="dxa"/>
            <w:shd w:val="clear" w:color="auto" w:fill="auto"/>
            <w:vAlign w:val="bottom"/>
            <w:hideMark/>
          </w:tcPr>
          <w:p w14:paraId="1AAC17CF"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shd w:val="clear" w:color="auto" w:fill="auto"/>
            <w:vAlign w:val="bottom"/>
            <w:hideMark/>
          </w:tcPr>
          <w:p w14:paraId="571A2821"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FA139B" w14:paraId="335D6E4F" w14:textId="77777777" w:rsidTr="00D04F36">
        <w:trPr>
          <w:trHeight w:val="240"/>
        </w:trPr>
        <w:tc>
          <w:tcPr>
            <w:tcW w:w="709" w:type="dxa"/>
            <w:vMerge/>
            <w:tcBorders>
              <w:bottom w:val="single" w:sz="4" w:space="0" w:color="auto"/>
            </w:tcBorders>
            <w:shd w:val="clear" w:color="auto" w:fill="auto"/>
            <w:hideMark/>
          </w:tcPr>
          <w:p w14:paraId="21FEA4DC" w14:textId="77777777" w:rsidR="00FA139B" w:rsidRPr="00FA139B" w:rsidRDefault="00FA139B" w:rsidP="00FA139B">
            <w:pPr>
              <w:pStyle w:val="SingleTxtG"/>
              <w:spacing w:before="40" w:after="40" w:line="220" w:lineRule="exact"/>
              <w:ind w:left="0" w:right="0"/>
              <w:jc w:val="left"/>
              <w:rPr>
                <w:sz w:val="18"/>
              </w:rPr>
            </w:pPr>
          </w:p>
        </w:tc>
        <w:tc>
          <w:tcPr>
            <w:tcW w:w="4394" w:type="dxa"/>
            <w:tcBorders>
              <w:bottom w:val="single" w:sz="4" w:space="0" w:color="auto"/>
            </w:tcBorders>
            <w:shd w:val="clear" w:color="auto" w:fill="auto"/>
            <w:vAlign w:val="bottom"/>
            <w:hideMark/>
          </w:tcPr>
          <w:p w14:paraId="41074D56" w14:textId="77777777" w:rsidR="00FA139B" w:rsidRPr="00FA139B" w:rsidRDefault="00FA139B" w:rsidP="00FA139B">
            <w:pPr>
              <w:pStyle w:val="SingleTxtG"/>
              <w:spacing w:before="40" w:after="40" w:line="220" w:lineRule="exact"/>
              <w:ind w:left="113" w:right="0"/>
              <w:jc w:val="left"/>
              <w:rPr>
                <w:sz w:val="18"/>
              </w:rPr>
            </w:pPr>
            <w:r w:rsidRPr="00FA139B">
              <w:rPr>
                <w:sz w:val="18"/>
              </w:rPr>
              <w:t>Desestimación</w:t>
            </w:r>
          </w:p>
        </w:tc>
        <w:tc>
          <w:tcPr>
            <w:tcW w:w="1276" w:type="dxa"/>
            <w:tcBorders>
              <w:bottom w:val="single" w:sz="4" w:space="0" w:color="auto"/>
            </w:tcBorders>
            <w:shd w:val="clear" w:color="auto" w:fill="auto"/>
            <w:vAlign w:val="bottom"/>
            <w:hideMark/>
          </w:tcPr>
          <w:p w14:paraId="502EA5AC"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c>
          <w:tcPr>
            <w:tcW w:w="991" w:type="dxa"/>
            <w:tcBorders>
              <w:bottom w:val="single" w:sz="4" w:space="0" w:color="auto"/>
            </w:tcBorders>
            <w:shd w:val="clear" w:color="auto" w:fill="auto"/>
            <w:vAlign w:val="bottom"/>
            <w:hideMark/>
          </w:tcPr>
          <w:p w14:paraId="289691A0" w14:textId="77777777" w:rsidR="00FA139B" w:rsidRPr="00FA139B" w:rsidRDefault="00FA139B" w:rsidP="00FA139B">
            <w:pPr>
              <w:pStyle w:val="SingleTxtG"/>
              <w:spacing w:before="40" w:after="40" w:line="220" w:lineRule="exact"/>
              <w:ind w:left="113" w:right="0"/>
              <w:jc w:val="right"/>
              <w:rPr>
                <w:sz w:val="18"/>
              </w:rPr>
            </w:pPr>
            <w:r w:rsidRPr="00FA139B">
              <w:rPr>
                <w:sz w:val="18"/>
              </w:rPr>
              <w:t>1</w:t>
            </w:r>
          </w:p>
        </w:tc>
      </w:tr>
      <w:tr w:rsidR="00FA139B" w:rsidRPr="00D04F36" w14:paraId="7E7C7E8B" w14:textId="77777777" w:rsidTr="00D04F36">
        <w:trPr>
          <w:trHeight w:val="240"/>
        </w:trPr>
        <w:tc>
          <w:tcPr>
            <w:tcW w:w="5103" w:type="dxa"/>
            <w:gridSpan w:val="2"/>
            <w:tcBorders>
              <w:top w:val="single" w:sz="4" w:space="0" w:color="auto"/>
              <w:bottom w:val="single" w:sz="12" w:space="0" w:color="auto"/>
            </w:tcBorders>
            <w:shd w:val="clear" w:color="auto" w:fill="auto"/>
          </w:tcPr>
          <w:p w14:paraId="225D959B" w14:textId="77777777" w:rsidR="00FA139B" w:rsidRPr="00D04F36" w:rsidRDefault="00FA139B" w:rsidP="00D04F36">
            <w:pPr>
              <w:pStyle w:val="SingleTxtG"/>
              <w:spacing w:before="80" w:after="80" w:line="220" w:lineRule="exact"/>
              <w:ind w:left="284" w:right="0"/>
              <w:jc w:val="left"/>
              <w:rPr>
                <w:b/>
                <w:bCs/>
                <w:sz w:val="18"/>
              </w:rPr>
            </w:pPr>
            <w:r w:rsidRPr="00D04F36">
              <w:rPr>
                <w:b/>
                <w:bCs/>
                <w:sz w:val="18"/>
              </w:rPr>
              <w:t>T</w:t>
            </w:r>
            <w:r w:rsidR="00D04F36" w:rsidRPr="00D04F36">
              <w:rPr>
                <w:b/>
                <w:bCs/>
                <w:sz w:val="18"/>
              </w:rPr>
              <w:t>otal</w:t>
            </w:r>
          </w:p>
        </w:tc>
        <w:tc>
          <w:tcPr>
            <w:tcW w:w="1276" w:type="dxa"/>
            <w:tcBorders>
              <w:top w:val="single" w:sz="4" w:space="0" w:color="auto"/>
              <w:bottom w:val="single" w:sz="12" w:space="0" w:color="auto"/>
            </w:tcBorders>
            <w:shd w:val="clear" w:color="auto" w:fill="auto"/>
            <w:vAlign w:val="bottom"/>
          </w:tcPr>
          <w:p w14:paraId="7B412B07"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8</w:t>
            </w:r>
          </w:p>
        </w:tc>
        <w:tc>
          <w:tcPr>
            <w:tcW w:w="991" w:type="dxa"/>
            <w:tcBorders>
              <w:top w:val="single" w:sz="4" w:space="0" w:color="auto"/>
              <w:bottom w:val="single" w:sz="12" w:space="0" w:color="auto"/>
            </w:tcBorders>
            <w:shd w:val="clear" w:color="auto" w:fill="auto"/>
            <w:vAlign w:val="bottom"/>
          </w:tcPr>
          <w:p w14:paraId="0E1CB5F0"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10</w:t>
            </w:r>
          </w:p>
        </w:tc>
      </w:tr>
    </w:tbl>
    <w:p w14:paraId="090F89D8" w14:textId="77777777" w:rsidR="00FA139B" w:rsidRPr="00FA139B" w:rsidRDefault="00FA139B" w:rsidP="00D04F36">
      <w:pPr>
        <w:pStyle w:val="H1G"/>
      </w:pPr>
      <w:r w:rsidRPr="00FA139B">
        <w:tab/>
      </w:r>
      <w:r w:rsidRPr="00FA139B">
        <w:tab/>
        <w:t>Recomendación 14 c)</w:t>
      </w:r>
    </w:p>
    <w:p w14:paraId="3427D3F3" w14:textId="77777777" w:rsidR="00FA139B" w:rsidRPr="00FA139B" w:rsidRDefault="00FA139B" w:rsidP="00FA139B">
      <w:pPr>
        <w:pStyle w:val="SingleTxtG"/>
      </w:pPr>
      <w:r w:rsidRPr="00FA139B">
        <w:t>31.</w:t>
      </w:r>
      <w:r w:rsidRPr="00FA139B">
        <w:tab/>
        <w:t>El Ministerio del Interior ha velado en los últimos años por que su plan general anual de capacitación comprenda cursos de difusión de la cultura de los derechos humanos dirigidos a los agentes del orden. Esos cursos están diseñados por especialistas muy experimentados y capacitados y los imparten formadores de gran cualificación y amplia experiencia.</w:t>
      </w:r>
    </w:p>
    <w:p w14:paraId="76FAD8C2" w14:textId="77777777" w:rsidR="00FA139B" w:rsidRPr="00FA139B" w:rsidRDefault="00FA139B" w:rsidP="00FA139B">
      <w:pPr>
        <w:pStyle w:val="SingleTxtG"/>
        <w:rPr>
          <w:b/>
          <w:bCs/>
        </w:rPr>
      </w:pPr>
      <w:r w:rsidRPr="00FA139B">
        <w:t>32.</w:t>
      </w:r>
      <w:r w:rsidRPr="00FA139B">
        <w:tab/>
        <w:t xml:space="preserve">A continuación se clasifican los cursos impartidos por el Ministerio del Interior, o en cuya organización ha participado, en el marco de sus planes anuales de capacitación: </w:t>
      </w:r>
    </w:p>
    <w:p w14:paraId="105A6F42" w14:textId="77777777" w:rsidR="00FA139B" w:rsidRPr="00FA139B" w:rsidRDefault="00FA139B" w:rsidP="00D04F36">
      <w:pPr>
        <w:pStyle w:val="Bullet1G"/>
      </w:pPr>
      <w:r w:rsidRPr="00FA139B">
        <w:t>Cursos sobre derechos humanos en general</w:t>
      </w:r>
      <w:r w:rsidR="00D04F36">
        <w:t>.</w:t>
      </w:r>
    </w:p>
    <w:p w14:paraId="786AF64A" w14:textId="77777777" w:rsidR="00FA139B" w:rsidRPr="00FA139B" w:rsidRDefault="00FA139B" w:rsidP="00D04F36">
      <w:pPr>
        <w:pStyle w:val="Bullet1G"/>
      </w:pPr>
      <w:r w:rsidRPr="00FA139B">
        <w:t>Cursos sobre la protección internacional de los derechos humanos</w:t>
      </w:r>
      <w:r w:rsidR="00D04F36">
        <w:t>.</w:t>
      </w:r>
    </w:p>
    <w:p w14:paraId="3A776161" w14:textId="77777777" w:rsidR="00FA139B" w:rsidRPr="00FA139B" w:rsidRDefault="00FA139B" w:rsidP="00D04F36">
      <w:pPr>
        <w:pStyle w:val="Bullet1G"/>
      </w:pPr>
      <w:r w:rsidRPr="00FA139B">
        <w:t>Cursos sobre derecho internacional humanitario</w:t>
      </w:r>
      <w:r w:rsidR="00D04F36">
        <w:t>.</w:t>
      </w:r>
    </w:p>
    <w:p w14:paraId="10DFA0AE" w14:textId="77777777" w:rsidR="00FA139B" w:rsidRPr="00FA139B" w:rsidRDefault="00FA139B" w:rsidP="00D04F36">
      <w:pPr>
        <w:pStyle w:val="Bullet1G"/>
      </w:pPr>
      <w:r w:rsidRPr="00FA139B">
        <w:t>Cursos sobre los derechos y libertades en la fase de instrucción</w:t>
      </w:r>
      <w:r w:rsidR="00D04F36">
        <w:t>.</w:t>
      </w:r>
    </w:p>
    <w:p w14:paraId="6E23EFE6" w14:textId="77777777" w:rsidR="00FA139B" w:rsidRPr="00FA139B" w:rsidRDefault="00FA139B" w:rsidP="00D04F36">
      <w:pPr>
        <w:pStyle w:val="Bullet1G"/>
      </w:pPr>
      <w:r w:rsidRPr="00FA139B">
        <w:t>Cursos sobre busca y captura, arresto, registro y puesta a disposición de la instancia competente</w:t>
      </w:r>
      <w:r w:rsidR="00D04F36">
        <w:t>.</w:t>
      </w:r>
    </w:p>
    <w:p w14:paraId="73B74FB3" w14:textId="77777777" w:rsidR="00FA139B" w:rsidRPr="00FA139B" w:rsidRDefault="00FA139B" w:rsidP="00D04F36">
      <w:pPr>
        <w:pStyle w:val="Bullet1G"/>
      </w:pPr>
      <w:r w:rsidRPr="00FA139B">
        <w:t>Cursos sobre procedimientos no abusivos de arresto y cacheo</w:t>
      </w:r>
      <w:r w:rsidR="00D04F36">
        <w:t>.</w:t>
      </w:r>
    </w:p>
    <w:p w14:paraId="5A797DB0" w14:textId="77777777" w:rsidR="00FA139B" w:rsidRPr="00FA139B" w:rsidRDefault="00FA139B" w:rsidP="00D04F36">
      <w:pPr>
        <w:pStyle w:val="Bullet1G"/>
      </w:pPr>
      <w:r w:rsidRPr="00FA139B">
        <w:t>Cursos sobre el registro domiciliario en el ordenamiento kuwaití</w:t>
      </w:r>
      <w:r w:rsidR="00D04F36">
        <w:t>.</w:t>
      </w:r>
    </w:p>
    <w:p w14:paraId="01D7A5ED" w14:textId="77777777" w:rsidR="00FA139B" w:rsidRPr="00FA139B" w:rsidRDefault="00FA139B" w:rsidP="00D04F36">
      <w:pPr>
        <w:pStyle w:val="Bullet1G"/>
      </w:pPr>
      <w:r w:rsidRPr="00FA139B">
        <w:t>Cursos sobre la normativa kuwaití en materia de incautación</w:t>
      </w:r>
      <w:r w:rsidR="00D04F36">
        <w:t>.</w:t>
      </w:r>
    </w:p>
    <w:p w14:paraId="49053888" w14:textId="77777777" w:rsidR="00FA139B" w:rsidRPr="00FA139B" w:rsidRDefault="00FA139B" w:rsidP="00D04F36">
      <w:pPr>
        <w:pStyle w:val="Bullet1G"/>
      </w:pPr>
      <w:r w:rsidRPr="00FA139B">
        <w:t>Cursos sobre la instrucción penal</w:t>
      </w:r>
      <w:r w:rsidR="00D04F36">
        <w:t>.</w:t>
      </w:r>
    </w:p>
    <w:p w14:paraId="6856A587" w14:textId="77777777" w:rsidR="00FA139B" w:rsidRPr="00FA139B" w:rsidRDefault="00FA139B" w:rsidP="00D04F36">
      <w:pPr>
        <w:pStyle w:val="Bullet1G"/>
      </w:pPr>
      <w:r w:rsidRPr="00FA139B">
        <w:t>Cursos sobre la actuación policial en los casos de violencia juvenil</w:t>
      </w:r>
      <w:r w:rsidR="00D04F36">
        <w:t>.</w:t>
      </w:r>
    </w:p>
    <w:p w14:paraId="5F192101" w14:textId="77777777" w:rsidR="00FA139B" w:rsidRPr="00FA139B" w:rsidRDefault="00FA139B" w:rsidP="00D04F36">
      <w:pPr>
        <w:pStyle w:val="Bullet1G"/>
      </w:pPr>
      <w:r w:rsidRPr="00FA139B">
        <w:t>Cursos sobre el procedimiento penal en las causas de maltrato infantil</w:t>
      </w:r>
      <w:r w:rsidR="00D04F36">
        <w:t>.</w:t>
      </w:r>
    </w:p>
    <w:p w14:paraId="621411F5" w14:textId="77777777" w:rsidR="00FA139B" w:rsidRPr="00FA139B" w:rsidRDefault="00FA139B" w:rsidP="00D04F36">
      <w:pPr>
        <w:pStyle w:val="Bullet1G"/>
      </w:pPr>
      <w:r w:rsidRPr="00FA139B">
        <w:t>Cursos sobre la actuación policial contra la trata de personas</w:t>
      </w:r>
      <w:r w:rsidR="00D04F36">
        <w:t>.</w:t>
      </w:r>
    </w:p>
    <w:p w14:paraId="3701C1BD" w14:textId="77777777" w:rsidR="00FA139B" w:rsidRPr="00FA139B" w:rsidRDefault="00FA139B" w:rsidP="00D04F36">
      <w:pPr>
        <w:pStyle w:val="Bullet1G"/>
      </w:pPr>
      <w:r w:rsidRPr="00FA139B">
        <w:t>Conferencias sobre los principios del derecho internacional humanitario</w:t>
      </w:r>
      <w:r w:rsidR="00D04F36">
        <w:t>.</w:t>
      </w:r>
    </w:p>
    <w:p w14:paraId="5972526A" w14:textId="77777777" w:rsidR="00FA139B" w:rsidRPr="00FA139B" w:rsidRDefault="00FA139B" w:rsidP="00D04F36">
      <w:pPr>
        <w:pStyle w:val="Bullet1G"/>
      </w:pPr>
      <w:r w:rsidRPr="00FA139B">
        <w:t>Conferencias sobre los derechos humanos</w:t>
      </w:r>
      <w:r w:rsidR="00D04F36">
        <w:t>.</w:t>
      </w:r>
    </w:p>
    <w:p w14:paraId="11D095C9" w14:textId="77777777" w:rsidR="00FA139B" w:rsidRPr="00FA139B" w:rsidRDefault="00FA139B" w:rsidP="00D04F36">
      <w:pPr>
        <w:pStyle w:val="Bullet1G"/>
      </w:pPr>
      <w:r w:rsidRPr="00FA139B">
        <w:t>Cursos de cultura jurídica para los agentes del orden</w:t>
      </w:r>
      <w:r w:rsidR="00D04F36">
        <w:t>.</w:t>
      </w:r>
    </w:p>
    <w:p w14:paraId="0A0EFB5E" w14:textId="77777777" w:rsidR="00FA139B" w:rsidRPr="00FA139B" w:rsidRDefault="00FA139B" w:rsidP="00A158AC">
      <w:pPr>
        <w:pStyle w:val="Bullet1G"/>
      </w:pPr>
      <w:r w:rsidRPr="00FA139B">
        <w:t>Cursos sobre el papel de la cultura jurídica dirigidos a los agentes del orden</w:t>
      </w:r>
      <w:r w:rsidR="00D04F36">
        <w:t>.</w:t>
      </w:r>
    </w:p>
    <w:p w14:paraId="7BCDF33A" w14:textId="77777777" w:rsidR="00FA139B" w:rsidRPr="00FA139B" w:rsidRDefault="00FA139B" w:rsidP="00D04F36">
      <w:pPr>
        <w:pStyle w:val="Bullet1G"/>
        <w:keepNext/>
      </w:pPr>
      <w:r w:rsidRPr="00FA139B">
        <w:lastRenderedPageBreak/>
        <w:t>Cursos de deontología</w:t>
      </w:r>
      <w:r w:rsidR="00D04F36">
        <w:t>.</w:t>
      </w:r>
    </w:p>
    <w:p w14:paraId="26F8ED1C" w14:textId="77777777" w:rsidR="00FA139B" w:rsidRPr="00FA139B" w:rsidRDefault="00FA139B" w:rsidP="00D04F36">
      <w:pPr>
        <w:pStyle w:val="Bullet1G"/>
      </w:pPr>
      <w:r w:rsidRPr="00FA139B">
        <w:t>Cursos de atención al público.</w:t>
      </w:r>
    </w:p>
    <w:p w14:paraId="36AD1A86" w14:textId="77777777" w:rsidR="00FA139B" w:rsidRPr="00FA139B" w:rsidRDefault="00FA139B" w:rsidP="00FA139B">
      <w:pPr>
        <w:pStyle w:val="SingleTxtG"/>
      </w:pPr>
      <w:r w:rsidRPr="00FA139B">
        <w:t>33.</w:t>
      </w:r>
      <w:r w:rsidRPr="00FA139B">
        <w:tab/>
        <w:t>Además de los cursos impartidos en el Estado de Kuwait, tanto en los institutos y centros de adiestramiento del Ministerio del Interior como fuera de ellos, los agentes de la policía participan en el extranjero en cursos sobre la protección de los derechos humanos.</w:t>
      </w:r>
    </w:p>
    <w:p w14:paraId="29DF47DE" w14:textId="77777777" w:rsidR="00FA139B" w:rsidRPr="00FA139B" w:rsidRDefault="00FA139B" w:rsidP="00FA139B">
      <w:pPr>
        <w:pStyle w:val="SingleTxtG"/>
      </w:pPr>
      <w:r w:rsidRPr="00FA139B">
        <w:t>34.</w:t>
      </w:r>
      <w:r w:rsidRPr="00FA139B">
        <w:tab/>
        <w:t xml:space="preserve">El Estado de Kuwait también considera trascendental la capacitación de los jueces. El Instituto Kuwaití de Estudios Jurídicos y Judiciales, en colaboración con el Alto Comisionado de las Naciones Unidas para los Derechos Humanos, ha impartido cursos a los cuadros judiciales con el fin de promover su capacitación sobre los derechos humanos reconocidos por la comunidad internacional e infundirles los valores y principios pertinentes. En concreto, se han impartido los cursos siguientes. </w:t>
      </w:r>
    </w:p>
    <w:p w14:paraId="75D4EA89" w14:textId="77777777" w:rsidR="00FA139B" w:rsidRPr="00FA139B" w:rsidRDefault="00FA139B" w:rsidP="00D04F36">
      <w:pPr>
        <w:pStyle w:val="H23G"/>
      </w:pPr>
      <w:r w:rsidRPr="00FA139B">
        <w:tab/>
      </w:r>
      <w:r w:rsidRPr="00FA139B">
        <w:tab/>
        <w:t>En 2015</w:t>
      </w:r>
    </w:p>
    <w:p w14:paraId="04367047" w14:textId="77777777" w:rsidR="00FA139B" w:rsidRPr="00FA139B" w:rsidRDefault="00FA139B" w:rsidP="00FA139B">
      <w:pPr>
        <w:pStyle w:val="SingleTxtG"/>
      </w:pPr>
      <w:r w:rsidRPr="00FA139B">
        <w:tab/>
        <w:t>1</w:t>
      </w:r>
      <w:r w:rsidR="00D04F36">
        <w:t>)</w:t>
      </w:r>
      <w:r w:rsidRPr="00FA139B">
        <w:tab/>
        <w:t>Derechos Humanos I;</w:t>
      </w:r>
    </w:p>
    <w:p w14:paraId="377DF37D" w14:textId="77777777" w:rsidR="00FA139B" w:rsidRPr="00FA139B" w:rsidRDefault="00FA139B" w:rsidP="00FA139B">
      <w:pPr>
        <w:pStyle w:val="SingleTxtG"/>
      </w:pPr>
      <w:r w:rsidRPr="00FA139B">
        <w:tab/>
        <w:t>2</w:t>
      </w:r>
      <w:r w:rsidR="00D04F36">
        <w:t>)</w:t>
      </w:r>
      <w:r w:rsidRPr="00FA139B">
        <w:tab/>
        <w:t>Derechos Humanos II;</w:t>
      </w:r>
    </w:p>
    <w:p w14:paraId="75F2D5E1" w14:textId="77777777" w:rsidR="00FA139B" w:rsidRPr="00FA139B" w:rsidRDefault="00FA139B" w:rsidP="00FA139B">
      <w:pPr>
        <w:pStyle w:val="SingleTxtG"/>
      </w:pPr>
      <w:r w:rsidRPr="00FA139B">
        <w:tab/>
        <w:t>3</w:t>
      </w:r>
      <w:r w:rsidR="00D04F36">
        <w:t>)</w:t>
      </w:r>
      <w:r w:rsidRPr="00FA139B">
        <w:tab/>
        <w:t>Derechos Humanos III;</w:t>
      </w:r>
    </w:p>
    <w:p w14:paraId="0003FFEB" w14:textId="77777777" w:rsidR="00FA139B" w:rsidRPr="00FA139B" w:rsidRDefault="00FA139B" w:rsidP="00FA139B">
      <w:pPr>
        <w:pStyle w:val="SingleTxtG"/>
      </w:pPr>
      <w:r w:rsidRPr="00FA139B">
        <w:tab/>
        <w:t>4</w:t>
      </w:r>
      <w:r w:rsidR="00D04F36">
        <w:t>)</w:t>
      </w:r>
      <w:r w:rsidRPr="00FA139B">
        <w:tab/>
        <w:t>Derechos Humanos y Acción Penal;</w:t>
      </w:r>
    </w:p>
    <w:p w14:paraId="347D927E" w14:textId="77777777" w:rsidR="00FA139B" w:rsidRPr="00FA139B" w:rsidRDefault="00FA139B" w:rsidP="00FA139B">
      <w:pPr>
        <w:pStyle w:val="SingleTxtG"/>
      </w:pPr>
      <w:r w:rsidRPr="00FA139B">
        <w:tab/>
        <w:t>5</w:t>
      </w:r>
      <w:r w:rsidR="00D04F36">
        <w:t>)</w:t>
      </w:r>
      <w:r w:rsidRPr="00FA139B">
        <w:tab/>
        <w:t>Cursos impartidos a jueces y fiscales sobre la lucha contra la trata de personas y el tráfico de migrantes (17 de mayo a 6 de octubre de 2015).</w:t>
      </w:r>
    </w:p>
    <w:p w14:paraId="5069C77D" w14:textId="77777777" w:rsidR="00FA139B" w:rsidRPr="00FA139B" w:rsidRDefault="00FA139B" w:rsidP="00D04F36">
      <w:pPr>
        <w:pStyle w:val="H23G"/>
      </w:pPr>
      <w:r w:rsidRPr="00FA139B">
        <w:tab/>
      </w:r>
      <w:r w:rsidRPr="00FA139B">
        <w:tab/>
        <w:t>En 2017</w:t>
      </w:r>
    </w:p>
    <w:p w14:paraId="0516D44D" w14:textId="77777777" w:rsidR="00FA139B" w:rsidRPr="00FA139B" w:rsidRDefault="00FA139B" w:rsidP="00FA139B">
      <w:pPr>
        <w:pStyle w:val="SingleTxtG"/>
      </w:pPr>
      <w:r w:rsidRPr="00FA139B">
        <w:t>35.</w:t>
      </w:r>
      <w:r w:rsidRPr="00FA139B">
        <w:tab/>
        <w:t xml:space="preserve">En los cinco años previos, el Instituto Kuwaití de Estudios Jurídicos y Judiciales impartió las acciones formativas siguientes: </w:t>
      </w:r>
    </w:p>
    <w:p w14:paraId="57DB4D83" w14:textId="77777777" w:rsidR="00FA139B" w:rsidRPr="00FA139B" w:rsidRDefault="00FA139B" w:rsidP="00FA139B">
      <w:pPr>
        <w:pStyle w:val="SingleTxtG"/>
      </w:pPr>
      <w:r w:rsidRPr="00FA139B">
        <w:tab/>
        <w:t>1</w:t>
      </w:r>
      <w:r w:rsidR="00D04F36">
        <w:t>)</w:t>
      </w:r>
      <w:r w:rsidRPr="00FA139B">
        <w:tab/>
        <w:t xml:space="preserve">Curso dedicado a la Convención Internacional sobre la Eliminación de Todas las Formas de Discriminación Racial; </w:t>
      </w:r>
    </w:p>
    <w:p w14:paraId="133975A1" w14:textId="77777777" w:rsidR="00FA139B" w:rsidRPr="00FA139B" w:rsidRDefault="00FA139B" w:rsidP="00FA139B">
      <w:pPr>
        <w:pStyle w:val="SingleTxtG"/>
      </w:pPr>
      <w:r w:rsidRPr="00FA139B">
        <w:tab/>
        <w:t>2</w:t>
      </w:r>
      <w:r w:rsidR="00D04F36">
        <w:t>)</w:t>
      </w:r>
      <w:r w:rsidRPr="00FA139B">
        <w:tab/>
        <w:t>Curso dedicado a la Convención sobre la Eliminación de Todas las Formas de Discriminación contra la Mujer;</w:t>
      </w:r>
    </w:p>
    <w:p w14:paraId="1E626F91" w14:textId="77777777" w:rsidR="00FA139B" w:rsidRPr="00FA139B" w:rsidRDefault="00FA139B" w:rsidP="00FA139B">
      <w:pPr>
        <w:pStyle w:val="SingleTxtG"/>
      </w:pPr>
      <w:r w:rsidRPr="00FA139B">
        <w:tab/>
        <w:t>3</w:t>
      </w:r>
      <w:r w:rsidR="00D04F36">
        <w:t>)</w:t>
      </w:r>
      <w:r w:rsidRPr="00FA139B">
        <w:tab/>
        <w:t>Simposio sobre la mujer y el derecho a la atención habitacional;</w:t>
      </w:r>
    </w:p>
    <w:p w14:paraId="415ECB7E" w14:textId="77777777" w:rsidR="00FA139B" w:rsidRPr="00FA139B" w:rsidRDefault="00FA139B" w:rsidP="00FA139B">
      <w:pPr>
        <w:pStyle w:val="SingleTxtG"/>
      </w:pPr>
      <w:r w:rsidRPr="00FA139B">
        <w:tab/>
        <w:t>4</w:t>
      </w:r>
      <w:r w:rsidR="00D04F36">
        <w:t>)</w:t>
      </w:r>
      <w:r w:rsidRPr="00FA139B">
        <w:tab/>
        <w:t>Curso sobre el maltrato infantil y el abandono de niños.</w:t>
      </w:r>
    </w:p>
    <w:p w14:paraId="6CB174FE" w14:textId="77777777" w:rsidR="00FA139B" w:rsidRPr="00FA139B" w:rsidRDefault="00FA139B" w:rsidP="00FA139B">
      <w:pPr>
        <w:pStyle w:val="SingleTxtG"/>
      </w:pPr>
      <w:r w:rsidRPr="00FA139B">
        <w:t>36.</w:t>
      </w:r>
      <w:r w:rsidRPr="00FA139B">
        <w:tab/>
        <w:t>El Instituto Kuwaití de Estudios Jurídicos y Judiciales, en colaboración con la Oficina del Alto Comisionado de las Naciones Unidas para los Derechos Humanos, impartió un curso introductorio para la formación de jueces formadores en derechos humanos y sus convenios reguladores. El curso tenía como objetivo fomentar la capacitación de los alumnos sobre los derechos humanos reconocidos por la comunidad internacional e inculcarles los valores y principios pertinentes, en particular los relacionados con el entorno forense. Siete jueces egresaron del curso como formadores en derechos humanos.</w:t>
      </w:r>
    </w:p>
    <w:p w14:paraId="6EE21467" w14:textId="77777777" w:rsidR="00FA139B" w:rsidRPr="00FA139B" w:rsidRDefault="00FA139B" w:rsidP="00FA139B">
      <w:pPr>
        <w:pStyle w:val="SingleTxtG"/>
      </w:pPr>
      <w:r w:rsidRPr="00FA139B">
        <w:t>37.</w:t>
      </w:r>
      <w:r w:rsidRPr="00FA139B">
        <w:tab/>
        <w:t>La asignatura Derechos Humanos se ha integrado en el itinerario curricular de los juristas que aspiran a ingresar en la carrera fiscal. También se ha incluido en el programa de estudios del Instituto Kuwaití de Estudios Jurídicos y Judiciales, que vela con ello por que los derechos humanos y sus mecanismos sean cada vez mejor conocidos por todos los jueces y fiscales.</w:t>
      </w:r>
    </w:p>
    <w:p w14:paraId="7235B56A" w14:textId="77777777" w:rsidR="00FA139B" w:rsidRPr="00FA139B" w:rsidRDefault="00FA139B" w:rsidP="00D04F36">
      <w:pPr>
        <w:pStyle w:val="H1G"/>
      </w:pPr>
      <w:r w:rsidRPr="00FA139B">
        <w:lastRenderedPageBreak/>
        <w:tab/>
      </w:r>
      <w:r w:rsidRPr="00FA139B">
        <w:tab/>
        <w:t>Recomendación núm. 16</w:t>
      </w:r>
    </w:p>
    <w:p w14:paraId="117DA968" w14:textId="77777777" w:rsidR="00FA139B" w:rsidRPr="00A158AC" w:rsidRDefault="00FA139B" w:rsidP="00A158AC">
      <w:pPr>
        <w:pStyle w:val="SingleTxtG"/>
        <w:keepNext/>
        <w:rPr>
          <w:b/>
          <w:bCs/>
        </w:rPr>
      </w:pPr>
      <w:r w:rsidRPr="00A158AC">
        <w:rPr>
          <w:b/>
          <w:bCs/>
        </w:rPr>
        <w:t>En el cuadro siguiente figuran datos estadísticos sobre las sentencias condenatorias y absolutorias recaídas desde 2014 a octubre de 2019 sobre personas acusadas de actos de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44"/>
        <w:gridCol w:w="1283"/>
        <w:gridCol w:w="1102"/>
        <w:gridCol w:w="1311"/>
        <w:gridCol w:w="1102"/>
        <w:gridCol w:w="1337"/>
        <w:gridCol w:w="1142"/>
      </w:tblGrid>
      <w:tr w:rsidR="00FA139B" w:rsidRPr="00D04F36" w14:paraId="3577D775" w14:textId="77777777" w:rsidTr="00D04F36">
        <w:trPr>
          <w:trHeight w:val="240"/>
          <w:tblHeader/>
        </w:trPr>
        <w:tc>
          <w:tcPr>
            <w:tcW w:w="936" w:type="dxa"/>
            <w:vMerge w:val="restart"/>
            <w:tcBorders>
              <w:top w:val="single" w:sz="4" w:space="0" w:color="auto"/>
              <w:bottom w:val="single" w:sz="12" w:space="0" w:color="auto"/>
            </w:tcBorders>
            <w:shd w:val="clear" w:color="auto" w:fill="auto"/>
            <w:noWrap/>
            <w:vAlign w:val="bottom"/>
            <w:hideMark/>
          </w:tcPr>
          <w:p w14:paraId="1CD8C50A" w14:textId="77777777" w:rsidR="00FA139B" w:rsidRPr="00D04F36" w:rsidRDefault="00FA139B" w:rsidP="00A158AC">
            <w:pPr>
              <w:pStyle w:val="SingleTxtG"/>
              <w:keepNext/>
              <w:spacing w:before="80" w:after="80" w:line="200" w:lineRule="exact"/>
              <w:ind w:left="0" w:right="0"/>
              <w:jc w:val="left"/>
              <w:rPr>
                <w:i/>
                <w:iCs/>
                <w:sz w:val="16"/>
              </w:rPr>
            </w:pPr>
            <w:r w:rsidRPr="00D04F36">
              <w:rPr>
                <w:i/>
                <w:iCs/>
                <w:sz w:val="16"/>
              </w:rPr>
              <w:t>Año</w:t>
            </w:r>
          </w:p>
        </w:tc>
        <w:tc>
          <w:tcPr>
            <w:tcW w:w="7229" w:type="dxa"/>
            <w:gridSpan w:val="6"/>
            <w:tcBorders>
              <w:top w:val="single" w:sz="4" w:space="0" w:color="auto"/>
              <w:bottom w:val="single" w:sz="4" w:space="0" w:color="auto"/>
            </w:tcBorders>
            <w:shd w:val="clear" w:color="auto" w:fill="auto"/>
            <w:noWrap/>
            <w:vAlign w:val="bottom"/>
            <w:hideMark/>
          </w:tcPr>
          <w:p w14:paraId="430BC455" w14:textId="77777777" w:rsidR="00FA139B" w:rsidRPr="00D04F36" w:rsidRDefault="00FA139B" w:rsidP="00A158AC">
            <w:pPr>
              <w:pStyle w:val="SingleTxtG"/>
              <w:keepNext/>
              <w:spacing w:before="80" w:after="80" w:line="200" w:lineRule="exact"/>
              <w:ind w:left="113" w:right="0"/>
              <w:jc w:val="center"/>
              <w:rPr>
                <w:i/>
                <w:iCs/>
                <w:sz w:val="16"/>
              </w:rPr>
            </w:pPr>
            <w:r w:rsidRPr="00D04F36">
              <w:rPr>
                <w:i/>
                <w:iCs/>
                <w:sz w:val="16"/>
              </w:rPr>
              <w:t>Núm</w:t>
            </w:r>
            <w:r w:rsidR="00A158AC">
              <w:rPr>
                <w:i/>
                <w:iCs/>
                <w:sz w:val="16"/>
              </w:rPr>
              <w:t>ero</w:t>
            </w:r>
            <w:r w:rsidRPr="00D04F36">
              <w:rPr>
                <w:i/>
                <w:iCs/>
                <w:sz w:val="16"/>
              </w:rPr>
              <w:t xml:space="preserve"> de enjuiciados</w:t>
            </w:r>
          </w:p>
        </w:tc>
      </w:tr>
      <w:tr w:rsidR="006650E5" w:rsidRPr="00D04F36" w14:paraId="6B1A2F71" w14:textId="77777777" w:rsidTr="00D04F36">
        <w:trPr>
          <w:trHeight w:val="240"/>
          <w:tblHeader/>
        </w:trPr>
        <w:tc>
          <w:tcPr>
            <w:tcW w:w="936" w:type="dxa"/>
            <w:vMerge/>
            <w:tcBorders>
              <w:top w:val="single" w:sz="12" w:space="0" w:color="auto"/>
            </w:tcBorders>
            <w:shd w:val="clear" w:color="auto" w:fill="auto"/>
            <w:vAlign w:val="bottom"/>
            <w:hideMark/>
          </w:tcPr>
          <w:p w14:paraId="51917088" w14:textId="77777777" w:rsidR="00FA139B" w:rsidRPr="00D04F36" w:rsidRDefault="00FA139B" w:rsidP="00D04F36">
            <w:pPr>
              <w:pStyle w:val="SingleTxtG"/>
              <w:spacing w:before="40" w:after="40" w:line="220" w:lineRule="exact"/>
              <w:ind w:left="0" w:right="0"/>
              <w:jc w:val="left"/>
              <w:rPr>
                <w:iCs/>
                <w:sz w:val="18"/>
              </w:rPr>
            </w:pPr>
          </w:p>
        </w:tc>
        <w:tc>
          <w:tcPr>
            <w:tcW w:w="2369"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5396E0C1" w14:textId="77777777" w:rsidR="00FA139B" w:rsidRPr="00D04F36" w:rsidRDefault="00FA139B" w:rsidP="00D04F36">
            <w:pPr>
              <w:pStyle w:val="SingleTxtG"/>
              <w:spacing w:before="80" w:after="80" w:line="200" w:lineRule="exact"/>
              <w:ind w:left="113" w:right="0"/>
              <w:jc w:val="center"/>
              <w:rPr>
                <w:i/>
                <w:iCs/>
                <w:sz w:val="16"/>
              </w:rPr>
            </w:pPr>
            <w:r w:rsidRPr="00D04F36">
              <w:rPr>
                <w:i/>
                <w:iCs/>
                <w:sz w:val="16"/>
              </w:rPr>
              <w:t>En primera instancia</w:t>
            </w:r>
          </w:p>
        </w:tc>
        <w:tc>
          <w:tcPr>
            <w:tcW w:w="2397" w:type="dxa"/>
            <w:gridSpan w:val="2"/>
            <w:tcBorders>
              <w:top w:val="nil"/>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5E3933AA" w14:textId="77777777" w:rsidR="00FA139B" w:rsidRPr="00D04F36" w:rsidRDefault="00FA139B" w:rsidP="00D04F36">
            <w:pPr>
              <w:pStyle w:val="SingleTxtG"/>
              <w:spacing w:before="80" w:after="80" w:line="200" w:lineRule="exact"/>
              <w:ind w:left="113" w:right="0"/>
              <w:jc w:val="center"/>
              <w:rPr>
                <w:i/>
                <w:iCs/>
                <w:sz w:val="16"/>
              </w:rPr>
            </w:pPr>
            <w:r w:rsidRPr="00D04F36">
              <w:rPr>
                <w:i/>
                <w:iCs/>
                <w:sz w:val="16"/>
              </w:rPr>
              <w:t>En apelación</w:t>
            </w:r>
          </w:p>
        </w:tc>
        <w:tc>
          <w:tcPr>
            <w:tcW w:w="2463" w:type="dxa"/>
            <w:gridSpan w:val="2"/>
            <w:tcBorders>
              <w:top w:val="single" w:sz="4" w:space="0" w:color="auto"/>
              <w:left w:val="single" w:sz="18" w:space="0" w:color="FFFFFF" w:themeColor="background1"/>
              <w:bottom w:val="single" w:sz="4" w:space="0" w:color="auto"/>
            </w:tcBorders>
            <w:shd w:val="clear" w:color="auto" w:fill="auto"/>
            <w:noWrap/>
            <w:vAlign w:val="bottom"/>
            <w:hideMark/>
          </w:tcPr>
          <w:p w14:paraId="537FDBA5" w14:textId="77777777" w:rsidR="00FA139B" w:rsidRPr="00D04F36" w:rsidRDefault="00FA139B" w:rsidP="00D04F36">
            <w:pPr>
              <w:pStyle w:val="SingleTxtG"/>
              <w:spacing w:before="80" w:after="80" w:line="200" w:lineRule="exact"/>
              <w:ind w:left="113" w:right="0"/>
              <w:jc w:val="center"/>
              <w:rPr>
                <w:i/>
                <w:iCs/>
                <w:sz w:val="16"/>
              </w:rPr>
            </w:pPr>
            <w:r w:rsidRPr="00D04F36">
              <w:rPr>
                <w:i/>
                <w:iCs/>
                <w:sz w:val="16"/>
              </w:rPr>
              <w:t>En casación</w:t>
            </w:r>
          </w:p>
        </w:tc>
      </w:tr>
      <w:tr w:rsidR="00D04F36" w:rsidRPr="00D04F36" w14:paraId="36C6B811" w14:textId="77777777" w:rsidTr="00D04F36">
        <w:trPr>
          <w:trHeight w:val="240"/>
          <w:tblHeader/>
        </w:trPr>
        <w:tc>
          <w:tcPr>
            <w:tcW w:w="936" w:type="dxa"/>
            <w:vMerge/>
            <w:tcBorders>
              <w:bottom w:val="single" w:sz="12" w:space="0" w:color="auto"/>
            </w:tcBorders>
            <w:shd w:val="clear" w:color="auto" w:fill="auto"/>
            <w:vAlign w:val="bottom"/>
            <w:hideMark/>
          </w:tcPr>
          <w:p w14:paraId="669AEE78" w14:textId="77777777" w:rsidR="00FA139B" w:rsidRPr="00D04F36" w:rsidRDefault="00FA139B" w:rsidP="00D04F36">
            <w:pPr>
              <w:pStyle w:val="SingleTxtG"/>
              <w:spacing w:before="40" w:after="40" w:line="220" w:lineRule="exact"/>
              <w:ind w:left="0" w:right="0"/>
              <w:jc w:val="left"/>
              <w:rPr>
                <w:iCs/>
                <w:sz w:val="18"/>
              </w:rPr>
            </w:pPr>
          </w:p>
        </w:tc>
        <w:tc>
          <w:tcPr>
            <w:tcW w:w="1275" w:type="dxa"/>
            <w:tcBorders>
              <w:top w:val="single" w:sz="4" w:space="0" w:color="auto"/>
              <w:bottom w:val="single" w:sz="12" w:space="0" w:color="auto"/>
            </w:tcBorders>
            <w:shd w:val="clear" w:color="auto" w:fill="auto"/>
            <w:noWrap/>
            <w:vAlign w:val="bottom"/>
            <w:hideMark/>
          </w:tcPr>
          <w:p w14:paraId="60BB6B80"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condenatorias</w:t>
            </w:r>
          </w:p>
        </w:tc>
        <w:tc>
          <w:tcPr>
            <w:tcW w:w="1094" w:type="dxa"/>
            <w:tcBorders>
              <w:top w:val="single" w:sz="4" w:space="0" w:color="auto"/>
              <w:bottom w:val="single" w:sz="12" w:space="0" w:color="auto"/>
              <w:right w:val="single" w:sz="18" w:space="0" w:color="FFFFFF" w:themeColor="background1"/>
            </w:tcBorders>
            <w:shd w:val="clear" w:color="auto" w:fill="auto"/>
            <w:noWrap/>
            <w:vAlign w:val="bottom"/>
            <w:hideMark/>
          </w:tcPr>
          <w:p w14:paraId="1117FBA6"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absolutorias</w:t>
            </w:r>
          </w:p>
        </w:tc>
        <w:tc>
          <w:tcPr>
            <w:tcW w:w="1303" w:type="dxa"/>
            <w:tcBorders>
              <w:top w:val="single" w:sz="4" w:space="0" w:color="auto"/>
              <w:left w:val="single" w:sz="18" w:space="0" w:color="FFFFFF" w:themeColor="background1"/>
              <w:bottom w:val="single" w:sz="12" w:space="0" w:color="auto"/>
            </w:tcBorders>
            <w:shd w:val="clear" w:color="auto" w:fill="auto"/>
            <w:noWrap/>
            <w:vAlign w:val="bottom"/>
            <w:hideMark/>
          </w:tcPr>
          <w:p w14:paraId="601DC33A"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condenatorias</w:t>
            </w:r>
          </w:p>
        </w:tc>
        <w:tc>
          <w:tcPr>
            <w:tcW w:w="1094" w:type="dxa"/>
            <w:tcBorders>
              <w:top w:val="single" w:sz="4" w:space="0" w:color="auto"/>
              <w:bottom w:val="single" w:sz="12" w:space="0" w:color="auto"/>
              <w:right w:val="single" w:sz="18" w:space="0" w:color="FFFFFF" w:themeColor="background1"/>
            </w:tcBorders>
            <w:shd w:val="clear" w:color="auto" w:fill="auto"/>
            <w:noWrap/>
            <w:vAlign w:val="bottom"/>
            <w:hideMark/>
          </w:tcPr>
          <w:p w14:paraId="70D7838D"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absolutorias</w:t>
            </w:r>
          </w:p>
        </w:tc>
        <w:tc>
          <w:tcPr>
            <w:tcW w:w="1329" w:type="dxa"/>
            <w:tcBorders>
              <w:top w:val="single" w:sz="4" w:space="0" w:color="auto"/>
              <w:left w:val="single" w:sz="18" w:space="0" w:color="FFFFFF" w:themeColor="background1"/>
              <w:bottom w:val="single" w:sz="12" w:space="0" w:color="auto"/>
            </w:tcBorders>
            <w:shd w:val="clear" w:color="auto" w:fill="auto"/>
            <w:noWrap/>
            <w:vAlign w:val="bottom"/>
            <w:hideMark/>
          </w:tcPr>
          <w:p w14:paraId="16DE9F40"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condenatorias</w:t>
            </w:r>
          </w:p>
        </w:tc>
        <w:tc>
          <w:tcPr>
            <w:tcW w:w="1134" w:type="dxa"/>
            <w:tcBorders>
              <w:top w:val="single" w:sz="4" w:space="0" w:color="auto"/>
              <w:bottom w:val="single" w:sz="12" w:space="0" w:color="auto"/>
            </w:tcBorders>
            <w:shd w:val="clear" w:color="auto" w:fill="auto"/>
            <w:noWrap/>
            <w:vAlign w:val="bottom"/>
            <w:hideMark/>
          </w:tcPr>
          <w:p w14:paraId="75902ACC"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Sentencias absolutorias</w:t>
            </w:r>
          </w:p>
        </w:tc>
      </w:tr>
      <w:tr w:rsidR="00D576CC" w:rsidRPr="00D04F36" w14:paraId="1472060C" w14:textId="77777777" w:rsidTr="00D04F36">
        <w:trPr>
          <w:trHeight w:val="240"/>
        </w:trPr>
        <w:tc>
          <w:tcPr>
            <w:tcW w:w="936" w:type="dxa"/>
            <w:tcBorders>
              <w:top w:val="single" w:sz="12" w:space="0" w:color="auto"/>
            </w:tcBorders>
            <w:shd w:val="clear" w:color="auto" w:fill="auto"/>
            <w:noWrap/>
            <w:hideMark/>
          </w:tcPr>
          <w:p w14:paraId="009023A5" w14:textId="77777777" w:rsidR="00FA139B" w:rsidRPr="00D04F36" w:rsidRDefault="00FA139B" w:rsidP="00D04F36">
            <w:pPr>
              <w:pStyle w:val="SingleTxtG"/>
              <w:spacing w:before="40" w:after="40" w:line="220" w:lineRule="exact"/>
              <w:ind w:left="0" w:right="0"/>
              <w:jc w:val="left"/>
              <w:rPr>
                <w:sz w:val="18"/>
              </w:rPr>
            </w:pPr>
            <w:r w:rsidRPr="00D04F36">
              <w:rPr>
                <w:sz w:val="18"/>
              </w:rPr>
              <w:t>2014</w:t>
            </w:r>
          </w:p>
        </w:tc>
        <w:tc>
          <w:tcPr>
            <w:tcW w:w="1275" w:type="dxa"/>
            <w:tcBorders>
              <w:top w:val="single" w:sz="12" w:space="0" w:color="auto"/>
            </w:tcBorders>
            <w:shd w:val="clear" w:color="auto" w:fill="auto"/>
            <w:noWrap/>
            <w:vAlign w:val="bottom"/>
            <w:hideMark/>
          </w:tcPr>
          <w:p w14:paraId="34B41EA6" w14:textId="77777777" w:rsidR="00FA139B" w:rsidRPr="00D04F36" w:rsidRDefault="00FA139B" w:rsidP="00D04F36">
            <w:pPr>
              <w:pStyle w:val="SingleTxtG"/>
              <w:spacing w:before="40" w:after="40" w:line="220" w:lineRule="exact"/>
              <w:ind w:left="113" w:right="0"/>
              <w:jc w:val="right"/>
              <w:rPr>
                <w:sz w:val="18"/>
              </w:rPr>
            </w:pPr>
            <w:r w:rsidRPr="00D04F36">
              <w:rPr>
                <w:sz w:val="18"/>
              </w:rPr>
              <w:t>0</w:t>
            </w:r>
          </w:p>
        </w:tc>
        <w:tc>
          <w:tcPr>
            <w:tcW w:w="1094" w:type="dxa"/>
            <w:tcBorders>
              <w:top w:val="single" w:sz="12" w:space="0" w:color="auto"/>
            </w:tcBorders>
            <w:shd w:val="clear" w:color="auto" w:fill="auto"/>
            <w:noWrap/>
            <w:vAlign w:val="bottom"/>
            <w:hideMark/>
          </w:tcPr>
          <w:p w14:paraId="7D089880" w14:textId="77777777" w:rsidR="00FA139B" w:rsidRPr="00D04F36" w:rsidRDefault="00FA139B" w:rsidP="00D04F36">
            <w:pPr>
              <w:pStyle w:val="SingleTxtG"/>
              <w:spacing w:before="40" w:after="40" w:line="220" w:lineRule="exact"/>
              <w:ind w:left="113" w:right="0"/>
              <w:jc w:val="right"/>
              <w:rPr>
                <w:sz w:val="18"/>
              </w:rPr>
            </w:pPr>
          </w:p>
        </w:tc>
        <w:tc>
          <w:tcPr>
            <w:tcW w:w="1303" w:type="dxa"/>
            <w:tcBorders>
              <w:top w:val="single" w:sz="12" w:space="0" w:color="auto"/>
            </w:tcBorders>
            <w:shd w:val="clear" w:color="auto" w:fill="auto"/>
            <w:noWrap/>
            <w:vAlign w:val="bottom"/>
            <w:hideMark/>
          </w:tcPr>
          <w:p w14:paraId="4DCF55CE" w14:textId="77777777" w:rsidR="00FA139B" w:rsidRPr="00D04F36" w:rsidRDefault="00FA139B" w:rsidP="00D04F36">
            <w:pPr>
              <w:pStyle w:val="SingleTxtG"/>
              <w:spacing w:before="40" w:after="40" w:line="220" w:lineRule="exact"/>
              <w:ind w:left="113" w:right="0"/>
              <w:jc w:val="right"/>
              <w:rPr>
                <w:sz w:val="18"/>
              </w:rPr>
            </w:pPr>
          </w:p>
        </w:tc>
        <w:tc>
          <w:tcPr>
            <w:tcW w:w="1094" w:type="dxa"/>
            <w:tcBorders>
              <w:top w:val="single" w:sz="12" w:space="0" w:color="auto"/>
            </w:tcBorders>
            <w:shd w:val="clear" w:color="auto" w:fill="auto"/>
            <w:noWrap/>
            <w:vAlign w:val="bottom"/>
            <w:hideMark/>
          </w:tcPr>
          <w:p w14:paraId="261BA644" w14:textId="77777777" w:rsidR="00FA139B" w:rsidRPr="00D04F36" w:rsidRDefault="00FA139B" w:rsidP="00D04F36">
            <w:pPr>
              <w:pStyle w:val="SingleTxtG"/>
              <w:spacing w:before="40" w:after="40" w:line="220" w:lineRule="exact"/>
              <w:ind w:left="113" w:right="0"/>
              <w:jc w:val="right"/>
              <w:rPr>
                <w:sz w:val="18"/>
              </w:rPr>
            </w:pPr>
          </w:p>
        </w:tc>
        <w:tc>
          <w:tcPr>
            <w:tcW w:w="1329" w:type="dxa"/>
            <w:tcBorders>
              <w:top w:val="single" w:sz="12" w:space="0" w:color="auto"/>
            </w:tcBorders>
            <w:shd w:val="clear" w:color="auto" w:fill="auto"/>
            <w:noWrap/>
            <w:vAlign w:val="bottom"/>
            <w:hideMark/>
          </w:tcPr>
          <w:p w14:paraId="0DC63DCC" w14:textId="77777777" w:rsidR="00FA139B" w:rsidRPr="00D04F36" w:rsidRDefault="00FA139B" w:rsidP="00D04F36">
            <w:pPr>
              <w:pStyle w:val="SingleTxtG"/>
              <w:spacing w:before="40" w:after="40" w:line="220" w:lineRule="exact"/>
              <w:ind w:left="113" w:right="0"/>
              <w:jc w:val="right"/>
              <w:rPr>
                <w:sz w:val="18"/>
              </w:rPr>
            </w:pPr>
          </w:p>
        </w:tc>
        <w:tc>
          <w:tcPr>
            <w:tcW w:w="1134" w:type="dxa"/>
            <w:tcBorders>
              <w:top w:val="single" w:sz="12" w:space="0" w:color="auto"/>
            </w:tcBorders>
            <w:shd w:val="clear" w:color="auto" w:fill="auto"/>
            <w:noWrap/>
            <w:vAlign w:val="bottom"/>
            <w:hideMark/>
          </w:tcPr>
          <w:p w14:paraId="093D6C57" w14:textId="77777777" w:rsidR="00FA139B" w:rsidRPr="00D04F36" w:rsidRDefault="00FA139B" w:rsidP="00D04F36">
            <w:pPr>
              <w:pStyle w:val="SingleTxtG"/>
              <w:spacing w:before="40" w:after="40" w:line="220" w:lineRule="exact"/>
              <w:ind w:left="113" w:right="0"/>
              <w:jc w:val="right"/>
              <w:rPr>
                <w:sz w:val="18"/>
              </w:rPr>
            </w:pPr>
          </w:p>
        </w:tc>
      </w:tr>
      <w:tr w:rsidR="00FA139B" w:rsidRPr="00D04F36" w14:paraId="1EC2F379" w14:textId="77777777" w:rsidTr="00D04F36">
        <w:trPr>
          <w:trHeight w:val="240"/>
        </w:trPr>
        <w:tc>
          <w:tcPr>
            <w:tcW w:w="936" w:type="dxa"/>
            <w:shd w:val="clear" w:color="auto" w:fill="auto"/>
            <w:noWrap/>
            <w:hideMark/>
          </w:tcPr>
          <w:p w14:paraId="755EB5ED" w14:textId="77777777" w:rsidR="00FA139B" w:rsidRPr="00D04F36" w:rsidRDefault="00FA139B" w:rsidP="00D04F36">
            <w:pPr>
              <w:pStyle w:val="SingleTxtG"/>
              <w:spacing w:before="40" w:after="40" w:line="220" w:lineRule="exact"/>
              <w:ind w:left="0" w:right="0"/>
              <w:jc w:val="left"/>
              <w:rPr>
                <w:sz w:val="18"/>
              </w:rPr>
            </w:pPr>
            <w:r w:rsidRPr="00D04F36">
              <w:rPr>
                <w:sz w:val="18"/>
              </w:rPr>
              <w:t>2015</w:t>
            </w:r>
          </w:p>
        </w:tc>
        <w:tc>
          <w:tcPr>
            <w:tcW w:w="1275" w:type="dxa"/>
            <w:shd w:val="clear" w:color="auto" w:fill="auto"/>
            <w:noWrap/>
            <w:vAlign w:val="bottom"/>
            <w:hideMark/>
          </w:tcPr>
          <w:p w14:paraId="4D762E72" w14:textId="77777777" w:rsidR="00FA139B" w:rsidRPr="00D04F36" w:rsidRDefault="00FA139B" w:rsidP="00D04F36">
            <w:pPr>
              <w:pStyle w:val="SingleTxtG"/>
              <w:spacing w:before="40" w:after="40" w:line="220" w:lineRule="exact"/>
              <w:ind w:left="113" w:right="0"/>
              <w:jc w:val="right"/>
              <w:rPr>
                <w:sz w:val="18"/>
              </w:rPr>
            </w:pPr>
            <w:r w:rsidRPr="00D04F36">
              <w:rPr>
                <w:sz w:val="18"/>
              </w:rPr>
              <w:t>3</w:t>
            </w:r>
          </w:p>
        </w:tc>
        <w:tc>
          <w:tcPr>
            <w:tcW w:w="1094" w:type="dxa"/>
            <w:shd w:val="clear" w:color="auto" w:fill="auto"/>
            <w:noWrap/>
            <w:vAlign w:val="bottom"/>
            <w:hideMark/>
          </w:tcPr>
          <w:p w14:paraId="49E0B43D" w14:textId="77777777" w:rsidR="00FA139B" w:rsidRPr="00D04F36" w:rsidRDefault="00FA139B" w:rsidP="00D04F36">
            <w:pPr>
              <w:pStyle w:val="SingleTxtG"/>
              <w:spacing w:before="40" w:after="40" w:line="220" w:lineRule="exact"/>
              <w:ind w:left="113" w:right="0"/>
              <w:jc w:val="right"/>
              <w:rPr>
                <w:sz w:val="18"/>
              </w:rPr>
            </w:pPr>
          </w:p>
        </w:tc>
        <w:tc>
          <w:tcPr>
            <w:tcW w:w="1303" w:type="dxa"/>
            <w:shd w:val="clear" w:color="auto" w:fill="auto"/>
            <w:noWrap/>
            <w:vAlign w:val="bottom"/>
            <w:hideMark/>
          </w:tcPr>
          <w:p w14:paraId="4C6F666B" w14:textId="77777777" w:rsidR="00FA139B" w:rsidRPr="00D04F36" w:rsidRDefault="00FA139B" w:rsidP="00D04F36">
            <w:pPr>
              <w:pStyle w:val="SingleTxtG"/>
              <w:spacing w:before="40" w:after="40" w:line="220" w:lineRule="exact"/>
              <w:ind w:left="113" w:right="0"/>
              <w:jc w:val="right"/>
              <w:rPr>
                <w:sz w:val="18"/>
              </w:rPr>
            </w:pPr>
          </w:p>
        </w:tc>
        <w:tc>
          <w:tcPr>
            <w:tcW w:w="1094" w:type="dxa"/>
            <w:shd w:val="clear" w:color="auto" w:fill="auto"/>
            <w:noWrap/>
            <w:vAlign w:val="bottom"/>
            <w:hideMark/>
          </w:tcPr>
          <w:p w14:paraId="68B9040A" w14:textId="77777777" w:rsidR="00FA139B" w:rsidRPr="00D04F36" w:rsidRDefault="00FA139B" w:rsidP="00D04F36">
            <w:pPr>
              <w:pStyle w:val="SingleTxtG"/>
              <w:spacing w:before="40" w:after="40" w:line="220" w:lineRule="exact"/>
              <w:ind w:left="113" w:right="0"/>
              <w:jc w:val="right"/>
              <w:rPr>
                <w:sz w:val="18"/>
              </w:rPr>
            </w:pPr>
          </w:p>
        </w:tc>
        <w:tc>
          <w:tcPr>
            <w:tcW w:w="1329" w:type="dxa"/>
            <w:shd w:val="clear" w:color="auto" w:fill="auto"/>
            <w:noWrap/>
            <w:vAlign w:val="bottom"/>
            <w:hideMark/>
          </w:tcPr>
          <w:p w14:paraId="1CDCE66D" w14:textId="77777777" w:rsidR="00FA139B" w:rsidRPr="00D04F36" w:rsidRDefault="00FA139B" w:rsidP="00D04F36">
            <w:pPr>
              <w:pStyle w:val="SingleTxtG"/>
              <w:spacing w:before="40" w:after="40" w:line="220" w:lineRule="exact"/>
              <w:ind w:left="113" w:right="0"/>
              <w:jc w:val="right"/>
              <w:rPr>
                <w:sz w:val="18"/>
              </w:rPr>
            </w:pPr>
          </w:p>
        </w:tc>
        <w:tc>
          <w:tcPr>
            <w:tcW w:w="1134" w:type="dxa"/>
            <w:shd w:val="clear" w:color="auto" w:fill="auto"/>
            <w:noWrap/>
            <w:vAlign w:val="bottom"/>
            <w:hideMark/>
          </w:tcPr>
          <w:p w14:paraId="6180A190" w14:textId="77777777" w:rsidR="00FA139B" w:rsidRPr="00D04F36" w:rsidRDefault="00FA139B" w:rsidP="00D04F36">
            <w:pPr>
              <w:pStyle w:val="SingleTxtG"/>
              <w:spacing w:before="40" w:after="40" w:line="220" w:lineRule="exact"/>
              <w:ind w:left="113" w:right="0"/>
              <w:jc w:val="right"/>
              <w:rPr>
                <w:sz w:val="18"/>
              </w:rPr>
            </w:pPr>
          </w:p>
        </w:tc>
      </w:tr>
      <w:tr w:rsidR="00FA139B" w:rsidRPr="00D04F36" w14:paraId="46E03383" w14:textId="77777777" w:rsidTr="00D04F36">
        <w:trPr>
          <w:trHeight w:val="240"/>
        </w:trPr>
        <w:tc>
          <w:tcPr>
            <w:tcW w:w="936" w:type="dxa"/>
            <w:shd w:val="clear" w:color="auto" w:fill="auto"/>
            <w:noWrap/>
            <w:hideMark/>
          </w:tcPr>
          <w:p w14:paraId="38031A7C" w14:textId="77777777" w:rsidR="00FA139B" w:rsidRPr="00D04F36" w:rsidRDefault="00FA139B" w:rsidP="00D04F36">
            <w:pPr>
              <w:pStyle w:val="SingleTxtG"/>
              <w:spacing w:before="40" w:after="40" w:line="220" w:lineRule="exact"/>
              <w:ind w:left="0" w:right="0"/>
              <w:jc w:val="left"/>
              <w:rPr>
                <w:sz w:val="18"/>
              </w:rPr>
            </w:pPr>
            <w:r w:rsidRPr="00D04F36">
              <w:rPr>
                <w:sz w:val="18"/>
              </w:rPr>
              <w:t>2016</w:t>
            </w:r>
          </w:p>
        </w:tc>
        <w:tc>
          <w:tcPr>
            <w:tcW w:w="1275" w:type="dxa"/>
            <w:shd w:val="clear" w:color="auto" w:fill="auto"/>
            <w:noWrap/>
            <w:vAlign w:val="bottom"/>
            <w:hideMark/>
          </w:tcPr>
          <w:p w14:paraId="6A1BE35B" w14:textId="77777777" w:rsidR="00FA139B" w:rsidRPr="00D04F36" w:rsidRDefault="00FA139B" w:rsidP="00D04F36">
            <w:pPr>
              <w:pStyle w:val="SingleTxtG"/>
              <w:spacing w:before="40" w:after="40" w:line="220" w:lineRule="exact"/>
              <w:ind w:left="113" w:right="0"/>
              <w:jc w:val="right"/>
              <w:rPr>
                <w:sz w:val="18"/>
              </w:rPr>
            </w:pPr>
            <w:r w:rsidRPr="00D04F36">
              <w:rPr>
                <w:sz w:val="18"/>
              </w:rPr>
              <w:t>8</w:t>
            </w:r>
          </w:p>
        </w:tc>
        <w:tc>
          <w:tcPr>
            <w:tcW w:w="1094" w:type="dxa"/>
            <w:shd w:val="clear" w:color="auto" w:fill="auto"/>
            <w:noWrap/>
            <w:vAlign w:val="bottom"/>
            <w:hideMark/>
          </w:tcPr>
          <w:p w14:paraId="4AEE11DE" w14:textId="77777777" w:rsidR="00FA139B" w:rsidRPr="00D04F36" w:rsidRDefault="00FA139B" w:rsidP="00D04F36">
            <w:pPr>
              <w:pStyle w:val="SingleTxtG"/>
              <w:spacing w:before="40" w:after="40" w:line="220" w:lineRule="exact"/>
              <w:ind w:left="113" w:right="0"/>
              <w:jc w:val="right"/>
              <w:rPr>
                <w:sz w:val="18"/>
              </w:rPr>
            </w:pPr>
          </w:p>
        </w:tc>
        <w:tc>
          <w:tcPr>
            <w:tcW w:w="1303" w:type="dxa"/>
            <w:shd w:val="clear" w:color="auto" w:fill="auto"/>
            <w:noWrap/>
            <w:vAlign w:val="bottom"/>
            <w:hideMark/>
          </w:tcPr>
          <w:p w14:paraId="2A305C7F" w14:textId="77777777" w:rsidR="00FA139B" w:rsidRPr="00D04F36" w:rsidRDefault="00FA139B" w:rsidP="00D04F36">
            <w:pPr>
              <w:pStyle w:val="SingleTxtG"/>
              <w:spacing w:before="40" w:after="40" w:line="220" w:lineRule="exact"/>
              <w:ind w:left="113" w:right="0"/>
              <w:jc w:val="right"/>
              <w:rPr>
                <w:sz w:val="18"/>
              </w:rPr>
            </w:pPr>
            <w:r w:rsidRPr="00D04F36">
              <w:rPr>
                <w:sz w:val="18"/>
              </w:rPr>
              <w:t>5</w:t>
            </w:r>
          </w:p>
        </w:tc>
        <w:tc>
          <w:tcPr>
            <w:tcW w:w="1094" w:type="dxa"/>
            <w:shd w:val="clear" w:color="auto" w:fill="auto"/>
            <w:noWrap/>
            <w:vAlign w:val="bottom"/>
            <w:hideMark/>
          </w:tcPr>
          <w:p w14:paraId="1C594EBA" w14:textId="77777777" w:rsidR="00FA139B" w:rsidRPr="00D04F36" w:rsidRDefault="00FA139B" w:rsidP="00D04F36">
            <w:pPr>
              <w:pStyle w:val="SingleTxtG"/>
              <w:spacing w:before="40" w:after="40" w:line="220" w:lineRule="exact"/>
              <w:ind w:left="113" w:right="0"/>
              <w:jc w:val="right"/>
              <w:rPr>
                <w:sz w:val="18"/>
              </w:rPr>
            </w:pPr>
          </w:p>
        </w:tc>
        <w:tc>
          <w:tcPr>
            <w:tcW w:w="1329" w:type="dxa"/>
            <w:shd w:val="clear" w:color="auto" w:fill="auto"/>
            <w:noWrap/>
            <w:vAlign w:val="bottom"/>
            <w:hideMark/>
          </w:tcPr>
          <w:p w14:paraId="292E0033" w14:textId="77777777" w:rsidR="00FA139B" w:rsidRPr="00D04F36" w:rsidRDefault="00FA139B" w:rsidP="00D04F36">
            <w:pPr>
              <w:pStyle w:val="SingleTxtG"/>
              <w:spacing w:before="40" w:after="40" w:line="220" w:lineRule="exact"/>
              <w:ind w:left="113" w:right="0"/>
              <w:jc w:val="right"/>
              <w:rPr>
                <w:sz w:val="18"/>
              </w:rPr>
            </w:pPr>
          </w:p>
        </w:tc>
        <w:tc>
          <w:tcPr>
            <w:tcW w:w="1134" w:type="dxa"/>
            <w:shd w:val="clear" w:color="auto" w:fill="auto"/>
            <w:noWrap/>
            <w:vAlign w:val="bottom"/>
            <w:hideMark/>
          </w:tcPr>
          <w:p w14:paraId="64CA7B11" w14:textId="77777777" w:rsidR="00FA139B" w:rsidRPr="00D04F36" w:rsidRDefault="00FA139B" w:rsidP="00D04F36">
            <w:pPr>
              <w:pStyle w:val="SingleTxtG"/>
              <w:spacing w:before="40" w:after="40" w:line="220" w:lineRule="exact"/>
              <w:ind w:left="113" w:right="0"/>
              <w:jc w:val="right"/>
              <w:rPr>
                <w:sz w:val="18"/>
              </w:rPr>
            </w:pPr>
          </w:p>
        </w:tc>
      </w:tr>
      <w:tr w:rsidR="00FA139B" w:rsidRPr="00D04F36" w14:paraId="1F6C6AE6" w14:textId="77777777" w:rsidTr="00D04F36">
        <w:trPr>
          <w:trHeight w:val="240"/>
        </w:trPr>
        <w:tc>
          <w:tcPr>
            <w:tcW w:w="936" w:type="dxa"/>
            <w:shd w:val="clear" w:color="auto" w:fill="auto"/>
            <w:noWrap/>
            <w:hideMark/>
          </w:tcPr>
          <w:p w14:paraId="2224F77E" w14:textId="77777777" w:rsidR="00FA139B" w:rsidRPr="00D04F36" w:rsidRDefault="00FA139B" w:rsidP="00D04F36">
            <w:pPr>
              <w:pStyle w:val="SingleTxtG"/>
              <w:spacing w:before="40" w:after="40" w:line="220" w:lineRule="exact"/>
              <w:ind w:left="0" w:right="0"/>
              <w:jc w:val="left"/>
              <w:rPr>
                <w:sz w:val="18"/>
              </w:rPr>
            </w:pPr>
            <w:r w:rsidRPr="00D04F36">
              <w:rPr>
                <w:sz w:val="18"/>
              </w:rPr>
              <w:t>2017</w:t>
            </w:r>
          </w:p>
        </w:tc>
        <w:tc>
          <w:tcPr>
            <w:tcW w:w="1275" w:type="dxa"/>
            <w:shd w:val="clear" w:color="auto" w:fill="auto"/>
            <w:noWrap/>
            <w:vAlign w:val="bottom"/>
            <w:hideMark/>
          </w:tcPr>
          <w:p w14:paraId="7F375A83" w14:textId="77777777" w:rsidR="00FA139B" w:rsidRPr="00D04F36" w:rsidRDefault="00FA139B" w:rsidP="00D04F36">
            <w:pPr>
              <w:pStyle w:val="SingleTxtG"/>
              <w:spacing w:before="40" w:after="40" w:line="220" w:lineRule="exact"/>
              <w:ind w:left="113" w:right="0"/>
              <w:jc w:val="right"/>
              <w:rPr>
                <w:sz w:val="18"/>
              </w:rPr>
            </w:pPr>
            <w:r w:rsidRPr="00D04F36">
              <w:rPr>
                <w:sz w:val="18"/>
              </w:rPr>
              <w:t>12</w:t>
            </w:r>
          </w:p>
        </w:tc>
        <w:tc>
          <w:tcPr>
            <w:tcW w:w="1094" w:type="dxa"/>
            <w:shd w:val="clear" w:color="auto" w:fill="auto"/>
            <w:noWrap/>
            <w:vAlign w:val="bottom"/>
            <w:hideMark/>
          </w:tcPr>
          <w:p w14:paraId="09984735" w14:textId="77777777" w:rsidR="00FA139B" w:rsidRPr="00D04F36" w:rsidRDefault="00FA139B" w:rsidP="00D04F36">
            <w:pPr>
              <w:pStyle w:val="SingleTxtG"/>
              <w:spacing w:before="40" w:after="40" w:line="220" w:lineRule="exact"/>
              <w:ind w:left="113" w:right="0"/>
              <w:jc w:val="right"/>
              <w:rPr>
                <w:sz w:val="18"/>
              </w:rPr>
            </w:pPr>
          </w:p>
        </w:tc>
        <w:tc>
          <w:tcPr>
            <w:tcW w:w="1303" w:type="dxa"/>
            <w:shd w:val="clear" w:color="auto" w:fill="auto"/>
            <w:noWrap/>
            <w:vAlign w:val="bottom"/>
            <w:hideMark/>
          </w:tcPr>
          <w:p w14:paraId="31F07A39" w14:textId="77777777" w:rsidR="00FA139B" w:rsidRPr="00D04F36" w:rsidRDefault="00FA139B" w:rsidP="00D04F36">
            <w:pPr>
              <w:pStyle w:val="SingleTxtG"/>
              <w:spacing w:before="40" w:after="40" w:line="220" w:lineRule="exact"/>
              <w:ind w:left="113" w:right="0"/>
              <w:jc w:val="right"/>
              <w:rPr>
                <w:sz w:val="18"/>
              </w:rPr>
            </w:pPr>
            <w:r w:rsidRPr="00D04F36">
              <w:rPr>
                <w:sz w:val="18"/>
              </w:rPr>
              <w:t>4</w:t>
            </w:r>
          </w:p>
        </w:tc>
        <w:tc>
          <w:tcPr>
            <w:tcW w:w="1094" w:type="dxa"/>
            <w:shd w:val="clear" w:color="auto" w:fill="auto"/>
            <w:noWrap/>
            <w:vAlign w:val="bottom"/>
            <w:hideMark/>
          </w:tcPr>
          <w:p w14:paraId="718D987F" w14:textId="77777777" w:rsidR="00FA139B" w:rsidRPr="00D04F36" w:rsidRDefault="00FA139B" w:rsidP="00D04F36">
            <w:pPr>
              <w:pStyle w:val="SingleTxtG"/>
              <w:spacing w:before="40" w:after="40" w:line="220" w:lineRule="exact"/>
              <w:ind w:left="113" w:right="0"/>
              <w:jc w:val="right"/>
              <w:rPr>
                <w:sz w:val="18"/>
              </w:rPr>
            </w:pPr>
          </w:p>
        </w:tc>
        <w:tc>
          <w:tcPr>
            <w:tcW w:w="1329" w:type="dxa"/>
            <w:shd w:val="clear" w:color="auto" w:fill="auto"/>
            <w:noWrap/>
            <w:vAlign w:val="bottom"/>
            <w:hideMark/>
          </w:tcPr>
          <w:p w14:paraId="60203E64" w14:textId="77777777" w:rsidR="00FA139B" w:rsidRPr="00D04F36" w:rsidRDefault="00FA139B" w:rsidP="00D04F36">
            <w:pPr>
              <w:pStyle w:val="SingleTxtG"/>
              <w:spacing w:before="40" w:after="40" w:line="220" w:lineRule="exact"/>
              <w:ind w:left="113" w:right="0"/>
              <w:jc w:val="right"/>
              <w:rPr>
                <w:sz w:val="18"/>
              </w:rPr>
            </w:pPr>
          </w:p>
        </w:tc>
        <w:tc>
          <w:tcPr>
            <w:tcW w:w="1134" w:type="dxa"/>
            <w:shd w:val="clear" w:color="auto" w:fill="auto"/>
            <w:noWrap/>
            <w:vAlign w:val="bottom"/>
            <w:hideMark/>
          </w:tcPr>
          <w:p w14:paraId="50065EB7" w14:textId="77777777" w:rsidR="00FA139B" w:rsidRPr="00D04F36" w:rsidRDefault="00FA139B" w:rsidP="00D04F36">
            <w:pPr>
              <w:pStyle w:val="SingleTxtG"/>
              <w:spacing w:before="40" w:after="40" w:line="220" w:lineRule="exact"/>
              <w:ind w:left="113" w:right="0"/>
              <w:jc w:val="right"/>
              <w:rPr>
                <w:sz w:val="18"/>
              </w:rPr>
            </w:pPr>
          </w:p>
        </w:tc>
      </w:tr>
      <w:tr w:rsidR="00FA139B" w:rsidRPr="00D04F36" w14:paraId="743D05D5" w14:textId="77777777" w:rsidTr="00D04F36">
        <w:trPr>
          <w:trHeight w:val="240"/>
        </w:trPr>
        <w:tc>
          <w:tcPr>
            <w:tcW w:w="936" w:type="dxa"/>
            <w:shd w:val="clear" w:color="auto" w:fill="auto"/>
            <w:noWrap/>
            <w:hideMark/>
          </w:tcPr>
          <w:p w14:paraId="1D4DB9EC" w14:textId="77777777" w:rsidR="00FA139B" w:rsidRPr="00D04F36" w:rsidRDefault="00FA139B" w:rsidP="00D04F36">
            <w:pPr>
              <w:pStyle w:val="SingleTxtG"/>
              <w:spacing w:before="40" w:after="40" w:line="220" w:lineRule="exact"/>
              <w:ind w:left="0" w:right="0"/>
              <w:jc w:val="left"/>
              <w:rPr>
                <w:sz w:val="18"/>
              </w:rPr>
            </w:pPr>
            <w:r w:rsidRPr="00D04F36">
              <w:rPr>
                <w:sz w:val="18"/>
              </w:rPr>
              <w:t>2018</w:t>
            </w:r>
          </w:p>
        </w:tc>
        <w:tc>
          <w:tcPr>
            <w:tcW w:w="1275" w:type="dxa"/>
            <w:shd w:val="clear" w:color="auto" w:fill="auto"/>
            <w:noWrap/>
            <w:vAlign w:val="bottom"/>
            <w:hideMark/>
          </w:tcPr>
          <w:p w14:paraId="49E24755" w14:textId="77777777" w:rsidR="00FA139B" w:rsidRPr="00D04F36" w:rsidRDefault="00FA139B" w:rsidP="00D04F36">
            <w:pPr>
              <w:pStyle w:val="SingleTxtG"/>
              <w:spacing w:before="40" w:after="40" w:line="220" w:lineRule="exact"/>
              <w:ind w:left="113" w:right="0"/>
              <w:jc w:val="right"/>
              <w:rPr>
                <w:sz w:val="18"/>
              </w:rPr>
            </w:pPr>
            <w:r w:rsidRPr="00D04F36">
              <w:rPr>
                <w:sz w:val="18"/>
              </w:rPr>
              <w:t>12</w:t>
            </w:r>
          </w:p>
        </w:tc>
        <w:tc>
          <w:tcPr>
            <w:tcW w:w="1094" w:type="dxa"/>
            <w:shd w:val="clear" w:color="auto" w:fill="auto"/>
            <w:noWrap/>
            <w:vAlign w:val="bottom"/>
            <w:hideMark/>
          </w:tcPr>
          <w:p w14:paraId="08D7755A" w14:textId="77777777" w:rsidR="00FA139B" w:rsidRPr="00D04F36" w:rsidRDefault="00FA139B" w:rsidP="00D04F36">
            <w:pPr>
              <w:pStyle w:val="SingleTxtG"/>
              <w:spacing w:before="40" w:after="40" w:line="220" w:lineRule="exact"/>
              <w:ind w:left="113" w:right="0"/>
              <w:jc w:val="right"/>
              <w:rPr>
                <w:sz w:val="18"/>
              </w:rPr>
            </w:pPr>
          </w:p>
        </w:tc>
        <w:tc>
          <w:tcPr>
            <w:tcW w:w="1303" w:type="dxa"/>
            <w:shd w:val="clear" w:color="auto" w:fill="auto"/>
            <w:noWrap/>
            <w:vAlign w:val="bottom"/>
            <w:hideMark/>
          </w:tcPr>
          <w:p w14:paraId="4CBDBFA2" w14:textId="77777777" w:rsidR="00FA139B" w:rsidRPr="00D04F36" w:rsidRDefault="00FA139B" w:rsidP="00D04F36">
            <w:pPr>
              <w:pStyle w:val="SingleTxtG"/>
              <w:spacing w:before="40" w:after="40" w:line="220" w:lineRule="exact"/>
              <w:ind w:left="113" w:right="0"/>
              <w:jc w:val="right"/>
              <w:rPr>
                <w:sz w:val="18"/>
              </w:rPr>
            </w:pPr>
            <w:r w:rsidRPr="00D04F36">
              <w:rPr>
                <w:sz w:val="18"/>
              </w:rPr>
              <w:t>16</w:t>
            </w:r>
          </w:p>
        </w:tc>
        <w:tc>
          <w:tcPr>
            <w:tcW w:w="1094" w:type="dxa"/>
            <w:shd w:val="clear" w:color="auto" w:fill="auto"/>
            <w:noWrap/>
            <w:vAlign w:val="bottom"/>
            <w:hideMark/>
          </w:tcPr>
          <w:p w14:paraId="266D7DB3" w14:textId="77777777" w:rsidR="00FA139B" w:rsidRPr="00D04F36" w:rsidRDefault="00FA139B" w:rsidP="00D04F36">
            <w:pPr>
              <w:pStyle w:val="SingleTxtG"/>
              <w:spacing w:before="40" w:after="40" w:line="220" w:lineRule="exact"/>
              <w:ind w:left="113" w:right="0"/>
              <w:jc w:val="right"/>
              <w:rPr>
                <w:sz w:val="18"/>
              </w:rPr>
            </w:pPr>
            <w:r w:rsidRPr="00D04F36">
              <w:rPr>
                <w:sz w:val="18"/>
              </w:rPr>
              <w:t>1</w:t>
            </w:r>
          </w:p>
        </w:tc>
        <w:tc>
          <w:tcPr>
            <w:tcW w:w="1329" w:type="dxa"/>
            <w:shd w:val="clear" w:color="auto" w:fill="auto"/>
            <w:noWrap/>
            <w:vAlign w:val="bottom"/>
            <w:hideMark/>
          </w:tcPr>
          <w:p w14:paraId="517BF951" w14:textId="77777777" w:rsidR="00FA139B" w:rsidRPr="00D04F36" w:rsidRDefault="00FA139B" w:rsidP="00D04F36">
            <w:pPr>
              <w:pStyle w:val="SingleTxtG"/>
              <w:spacing w:before="40" w:after="40" w:line="220" w:lineRule="exact"/>
              <w:ind w:left="113" w:right="0"/>
              <w:jc w:val="right"/>
              <w:rPr>
                <w:sz w:val="18"/>
              </w:rPr>
            </w:pPr>
          </w:p>
        </w:tc>
        <w:tc>
          <w:tcPr>
            <w:tcW w:w="1134" w:type="dxa"/>
            <w:shd w:val="clear" w:color="auto" w:fill="auto"/>
            <w:noWrap/>
            <w:vAlign w:val="bottom"/>
            <w:hideMark/>
          </w:tcPr>
          <w:p w14:paraId="1C188899" w14:textId="77777777" w:rsidR="00FA139B" w:rsidRPr="00D04F36" w:rsidRDefault="00FA139B" w:rsidP="00D04F36">
            <w:pPr>
              <w:pStyle w:val="SingleTxtG"/>
              <w:spacing w:before="40" w:after="40" w:line="220" w:lineRule="exact"/>
              <w:ind w:left="113" w:right="0"/>
              <w:jc w:val="right"/>
              <w:rPr>
                <w:sz w:val="18"/>
              </w:rPr>
            </w:pPr>
          </w:p>
        </w:tc>
      </w:tr>
      <w:tr w:rsidR="00D576CC" w:rsidRPr="00D04F36" w14:paraId="62C345B4" w14:textId="77777777" w:rsidTr="00D04F36">
        <w:trPr>
          <w:trHeight w:val="240"/>
        </w:trPr>
        <w:tc>
          <w:tcPr>
            <w:tcW w:w="936" w:type="dxa"/>
            <w:tcBorders>
              <w:bottom w:val="single" w:sz="4" w:space="0" w:color="auto"/>
            </w:tcBorders>
            <w:shd w:val="clear" w:color="auto" w:fill="auto"/>
            <w:noWrap/>
            <w:hideMark/>
          </w:tcPr>
          <w:p w14:paraId="6415BBAE" w14:textId="77777777" w:rsidR="00FA139B" w:rsidRPr="00D04F36" w:rsidRDefault="00FA139B" w:rsidP="00D04F36">
            <w:pPr>
              <w:pStyle w:val="SingleTxtG"/>
              <w:spacing w:before="40" w:after="40" w:line="220" w:lineRule="exact"/>
              <w:ind w:left="0" w:right="0"/>
              <w:jc w:val="left"/>
              <w:rPr>
                <w:sz w:val="18"/>
              </w:rPr>
            </w:pPr>
            <w:r w:rsidRPr="00D04F36">
              <w:rPr>
                <w:sz w:val="18"/>
              </w:rPr>
              <w:t>2019</w:t>
            </w:r>
          </w:p>
        </w:tc>
        <w:tc>
          <w:tcPr>
            <w:tcW w:w="1275" w:type="dxa"/>
            <w:tcBorders>
              <w:bottom w:val="single" w:sz="4" w:space="0" w:color="auto"/>
            </w:tcBorders>
            <w:shd w:val="clear" w:color="auto" w:fill="auto"/>
            <w:noWrap/>
            <w:vAlign w:val="bottom"/>
            <w:hideMark/>
          </w:tcPr>
          <w:p w14:paraId="30CDF36E" w14:textId="77777777" w:rsidR="00FA139B" w:rsidRPr="00D04F36" w:rsidRDefault="00FA139B" w:rsidP="00D04F36">
            <w:pPr>
              <w:pStyle w:val="SingleTxtG"/>
              <w:spacing w:before="40" w:after="40" w:line="220" w:lineRule="exact"/>
              <w:ind w:left="113" w:right="0"/>
              <w:jc w:val="right"/>
              <w:rPr>
                <w:sz w:val="18"/>
              </w:rPr>
            </w:pPr>
            <w:r w:rsidRPr="00D04F36">
              <w:rPr>
                <w:sz w:val="18"/>
              </w:rPr>
              <w:t>43</w:t>
            </w:r>
          </w:p>
        </w:tc>
        <w:tc>
          <w:tcPr>
            <w:tcW w:w="1094" w:type="dxa"/>
            <w:tcBorders>
              <w:bottom w:val="single" w:sz="4" w:space="0" w:color="auto"/>
            </w:tcBorders>
            <w:shd w:val="clear" w:color="auto" w:fill="auto"/>
            <w:noWrap/>
            <w:vAlign w:val="bottom"/>
            <w:hideMark/>
          </w:tcPr>
          <w:p w14:paraId="6800880B" w14:textId="77777777" w:rsidR="00FA139B" w:rsidRPr="00D04F36" w:rsidRDefault="00FA139B" w:rsidP="00D04F36">
            <w:pPr>
              <w:pStyle w:val="SingleTxtG"/>
              <w:spacing w:before="40" w:after="40" w:line="220" w:lineRule="exact"/>
              <w:ind w:left="113" w:right="0"/>
              <w:jc w:val="right"/>
              <w:rPr>
                <w:sz w:val="18"/>
              </w:rPr>
            </w:pPr>
            <w:r w:rsidRPr="00D04F36">
              <w:rPr>
                <w:sz w:val="18"/>
              </w:rPr>
              <w:t>1</w:t>
            </w:r>
          </w:p>
        </w:tc>
        <w:tc>
          <w:tcPr>
            <w:tcW w:w="1303" w:type="dxa"/>
            <w:tcBorders>
              <w:bottom w:val="single" w:sz="4" w:space="0" w:color="auto"/>
            </w:tcBorders>
            <w:shd w:val="clear" w:color="auto" w:fill="auto"/>
            <w:noWrap/>
            <w:vAlign w:val="bottom"/>
            <w:hideMark/>
          </w:tcPr>
          <w:p w14:paraId="776FF9F7" w14:textId="77777777" w:rsidR="00FA139B" w:rsidRPr="00D04F36" w:rsidRDefault="00FA139B" w:rsidP="00D04F36">
            <w:pPr>
              <w:pStyle w:val="SingleTxtG"/>
              <w:spacing w:before="40" w:after="40" w:line="220" w:lineRule="exact"/>
              <w:ind w:left="113" w:right="0"/>
              <w:jc w:val="right"/>
              <w:rPr>
                <w:sz w:val="18"/>
              </w:rPr>
            </w:pPr>
          </w:p>
        </w:tc>
        <w:tc>
          <w:tcPr>
            <w:tcW w:w="1094" w:type="dxa"/>
            <w:tcBorders>
              <w:bottom w:val="single" w:sz="4" w:space="0" w:color="auto"/>
            </w:tcBorders>
            <w:shd w:val="clear" w:color="auto" w:fill="auto"/>
            <w:noWrap/>
            <w:vAlign w:val="bottom"/>
            <w:hideMark/>
          </w:tcPr>
          <w:p w14:paraId="1DD56F1F" w14:textId="77777777" w:rsidR="00FA139B" w:rsidRPr="00D04F36" w:rsidRDefault="00FA139B" w:rsidP="00D04F36">
            <w:pPr>
              <w:pStyle w:val="SingleTxtG"/>
              <w:spacing w:before="40" w:after="40" w:line="220" w:lineRule="exact"/>
              <w:ind w:left="113" w:right="0"/>
              <w:jc w:val="right"/>
              <w:rPr>
                <w:sz w:val="18"/>
              </w:rPr>
            </w:pPr>
          </w:p>
        </w:tc>
        <w:tc>
          <w:tcPr>
            <w:tcW w:w="1329" w:type="dxa"/>
            <w:tcBorders>
              <w:bottom w:val="single" w:sz="4" w:space="0" w:color="auto"/>
            </w:tcBorders>
            <w:shd w:val="clear" w:color="auto" w:fill="auto"/>
            <w:noWrap/>
            <w:vAlign w:val="bottom"/>
            <w:hideMark/>
          </w:tcPr>
          <w:p w14:paraId="2014AB71" w14:textId="77777777" w:rsidR="00FA139B" w:rsidRPr="00D04F36" w:rsidRDefault="00FA139B" w:rsidP="00D04F36">
            <w:pPr>
              <w:pStyle w:val="SingleTxtG"/>
              <w:spacing w:before="40" w:after="40" w:line="220" w:lineRule="exact"/>
              <w:ind w:left="113" w:right="0"/>
              <w:jc w:val="right"/>
              <w:rPr>
                <w:sz w:val="18"/>
              </w:rPr>
            </w:pPr>
            <w:r w:rsidRPr="00D04F36">
              <w:rPr>
                <w:sz w:val="18"/>
              </w:rPr>
              <w:t>15</w:t>
            </w:r>
          </w:p>
        </w:tc>
        <w:tc>
          <w:tcPr>
            <w:tcW w:w="1134" w:type="dxa"/>
            <w:tcBorders>
              <w:bottom w:val="single" w:sz="4" w:space="0" w:color="auto"/>
            </w:tcBorders>
            <w:shd w:val="clear" w:color="auto" w:fill="auto"/>
            <w:noWrap/>
            <w:vAlign w:val="bottom"/>
            <w:hideMark/>
          </w:tcPr>
          <w:p w14:paraId="5401C3D9" w14:textId="77777777" w:rsidR="00FA139B" w:rsidRPr="00D04F36" w:rsidRDefault="00FA139B" w:rsidP="00D04F36">
            <w:pPr>
              <w:pStyle w:val="SingleTxtG"/>
              <w:spacing w:before="40" w:after="40" w:line="220" w:lineRule="exact"/>
              <w:ind w:left="113" w:right="0"/>
              <w:jc w:val="right"/>
              <w:rPr>
                <w:sz w:val="18"/>
              </w:rPr>
            </w:pPr>
            <w:r w:rsidRPr="00D04F36">
              <w:rPr>
                <w:sz w:val="18"/>
              </w:rPr>
              <w:t>1</w:t>
            </w:r>
          </w:p>
        </w:tc>
      </w:tr>
      <w:tr w:rsidR="00D576CC" w:rsidRPr="00D04F36" w14:paraId="66657988" w14:textId="77777777" w:rsidTr="00D04F36">
        <w:trPr>
          <w:trHeight w:val="240"/>
        </w:trPr>
        <w:tc>
          <w:tcPr>
            <w:tcW w:w="936" w:type="dxa"/>
            <w:tcBorders>
              <w:top w:val="single" w:sz="4" w:space="0" w:color="auto"/>
              <w:bottom w:val="single" w:sz="12" w:space="0" w:color="auto"/>
            </w:tcBorders>
            <w:shd w:val="clear" w:color="auto" w:fill="auto"/>
            <w:noWrap/>
            <w:hideMark/>
          </w:tcPr>
          <w:p w14:paraId="7855FD7A" w14:textId="77777777" w:rsidR="00FA139B" w:rsidRPr="00D04F36" w:rsidRDefault="00FA139B" w:rsidP="00D04F36">
            <w:pPr>
              <w:pStyle w:val="SingleTxtG"/>
              <w:spacing w:before="80" w:after="80" w:line="220" w:lineRule="exact"/>
              <w:ind w:left="284" w:right="0"/>
              <w:jc w:val="left"/>
              <w:rPr>
                <w:b/>
                <w:bCs/>
                <w:sz w:val="18"/>
              </w:rPr>
            </w:pPr>
            <w:r w:rsidRPr="00D04F36">
              <w:rPr>
                <w:b/>
                <w:bCs/>
                <w:sz w:val="18"/>
              </w:rPr>
              <w:t>Total</w:t>
            </w:r>
          </w:p>
        </w:tc>
        <w:tc>
          <w:tcPr>
            <w:tcW w:w="1275" w:type="dxa"/>
            <w:tcBorders>
              <w:top w:val="single" w:sz="4" w:space="0" w:color="auto"/>
              <w:bottom w:val="single" w:sz="12" w:space="0" w:color="auto"/>
            </w:tcBorders>
            <w:shd w:val="clear" w:color="auto" w:fill="auto"/>
            <w:noWrap/>
            <w:vAlign w:val="bottom"/>
            <w:hideMark/>
          </w:tcPr>
          <w:p w14:paraId="15EA3187"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78</w:t>
            </w:r>
          </w:p>
        </w:tc>
        <w:tc>
          <w:tcPr>
            <w:tcW w:w="1094" w:type="dxa"/>
            <w:tcBorders>
              <w:top w:val="single" w:sz="4" w:space="0" w:color="auto"/>
              <w:bottom w:val="single" w:sz="12" w:space="0" w:color="auto"/>
            </w:tcBorders>
            <w:shd w:val="clear" w:color="auto" w:fill="auto"/>
            <w:noWrap/>
            <w:vAlign w:val="bottom"/>
            <w:hideMark/>
          </w:tcPr>
          <w:p w14:paraId="547AB36D"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1</w:t>
            </w:r>
          </w:p>
        </w:tc>
        <w:tc>
          <w:tcPr>
            <w:tcW w:w="1303" w:type="dxa"/>
            <w:tcBorders>
              <w:top w:val="single" w:sz="4" w:space="0" w:color="auto"/>
              <w:bottom w:val="single" w:sz="12" w:space="0" w:color="auto"/>
            </w:tcBorders>
            <w:shd w:val="clear" w:color="auto" w:fill="auto"/>
            <w:noWrap/>
            <w:vAlign w:val="bottom"/>
            <w:hideMark/>
          </w:tcPr>
          <w:p w14:paraId="02423CF6"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25</w:t>
            </w:r>
          </w:p>
        </w:tc>
        <w:tc>
          <w:tcPr>
            <w:tcW w:w="1094" w:type="dxa"/>
            <w:tcBorders>
              <w:top w:val="single" w:sz="4" w:space="0" w:color="auto"/>
              <w:bottom w:val="single" w:sz="12" w:space="0" w:color="auto"/>
            </w:tcBorders>
            <w:shd w:val="clear" w:color="auto" w:fill="auto"/>
            <w:noWrap/>
            <w:vAlign w:val="bottom"/>
            <w:hideMark/>
          </w:tcPr>
          <w:p w14:paraId="42294D1C"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1</w:t>
            </w:r>
          </w:p>
        </w:tc>
        <w:tc>
          <w:tcPr>
            <w:tcW w:w="1329" w:type="dxa"/>
            <w:tcBorders>
              <w:top w:val="single" w:sz="4" w:space="0" w:color="auto"/>
              <w:bottom w:val="single" w:sz="12" w:space="0" w:color="auto"/>
            </w:tcBorders>
            <w:shd w:val="clear" w:color="auto" w:fill="auto"/>
            <w:noWrap/>
            <w:vAlign w:val="bottom"/>
            <w:hideMark/>
          </w:tcPr>
          <w:p w14:paraId="457FF74D"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15</w:t>
            </w:r>
          </w:p>
        </w:tc>
        <w:tc>
          <w:tcPr>
            <w:tcW w:w="1134" w:type="dxa"/>
            <w:tcBorders>
              <w:top w:val="single" w:sz="4" w:space="0" w:color="auto"/>
              <w:bottom w:val="single" w:sz="12" w:space="0" w:color="auto"/>
            </w:tcBorders>
            <w:shd w:val="clear" w:color="auto" w:fill="auto"/>
            <w:noWrap/>
            <w:vAlign w:val="bottom"/>
            <w:hideMark/>
          </w:tcPr>
          <w:p w14:paraId="593F246E" w14:textId="77777777" w:rsidR="00FA139B" w:rsidRPr="00D04F36" w:rsidRDefault="00FA139B" w:rsidP="00D04F36">
            <w:pPr>
              <w:pStyle w:val="SingleTxtG"/>
              <w:spacing w:before="80" w:after="80" w:line="220" w:lineRule="exact"/>
              <w:ind w:left="113" w:right="0"/>
              <w:jc w:val="right"/>
              <w:rPr>
                <w:b/>
                <w:bCs/>
                <w:sz w:val="18"/>
              </w:rPr>
            </w:pPr>
            <w:r w:rsidRPr="00D04F36">
              <w:rPr>
                <w:b/>
                <w:bCs/>
                <w:sz w:val="18"/>
              </w:rPr>
              <w:t>1</w:t>
            </w:r>
          </w:p>
        </w:tc>
      </w:tr>
    </w:tbl>
    <w:p w14:paraId="5DF453FC" w14:textId="77777777" w:rsidR="00FA139B" w:rsidRPr="00FA139B" w:rsidRDefault="00FA139B" w:rsidP="00D04F36">
      <w:pPr>
        <w:pStyle w:val="H1G"/>
      </w:pPr>
      <w:r w:rsidRPr="00FA139B">
        <w:tab/>
      </w:r>
      <w:r w:rsidRPr="00FA139B">
        <w:tab/>
        <w:t>Recomendación núm. 18</w:t>
      </w:r>
    </w:p>
    <w:p w14:paraId="0146D4E0" w14:textId="77777777" w:rsidR="00FA139B" w:rsidRPr="00FA139B" w:rsidRDefault="00FA139B" w:rsidP="00FA139B">
      <w:pPr>
        <w:pStyle w:val="SingleTxtG"/>
        <w:rPr>
          <w:b/>
          <w:bCs/>
          <w:u w:val="single"/>
        </w:rPr>
      </w:pPr>
      <w:r w:rsidRPr="00FA139B">
        <w:t>38.</w:t>
      </w:r>
      <w:r w:rsidRPr="00FA139B">
        <w:tab/>
        <w:t xml:space="preserve">El Estado ha examinado la Ley núm. 15/1979 de la Función Pública y no ha hallado disposiciones discriminatorias por motivos de sexo, origen, idioma o religión que se apliquen a las personas demandantes de empleo público. Por tanto, el Estado no ve razón para modificar la </w:t>
      </w:r>
      <w:r w:rsidR="00817E48">
        <w:t>L</w:t>
      </w:r>
      <w:r w:rsidRPr="00FA139B">
        <w:t>ey señalada.</w:t>
      </w:r>
    </w:p>
    <w:p w14:paraId="15613F30" w14:textId="77777777" w:rsidR="00FA139B" w:rsidRPr="00FA139B" w:rsidRDefault="00FA139B" w:rsidP="00FA139B">
      <w:pPr>
        <w:pStyle w:val="SingleTxtG"/>
      </w:pPr>
      <w:r w:rsidRPr="00FA139B">
        <w:t>39.</w:t>
      </w:r>
      <w:r w:rsidRPr="00FA139B">
        <w:tab/>
        <w:t xml:space="preserve">El artículo 29 de la Constitución del Estado de Kuwait dispone que </w:t>
      </w:r>
      <w:r w:rsidR="006E23E2">
        <w:t>“</w:t>
      </w:r>
      <w:r w:rsidRPr="00FA139B">
        <w:t>todas las personas son iguales ante la ley en dignidad y en derechos y deberes generales. No se harán distinciones entre ellas por motivo de sexo, origen, lengua o religión</w:t>
      </w:r>
      <w:r w:rsidR="006E23E2">
        <w:t>”</w:t>
      </w:r>
      <w:r w:rsidRPr="00FA139B">
        <w:t xml:space="preserve">. Así pues, la proscripción de todas las formas de discriminación está tutelada por la Constitución de Kuwait. Como es bien sabido, los preceptos constitucionales constituyen la cúspide del sistema jurídico del Estado, prevalecen sobre el resto de las disposiciones legislativas y, por consiguiente, también sobre las leyes ordinarias. Así pues, no hay necesidad de incluir esa proscripción en la </w:t>
      </w:r>
      <w:r w:rsidR="00817E48">
        <w:t>L</w:t>
      </w:r>
      <w:r w:rsidRPr="00FA139B">
        <w:t>ey citada, puesto que es un instrumento jurídico de rango inferior a la Constitución.</w:t>
      </w:r>
    </w:p>
    <w:p w14:paraId="4EC1D58D" w14:textId="77777777" w:rsidR="00FA139B" w:rsidRPr="00FA139B" w:rsidRDefault="00FA139B" w:rsidP="00D04F36">
      <w:pPr>
        <w:pStyle w:val="H1G"/>
      </w:pPr>
      <w:r w:rsidRPr="00FA139B">
        <w:tab/>
      </w:r>
      <w:r w:rsidRPr="00FA139B">
        <w:tab/>
        <w:t>Recomendación núm. 20</w:t>
      </w:r>
    </w:p>
    <w:p w14:paraId="7D2A61A4" w14:textId="77777777" w:rsidR="00FA139B" w:rsidRPr="00FA139B" w:rsidRDefault="00FA139B" w:rsidP="00FA139B">
      <w:pPr>
        <w:pStyle w:val="SingleTxtG"/>
      </w:pPr>
      <w:r w:rsidRPr="00FA139B">
        <w:t>40.</w:t>
      </w:r>
      <w:r w:rsidRPr="00FA139B">
        <w:tab/>
        <w:t>No se ha dictado resolución alguna en la que se invocara la Ley núm. 33/1968 de la Adhesión a la Convención Internacional sobre la Eliminación de Todas las Formas de Discriminación Racial. Si se dictaran tales resoluciones, el Estado informaría de ello más adelante. El Estado remite a la respuesta formulada respecto a la recomendación núm.</w:t>
      </w:r>
      <w:r w:rsidR="0020777D">
        <w:t> </w:t>
      </w:r>
      <w:r w:rsidRPr="00FA139B">
        <w:t>14</w:t>
      </w:r>
      <w:r w:rsidR="0020777D">
        <w:t> </w:t>
      </w:r>
      <w:r w:rsidRPr="00FA139B">
        <w:t>b).</w:t>
      </w:r>
    </w:p>
    <w:p w14:paraId="5DF0C9D0" w14:textId="77777777" w:rsidR="00FA139B" w:rsidRPr="00FA139B" w:rsidRDefault="00FA139B" w:rsidP="00D04F36">
      <w:pPr>
        <w:pStyle w:val="H1G"/>
      </w:pPr>
      <w:r w:rsidRPr="00FA139B">
        <w:tab/>
      </w:r>
      <w:r w:rsidRPr="00FA139B">
        <w:tab/>
        <w:t>Recomendación núm. 22</w:t>
      </w:r>
    </w:p>
    <w:p w14:paraId="797B0681" w14:textId="77777777" w:rsidR="00FA139B" w:rsidRPr="00FA139B" w:rsidRDefault="00FA139B" w:rsidP="00FA139B">
      <w:pPr>
        <w:pStyle w:val="SingleTxtG"/>
      </w:pPr>
      <w:r w:rsidRPr="00FA139B">
        <w:t>41.</w:t>
      </w:r>
      <w:r w:rsidRPr="00FA139B">
        <w:tab/>
        <w:t xml:space="preserve">El término </w:t>
      </w:r>
      <w:r w:rsidR="006E23E2" w:rsidRPr="006E23E2">
        <w:rPr>
          <w:i/>
        </w:rPr>
        <w:t>“</w:t>
      </w:r>
      <w:r w:rsidRPr="006E23E2">
        <w:rPr>
          <w:i/>
          <w:iCs/>
        </w:rPr>
        <w:t>kafil</w:t>
      </w:r>
      <w:r w:rsidR="006E23E2" w:rsidRPr="006E23E2">
        <w:rPr>
          <w:i/>
        </w:rPr>
        <w:t>”</w:t>
      </w:r>
      <w:r w:rsidRPr="00FA139B">
        <w:t xml:space="preserve"> [</w:t>
      </w:r>
      <w:r w:rsidR="006E23E2">
        <w:t>“</w:t>
      </w:r>
      <w:r w:rsidRPr="00FA139B">
        <w:t>patrocinador</w:t>
      </w:r>
      <w:r w:rsidR="006E23E2">
        <w:t>”</w:t>
      </w:r>
      <w:r w:rsidRPr="00FA139B">
        <w:t xml:space="preserve">] no figura en la Ley núm. 6/2010 del Empleo en el Sector Privado ni en las resoluciones dictadas en la materia. El término jurídico empleado es </w:t>
      </w:r>
      <w:r w:rsidR="006E23E2" w:rsidRPr="006E23E2">
        <w:rPr>
          <w:i/>
        </w:rPr>
        <w:t>“</w:t>
      </w:r>
      <w:r w:rsidRPr="006E23E2">
        <w:rPr>
          <w:i/>
          <w:iCs/>
        </w:rPr>
        <w:t>sahib al-amal</w:t>
      </w:r>
      <w:r w:rsidR="006E23E2" w:rsidRPr="006E23E2">
        <w:rPr>
          <w:i/>
        </w:rPr>
        <w:t>”</w:t>
      </w:r>
      <w:r w:rsidRPr="00FA139B">
        <w:t xml:space="preserve"> [</w:t>
      </w:r>
      <w:r w:rsidR="006E23E2">
        <w:t>“</w:t>
      </w:r>
      <w:r w:rsidRPr="00FA139B">
        <w:t>empleador</w:t>
      </w:r>
      <w:r w:rsidR="006E23E2">
        <w:t>”</w:t>
      </w:r>
      <w:r w:rsidRPr="00FA139B">
        <w:t>]. El organismo competente ha promulgado, entre otros, los decretos siguientes con el fin de invalidar la autoridad del empleador sobre el empleado y proteger a este frente a cualesquiera abusos del primero:</w:t>
      </w:r>
    </w:p>
    <w:p w14:paraId="7FB569D0" w14:textId="77777777" w:rsidR="00FA139B" w:rsidRPr="00FA139B" w:rsidRDefault="00D04F36" w:rsidP="00FA139B">
      <w:pPr>
        <w:pStyle w:val="SingleTxtG"/>
      </w:pPr>
      <w:r>
        <w:tab/>
      </w:r>
      <w:r w:rsidR="00FA139B" w:rsidRPr="00FA139B">
        <w:t>1)</w:t>
      </w:r>
      <w:r w:rsidR="00FA139B" w:rsidRPr="00FA139B">
        <w:tab/>
        <w:t xml:space="preserve">Decreto núm. 535/2015 del </w:t>
      </w:r>
      <w:r w:rsidR="00A158AC">
        <w:t>H</w:t>
      </w:r>
      <w:r w:rsidR="00FA139B" w:rsidRPr="00FA139B">
        <w:t xml:space="preserve">orario </w:t>
      </w:r>
      <w:r w:rsidR="00A158AC">
        <w:t>L</w:t>
      </w:r>
      <w:r w:rsidR="00FA139B" w:rsidRPr="00FA139B">
        <w:t xml:space="preserve">aboral en los </w:t>
      </w:r>
      <w:r w:rsidR="00A158AC">
        <w:t>L</w:t>
      </w:r>
      <w:r w:rsidR="00FA139B" w:rsidRPr="00FA139B">
        <w:t xml:space="preserve">ugares de </w:t>
      </w:r>
      <w:r w:rsidR="00A158AC">
        <w:t>T</w:t>
      </w:r>
      <w:r w:rsidR="00FA139B" w:rsidRPr="00FA139B">
        <w:t xml:space="preserve">rabajo al </w:t>
      </w:r>
      <w:r w:rsidR="00A158AC">
        <w:t>A</w:t>
      </w:r>
      <w:r w:rsidR="00FA139B" w:rsidRPr="00FA139B">
        <w:t xml:space="preserve">ire </w:t>
      </w:r>
      <w:r w:rsidR="00A158AC">
        <w:t>L</w:t>
      </w:r>
      <w:r w:rsidR="00FA139B" w:rsidRPr="00FA139B">
        <w:t>ibre;</w:t>
      </w:r>
    </w:p>
    <w:p w14:paraId="6DA94094" w14:textId="77777777" w:rsidR="00FA139B" w:rsidRPr="00FA139B" w:rsidRDefault="00D04F36" w:rsidP="00FA139B">
      <w:pPr>
        <w:pStyle w:val="SingleTxtG"/>
      </w:pPr>
      <w:r>
        <w:tab/>
      </w:r>
      <w:r w:rsidR="00FA139B" w:rsidRPr="00FA139B">
        <w:t>2)</w:t>
      </w:r>
      <w:r w:rsidR="00FA139B" w:rsidRPr="00FA139B">
        <w:tab/>
        <w:t xml:space="preserve">Decreto núm. 201/2011 de la </w:t>
      </w:r>
      <w:r w:rsidR="00A158AC">
        <w:t>P</w:t>
      </w:r>
      <w:r w:rsidR="00FA139B" w:rsidRPr="00FA139B">
        <w:t xml:space="preserve">rohibición del </w:t>
      </w:r>
      <w:r w:rsidR="00A158AC">
        <w:t>T</w:t>
      </w:r>
      <w:r w:rsidR="00FA139B" w:rsidRPr="00FA139B">
        <w:t xml:space="preserve">rabajo </w:t>
      </w:r>
      <w:r w:rsidR="00A158AC">
        <w:t>F</w:t>
      </w:r>
      <w:r w:rsidR="00FA139B" w:rsidRPr="00FA139B">
        <w:t>orzoso;</w:t>
      </w:r>
    </w:p>
    <w:p w14:paraId="111F5CE3" w14:textId="77777777" w:rsidR="00FA139B" w:rsidRPr="00FA139B" w:rsidRDefault="00D04F36" w:rsidP="00FA139B">
      <w:pPr>
        <w:pStyle w:val="SingleTxtG"/>
      </w:pPr>
      <w:r>
        <w:lastRenderedPageBreak/>
        <w:tab/>
      </w:r>
      <w:r w:rsidR="00FA139B" w:rsidRPr="00FA139B">
        <w:t>3)</w:t>
      </w:r>
      <w:r w:rsidR="00FA139B" w:rsidRPr="00FA139B">
        <w:tab/>
        <w:t>Decreto núm. 842/2015 de las condiciones para la transferencia de los trabajadores de un empleador a otro, modificado mediante el Decreto núm. 1024/2016;</w:t>
      </w:r>
    </w:p>
    <w:p w14:paraId="7B3B3253" w14:textId="77777777" w:rsidR="00FA139B" w:rsidRPr="00FA139B" w:rsidRDefault="00D04F36" w:rsidP="00FA139B">
      <w:pPr>
        <w:pStyle w:val="SingleTxtG"/>
      </w:pPr>
      <w:r>
        <w:tab/>
      </w:r>
      <w:r w:rsidR="00FA139B" w:rsidRPr="00FA139B">
        <w:t>4)</w:t>
      </w:r>
      <w:r w:rsidR="00FA139B" w:rsidRPr="00FA139B">
        <w:tab/>
        <w:t>Decreto núm. 552/2018 por el que se promulga el reglamento regulador de las normas y procedimientos para la concesión del permiso de trabajo;</w:t>
      </w:r>
    </w:p>
    <w:p w14:paraId="29068D65" w14:textId="77777777" w:rsidR="00FA139B" w:rsidRPr="00FA139B" w:rsidRDefault="00D04F36" w:rsidP="00FA139B">
      <w:pPr>
        <w:pStyle w:val="SingleTxtG"/>
      </w:pPr>
      <w:r>
        <w:tab/>
      </w:r>
      <w:r w:rsidR="00FA139B" w:rsidRPr="00FA139B">
        <w:t>5)</w:t>
      </w:r>
      <w:r w:rsidR="00FA139B" w:rsidRPr="00FA139B">
        <w:tab/>
        <w:t>Se ha comenzado a ejecutar el proyecto piloto de notificación automática a los Estados de origen de los trabajadores, lo que permitirá reclutar a los trabajadores con criterios específicos.</w:t>
      </w:r>
    </w:p>
    <w:p w14:paraId="7B6B1D40" w14:textId="77777777" w:rsidR="00FA139B" w:rsidRPr="00FA139B" w:rsidRDefault="00FA139B" w:rsidP="00FA139B">
      <w:pPr>
        <w:pStyle w:val="SingleTxtG"/>
      </w:pPr>
      <w:r w:rsidRPr="00FA139B">
        <w:t>42.</w:t>
      </w:r>
      <w:r w:rsidRPr="00FA139B">
        <w:tab/>
        <w:t>Respecto al derecho de los trabajadores a la reunificación familiar, según el artículo</w:t>
      </w:r>
      <w:r w:rsidR="00A158AC">
        <w:t> </w:t>
      </w:r>
      <w:r w:rsidRPr="00FA139B">
        <w:t>1 del Decreto Ministerial núm. 3384/2016, para la obtención del permiso ordinario de residencia por reunificación con el alimentante se exige a las personas provenientes del extranjero que el salario mensual del residente supere los 450 dinares kuwaitíes (unos 1500 dólares de los Estados Unidos de América). El Director de la Dirección General de la Residencia, al amparo de lo dispuesto en el párrafo 1 del mismo artículo, puede eximir de ese requisito salarial a las personas presentes o nacidas en el país.</w:t>
      </w:r>
    </w:p>
    <w:p w14:paraId="574E1DFB" w14:textId="77777777" w:rsidR="00FA139B" w:rsidRPr="00FA139B" w:rsidRDefault="00FA139B" w:rsidP="00FA139B">
      <w:pPr>
        <w:pStyle w:val="SingleTxtG"/>
      </w:pPr>
      <w:r w:rsidRPr="00FA139B">
        <w:t>43.</w:t>
      </w:r>
      <w:r w:rsidRPr="00FA139B">
        <w:tab/>
        <w:t>En aplicación del artículo citado, para que se permita la entrada al país desde el extranjero a la familia (cónyuge e hijos) por razón de reunificación con el alimentante, el salario mensual abonado por el empleador al residente debe superar los 450 dinares.</w:t>
      </w:r>
    </w:p>
    <w:p w14:paraId="6AE0F83A" w14:textId="77777777" w:rsidR="00FA139B" w:rsidRPr="00FA139B" w:rsidRDefault="00FA139B" w:rsidP="00FA139B">
      <w:pPr>
        <w:pStyle w:val="SingleTxtG"/>
      </w:pPr>
      <w:r w:rsidRPr="00FA139B">
        <w:t>44.</w:t>
      </w:r>
      <w:r w:rsidRPr="00FA139B">
        <w:tab/>
        <w:t>El párrafo segundo del artículo citado faculta también al Director de la Dirección General de la Residencia para conceder permisos de residencia ordinarios por razón de reunificación con el alimentante a las personas presentes o nacidas en el Estado de Kuwait incluso si el alimentante no cumple el requisito de salario salarial señalado.</w:t>
      </w:r>
    </w:p>
    <w:p w14:paraId="539FC54D" w14:textId="77777777" w:rsidR="00FA139B" w:rsidRPr="00FA139B" w:rsidRDefault="00FA139B" w:rsidP="00FA139B">
      <w:pPr>
        <w:pStyle w:val="SingleTxtG"/>
      </w:pPr>
      <w:r w:rsidRPr="00FA139B">
        <w:t>45.</w:t>
      </w:r>
      <w:r w:rsidRPr="00FA139B">
        <w:tab/>
        <w:t>El artículo 2 del Decreto Ministerial citado también exime del requisito salarial señalado a las personas que ejercen ciertas profesiones. Esas personas pueden solicitar permiso de entrada al país para esposa e hijos por razón de reunificación con el alimentante incluso si no cumplen ese requisito salarial.</w:t>
      </w:r>
    </w:p>
    <w:p w14:paraId="3360FB1B" w14:textId="77777777" w:rsidR="00FA139B" w:rsidRPr="00FA139B" w:rsidRDefault="00FA139B" w:rsidP="00D04F36">
      <w:pPr>
        <w:pStyle w:val="SingleTxtG"/>
        <w:jc w:val="left"/>
        <w:rPr>
          <w:b/>
          <w:bCs/>
        </w:rPr>
      </w:pPr>
      <w:r w:rsidRPr="00FA139B">
        <w:rPr>
          <w:b/>
          <w:bCs/>
        </w:rPr>
        <w:t xml:space="preserve">Datos estadísticos sobre el número de permisos de residencia concedidos hasta </w:t>
      </w:r>
      <w:r w:rsidR="00D04F36">
        <w:rPr>
          <w:b/>
          <w:bCs/>
        </w:rPr>
        <w:br/>
      </w:r>
      <w:r w:rsidRPr="00FA139B">
        <w:rPr>
          <w:b/>
          <w:bCs/>
        </w:rPr>
        <w:t xml:space="preserve">el 16 de octubre de 2019 al amparo del artículo 22 de la Ley de Residencia por </w:t>
      </w:r>
      <w:r w:rsidR="00D04F36">
        <w:rPr>
          <w:b/>
          <w:bCs/>
        </w:rPr>
        <w:br/>
      </w:r>
      <w:r w:rsidRPr="00FA139B">
        <w:rPr>
          <w:b/>
          <w:bCs/>
        </w:rPr>
        <w:t>razón de reunificación con el alimentante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0"/>
        <w:gridCol w:w="2491"/>
        <w:gridCol w:w="2389"/>
      </w:tblGrid>
      <w:tr w:rsidR="00FA139B" w:rsidRPr="00D04F36" w14:paraId="43C28782" w14:textId="77777777" w:rsidTr="00D04F36">
        <w:trPr>
          <w:trHeight w:val="240"/>
          <w:tblHeader/>
        </w:trPr>
        <w:tc>
          <w:tcPr>
            <w:tcW w:w="2490" w:type="dxa"/>
            <w:tcBorders>
              <w:top w:val="single" w:sz="4" w:space="0" w:color="auto"/>
              <w:bottom w:val="single" w:sz="12" w:space="0" w:color="auto"/>
            </w:tcBorders>
            <w:shd w:val="clear" w:color="auto" w:fill="auto"/>
            <w:vAlign w:val="bottom"/>
            <w:hideMark/>
          </w:tcPr>
          <w:p w14:paraId="2A8E165F" w14:textId="77777777" w:rsidR="00FA139B" w:rsidRPr="00D04F36" w:rsidRDefault="00FA139B" w:rsidP="00D04F36">
            <w:pPr>
              <w:pStyle w:val="SingleTxtG"/>
              <w:spacing w:before="80" w:after="80" w:line="200" w:lineRule="exact"/>
              <w:ind w:left="0" w:right="0"/>
              <w:jc w:val="right"/>
              <w:rPr>
                <w:i/>
                <w:iCs/>
                <w:sz w:val="16"/>
              </w:rPr>
            </w:pPr>
            <w:r w:rsidRPr="00D04F36">
              <w:rPr>
                <w:i/>
                <w:iCs/>
                <w:sz w:val="16"/>
              </w:rPr>
              <w:t>Varones</w:t>
            </w:r>
          </w:p>
        </w:tc>
        <w:tc>
          <w:tcPr>
            <w:tcW w:w="2491" w:type="dxa"/>
            <w:tcBorders>
              <w:top w:val="single" w:sz="4" w:space="0" w:color="auto"/>
              <w:bottom w:val="single" w:sz="12" w:space="0" w:color="auto"/>
            </w:tcBorders>
            <w:shd w:val="clear" w:color="auto" w:fill="auto"/>
            <w:vAlign w:val="bottom"/>
            <w:hideMark/>
          </w:tcPr>
          <w:p w14:paraId="27FD1301"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Mujeres</w:t>
            </w:r>
          </w:p>
        </w:tc>
        <w:tc>
          <w:tcPr>
            <w:tcW w:w="2389" w:type="dxa"/>
            <w:tcBorders>
              <w:top w:val="single" w:sz="4" w:space="0" w:color="auto"/>
              <w:bottom w:val="single" w:sz="12" w:space="0" w:color="auto"/>
            </w:tcBorders>
            <w:shd w:val="clear" w:color="auto" w:fill="auto"/>
            <w:vAlign w:val="bottom"/>
            <w:hideMark/>
          </w:tcPr>
          <w:p w14:paraId="32CED4B2" w14:textId="77777777" w:rsidR="00FA139B" w:rsidRPr="00D04F36" w:rsidRDefault="00FA139B" w:rsidP="00D04F36">
            <w:pPr>
              <w:pStyle w:val="SingleTxtG"/>
              <w:spacing w:before="80" w:after="80" w:line="200" w:lineRule="exact"/>
              <w:ind w:left="113" w:right="0"/>
              <w:jc w:val="right"/>
              <w:rPr>
                <w:i/>
                <w:iCs/>
                <w:sz w:val="16"/>
              </w:rPr>
            </w:pPr>
            <w:r w:rsidRPr="00D04F36">
              <w:rPr>
                <w:i/>
                <w:iCs/>
                <w:sz w:val="16"/>
              </w:rPr>
              <w:t>Total</w:t>
            </w:r>
          </w:p>
        </w:tc>
      </w:tr>
      <w:tr w:rsidR="00FA139B" w:rsidRPr="00D04F36" w14:paraId="575FA241" w14:textId="77777777" w:rsidTr="00D04F36">
        <w:trPr>
          <w:trHeight w:val="240"/>
        </w:trPr>
        <w:tc>
          <w:tcPr>
            <w:tcW w:w="2490" w:type="dxa"/>
            <w:tcBorders>
              <w:bottom w:val="single" w:sz="12" w:space="0" w:color="auto"/>
            </w:tcBorders>
            <w:shd w:val="clear" w:color="auto" w:fill="auto"/>
            <w:hideMark/>
          </w:tcPr>
          <w:p w14:paraId="18D54DB6" w14:textId="77777777" w:rsidR="00FA139B" w:rsidRPr="00D04F36" w:rsidRDefault="00FA139B" w:rsidP="00D04F36">
            <w:pPr>
              <w:pStyle w:val="SingleTxtG"/>
              <w:spacing w:before="40" w:after="40" w:line="220" w:lineRule="exact"/>
              <w:ind w:left="0" w:right="0"/>
              <w:jc w:val="right"/>
              <w:rPr>
                <w:sz w:val="18"/>
              </w:rPr>
            </w:pPr>
            <w:r w:rsidRPr="00D04F36">
              <w:rPr>
                <w:sz w:val="18"/>
              </w:rPr>
              <w:t>202</w:t>
            </w:r>
            <w:r w:rsidR="00D04F36">
              <w:rPr>
                <w:sz w:val="18"/>
              </w:rPr>
              <w:t xml:space="preserve"> </w:t>
            </w:r>
            <w:r w:rsidRPr="00D04F36">
              <w:rPr>
                <w:sz w:val="18"/>
              </w:rPr>
              <w:t>062</w:t>
            </w:r>
          </w:p>
        </w:tc>
        <w:tc>
          <w:tcPr>
            <w:tcW w:w="2491" w:type="dxa"/>
            <w:tcBorders>
              <w:bottom w:val="single" w:sz="12" w:space="0" w:color="auto"/>
            </w:tcBorders>
            <w:shd w:val="clear" w:color="auto" w:fill="auto"/>
            <w:vAlign w:val="bottom"/>
            <w:hideMark/>
          </w:tcPr>
          <w:p w14:paraId="4A12FD88" w14:textId="77777777" w:rsidR="00FA139B" w:rsidRPr="00D04F36" w:rsidRDefault="00FA139B" w:rsidP="00D04F36">
            <w:pPr>
              <w:pStyle w:val="SingleTxtG"/>
              <w:spacing w:before="40" w:after="40" w:line="220" w:lineRule="exact"/>
              <w:ind w:left="113" w:right="0"/>
              <w:jc w:val="right"/>
              <w:rPr>
                <w:sz w:val="18"/>
              </w:rPr>
            </w:pPr>
            <w:r w:rsidRPr="00D04F36">
              <w:rPr>
                <w:sz w:val="18"/>
              </w:rPr>
              <w:t>341</w:t>
            </w:r>
            <w:r w:rsidR="00D04F36">
              <w:rPr>
                <w:sz w:val="18"/>
              </w:rPr>
              <w:t xml:space="preserve"> </w:t>
            </w:r>
            <w:r w:rsidRPr="00D04F36">
              <w:rPr>
                <w:sz w:val="18"/>
              </w:rPr>
              <w:t>783</w:t>
            </w:r>
          </w:p>
        </w:tc>
        <w:tc>
          <w:tcPr>
            <w:tcW w:w="2389" w:type="dxa"/>
            <w:tcBorders>
              <w:bottom w:val="single" w:sz="12" w:space="0" w:color="auto"/>
            </w:tcBorders>
            <w:shd w:val="clear" w:color="auto" w:fill="auto"/>
            <w:vAlign w:val="bottom"/>
            <w:hideMark/>
          </w:tcPr>
          <w:p w14:paraId="55953002" w14:textId="77777777" w:rsidR="00FA139B" w:rsidRPr="00D04F36" w:rsidRDefault="00FA139B" w:rsidP="00D04F36">
            <w:pPr>
              <w:pStyle w:val="SingleTxtG"/>
              <w:spacing w:before="40" w:after="40" w:line="220" w:lineRule="exact"/>
              <w:ind w:left="113" w:right="0"/>
              <w:jc w:val="right"/>
              <w:rPr>
                <w:sz w:val="18"/>
              </w:rPr>
            </w:pPr>
            <w:r w:rsidRPr="00D04F36">
              <w:rPr>
                <w:sz w:val="18"/>
              </w:rPr>
              <w:t>543</w:t>
            </w:r>
            <w:r w:rsidR="00D04F36">
              <w:rPr>
                <w:sz w:val="18"/>
              </w:rPr>
              <w:t xml:space="preserve"> </w:t>
            </w:r>
            <w:r w:rsidRPr="00D04F36">
              <w:rPr>
                <w:sz w:val="18"/>
              </w:rPr>
              <w:t>845</w:t>
            </w:r>
          </w:p>
        </w:tc>
      </w:tr>
    </w:tbl>
    <w:p w14:paraId="0AE0762D" w14:textId="77777777" w:rsidR="00FA139B" w:rsidRPr="00FA139B" w:rsidRDefault="00FA139B" w:rsidP="00D04F36">
      <w:pPr>
        <w:pStyle w:val="H1G"/>
      </w:pPr>
      <w:r w:rsidRPr="00FA139B">
        <w:tab/>
      </w:r>
      <w:r w:rsidRPr="00FA139B">
        <w:tab/>
        <w:t>Recomendación núm. 24 a)</w:t>
      </w:r>
    </w:p>
    <w:p w14:paraId="602258AA" w14:textId="77777777" w:rsidR="00FA139B" w:rsidRPr="00FA139B" w:rsidRDefault="00FA139B" w:rsidP="00FA139B">
      <w:pPr>
        <w:pStyle w:val="SingleTxtG"/>
      </w:pPr>
      <w:r w:rsidRPr="00FA139B">
        <w:t>46.</w:t>
      </w:r>
      <w:r w:rsidRPr="00FA139B">
        <w:tab/>
        <w:t xml:space="preserve">La Constitución kuwaití es el marco regulador y la guía a cuyos principios se ciñe el poder legislativo al promulgar las leyes. Todos los ciudadanos y residentes en el Estado de Kuwait, incluidos desde luego los trabajadores domésticos, están sujetos a sus preceptos, muchos de los cuales protegen a los residentes en el Estado frente a cualesquiera atropellos. El artículo 29 de la Constitución de Kuwait, por ejemplo, dispone lo siguiente: </w:t>
      </w:r>
      <w:r w:rsidR="006E23E2">
        <w:t>“</w:t>
      </w:r>
      <w:r w:rsidRPr="00FA139B">
        <w:t>Todas las personas son iguales ante la ley en dignidad y en derechos y deberes generales. No se harán distinciones entre ellas por motivo de sexo, origen, lengua o religión</w:t>
      </w:r>
      <w:r w:rsidR="006E23E2">
        <w:t>”</w:t>
      </w:r>
      <w:r w:rsidRPr="00FA139B">
        <w:t xml:space="preserve">. Según su artículo 33, </w:t>
      </w:r>
      <w:r w:rsidR="006E23E2">
        <w:t>“</w:t>
      </w:r>
      <w:r w:rsidRPr="00FA139B">
        <w:t>nadie será torturado o tratado de forma atentatoria contra su dignidad</w:t>
      </w:r>
      <w:r w:rsidR="006E23E2">
        <w:t>”</w:t>
      </w:r>
      <w:r w:rsidRPr="00FA139B">
        <w:t xml:space="preserve">. Y el artículo 166 establece que </w:t>
      </w:r>
      <w:r w:rsidR="006E23E2">
        <w:t>“</w:t>
      </w:r>
      <w:r w:rsidRPr="00FA139B">
        <w:t>la efectiva tutela judicial es un derecho universal. La ley fijará los procedimientos y las circunstancias para el ejercicio de ese derecho</w:t>
      </w:r>
      <w:r w:rsidR="006E23E2">
        <w:t>”</w:t>
      </w:r>
      <w:r w:rsidRPr="00FA139B">
        <w:t>. El derecho interno se ajusta pues a un marco de principios constitucionales vinculantes. Por ello, las disposiciones penales, cuya vigencia se remonta a más de 50 años, brindan sin distinción en la jurisdicción del Estado salvaguardias universales. El Código Penal (Ley núm. 16/1960 y sus modificaciones) tipifica los delitos contra las personas, en particular el homicidio, las lesiones, la agresión, el maltrato y la exposición a peligro cierto, los delitos contra la honra y el honor, como la incitación a la fornicación y la prostitución y los juegos de apuestas, y los delitos contra la propiedad, en particular el robo, la estafa y el abuso de confianza. El principio de presunción de inocencia es una norma consolidada en el orden penal.</w:t>
      </w:r>
    </w:p>
    <w:p w14:paraId="20B05411" w14:textId="77777777" w:rsidR="00FA139B" w:rsidRPr="00FA139B" w:rsidRDefault="00FA139B" w:rsidP="00FA139B">
      <w:pPr>
        <w:pStyle w:val="SingleTxtG"/>
      </w:pPr>
      <w:r w:rsidRPr="00FA139B">
        <w:t>47.</w:t>
      </w:r>
      <w:r w:rsidRPr="00FA139B">
        <w:tab/>
        <w:t xml:space="preserve">Los agresores deben imperativamente arrostrar las consecuencias de sus actos con arreglo a lo dispuesto en la legislación nacional. El legislador kuwaití ha considerado que </w:t>
      </w:r>
      <w:r w:rsidRPr="00FA139B">
        <w:lastRenderedPageBreak/>
        <w:t>las disposiciones del Código Penal articulan el marco rector general en materia de delitos de agresión y bastan para reprimirlos. No obstante, el Estado promulgaría el texto legislativo pertinente de ser necesario tipificar un hecho concreto para introducir salvaguardias adicionales. Ese es el caso de los actos calificados por las instancias de investigación como trata de personas, cuyos autores acreditados se sujetan a lo dispuesto en la Ley núm. 91/2013 contra la Trata de Personas y el Tráfico de Migrantes.</w:t>
      </w:r>
    </w:p>
    <w:p w14:paraId="2795CFA4" w14:textId="77777777" w:rsidR="00FA139B" w:rsidRPr="00FA139B" w:rsidRDefault="00FA139B" w:rsidP="00FA139B">
      <w:pPr>
        <w:pStyle w:val="SingleTxtG"/>
      </w:pPr>
      <w:r w:rsidRPr="00FA139B">
        <w:t>48.</w:t>
      </w:r>
      <w:r w:rsidRPr="00FA139B">
        <w:tab/>
        <w:t>El legislador kuwaití, pese a que la protección frente a los actos de agresión que brinda la ley penal citada es universal, ha ampliado la tutela a los trabajadores domésticos con las sanciones a los empleadores previstas en la Sección II, Capítulo VII, de la Ley núm.</w:t>
      </w:r>
      <w:r w:rsidR="00D04F36">
        <w:t> </w:t>
      </w:r>
      <w:r w:rsidRPr="00FA139B">
        <w:t>68/2015.</w:t>
      </w:r>
    </w:p>
    <w:p w14:paraId="394B9AA6" w14:textId="77777777" w:rsidR="00FA139B" w:rsidRPr="00FA139B" w:rsidRDefault="00FA139B" w:rsidP="00FA139B">
      <w:pPr>
        <w:pStyle w:val="SingleTxtG"/>
      </w:pPr>
      <w:r w:rsidRPr="00FA139B">
        <w:t>49.</w:t>
      </w:r>
      <w:r w:rsidRPr="00FA139B">
        <w:tab/>
        <w:t>La Autoridad de la Mano de Obra, que es la instancia administrativa responsable en las cuestiones relativas a los trabajadores domésticos, podrá deferir el conocimiento de los actos de agresión perpetrados por el empleador a la Fiscalía, que ejercerá las facultades que le atribuye la legislación penal citada. La Dirección de los Trabajadores Domésticos de la Autoridad de la Mano de Obra asumió las competencias pertinentes del Ministerio del Interior en virtud del Decreto del Consejo de Ministros núm. 614/2018. Esa dirección da curso a las quejas interpuestas por los trabajadores domésticos contra sus empleadores, inclusive las relativas a actos de agresión. Si los hechos quedan acreditados, remite la denuncia a la instancia de investigación competente (Fiscalía).</w:t>
      </w:r>
    </w:p>
    <w:p w14:paraId="2478A481" w14:textId="77777777" w:rsidR="00FA139B" w:rsidRPr="00FA139B" w:rsidRDefault="00FA139B" w:rsidP="00FA139B">
      <w:pPr>
        <w:pStyle w:val="SingleTxtG"/>
        <w:rPr>
          <w:u w:val="single"/>
        </w:rPr>
      </w:pPr>
      <w:r w:rsidRPr="00FA139B">
        <w:t>50.</w:t>
      </w:r>
      <w:r w:rsidRPr="00FA139B">
        <w:tab/>
        <w:t>La Ley núm. 68/2015 de los Trabajadores Domésticos regula con detalle la relación contractual entre las partes (el empleado, el empleador y la agencia de reclutamiento) para brindar al trabajador la mayor protección y atención posibles. La Dirección de los Trabajadores Domésticos, constituida en abril de 2019, asumió las competencias transferidas del Ministerio del Interior a la Autoridad de la Mano de Obra por decreto del Consejo de Ministros. Entre sus principales atribuciones se cuenta hacer cumplir la ley citada, realizar inspecciones en las agencias de reclutamiento, detectar si estas han cometido infracciones y recibir quejas. La Relatora Especial sobre la trata de personas, especialmente mujeres y niños, ha encomiado las salvaguardias en favor de los trabajadores domésticos consagradas en la Ley núm. 68/2015.</w:t>
      </w:r>
    </w:p>
    <w:p w14:paraId="434BA64E" w14:textId="77777777" w:rsidR="00FA139B" w:rsidRPr="00FA139B" w:rsidRDefault="00FA139B" w:rsidP="00FA139B">
      <w:pPr>
        <w:pStyle w:val="SingleTxtG"/>
        <w:rPr>
          <w:u w:val="single"/>
        </w:rPr>
      </w:pPr>
      <w:r w:rsidRPr="00FA139B">
        <w:t>51.</w:t>
      </w:r>
      <w:r w:rsidRPr="00FA139B">
        <w:tab/>
        <w:t>En el Estado de Kuwait hay 717.628 trabajadores domésticos de uno y otro sexo. Entre abril y agosto de 2019, la Dirección de los Trabajadores Domésticos recibió 2.087 quejas, de las que 256 se defirieron a la justicia y 1.232 se resolvieron por vía conciliatoria. En agosto de 2019 había inscritas oficialmente en el país 451 agencias de reclutamiento de trabajadores extranjeros.</w:t>
      </w:r>
    </w:p>
    <w:p w14:paraId="4837D614" w14:textId="77777777" w:rsidR="00FA139B" w:rsidRPr="00FA139B" w:rsidRDefault="00FA139B" w:rsidP="00FA139B">
      <w:pPr>
        <w:pStyle w:val="SingleTxtG"/>
        <w:rPr>
          <w:u w:val="single"/>
        </w:rPr>
      </w:pPr>
      <w:r w:rsidRPr="00FA139B">
        <w:t>52.</w:t>
      </w:r>
      <w:r w:rsidRPr="00FA139B">
        <w:tab/>
        <w:t xml:space="preserve">La Ley núm. 68/2015 de la Protección de los Trabajadores Domésticos determina las numerosas obligaciones del empleador con el fin de proteger al empleado doméstico. Entre esas disposiciones conviene señalar las siguientes: </w:t>
      </w:r>
    </w:p>
    <w:p w14:paraId="211C8BA5" w14:textId="77777777" w:rsidR="00FA139B" w:rsidRPr="00FA139B" w:rsidRDefault="00FA139B" w:rsidP="00D04F36">
      <w:pPr>
        <w:pStyle w:val="Bullet1G"/>
        <w:rPr>
          <w:u w:val="single"/>
        </w:rPr>
      </w:pPr>
      <w:r w:rsidRPr="00FA139B">
        <w:t>El empleador debe abonar al trabajador doméstico el salario acordado a final de mes. Los resguardos de la transferencia e ingreso acreditan, entre otros medios, la percepción por el trabajador doméstico de sus emolumentos, que serán devengables desde la fecha efectiva de inicio de la actividad. En ningún caso se aplicarán deducciones salariales (arts. 7 y 8)</w:t>
      </w:r>
      <w:r w:rsidR="003D372B">
        <w:t>.</w:t>
      </w:r>
    </w:p>
    <w:p w14:paraId="5F25EC44" w14:textId="77777777" w:rsidR="00FA139B" w:rsidRPr="00FA139B" w:rsidRDefault="006E23E2" w:rsidP="00D04F36">
      <w:pPr>
        <w:pStyle w:val="Bullet1G"/>
        <w:rPr>
          <w:u w:val="single"/>
        </w:rPr>
      </w:pPr>
      <w:r>
        <w:t>“</w:t>
      </w:r>
      <w:r w:rsidR="00FA139B" w:rsidRPr="00FA139B">
        <w:t>El trabajador doméstico recibirá del empleador diez dinares kuwaitíes por cada mes de demora en el pago del salario</w:t>
      </w:r>
      <w:r>
        <w:t>”</w:t>
      </w:r>
      <w:r w:rsidR="00FA139B" w:rsidRPr="00FA139B">
        <w:t xml:space="preserve"> (art. 27)</w:t>
      </w:r>
      <w:r w:rsidR="003D372B">
        <w:t>.</w:t>
      </w:r>
    </w:p>
    <w:p w14:paraId="4CE5D6CD" w14:textId="77777777" w:rsidR="00FA139B" w:rsidRPr="00FA139B" w:rsidRDefault="00FA139B" w:rsidP="00D04F36">
      <w:pPr>
        <w:pStyle w:val="Bullet1G"/>
        <w:rPr>
          <w:u w:val="single"/>
        </w:rPr>
      </w:pPr>
      <w:r w:rsidRPr="00FA139B">
        <w:t>El empleador sufragará los gastos de alimentación, vestido y tratamientos médicos del trabajador doméstico y le facilitará alojamiento adecuado y medios de subsistencia. El empleador no asignará al trabajador doméstico tareas que comprometan su salud u ofendan su dignidad (arts. 9 a 11)</w:t>
      </w:r>
      <w:r w:rsidR="003D372B">
        <w:t>.</w:t>
      </w:r>
    </w:p>
    <w:p w14:paraId="286E581B" w14:textId="77777777" w:rsidR="00FA139B" w:rsidRPr="00FA139B" w:rsidRDefault="00FA139B" w:rsidP="00D04F36">
      <w:pPr>
        <w:pStyle w:val="Bullet1G"/>
        <w:rPr>
          <w:u w:val="single"/>
        </w:rPr>
      </w:pPr>
      <w:r w:rsidRPr="00FA139B">
        <w:t xml:space="preserve">En los contratos de trabajo de mano de obra extranjera elaborados por la Dirección de los Trabajadores Domésticos se determinan, entre otros, los siguientes derechos del empleado (art. 22): </w:t>
      </w:r>
    </w:p>
    <w:p w14:paraId="2C36D149" w14:textId="77777777" w:rsidR="00FA139B" w:rsidRPr="00FA139B" w:rsidRDefault="00D04F36" w:rsidP="00D04F36">
      <w:pPr>
        <w:pStyle w:val="SingleTxtG"/>
        <w:ind w:left="1701"/>
      </w:pPr>
      <w:r>
        <w:tab/>
      </w:r>
      <w:r w:rsidR="00FA139B" w:rsidRPr="00FA139B">
        <w:t>1</w:t>
      </w:r>
      <w:r>
        <w:t>)</w:t>
      </w:r>
      <w:r w:rsidR="00FA139B" w:rsidRPr="00FA139B">
        <w:tab/>
        <w:t>La jornada de trabajo no superará las 12 horas, con 1 hora de descanso intercalada;</w:t>
      </w:r>
    </w:p>
    <w:p w14:paraId="4E07B051" w14:textId="77777777" w:rsidR="00FA139B" w:rsidRPr="00FA139B" w:rsidRDefault="00D04F36" w:rsidP="00D04F36">
      <w:pPr>
        <w:pStyle w:val="SingleTxtG"/>
        <w:ind w:left="1701"/>
      </w:pPr>
      <w:r>
        <w:lastRenderedPageBreak/>
        <w:tab/>
      </w:r>
      <w:r w:rsidR="00FA139B" w:rsidRPr="00FA139B">
        <w:t>2</w:t>
      </w:r>
      <w:r>
        <w:t>)</w:t>
      </w:r>
      <w:r w:rsidR="00FA139B" w:rsidRPr="00FA139B">
        <w:tab/>
        <w:t>El trabajador doméstico disfrutará de un descanso semanal y de vacaciones anuales remuneradas;</w:t>
      </w:r>
    </w:p>
    <w:p w14:paraId="1803E241" w14:textId="77777777" w:rsidR="00FA139B" w:rsidRPr="00FA139B" w:rsidRDefault="00D04F36" w:rsidP="00D04F36">
      <w:pPr>
        <w:pStyle w:val="SingleTxtG"/>
        <w:ind w:left="1701"/>
      </w:pPr>
      <w:r>
        <w:tab/>
      </w:r>
      <w:r w:rsidR="00FA139B" w:rsidRPr="00FA139B">
        <w:t>3</w:t>
      </w:r>
      <w:r>
        <w:t>)</w:t>
      </w:r>
      <w:r w:rsidR="00FA139B" w:rsidRPr="00FA139B">
        <w:tab/>
        <w:t>En caso de accidente laboral, el empleador sufragará el tratamiento e indemnizará al trabajador doméstico;</w:t>
      </w:r>
    </w:p>
    <w:p w14:paraId="680B8E62" w14:textId="77777777" w:rsidR="00FA139B" w:rsidRPr="00FA139B" w:rsidRDefault="00D04F36" w:rsidP="00D04F36">
      <w:pPr>
        <w:pStyle w:val="SingleTxtG"/>
        <w:ind w:left="1701"/>
      </w:pPr>
      <w:r>
        <w:tab/>
      </w:r>
      <w:r w:rsidR="00FA139B" w:rsidRPr="00FA139B">
        <w:t>4</w:t>
      </w:r>
      <w:r>
        <w:t>)</w:t>
      </w:r>
      <w:r w:rsidR="00FA139B" w:rsidRPr="00FA139B">
        <w:tab/>
        <w:t xml:space="preserve">El pasaporte es un documento personal que el trabajador doméstico tiene derecho a conservar. El empleador no retendrá el pasaporte del trabajador doméstico ni le impedirá conservarlo. </w:t>
      </w:r>
    </w:p>
    <w:p w14:paraId="1E623D57" w14:textId="77777777" w:rsidR="00FA139B" w:rsidRPr="00FA139B" w:rsidRDefault="00FA139B" w:rsidP="00D04F36">
      <w:pPr>
        <w:pStyle w:val="Bullet1G"/>
      </w:pPr>
      <w:r w:rsidRPr="00FA139B">
        <w:t>Los empleadores y las agencias de reclutamiento de trabajadores domésticos tienen la obligación legal de remitir al empleado una copia del contrato de trabajo. El Ministerio de Relaciones Exteriores, por su parte, debe dar instrucciones a las misiones diplomáticas kuwaitíes en los Estados de origen para que informen a los trabajadores domésticos de las condiciones del contrato de trabajo cuando se personen en la misión para recibir su visado de entrada, es decir, antes de firmar ese contrato.</w:t>
      </w:r>
    </w:p>
    <w:p w14:paraId="39D7F01F" w14:textId="77777777" w:rsidR="00FA139B" w:rsidRPr="00FA139B" w:rsidRDefault="00FA139B" w:rsidP="003D372B">
      <w:pPr>
        <w:pStyle w:val="H23G"/>
      </w:pPr>
      <w:r w:rsidRPr="00FA139B">
        <w:tab/>
      </w:r>
      <w:r w:rsidRPr="00FA139B">
        <w:tab/>
        <w:t>Mecanismo de denuncia ante la Dirección de los Trabajadores Domésticos</w:t>
      </w:r>
    </w:p>
    <w:p w14:paraId="2C23B3F9" w14:textId="77777777" w:rsidR="00FA139B" w:rsidRPr="00FA139B" w:rsidRDefault="00FA139B" w:rsidP="00FA139B">
      <w:pPr>
        <w:pStyle w:val="SingleTxtG"/>
        <w:rPr>
          <w:u w:val="single"/>
        </w:rPr>
      </w:pPr>
      <w:r w:rsidRPr="00FA139B">
        <w:t>53.</w:t>
      </w:r>
      <w:r w:rsidRPr="00FA139B">
        <w:tab/>
        <w:t>Para la Dirección de los Trabajadores Domésticos de la Autoridad de la Mano de Obra es prioritario proteger al más vulnerable en la relación (el trabajador) e impartir a las partes (el personal de recepción de quejas, el trabajador doméstico y el empleador) talleres y simposios con un plan ajustado a plazos precisos sobre las cuestiones jurídicas que les conciernen, de modo que los contratantes (el trabajador y el empleador) conozcan la legislación pertinente y sus derechos y obligaciones.</w:t>
      </w:r>
    </w:p>
    <w:p w14:paraId="70BC21B5" w14:textId="77777777" w:rsidR="00FA139B" w:rsidRPr="00FA139B" w:rsidRDefault="00FA139B" w:rsidP="00FA139B">
      <w:pPr>
        <w:pStyle w:val="SingleTxtG"/>
        <w:rPr>
          <w:u w:val="single"/>
        </w:rPr>
      </w:pPr>
      <w:r w:rsidRPr="00FA139B">
        <w:t>54.</w:t>
      </w:r>
      <w:r w:rsidRPr="00FA139B">
        <w:tab/>
        <w:t>La Dirección de los Trabajadores Domésticos, al amparo de los artículos 31 y 35 de la Ley núm. 68/2015, podrá mediar en los conflictos entre las partes contratantes. De no ser posible la conciliación, el conflicto se someterá al tribunal civil competente.</w:t>
      </w:r>
    </w:p>
    <w:p w14:paraId="7C661D2D" w14:textId="77777777" w:rsidR="00FA139B" w:rsidRPr="00FA139B" w:rsidRDefault="00FA139B" w:rsidP="00FA139B">
      <w:pPr>
        <w:pStyle w:val="SingleTxtG"/>
        <w:rPr>
          <w:b/>
          <w:bCs/>
          <w:u w:val="single"/>
        </w:rPr>
      </w:pPr>
      <w:r w:rsidRPr="00FA139B">
        <w:t>55.</w:t>
      </w:r>
      <w:r w:rsidRPr="00FA139B">
        <w:tab/>
        <w:t>Si la Dirección de los Trabajadores Domésticos no resuelve el litigio, el trabajador denunciante tendrá pleno derecho a solicitar que se procese a su empleador, toda vez que el derecho universal de litigio está garantizado en el artículo 166 de la Constitución de Kuwait (</w:t>
      </w:r>
      <w:r w:rsidR="006E23E2">
        <w:t>“</w:t>
      </w:r>
      <w:r w:rsidRPr="00FA139B">
        <w:t>el derecho a recurrir a la justicia está tutelado para todos</w:t>
      </w:r>
      <w:r w:rsidR="006E23E2">
        <w:t>”</w:t>
      </w:r>
      <w:r w:rsidRPr="00FA139B">
        <w:t>). Los litigios laborales están exentos de costas procesales y su gratuidad garantiza el acceso a la justicia del trabajador y la efectividad de sus derechos. En el cuadro siguiente figura el número de quejas presentadas a la Dirección de los Trabajadores Domésticos.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29"/>
        <w:gridCol w:w="3690"/>
        <w:gridCol w:w="1951"/>
      </w:tblGrid>
      <w:tr w:rsidR="00FA139B" w:rsidRPr="003D372B" w14:paraId="5F3CF5FD" w14:textId="77777777" w:rsidTr="003D372B">
        <w:trPr>
          <w:trHeight w:val="240"/>
          <w:tblHeader/>
        </w:trPr>
        <w:tc>
          <w:tcPr>
            <w:tcW w:w="1729" w:type="dxa"/>
            <w:tcBorders>
              <w:top w:val="single" w:sz="4" w:space="0" w:color="auto"/>
              <w:bottom w:val="single" w:sz="12" w:space="0" w:color="auto"/>
            </w:tcBorders>
            <w:shd w:val="clear" w:color="auto" w:fill="auto"/>
            <w:vAlign w:val="bottom"/>
            <w:hideMark/>
          </w:tcPr>
          <w:p w14:paraId="747A546F" w14:textId="77777777" w:rsidR="00FA139B" w:rsidRPr="003D372B" w:rsidRDefault="00FA139B" w:rsidP="003D372B">
            <w:pPr>
              <w:pStyle w:val="SingleTxtG"/>
              <w:spacing w:before="80" w:after="80" w:line="200" w:lineRule="exact"/>
              <w:ind w:left="0" w:right="0"/>
              <w:jc w:val="left"/>
              <w:rPr>
                <w:i/>
                <w:iCs/>
                <w:sz w:val="16"/>
              </w:rPr>
            </w:pPr>
            <w:r w:rsidRPr="003D372B">
              <w:rPr>
                <w:i/>
                <w:iCs/>
                <w:sz w:val="16"/>
              </w:rPr>
              <w:t>Núm</w:t>
            </w:r>
            <w:r w:rsidR="003D372B">
              <w:rPr>
                <w:i/>
                <w:iCs/>
                <w:sz w:val="16"/>
              </w:rPr>
              <w:t>.</w:t>
            </w:r>
          </w:p>
        </w:tc>
        <w:tc>
          <w:tcPr>
            <w:tcW w:w="3690" w:type="dxa"/>
            <w:tcBorders>
              <w:top w:val="single" w:sz="4" w:space="0" w:color="auto"/>
              <w:bottom w:val="single" w:sz="12" w:space="0" w:color="auto"/>
            </w:tcBorders>
            <w:shd w:val="clear" w:color="auto" w:fill="auto"/>
            <w:vAlign w:val="bottom"/>
            <w:hideMark/>
          </w:tcPr>
          <w:p w14:paraId="140627BA" w14:textId="77777777" w:rsidR="00FA139B" w:rsidRPr="003D372B" w:rsidRDefault="00FA139B" w:rsidP="003D372B">
            <w:pPr>
              <w:pStyle w:val="SingleTxtG"/>
              <w:spacing w:before="80" w:after="80" w:line="200" w:lineRule="exact"/>
              <w:ind w:left="113" w:right="0"/>
              <w:jc w:val="left"/>
              <w:rPr>
                <w:i/>
                <w:iCs/>
                <w:sz w:val="16"/>
              </w:rPr>
            </w:pPr>
            <w:r w:rsidRPr="003D372B">
              <w:rPr>
                <w:i/>
                <w:iCs/>
                <w:sz w:val="16"/>
              </w:rPr>
              <w:t>Período</w:t>
            </w:r>
          </w:p>
        </w:tc>
        <w:tc>
          <w:tcPr>
            <w:tcW w:w="1951" w:type="dxa"/>
            <w:tcBorders>
              <w:top w:val="single" w:sz="4" w:space="0" w:color="auto"/>
              <w:bottom w:val="single" w:sz="12" w:space="0" w:color="auto"/>
            </w:tcBorders>
            <w:shd w:val="clear" w:color="auto" w:fill="auto"/>
            <w:vAlign w:val="bottom"/>
            <w:hideMark/>
          </w:tcPr>
          <w:p w14:paraId="4B2ED8B8" w14:textId="77777777" w:rsidR="00FA139B" w:rsidRPr="003D372B" w:rsidRDefault="00FA139B" w:rsidP="003D372B">
            <w:pPr>
              <w:pStyle w:val="SingleTxtG"/>
              <w:spacing w:before="80" w:after="80" w:line="200" w:lineRule="exact"/>
              <w:ind w:left="113" w:right="0"/>
              <w:jc w:val="right"/>
              <w:rPr>
                <w:i/>
                <w:iCs/>
                <w:sz w:val="16"/>
              </w:rPr>
            </w:pPr>
            <w:r w:rsidRPr="003D372B">
              <w:rPr>
                <w:i/>
                <w:iCs/>
                <w:sz w:val="16"/>
              </w:rPr>
              <w:t>Núm</w:t>
            </w:r>
            <w:r w:rsidR="003D372B">
              <w:rPr>
                <w:i/>
                <w:iCs/>
                <w:sz w:val="16"/>
              </w:rPr>
              <w:t>ero</w:t>
            </w:r>
            <w:r w:rsidRPr="003D372B">
              <w:rPr>
                <w:i/>
                <w:iCs/>
                <w:sz w:val="16"/>
              </w:rPr>
              <w:t xml:space="preserve"> de quejas</w:t>
            </w:r>
          </w:p>
        </w:tc>
      </w:tr>
      <w:tr w:rsidR="00FA139B" w:rsidRPr="003D372B" w14:paraId="318FC0CF" w14:textId="77777777" w:rsidTr="003D372B">
        <w:trPr>
          <w:trHeight w:val="240"/>
        </w:trPr>
        <w:tc>
          <w:tcPr>
            <w:tcW w:w="1729" w:type="dxa"/>
            <w:tcBorders>
              <w:top w:val="single" w:sz="12" w:space="0" w:color="auto"/>
            </w:tcBorders>
            <w:shd w:val="clear" w:color="auto" w:fill="auto"/>
            <w:hideMark/>
          </w:tcPr>
          <w:p w14:paraId="40B5E15F" w14:textId="77777777" w:rsidR="00FA139B" w:rsidRPr="003D372B" w:rsidRDefault="00FA139B" w:rsidP="003D372B">
            <w:pPr>
              <w:pStyle w:val="SingleTxtG"/>
              <w:spacing w:before="40" w:after="40" w:line="220" w:lineRule="exact"/>
              <w:ind w:left="0" w:right="0"/>
              <w:jc w:val="left"/>
              <w:rPr>
                <w:sz w:val="18"/>
              </w:rPr>
            </w:pPr>
            <w:r w:rsidRPr="003D372B">
              <w:rPr>
                <w:sz w:val="18"/>
              </w:rPr>
              <w:t>1</w:t>
            </w:r>
          </w:p>
        </w:tc>
        <w:tc>
          <w:tcPr>
            <w:tcW w:w="3690" w:type="dxa"/>
            <w:tcBorders>
              <w:top w:val="single" w:sz="12" w:space="0" w:color="auto"/>
            </w:tcBorders>
            <w:shd w:val="clear" w:color="auto" w:fill="auto"/>
            <w:vAlign w:val="bottom"/>
            <w:hideMark/>
          </w:tcPr>
          <w:p w14:paraId="1C93DA06" w14:textId="77777777" w:rsidR="00FA139B" w:rsidRPr="003D372B" w:rsidRDefault="00FA139B" w:rsidP="003D372B">
            <w:pPr>
              <w:pStyle w:val="SingleTxtG"/>
              <w:spacing w:before="40" w:after="40" w:line="220" w:lineRule="exact"/>
              <w:ind w:left="113" w:right="0"/>
              <w:jc w:val="left"/>
              <w:rPr>
                <w:sz w:val="18"/>
              </w:rPr>
            </w:pPr>
            <w:r w:rsidRPr="003D372B">
              <w:rPr>
                <w:sz w:val="18"/>
              </w:rPr>
              <w:t>1 a 30 de abril de 2019</w:t>
            </w:r>
          </w:p>
        </w:tc>
        <w:tc>
          <w:tcPr>
            <w:tcW w:w="1951" w:type="dxa"/>
            <w:tcBorders>
              <w:top w:val="single" w:sz="12" w:space="0" w:color="auto"/>
            </w:tcBorders>
            <w:shd w:val="clear" w:color="auto" w:fill="auto"/>
            <w:vAlign w:val="bottom"/>
            <w:hideMark/>
          </w:tcPr>
          <w:p w14:paraId="6F1FC9DB" w14:textId="77777777" w:rsidR="00FA139B" w:rsidRPr="003D372B" w:rsidRDefault="00FA139B" w:rsidP="003D372B">
            <w:pPr>
              <w:pStyle w:val="SingleTxtG"/>
              <w:spacing w:before="40" w:after="40" w:line="220" w:lineRule="exact"/>
              <w:ind w:left="113" w:right="0"/>
              <w:jc w:val="right"/>
              <w:rPr>
                <w:sz w:val="18"/>
              </w:rPr>
            </w:pPr>
            <w:r w:rsidRPr="003D372B">
              <w:rPr>
                <w:sz w:val="18"/>
              </w:rPr>
              <w:t>408</w:t>
            </w:r>
          </w:p>
        </w:tc>
      </w:tr>
      <w:tr w:rsidR="00FA139B" w:rsidRPr="003D372B" w14:paraId="6892F9ED" w14:textId="77777777" w:rsidTr="003D372B">
        <w:trPr>
          <w:trHeight w:val="240"/>
        </w:trPr>
        <w:tc>
          <w:tcPr>
            <w:tcW w:w="1729" w:type="dxa"/>
            <w:shd w:val="clear" w:color="auto" w:fill="auto"/>
            <w:hideMark/>
          </w:tcPr>
          <w:p w14:paraId="72E48E8D" w14:textId="77777777" w:rsidR="00FA139B" w:rsidRPr="003D372B" w:rsidRDefault="00FA139B" w:rsidP="003D372B">
            <w:pPr>
              <w:pStyle w:val="SingleTxtG"/>
              <w:spacing w:before="40" w:after="40" w:line="220" w:lineRule="exact"/>
              <w:ind w:left="0" w:right="0"/>
              <w:jc w:val="left"/>
              <w:rPr>
                <w:sz w:val="18"/>
              </w:rPr>
            </w:pPr>
            <w:r w:rsidRPr="003D372B">
              <w:rPr>
                <w:sz w:val="18"/>
              </w:rPr>
              <w:t>2</w:t>
            </w:r>
          </w:p>
        </w:tc>
        <w:tc>
          <w:tcPr>
            <w:tcW w:w="3690" w:type="dxa"/>
            <w:shd w:val="clear" w:color="auto" w:fill="auto"/>
            <w:vAlign w:val="bottom"/>
            <w:hideMark/>
          </w:tcPr>
          <w:p w14:paraId="453DB0C2" w14:textId="77777777" w:rsidR="00FA139B" w:rsidRPr="003D372B" w:rsidRDefault="00FA139B" w:rsidP="003D372B">
            <w:pPr>
              <w:pStyle w:val="SingleTxtG"/>
              <w:spacing w:before="40" w:after="40" w:line="220" w:lineRule="exact"/>
              <w:ind w:left="113" w:right="0"/>
              <w:jc w:val="left"/>
              <w:rPr>
                <w:sz w:val="18"/>
              </w:rPr>
            </w:pPr>
            <w:r w:rsidRPr="003D372B">
              <w:rPr>
                <w:sz w:val="18"/>
              </w:rPr>
              <w:t>1 a 31 de mayo de 2019</w:t>
            </w:r>
          </w:p>
        </w:tc>
        <w:tc>
          <w:tcPr>
            <w:tcW w:w="1951" w:type="dxa"/>
            <w:shd w:val="clear" w:color="auto" w:fill="auto"/>
            <w:vAlign w:val="bottom"/>
            <w:hideMark/>
          </w:tcPr>
          <w:p w14:paraId="6AB2CDED" w14:textId="77777777" w:rsidR="00FA139B" w:rsidRPr="003D372B" w:rsidRDefault="00FA139B" w:rsidP="003D372B">
            <w:pPr>
              <w:pStyle w:val="SingleTxtG"/>
              <w:spacing w:before="40" w:after="40" w:line="220" w:lineRule="exact"/>
              <w:ind w:left="113" w:right="0"/>
              <w:jc w:val="right"/>
              <w:rPr>
                <w:sz w:val="18"/>
              </w:rPr>
            </w:pPr>
            <w:r w:rsidRPr="003D372B">
              <w:rPr>
                <w:sz w:val="18"/>
              </w:rPr>
              <w:t>802</w:t>
            </w:r>
          </w:p>
        </w:tc>
      </w:tr>
      <w:tr w:rsidR="00FA139B" w:rsidRPr="003D372B" w14:paraId="021939F6" w14:textId="77777777" w:rsidTr="003D372B">
        <w:trPr>
          <w:trHeight w:val="240"/>
        </w:trPr>
        <w:tc>
          <w:tcPr>
            <w:tcW w:w="1729" w:type="dxa"/>
            <w:tcBorders>
              <w:bottom w:val="single" w:sz="12" w:space="0" w:color="auto"/>
            </w:tcBorders>
            <w:shd w:val="clear" w:color="auto" w:fill="auto"/>
            <w:hideMark/>
          </w:tcPr>
          <w:p w14:paraId="698AEA76" w14:textId="77777777" w:rsidR="00FA139B" w:rsidRPr="003D372B" w:rsidRDefault="00FA139B" w:rsidP="003D372B">
            <w:pPr>
              <w:pStyle w:val="SingleTxtG"/>
              <w:spacing w:before="40" w:after="40" w:line="220" w:lineRule="exact"/>
              <w:ind w:left="0" w:right="0"/>
              <w:jc w:val="left"/>
              <w:rPr>
                <w:sz w:val="18"/>
              </w:rPr>
            </w:pPr>
            <w:r w:rsidRPr="003D372B">
              <w:rPr>
                <w:sz w:val="18"/>
              </w:rPr>
              <w:t>3</w:t>
            </w:r>
          </w:p>
        </w:tc>
        <w:tc>
          <w:tcPr>
            <w:tcW w:w="3690" w:type="dxa"/>
            <w:tcBorders>
              <w:bottom w:val="single" w:sz="12" w:space="0" w:color="auto"/>
            </w:tcBorders>
            <w:shd w:val="clear" w:color="auto" w:fill="auto"/>
            <w:vAlign w:val="bottom"/>
            <w:hideMark/>
          </w:tcPr>
          <w:p w14:paraId="1151AA41" w14:textId="77777777" w:rsidR="00FA139B" w:rsidRPr="003D372B" w:rsidRDefault="00FA139B" w:rsidP="003D372B">
            <w:pPr>
              <w:pStyle w:val="SingleTxtG"/>
              <w:spacing w:before="40" w:after="40" w:line="220" w:lineRule="exact"/>
              <w:ind w:left="113" w:right="0"/>
              <w:jc w:val="left"/>
              <w:rPr>
                <w:sz w:val="18"/>
              </w:rPr>
            </w:pPr>
            <w:r w:rsidRPr="003D372B">
              <w:rPr>
                <w:sz w:val="18"/>
              </w:rPr>
              <w:t>1 a 31 de junio de 2019</w:t>
            </w:r>
          </w:p>
        </w:tc>
        <w:tc>
          <w:tcPr>
            <w:tcW w:w="1951" w:type="dxa"/>
            <w:tcBorders>
              <w:bottom w:val="single" w:sz="12" w:space="0" w:color="auto"/>
            </w:tcBorders>
            <w:shd w:val="clear" w:color="auto" w:fill="auto"/>
            <w:vAlign w:val="bottom"/>
            <w:hideMark/>
          </w:tcPr>
          <w:p w14:paraId="04FD3CFC" w14:textId="77777777" w:rsidR="00FA139B" w:rsidRPr="003D372B" w:rsidRDefault="00FA139B" w:rsidP="003D372B">
            <w:pPr>
              <w:pStyle w:val="SingleTxtG"/>
              <w:spacing w:before="40" w:after="40" w:line="220" w:lineRule="exact"/>
              <w:ind w:left="113" w:right="0"/>
              <w:jc w:val="right"/>
              <w:rPr>
                <w:sz w:val="18"/>
              </w:rPr>
            </w:pPr>
            <w:r w:rsidRPr="003D372B">
              <w:rPr>
                <w:sz w:val="18"/>
              </w:rPr>
              <w:t>1</w:t>
            </w:r>
            <w:r w:rsidR="003D372B">
              <w:rPr>
                <w:sz w:val="18"/>
              </w:rPr>
              <w:t xml:space="preserve"> </w:t>
            </w:r>
            <w:r w:rsidRPr="003D372B">
              <w:rPr>
                <w:sz w:val="18"/>
              </w:rPr>
              <w:t>224</w:t>
            </w:r>
          </w:p>
        </w:tc>
      </w:tr>
    </w:tbl>
    <w:p w14:paraId="1CD13E81" w14:textId="77777777" w:rsidR="00FA139B" w:rsidRPr="00FA139B" w:rsidRDefault="00FA139B" w:rsidP="003D372B">
      <w:pPr>
        <w:pStyle w:val="H1G"/>
      </w:pPr>
      <w:r w:rsidRPr="00FA139B">
        <w:tab/>
      </w:r>
      <w:r w:rsidRPr="00FA139B">
        <w:tab/>
        <w:t>Recomendación núm. 24 b)</w:t>
      </w:r>
    </w:p>
    <w:p w14:paraId="22578DD2" w14:textId="77777777" w:rsidR="00FA139B" w:rsidRPr="00FA139B" w:rsidRDefault="00FA139B" w:rsidP="00FA139B">
      <w:pPr>
        <w:pStyle w:val="SingleTxtG"/>
      </w:pPr>
      <w:r w:rsidRPr="00FA139B">
        <w:t>56.</w:t>
      </w:r>
      <w:r w:rsidRPr="00FA139B">
        <w:tab/>
        <w:t xml:space="preserve">El Estado, por conducto de las instancias de investigación competentes, examina las quejas y denuncias por delitos contra las personas en general y contra los trabajadores domésticos en particular, así como pone a los infractores acreditados de la legislación penal o de la Ley contra la Trata de Personas y el Tráfico de Migrantes, antes citada, a disposición de la justicia para que sean procesados. </w:t>
      </w:r>
    </w:p>
    <w:p w14:paraId="13E86930" w14:textId="77777777" w:rsidR="00FA139B" w:rsidRPr="00FA139B" w:rsidRDefault="00FA139B" w:rsidP="00FA139B">
      <w:pPr>
        <w:pStyle w:val="SingleTxtG"/>
      </w:pPr>
      <w:r w:rsidRPr="00FA139B">
        <w:t>57.</w:t>
      </w:r>
      <w:r w:rsidRPr="00FA139B">
        <w:tab/>
        <w:t xml:space="preserve">El Centro de Acogida de Trabajadoras Expatriadas, establecido en virtud del Decreto núm. 652, que fue aprobado por el Consejo de Ministros de Kuwait en su reunión núm. 20/2007 de 8 de julio, atiende en particular a las trabajadoras domésticas que afronten una situación de conflicto con sus empleadores o circunstancias difíciles en su trabajo, jurídicas, humanitarias o de condiciones de vida. El centro recibe a la trabajadora, registra el ingreso, tramita las diligencias debidas y pone a su disposición un especialista psicosanitario, que determina si puede trabajar. La trabajadora permanece en el establecimiento hasta que se remedie su situación, bien por trasladarse a otra instancia de acogimiento de su elección o por retornar de manera voluntaria a su país de origen, en cuyo </w:t>
      </w:r>
      <w:r w:rsidRPr="00FA139B">
        <w:lastRenderedPageBreak/>
        <w:t>caso el Estado sufraga los gastos de viaje. El centro tiene capacidad para acoger a</w:t>
      </w:r>
      <w:r w:rsidR="00451E02">
        <w:t> </w:t>
      </w:r>
      <w:r w:rsidRPr="00FA139B">
        <w:t>500</w:t>
      </w:r>
      <w:r w:rsidR="00451E02">
        <w:t> </w:t>
      </w:r>
      <w:r w:rsidRPr="00FA139B">
        <w:t>residentes y presta numerosos servicios, como facilitar a la usuaria un teléfono celular para que se comunique con él y recibir las 24 horas solicitudes de acogimiento y notificación de dificultades. Dispone también de un servicio de orientación jurídica en el que un jurista examina la situación de la residente y elabora un informe personalizado con el fin de regularizar su situación legal. El centro cuenta asimismo con una dependencia de identificación por huellas dactilares que, con la colaboración del Ministerio del Interior, agiliza la tramitación del viaje a las residentes.</w:t>
      </w:r>
    </w:p>
    <w:p w14:paraId="56181D3E" w14:textId="77777777" w:rsidR="00FA139B" w:rsidRPr="00FA139B" w:rsidRDefault="00FA139B" w:rsidP="00FA139B">
      <w:pPr>
        <w:pStyle w:val="SingleTxtG"/>
      </w:pPr>
      <w:r w:rsidRPr="00FA139B">
        <w:t>58.</w:t>
      </w:r>
      <w:r w:rsidRPr="00FA139B">
        <w:tab/>
        <w:t xml:space="preserve">La </w:t>
      </w:r>
      <w:r w:rsidR="00451E02">
        <w:t xml:space="preserve">ONG </w:t>
      </w:r>
      <w:r w:rsidRPr="00FA139B">
        <w:t>Centro de Acción Humanitaria dispone de una dependencia en el centro de acogida y proporciona apoyo jurídico a algunas de sus residentes. El centro también presta, entre otros, los servicios siguientes:</w:t>
      </w:r>
    </w:p>
    <w:p w14:paraId="7626C650" w14:textId="77777777" w:rsidR="00FA139B" w:rsidRPr="00FA139B" w:rsidRDefault="003D372B" w:rsidP="00FA139B">
      <w:pPr>
        <w:pStyle w:val="SingleTxtG"/>
      </w:pPr>
      <w:r>
        <w:tab/>
      </w:r>
      <w:r w:rsidR="00FA139B" w:rsidRPr="00FA139B">
        <w:t>1</w:t>
      </w:r>
      <w:r>
        <w:t>)</w:t>
      </w:r>
      <w:r w:rsidR="00FA139B" w:rsidRPr="00FA139B">
        <w:tab/>
        <w:t>Cubre las necesidades personales (por ejemplo, las íntimas);</w:t>
      </w:r>
    </w:p>
    <w:p w14:paraId="4892CF64" w14:textId="77777777" w:rsidR="00FA139B" w:rsidRPr="00FA139B" w:rsidRDefault="003D372B" w:rsidP="003D372B">
      <w:pPr>
        <w:pStyle w:val="SingleTxtG"/>
      </w:pPr>
      <w:r>
        <w:tab/>
      </w:r>
      <w:r w:rsidR="00FA139B" w:rsidRPr="00FA139B">
        <w:t>2</w:t>
      </w:r>
      <w:r>
        <w:t>)</w:t>
      </w:r>
      <w:r w:rsidR="00FA139B" w:rsidRPr="00FA139B">
        <w:tab/>
        <w:t>Ayuda a las residentes a obtener documentación de viaje si en Kuwait no hay embajada;</w:t>
      </w:r>
    </w:p>
    <w:p w14:paraId="432B118F" w14:textId="77777777" w:rsidR="00FA139B" w:rsidRPr="00FA139B" w:rsidRDefault="003D372B" w:rsidP="00FA139B">
      <w:pPr>
        <w:pStyle w:val="SingleTxtG"/>
      </w:pPr>
      <w:r>
        <w:tab/>
      </w:r>
      <w:r w:rsidR="00FA139B" w:rsidRPr="00FA139B">
        <w:t>3</w:t>
      </w:r>
      <w:r>
        <w:t>)</w:t>
      </w:r>
      <w:r w:rsidR="00FA139B" w:rsidRPr="00FA139B">
        <w:tab/>
        <w:t>Facilita la toma de las huellas dactilares de las residentes;</w:t>
      </w:r>
    </w:p>
    <w:p w14:paraId="664D79CE" w14:textId="77777777" w:rsidR="00FA139B" w:rsidRPr="00FA139B" w:rsidRDefault="003D372B" w:rsidP="00FA139B">
      <w:pPr>
        <w:pStyle w:val="SingleTxtG"/>
      </w:pPr>
      <w:r>
        <w:tab/>
      </w:r>
      <w:r w:rsidR="00FA139B" w:rsidRPr="00FA139B">
        <w:t>4</w:t>
      </w:r>
      <w:r>
        <w:t>)</w:t>
      </w:r>
      <w:r w:rsidR="00FA139B" w:rsidRPr="00FA139B">
        <w:tab/>
        <w:t>Colabora en el transporte de las residentes hasta el aeropuerto;</w:t>
      </w:r>
    </w:p>
    <w:p w14:paraId="4546D264" w14:textId="77777777" w:rsidR="00FA139B" w:rsidRPr="00FA139B" w:rsidRDefault="003D372B" w:rsidP="00FA139B">
      <w:pPr>
        <w:pStyle w:val="SingleTxtG"/>
      </w:pPr>
      <w:r>
        <w:tab/>
      </w:r>
      <w:r w:rsidR="00FA139B" w:rsidRPr="00FA139B">
        <w:t>5</w:t>
      </w:r>
      <w:r>
        <w:t>)</w:t>
      </w:r>
      <w:r w:rsidR="00FA139B" w:rsidRPr="00FA139B">
        <w:tab/>
        <w:t>Las ayuda a tener acceso a la atención sanitaria;</w:t>
      </w:r>
    </w:p>
    <w:p w14:paraId="49021826" w14:textId="77777777" w:rsidR="00FA139B" w:rsidRPr="00FA139B" w:rsidRDefault="003D372B" w:rsidP="00FA139B">
      <w:pPr>
        <w:pStyle w:val="SingleTxtG"/>
      </w:pPr>
      <w:r>
        <w:tab/>
      </w:r>
      <w:r w:rsidR="00FA139B" w:rsidRPr="00FA139B">
        <w:t>6</w:t>
      </w:r>
      <w:r>
        <w:t>)</w:t>
      </w:r>
      <w:r w:rsidR="00FA139B" w:rsidRPr="00FA139B">
        <w:tab/>
        <w:t>Les proporciona servicio gratuito de comedor.</w:t>
      </w:r>
    </w:p>
    <w:p w14:paraId="70655121" w14:textId="77777777" w:rsidR="00FA139B" w:rsidRPr="00FA139B" w:rsidRDefault="00FA139B" w:rsidP="00FA139B">
      <w:pPr>
        <w:pStyle w:val="SingleTxtG"/>
      </w:pPr>
      <w:r w:rsidRPr="00FA139B">
        <w:t>59.</w:t>
      </w:r>
      <w:r w:rsidRPr="00FA139B">
        <w:tab/>
        <w:t xml:space="preserve">A la vista del éxito cosechado por el Centro de Acogida de Trabajadoras Expatriadas, la Autoridad de la Mano de Obra desea establecer un centro similar para varones, cuyo emplazamiento se propuso recientemente y se iniciaron los trámites oficiales para comenzar la ejecución del proyecto. </w:t>
      </w:r>
    </w:p>
    <w:p w14:paraId="79E64B55" w14:textId="77777777" w:rsidR="00FA139B" w:rsidRPr="00FA139B" w:rsidRDefault="00FA139B" w:rsidP="003D372B">
      <w:pPr>
        <w:pStyle w:val="H1G"/>
      </w:pPr>
      <w:r w:rsidRPr="00FA139B">
        <w:tab/>
      </w:r>
      <w:r w:rsidRPr="00FA139B">
        <w:tab/>
        <w:t>Recomendación núm. 24 c)</w:t>
      </w:r>
    </w:p>
    <w:p w14:paraId="12E4EEE6" w14:textId="77777777" w:rsidR="00FA139B" w:rsidRPr="00FA139B" w:rsidRDefault="00FA139B" w:rsidP="00FA139B">
      <w:pPr>
        <w:pStyle w:val="SingleTxtG"/>
      </w:pPr>
      <w:r w:rsidRPr="00FA139B">
        <w:t>60.</w:t>
      </w:r>
      <w:r w:rsidRPr="00FA139B">
        <w:tab/>
        <w:t xml:space="preserve">El Estado solo recurre a la expulsión administrativa en el supuesto de dejación de servicio contemplado en el artículo 51 de la Ley núm. 68/2015 de los Trabajadores Domésticos. En ese artículo se dispone lo siguiente: </w:t>
      </w:r>
      <w:r w:rsidR="006E23E2">
        <w:t>“</w:t>
      </w:r>
      <w:r w:rsidRPr="00FA139B">
        <w:t>Si el trabajador doméstico huye de su empleador, el Ministerio del Interior lo expulsará a su país de origen tras sufragar sus gastos de viaje, el boleto de salida y la cantidad abonada por el empleador a la instancia de acogimiento, o a la agencia de reclutamiento si no fuera posible contactar con esa instancia durante el período de garantía</w:t>
      </w:r>
      <w:r w:rsidR="006E23E2">
        <w:t>”</w:t>
      </w:r>
      <w:r w:rsidRPr="00FA139B">
        <w:t xml:space="preserve">. Así pues, el único supuesto en que se procede a la expulsión administrativa es cuando el trabajador doméstico huye del empleador. </w:t>
      </w:r>
    </w:p>
    <w:p w14:paraId="73AD9A22" w14:textId="77777777" w:rsidR="00FA139B" w:rsidRPr="00FA139B" w:rsidRDefault="00FA139B" w:rsidP="00FA139B">
      <w:pPr>
        <w:pStyle w:val="SingleTxtG"/>
      </w:pPr>
      <w:r w:rsidRPr="00FA139B">
        <w:t>61.</w:t>
      </w:r>
      <w:r w:rsidRPr="00FA139B">
        <w:tab/>
        <w:t xml:space="preserve">Los órganos jurisdiccionales conocen de los litigios entre las partes por incumplimiento de obligaciones contractuales que la Dirección de los Trabajadores Domésticos no logre resolver. El artículo 31 de la Ley núm. 68/2015 de los Trabajadores Domésticos dispone al respecto lo siguiente: </w:t>
      </w:r>
      <w:r w:rsidR="006E23E2">
        <w:t>“</w:t>
      </w:r>
      <w:r w:rsidRPr="00FA139B">
        <w:t>La Dirección de los Trabajadores Domésticos resolverá las controversias entre las partes contratantes con arreglo a los procedimientos que se señalen en el reglamento ejecutivo promulgado al efecto. Si no se alcanza un acuerdo conciliatorio, el litigio se diferirá al tribunal competente</w:t>
      </w:r>
      <w:r w:rsidR="006E23E2">
        <w:t>”</w:t>
      </w:r>
      <w:r w:rsidRPr="00FA139B">
        <w:t>.</w:t>
      </w:r>
    </w:p>
    <w:p w14:paraId="65FF0D79" w14:textId="77777777" w:rsidR="00FA139B" w:rsidRPr="00FA139B" w:rsidRDefault="00FA139B" w:rsidP="00FA139B">
      <w:pPr>
        <w:pStyle w:val="SingleTxtG"/>
      </w:pPr>
      <w:r w:rsidRPr="00FA139B">
        <w:t>62.</w:t>
      </w:r>
      <w:r w:rsidRPr="00FA139B">
        <w:tab/>
        <w:t xml:space="preserve">El artículo 16 del Decreto del Emir núm. 17/1959 a modo de Ley de Extranjería estipula lo siguiente: </w:t>
      </w:r>
      <w:r w:rsidR="006E23E2">
        <w:t>“</w:t>
      </w:r>
      <w:r w:rsidRPr="00FA139B">
        <w:t xml:space="preserve">El Ministro del Interior podrá, mediante resolución escrita, expulsar a cualquier extranjero, incluso si es titular de un permiso de residencia válido, en los supuestos siguientes: </w:t>
      </w:r>
    </w:p>
    <w:p w14:paraId="04B4D65E" w14:textId="77777777" w:rsidR="00FA139B" w:rsidRPr="00FA139B" w:rsidRDefault="003D372B" w:rsidP="00FA139B">
      <w:pPr>
        <w:pStyle w:val="SingleTxtG"/>
      </w:pPr>
      <w:r>
        <w:tab/>
      </w:r>
      <w:r w:rsidR="00FA139B" w:rsidRPr="00FA139B">
        <w:t>1</w:t>
      </w:r>
      <w:r>
        <w:t>)</w:t>
      </w:r>
      <w:r w:rsidR="00FA139B" w:rsidRPr="00FA139B">
        <w:tab/>
        <w:t>Si hubiera sido condenado judicialmente y el tribunal aconsejó su expulsión en el fallo;</w:t>
      </w:r>
    </w:p>
    <w:p w14:paraId="28908DD8" w14:textId="77777777" w:rsidR="00FA139B" w:rsidRPr="00FA139B" w:rsidRDefault="003D372B" w:rsidP="00FA139B">
      <w:pPr>
        <w:pStyle w:val="SingleTxtG"/>
      </w:pPr>
      <w:r>
        <w:tab/>
      </w:r>
      <w:r w:rsidR="00FA139B" w:rsidRPr="00FA139B">
        <w:t>2</w:t>
      </w:r>
      <w:r>
        <w:t>)</w:t>
      </w:r>
      <w:r w:rsidR="00FA139B" w:rsidRPr="00FA139B">
        <w:tab/>
        <w:t>Si no dispusiera de medios aparentes de vida;</w:t>
      </w:r>
    </w:p>
    <w:p w14:paraId="4C9E6C10" w14:textId="77777777" w:rsidR="00FA139B" w:rsidRPr="00FA139B" w:rsidRDefault="003D372B" w:rsidP="00FA139B">
      <w:pPr>
        <w:pStyle w:val="SingleTxtG"/>
      </w:pPr>
      <w:r>
        <w:tab/>
      </w:r>
      <w:r w:rsidR="00FA139B" w:rsidRPr="00FA139B">
        <w:t>3</w:t>
      </w:r>
      <w:r>
        <w:t>)</w:t>
      </w:r>
      <w:r w:rsidR="00FA139B" w:rsidRPr="00FA139B">
        <w:tab/>
        <w:t>Si el Ministro del Interior considerara que el interés general, la seguridad pública o las buenas costumbres exigen la expulsión</w:t>
      </w:r>
      <w:r w:rsidR="006E23E2">
        <w:t>”</w:t>
      </w:r>
      <w:r w:rsidR="00FA139B" w:rsidRPr="00FA139B">
        <w:t>.</w:t>
      </w:r>
    </w:p>
    <w:p w14:paraId="74A47E6C" w14:textId="77777777" w:rsidR="00FA139B" w:rsidRPr="00FA139B" w:rsidRDefault="00FA139B" w:rsidP="004F65C8">
      <w:pPr>
        <w:pStyle w:val="SingleTxtG"/>
        <w:keepNext/>
        <w:keepLines/>
      </w:pPr>
      <w:r w:rsidRPr="00FA139B">
        <w:lastRenderedPageBreak/>
        <w:t>63.</w:t>
      </w:r>
      <w:r w:rsidRPr="00FA139B">
        <w:tab/>
        <w:t xml:space="preserve">El artículo 27 del Decreto Ministerial núm. 957/2019 a modo de Reglamento Ejecutivo de la Ley de Extranjería dispone que el extranjero, incluso si se encuentra en posesión de un permiso de residencia en vigor, será expulsado del país por vía administrativa en los supuestos siguientes: </w:t>
      </w:r>
    </w:p>
    <w:p w14:paraId="6592E28E" w14:textId="77777777" w:rsidR="00FA139B" w:rsidRPr="00FA139B" w:rsidRDefault="003D372B" w:rsidP="00FA139B">
      <w:pPr>
        <w:pStyle w:val="SingleTxtG"/>
      </w:pPr>
      <w:r>
        <w:tab/>
      </w:r>
      <w:r w:rsidR="00FA139B" w:rsidRPr="00FA139B">
        <w:t>1</w:t>
      </w:r>
      <w:r>
        <w:t>)</w:t>
      </w:r>
      <w:r w:rsidR="00FA139B" w:rsidRPr="00FA139B">
        <w:tab/>
        <w:t>Si hubiera sido condenado por la comisión de un delito grave o de un delito contra el honor o la integridad;</w:t>
      </w:r>
    </w:p>
    <w:p w14:paraId="4F0A3C06" w14:textId="77777777" w:rsidR="00FA139B" w:rsidRPr="00FA139B" w:rsidRDefault="003D372B" w:rsidP="00FA139B">
      <w:pPr>
        <w:pStyle w:val="SingleTxtG"/>
      </w:pPr>
      <w:r>
        <w:tab/>
      </w:r>
      <w:r w:rsidR="00FA139B" w:rsidRPr="00FA139B">
        <w:t>2</w:t>
      </w:r>
      <w:r>
        <w:t>)</w:t>
      </w:r>
      <w:r w:rsidR="00FA139B" w:rsidRPr="00FA139B">
        <w:tab/>
        <w:t>Si en un plazo de cinco años hubiera sido condenado en tres ocasiones en jurisdicción criminal, una de ellas a pena de restricción de la libertad;</w:t>
      </w:r>
    </w:p>
    <w:p w14:paraId="56AD953C" w14:textId="77777777" w:rsidR="00FA139B" w:rsidRPr="00FA139B" w:rsidRDefault="003D372B" w:rsidP="00FA139B">
      <w:pPr>
        <w:pStyle w:val="SingleTxtG"/>
      </w:pPr>
      <w:r>
        <w:tab/>
      </w:r>
      <w:r w:rsidR="00FA139B" w:rsidRPr="00FA139B">
        <w:t>3</w:t>
      </w:r>
      <w:r>
        <w:t>)</w:t>
      </w:r>
      <w:r w:rsidR="00FA139B" w:rsidRPr="00FA139B">
        <w:tab/>
        <w:t>Si en un plazo de cinco años hubiera sido condenado en cuatro ocasiones en jurisdicción criminal, con independencia de la pena decretada;</w:t>
      </w:r>
    </w:p>
    <w:p w14:paraId="5C42FD94" w14:textId="77777777" w:rsidR="00FA139B" w:rsidRPr="00FA139B" w:rsidRDefault="003D372B" w:rsidP="00FA139B">
      <w:pPr>
        <w:pStyle w:val="SingleTxtG"/>
      </w:pPr>
      <w:r>
        <w:tab/>
      </w:r>
      <w:r w:rsidR="00FA139B" w:rsidRPr="00FA139B">
        <w:t>4</w:t>
      </w:r>
      <w:r>
        <w:t>)</w:t>
      </w:r>
      <w:r w:rsidR="00FA139B" w:rsidRPr="00FA139B">
        <w:tab/>
        <w:t>Si lo exige el interés general, la seguridad pública o las buenas costumbres.</w:t>
      </w:r>
    </w:p>
    <w:p w14:paraId="11070E5B" w14:textId="77777777" w:rsidR="00FA139B" w:rsidRPr="00FA139B" w:rsidRDefault="00FA139B" w:rsidP="00FA139B">
      <w:pPr>
        <w:pStyle w:val="SingleTxtG"/>
      </w:pPr>
      <w:r w:rsidRPr="00FA139B">
        <w:t>64.</w:t>
      </w:r>
      <w:r w:rsidRPr="00FA139B">
        <w:tab/>
        <w:t>En cualquiera de los supuestos señalados, la expulsión se ejecutará en coordinación con las instancias concernidas.</w:t>
      </w:r>
    </w:p>
    <w:p w14:paraId="56BE68A3" w14:textId="77777777" w:rsidR="00FA139B" w:rsidRPr="00FA139B" w:rsidRDefault="00FA139B" w:rsidP="00FA139B">
      <w:pPr>
        <w:pStyle w:val="SingleTxtG"/>
      </w:pPr>
      <w:r w:rsidRPr="00FA139B">
        <w:t>65.</w:t>
      </w:r>
      <w:r w:rsidRPr="00FA139B">
        <w:tab/>
        <w:t>El Ministerio, por conducto de la Dirección General de la Residencia, podrá expulsar del país a cualquier extranjero en aplicación de las leyes y los reglamentos señalados.</w:t>
      </w:r>
    </w:p>
    <w:p w14:paraId="61C11C2A" w14:textId="77777777" w:rsidR="00FA139B" w:rsidRPr="00FA139B" w:rsidRDefault="00FA139B" w:rsidP="00FA139B">
      <w:pPr>
        <w:pStyle w:val="SingleTxtG"/>
      </w:pPr>
      <w:r w:rsidRPr="00FA139B">
        <w:t>66.</w:t>
      </w:r>
      <w:r w:rsidRPr="00FA139B">
        <w:tab/>
        <w:t>El Tribunal de Casación de Kuwait ratificó lo anterior en sentencia de 9 de junio de</w:t>
      </w:r>
      <w:r w:rsidR="00E32124">
        <w:t> </w:t>
      </w:r>
      <w:r w:rsidRPr="00FA139B">
        <w:t xml:space="preserve">2003. En la resolución se afirma lo siguiente: </w:t>
      </w:r>
      <w:r w:rsidR="006E23E2">
        <w:t>“</w:t>
      </w:r>
      <w:r w:rsidRPr="00FA139B">
        <w:t>El Estado, en el ejercicio de su potestad soberana, podrá expulsar a los extranjeros indeseables por razón de su peligrosidad, así como podrá denegar la renovación de su permiso de residencia [...] cuando considere que su presencia en el territorio nacional daña sus intereses internos o externos. El Estado tomará las medidas pertinentes, que no podrán impugnarse</w:t>
      </w:r>
      <w:r w:rsidR="006E23E2">
        <w:t>”</w:t>
      </w:r>
      <w:r w:rsidRPr="00FA139B">
        <w:t xml:space="preserve"> (Tribunal de Casación de Kuwait, recurso de apelación núm. 345/2002, vista celebrada el 9 de junio de 2003).</w:t>
      </w:r>
    </w:p>
    <w:p w14:paraId="48626720" w14:textId="77777777" w:rsidR="00FA139B" w:rsidRPr="00FA139B" w:rsidRDefault="00FA139B" w:rsidP="00FA139B">
      <w:pPr>
        <w:pStyle w:val="SingleTxtG"/>
      </w:pPr>
      <w:r w:rsidRPr="00FA139B">
        <w:t>67.</w:t>
      </w:r>
      <w:r w:rsidRPr="00FA139B">
        <w:tab/>
        <w:t>De cuanto antecede se infiere que el Ministerio podrá expulsar del país por vía administrativa a todo extranjero que acreditadamente hubiera cometido un acto tipificado como delito si su presencia en el territorio nacional constituyera un peligro o si el interés general del país exigiera la expulsión.</w:t>
      </w:r>
    </w:p>
    <w:p w14:paraId="021B17BC" w14:textId="77777777" w:rsidR="00FA139B" w:rsidRPr="00FA139B" w:rsidRDefault="00FA139B" w:rsidP="00FA139B">
      <w:pPr>
        <w:pStyle w:val="SingleTxtG"/>
      </w:pPr>
      <w:r w:rsidRPr="00FA139B">
        <w:t>68.</w:t>
      </w:r>
      <w:r w:rsidRPr="00FA139B">
        <w:tab/>
        <w:t xml:space="preserve">La expulsión del extranjero es un acto inherente a la soberanía del Estado que este considera con el fin de preservar su seguridad nacional. Esa potestad se ajusta el artículo 13 del Pacto Internacional de Derechos Civiles y Políticos: </w:t>
      </w:r>
      <w:r w:rsidR="006E23E2">
        <w:t>“</w:t>
      </w:r>
      <w:r w:rsidRPr="00FA139B">
        <w:t xml:space="preserve">El extranjero que se halle legalmente en el territorio de un Estado </w:t>
      </w:r>
      <w:r w:rsidR="00E32124">
        <w:t>p</w:t>
      </w:r>
      <w:r w:rsidRPr="00FA139B">
        <w:t>arte en el presente Pacto s</w:t>
      </w:r>
      <w:r w:rsidR="00E32124">
        <w:t>o</w:t>
      </w:r>
      <w:r w:rsidRPr="00FA139B">
        <w:t>lo podrá ser expulsado de él en cumplimiento de una decisión adoptada conforme a la ley; y, a menos que razones imperiosas de seguridad nacional se opongan a ello, se permitirá a tal extranjero exponer las razones que lo asistan en contra de su expulsión</w:t>
      </w:r>
      <w:r w:rsidR="006E23E2">
        <w:t>”</w:t>
      </w:r>
      <w:r w:rsidRPr="00FA139B">
        <w:t>.</w:t>
      </w:r>
    </w:p>
    <w:p w14:paraId="646A4A5B" w14:textId="77777777" w:rsidR="00FA139B" w:rsidRPr="00FA139B" w:rsidRDefault="00FA139B" w:rsidP="003D372B">
      <w:pPr>
        <w:pStyle w:val="H23G"/>
      </w:pPr>
      <w:r w:rsidRPr="00FA139B">
        <w:tab/>
      </w:r>
      <w:r w:rsidRPr="00FA139B">
        <w:tab/>
        <w:t xml:space="preserve">A las personas expulsadas les asisten las salvaguardias que se exponen </w:t>
      </w:r>
      <w:r w:rsidR="003D372B">
        <w:br/>
      </w:r>
      <w:r w:rsidRPr="00FA139B">
        <w:t xml:space="preserve">a continuación </w:t>
      </w:r>
    </w:p>
    <w:p w14:paraId="5CB374B4" w14:textId="77777777" w:rsidR="00FA139B" w:rsidRPr="00FA139B" w:rsidRDefault="00FA139B" w:rsidP="00FA139B">
      <w:pPr>
        <w:pStyle w:val="SingleTxtG"/>
      </w:pPr>
      <w:r w:rsidRPr="00FA139B">
        <w:t>69.</w:t>
      </w:r>
      <w:r w:rsidRPr="00FA139B">
        <w:tab/>
        <w:t>Si el extranjero contra el que se decretó la expulsión tiene intereses en el país se le concederá un plazo de hasta tres meses para que los liquide. El artículo 22 de la Ley núm.</w:t>
      </w:r>
      <w:r w:rsidR="00E32124">
        <w:t> </w:t>
      </w:r>
      <w:r w:rsidRPr="00FA139B">
        <w:t xml:space="preserve">17/1959 de Extranjería dispone lo siguiente: </w:t>
      </w:r>
      <w:r w:rsidR="006E23E2">
        <w:t>“</w:t>
      </w:r>
      <w:r w:rsidRPr="00FA139B">
        <w:t>Si el extranjero contra el que se decretó la orden de expulsión tuviera intereses económicos en Kuwait que deban liquidarse, se le concederá un plazo a tal efecto tras el abono de la correspondiente fianza. El Jefe de la Policía y las Fuerzas de Seguridad Pública determinará la extensión de esa prórroga, que en ningún caso excederá de tres meses</w:t>
      </w:r>
      <w:r w:rsidR="006E23E2">
        <w:t>”</w:t>
      </w:r>
      <w:r w:rsidRPr="00FA139B">
        <w:t>.</w:t>
      </w:r>
    </w:p>
    <w:p w14:paraId="6B910098" w14:textId="77777777" w:rsidR="00FA139B" w:rsidRPr="00FA139B" w:rsidRDefault="00FA139B" w:rsidP="00FA139B">
      <w:pPr>
        <w:pStyle w:val="SingleTxtG"/>
      </w:pPr>
      <w:r w:rsidRPr="00FA139B">
        <w:t>70.</w:t>
      </w:r>
      <w:r w:rsidRPr="00FA139B">
        <w:tab/>
        <w:t xml:space="preserve">La expulsión administrativa está regulada por normas y marcos determinados legislativamente y cuyo objetivo es la consecución del interés público. La autoridad competente no goza de facultades irrestrictas para la promulgación de decretos de expulsión. Solo en concurrencia de ciertos supuestos concretos y determinados por ley se podrá decretar esa medida. </w:t>
      </w:r>
    </w:p>
    <w:p w14:paraId="34D0B3F1" w14:textId="77777777" w:rsidR="00FA139B" w:rsidRPr="00FA139B" w:rsidRDefault="00FA139B" w:rsidP="004F65C8">
      <w:pPr>
        <w:pStyle w:val="SingleTxtG"/>
        <w:keepNext/>
        <w:keepLines/>
      </w:pPr>
      <w:r w:rsidRPr="00FA139B">
        <w:lastRenderedPageBreak/>
        <w:t>71.</w:t>
      </w:r>
      <w:r w:rsidRPr="00FA139B">
        <w:tab/>
      </w:r>
      <w:r w:rsidR="006E23E2">
        <w:t>“</w:t>
      </w:r>
      <w:r w:rsidRPr="00FA139B">
        <w:t>Se podrá decretar el internamiento por un máximo de 30 días del extranjero contra el que se hubiera dictado orden de expulsión si fuera necesario para asegurar la eficacia de esa orden</w:t>
      </w:r>
      <w:r w:rsidR="006E23E2">
        <w:t>”</w:t>
      </w:r>
      <w:r w:rsidRPr="00FA139B">
        <w:t xml:space="preserve"> (art. 18 de la Ley núm. 17/1959 de Extranjería).</w:t>
      </w:r>
    </w:p>
    <w:p w14:paraId="4593ED9B" w14:textId="77777777" w:rsidR="00FA139B" w:rsidRPr="00FA139B" w:rsidRDefault="00FA139B" w:rsidP="00FA139B">
      <w:pPr>
        <w:pStyle w:val="SingleTxtG"/>
      </w:pPr>
      <w:r w:rsidRPr="00FA139B">
        <w:t>72.</w:t>
      </w:r>
      <w:r w:rsidRPr="00FA139B">
        <w:tab/>
      </w:r>
      <w:r w:rsidR="006E23E2">
        <w:t>“</w:t>
      </w:r>
      <w:r w:rsidRPr="00FA139B">
        <w:t>El extranjero que no hubiera obtenido permiso de residencia o cuyo permiso hubiera caducado abandonará Kuwait por orden del Ministro del Interior. El extranjero podrá retornar a Kuwait si reúne los requisitos legales exigidos para el ingreso en el país</w:t>
      </w:r>
      <w:r w:rsidR="006E23E2">
        <w:t>”</w:t>
      </w:r>
      <w:r w:rsidRPr="00FA139B">
        <w:t xml:space="preserve"> (art. 20). </w:t>
      </w:r>
    </w:p>
    <w:p w14:paraId="570F30F8" w14:textId="77777777" w:rsidR="00FA139B" w:rsidRPr="00FA139B" w:rsidRDefault="00FA139B" w:rsidP="00FA139B">
      <w:pPr>
        <w:pStyle w:val="SingleTxtG"/>
      </w:pPr>
      <w:r w:rsidRPr="00FA139B">
        <w:t>73.</w:t>
      </w:r>
      <w:r w:rsidRPr="00FA139B">
        <w:tab/>
      </w:r>
      <w:r w:rsidR="006E23E2">
        <w:t>“</w:t>
      </w:r>
      <w:r w:rsidRPr="00FA139B">
        <w:t>Si el extranjero contra el que se decretó la orden de expulsión o deportación tuviera intereses económicos en Kuwait que deban liquidarse, se le concederá un plazo a tal efecto tras el abono de la correspondiente fianza. El Ministro del Interior determinará la extensión de ese plazo, que en ningún caso excederá de tres meses</w:t>
      </w:r>
      <w:r w:rsidR="006E23E2">
        <w:t>”</w:t>
      </w:r>
      <w:r w:rsidRPr="00FA139B">
        <w:t xml:space="preserve"> (art. 22).</w:t>
      </w:r>
    </w:p>
    <w:p w14:paraId="7CD675E1" w14:textId="77777777" w:rsidR="00FA139B" w:rsidRPr="00FA139B" w:rsidRDefault="00FA139B" w:rsidP="00FA139B">
      <w:pPr>
        <w:pStyle w:val="SingleTxtG"/>
      </w:pPr>
      <w:r w:rsidRPr="00FA139B">
        <w:t>74.</w:t>
      </w:r>
      <w:r w:rsidRPr="00FA139B">
        <w:tab/>
        <w:t xml:space="preserve">La resolución de expulsión administrativa, con arreglo a lo dispuesto en el artículo 1 de la Ley núm. 20/1981 por la que se establece la Sala de lo Contencioso-Administrativo en el Tribunal de Primera Instancia, no está sujeta al control de los órganos de la jurisdicción contencioso-administrativa y, por tanto, no cabe interponer contra ella recurso de nulidad. Esa resolución se sujeta a las normas de recurso señaladas en la Ley núm. 16/1990. El extranjero internado a la espera de expulsión podrá interponer recurso de revisión a la instancia administrativa concernida, que lo examinará y resolverá. Otras salvaguardias adicionales protegen a la persona a la espera de expulsión y aseguran la integridad de sus derechos. El extranjero internado podrá recurrir la resolución de expulsión ante la Administración adjuntando un documento expedido por las oficinas de aviación comercial presentes en el centro de internamiento temporal en el que se garantice que el empleador dispondrá sin demora de plaza para el viaje a su cargo. </w:t>
      </w:r>
    </w:p>
    <w:p w14:paraId="4A752622" w14:textId="77777777" w:rsidR="00FA139B" w:rsidRPr="00FA139B" w:rsidRDefault="00FA139B" w:rsidP="003D372B">
      <w:pPr>
        <w:pStyle w:val="H1G"/>
      </w:pPr>
      <w:r w:rsidRPr="00FA139B">
        <w:tab/>
      </w:r>
      <w:r w:rsidRPr="00FA139B">
        <w:tab/>
        <w:t>Recomendación núm. 24 d)</w:t>
      </w:r>
    </w:p>
    <w:p w14:paraId="0B44C7B0" w14:textId="77777777" w:rsidR="00FA139B" w:rsidRPr="00FA139B" w:rsidRDefault="00FA139B" w:rsidP="00FA139B">
      <w:pPr>
        <w:pStyle w:val="SingleTxtG"/>
      </w:pPr>
      <w:r w:rsidRPr="00FA139B">
        <w:t>75.</w:t>
      </w:r>
      <w:r w:rsidRPr="00FA139B">
        <w:tab/>
        <w:t>La Autoridad de la Mano de Obra estableció la Dirección para la Regulación del Reclutamiento de Trabajadores Domésticos tras asumir del Ministerio del Interior las competencias en la materia en virtud del Decreto del Consejo de Ministros núm. 614/2018. La Dirección da cumplimiento a la Ley núm. 68/2015 mediante dos organismos: la Dependencia de Reclutamiento y la Dependencia de Inspección y Vigilancia, y con la colaboración del Ministerio de Comercio autoriza y renueva las licencias de actividad de las agencias de reclutamiento. Por otro lado, dispone de inspectores especializados que verifican el cumplimiento por esas agencias de la normativa vigente, registran las infracciones cometidas y determinan las medidas legales pertinentes. La Dirección también resuelve los litigios entre los empleadores, los trabajadores domésticos y las agencias de reclutamiento relativos a la aplicación de la ley o al incumplimiento del contrato de reclutamiento.</w:t>
      </w:r>
    </w:p>
    <w:p w14:paraId="68AD5C8A" w14:textId="77777777" w:rsidR="003D372B" w:rsidRPr="006650E5" w:rsidRDefault="00FA139B" w:rsidP="006650E5">
      <w:pPr>
        <w:pStyle w:val="SingleTxtG"/>
        <w:rPr>
          <w:b/>
          <w:bCs/>
        </w:rPr>
      </w:pPr>
      <w:r w:rsidRPr="00FA139B">
        <w:t>76.</w:t>
      </w:r>
      <w:r w:rsidRPr="00FA139B">
        <w:tab/>
        <w:t xml:space="preserve">El Estado ha promulgado numerosos decretos ministeriales y circulares encaminados a asegurar la efectividad de la Ley núm. 68/2015, entre otros el Decreto Ministerial núm. 2194/2016, por el que se promulga el reglamento ejecutivo de la </w:t>
      </w:r>
      <w:r w:rsidR="00E32124">
        <w:t>L</w:t>
      </w:r>
      <w:r w:rsidRPr="00FA139B">
        <w:t xml:space="preserve">ey citada (se adjunta copia) y el Decreto Ministerial núm. 2302/2016, relativo a las normas y procedimientos para la aplicación de esa </w:t>
      </w:r>
      <w:r w:rsidR="00E32124">
        <w:t>L</w:t>
      </w:r>
      <w:r w:rsidRPr="00FA139B">
        <w:t>ey (se adjunta copia) y sus modificaciones. La Autoridad de la Mano de Obra sigue operando con los contratos modelo bipartito (empleador, trabajadora doméstica) y tripartito (empleador, trabajadora doméstica, agencia de reclutamiento) previstos en el Decreto Ministerial núm. 2302/2016 (se adjunta copia). En el cuadro siguiente figuran datos estadísticos relativos a la Dirección para la Regulación del Reclutamiento de los Trabajadores Domésticos (años 2019 y 2020).</w:t>
      </w:r>
    </w:p>
    <w:tbl>
      <w:tblPr>
        <w:tblStyle w:val="Sombreadomedio1-nfasis4"/>
        <w:bidiVisual/>
        <w:tblW w:w="5084" w:type="pct"/>
        <w:tblInd w:w="-80" w:type="dxa"/>
        <w:tblBorders>
          <w:top w:val="single" w:sz="4"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4A0" w:firstRow="1" w:lastRow="0" w:firstColumn="1" w:lastColumn="0" w:noHBand="0" w:noVBand="1"/>
      </w:tblPr>
      <w:tblGrid>
        <w:gridCol w:w="1069"/>
        <w:gridCol w:w="2420"/>
        <w:gridCol w:w="568"/>
        <w:gridCol w:w="566"/>
        <w:gridCol w:w="568"/>
        <w:gridCol w:w="566"/>
        <w:gridCol w:w="568"/>
        <w:gridCol w:w="566"/>
        <w:gridCol w:w="708"/>
        <w:gridCol w:w="588"/>
        <w:gridCol w:w="18"/>
        <w:gridCol w:w="1595"/>
      </w:tblGrid>
      <w:tr w:rsidR="009C3FA2" w:rsidRPr="003D372B" w14:paraId="66D88750" w14:textId="77777777" w:rsidTr="00944977">
        <w:trPr>
          <w:cnfStyle w:val="100000000000" w:firstRow="1" w:lastRow="0" w:firstColumn="0" w:lastColumn="0" w:oddVBand="0" w:evenVBand="0" w:oddHBand="0"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tcBorders>
              <w:top w:val="single" w:sz="4" w:space="0" w:color="auto"/>
              <w:left w:val="nil"/>
              <w:bottom w:val="single" w:sz="12" w:space="0" w:color="auto"/>
            </w:tcBorders>
            <w:shd w:val="clear" w:color="auto" w:fill="auto"/>
            <w:noWrap/>
          </w:tcPr>
          <w:p w14:paraId="5DC3FD69" w14:textId="77777777" w:rsidR="00FA139B" w:rsidRPr="00944977" w:rsidRDefault="00FA139B" w:rsidP="00944977">
            <w:pPr>
              <w:pStyle w:val="SingleTxtG"/>
              <w:keepNext/>
              <w:spacing w:before="80" w:after="80" w:line="220" w:lineRule="exact"/>
              <w:ind w:left="0" w:right="0"/>
              <w:jc w:val="right"/>
              <w:rPr>
                <w:rFonts w:ascii="Times New Roman" w:hAnsi="Times New Roman" w:cs="Times New Roman"/>
                <w:b w:val="0"/>
                <w:i/>
                <w:color w:val="auto"/>
                <w:sz w:val="16"/>
                <w:szCs w:val="20"/>
              </w:rPr>
            </w:pPr>
          </w:p>
        </w:tc>
        <w:tc>
          <w:tcPr>
            <w:tcW w:w="1234" w:type="pct"/>
            <w:tcBorders>
              <w:top w:val="single" w:sz="4" w:space="0" w:color="auto"/>
              <w:bottom w:val="single" w:sz="12" w:space="0" w:color="auto"/>
            </w:tcBorders>
            <w:shd w:val="clear" w:color="auto" w:fill="auto"/>
            <w:noWrap/>
            <w:vAlign w:val="bottom"/>
          </w:tcPr>
          <w:p w14:paraId="42DD98D5" w14:textId="77777777" w:rsidR="00FA139B" w:rsidRPr="00944977" w:rsidRDefault="00944977"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r w:rsidRPr="00944977">
              <w:rPr>
                <w:rFonts w:ascii="Times New Roman" w:hAnsi="Times New Roman" w:cs="Times New Roman"/>
                <w:b w:val="0"/>
                <w:i/>
                <w:color w:val="auto"/>
                <w:sz w:val="16"/>
                <w:szCs w:val="20"/>
              </w:rPr>
              <w:t>Dinares kuwaitíes</w:t>
            </w:r>
          </w:p>
        </w:tc>
        <w:tc>
          <w:tcPr>
            <w:tcW w:w="290" w:type="pct"/>
            <w:tcBorders>
              <w:top w:val="single" w:sz="4" w:space="0" w:color="auto"/>
              <w:bottom w:val="single" w:sz="12" w:space="0" w:color="auto"/>
            </w:tcBorders>
            <w:shd w:val="clear" w:color="auto" w:fill="auto"/>
            <w:noWrap/>
            <w:vAlign w:val="bottom"/>
          </w:tcPr>
          <w:p w14:paraId="4A3D0E9A"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289" w:type="pct"/>
            <w:tcBorders>
              <w:top w:val="single" w:sz="4" w:space="0" w:color="auto"/>
              <w:bottom w:val="single" w:sz="12" w:space="0" w:color="auto"/>
            </w:tcBorders>
            <w:shd w:val="clear" w:color="auto" w:fill="auto"/>
            <w:noWrap/>
            <w:vAlign w:val="bottom"/>
          </w:tcPr>
          <w:p w14:paraId="23660104"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290" w:type="pct"/>
            <w:tcBorders>
              <w:top w:val="single" w:sz="4" w:space="0" w:color="auto"/>
              <w:bottom w:val="single" w:sz="12" w:space="0" w:color="auto"/>
            </w:tcBorders>
            <w:shd w:val="clear" w:color="auto" w:fill="auto"/>
            <w:noWrap/>
            <w:vAlign w:val="bottom"/>
          </w:tcPr>
          <w:p w14:paraId="1B41AC7B"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289" w:type="pct"/>
            <w:tcBorders>
              <w:top w:val="single" w:sz="4" w:space="0" w:color="auto"/>
              <w:bottom w:val="single" w:sz="12" w:space="0" w:color="auto"/>
            </w:tcBorders>
            <w:shd w:val="clear" w:color="auto" w:fill="auto"/>
            <w:noWrap/>
            <w:vAlign w:val="bottom"/>
          </w:tcPr>
          <w:p w14:paraId="41829CBC"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290" w:type="pct"/>
            <w:tcBorders>
              <w:top w:val="single" w:sz="4" w:space="0" w:color="auto"/>
              <w:bottom w:val="single" w:sz="12" w:space="0" w:color="auto"/>
            </w:tcBorders>
            <w:shd w:val="clear" w:color="auto" w:fill="auto"/>
            <w:noWrap/>
            <w:vAlign w:val="bottom"/>
          </w:tcPr>
          <w:p w14:paraId="4AC3BF06"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289" w:type="pct"/>
            <w:tcBorders>
              <w:top w:val="single" w:sz="4" w:space="0" w:color="auto"/>
              <w:bottom w:val="single" w:sz="12" w:space="0" w:color="auto"/>
            </w:tcBorders>
            <w:shd w:val="clear" w:color="auto" w:fill="auto"/>
            <w:noWrap/>
            <w:vAlign w:val="bottom"/>
          </w:tcPr>
          <w:p w14:paraId="52842424"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361" w:type="pct"/>
            <w:tcBorders>
              <w:top w:val="single" w:sz="4" w:space="0" w:color="auto"/>
              <w:bottom w:val="single" w:sz="12" w:space="0" w:color="auto"/>
            </w:tcBorders>
            <w:shd w:val="clear" w:color="auto" w:fill="auto"/>
            <w:noWrap/>
            <w:vAlign w:val="bottom"/>
          </w:tcPr>
          <w:p w14:paraId="326B668D"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300" w:type="pct"/>
            <w:tcBorders>
              <w:top w:val="single" w:sz="4" w:space="0" w:color="auto"/>
              <w:bottom w:val="single" w:sz="12" w:space="0" w:color="auto"/>
            </w:tcBorders>
            <w:shd w:val="clear" w:color="auto" w:fill="auto"/>
            <w:noWrap/>
            <w:vAlign w:val="bottom"/>
          </w:tcPr>
          <w:p w14:paraId="5D49F128" w14:textId="77777777" w:rsidR="00FA139B" w:rsidRPr="00944977" w:rsidRDefault="00FA139B" w:rsidP="00944977">
            <w:pPr>
              <w:pStyle w:val="SingleTxtG"/>
              <w:keepNext/>
              <w:spacing w:before="80" w:after="80" w:line="22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c>
          <w:tcPr>
            <w:tcW w:w="824" w:type="pct"/>
            <w:gridSpan w:val="2"/>
            <w:tcBorders>
              <w:top w:val="single" w:sz="4" w:space="0" w:color="auto"/>
              <w:bottom w:val="single" w:sz="12" w:space="0" w:color="auto"/>
              <w:right w:val="nil"/>
            </w:tcBorders>
            <w:shd w:val="clear" w:color="auto" w:fill="auto"/>
            <w:noWrap/>
            <w:vAlign w:val="bottom"/>
          </w:tcPr>
          <w:p w14:paraId="78B585BC" w14:textId="77777777" w:rsidR="00FA139B" w:rsidRPr="00944977" w:rsidRDefault="00FA139B" w:rsidP="00944977">
            <w:pPr>
              <w:pStyle w:val="SingleTxtG"/>
              <w:keepNext/>
              <w:spacing w:before="80" w:after="80" w:line="220" w:lineRule="exact"/>
              <w:ind w:left="113" w:right="0"/>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20"/>
              </w:rPr>
            </w:pPr>
          </w:p>
        </w:tc>
      </w:tr>
      <w:tr w:rsidR="00944977" w:rsidRPr="003D372B" w14:paraId="298F7688" w14:textId="77777777" w:rsidTr="00944977">
        <w:trPr>
          <w:cnfStyle w:val="000000100000" w:firstRow="0" w:lastRow="0" w:firstColumn="0" w:lastColumn="0" w:oddVBand="0" w:evenVBand="0" w:oddHBand="1"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tcBorders>
              <w:top w:val="single" w:sz="12" w:space="0" w:color="auto"/>
            </w:tcBorders>
            <w:shd w:val="clear" w:color="auto" w:fill="auto"/>
            <w:noWrap/>
          </w:tcPr>
          <w:p w14:paraId="1BCBF862" w14:textId="77777777" w:rsidR="00944977" w:rsidRPr="00944977" w:rsidRDefault="00944977" w:rsidP="00944977">
            <w:pPr>
              <w:pStyle w:val="SingleTxtG"/>
              <w:keepNext/>
              <w:spacing w:before="40" w:after="40" w:line="220" w:lineRule="exact"/>
              <w:ind w:left="0" w:right="0"/>
              <w:jc w:val="right"/>
              <w:rPr>
                <w:rFonts w:ascii="Times New Roman" w:hAnsi="Times New Roman" w:cs="Times New Roman"/>
                <w:b w:val="0"/>
                <w:sz w:val="18"/>
              </w:rPr>
            </w:pPr>
            <w:r w:rsidRPr="00944977">
              <w:rPr>
                <w:rFonts w:ascii="Times New Roman" w:hAnsi="Times New Roman" w:cs="Times New Roman"/>
                <w:b w:val="0"/>
                <w:sz w:val="18"/>
              </w:rPr>
              <w:t>717 628</w:t>
            </w:r>
          </w:p>
        </w:tc>
        <w:tc>
          <w:tcPr>
            <w:tcW w:w="1234" w:type="pct"/>
            <w:tcBorders>
              <w:top w:val="single" w:sz="12" w:space="0" w:color="auto"/>
            </w:tcBorders>
            <w:shd w:val="clear" w:color="auto" w:fill="auto"/>
            <w:noWrap/>
            <w:vAlign w:val="bottom"/>
          </w:tcPr>
          <w:p w14:paraId="7B0485CA"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 xml:space="preserve">123 357 </w:t>
            </w:r>
          </w:p>
        </w:tc>
        <w:tc>
          <w:tcPr>
            <w:tcW w:w="290" w:type="pct"/>
            <w:tcBorders>
              <w:top w:val="single" w:sz="12" w:space="0" w:color="auto"/>
            </w:tcBorders>
            <w:shd w:val="clear" w:color="auto" w:fill="auto"/>
            <w:noWrap/>
            <w:vAlign w:val="bottom"/>
          </w:tcPr>
          <w:p w14:paraId="778D8D71"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9</w:t>
            </w:r>
          </w:p>
        </w:tc>
        <w:tc>
          <w:tcPr>
            <w:tcW w:w="289" w:type="pct"/>
            <w:tcBorders>
              <w:top w:val="single" w:sz="12" w:space="0" w:color="auto"/>
            </w:tcBorders>
            <w:shd w:val="clear" w:color="auto" w:fill="auto"/>
            <w:noWrap/>
            <w:vAlign w:val="bottom"/>
          </w:tcPr>
          <w:p w14:paraId="0C781A05"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38</w:t>
            </w:r>
          </w:p>
        </w:tc>
        <w:tc>
          <w:tcPr>
            <w:tcW w:w="290" w:type="pct"/>
            <w:tcBorders>
              <w:top w:val="single" w:sz="12" w:space="0" w:color="auto"/>
            </w:tcBorders>
            <w:shd w:val="clear" w:color="auto" w:fill="auto"/>
            <w:noWrap/>
            <w:vAlign w:val="bottom"/>
          </w:tcPr>
          <w:p w14:paraId="768AEFEE"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408</w:t>
            </w:r>
          </w:p>
        </w:tc>
        <w:tc>
          <w:tcPr>
            <w:tcW w:w="289" w:type="pct"/>
            <w:tcBorders>
              <w:top w:val="single" w:sz="12" w:space="0" w:color="auto"/>
            </w:tcBorders>
            <w:shd w:val="clear" w:color="auto" w:fill="auto"/>
            <w:noWrap/>
            <w:vAlign w:val="bottom"/>
          </w:tcPr>
          <w:p w14:paraId="4B236D8E"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18</w:t>
            </w:r>
          </w:p>
        </w:tc>
        <w:tc>
          <w:tcPr>
            <w:tcW w:w="290" w:type="pct"/>
            <w:tcBorders>
              <w:top w:val="single" w:sz="12" w:space="0" w:color="auto"/>
            </w:tcBorders>
            <w:shd w:val="clear" w:color="auto" w:fill="auto"/>
            <w:noWrap/>
            <w:vAlign w:val="bottom"/>
          </w:tcPr>
          <w:p w14:paraId="292EB03D"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94</w:t>
            </w:r>
          </w:p>
        </w:tc>
        <w:tc>
          <w:tcPr>
            <w:tcW w:w="289" w:type="pct"/>
            <w:tcBorders>
              <w:top w:val="single" w:sz="12" w:space="0" w:color="auto"/>
            </w:tcBorders>
            <w:shd w:val="clear" w:color="auto" w:fill="auto"/>
            <w:noWrap/>
            <w:vAlign w:val="bottom"/>
          </w:tcPr>
          <w:p w14:paraId="7F2BCADB"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403</w:t>
            </w:r>
          </w:p>
        </w:tc>
        <w:tc>
          <w:tcPr>
            <w:tcW w:w="361" w:type="pct"/>
            <w:tcBorders>
              <w:top w:val="single" w:sz="12" w:space="0" w:color="auto"/>
            </w:tcBorders>
            <w:shd w:val="clear" w:color="auto" w:fill="auto"/>
            <w:noWrap/>
            <w:vAlign w:val="bottom"/>
          </w:tcPr>
          <w:p w14:paraId="4E122453"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1 593</w:t>
            </w:r>
          </w:p>
        </w:tc>
        <w:tc>
          <w:tcPr>
            <w:tcW w:w="300" w:type="pct"/>
            <w:tcBorders>
              <w:top w:val="single" w:sz="12" w:space="0" w:color="auto"/>
            </w:tcBorders>
            <w:shd w:val="clear" w:color="auto" w:fill="auto"/>
            <w:noWrap/>
            <w:vAlign w:val="bottom"/>
          </w:tcPr>
          <w:p w14:paraId="29086C3B" w14:textId="77777777" w:rsidR="00944977" w:rsidRPr="00944977" w:rsidRDefault="00944977" w:rsidP="00944977">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363</w:t>
            </w:r>
          </w:p>
        </w:tc>
        <w:tc>
          <w:tcPr>
            <w:tcW w:w="824" w:type="pct"/>
            <w:gridSpan w:val="2"/>
            <w:tcBorders>
              <w:top w:val="single" w:sz="12" w:space="0" w:color="auto"/>
            </w:tcBorders>
            <w:shd w:val="clear" w:color="auto" w:fill="auto"/>
            <w:noWrap/>
            <w:vAlign w:val="bottom"/>
          </w:tcPr>
          <w:p w14:paraId="432CD260" w14:textId="77777777" w:rsidR="00944977" w:rsidRPr="00944977" w:rsidRDefault="00944977" w:rsidP="00944977">
            <w:pPr>
              <w:pStyle w:val="SingleTxtG"/>
              <w:keepNext/>
              <w:spacing w:before="40" w:after="40" w:line="220" w:lineRule="exact"/>
              <w:ind w:left="113"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rPr>
            </w:pPr>
            <w:r w:rsidRPr="00944977">
              <w:rPr>
                <w:rFonts w:ascii="Times New Roman" w:hAnsi="Times New Roman" w:cs="Times New Roman"/>
                <w:bCs/>
                <w:sz w:val="18"/>
              </w:rPr>
              <w:t>Abril de 2019</w:t>
            </w:r>
          </w:p>
        </w:tc>
      </w:tr>
      <w:tr w:rsidR="009C3FA2" w:rsidRPr="003D372B" w14:paraId="15193B48" w14:textId="77777777" w:rsidTr="00944977">
        <w:trPr>
          <w:cnfStyle w:val="000000010000" w:firstRow="0" w:lastRow="0" w:firstColumn="0" w:lastColumn="0" w:oddVBand="0" w:evenVBand="0" w:oddHBand="0" w:evenHBand="1"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tcBorders>
              <w:top w:val="nil"/>
            </w:tcBorders>
            <w:shd w:val="clear" w:color="auto" w:fill="auto"/>
            <w:noWrap/>
            <w:hideMark/>
          </w:tcPr>
          <w:p w14:paraId="7FC30815" w14:textId="77777777" w:rsidR="00FA139B" w:rsidRPr="003D372B" w:rsidRDefault="00FA139B" w:rsidP="00944977">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717</w:t>
            </w:r>
            <w:r w:rsidR="006650E5">
              <w:rPr>
                <w:rFonts w:ascii="Times New Roman" w:hAnsi="Times New Roman" w:cs="Times New Roman"/>
                <w:b w:val="0"/>
                <w:sz w:val="18"/>
              </w:rPr>
              <w:t xml:space="preserve"> </w:t>
            </w:r>
            <w:r w:rsidRPr="003D372B">
              <w:rPr>
                <w:rFonts w:ascii="Times New Roman" w:hAnsi="Times New Roman" w:cs="Times New Roman"/>
                <w:b w:val="0"/>
                <w:sz w:val="18"/>
              </w:rPr>
              <w:t>628</w:t>
            </w:r>
          </w:p>
        </w:tc>
        <w:tc>
          <w:tcPr>
            <w:tcW w:w="1234" w:type="pct"/>
            <w:tcBorders>
              <w:top w:val="nil"/>
            </w:tcBorders>
            <w:shd w:val="clear" w:color="auto" w:fill="auto"/>
            <w:noWrap/>
            <w:vAlign w:val="bottom"/>
            <w:hideMark/>
          </w:tcPr>
          <w:p w14:paraId="781A152C"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138</w:t>
            </w:r>
            <w:r w:rsidR="006650E5">
              <w:rPr>
                <w:rFonts w:ascii="Times New Roman" w:hAnsi="Times New Roman" w:cs="Times New Roman"/>
                <w:sz w:val="18"/>
              </w:rPr>
              <w:t xml:space="preserve"> </w:t>
            </w:r>
            <w:r w:rsidRPr="003D372B">
              <w:rPr>
                <w:rFonts w:ascii="Times New Roman" w:hAnsi="Times New Roman" w:cs="Times New Roman"/>
                <w:sz w:val="18"/>
              </w:rPr>
              <w:t xml:space="preserve">003 </w:t>
            </w:r>
          </w:p>
        </w:tc>
        <w:tc>
          <w:tcPr>
            <w:tcW w:w="290" w:type="pct"/>
            <w:tcBorders>
              <w:top w:val="nil"/>
            </w:tcBorders>
            <w:shd w:val="clear" w:color="auto" w:fill="auto"/>
            <w:noWrap/>
            <w:vAlign w:val="bottom"/>
            <w:hideMark/>
          </w:tcPr>
          <w:p w14:paraId="1BAB2974"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56</w:t>
            </w:r>
          </w:p>
        </w:tc>
        <w:tc>
          <w:tcPr>
            <w:tcW w:w="289" w:type="pct"/>
            <w:tcBorders>
              <w:top w:val="nil"/>
            </w:tcBorders>
            <w:shd w:val="clear" w:color="auto" w:fill="auto"/>
            <w:noWrap/>
            <w:vAlign w:val="bottom"/>
            <w:hideMark/>
          </w:tcPr>
          <w:p w14:paraId="10621359"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281</w:t>
            </w:r>
          </w:p>
        </w:tc>
        <w:tc>
          <w:tcPr>
            <w:tcW w:w="290" w:type="pct"/>
            <w:tcBorders>
              <w:top w:val="nil"/>
            </w:tcBorders>
            <w:shd w:val="clear" w:color="auto" w:fill="auto"/>
            <w:noWrap/>
            <w:vAlign w:val="bottom"/>
            <w:hideMark/>
          </w:tcPr>
          <w:p w14:paraId="1D8CE665"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802</w:t>
            </w:r>
          </w:p>
        </w:tc>
        <w:tc>
          <w:tcPr>
            <w:tcW w:w="289" w:type="pct"/>
            <w:tcBorders>
              <w:top w:val="nil"/>
            </w:tcBorders>
            <w:shd w:val="clear" w:color="auto" w:fill="auto"/>
            <w:noWrap/>
            <w:vAlign w:val="bottom"/>
            <w:hideMark/>
          </w:tcPr>
          <w:p w14:paraId="416F78D9"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8</w:t>
            </w:r>
          </w:p>
        </w:tc>
        <w:tc>
          <w:tcPr>
            <w:tcW w:w="290" w:type="pct"/>
            <w:tcBorders>
              <w:top w:val="nil"/>
            </w:tcBorders>
            <w:shd w:val="clear" w:color="auto" w:fill="auto"/>
            <w:noWrap/>
            <w:vAlign w:val="bottom"/>
            <w:hideMark/>
          </w:tcPr>
          <w:p w14:paraId="6C7BF399"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67</w:t>
            </w:r>
          </w:p>
        </w:tc>
        <w:tc>
          <w:tcPr>
            <w:tcW w:w="289" w:type="pct"/>
            <w:tcBorders>
              <w:top w:val="nil"/>
            </w:tcBorders>
            <w:shd w:val="clear" w:color="auto" w:fill="auto"/>
            <w:noWrap/>
            <w:vAlign w:val="bottom"/>
            <w:hideMark/>
          </w:tcPr>
          <w:p w14:paraId="6A3D1B75"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530</w:t>
            </w:r>
          </w:p>
        </w:tc>
        <w:tc>
          <w:tcPr>
            <w:tcW w:w="361" w:type="pct"/>
            <w:tcBorders>
              <w:top w:val="nil"/>
            </w:tcBorders>
            <w:shd w:val="clear" w:color="auto" w:fill="auto"/>
            <w:noWrap/>
            <w:vAlign w:val="bottom"/>
            <w:hideMark/>
          </w:tcPr>
          <w:p w14:paraId="4553407A"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606</w:t>
            </w:r>
          </w:p>
        </w:tc>
        <w:tc>
          <w:tcPr>
            <w:tcW w:w="300" w:type="pct"/>
            <w:tcBorders>
              <w:top w:val="nil"/>
            </w:tcBorders>
            <w:shd w:val="clear" w:color="auto" w:fill="auto"/>
            <w:noWrap/>
            <w:vAlign w:val="bottom"/>
            <w:hideMark/>
          </w:tcPr>
          <w:p w14:paraId="25DD7485"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397</w:t>
            </w:r>
          </w:p>
        </w:tc>
        <w:tc>
          <w:tcPr>
            <w:tcW w:w="824" w:type="pct"/>
            <w:gridSpan w:val="2"/>
            <w:tcBorders>
              <w:top w:val="nil"/>
            </w:tcBorders>
            <w:shd w:val="clear" w:color="auto" w:fill="auto"/>
            <w:noWrap/>
            <w:vAlign w:val="bottom"/>
            <w:hideMark/>
          </w:tcPr>
          <w:p w14:paraId="3BCBD0E2" w14:textId="77777777" w:rsidR="00FA139B" w:rsidRPr="003D372B" w:rsidRDefault="00FA139B" w:rsidP="004F65C8">
            <w:pPr>
              <w:pStyle w:val="SingleTxtG"/>
              <w:keepNext/>
              <w:spacing w:before="40" w:after="40" w:line="220" w:lineRule="exact"/>
              <w:ind w:left="113" w:right="0"/>
              <w:jc w:val="lef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Mayo de 2019</w:t>
            </w:r>
          </w:p>
        </w:tc>
      </w:tr>
      <w:tr w:rsidR="009C3FA2" w:rsidRPr="003D372B" w14:paraId="6AE6E0BA" w14:textId="77777777" w:rsidTr="00944977">
        <w:trPr>
          <w:cnfStyle w:val="000000100000" w:firstRow="0" w:lastRow="0" w:firstColumn="0" w:lastColumn="0" w:oddVBand="0" w:evenVBand="0" w:oddHBand="1"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shd w:val="clear" w:color="auto" w:fill="auto"/>
            <w:noWrap/>
            <w:hideMark/>
          </w:tcPr>
          <w:p w14:paraId="0403F015"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717</w:t>
            </w:r>
            <w:r w:rsidR="006650E5">
              <w:rPr>
                <w:rFonts w:ascii="Times New Roman" w:hAnsi="Times New Roman" w:cs="Times New Roman"/>
                <w:b w:val="0"/>
                <w:sz w:val="18"/>
              </w:rPr>
              <w:t xml:space="preserve"> </w:t>
            </w:r>
            <w:r w:rsidRPr="003D372B">
              <w:rPr>
                <w:rFonts w:ascii="Times New Roman" w:hAnsi="Times New Roman" w:cs="Times New Roman"/>
                <w:b w:val="0"/>
                <w:sz w:val="18"/>
              </w:rPr>
              <w:t>628</w:t>
            </w:r>
          </w:p>
        </w:tc>
        <w:tc>
          <w:tcPr>
            <w:tcW w:w="1234" w:type="pct"/>
            <w:shd w:val="clear" w:color="auto" w:fill="auto"/>
            <w:noWrap/>
            <w:vAlign w:val="bottom"/>
            <w:hideMark/>
          </w:tcPr>
          <w:p w14:paraId="261E0E94"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121</w:t>
            </w:r>
            <w:r w:rsidR="006650E5">
              <w:rPr>
                <w:rFonts w:ascii="Times New Roman" w:hAnsi="Times New Roman" w:cs="Times New Roman"/>
                <w:sz w:val="18"/>
              </w:rPr>
              <w:t xml:space="preserve"> </w:t>
            </w:r>
            <w:r w:rsidRPr="003D372B">
              <w:rPr>
                <w:rFonts w:ascii="Times New Roman" w:hAnsi="Times New Roman" w:cs="Times New Roman"/>
                <w:sz w:val="18"/>
              </w:rPr>
              <w:t xml:space="preserve">145 </w:t>
            </w:r>
          </w:p>
        </w:tc>
        <w:tc>
          <w:tcPr>
            <w:tcW w:w="290" w:type="pct"/>
            <w:shd w:val="clear" w:color="auto" w:fill="auto"/>
            <w:noWrap/>
            <w:vAlign w:val="bottom"/>
            <w:hideMark/>
          </w:tcPr>
          <w:p w14:paraId="6A21F90A"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35</w:t>
            </w:r>
          </w:p>
        </w:tc>
        <w:tc>
          <w:tcPr>
            <w:tcW w:w="289" w:type="pct"/>
            <w:shd w:val="clear" w:color="auto" w:fill="auto"/>
            <w:noWrap/>
            <w:vAlign w:val="bottom"/>
            <w:hideMark/>
          </w:tcPr>
          <w:p w14:paraId="345BD418"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171</w:t>
            </w:r>
          </w:p>
        </w:tc>
        <w:tc>
          <w:tcPr>
            <w:tcW w:w="290" w:type="pct"/>
            <w:shd w:val="clear" w:color="auto" w:fill="auto"/>
            <w:noWrap/>
            <w:vAlign w:val="bottom"/>
            <w:hideMark/>
          </w:tcPr>
          <w:p w14:paraId="41E45FEE"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224</w:t>
            </w:r>
          </w:p>
        </w:tc>
        <w:tc>
          <w:tcPr>
            <w:tcW w:w="289" w:type="pct"/>
            <w:shd w:val="clear" w:color="auto" w:fill="auto"/>
            <w:noWrap/>
            <w:vAlign w:val="bottom"/>
            <w:hideMark/>
          </w:tcPr>
          <w:p w14:paraId="714104AD"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8</w:t>
            </w:r>
          </w:p>
        </w:tc>
        <w:tc>
          <w:tcPr>
            <w:tcW w:w="290" w:type="pct"/>
            <w:shd w:val="clear" w:color="auto" w:fill="auto"/>
            <w:noWrap/>
            <w:vAlign w:val="bottom"/>
            <w:hideMark/>
          </w:tcPr>
          <w:p w14:paraId="665D4B2B"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56</w:t>
            </w:r>
          </w:p>
        </w:tc>
        <w:tc>
          <w:tcPr>
            <w:tcW w:w="289" w:type="pct"/>
            <w:shd w:val="clear" w:color="auto" w:fill="auto"/>
            <w:noWrap/>
            <w:vAlign w:val="bottom"/>
            <w:hideMark/>
          </w:tcPr>
          <w:p w14:paraId="2419A73C"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576</w:t>
            </w:r>
          </w:p>
        </w:tc>
        <w:tc>
          <w:tcPr>
            <w:tcW w:w="361" w:type="pct"/>
            <w:shd w:val="clear" w:color="auto" w:fill="auto"/>
            <w:noWrap/>
            <w:vAlign w:val="bottom"/>
            <w:hideMark/>
          </w:tcPr>
          <w:p w14:paraId="073170E2"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636</w:t>
            </w:r>
          </w:p>
        </w:tc>
        <w:tc>
          <w:tcPr>
            <w:tcW w:w="300" w:type="pct"/>
            <w:shd w:val="clear" w:color="auto" w:fill="auto"/>
            <w:noWrap/>
            <w:vAlign w:val="bottom"/>
            <w:hideMark/>
          </w:tcPr>
          <w:p w14:paraId="0EC4378A"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426</w:t>
            </w:r>
          </w:p>
        </w:tc>
        <w:tc>
          <w:tcPr>
            <w:tcW w:w="824" w:type="pct"/>
            <w:gridSpan w:val="2"/>
            <w:shd w:val="clear" w:color="auto" w:fill="auto"/>
            <w:noWrap/>
            <w:vAlign w:val="bottom"/>
            <w:hideMark/>
          </w:tcPr>
          <w:p w14:paraId="18936DC5" w14:textId="77777777" w:rsidR="00FA139B" w:rsidRPr="003D372B" w:rsidRDefault="00FA139B" w:rsidP="004F65C8">
            <w:pPr>
              <w:pStyle w:val="SingleTxtG"/>
              <w:keepNext/>
              <w:spacing w:before="40" w:after="40" w:line="220" w:lineRule="exact"/>
              <w:ind w:left="113"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Junio de 2019</w:t>
            </w:r>
          </w:p>
        </w:tc>
      </w:tr>
      <w:tr w:rsidR="009C3FA2" w:rsidRPr="003D372B" w14:paraId="2FDA428C" w14:textId="77777777" w:rsidTr="00944977">
        <w:trPr>
          <w:cnfStyle w:val="000000010000" w:firstRow="0" w:lastRow="0" w:firstColumn="0" w:lastColumn="0" w:oddVBand="0" w:evenVBand="0" w:oddHBand="0" w:evenHBand="1"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shd w:val="clear" w:color="auto" w:fill="auto"/>
            <w:noWrap/>
            <w:hideMark/>
          </w:tcPr>
          <w:p w14:paraId="36482852"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717</w:t>
            </w:r>
            <w:r w:rsidR="006650E5">
              <w:rPr>
                <w:rFonts w:ascii="Times New Roman" w:hAnsi="Times New Roman" w:cs="Times New Roman"/>
                <w:b w:val="0"/>
                <w:sz w:val="18"/>
              </w:rPr>
              <w:t xml:space="preserve"> </w:t>
            </w:r>
            <w:r w:rsidRPr="003D372B">
              <w:rPr>
                <w:rFonts w:ascii="Times New Roman" w:hAnsi="Times New Roman" w:cs="Times New Roman"/>
                <w:b w:val="0"/>
                <w:sz w:val="18"/>
              </w:rPr>
              <w:t>628</w:t>
            </w:r>
          </w:p>
        </w:tc>
        <w:tc>
          <w:tcPr>
            <w:tcW w:w="1234" w:type="pct"/>
            <w:shd w:val="clear" w:color="auto" w:fill="auto"/>
            <w:noWrap/>
            <w:vAlign w:val="bottom"/>
            <w:hideMark/>
          </w:tcPr>
          <w:p w14:paraId="093FA93C"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176</w:t>
            </w:r>
            <w:r w:rsidR="006650E5">
              <w:rPr>
                <w:rFonts w:ascii="Times New Roman" w:hAnsi="Times New Roman" w:cs="Times New Roman"/>
                <w:sz w:val="18"/>
              </w:rPr>
              <w:t xml:space="preserve"> </w:t>
            </w:r>
            <w:r w:rsidRPr="003D372B">
              <w:rPr>
                <w:rFonts w:ascii="Times New Roman" w:hAnsi="Times New Roman" w:cs="Times New Roman"/>
                <w:sz w:val="18"/>
              </w:rPr>
              <w:t xml:space="preserve">404 </w:t>
            </w:r>
          </w:p>
        </w:tc>
        <w:tc>
          <w:tcPr>
            <w:tcW w:w="290" w:type="pct"/>
            <w:shd w:val="clear" w:color="auto" w:fill="auto"/>
            <w:noWrap/>
            <w:vAlign w:val="bottom"/>
            <w:hideMark/>
          </w:tcPr>
          <w:p w14:paraId="6A4C154C"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97</w:t>
            </w:r>
          </w:p>
        </w:tc>
        <w:tc>
          <w:tcPr>
            <w:tcW w:w="289" w:type="pct"/>
            <w:shd w:val="clear" w:color="auto" w:fill="auto"/>
            <w:noWrap/>
            <w:vAlign w:val="bottom"/>
            <w:hideMark/>
          </w:tcPr>
          <w:p w14:paraId="03D9EEC9"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264</w:t>
            </w:r>
          </w:p>
        </w:tc>
        <w:tc>
          <w:tcPr>
            <w:tcW w:w="290" w:type="pct"/>
            <w:shd w:val="clear" w:color="auto" w:fill="auto"/>
            <w:noWrap/>
            <w:vAlign w:val="bottom"/>
            <w:hideMark/>
          </w:tcPr>
          <w:p w14:paraId="5AAA5741"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706</w:t>
            </w:r>
          </w:p>
        </w:tc>
        <w:tc>
          <w:tcPr>
            <w:tcW w:w="289" w:type="pct"/>
            <w:shd w:val="clear" w:color="auto" w:fill="auto"/>
            <w:noWrap/>
            <w:vAlign w:val="bottom"/>
            <w:hideMark/>
          </w:tcPr>
          <w:p w14:paraId="53E24855"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3</w:t>
            </w:r>
          </w:p>
        </w:tc>
        <w:tc>
          <w:tcPr>
            <w:tcW w:w="290" w:type="pct"/>
            <w:shd w:val="clear" w:color="auto" w:fill="auto"/>
            <w:noWrap/>
            <w:vAlign w:val="bottom"/>
            <w:hideMark/>
          </w:tcPr>
          <w:p w14:paraId="2AFDB80D"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55</w:t>
            </w:r>
          </w:p>
        </w:tc>
        <w:tc>
          <w:tcPr>
            <w:tcW w:w="289" w:type="pct"/>
            <w:shd w:val="clear" w:color="auto" w:fill="auto"/>
            <w:noWrap/>
            <w:vAlign w:val="bottom"/>
            <w:hideMark/>
          </w:tcPr>
          <w:p w14:paraId="628A9606"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613</w:t>
            </w:r>
          </w:p>
        </w:tc>
        <w:tc>
          <w:tcPr>
            <w:tcW w:w="361" w:type="pct"/>
            <w:shd w:val="clear" w:color="auto" w:fill="auto"/>
            <w:noWrap/>
            <w:vAlign w:val="bottom"/>
            <w:hideMark/>
          </w:tcPr>
          <w:p w14:paraId="79AA5312"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688</w:t>
            </w:r>
          </w:p>
        </w:tc>
        <w:tc>
          <w:tcPr>
            <w:tcW w:w="309" w:type="pct"/>
            <w:gridSpan w:val="2"/>
            <w:shd w:val="clear" w:color="auto" w:fill="auto"/>
            <w:noWrap/>
            <w:vAlign w:val="bottom"/>
            <w:hideMark/>
          </w:tcPr>
          <w:p w14:paraId="1641D327"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441</w:t>
            </w:r>
          </w:p>
        </w:tc>
        <w:tc>
          <w:tcPr>
            <w:tcW w:w="815" w:type="pct"/>
            <w:shd w:val="clear" w:color="auto" w:fill="auto"/>
            <w:noWrap/>
            <w:vAlign w:val="bottom"/>
            <w:hideMark/>
          </w:tcPr>
          <w:p w14:paraId="764E2B26" w14:textId="77777777" w:rsidR="00FA139B" w:rsidRPr="003D372B" w:rsidRDefault="00FA139B" w:rsidP="004F65C8">
            <w:pPr>
              <w:pStyle w:val="SingleTxtG"/>
              <w:keepNext/>
              <w:spacing w:before="40" w:after="40" w:line="220" w:lineRule="exact"/>
              <w:ind w:left="113" w:right="0"/>
              <w:jc w:val="lef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Julio de 2019</w:t>
            </w:r>
          </w:p>
        </w:tc>
      </w:tr>
      <w:tr w:rsidR="009C3FA2" w:rsidRPr="003D372B" w14:paraId="4B157F05" w14:textId="77777777" w:rsidTr="00944977">
        <w:trPr>
          <w:cnfStyle w:val="000000100000" w:firstRow="0" w:lastRow="0" w:firstColumn="0" w:lastColumn="0" w:oddVBand="0" w:evenVBand="0" w:oddHBand="1"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shd w:val="clear" w:color="auto" w:fill="auto"/>
            <w:noWrap/>
            <w:hideMark/>
          </w:tcPr>
          <w:p w14:paraId="6337C482"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717</w:t>
            </w:r>
            <w:r w:rsidR="006650E5">
              <w:rPr>
                <w:rFonts w:ascii="Times New Roman" w:hAnsi="Times New Roman" w:cs="Times New Roman"/>
                <w:b w:val="0"/>
                <w:sz w:val="18"/>
              </w:rPr>
              <w:t xml:space="preserve"> </w:t>
            </w:r>
            <w:r w:rsidRPr="003D372B">
              <w:rPr>
                <w:rFonts w:ascii="Times New Roman" w:hAnsi="Times New Roman" w:cs="Times New Roman"/>
                <w:b w:val="0"/>
                <w:sz w:val="18"/>
              </w:rPr>
              <w:t>628</w:t>
            </w:r>
          </w:p>
        </w:tc>
        <w:tc>
          <w:tcPr>
            <w:tcW w:w="1234" w:type="pct"/>
            <w:shd w:val="clear" w:color="auto" w:fill="auto"/>
            <w:noWrap/>
            <w:vAlign w:val="bottom"/>
            <w:hideMark/>
          </w:tcPr>
          <w:p w14:paraId="6D7A8C49"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224</w:t>
            </w:r>
            <w:r w:rsidR="006650E5">
              <w:rPr>
                <w:rFonts w:ascii="Times New Roman" w:hAnsi="Times New Roman" w:cs="Times New Roman"/>
                <w:sz w:val="18"/>
              </w:rPr>
              <w:t xml:space="preserve"> </w:t>
            </w:r>
            <w:r w:rsidRPr="003D372B">
              <w:rPr>
                <w:rFonts w:ascii="Times New Roman" w:hAnsi="Times New Roman" w:cs="Times New Roman"/>
                <w:sz w:val="18"/>
              </w:rPr>
              <w:t xml:space="preserve">119 </w:t>
            </w:r>
          </w:p>
        </w:tc>
        <w:tc>
          <w:tcPr>
            <w:tcW w:w="290" w:type="pct"/>
            <w:shd w:val="clear" w:color="auto" w:fill="auto"/>
            <w:noWrap/>
            <w:vAlign w:val="bottom"/>
            <w:hideMark/>
          </w:tcPr>
          <w:p w14:paraId="1164BD4A"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59</w:t>
            </w:r>
          </w:p>
        </w:tc>
        <w:tc>
          <w:tcPr>
            <w:tcW w:w="289" w:type="pct"/>
            <w:shd w:val="clear" w:color="auto" w:fill="auto"/>
            <w:noWrap/>
            <w:vAlign w:val="bottom"/>
            <w:hideMark/>
          </w:tcPr>
          <w:p w14:paraId="60BE8198"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478</w:t>
            </w:r>
          </w:p>
        </w:tc>
        <w:tc>
          <w:tcPr>
            <w:tcW w:w="290" w:type="pct"/>
            <w:shd w:val="clear" w:color="auto" w:fill="auto"/>
            <w:noWrap/>
            <w:vAlign w:val="bottom"/>
            <w:hideMark/>
          </w:tcPr>
          <w:p w14:paraId="077E8987"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w:t>
            </w:r>
            <w:r w:rsidR="006650E5">
              <w:rPr>
                <w:rFonts w:ascii="Times New Roman" w:hAnsi="Times New Roman" w:cs="Times New Roman"/>
                <w:sz w:val="18"/>
              </w:rPr>
              <w:t xml:space="preserve"> </w:t>
            </w:r>
            <w:r w:rsidRPr="003D372B">
              <w:rPr>
                <w:rFonts w:ascii="Times New Roman" w:hAnsi="Times New Roman" w:cs="Times New Roman"/>
                <w:sz w:val="18"/>
              </w:rPr>
              <w:t>087</w:t>
            </w:r>
          </w:p>
        </w:tc>
        <w:tc>
          <w:tcPr>
            <w:tcW w:w="289" w:type="pct"/>
            <w:shd w:val="clear" w:color="auto" w:fill="auto"/>
            <w:noWrap/>
            <w:vAlign w:val="bottom"/>
            <w:hideMark/>
          </w:tcPr>
          <w:p w14:paraId="1C6EA356"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w:t>
            </w:r>
          </w:p>
        </w:tc>
        <w:tc>
          <w:tcPr>
            <w:tcW w:w="290" w:type="pct"/>
            <w:shd w:val="clear" w:color="auto" w:fill="auto"/>
            <w:noWrap/>
            <w:vAlign w:val="bottom"/>
            <w:hideMark/>
          </w:tcPr>
          <w:p w14:paraId="5B7CE2EC"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26</w:t>
            </w:r>
          </w:p>
        </w:tc>
        <w:tc>
          <w:tcPr>
            <w:tcW w:w="289" w:type="pct"/>
            <w:shd w:val="clear" w:color="auto" w:fill="auto"/>
            <w:noWrap/>
            <w:vAlign w:val="bottom"/>
            <w:hideMark/>
          </w:tcPr>
          <w:p w14:paraId="611A58EA"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630</w:t>
            </w:r>
          </w:p>
        </w:tc>
        <w:tc>
          <w:tcPr>
            <w:tcW w:w="361" w:type="pct"/>
            <w:shd w:val="clear" w:color="auto" w:fill="auto"/>
            <w:noWrap/>
            <w:vAlign w:val="bottom"/>
            <w:hideMark/>
          </w:tcPr>
          <w:p w14:paraId="4AD1F966"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366</w:t>
            </w:r>
          </w:p>
        </w:tc>
        <w:tc>
          <w:tcPr>
            <w:tcW w:w="309" w:type="pct"/>
            <w:gridSpan w:val="2"/>
            <w:shd w:val="clear" w:color="auto" w:fill="auto"/>
            <w:noWrap/>
            <w:vAlign w:val="bottom"/>
            <w:hideMark/>
          </w:tcPr>
          <w:p w14:paraId="7459A993"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451</w:t>
            </w:r>
          </w:p>
        </w:tc>
        <w:tc>
          <w:tcPr>
            <w:tcW w:w="815" w:type="pct"/>
            <w:shd w:val="clear" w:color="auto" w:fill="auto"/>
            <w:noWrap/>
            <w:vAlign w:val="bottom"/>
            <w:hideMark/>
          </w:tcPr>
          <w:p w14:paraId="2ECB5F58" w14:textId="77777777" w:rsidR="00FA139B" w:rsidRPr="003D372B" w:rsidRDefault="00FA139B" w:rsidP="004F65C8">
            <w:pPr>
              <w:pStyle w:val="SingleTxtG"/>
              <w:keepNext/>
              <w:spacing w:before="40" w:after="40" w:line="220" w:lineRule="exact"/>
              <w:ind w:left="113"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Agosto de 2019</w:t>
            </w:r>
          </w:p>
        </w:tc>
      </w:tr>
      <w:tr w:rsidR="009C3FA2" w:rsidRPr="003D372B" w14:paraId="132978DF" w14:textId="77777777" w:rsidTr="00944977">
        <w:trPr>
          <w:cnfStyle w:val="000000010000" w:firstRow="0" w:lastRow="0" w:firstColumn="0" w:lastColumn="0" w:oddVBand="0" w:evenVBand="0" w:oddHBand="0" w:evenHBand="1"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shd w:val="clear" w:color="auto" w:fill="auto"/>
            <w:noWrap/>
            <w:hideMark/>
          </w:tcPr>
          <w:p w14:paraId="12B6CAAC"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717</w:t>
            </w:r>
            <w:r w:rsidR="006650E5">
              <w:rPr>
                <w:rFonts w:ascii="Times New Roman" w:hAnsi="Times New Roman" w:cs="Times New Roman"/>
                <w:b w:val="0"/>
                <w:sz w:val="18"/>
              </w:rPr>
              <w:t xml:space="preserve"> </w:t>
            </w:r>
            <w:r w:rsidRPr="003D372B">
              <w:rPr>
                <w:rFonts w:ascii="Times New Roman" w:hAnsi="Times New Roman" w:cs="Times New Roman"/>
                <w:b w:val="0"/>
                <w:sz w:val="18"/>
              </w:rPr>
              <w:t>628</w:t>
            </w:r>
          </w:p>
        </w:tc>
        <w:tc>
          <w:tcPr>
            <w:tcW w:w="1234" w:type="pct"/>
            <w:shd w:val="clear" w:color="auto" w:fill="auto"/>
            <w:noWrap/>
            <w:vAlign w:val="bottom"/>
            <w:hideMark/>
          </w:tcPr>
          <w:p w14:paraId="0989D286"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201</w:t>
            </w:r>
            <w:r w:rsidR="006650E5">
              <w:rPr>
                <w:rFonts w:ascii="Times New Roman" w:hAnsi="Times New Roman" w:cs="Times New Roman"/>
                <w:sz w:val="18"/>
              </w:rPr>
              <w:t xml:space="preserve"> </w:t>
            </w:r>
            <w:r w:rsidRPr="003D372B">
              <w:rPr>
                <w:rFonts w:ascii="Times New Roman" w:hAnsi="Times New Roman" w:cs="Times New Roman"/>
                <w:sz w:val="18"/>
              </w:rPr>
              <w:t xml:space="preserve">092 </w:t>
            </w:r>
          </w:p>
        </w:tc>
        <w:tc>
          <w:tcPr>
            <w:tcW w:w="290" w:type="pct"/>
            <w:shd w:val="clear" w:color="auto" w:fill="auto"/>
            <w:noWrap/>
            <w:vAlign w:val="bottom"/>
            <w:hideMark/>
          </w:tcPr>
          <w:p w14:paraId="075E0E56"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120</w:t>
            </w:r>
          </w:p>
        </w:tc>
        <w:tc>
          <w:tcPr>
            <w:tcW w:w="289" w:type="pct"/>
            <w:shd w:val="clear" w:color="auto" w:fill="auto"/>
            <w:noWrap/>
            <w:vAlign w:val="bottom"/>
            <w:hideMark/>
          </w:tcPr>
          <w:p w14:paraId="3E58C0CD"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465</w:t>
            </w:r>
          </w:p>
        </w:tc>
        <w:tc>
          <w:tcPr>
            <w:tcW w:w="290" w:type="pct"/>
            <w:shd w:val="clear" w:color="auto" w:fill="auto"/>
            <w:noWrap/>
            <w:vAlign w:val="bottom"/>
            <w:hideMark/>
          </w:tcPr>
          <w:p w14:paraId="6DE93DDB"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w:t>
            </w:r>
            <w:r w:rsidR="006650E5">
              <w:rPr>
                <w:rFonts w:ascii="Times New Roman" w:hAnsi="Times New Roman" w:cs="Times New Roman"/>
                <w:sz w:val="18"/>
              </w:rPr>
              <w:t xml:space="preserve"> </w:t>
            </w:r>
            <w:r w:rsidRPr="003D372B">
              <w:rPr>
                <w:rFonts w:ascii="Times New Roman" w:hAnsi="Times New Roman" w:cs="Times New Roman"/>
                <w:sz w:val="18"/>
              </w:rPr>
              <w:t>485</w:t>
            </w:r>
          </w:p>
        </w:tc>
        <w:tc>
          <w:tcPr>
            <w:tcW w:w="289" w:type="pct"/>
            <w:shd w:val="clear" w:color="auto" w:fill="auto"/>
            <w:noWrap/>
            <w:vAlign w:val="bottom"/>
            <w:hideMark/>
          </w:tcPr>
          <w:p w14:paraId="27F6DC0B"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w:t>
            </w:r>
          </w:p>
        </w:tc>
        <w:tc>
          <w:tcPr>
            <w:tcW w:w="290" w:type="pct"/>
            <w:shd w:val="clear" w:color="auto" w:fill="auto"/>
            <w:noWrap/>
            <w:vAlign w:val="bottom"/>
            <w:hideMark/>
          </w:tcPr>
          <w:p w14:paraId="4464519C"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14</w:t>
            </w:r>
          </w:p>
        </w:tc>
        <w:tc>
          <w:tcPr>
            <w:tcW w:w="289" w:type="pct"/>
            <w:shd w:val="clear" w:color="auto" w:fill="auto"/>
            <w:noWrap/>
            <w:vAlign w:val="bottom"/>
            <w:hideMark/>
          </w:tcPr>
          <w:p w14:paraId="579BAFAD"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648</w:t>
            </w:r>
          </w:p>
        </w:tc>
        <w:tc>
          <w:tcPr>
            <w:tcW w:w="361" w:type="pct"/>
            <w:shd w:val="clear" w:color="auto" w:fill="auto"/>
            <w:noWrap/>
            <w:vAlign w:val="bottom"/>
            <w:hideMark/>
          </w:tcPr>
          <w:p w14:paraId="0AAF702B"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436</w:t>
            </w:r>
          </w:p>
        </w:tc>
        <w:tc>
          <w:tcPr>
            <w:tcW w:w="309" w:type="pct"/>
            <w:gridSpan w:val="2"/>
            <w:shd w:val="clear" w:color="auto" w:fill="auto"/>
            <w:noWrap/>
            <w:vAlign w:val="bottom"/>
            <w:hideMark/>
          </w:tcPr>
          <w:p w14:paraId="076EDFD1"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458</w:t>
            </w:r>
          </w:p>
        </w:tc>
        <w:tc>
          <w:tcPr>
            <w:tcW w:w="815" w:type="pct"/>
            <w:shd w:val="clear" w:color="auto" w:fill="auto"/>
            <w:noWrap/>
            <w:vAlign w:val="bottom"/>
            <w:hideMark/>
          </w:tcPr>
          <w:p w14:paraId="438CFF43" w14:textId="77777777" w:rsidR="00FA139B" w:rsidRPr="003D372B" w:rsidRDefault="00FA139B" w:rsidP="004F65C8">
            <w:pPr>
              <w:pStyle w:val="SingleTxtG"/>
              <w:keepNext/>
              <w:spacing w:before="40" w:after="40" w:line="220" w:lineRule="exact"/>
              <w:ind w:left="113" w:right="0"/>
              <w:jc w:val="lef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Septiembre de 2019</w:t>
            </w:r>
          </w:p>
        </w:tc>
      </w:tr>
      <w:tr w:rsidR="009C3FA2" w:rsidRPr="003D372B" w14:paraId="0533E9A6" w14:textId="77777777" w:rsidTr="00944977">
        <w:trPr>
          <w:cnfStyle w:val="000000100000" w:firstRow="0" w:lastRow="0" w:firstColumn="0" w:lastColumn="0" w:oddVBand="0" w:evenVBand="0" w:oddHBand="1"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shd w:val="clear" w:color="auto" w:fill="auto"/>
            <w:noWrap/>
            <w:hideMark/>
          </w:tcPr>
          <w:p w14:paraId="390EBA16"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727</w:t>
            </w:r>
            <w:r w:rsidR="006650E5">
              <w:rPr>
                <w:rFonts w:ascii="Times New Roman" w:hAnsi="Times New Roman" w:cs="Times New Roman"/>
                <w:b w:val="0"/>
                <w:sz w:val="18"/>
              </w:rPr>
              <w:t xml:space="preserve"> </w:t>
            </w:r>
            <w:r w:rsidRPr="003D372B">
              <w:rPr>
                <w:rFonts w:ascii="Times New Roman" w:hAnsi="Times New Roman" w:cs="Times New Roman"/>
                <w:b w:val="0"/>
                <w:sz w:val="18"/>
              </w:rPr>
              <w:t>246</w:t>
            </w:r>
          </w:p>
        </w:tc>
        <w:tc>
          <w:tcPr>
            <w:tcW w:w="1234" w:type="pct"/>
            <w:shd w:val="clear" w:color="auto" w:fill="auto"/>
            <w:noWrap/>
            <w:vAlign w:val="bottom"/>
            <w:hideMark/>
          </w:tcPr>
          <w:p w14:paraId="0505A4E1"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186</w:t>
            </w:r>
            <w:r w:rsidR="006650E5">
              <w:rPr>
                <w:rFonts w:ascii="Times New Roman" w:hAnsi="Times New Roman" w:cs="Times New Roman"/>
                <w:sz w:val="18"/>
              </w:rPr>
              <w:t xml:space="preserve"> </w:t>
            </w:r>
            <w:r w:rsidRPr="003D372B">
              <w:rPr>
                <w:rFonts w:ascii="Times New Roman" w:hAnsi="Times New Roman" w:cs="Times New Roman"/>
                <w:sz w:val="18"/>
              </w:rPr>
              <w:t xml:space="preserve">022 </w:t>
            </w:r>
          </w:p>
        </w:tc>
        <w:tc>
          <w:tcPr>
            <w:tcW w:w="290" w:type="pct"/>
            <w:shd w:val="clear" w:color="auto" w:fill="auto"/>
            <w:noWrap/>
            <w:vAlign w:val="bottom"/>
            <w:hideMark/>
          </w:tcPr>
          <w:p w14:paraId="4492F8C5"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123</w:t>
            </w:r>
          </w:p>
        </w:tc>
        <w:tc>
          <w:tcPr>
            <w:tcW w:w="289" w:type="pct"/>
            <w:shd w:val="clear" w:color="auto" w:fill="auto"/>
            <w:noWrap/>
            <w:vAlign w:val="bottom"/>
            <w:hideMark/>
          </w:tcPr>
          <w:p w14:paraId="555E7DC6"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495</w:t>
            </w:r>
          </w:p>
        </w:tc>
        <w:tc>
          <w:tcPr>
            <w:tcW w:w="290" w:type="pct"/>
            <w:shd w:val="clear" w:color="auto" w:fill="auto"/>
            <w:noWrap/>
            <w:vAlign w:val="bottom"/>
            <w:hideMark/>
          </w:tcPr>
          <w:p w14:paraId="250BF776"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w:t>
            </w:r>
            <w:r w:rsidR="006650E5">
              <w:rPr>
                <w:rFonts w:ascii="Times New Roman" w:hAnsi="Times New Roman" w:cs="Times New Roman"/>
                <w:sz w:val="18"/>
              </w:rPr>
              <w:t xml:space="preserve"> </w:t>
            </w:r>
            <w:r w:rsidRPr="003D372B">
              <w:rPr>
                <w:rFonts w:ascii="Times New Roman" w:hAnsi="Times New Roman" w:cs="Times New Roman"/>
                <w:sz w:val="18"/>
              </w:rPr>
              <w:t>878</w:t>
            </w:r>
          </w:p>
        </w:tc>
        <w:tc>
          <w:tcPr>
            <w:tcW w:w="289" w:type="pct"/>
            <w:shd w:val="clear" w:color="auto" w:fill="auto"/>
            <w:noWrap/>
            <w:vAlign w:val="bottom"/>
            <w:hideMark/>
          </w:tcPr>
          <w:p w14:paraId="57213E3C"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7</w:t>
            </w:r>
          </w:p>
        </w:tc>
        <w:tc>
          <w:tcPr>
            <w:tcW w:w="290" w:type="pct"/>
            <w:shd w:val="clear" w:color="auto" w:fill="auto"/>
            <w:noWrap/>
            <w:vAlign w:val="bottom"/>
            <w:hideMark/>
          </w:tcPr>
          <w:p w14:paraId="315D71DE"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10</w:t>
            </w:r>
          </w:p>
        </w:tc>
        <w:tc>
          <w:tcPr>
            <w:tcW w:w="289" w:type="pct"/>
            <w:shd w:val="clear" w:color="auto" w:fill="auto"/>
            <w:noWrap/>
            <w:vAlign w:val="bottom"/>
            <w:hideMark/>
          </w:tcPr>
          <w:p w14:paraId="68E624F7"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661</w:t>
            </w:r>
          </w:p>
        </w:tc>
        <w:tc>
          <w:tcPr>
            <w:tcW w:w="361" w:type="pct"/>
            <w:shd w:val="clear" w:color="auto" w:fill="auto"/>
            <w:noWrap/>
            <w:vAlign w:val="bottom"/>
            <w:hideMark/>
          </w:tcPr>
          <w:p w14:paraId="60251755"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480</w:t>
            </w:r>
          </w:p>
        </w:tc>
        <w:tc>
          <w:tcPr>
            <w:tcW w:w="309" w:type="pct"/>
            <w:gridSpan w:val="2"/>
            <w:shd w:val="clear" w:color="auto" w:fill="auto"/>
            <w:noWrap/>
            <w:vAlign w:val="bottom"/>
            <w:hideMark/>
          </w:tcPr>
          <w:p w14:paraId="09FCFE89" w14:textId="77777777" w:rsidR="00FA139B" w:rsidRPr="003D372B" w:rsidRDefault="00FA139B" w:rsidP="004F65C8">
            <w:pPr>
              <w:pStyle w:val="SingleTxtG"/>
              <w:keepNext/>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469</w:t>
            </w:r>
          </w:p>
        </w:tc>
        <w:tc>
          <w:tcPr>
            <w:tcW w:w="815" w:type="pct"/>
            <w:shd w:val="clear" w:color="auto" w:fill="auto"/>
            <w:noWrap/>
            <w:vAlign w:val="bottom"/>
            <w:hideMark/>
          </w:tcPr>
          <w:p w14:paraId="49BD7B67" w14:textId="77777777" w:rsidR="00FA139B" w:rsidRPr="003D372B" w:rsidRDefault="00FA139B" w:rsidP="004F65C8">
            <w:pPr>
              <w:pStyle w:val="SingleTxtG"/>
              <w:keepNext/>
              <w:spacing w:before="40" w:after="40" w:line="220" w:lineRule="exact"/>
              <w:ind w:left="113"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Octubre de 2019</w:t>
            </w:r>
          </w:p>
        </w:tc>
      </w:tr>
      <w:tr w:rsidR="009C3FA2" w:rsidRPr="003D372B" w14:paraId="17C717E8" w14:textId="77777777" w:rsidTr="00944977">
        <w:trPr>
          <w:cnfStyle w:val="000000010000" w:firstRow="0" w:lastRow="0" w:firstColumn="0" w:lastColumn="0" w:oddVBand="0" w:evenVBand="0" w:oddHBand="0" w:evenHBand="1"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tcBorders>
              <w:bottom w:val="single" w:sz="4" w:space="0" w:color="auto"/>
            </w:tcBorders>
            <w:shd w:val="clear" w:color="auto" w:fill="auto"/>
            <w:noWrap/>
            <w:hideMark/>
          </w:tcPr>
          <w:p w14:paraId="339746DE" w14:textId="77777777" w:rsidR="00FA139B" w:rsidRPr="003D372B" w:rsidRDefault="00FA139B" w:rsidP="004F65C8">
            <w:pPr>
              <w:pStyle w:val="SingleTxtG"/>
              <w:keepNext/>
              <w:spacing w:before="40" w:after="40" w:line="220" w:lineRule="exact"/>
              <w:ind w:left="0" w:right="0"/>
              <w:jc w:val="right"/>
              <w:rPr>
                <w:rFonts w:ascii="Times New Roman" w:hAnsi="Times New Roman" w:cs="Times New Roman"/>
                <w:b w:val="0"/>
                <w:sz w:val="18"/>
              </w:rPr>
            </w:pPr>
            <w:r w:rsidRPr="003D372B">
              <w:rPr>
                <w:rFonts w:ascii="Times New Roman" w:hAnsi="Times New Roman" w:cs="Times New Roman"/>
                <w:b w:val="0"/>
                <w:sz w:val="18"/>
              </w:rPr>
              <w:t>727</w:t>
            </w:r>
            <w:r w:rsidR="006650E5">
              <w:rPr>
                <w:rFonts w:ascii="Times New Roman" w:hAnsi="Times New Roman" w:cs="Times New Roman"/>
                <w:b w:val="0"/>
                <w:sz w:val="18"/>
              </w:rPr>
              <w:t xml:space="preserve"> </w:t>
            </w:r>
            <w:r w:rsidRPr="003D372B">
              <w:rPr>
                <w:rFonts w:ascii="Times New Roman" w:hAnsi="Times New Roman" w:cs="Times New Roman"/>
                <w:b w:val="0"/>
                <w:sz w:val="18"/>
              </w:rPr>
              <w:t>246</w:t>
            </w:r>
          </w:p>
        </w:tc>
        <w:tc>
          <w:tcPr>
            <w:tcW w:w="1234" w:type="pct"/>
            <w:tcBorders>
              <w:bottom w:val="single" w:sz="4" w:space="0" w:color="auto"/>
            </w:tcBorders>
            <w:shd w:val="clear" w:color="auto" w:fill="auto"/>
            <w:noWrap/>
            <w:vAlign w:val="bottom"/>
            <w:hideMark/>
          </w:tcPr>
          <w:p w14:paraId="4D868A04"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173</w:t>
            </w:r>
            <w:r w:rsidR="006650E5">
              <w:rPr>
                <w:rFonts w:ascii="Times New Roman" w:hAnsi="Times New Roman" w:cs="Times New Roman"/>
                <w:sz w:val="18"/>
              </w:rPr>
              <w:t xml:space="preserve"> </w:t>
            </w:r>
            <w:r w:rsidRPr="003D372B">
              <w:rPr>
                <w:rFonts w:ascii="Times New Roman" w:hAnsi="Times New Roman" w:cs="Times New Roman"/>
                <w:sz w:val="18"/>
              </w:rPr>
              <w:t xml:space="preserve">246 </w:t>
            </w:r>
          </w:p>
        </w:tc>
        <w:tc>
          <w:tcPr>
            <w:tcW w:w="290" w:type="pct"/>
            <w:tcBorders>
              <w:bottom w:val="single" w:sz="4" w:space="0" w:color="auto"/>
            </w:tcBorders>
            <w:shd w:val="clear" w:color="auto" w:fill="auto"/>
            <w:noWrap/>
            <w:vAlign w:val="bottom"/>
            <w:hideMark/>
          </w:tcPr>
          <w:p w14:paraId="3D698D5A"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95</w:t>
            </w:r>
          </w:p>
        </w:tc>
        <w:tc>
          <w:tcPr>
            <w:tcW w:w="289" w:type="pct"/>
            <w:tcBorders>
              <w:bottom w:val="single" w:sz="4" w:space="0" w:color="auto"/>
            </w:tcBorders>
            <w:shd w:val="clear" w:color="auto" w:fill="auto"/>
            <w:noWrap/>
            <w:vAlign w:val="bottom"/>
            <w:hideMark/>
          </w:tcPr>
          <w:p w14:paraId="15607DA1"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268</w:t>
            </w:r>
          </w:p>
        </w:tc>
        <w:tc>
          <w:tcPr>
            <w:tcW w:w="290" w:type="pct"/>
            <w:tcBorders>
              <w:bottom w:val="single" w:sz="4" w:space="0" w:color="auto"/>
            </w:tcBorders>
            <w:shd w:val="clear" w:color="auto" w:fill="auto"/>
            <w:noWrap/>
            <w:vAlign w:val="bottom"/>
            <w:hideMark/>
          </w:tcPr>
          <w:p w14:paraId="31C04B5A"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3</w:t>
            </w:r>
            <w:r w:rsidR="006650E5">
              <w:rPr>
                <w:rFonts w:ascii="Times New Roman" w:hAnsi="Times New Roman" w:cs="Times New Roman"/>
                <w:sz w:val="18"/>
              </w:rPr>
              <w:t xml:space="preserve"> </w:t>
            </w:r>
            <w:r w:rsidRPr="003D372B">
              <w:rPr>
                <w:rFonts w:ascii="Times New Roman" w:hAnsi="Times New Roman" w:cs="Times New Roman"/>
                <w:sz w:val="18"/>
              </w:rPr>
              <w:t>241</w:t>
            </w:r>
          </w:p>
        </w:tc>
        <w:tc>
          <w:tcPr>
            <w:tcW w:w="289" w:type="pct"/>
            <w:tcBorders>
              <w:bottom w:val="single" w:sz="4" w:space="0" w:color="auto"/>
            </w:tcBorders>
            <w:shd w:val="clear" w:color="auto" w:fill="auto"/>
            <w:noWrap/>
            <w:vAlign w:val="bottom"/>
            <w:hideMark/>
          </w:tcPr>
          <w:p w14:paraId="39178893"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5</w:t>
            </w:r>
          </w:p>
        </w:tc>
        <w:tc>
          <w:tcPr>
            <w:tcW w:w="290" w:type="pct"/>
            <w:tcBorders>
              <w:bottom w:val="single" w:sz="4" w:space="0" w:color="auto"/>
            </w:tcBorders>
            <w:shd w:val="clear" w:color="auto" w:fill="auto"/>
            <w:noWrap/>
            <w:vAlign w:val="bottom"/>
            <w:hideMark/>
          </w:tcPr>
          <w:p w14:paraId="56DF30D0"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p>
        </w:tc>
        <w:tc>
          <w:tcPr>
            <w:tcW w:w="289" w:type="pct"/>
            <w:tcBorders>
              <w:bottom w:val="single" w:sz="4" w:space="0" w:color="auto"/>
            </w:tcBorders>
            <w:shd w:val="clear" w:color="auto" w:fill="auto"/>
            <w:noWrap/>
            <w:vAlign w:val="bottom"/>
            <w:hideMark/>
          </w:tcPr>
          <w:p w14:paraId="4B608B5B"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676</w:t>
            </w:r>
          </w:p>
        </w:tc>
        <w:tc>
          <w:tcPr>
            <w:tcW w:w="361" w:type="pct"/>
            <w:tcBorders>
              <w:bottom w:val="single" w:sz="4" w:space="0" w:color="auto"/>
            </w:tcBorders>
            <w:shd w:val="clear" w:color="auto" w:fill="auto"/>
            <w:noWrap/>
            <w:vAlign w:val="bottom"/>
            <w:hideMark/>
          </w:tcPr>
          <w:p w14:paraId="51CEFC32"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1</w:t>
            </w:r>
            <w:r w:rsidR="006650E5">
              <w:rPr>
                <w:rFonts w:ascii="Times New Roman" w:hAnsi="Times New Roman" w:cs="Times New Roman"/>
                <w:sz w:val="18"/>
              </w:rPr>
              <w:t xml:space="preserve"> </w:t>
            </w:r>
            <w:r w:rsidRPr="003D372B">
              <w:rPr>
                <w:rFonts w:ascii="Times New Roman" w:hAnsi="Times New Roman" w:cs="Times New Roman"/>
                <w:sz w:val="18"/>
              </w:rPr>
              <w:t>513</w:t>
            </w:r>
          </w:p>
        </w:tc>
        <w:tc>
          <w:tcPr>
            <w:tcW w:w="309" w:type="pct"/>
            <w:gridSpan w:val="2"/>
            <w:tcBorders>
              <w:bottom w:val="single" w:sz="4" w:space="0" w:color="auto"/>
            </w:tcBorders>
            <w:shd w:val="clear" w:color="auto" w:fill="auto"/>
            <w:noWrap/>
            <w:vAlign w:val="bottom"/>
            <w:hideMark/>
          </w:tcPr>
          <w:p w14:paraId="0CADF7B6" w14:textId="77777777" w:rsidR="00FA139B" w:rsidRPr="003D372B" w:rsidRDefault="00FA139B" w:rsidP="004F65C8">
            <w:pPr>
              <w:pStyle w:val="SingleTxtG"/>
              <w:keepNext/>
              <w:spacing w:before="40" w:after="40" w:line="220" w:lineRule="exact"/>
              <w:ind w:left="113" w:right="0"/>
              <w:jc w:val="righ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473</w:t>
            </w:r>
          </w:p>
        </w:tc>
        <w:tc>
          <w:tcPr>
            <w:tcW w:w="815" w:type="pct"/>
            <w:tcBorders>
              <w:bottom w:val="single" w:sz="4" w:space="0" w:color="auto"/>
            </w:tcBorders>
            <w:shd w:val="clear" w:color="auto" w:fill="auto"/>
            <w:noWrap/>
            <w:vAlign w:val="bottom"/>
            <w:hideMark/>
          </w:tcPr>
          <w:p w14:paraId="0904CA07" w14:textId="77777777" w:rsidR="00FA139B" w:rsidRPr="003D372B" w:rsidRDefault="00FA139B" w:rsidP="004F65C8">
            <w:pPr>
              <w:pStyle w:val="SingleTxtG"/>
              <w:keepNext/>
              <w:spacing w:before="40" w:after="40" w:line="220" w:lineRule="exact"/>
              <w:ind w:left="113" w:right="0"/>
              <w:jc w:val="left"/>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18"/>
              </w:rPr>
            </w:pPr>
            <w:r w:rsidRPr="003D372B">
              <w:rPr>
                <w:rFonts w:ascii="Times New Roman" w:hAnsi="Times New Roman" w:cs="Times New Roman"/>
                <w:sz w:val="18"/>
              </w:rPr>
              <w:t>Noviembre de 2019</w:t>
            </w:r>
          </w:p>
        </w:tc>
      </w:tr>
      <w:tr w:rsidR="009C3FA2" w:rsidRPr="003D372B" w14:paraId="5A0D2C6D" w14:textId="77777777" w:rsidTr="00944977">
        <w:trPr>
          <w:cnfStyle w:val="000000100000" w:firstRow="0" w:lastRow="0" w:firstColumn="0" w:lastColumn="0" w:oddVBand="0" w:evenVBand="0" w:oddHBand="1" w:evenHBand="0" w:firstRowFirstColumn="0" w:firstRowLastColumn="0" w:lastRowFirstColumn="0" w:lastRowLastColumn="0"/>
          <w:cantSplit/>
          <w:trHeight w:val="240"/>
        </w:trPr>
        <w:tc>
          <w:tcPr>
            <w:cnfStyle w:val="001000000000" w:firstRow="0" w:lastRow="0" w:firstColumn="1" w:lastColumn="0" w:oddVBand="0" w:evenVBand="0" w:oddHBand="0" w:evenHBand="0" w:firstRowFirstColumn="0" w:firstRowLastColumn="0" w:lastRowFirstColumn="0" w:lastRowLastColumn="0"/>
            <w:tcW w:w="545" w:type="pct"/>
            <w:tcBorders>
              <w:top w:val="single" w:sz="4" w:space="0" w:color="auto"/>
              <w:bottom w:val="single" w:sz="12" w:space="0" w:color="auto"/>
            </w:tcBorders>
            <w:shd w:val="clear" w:color="auto" w:fill="auto"/>
            <w:noWrap/>
            <w:hideMark/>
          </w:tcPr>
          <w:p w14:paraId="4BECDCF2" w14:textId="77777777" w:rsidR="00FA139B" w:rsidRPr="006650E5" w:rsidRDefault="00FA139B" w:rsidP="004F65C8">
            <w:pPr>
              <w:pStyle w:val="SingleTxtG"/>
              <w:keepNext/>
              <w:spacing w:before="80" w:after="80" w:line="220" w:lineRule="exact"/>
              <w:ind w:left="0" w:right="0"/>
              <w:jc w:val="right"/>
              <w:rPr>
                <w:rFonts w:ascii="Times New Roman" w:hAnsi="Times New Roman" w:cs="Times New Roman"/>
                <w:sz w:val="18"/>
                <w:rtl/>
              </w:rPr>
            </w:pPr>
          </w:p>
        </w:tc>
        <w:tc>
          <w:tcPr>
            <w:tcW w:w="1234" w:type="pct"/>
            <w:tcBorders>
              <w:top w:val="single" w:sz="4" w:space="0" w:color="auto"/>
              <w:bottom w:val="single" w:sz="12" w:space="0" w:color="auto"/>
            </w:tcBorders>
            <w:shd w:val="clear" w:color="auto" w:fill="auto"/>
            <w:noWrap/>
            <w:vAlign w:val="bottom"/>
            <w:hideMark/>
          </w:tcPr>
          <w:p w14:paraId="58E51C8F"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1</w:t>
            </w:r>
            <w:r w:rsidR="006650E5">
              <w:rPr>
                <w:rFonts w:ascii="Times New Roman" w:hAnsi="Times New Roman" w:cs="Times New Roman"/>
                <w:b/>
                <w:bCs/>
                <w:sz w:val="18"/>
              </w:rPr>
              <w:t xml:space="preserve"> </w:t>
            </w:r>
            <w:r w:rsidRPr="006650E5">
              <w:rPr>
                <w:rFonts w:ascii="Times New Roman" w:hAnsi="Times New Roman" w:cs="Times New Roman"/>
                <w:b/>
                <w:bCs/>
                <w:sz w:val="18"/>
              </w:rPr>
              <w:t>343</w:t>
            </w:r>
            <w:r w:rsidR="006650E5">
              <w:rPr>
                <w:rFonts w:ascii="Times New Roman" w:hAnsi="Times New Roman" w:cs="Times New Roman"/>
                <w:b/>
                <w:bCs/>
                <w:sz w:val="18"/>
              </w:rPr>
              <w:t xml:space="preserve"> </w:t>
            </w:r>
            <w:r w:rsidRPr="006650E5">
              <w:rPr>
                <w:rFonts w:ascii="Times New Roman" w:hAnsi="Times New Roman" w:cs="Times New Roman"/>
                <w:b/>
                <w:bCs/>
                <w:sz w:val="18"/>
              </w:rPr>
              <w:t>388</w:t>
            </w:r>
          </w:p>
        </w:tc>
        <w:tc>
          <w:tcPr>
            <w:tcW w:w="290" w:type="pct"/>
            <w:tcBorders>
              <w:top w:val="single" w:sz="4" w:space="0" w:color="auto"/>
              <w:bottom w:val="single" w:sz="12" w:space="0" w:color="auto"/>
            </w:tcBorders>
            <w:shd w:val="clear" w:color="auto" w:fill="auto"/>
            <w:noWrap/>
            <w:vAlign w:val="bottom"/>
            <w:hideMark/>
          </w:tcPr>
          <w:p w14:paraId="68858252"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594</w:t>
            </w:r>
          </w:p>
        </w:tc>
        <w:tc>
          <w:tcPr>
            <w:tcW w:w="289" w:type="pct"/>
            <w:tcBorders>
              <w:top w:val="single" w:sz="4" w:space="0" w:color="auto"/>
              <w:bottom w:val="single" w:sz="12" w:space="0" w:color="auto"/>
            </w:tcBorders>
            <w:shd w:val="clear" w:color="auto" w:fill="auto"/>
            <w:noWrap/>
            <w:vAlign w:val="bottom"/>
            <w:hideMark/>
          </w:tcPr>
          <w:p w14:paraId="64E584F7"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2</w:t>
            </w:r>
            <w:r w:rsidR="009C3FA2">
              <w:rPr>
                <w:rFonts w:ascii="Times New Roman" w:hAnsi="Times New Roman" w:cs="Times New Roman"/>
                <w:b/>
                <w:bCs/>
                <w:sz w:val="18"/>
              </w:rPr>
              <w:t xml:space="preserve"> </w:t>
            </w:r>
            <w:r w:rsidRPr="006650E5">
              <w:rPr>
                <w:rFonts w:ascii="Times New Roman" w:hAnsi="Times New Roman" w:cs="Times New Roman"/>
                <w:b/>
                <w:bCs/>
                <w:sz w:val="18"/>
              </w:rPr>
              <w:t>460</w:t>
            </w:r>
          </w:p>
        </w:tc>
        <w:tc>
          <w:tcPr>
            <w:tcW w:w="290" w:type="pct"/>
            <w:tcBorders>
              <w:top w:val="single" w:sz="4" w:space="0" w:color="auto"/>
              <w:bottom w:val="single" w:sz="12" w:space="0" w:color="auto"/>
            </w:tcBorders>
            <w:shd w:val="clear" w:color="auto" w:fill="auto"/>
            <w:noWrap/>
            <w:vAlign w:val="bottom"/>
            <w:hideMark/>
          </w:tcPr>
          <w:p w14:paraId="542AD743"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0</w:t>
            </w:r>
          </w:p>
        </w:tc>
        <w:tc>
          <w:tcPr>
            <w:tcW w:w="289" w:type="pct"/>
            <w:tcBorders>
              <w:top w:val="single" w:sz="4" w:space="0" w:color="auto"/>
              <w:bottom w:val="single" w:sz="12" w:space="0" w:color="auto"/>
            </w:tcBorders>
            <w:shd w:val="clear" w:color="auto" w:fill="auto"/>
            <w:noWrap/>
            <w:vAlign w:val="bottom"/>
            <w:hideMark/>
          </w:tcPr>
          <w:p w14:paraId="0A9115E3"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57</w:t>
            </w:r>
          </w:p>
        </w:tc>
        <w:tc>
          <w:tcPr>
            <w:tcW w:w="290" w:type="pct"/>
            <w:tcBorders>
              <w:top w:val="single" w:sz="4" w:space="0" w:color="auto"/>
              <w:bottom w:val="single" w:sz="12" w:space="0" w:color="auto"/>
            </w:tcBorders>
            <w:shd w:val="clear" w:color="auto" w:fill="auto"/>
            <w:noWrap/>
            <w:vAlign w:val="bottom"/>
            <w:hideMark/>
          </w:tcPr>
          <w:p w14:paraId="7B015232"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323</w:t>
            </w:r>
          </w:p>
        </w:tc>
        <w:tc>
          <w:tcPr>
            <w:tcW w:w="289" w:type="pct"/>
            <w:tcBorders>
              <w:top w:val="single" w:sz="4" w:space="0" w:color="auto"/>
              <w:bottom w:val="single" w:sz="12" w:space="0" w:color="auto"/>
            </w:tcBorders>
            <w:shd w:val="clear" w:color="auto" w:fill="auto"/>
            <w:noWrap/>
            <w:vAlign w:val="bottom"/>
            <w:hideMark/>
          </w:tcPr>
          <w:p w14:paraId="7CBB32DC"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0</w:t>
            </w:r>
          </w:p>
        </w:tc>
        <w:tc>
          <w:tcPr>
            <w:tcW w:w="361" w:type="pct"/>
            <w:tcBorders>
              <w:top w:val="single" w:sz="4" w:space="0" w:color="auto"/>
              <w:bottom w:val="single" w:sz="12" w:space="0" w:color="auto"/>
            </w:tcBorders>
            <w:shd w:val="clear" w:color="auto" w:fill="auto"/>
            <w:noWrap/>
            <w:vAlign w:val="bottom"/>
            <w:hideMark/>
          </w:tcPr>
          <w:p w14:paraId="349B14F0"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0</w:t>
            </w:r>
          </w:p>
        </w:tc>
        <w:tc>
          <w:tcPr>
            <w:tcW w:w="309" w:type="pct"/>
            <w:gridSpan w:val="2"/>
            <w:tcBorders>
              <w:top w:val="single" w:sz="4" w:space="0" w:color="auto"/>
              <w:bottom w:val="single" w:sz="12" w:space="0" w:color="auto"/>
            </w:tcBorders>
            <w:shd w:val="clear" w:color="auto" w:fill="auto"/>
            <w:noWrap/>
            <w:vAlign w:val="bottom"/>
            <w:hideMark/>
          </w:tcPr>
          <w:p w14:paraId="3C7F0E22" w14:textId="77777777" w:rsidR="00FA139B" w:rsidRPr="006650E5" w:rsidRDefault="00FA139B" w:rsidP="004F65C8">
            <w:pPr>
              <w:pStyle w:val="SingleTxtG"/>
              <w:keepNext/>
              <w:spacing w:before="80" w:after="8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0</w:t>
            </w:r>
          </w:p>
        </w:tc>
        <w:tc>
          <w:tcPr>
            <w:tcW w:w="815" w:type="pct"/>
            <w:tcBorders>
              <w:top w:val="single" w:sz="4" w:space="0" w:color="auto"/>
              <w:bottom w:val="single" w:sz="12" w:space="0" w:color="auto"/>
            </w:tcBorders>
            <w:shd w:val="clear" w:color="auto" w:fill="auto"/>
            <w:noWrap/>
            <w:vAlign w:val="bottom"/>
            <w:hideMark/>
          </w:tcPr>
          <w:p w14:paraId="714E0B1C" w14:textId="77777777" w:rsidR="00FA139B" w:rsidRPr="006650E5" w:rsidRDefault="00FA139B" w:rsidP="004F65C8">
            <w:pPr>
              <w:pStyle w:val="SingleTxtG"/>
              <w:keepNext/>
              <w:spacing w:before="80" w:after="80" w:line="220" w:lineRule="exact"/>
              <w:ind w:left="284" w:righ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rPr>
            </w:pPr>
            <w:r w:rsidRPr="006650E5">
              <w:rPr>
                <w:rFonts w:ascii="Times New Roman" w:hAnsi="Times New Roman" w:cs="Times New Roman"/>
                <w:b/>
                <w:bCs/>
                <w:sz w:val="18"/>
              </w:rPr>
              <w:t>T</w:t>
            </w:r>
            <w:r w:rsidR="006650E5" w:rsidRPr="006650E5">
              <w:rPr>
                <w:rFonts w:ascii="Times New Roman" w:hAnsi="Times New Roman" w:cs="Times New Roman"/>
                <w:b/>
                <w:bCs/>
                <w:sz w:val="18"/>
              </w:rPr>
              <w:t>otal</w:t>
            </w:r>
          </w:p>
        </w:tc>
      </w:tr>
    </w:tbl>
    <w:p w14:paraId="466E4A28" w14:textId="77777777" w:rsidR="00FA139B" w:rsidRPr="00FA139B" w:rsidRDefault="00FA139B" w:rsidP="006650E5">
      <w:pPr>
        <w:pStyle w:val="H1G"/>
      </w:pPr>
      <w:r w:rsidRPr="00FA139B">
        <w:tab/>
      </w:r>
      <w:r w:rsidRPr="00FA139B">
        <w:tab/>
        <w:t>Recomendación núm. 26 a)</w:t>
      </w:r>
    </w:p>
    <w:p w14:paraId="101FC457" w14:textId="77777777" w:rsidR="00FA139B" w:rsidRPr="00FA139B" w:rsidRDefault="00FA139B" w:rsidP="00FA139B">
      <w:pPr>
        <w:pStyle w:val="SingleTxtG"/>
      </w:pPr>
      <w:r w:rsidRPr="00FA139B">
        <w:t>77.</w:t>
      </w:r>
      <w:r w:rsidRPr="00FA139B">
        <w:tab/>
        <w:t>La Autoridad de la Mano de Obra presta a todos los colectivos de trabajadores en ella registrados servicios en línea dirigidos a proteger los derechos laborales en el sector privado. Esos servicios facilitan, en particular, la presentación y el seguimiento de las denuncias laborales y las consultas relativas a las denuncias de absentismo. La Autoridad de la Mano de Obra también vigila el cumplimiento por el trabajador de las obligaciones que le incumben para con el empleador en virtud de la ley, los decretos y los reglamentos en la materia. Su atención en línea facilita a los trabajadores del sector privado la obtención de copias de su documentación laboral, la denuncia de conflictos laborales o relativos al permiso de trabajo y el seguimiento de esas denuncias. Paralelamente, facilita a los empleadores la denuncia del absentismo laboral y el seguimiento del procedimiento dimanante. El servicio comprende también el envío de mensajes SMS informativos a las partes en conflicto.</w:t>
      </w:r>
    </w:p>
    <w:p w14:paraId="2DBBEEFC" w14:textId="77777777" w:rsidR="00FA139B" w:rsidRPr="00FA139B" w:rsidRDefault="00FA139B" w:rsidP="00FA139B">
      <w:pPr>
        <w:pStyle w:val="SingleTxtG"/>
      </w:pPr>
      <w:r w:rsidRPr="00FA139B">
        <w:t>78.</w:t>
      </w:r>
      <w:r w:rsidRPr="00FA139B">
        <w:tab/>
        <w:t>Entre enero y septiembre de 2019 se interpusieron 14.062 denuncias en línea. Adviértase que los litigios laborales están exentos de costas procesales para que el trabajador pueda acceder a la tutela de los órganos jurisdiccionales y hacer efectivos sus derechos en caso de conflicto con el empleador sobre la interpretación del contrato de trabajo o cualquier otra cuestión.</w:t>
      </w:r>
    </w:p>
    <w:p w14:paraId="1DCC07ED" w14:textId="77777777" w:rsidR="00FA139B" w:rsidRPr="00FA139B" w:rsidRDefault="00FA139B" w:rsidP="00FA139B">
      <w:pPr>
        <w:pStyle w:val="SingleTxtG"/>
      </w:pPr>
      <w:r w:rsidRPr="00FA139B">
        <w:t>79.</w:t>
      </w:r>
      <w:r w:rsidRPr="00FA139B">
        <w:tab/>
        <w:t>La Ley núm. 68/2015 de los Trabajadores Domésticos regula la relación entre el trabajador, el empleador y la agencia de reclutamiento y los derechos del trabajador, incluida la jornada laboral, las licencias, el finiquito por conclusión de servicios, las sanciones aplicables a los empleadores y la resolución de los conflictos entre las partes (el</w:t>
      </w:r>
      <w:r w:rsidR="00911868">
        <w:t> </w:t>
      </w:r>
      <w:r w:rsidRPr="00FA139B">
        <w:t>empleador y el trabajador doméstico). En cuanto al procesamiento de los autores de actos de violencia contra trabajadores domésticos, conviene señalar que los delitos contra las personas se tipifican en el Título I, Libro III, artículos 149 a 173, del Código Penal kuwaití (Ley núm. 16/1960).</w:t>
      </w:r>
    </w:p>
    <w:p w14:paraId="3758C26D" w14:textId="77777777" w:rsidR="00FA139B" w:rsidRPr="00FA139B" w:rsidRDefault="00FA139B" w:rsidP="00FA139B">
      <w:pPr>
        <w:pStyle w:val="SingleTxtG"/>
      </w:pPr>
      <w:r w:rsidRPr="00FA139B">
        <w:t>80.</w:t>
      </w:r>
      <w:r w:rsidRPr="00FA139B">
        <w:tab/>
        <w:t>En la Dependencia de Inspección de la Dirección de los Trabajadores Domésticos se ha constituido un equipo de trabajo responsable de vigilar por todas las vías posibles, incluidos los medios sociales, las infracciones y los atropellos que sufran esos trabajadores, darles seguimiento y tomar las medidas legales pertinentes.</w:t>
      </w:r>
    </w:p>
    <w:p w14:paraId="63279355" w14:textId="77777777" w:rsidR="00FA139B" w:rsidRPr="00FA139B" w:rsidRDefault="00FA139B" w:rsidP="00FA139B">
      <w:pPr>
        <w:pStyle w:val="SingleTxtG"/>
      </w:pPr>
      <w:r w:rsidRPr="00FA139B">
        <w:t>81.</w:t>
      </w:r>
      <w:r w:rsidRPr="00FA139B">
        <w:tab/>
        <w:t>La Dirección de los Trabajadores Domésticos ha articulado, entre otros, los siguientes mecanismos para la denuncia del maltrato:</w:t>
      </w:r>
    </w:p>
    <w:p w14:paraId="004C0584" w14:textId="77777777" w:rsidR="00FA139B" w:rsidRPr="00FA139B" w:rsidRDefault="00FA139B" w:rsidP="009C3FA2">
      <w:pPr>
        <w:pStyle w:val="Bullet1G"/>
      </w:pPr>
      <w:r w:rsidRPr="00FA139B">
        <w:t>Denuncias por conducto de la embajada del trabajador doméstico</w:t>
      </w:r>
      <w:r w:rsidR="009C3FA2">
        <w:t>.</w:t>
      </w:r>
    </w:p>
    <w:p w14:paraId="7F7C4010" w14:textId="77777777" w:rsidR="00FA139B" w:rsidRPr="00FA139B" w:rsidRDefault="00FA139B" w:rsidP="009C3FA2">
      <w:pPr>
        <w:pStyle w:val="Bullet1G"/>
      </w:pPr>
      <w:r w:rsidRPr="00FA139B">
        <w:t>Denuncias dirigidas al correo electrónico de la Dirección</w:t>
      </w:r>
      <w:r w:rsidR="009C3FA2">
        <w:t>.</w:t>
      </w:r>
    </w:p>
    <w:p w14:paraId="5CB29EF9" w14:textId="77777777" w:rsidR="00FA139B" w:rsidRPr="00FA139B" w:rsidRDefault="00FA139B" w:rsidP="009C3FA2">
      <w:pPr>
        <w:pStyle w:val="Bullet1G"/>
      </w:pPr>
      <w:r w:rsidRPr="00FA139B">
        <w:t>Denuncias formuladas en el número de teléfono habilitado a ese efecto.</w:t>
      </w:r>
    </w:p>
    <w:p w14:paraId="4B8993BE" w14:textId="77777777" w:rsidR="00FA139B" w:rsidRPr="00FA139B" w:rsidRDefault="00FA139B" w:rsidP="00FA139B">
      <w:pPr>
        <w:pStyle w:val="SingleTxtG"/>
      </w:pPr>
      <w:r w:rsidRPr="00FA139B">
        <w:t>82.</w:t>
      </w:r>
      <w:r w:rsidRPr="00FA139B">
        <w:tab/>
        <w:t>La Ley núm. 68/2015 se tradujo, editó y difundió en siete idiomas (árabe, urdu, cingalés, tagalo, etíope, francés e inglés) con el fin de dar a conocer a los trabajadores domésticos, los empleadores y las agencias y empresas de reclutamiento los derechos y deberes de las partes contractuales.</w:t>
      </w:r>
    </w:p>
    <w:p w14:paraId="77F5BF54" w14:textId="77777777" w:rsidR="00FA139B" w:rsidRPr="00FA139B" w:rsidRDefault="00FA139B" w:rsidP="009C3FA2">
      <w:pPr>
        <w:pStyle w:val="H1G"/>
      </w:pPr>
      <w:r w:rsidRPr="00FA139B">
        <w:lastRenderedPageBreak/>
        <w:tab/>
      </w:r>
      <w:r w:rsidRPr="00FA139B">
        <w:tab/>
        <w:t>Recomendación núm. 26 b)</w:t>
      </w:r>
    </w:p>
    <w:p w14:paraId="29B9FB85" w14:textId="77777777" w:rsidR="00FA139B" w:rsidRPr="00FA139B" w:rsidRDefault="00FA139B" w:rsidP="00FA139B">
      <w:pPr>
        <w:pStyle w:val="SingleTxtG"/>
      </w:pPr>
      <w:r w:rsidRPr="00FA139B">
        <w:t>83.</w:t>
      </w:r>
      <w:r w:rsidRPr="00FA139B">
        <w:tab/>
        <w:t>El Estado de Kuwait vela mediante los mecanismos establecidos al efecto por la protección de todos los trabajadores extranjeros y la efectividad de los derechos que les asisten en virtud de la legislación nacional. En los cuadros siguientes figura información estadística sobre el número de denuncias interpuestas ante la instancia competente, incluidas las resueltas con arreglo a la ley y las deferidas a los órganos jurisdiccionales para que se pronuncien de manera independiente.</w:t>
      </w:r>
    </w:p>
    <w:p w14:paraId="5EF2D67C" w14:textId="77777777" w:rsidR="00FA139B" w:rsidRPr="00FA139B" w:rsidRDefault="00FA139B" w:rsidP="009C3FA2">
      <w:pPr>
        <w:pStyle w:val="SingleTxtG"/>
        <w:keepNext/>
        <w:jc w:val="left"/>
        <w:rPr>
          <w:b/>
          <w:bCs/>
        </w:rPr>
      </w:pPr>
      <w:r w:rsidRPr="00FA139B">
        <w:rPr>
          <w:b/>
          <w:bCs/>
        </w:rPr>
        <w:t xml:space="preserve">Datos estadísticos sobre el número de denuncias relativas a permisos </w:t>
      </w:r>
      <w:r w:rsidR="009C3FA2">
        <w:rPr>
          <w:b/>
          <w:bCs/>
        </w:rPr>
        <w:br/>
      </w:r>
      <w:r w:rsidRPr="00FA139B">
        <w:rPr>
          <w:b/>
          <w:bCs/>
        </w:rPr>
        <w:t xml:space="preserve">de trabajo interpuestas entre el 1 de enero y el 9 de diciembre de 2019, </w:t>
      </w:r>
      <w:r w:rsidR="009C3FA2">
        <w:rPr>
          <w:b/>
          <w:bCs/>
        </w:rPr>
        <w:br/>
      </w:r>
      <w:r w:rsidRPr="00FA139B">
        <w:rPr>
          <w:b/>
          <w:bCs/>
        </w:rPr>
        <w:t>con datos desglosados por tipo de resolución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260"/>
        <w:gridCol w:w="2110"/>
      </w:tblGrid>
      <w:tr w:rsidR="00FA139B" w:rsidRPr="009C3FA2" w14:paraId="7A02B6F9" w14:textId="77777777" w:rsidTr="009C3FA2">
        <w:trPr>
          <w:trHeight w:val="240"/>
          <w:tblHeader/>
        </w:trPr>
        <w:tc>
          <w:tcPr>
            <w:tcW w:w="5260" w:type="dxa"/>
            <w:tcBorders>
              <w:top w:val="single" w:sz="4" w:space="0" w:color="auto"/>
              <w:bottom w:val="single" w:sz="12" w:space="0" w:color="auto"/>
            </w:tcBorders>
            <w:shd w:val="clear" w:color="auto" w:fill="auto"/>
            <w:vAlign w:val="bottom"/>
          </w:tcPr>
          <w:p w14:paraId="251B4397" w14:textId="77777777" w:rsidR="00FA139B" w:rsidRPr="009C3FA2" w:rsidRDefault="00FA139B" w:rsidP="009C3FA2">
            <w:pPr>
              <w:pStyle w:val="SingleTxtG"/>
              <w:keepNext/>
              <w:spacing w:before="80" w:after="80" w:line="200" w:lineRule="exact"/>
              <w:ind w:left="0" w:right="0"/>
              <w:jc w:val="left"/>
              <w:rPr>
                <w:i/>
                <w:iCs/>
                <w:sz w:val="16"/>
              </w:rPr>
            </w:pPr>
            <w:r w:rsidRPr="009C3FA2">
              <w:rPr>
                <w:i/>
                <w:iCs/>
                <w:sz w:val="16"/>
              </w:rPr>
              <w:t>Resultado</w:t>
            </w:r>
          </w:p>
        </w:tc>
        <w:tc>
          <w:tcPr>
            <w:tcW w:w="2110" w:type="dxa"/>
            <w:tcBorders>
              <w:top w:val="single" w:sz="4" w:space="0" w:color="auto"/>
              <w:bottom w:val="single" w:sz="12" w:space="0" w:color="auto"/>
            </w:tcBorders>
            <w:shd w:val="clear" w:color="auto" w:fill="auto"/>
            <w:vAlign w:val="bottom"/>
          </w:tcPr>
          <w:p w14:paraId="21FCCAF4" w14:textId="77777777" w:rsidR="00FA139B" w:rsidRPr="009C3FA2" w:rsidRDefault="00FA139B" w:rsidP="009C3FA2">
            <w:pPr>
              <w:pStyle w:val="SingleTxtG"/>
              <w:keepNext/>
              <w:spacing w:before="80" w:after="80" w:line="200" w:lineRule="exact"/>
              <w:ind w:left="113" w:right="0"/>
              <w:jc w:val="right"/>
              <w:rPr>
                <w:i/>
                <w:iCs/>
                <w:sz w:val="16"/>
              </w:rPr>
            </w:pPr>
            <w:r w:rsidRPr="009C3FA2">
              <w:rPr>
                <w:i/>
                <w:iCs/>
                <w:sz w:val="16"/>
              </w:rPr>
              <w:t>Núm</w:t>
            </w:r>
            <w:r w:rsidR="00D576CC">
              <w:rPr>
                <w:i/>
                <w:iCs/>
                <w:sz w:val="16"/>
              </w:rPr>
              <w:t>ero</w:t>
            </w:r>
            <w:r w:rsidRPr="009C3FA2">
              <w:rPr>
                <w:i/>
                <w:iCs/>
                <w:sz w:val="16"/>
              </w:rPr>
              <w:t xml:space="preserve"> de denuncias</w:t>
            </w:r>
          </w:p>
        </w:tc>
      </w:tr>
      <w:tr w:rsidR="00FA139B" w:rsidRPr="009C3FA2" w14:paraId="02D147AF" w14:textId="77777777" w:rsidTr="009C3FA2">
        <w:trPr>
          <w:trHeight w:val="240"/>
        </w:trPr>
        <w:tc>
          <w:tcPr>
            <w:tcW w:w="5260" w:type="dxa"/>
            <w:shd w:val="clear" w:color="auto" w:fill="auto"/>
          </w:tcPr>
          <w:p w14:paraId="55326179" w14:textId="77777777" w:rsidR="00FA139B" w:rsidRPr="009C3FA2" w:rsidRDefault="00FA139B" w:rsidP="009C3FA2">
            <w:pPr>
              <w:pStyle w:val="SingleTxtG"/>
              <w:spacing w:before="40" w:after="40" w:line="220" w:lineRule="exact"/>
              <w:ind w:left="0" w:right="0"/>
              <w:jc w:val="left"/>
              <w:rPr>
                <w:sz w:val="18"/>
              </w:rPr>
            </w:pPr>
            <w:r w:rsidRPr="009C3FA2">
              <w:rPr>
                <w:sz w:val="18"/>
              </w:rPr>
              <w:t>Archivo por falta de requisitos jurídicos</w:t>
            </w:r>
          </w:p>
        </w:tc>
        <w:tc>
          <w:tcPr>
            <w:tcW w:w="2110" w:type="dxa"/>
            <w:shd w:val="clear" w:color="auto" w:fill="auto"/>
            <w:vAlign w:val="bottom"/>
          </w:tcPr>
          <w:p w14:paraId="08D231E8" w14:textId="77777777" w:rsidR="00FA139B" w:rsidRPr="009C3FA2" w:rsidRDefault="00FA139B" w:rsidP="009C3FA2">
            <w:pPr>
              <w:pStyle w:val="SingleTxtG"/>
              <w:spacing w:before="40" w:after="40" w:line="220" w:lineRule="exact"/>
              <w:ind w:left="113" w:right="0"/>
              <w:jc w:val="right"/>
              <w:rPr>
                <w:sz w:val="18"/>
              </w:rPr>
            </w:pPr>
            <w:r w:rsidRPr="009C3FA2">
              <w:rPr>
                <w:sz w:val="18"/>
              </w:rPr>
              <w:t>266</w:t>
            </w:r>
          </w:p>
        </w:tc>
      </w:tr>
      <w:tr w:rsidR="00FA139B" w:rsidRPr="009C3FA2" w14:paraId="2681724D" w14:textId="77777777" w:rsidTr="009C3FA2">
        <w:trPr>
          <w:trHeight w:val="240"/>
        </w:trPr>
        <w:tc>
          <w:tcPr>
            <w:tcW w:w="5260" w:type="dxa"/>
            <w:shd w:val="clear" w:color="auto" w:fill="auto"/>
          </w:tcPr>
          <w:p w14:paraId="31B7B31B" w14:textId="77777777" w:rsidR="00FA139B" w:rsidRPr="009C3FA2" w:rsidRDefault="00FA139B" w:rsidP="009C3FA2">
            <w:pPr>
              <w:pStyle w:val="SingleTxtG"/>
              <w:spacing w:before="40" w:after="40" w:line="220" w:lineRule="exact"/>
              <w:ind w:left="0" w:right="0"/>
              <w:jc w:val="left"/>
              <w:rPr>
                <w:sz w:val="18"/>
              </w:rPr>
            </w:pPr>
            <w:r w:rsidRPr="009C3FA2">
              <w:rPr>
                <w:sz w:val="18"/>
              </w:rPr>
              <w:t>Sobreseimiento</w:t>
            </w:r>
          </w:p>
        </w:tc>
        <w:tc>
          <w:tcPr>
            <w:tcW w:w="2110" w:type="dxa"/>
            <w:shd w:val="clear" w:color="auto" w:fill="auto"/>
            <w:vAlign w:val="bottom"/>
          </w:tcPr>
          <w:p w14:paraId="6F5EE4EE" w14:textId="77777777" w:rsidR="00FA139B" w:rsidRPr="009C3FA2" w:rsidRDefault="00FA139B" w:rsidP="009C3FA2">
            <w:pPr>
              <w:pStyle w:val="SingleTxtG"/>
              <w:spacing w:before="40" w:after="40" w:line="220" w:lineRule="exact"/>
              <w:ind w:left="113" w:right="0"/>
              <w:jc w:val="right"/>
              <w:rPr>
                <w:sz w:val="18"/>
              </w:rPr>
            </w:pPr>
            <w:r w:rsidRPr="009C3FA2">
              <w:rPr>
                <w:sz w:val="18"/>
              </w:rPr>
              <w:t>2</w:t>
            </w:r>
          </w:p>
        </w:tc>
      </w:tr>
      <w:tr w:rsidR="00FA139B" w:rsidRPr="009C3FA2" w14:paraId="5C24A73E" w14:textId="77777777" w:rsidTr="009C3FA2">
        <w:trPr>
          <w:trHeight w:val="240"/>
        </w:trPr>
        <w:tc>
          <w:tcPr>
            <w:tcW w:w="5260" w:type="dxa"/>
            <w:shd w:val="clear" w:color="auto" w:fill="auto"/>
          </w:tcPr>
          <w:p w14:paraId="4F0AC6EB" w14:textId="77777777" w:rsidR="00FA139B" w:rsidRPr="009C3FA2" w:rsidRDefault="00FA139B" w:rsidP="009C3FA2">
            <w:pPr>
              <w:pStyle w:val="SingleTxtG"/>
              <w:spacing w:before="40" w:after="40" w:line="220" w:lineRule="exact"/>
              <w:ind w:left="0" w:right="0"/>
              <w:jc w:val="left"/>
              <w:rPr>
                <w:sz w:val="18"/>
              </w:rPr>
            </w:pPr>
            <w:r w:rsidRPr="009C3FA2">
              <w:rPr>
                <w:sz w:val="18"/>
              </w:rPr>
              <w:t>Archivo por desistimiento del denunciante</w:t>
            </w:r>
          </w:p>
        </w:tc>
        <w:tc>
          <w:tcPr>
            <w:tcW w:w="2110" w:type="dxa"/>
            <w:shd w:val="clear" w:color="auto" w:fill="auto"/>
            <w:vAlign w:val="bottom"/>
          </w:tcPr>
          <w:p w14:paraId="6B7E0221" w14:textId="77777777" w:rsidR="00FA139B" w:rsidRPr="009C3FA2" w:rsidRDefault="00FA139B" w:rsidP="009C3FA2">
            <w:pPr>
              <w:pStyle w:val="SingleTxtG"/>
              <w:spacing w:before="40" w:after="40" w:line="220" w:lineRule="exact"/>
              <w:ind w:left="113" w:right="0"/>
              <w:jc w:val="right"/>
              <w:rPr>
                <w:sz w:val="18"/>
              </w:rPr>
            </w:pPr>
            <w:r w:rsidRPr="009C3FA2">
              <w:rPr>
                <w:sz w:val="18"/>
              </w:rPr>
              <w:t>1</w:t>
            </w:r>
            <w:r w:rsidR="00D576CC">
              <w:rPr>
                <w:sz w:val="18"/>
              </w:rPr>
              <w:t xml:space="preserve"> </w:t>
            </w:r>
            <w:r w:rsidRPr="009C3FA2">
              <w:rPr>
                <w:sz w:val="18"/>
              </w:rPr>
              <w:t>887</w:t>
            </w:r>
          </w:p>
        </w:tc>
      </w:tr>
      <w:tr w:rsidR="00FA139B" w:rsidRPr="009C3FA2" w14:paraId="16679D11" w14:textId="77777777" w:rsidTr="009C3FA2">
        <w:trPr>
          <w:trHeight w:val="240"/>
        </w:trPr>
        <w:tc>
          <w:tcPr>
            <w:tcW w:w="5260" w:type="dxa"/>
            <w:shd w:val="clear" w:color="auto" w:fill="auto"/>
          </w:tcPr>
          <w:p w14:paraId="0530EE16" w14:textId="77777777" w:rsidR="00FA139B" w:rsidRPr="009C3FA2" w:rsidRDefault="00FA139B" w:rsidP="009C3FA2">
            <w:pPr>
              <w:pStyle w:val="SingleTxtG"/>
              <w:spacing w:before="40" w:after="40" w:line="220" w:lineRule="exact"/>
              <w:ind w:left="0" w:right="0"/>
              <w:jc w:val="left"/>
              <w:rPr>
                <w:sz w:val="18"/>
              </w:rPr>
            </w:pPr>
            <w:r w:rsidRPr="009C3FA2">
              <w:rPr>
                <w:sz w:val="18"/>
              </w:rPr>
              <w:t>Archivo por no personación del denunciante</w:t>
            </w:r>
          </w:p>
        </w:tc>
        <w:tc>
          <w:tcPr>
            <w:tcW w:w="2110" w:type="dxa"/>
            <w:shd w:val="clear" w:color="auto" w:fill="auto"/>
            <w:vAlign w:val="bottom"/>
          </w:tcPr>
          <w:p w14:paraId="412A7F6F" w14:textId="77777777" w:rsidR="00FA139B" w:rsidRPr="009C3FA2" w:rsidRDefault="00FA139B" w:rsidP="009C3FA2">
            <w:pPr>
              <w:pStyle w:val="SingleTxtG"/>
              <w:spacing w:before="40" w:after="40" w:line="220" w:lineRule="exact"/>
              <w:ind w:left="113" w:right="0"/>
              <w:jc w:val="right"/>
              <w:rPr>
                <w:sz w:val="18"/>
              </w:rPr>
            </w:pPr>
            <w:r w:rsidRPr="009C3FA2">
              <w:rPr>
                <w:sz w:val="18"/>
              </w:rPr>
              <w:t>785</w:t>
            </w:r>
          </w:p>
        </w:tc>
      </w:tr>
      <w:tr w:rsidR="00FA139B" w:rsidRPr="009C3FA2" w14:paraId="05D161BF" w14:textId="77777777" w:rsidTr="009C3FA2">
        <w:trPr>
          <w:trHeight w:val="240"/>
        </w:trPr>
        <w:tc>
          <w:tcPr>
            <w:tcW w:w="5260" w:type="dxa"/>
            <w:shd w:val="clear" w:color="auto" w:fill="auto"/>
          </w:tcPr>
          <w:p w14:paraId="2001638E" w14:textId="77777777" w:rsidR="00FA139B" w:rsidRPr="009C3FA2" w:rsidRDefault="00FA139B" w:rsidP="009C3FA2">
            <w:pPr>
              <w:pStyle w:val="SingleTxtG"/>
              <w:spacing w:before="40" w:after="40" w:line="220" w:lineRule="exact"/>
              <w:ind w:left="0" w:right="0"/>
              <w:jc w:val="left"/>
              <w:rPr>
                <w:sz w:val="18"/>
              </w:rPr>
            </w:pPr>
            <w:r w:rsidRPr="009C3FA2">
              <w:rPr>
                <w:sz w:val="18"/>
              </w:rPr>
              <w:t>En curso de investigación</w:t>
            </w:r>
          </w:p>
        </w:tc>
        <w:tc>
          <w:tcPr>
            <w:tcW w:w="2110" w:type="dxa"/>
            <w:shd w:val="clear" w:color="auto" w:fill="auto"/>
            <w:vAlign w:val="bottom"/>
          </w:tcPr>
          <w:p w14:paraId="7054F1E9" w14:textId="77777777" w:rsidR="00FA139B" w:rsidRPr="009C3FA2" w:rsidRDefault="00FA139B" w:rsidP="009C3FA2">
            <w:pPr>
              <w:pStyle w:val="SingleTxtG"/>
              <w:spacing w:before="40" w:after="40" w:line="220" w:lineRule="exact"/>
              <w:ind w:left="113" w:right="0"/>
              <w:jc w:val="right"/>
              <w:rPr>
                <w:sz w:val="18"/>
              </w:rPr>
            </w:pPr>
            <w:r w:rsidRPr="009C3FA2">
              <w:rPr>
                <w:sz w:val="18"/>
              </w:rPr>
              <w:t>1</w:t>
            </w:r>
            <w:r w:rsidR="00D576CC">
              <w:rPr>
                <w:sz w:val="18"/>
              </w:rPr>
              <w:t xml:space="preserve"> </w:t>
            </w:r>
            <w:r w:rsidRPr="009C3FA2">
              <w:rPr>
                <w:sz w:val="18"/>
              </w:rPr>
              <w:t>149</w:t>
            </w:r>
          </w:p>
        </w:tc>
      </w:tr>
      <w:tr w:rsidR="00FA139B" w:rsidRPr="009C3FA2" w14:paraId="3FD0AF06" w14:textId="77777777" w:rsidTr="009C3FA2">
        <w:trPr>
          <w:trHeight w:val="240"/>
        </w:trPr>
        <w:tc>
          <w:tcPr>
            <w:tcW w:w="5260" w:type="dxa"/>
            <w:shd w:val="clear" w:color="auto" w:fill="auto"/>
          </w:tcPr>
          <w:p w14:paraId="4C9F97A8" w14:textId="77777777" w:rsidR="00FA139B" w:rsidRPr="009C3FA2" w:rsidRDefault="00FA139B" w:rsidP="009C3FA2">
            <w:pPr>
              <w:pStyle w:val="SingleTxtG"/>
              <w:spacing w:before="40" w:after="40" w:line="220" w:lineRule="exact"/>
              <w:ind w:left="0" w:right="0"/>
              <w:jc w:val="left"/>
              <w:rPr>
                <w:sz w:val="18"/>
              </w:rPr>
            </w:pPr>
            <w:r w:rsidRPr="009C3FA2">
              <w:rPr>
                <w:sz w:val="18"/>
              </w:rPr>
              <w:t>Conciliación</w:t>
            </w:r>
          </w:p>
        </w:tc>
        <w:tc>
          <w:tcPr>
            <w:tcW w:w="2110" w:type="dxa"/>
            <w:shd w:val="clear" w:color="auto" w:fill="auto"/>
            <w:vAlign w:val="bottom"/>
          </w:tcPr>
          <w:p w14:paraId="2189D582" w14:textId="77777777" w:rsidR="00FA139B" w:rsidRPr="009C3FA2" w:rsidRDefault="00FA139B" w:rsidP="009C3FA2">
            <w:pPr>
              <w:pStyle w:val="SingleTxtG"/>
              <w:spacing w:before="40" w:after="40" w:line="220" w:lineRule="exact"/>
              <w:ind w:left="113" w:right="0"/>
              <w:jc w:val="right"/>
              <w:rPr>
                <w:sz w:val="18"/>
              </w:rPr>
            </w:pPr>
            <w:r w:rsidRPr="009C3FA2">
              <w:rPr>
                <w:sz w:val="18"/>
              </w:rPr>
              <w:t>271</w:t>
            </w:r>
          </w:p>
        </w:tc>
      </w:tr>
      <w:tr w:rsidR="00FA139B" w:rsidRPr="009C3FA2" w14:paraId="497B9EDF" w14:textId="77777777" w:rsidTr="009C3FA2">
        <w:trPr>
          <w:trHeight w:val="240"/>
        </w:trPr>
        <w:tc>
          <w:tcPr>
            <w:tcW w:w="5260" w:type="dxa"/>
            <w:shd w:val="clear" w:color="auto" w:fill="auto"/>
          </w:tcPr>
          <w:p w14:paraId="43D74801" w14:textId="77777777" w:rsidR="00FA139B" w:rsidRPr="009C3FA2" w:rsidRDefault="00FA139B" w:rsidP="009C3FA2">
            <w:pPr>
              <w:pStyle w:val="SingleTxtG"/>
              <w:spacing w:before="40" w:after="40" w:line="220" w:lineRule="exact"/>
              <w:ind w:left="0" w:right="0"/>
              <w:jc w:val="left"/>
              <w:rPr>
                <w:sz w:val="18"/>
              </w:rPr>
            </w:pPr>
            <w:r w:rsidRPr="009C3FA2">
              <w:rPr>
                <w:sz w:val="18"/>
              </w:rPr>
              <w:t>Archivo por resolución inhibitoria</w:t>
            </w:r>
          </w:p>
        </w:tc>
        <w:tc>
          <w:tcPr>
            <w:tcW w:w="2110" w:type="dxa"/>
            <w:shd w:val="clear" w:color="auto" w:fill="auto"/>
            <w:vAlign w:val="bottom"/>
          </w:tcPr>
          <w:p w14:paraId="34F22B80" w14:textId="77777777" w:rsidR="00FA139B" w:rsidRPr="009C3FA2" w:rsidRDefault="00FA139B" w:rsidP="009C3FA2">
            <w:pPr>
              <w:pStyle w:val="SingleTxtG"/>
              <w:spacing w:before="40" w:after="40" w:line="220" w:lineRule="exact"/>
              <w:ind w:left="113" w:right="0"/>
              <w:jc w:val="right"/>
              <w:rPr>
                <w:sz w:val="18"/>
              </w:rPr>
            </w:pPr>
            <w:r w:rsidRPr="009C3FA2">
              <w:rPr>
                <w:sz w:val="18"/>
              </w:rPr>
              <w:t>31</w:t>
            </w:r>
          </w:p>
        </w:tc>
      </w:tr>
      <w:tr w:rsidR="00FA139B" w:rsidRPr="009C3FA2" w14:paraId="6C591162" w14:textId="77777777" w:rsidTr="009C3FA2">
        <w:trPr>
          <w:trHeight w:val="240"/>
        </w:trPr>
        <w:tc>
          <w:tcPr>
            <w:tcW w:w="5260" w:type="dxa"/>
            <w:shd w:val="clear" w:color="auto" w:fill="auto"/>
          </w:tcPr>
          <w:p w14:paraId="268AB4E5" w14:textId="77777777" w:rsidR="00FA139B" w:rsidRPr="009C3FA2" w:rsidRDefault="00FA139B" w:rsidP="009C3FA2">
            <w:pPr>
              <w:pStyle w:val="SingleTxtG"/>
              <w:spacing w:before="40" w:after="40" w:line="220" w:lineRule="exact"/>
              <w:ind w:left="0" w:right="0"/>
              <w:jc w:val="left"/>
              <w:rPr>
                <w:sz w:val="18"/>
              </w:rPr>
            </w:pPr>
            <w:r w:rsidRPr="009C3FA2">
              <w:rPr>
                <w:sz w:val="18"/>
              </w:rPr>
              <w:t>Aprobación de anulación definitiva del viaje</w:t>
            </w:r>
          </w:p>
        </w:tc>
        <w:tc>
          <w:tcPr>
            <w:tcW w:w="2110" w:type="dxa"/>
            <w:shd w:val="clear" w:color="auto" w:fill="auto"/>
            <w:vAlign w:val="bottom"/>
          </w:tcPr>
          <w:p w14:paraId="324A6D8A" w14:textId="77777777" w:rsidR="00FA139B" w:rsidRPr="009C3FA2" w:rsidRDefault="00FA139B" w:rsidP="009C3FA2">
            <w:pPr>
              <w:pStyle w:val="SingleTxtG"/>
              <w:spacing w:before="40" w:after="40" w:line="220" w:lineRule="exact"/>
              <w:ind w:left="113" w:right="0"/>
              <w:jc w:val="right"/>
              <w:rPr>
                <w:sz w:val="18"/>
              </w:rPr>
            </w:pPr>
            <w:r w:rsidRPr="009C3FA2">
              <w:rPr>
                <w:sz w:val="18"/>
              </w:rPr>
              <w:t>701</w:t>
            </w:r>
          </w:p>
        </w:tc>
      </w:tr>
      <w:tr w:rsidR="00FA139B" w:rsidRPr="009C3FA2" w14:paraId="40ECFE08" w14:textId="77777777" w:rsidTr="009C3FA2">
        <w:trPr>
          <w:trHeight w:val="240"/>
        </w:trPr>
        <w:tc>
          <w:tcPr>
            <w:tcW w:w="5260" w:type="dxa"/>
            <w:shd w:val="clear" w:color="auto" w:fill="auto"/>
          </w:tcPr>
          <w:p w14:paraId="2FFCDD08" w14:textId="77777777" w:rsidR="00FA139B" w:rsidRPr="009C3FA2" w:rsidRDefault="00FA139B" w:rsidP="009C3FA2">
            <w:pPr>
              <w:pStyle w:val="SingleTxtG"/>
              <w:spacing w:before="40" w:after="40" w:line="220" w:lineRule="exact"/>
              <w:ind w:left="0" w:right="0"/>
              <w:jc w:val="left"/>
              <w:rPr>
                <w:sz w:val="18"/>
              </w:rPr>
            </w:pPr>
            <w:r w:rsidRPr="009C3FA2">
              <w:rPr>
                <w:sz w:val="18"/>
              </w:rPr>
              <w:t>Aprobación de remisión</w:t>
            </w:r>
          </w:p>
        </w:tc>
        <w:tc>
          <w:tcPr>
            <w:tcW w:w="2110" w:type="dxa"/>
            <w:shd w:val="clear" w:color="auto" w:fill="auto"/>
            <w:vAlign w:val="bottom"/>
          </w:tcPr>
          <w:p w14:paraId="12B83C46" w14:textId="77777777" w:rsidR="00FA139B" w:rsidRPr="009C3FA2" w:rsidRDefault="00FA139B" w:rsidP="009C3FA2">
            <w:pPr>
              <w:pStyle w:val="SingleTxtG"/>
              <w:spacing w:before="40" w:after="40" w:line="220" w:lineRule="exact"/>
              <w:ind w:left="113" w:right="0"/>
              <w:jc w:val="right"/>
              <w:rPr>
                <w:sz w:val="18"/>
              </w:rPr>
            </w:pPr>
            <w:r w:rsidRPr="009C3FA2">
              <w:rPr>
                <w:sz w:val="18"/>
              </w:rPr>
              <w:t>1</w:t>
            </w:r>
            <w:r w:rsidR="00D576CC">
              <w:rPr>
                <w:sz w:val="18"/>
              </w:rPr>
              <w:t xml:space="preserve"> </w:t>
            </w:r>
            <w:r w:rsidRPr="009C3FA2">
              <w:rPr>
                <w:sz w:val="18"/>
              </w:rPr>
              <w:t>961</w:t>
            </w:r>
          </w:p>
        </w:tc>
      </w:tr>
      <w:tr w:rsidR="00FA139B" w:rsidRPr="009C3FA2" w14:paraId="45141F2C" w14:textId="77777777" w:rsidTr="009C3FA2">
        <w:trPr>
          <w:trHeight w:val="240"/>
        </w:trPr>
        <w:tc>
          <w:tcPr>
            <w:tcW w:w="5260" w:type="dxa"/>
            <w:shd w:val="clear" w:color="auto" w:fill="auto"/>
          </w:tcPr>
          <w:p w14:paraId="5EDA4003" w14:textId="77777777" w:rsidR="00FA139B" w:rsidRPr="009C3FA2" w:rsidRDefault="00FA139B" w:rsidP="009C3FA2">
            <w:pPr>
              <w:pStyle w:val="SingleTxtG"/>
              <w:spacing w:before="40" w:after="40" w:line="220" w:lineRule="exact"/>
              <w:ind w:left="0" w:right="0"/>
              <w:jc w:val="left"/>
              <w:rPr>
                <w:sz w:val="18"/>
              </w:rPr>
            </w:pPr>
            <w:r w:rsidRPr="009C3FA2">
              <w:rPr>
                <w:sz w:val="18"/>
              </w:rPr>
              <w:t>No aprobación de remisión</w:t>
            </w:r>
          </w:p>
        </w:tc>
        <w:tc>
          <w:tcPr>
            <w:tcW w:w="2110" w:type="dxa"/>
            <w:shd w:val="clear" w:color="auto" w:fill="auto"/>
            <w:vAlign w:val="bottom"/>
          </w:tcPr>
          <w:p w14:paraId="75D69B63" w14:textId="77777777" w:rsidR="00FA139B" w:rsidRPr="009C3FA2" w:rsidRDefault="00FA139B" w:rsidP="009C3FA2">
            <w:pPr>
              <w:pStyle w:val="SingleTxtG"/>
              <w:spacing w:before="40" w:after="40" w:line="220" w:lineRule="exact"/>
              <w:ind w:left="113" w:right="0"/>
              <w:jc w:val="right"/>
              <w:rPr>
                <w:sz w:val="18"/>
              </w:rPr>
            </w:pPr>
            <w:r w:rsidRPr="009C3FA2">
              <w:rPr>
                <w:sz w:val="18"/>
              </w:rPr>
              <w:t>789</w:t>
            </w:r>
          </w:p>
        </w:tc>
      </w:tr>
      <w:tr w:rsidR="00FA139B" w:rsidRPr="009C3FA2" w14:paraId="7979E71B" w14:textId="77777777" w:rsidTr="009C3FA2">
        <w:trPr>
          <w:trHeight w:val="240"/>
        </w:trPr>
        <w:tc>
          <w:tcPr>
            <w:tcW w:w="5260" w:type="dxa"/>
            <w:shd w:val="clear" w:color="auto" w:fill="auto"/>
          </w:tcPr>
          <w:p w14:paraId="2FFCBEB7" w14:textId="77777777" w:rsidR="00FA139B" w:rsidRPr="009C3FA2" w:rsidRDefault="00FA139B" w:rsidP="009C3FA2">
            <w:pPr>
              <w:pStyle w:val="SingleTxtG"/>
              <w:spacing w:before="40" w:after="40" w:line="220" w:lineRule="exact"/>
              <w:ind w:left="0" w:right="0"/>
              <w:jc w:val="left"/>
              <w:rPr>
                <w:sz w:val="18"/>
              </w:rPr>
            </w:pPr>
            <w:r w:rsidRPr="009C3FA2">
              <w:rPr>
                <w:sz w:val="18"/>
              </w:rPr>
              <w:t>Otros</w:t>
            </w:r>
          </w:p>
        </w:tc>
        <w:tc>
          <w:tcPr>
            <w:tcW w:w="2110" w:type="dxa"/>
            <w:shd w:val="clear" w:color="auto" w:fill="auto"/>
            <w:vAlign w:val="bottom"/>
          </w:tcPr>
          <w:p w14:paraId="0E2D4342" w14:textId="77777777" w:rsidR="00FA139B" w:rsidRPr="009C3FA2" w:rsidRDefault="00FA139B" w:rsidP="009C3FA2">
            <w:pPr>
              <w:pStyle w:val="SingleTxtG"/>
              <w:spacing w:before="40" w:after="40" w:line="220" w:lineRule="exact"/>
              <w:ind w:left="113" w:right="0"/>
              <w:jc w:val="right"/>
              <w:rPr>
                <w:sz w:val="18"/>
              </w:rPr>
            </w:pPr>
            <w:r w:rsidRPr="009C3FA2">
              <w:rPr>
                <w:sz w:val="18"/>
              </w:rPr>
              <w:t>4</w:t>
            </w:r>
          </w:p>
        </w:tc>
      </w:tr>
      <w:tr w:rsidR="00FA139B" w:rsidRPr="009C3FA2" w14:paraId="2E3ECFFF" w14:textId="77777777" w:rsidTr="009C3FA2">
        <w:trPr>
          <w:trHeight w:val="240"/>
        </w:trPr>
        <w:tc>
          <w:tcPr>
            <w:tcW w:w="5260" w:type="dxa"/>
            <w:tcBorders>
              <w:bottom w:val="single" w:sz="12" w:space="0" w:color="auto"/>
            </w:tcBorders>
            <w:shd w:val="clear" w:color="auto" w:fill="auto"/>
          </w:tcPr>
          <w:p w14:paraId="54A3F67C" w14:textId="77777777" w:rsidR="00FA139B" w:rsidRPr="009C3FA2" w:rsidRDefault="00FA139B" w:rsidP="009C3FA2">
            <w:pPr>
              <w:pStyle w:val="SingleTxtG"/>
              <w:spacing w:before="40" w:after="40" w:line="220" w:lineRule="exact"/>
              <w:ind w:left="0" w:right="0"/>
              <w:jc w:val="left"/>
              <w:rPr>
                <w:sz w:val="18"/>
              </w:rPr>
            </w:pPr>
            <w:r w:rsidRPr="009C3FA2">
              <w:rPr>
                <w:sz w:val="18"/>
              </w:rPr>
              <w:t>No aprobación y autorización al trabajador para que anule definitivamente el viaje</w:t>
            </w:r>
          </w:p>
        </w:tc>
        <w:tc>
          <w:tcPr>
            <w:tcW w:w="2110" w:type="dxa"/>
            <w:tcBorders>
              <w:bottom w:val="single" w:sz="12" w:space="0" w:color="auto"/>
            </w:tcBorders>
            <w:shd w:val="clear" w:color="auto" w:fill="auto"/>
            <w:vAlign w:val="bottom"/>
          </w:tcPr>
          <w:p w14:paraId="3133E0AB" w14:textId="77777777" w:rsidR="00FA139B" w:rsidRPr="009C3FA2" w:rsidRDefault="00FA139B" w:rsidP="009C3FA2">
            <w:pPr>
              <w:pStyle w:val="SingleTxtG"/>
              <w:spacing w:before="40" w:after="40" w:line="220" w:lineRule="exact"/>
              <w:ind w:left="113" w:right="0"/>
              <w:jc w:val="right"/>
              <w:rPr>
                <w:sz w:val="18"/>
              </w:rPr>
            </w:pPr>
            <w:r w:rsidRPr="009C3FA2">
              <w:rPr>
                <w:sz w:val="18"/>
              </w:rPr>
              <w:t>60</w:t>
            </w:r>
          </w:p>
        </w:tc>
      </w:tr>
    </w:tbl>
    <w:p w14:paraId="3ABE353D" w14:textId="77777777" w:rsidR="00FA139B" w:rsidRPr="00FA139B" w:rsidRDefault="00FA139B" w:rsidP="00D576CC">
      <w:pPr>
        <w:pStyle w:val="SingleTxtG"/>
        <w:spacing w:before="240"/>
        <w:jc w:val="left"/>
        <w:rPr>
          <w:b/>
          <w:bCs/>
        </w:rPr>
      </w:pPr>
      <w:r w:rsidRPr="00FA139B">
        <w:rPr>
          <w:b/>
          <w:bCs/>
        </w:rPr>
        <w:t xml:space="preserve">Datos estadísticos sobre el número de denuncias relativas a litigios laborales </w:t>
      </w:r>
      <w:r w:rsidR="00D576CC">
        <w:rPr>
          <w:b/>
          <w:bCs/>
        </w:rPr>
        <w:br/>
      </w:r>
      <w:r w:rsidRPr="00FA139B">
        <w:rPr>
          <w:b/>
          <w:bCs/>
        </w:rPr>
        <w:t xml:space="preserve">sobre prestaciones interpuestas entre el 1 de enero y el 9 de diciembre de 2019, </w:t>
      </w:r>
      <w:r w:rsidR="00D576CC">
        <w:rPr>
          <w:b/>
          <w:bCs/>
        </w:rPr>
        <w:br/>
      </w:r>
      <w:r w:rsidRPr="00FA139B">
        <w:rPr>
          <w:b/>
          <w:bCs/>
        </w:rPr>
        <w:t>con datos desglosados por tipo de resolución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074"/>
        <w:gridCol w:w="2296"/>
      </w:tblGrid>
      <w:tr w:rsidR="00FA139B" w:rsidRPr="00D576CC" w14:paraId="03865676" w14:textId="77777777" w:rsidTr="00D576CC">
        <w:trPr>
          <w:trHeight w:val="240"/>
          <w:tblHeader/>
        </w:trPr>
        <w:tc>
          <w:tcPr>
            <w:tcW w:w="5074" w:type="dxa"/>
            <w:tcBorders>
              <w:top w:val="single" w:sz="4" w:space="0" w:color="auto"/>
              <w:bottom w:val="single" w:sz="12" w:space="0" w:color="auto"/>
            </w:tcBorders>
            <w:shd w:val="clear" w:color="auto" w:fill="auto"/>
            <w:vAlign w:val="bottom"/>
          </w:tcPr>
          <w:p w14:paraId="2E0D4991" w14:textId="77777777" w:rsidR="00FA139B" w:rsidRPr="00D576CC" w:rsidRDefault="00FA139B" w:rsidP="00D576CC">
            <w:pPr>
              <w:pStyle w:val="SingleTxtG"/>
              <w:spacing w:before="80" w:after="80" w:line="200" w:lineRule="exact"/>
              <w:ind w:left="0" w:right="0"/>
              <w:jc w:val="left"/>
              <w:rPr>
                <w:i/>
                <w:iCs/>
                <w:sz w:val="16"/>
              </w:rPr>
            </w:pPr>
            <w:r w:rsidRPr="00D576CC">
              <w:rPr>
                <w:i/>
                <w:iCs/>
                <w:sz w:val="16"/>
              </w:rPr>
              <w:t>Resultado</w:t>
            </w:r>
          </w:p>
        </w:tc>
        <w:tc>
          <w:tcPr>
            <w:tcW w:w="2296" w:type="dxa"/>
            <w:tcBorders>
              <w:top w:val="single" w:sz="4" w:space="0" w:color="auto"/>
              <w:bottom w:val="single" w:sz="12" w:space="0" w:color="auto"/>
            </w:tcBorders>
            <w:shd w:val="clear" w:color="auto" w:fill="auto"/>
            <w:vAlign w:val="bottom"/>
          </w:tcPr>
          <w:p w14:paraId="4ECC0270"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Núm</w:t>
            </w:r>
            <w:r w:rsidR="00D576CC">
              <w:rPr>
                <w:i/>
                <w:iCs/>
                <w:sz w:val="16"/>
              </w:rPr>
              <w:t>ero</w:t>
            </w:r>
            <w:r w:rsidRPr="00D576CC">
              <w:rPr>
                <w:i/>
                <w:iCs/>
                <w:sz w:val="16"/>
              </w:rPr>
              <w:t xml:space="preserve"> de denuncias</w:t>
            </w:r>
          </w:p>
        </w:tc>
      </w:tr>
      <w:tr w:rsidR="00FA139B" w:rsidRPr="00D576CC" w14:paraId="6C3621CF" w14:textId="77777777" w:rsidTr="00D576CC">
        <w:trPr>
          <w:trHeight w:val="240"/>
        </w:trPr>
        <w:tc>
          <w:tcPr>
            <w:tcW w:w="5074" w:type="dxa"/>
            <w:shd w:val="clear" w:color="auto" w:fill="auto"/>
          </w:tcPr>
          <w:p w14:paraId="53AFA330" w14:textId="77777777" w:rsidR="00FA139B" w:rsidRPr="00D576CC" w:rsidRDefault="00FA139B" w:rsidP="00D576CC">
            <w:pPr>
              <w:pStyle w:val="SingleTxtG"/>
              <w:spacing w:before="40" w:after="40" w:line="220" w:lineRule="exact"/>
              <w:ind w:left="0" w:right="0"/>
              <w:jc w:val="left"/>
              <w:rPr>
                <w:sz w:val="18"/>
              </w:rPr>
            </w:pPr>
            <w:r w:rsidRPr="00D576CC">
              <w:rPr>
                <w:sz w:val="18"/>
              </w:rPr>
              <w:t>Sobreseimiento</w:t>
            </w:r>
          </w:p>
        </w:tc>
        <w:tc>
          <w:tcPr>
            <w:tcW w:w="2296" w:type="dxa"/>
            <w:shd w:val="clear" w:color="auto" w:fill="auto"/>
            <w:vAlign w:val="bottom"/>
          </w:tcPr>
          <w:p w14:paraId="14145CBB" w14:textId="77777777" w:rsidR="00FA139B" w:rsidRPr="00D576CC" w:rsidRDefault="00FA139B" w:rsidP="00D576CC">
            <w:pPr>
              <w:pStyle w:val="SingleTxtG"/>
              <w:spacing w:before="40" w:after="40" w:line="220" w:lineRule="exact"/>
              <w:ind w:left="113" w:right="0"/>
              <w:jc w:val="right"/>
              <w:rPr>
                <w:sz w:val="18"/>
              </w:rPr>
            </w:pPr>
            <w:r w:rsidRPr="00D576CC">
              <w:rPr>
                <w:sz w:val="18"/>
              </w:rPr>
              <w:t>3</w:t>
            </w:r>
          </w:p>
        </w:tc>
      </w:tr>
      <w:tr w:rsidR="00FA139B" w:rsidRPr="00D576CC" w14:paraId="63B7B4BC" w14:textId="77777777" w:rsidTr="00D576CC">
        <w:trPr>
          <w:trHeight w:val="240"/>
        </w:trPr>
        <w:tc>
          <w:tcPr>
            <w:tcW w:w="5074" w:type="dxa"/>
            <w:shd w:val="clear" w:color="auto" w:fill="auto"/>
          </w:tcPr>
          <w:p w14:paraId="73BC0505" w14:textId="77777777" w:rsidR="00FA139B" w:rsidRPr="00D576CC" w:rsidRDefault="00FA139B" w:rsidP="00D576CC">
            <w:pPr>
              <w:pStyle w:val="SingleTxtG"/>
              <w:spacing w:before="40" w:after="40" w:line="220" w:lineRule="exact"/>
              <w:ind w:left="0" w:right="0"/>
              <w:jc w:val="left"/>
              <w:rPr>
                <w:sz w:val="18"/>
              </w:rPr>
            </w:pPr>
            <w:r w:rsidRPr="00D576CC">
              <w:rPr>
                <w:sz w:val="18"/>
              </w:rPr>
              <w:t>Archivo por no personación del denunciante</w:t>
            </w:r>
          </w:p>
        </w:tc>
        <w:tc>
          <w:tcPr>
            <w:tcW w:w="2296" w:type="dxa"/>
            <w:shd w:val="clear" w:color="auto" w:fill="auto"/>
            <w:vAlign w:val="bottom"/>
          </w:tcPr>
          <w:p w14:paraId="0F1996B7" w14:textId="77777777" w:rsidR="00FA139B" w:rsidRPr="00D576CC" w:rsidRDefault="00FA139B" w:rsidP="00D576CC">
            <w:pPr>
              <w:pStyle w:val="SingleTxtG"/>
              <w:spacing w:before="40" w:after="40" w:line="220" w:lineRule="exact"/>
              <w:ind w:left="113" w:right="0"/>
              <w:jc w:val="right"/>
              <w:rPr>
                <w:sz w:val="18"/>
              </w:rPr>
            </w:pPr>
            <w:r w:rsidRPr="00D576CC">
              <w:rPr>
                <w:sz w:val="18"/>
              </w:rPr>
              <w:t>1</w:t>
            </w:r>
            <w:r w:rsidR="00D576CC">
              <w:rPr>
                <w:sz w:val="18"/>
              </w:rPr>
              <w:t xml:space="preserve"> </w:t>
            </w:r>
            <w:r w:rsidRPr="00D576CC">
              <w:rPr>
                <w:sz w:val="18"/>
              </w:rPr>
              <w:t>291</w:t>
            </w:r>
          </w:p>
        </w:tc>
      </w:tr>
      <w:tr w:rsidR="00FA139B" w:rsidRPr="00D576CC" w14:paraId="53B8F707" w14:textId="77777777" w:rsidTr="00D576CC">
        <w:trPr>
          <w:trHeight w:val="240"/>
        </w:trPr>
        <w:tc>
          <w:tcPr>
            <w:tcW w:w="5074" w:type="dxa"/>
            <w:shd w:val="clear" w:color="auto" w:fill="auto"/>
          </w:tcPr>
          <w:p w14:paraId="199D6A5D" w14:textId="77777777" w:rsidR="00FA139B" w:rsidRPr="00D576CC" w:rsidRDefault="00FA139B" w:rsidP="00D576CC">
            <w:pPr>
              <w:pStyle w:val="SingleTxtG"/>
              <w:spacing w:before="40" w:after="40" w:line="220" w:lineRule="exact"/>
              <w:ind w:left="0" w:right="0"/>
              <w:jc w:val="left"/>
              <w:rPr>
                <w:sz w:val="18"/>
              </w:rPr>
            </w:pPr>
            <w:r w:rsidRPr="00D576CC">
              <w:rPr>
                <w:sz w:val="18"/>
              </w:rPr>
              <w:t>Remisión a los tribunales de justicia</w:t>
            </w:r>
          </w:p>
        </w:tc>
        <w:tc>
          <w:tcPr>
            <w:tcW w:w="2296" w:type="dxa"/>
            <w:shd w:val="clear" w:color="auto" w:fill="auto"/>
            <w:vAlign w:val="bottom"/>
          </w:tcPr>
          <w:p w14:paraId="47063200" w14:textId="77777777" w:rsidR="00FA139B" w:rsidRPr="00D576CC" w:rsidRDefault="00FA139B" w:rsidP="00D576CC">
            <w:pPr>
              <w:pStyle w:val="SingleTxtG"/>
              <w:spacing w:before="40" w:after="40" w:line="220" w:lineRule="exact"/>
              <w:ind w:left="113" w:right="0"/>
              <w:jc w:val="right"/>
              <w:rPr>
                <w:sz w:val="18"/>
              </w:rPr>
            </w:pPr>
            <w:r w:rsidRPr="00D576CC">
              <w:rPr>
                <w:sz w:val="18"/>
              </w:rPr>
              <w:t>6</w:t>
            </w:r>
            <w:r w:rsidR="00D576CC">
              <w:rPr>
                <w:sz w:val="18"/>
              </w:rPr>
              <w:t xml:space="preserve"> </w:t>
            </w:r>
            <w:r w:rsidRPr="00D576CC">
              <w:rPr>
                <w:sz w:val="18"/>
              </w:rPr>
              <w:t>636</w:t>
            </w:r>
          </w:p>
        </w:tc>
      </w:tr>
      <w:tr w:rsidR="00FA139B" w:rsidRPr="00D576CC" w14:paraId="0E05B448" w14:textId="77777777" w:rsidTr="00D576CC">
        <w:trPr>
          <w:trHeight w:val="240"/>
        </w:trPr>
        <w:tc>
          <w:tcPr>
            <w:tcW w:w="5074" w:type="dxa"/>
            <w:shd w:val="clear" w:color="auto" w:fill="auto"/>
          </w:tcPr>
          <w:p w14:paraId="79E996E4" w14:textId="77777777" w:rsidR="00FA139B" w:rsidRPr="00D576CC" w:rsidRDefault="00FA139B" w:rsidP="00D576CC">
            <w:pPr>
              <w:pStyle w:val="SingleTxtG"/>
              <w:spacing w:before="40" w:after="40" w:line="220" w:lineRule="exact"/>
              <w:ind w:left="0" w:right="0"/>
              <w:jc w:val="left"/>
              <w:rPr>
                <w:sz w:val="18"/>
              </w:rPr>
            </w:pPr>
            <w:r w:rsidRPr="00D576CC">
              <w:rPr>
                <w:sz w:val="18"/>
              </w:rPr>
              <w:t>En curso de investigación</w:t>
            </w:r>
          </w:p>
        </w:tc>
        <w:tc>
          <w:tcPr>
            <w:tcW w:w="2296" w:type="dxa"/>
            <w:shd w:val="clear" w:color="auto" w:fill="auto"/>
            <w:vAlign w:val="bottom"/>
          </w:tcPr>
          <w:p w14:paraId="114E9062" w14:textId="77777777" w:rsidR="00FA139B" w:rsidRPr="00D576CC" w:rsidRDefault="00FA139B" w:rsidP="00D576CC">
            <w:pPr>
              <w:pStyle w:val="SingleTxtG"/>
              <w:spacing w:before="40" w:after="40" w:line="220" w:lineRule="exact"/>
              <w:ind w:left="113" w:right="0"/>
              <w:jc w:val="right"/>
              <w:rPr>
                <w:sz w:val="18"/>
              </w:rPr>
            </w:pPr>
            <w:r w:rsidRPr="00D576CC">
              <w:rPr>
                <w:sz w:val="18"/>
              </w:rPr>
              <w:t>2</w:t>
            </w:r>
            <w:r w:rsidR="00D576CC">
              <w:rPr>
                <w:sz w:val="18"/>
              </w:rPr>
              <w:t xml:space="preserve"> </w:t>
            </w:r>
            <w:r w:rsidRPr="00D576CC">
              <w:rPr>
                <w:sz w:val="18"/>
              </w:rPr>
              <w:t>456</w:t>
            </w:r>
          </w:p>
        </w:tc>
      </w:tr>
      <w:tr w:rsidR="00FA139B" w:rsidRPr="00D576CC" w14:paraId="4E725E3C" w14:textId="77777777" w:rsidTr="00D576CC">
        <w:trPr>
          <w:trHeight w:val="240"/>
        </w:trPr>
        <w:tc>
          <w:tcPr>
            <w:tcW w:w="5074" w:type="dxa"/>
            <w:shd w:val="clear" w:color="auto" w:fill="auto"/>
          </w:tcPr>
          <w:p w14:paraId="0BE1D5DF" w14:textId="77777777" w:rsidR="00FA139B" w:rsidRPr="00D576CC" w:rsidRDefault="00FA139B" w:rsidP="00D576CC">
            <w:pPr>
              <w:pStyle w:val="SingleTxtG"/>
              <w:spacing w:before="40" w:after="40" w:line="220" w:lineRule="exact"/>
              <w:ind w:left="0" w:right="0"/>
              <w:jc w:val="left"/>
              <w:rPr>
                <w:sz w:val="18"/>
              </w:rPr>
            </w:pPr>
            <w:r w:rsidRPr="00D576CC">
              <w:rPr>
                <w:sz w:val="18"/>
              </w:rPr>
              <w:t>Archivo por desistimiento del denunciante</w:t>
            </w:r>
          </w:p>
        </w:tc>
        <w:tc>
          <w:tcPr>
            <w:tcW w:w="2296" w:type="dxa"/>
            <w:shd w:val="clear" w:color="auto" w:fill="auto"/>
            <w:vAlign w:val="bottom"/>
          </w:tcPr>
          <w:p w14:paraId="71D689D3" w14:textId="77777777" w:rsidR="00FA139B" w:rsidRPr="00D576CC" w:rsidRDefault="00FA139B" w:rsidP="00D576CC">
            <w:pPr>
              <w:pStyle w:val="SingleTxtG"/>
              <w:spacing w:before="40" w:after="40" w:line="220" w:lineRule="exact"/>
              <w:ind w:left="113" w:right="0"/>
              <w:jc w:val="right"/>
              <w:rPr>
                <w:sz w:val="18"/>
              </w:rPr>
            </w:pPr>
            <w:r w:rsidRPr="00D576CC">
              <w:rPr>
                <w:sz w:val="18"/>
              </w:rPr>
              <w:t>1</w:t>
            </w:r>
            <w:r w:rsidR="00D576CC">
              <w:rPr>
                <w:sz w:val="18"/>
              </w:rPr>
              <w:t xml:space="preserve"> </w:t>
            </w:r>
            <w:r w:rsidRPr="00D576CC">
              <w:rPr>
                <w:sz w:val="18"/>
              </w:rPr>
              <w:t>418</w:t>
            </w:r>
          </w:p>
        </w:tc>
      </w:tr>
      <w:tr w:rsidR="00FA139B" w:rsidRPr="00D576CC" w14:paraId="5691C7AB" w14:textId="77777777" w:rsidTr="00D576CC">
        <w:trPr>
          <w:trHeight w:val="240"/>
        </w:trPr>
        <w:tc>
          <w:tcPr>
            <w:tcW w:w="5074" w:type="dxa"/>
            <w:tcBorders>
              <w:bottom w:val="single" w:sz="12" w:space="0" w:color="auto"/>
            </w:tcBorders>
            <w:shd w:val="clear" w:color="auto" w:fill="auto"/>
          </w:tcPr>
          <w:p w14:paraId="149603EF" w14:textId="77777777" w:rsidR="00FA139B" w:rsidRPr="00D576CC" w:rsidRDefault="00FA139B" w:rsidP="00D576CC">
            <w:pPr>
              <w:pStyle w:val="SingleTxtG"/>
              <w:spacing w:before="40" w:after="40" w:line="220" w:lineRule="exact"/>
              <w:ind w:left="0" w:right="0"/>
              <w:jc w:val="left"/>
              <w:rPr>
                <w:sz w:val="18"/>
              </w:rPr>
            </w:pPr>
            <w:r w:rsidRPr="00D576CC">
              <w:rPr>
                <w:sz w:val="18"/>
              </w:rPr>
              <w:t>Conciliación</w:t>
            </w:r>
          </w:p>
        </w:tc>
        <w:tc>
          <w:tcPr>
            <w:tcW w:w="2296" w:type="dxa"/>
            <w:tcBorders>
              <w:bottom w:val="single" w:sz="12" w:space="0" w:color="auto"/>
            </w:tcBorders>
            <w:shd w:val="clear" w:color="auto" w:fill="auto"/>
            <w:vAlign w:val="bottom"/>
          </w:tcPr>
          <w:p w14:paraId="5A219D06" w14:textId="77777777" w:rsidR="00FA139B" w:rsidRPr="00D576CC" w:rsidRDefault="00FA139B" w:rsidP="00D576CC">
            <w:pPr>
              <w:pStyle w:val="SingleTxtG"/>
              <w:spacing w:before="40" w:after="40" w:line="220" w:lineRule="exact"/>
              <w:ind w:left="113" w:right="0"/>
              <w:jc w:val="right"/>
              <w:rPr>
                <w:sz w:val="18"/>
              </w:rPr>
            </w:pPr>
            <w:r w:rsidRPr="00D576CC">
              <w:rPr>
                <w:sz w:val="18"/>
              </w:rPr>
              <w:t>391</w:t>
            </w:r>
          </w:p>
        </w:tc>
      </w:tr>
    </w:tbl>
    <w:p w14:paraId="31A5D8D1" w14:textId="77777777" w:rsidR="00FA139B" w:rsidRPr="00FA139B" w:rsidRDefault="00FA139B" w:rsidP="00D576CC">
      <w:pPr>
        <w:pStyle w:val="SingleTxtG"/>
        <w:spacing w:before="240"/>
        <w:jc w:val="left"/>
        <w:rPr>
          <w:b/>
          <w:bCs/>
        </w:rPr>
      </w:pPr>
      <w:r w:rsidRPr="00FA139B">
        <w:rPr>
          <w:b/>
          <w:bCs/>
        </w:rPr>
        <w:t xml:space="preserve">Datos estadísticos sobre el número de infracciones remitidas a la Dirección </w:t>
      </w:r>
      <w:r w:rsidR="00D576CC">
        <w:rPr>
          <w:b/>
          <w:bCs/>
        </w:rPr>
        <w:br/>
      </w:r>
      <w:r w:rsidRPr="00FA139B">
        <w:rPr>
          <w:b/>
          <w:bCs/>
        </w:rPr>
        <w:t xml:space="preserve">General de Investigaciones por la Autoridad de la Mano de Obra entre el 1 de </w:t>
      </w:r>
      <w:r w:rsidR="00D576CC">
        <w:rPr>
          <w:b/>
          <w:bCs/>
        </w:rPr>
        <w:br/>
      </w:r>
      <w:r w:rsidRPr="00FA139B">
        <w:rPr>
          <w:b/>
          <w:bCs/>
        </w:rPr>
        <w:t>enero y el 26 de noviembre de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91"/>
        <w:gridCol w:w="1843"/>
        <w:gridCol w:w="1811"/>
        <w:gridCol w:w="992"/>
        <w:gridCol w:w="1133"/>
      </w:tblGrid>
      <w:tr w:rsidR="00FA139B" w:rsidRPr="00D576CC" w14:paraId="79540D32" w14:textId="77777777" w:rsidTr="004F65C8">
        <w:trPr>
          <w:trHeight w:val="240"/>
          <w:tblHeader/>
        </w:trPr>
        <w:tc>
          <w:tcPr>
            <w:tcW w:w="1591" w:type="dxa"/>
            <w:tcBorders>
              <w:top w:val="single" w:sz="4" w:space="0" w:color="auto"/>
              <w:bottom w:val="single" w:sz="12" w:space="0" w:color="auto"/>
            </w:tcBorders>
            <w:shd w:val="clear" w:color="auto" w:fill="auto"/>
            <w:vAlign w:val="bottom"/>
          </w:tcPr>
          <w:p w14:paraId="427BA0C5" w14:textId="77777777" w:rsidR="00FA139B" w:rsidRPr="00D576CC" w:rsidRDefault="00FA139B" w:rsidP="00354666">
            <w:pPr>
              <w:pStyle w:val="SingleTxtG"/>
              <w:spacing w:before="80" w:after="80" w:line="200" w:lineRule="exact"/>
              <w:ind w:left="0" w:right="0"/>
              <w:jc w:val="right"/>
              <w:rPr>
                <w:i/>
                <w:iCs/>
                <w:sz w:val="16"/>
              </w:rPr>
            </w:pPr>
            <w:r w:rsidRPr="00D576CC">
              <w:rPr>
                <w:i/>
                <w:iCs/>
                <w:sz w:val="16"/>
              </w:rPr>
              <w:t>Inspección de trabajo</w:t>
            </w:r>
          </w:p>
        </w:tc>
        <w:tc>
          <w:tcPr>
            <w:tcW w:w="1843" w:type="dxa"/>
            <w:tcBorders>
              <w:top w:val="single" w:sz="4" w:space="0" w:color="auto"/>
              <w:bottom w:val="single" w:sz="12" w:space="0" w:color="auto"/>
            </w:tcBorders>
            <w:shd w:val="clear" w:color="auto" w:fill="auto"/>
            <w:vAlign w:val="bottom"/>
          </w:tcPr>
          <w:p w14:paraId="1BD36D0D"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 xml:space="preserve">Seguridad ocupacional </w:t>
            </w:r>
          </w:p>
        </w:tc>
        <w:tc>
          <w:tcPr>
            <w:tcW w:w="1811" w:type="dxa"/>
            <w:tcBorders>
              <w:top w:val="single" w:sz="4" w:space="0" w:color="auto"/>
              <w:bottom w:val="single" w:sz="12" w:space="0" w:color="auto"/>
            </w:tcBorders>
            <w:shd w:val="clear" w:color="auto" w:fill="auto"/>
            <w:vAlign w:val="bottom"/>
          </w:tcPr>
          <w:p w14:paraId="190B4A24"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 xml:space="preserve">Suspensión permanente </w:t>
            </w:r>
          </w:p>
        </w:tc>
        <w:tc>
          <w:tcPr>
            <w:tcW w:w="992" w:type="dxa"/>
            <w:tcBorders>
              <w:top w:val="single" w:sz="4" w:space="0" w:color="auto"/>
              <w:bottom w:val="single" w:sz="12" w:space="0" w:color="auto"/>
            </w:tcBorders>
            <w:shd w:val="clear" w:color="auto" w:fill="auto"/>
            <w:vAlign w:val="bottom"/>
          </w:tcPr>
          <w:p w14:paraId="61280651"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Art. 10</w:t>
            </w:r>
          </w:p>
        </w:tc>
        <w:tc>
          <w:tcPr>
            <w:tcW w:w="1133" w:type="dxa"/>
            <w:tcBorders>
              <w:top w:val="single" w:sz="4" w:space="0" w:color="auto"/>
              <w:bottom w:val="single" w:sz="12" w:space="0" w:color="auto"/>
            </w:tcBorders>
            <w:shd w:val="clear" w:color="auto" w:fill="auto"/>
            <w:vAlign w:val="bottom"/>
          </w:tcPr>
          <w:p w14:paraId="578736F4"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T</w:t>
            </w:r>
            <w:r w:rsidR="00354666">
              <w:rPr>
                <w:i/>
                <w:iCs/>
                <w:sz w:val="16"/>
              </w:rPr>
              <w:t>otal</w:t>
            </w:r>
            <w:r w:rsidRPr="00D576CC">
              <w:rPr>
                <w:i/>
                <w:iCs/>
                <w:sz w:val="16"/>
              </w:rPr>
              <w:t xml:space="preserve"> </w:t>
            </w:r>
          </w:p>
        </w:tc>
      </w:tr>
      <w:tr w:rsidR="00FA139B" w:rsidRPr="00D576CC" w14:paraId="0A4C7951" w14:textId="77777777" w:rsidTr="004F65C8">
        <w:trPr>
          <w:trHeight w:val="240"/>
        </w:trPr>
        <w:tc>
          <w:tcPr>
            <w:tcW w:w="1591" w:type="dxa"/>
            <w:tcBorders>
              <w:bottom w:val="single" w:sz="12" w:space="0" w:color="auto"/>
            </w:tcBorders>
            <w:shd w:val="clear" w:color="auto" w:fill="auto"/>
          </w:tcPr>
          <w:p w14:paraId="288B4036" w14:textId="77777777" w:rsidR="00FA139B" w:rsidRPr="00D576CC" w:rsidRDefault="00FA139B" w:rsidP="00354666">
            <w:pPr>
              <w:pStyle w:val="SingleTxtG"/>
              <w:spacing w:before="40" w:after="40" w:line="220" w:lineRule="exact"/>
              <w:ind w:left="0" w:right="0"/>
              <w:jc w:val="right"/>
              <w:rPr>
                <w:sz w:val="18"/>
              </w:rPr>
            </w:pPr>
            <w:r w:rsidRPr="00D576CC">
              <w:rPr>
                <w:sz w:val="18"/>
              </w:rPr>
              <w:t>329</w:t>
            </w:r>
          </w:p>
        </w:tc>
        <w:tc>
          <w:tcPr>
            <w:tcW w:w="1843" w:type="dxa"/>
            <w:tcBorders>
              <w:bottom w:val="single" w:sz="12" w:space="0" w:color="auto"/>
            </w:tcBorders>
            <w:shd w:val="clear" w:color="auto" w:fill="auto"/>
            <w:vAlign w:val="bottom"/>
          </w:tcPr>
          <w:p w14:paraId="012B13A4" w14:textId="77777777" w:rsidR="00FA139B" w:rsidRPr="00D576CC" w:rsidRDefault="00FA139B" w:rsidP="00D576CC">
            <w:pPr>
              <w:pStyle w:val="SingleTxtG"/>
              <w:spacing w:before="40" w:after="40" w:line="220" w:lineRule="exact"/>
              <w:ind w:left="113" w:right="0"/>
              <w:jc w:val="right"/>
              <w:rPr>
                <w:sz w:val="18"/>
              </w:rPr>
            </w:pPr>
            <w:r w:rsidRPr="00D576CC">
              <w:rPr>
                <w:sz w:val="18"/>
              </w:rPr>
              <w:t>809</w:t>
            </w:r>
          </w:p>
        </w:tc>
        <w:tc>
          <w:tcPr>
            <w:tcW w:w="1811" w:type="dxa"/>
            <w:tcBorders>
              <w:bottom w:val="single" w:sz="12" w:space="0" w:color="auto"/>
            </w:tcBorders>
            <w:shd w:val="clear" w:color="auto" w:fill="auto"/>
            <w:vAlign w:val="bottom"/>
          </w:tcPr>
          <w:p w14:paraId="6C9D1AA5" w14:textId="77777777" w:rsidR="00FA139B" w:rsidRPr="00D576CC" w:rsidRDefault="00FA139B" w:rsidP="00D576CC">
            <w:pPr>
              <w:pStyle w:val="SingleTxtG"/>
              <w:spacing w:before="40" w:after="40" w:line="220" w:lineRule="exact"/>
              <w:ind w:left="113" w:right="0"/>
              <w:jc w:val="right"/>
              <w:rPr>
                <w:sz w:val="18"/>
              </w:rPr>
            </w:pPr>
            <w:r w:rsidRPr="00D576CC">
              <w:rPr>
                <w:sz w:val="18"/>
              </w:rPr>
              <w:t>115</w:t>
            </w:r>
          </w:p>
        </w:tc>
        <w:tc>
          <w:tcPr>
            <w:tcW w:w="992" w:type="dxa"/>
            <w:tcBorders>
              <w:bottom w:val="single" w:sz="12" w:space="0" w:color="auto"/>
            </w:tcBorders>
            <w:shd w:val="clear" w:color="auto" w:fill="auto"/>
            <w:vAlign w:val="bottom"/>
          </w:tcPr>
          <w:p w14:paraId="62142241" w14:textId="77777777" w:rsidR="00FA139B" w:rsidRPr="00D576CC" w:rsidRDefault="00FA139B" w:rsidP="00D576CC">
            <w:pPr>
              <w:pStyle w:val="SingleTxtG"/>
              <w:spacing w:before="40" w:after="40" w:line="220" w:lineRule="exact"/>
              <w:ind w:left="113" w:right="0"/>
              <w:jc w:val="right"/>
              <w:rPr>
                <w:sz w:val="18"/>
              </w:rPr>
            </w:pPr>
            <w:r w:rsidRPr="00D576CC">
              <w:rPr>
                <w:sz w:val="18"/>
              </w:rPr>
              <w:t>239</w:t>
            </w:r>
          </w:p>
        </w:tc>
        <w:tc>
          <w:tcPr>
            <w:tcW w:w="1133" w:type="dxa"/>
            <w:tcBorders>
              <w:bottom w:val="single" w:sz="12" w:space="0" w:color="auto"/>
            </w:tcBorders>
            <w:shd w:val="clear" w:color="auto" w:fill="auto"/>
            <w:vAlign w:val="bottom"/>
          </w:tcPr>
          <w:p w14:paraId="3972F5CD" w14:textId="77777777" w:rsidR="00FA139B" w:rsidRPr="00D576CC" w:rsidRDefault="00FA139B" w:rsidP="00D576CC">
            <w:pPr>
              <w:pStyle w:val="SingleTxtG"/>
              <w:spacing w:before="40" w:after="40" w:line="220" w:lineRule="exact"/>
              <w:ind w:left="113" w:right="0"/>
              <w:jc w:val="right"/>
              <w:rPr>
                <w:sz w:val="18"/>
              </w:rPr>
            </w:pPr>
            <w:r w:rsidRPr="00D576CC">
              <w:rPr>
                <w:sz w:val="18"/>
              </w:rPr>
              <w:t>1</w:t>
            </w:r>
            <w:r w:rsidR="00354666">
              <w:rPr>
                <w:sz w:val="18"/>
              </w:rPr>
              <w:t xml:space="preserve"> </w:t>
            </w:r>
            <w:r w:rsidRPr="00D576CC">
              <w:rPr>
                <w:sz w:val="18"/>
              </w:rPr>
              <w:t>492</w:t>
            </w:r>
          </w:p>
        </w:tc>
      </w:tr>
    </w:tbl>
    <w:p w14:paraId="32D6C29D" w14:textId="77777777" w:rsidR="00354666" w:rsidRDefault="00FA139B" w:rsidP="004F65C8">
      <w:pPr>
        <w:pStyle w:val="SingleTxtG"/>
        <w:keepNext/>
        <w:spacing w:before="240"/>
        <w:jc w:val="left"/>
        <w:rPr>
          <w:b/>
          <w:bCs/>
        </w:rPr>
      </w:pPr>
      <w:r w:rsidRPr="00FA139B">
        <w:rPr>
          <w:b/>
          <w:bCs/>
        </w:rPr>
        <w:lastRenderedPageBreak/>
        <w:t xml:space="preserve">Datos estadísticos sobre los resultados de la labor desarrollada entre el 1 de </w:t>
      </w:r>
      <w:r w:rsidR="00354666">
        <w:rPr>
          <w:b/>
          <w:bCs/>
        </w:rPr>
        <w:br/>
      </w:r>
      <w:r w:rsidRPr="00FA139B">
        <w:rPr>
          <w:b/>
          <w:bCs/>
        </w:rPr>
        <w:t xml:space="preserve">enero y el 1 de noviembre de 2019 por la Comisión Conjunta (Ministerio del </w:t>
      </w:r>
      <w:r w:rsidR="00354666">
        <w:rPr>
          <w:b/>
          <w:bCs/>
        </w:rPr>
        <w:br/>
      </w:r>
      <w:r w:rsidRPr="00FA139B">
        <w:rPr>
          <w:b/>
          <w:bCs/>
        </w:rPr>
        <w:t xml:space="preserve">Interior, Ministerio de Comercio, Municipalidad de Kuwait y Autoridad de </w:t>
      </w:r>
      <w:r w:rsidR="00354666">
        <w:rPr>
          <w:b/>
          <w:bCs/>
        </w:rPr>
        <w:br/>
      </w:r>
      <w:r w:rsidRPr="00FA139B">
        <w:rPr>
          <w:b/>
          <w:bCs/>
        </w:rPr>
        <w:t>la Mano de Obra) para la Reordenación de los Trabajadores Extranjeros</w:t>
      </w:r>
    </w:p>
    <w:tbl>
      <w:tblPr>
        <w:tblW w:w="823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2"/>
        <w:gridCol w:w="678"/>
        <w:gridCol w:w="995"/>
        <w:gridCol w:w="1078"/>
        <w:gridCol w:w="925"/>
        <w:gridCol w:w="2216"/>
        <w:gridCol w:w="567"/>
        <w:gridCol w:w="850"/>
        <w:gridCol w:w="9"/>
        <w:gridCol w:w="850"/>
      </w:tblGrid>
      <w:tr w:rsidR="00354666" w:rsidRPr="00D576CC" w14:paraId="70354566" w14:textId="77777777" w:rsidTr="004F65C8">
        <w:trPr>
          <w:gridAfter w:val="2"/>
          <w:wAfter w:w="859" w:type="dxa"/>
          <w:trHeight w:val="240"/>
          <w:tblHeader/>
        </w:trPr>
        <w:tc>
          <w:tcPr>
            <w:tcW w:w="1735" w:type="dxa"/>
            <w:gridSpan w:val="3"/>
            <w:vMerge w:val="restart"/>
            <w:tcBorders>
              <w:top w:val="single" w:sz="4" w:space="0" w:color="auto"/>
              <w:bottom w:val="single" w:sz="12" w:space="0" w:color="auto"/>
            </w:tcBorders>
            <w:shd w:val="clear" w:color="auto" w:fill="auto"/>
            <w:vAlign w:val="bottom"/>
          </w:tcPr>
          <w:p w14:paraId="73F4BEA0" w14:textId="77777777" w:rsidR="00354666" w:rsidRPr="00D576CC" w:rsidRDefault="00354666" w:rsidP="004F65C8">
            <w:pPr>
              <w:pStyle w:val="SingleTxtG"/>
              <w:keepNext/>
              <w:spacing w:before="80" w:after="80" w:line="200" w:lineRule="exact"/>
              <w:ind w:left="0" w:right="0"/>
              <w:jc w:val="center"/>
              <w:rPr>
                <w:i/>
                <w:iCs/>
                <w:sz w:val="16"/>
              </w:rPr>
            </w:pPr>
            <w:r w:rsidRPr="00D576CC">
              <w:rPr>
                <w:i/>
                <w:iCs/>
                <w:sz w:val="16"/>
              </w:rPr>
              <w:t>Inspecciones periódicas</w:t>
            </w:r>
          </w:p>
        </w:tc>
        <w:tc>
          <w:tcPr>
            <w:tcW w:w="1078" w:type="dxa"/>
            <w:vMerge w:val="restart"/>
            <w:tcBorders>
              <w:top w:val="single" w:sz="4" w:space="0" w:color="auto"/>
              <w:bottom w:val="single" w:sz="12" w:space="0" w:color="auto"/>
            </w:tcBorders>
            <w:shd w:val="clear" w:color="auto" w:fill="auto"/>
            <w:vAlign w:val="bottom"/>
          </w:tcPr>
          <w:p w14:paraId="0F41E5CE" w14:textId="77777777" w:rsidR="00354666" w:rsidRPr="00D576CC" w:rsidRDefault="00354666" w:rsidP="004F65C8">
            <w:pPr>
              <w:pStyle w:val="SingleTxtG"/>
              <w:keepNext/>
              <w:spacing w:before="80" w:after="80" w:line="200" w:lineRule="exact"/>
              <w:ind w:left="113" w:right="0"/>
              <w:jc w:val="right"/>
              <w:rPr>
                <w:i/>
                <w:iCs/>
                <w:sz w:val="16"/>
              </w:rPr>
            </w:pPr>
            <w:r w:rsidRPr="00D576CC">
              <w:rPr>
                <w:i/>
                <w:iCs/>
                <w:sz w:val="16"/>
              </w:rPr>
              <w:t xml:space="preserve">Inspección de seguimiento </w:t>
            </w:r>
          </w:p>
        </w:tc>
        <w:tc>
          <w:tcPr>
            <w:tcW w:w="4558" w:type="dxa"/>
            <w:gridSpan w:val="4"/>
            <w:tcBorders>
              <w:top w:val="single" w:sz="4" w:space="0" w:color="auto"/>
              <w:bottom w:val="single" w:sz="4" w:space="0" w:color="auto"/>
            </w:tcBorders>
            <w:shd w:val="clear" w:color="auto" w:fill="auto"/>
            <w:vAlign w:val="bottom"/>
          </w:tcPr>
          <w:p w14:paraId="6E19D60B" w14:textId="77777777" w:rsidR="00354666" w:rsidRPr="00D576CC" w:rsidRDefault="00354666" w:rsidP="004F65C8">
            <w:pPr>
              <w:pStyle w:val="SingleTxtG"/>
              <w:keepNext/>
              <w:spacing w:before="80" w:after="80" w:line="200" w:lineRule="exact"/>
              <w:ind w:left="113" w:right="0"/>
              <w:jc w:val="center"/>
              <w:rPr>
                <w:i/>
                <w:iCs/>
                <w:sz w:val="16"/>
              </w:rPr>
            </w:pPr>
            <w:r w:rsidRPr="00D576CC">
              <w:rPr>
                <w:i/>
                <w:iCs/>
                <w:sz w:val="16"/>
              </w:rPr>
              <w:t>Núm</w:t>
            </w:r>
            <w:r>
              <w:rPr>
                <w:i/>
                <w:iCs/>
                <w:sz w:val="16"/>
              </w:rPr>
              <w:t>ero</w:t>
            </w:r>
            <w:r w:rsidRPr="00D576CC">
              <w:rPr>
                <w:i/>
                <w:iCs/>
                <w:sz w:val="16"/>
              </w:rPr>
              <w:t xml:space="preserve"> de trabajadores en centro de trabajo indeterminado (4</w:t>
            </w:r>
            <w:r>
              <w:rPr>
                <w:i/>
                <w:iCs/>
                <w:sz w:val="16"/>
              </w:rPr>
              <w:t xml:space="preserve"> </w:t>
            </w:r>
            <w:r w:rsidRPr="00D576CC">
              <w:rPr>
                <w:i/>
                <w:iCs/>
                <w:sz w:val="16"/>
              </w:rPr>
              <w:t>978)</w:t>
            </w:r>
          </w:p>
        </w:tc>
      </w:tr>
      <w:tr w:rsidR="00354666" w:rsidRPr="00D576CC" w14:paraId="013F2FFF" w14:textId="77777777" w:rsidTr="004F65C8">
        <w:trPr>
          <w:trHeight w:val="240"/>
          <w:tblHeader/>
        </w:trPr>
        <w:tc>
          <w:tcPr>
            <w:tcW w:w="1735" w:type="dxa"/>
            <w:gridSpan w:val="3"/>
            <w:vMerge/>
            <w:tcBorders>
              <w:top w:val="nil"/>
              <w:bottom w:val="single" w:sz="12" w:space="0" w:color="auto"/>
            </w:tcBorders>
            <w:shd w:val="clear" w:color="auto" w:fill="auto"/>
            <w:vAlign w:val="bottom"/>
          </w:tcPr>
          <w:p w14:paraId="46B45F5A" w14:textId="77777777" w:rsidR="00354666" w:rsidRPr="00D576CC" w:rsidRDefault="00354666" w:rsidP="00D576CC">
            <w:pPr>
              <w:pStyle w:val="SingleTxtG"/>
              <w:spacing w:before="40" w:after="40" w:line="220" w:lineRule="exact"/>
              <w:ind w:left="0" w:right="0"/>
              <w:jc w:val="left"/>
              <w:rPr>
                <w:iCs/>
                <w:sz w:val="18"/>
                <w:rtl/>
                <w:lang w:bidi="ar-KW"/>
              </w:rPr>
            </w:pPr>
          </w:p>
        </w:tc>
        <w:tc>
          <w:tcPr>
            <w:tcW w:w="1078" w:type="dxa"/>
            <w:vMerge/>
            <w:tcBorders>
              <w:top w:val="nil"/>
              <w:bottom w:val="single" w:sz="12" w:space="0" w:color="auto"/>
            </w:tcBorders>
            <w:shd w:val="clear" w:color="auto" w:fill="auto"/>
            <w:vAlign w:val="bottom"/>
          </w:tcPr>
          <w:p w14:paraId="10BADEEF" w14:textId="77777777" w:rsidR="00354666" w:rsidRPr="00D576CC" w:rsidRDefault="00354666" w:rsidP="00D576CC">
            <w:pPr>
              <w:pStyle w:val="SingleTxtG"/>
              <w:spacing w:before="40" w:after="40" w:line="220" w:lineRule="exact"/>
              <w:ind w:left="113" w:right="0"/>
              <w:jc w:val="right"/>
              <w:rPr>
                <w:iCs/>
                <w:sz w:val="18"/>
                <w:rtl/>
                <w:lang w:bidi="ar-KW"/>
              </w:rPr>
            </w:pPr>
          </w:p>
        </w:tc>
        <w:tc>
          <w:tcPr>
            <w:tcW w:w="925" w:type="dxa"/>
            <w:tcBorders>
              <w:top w:val="single" w:sz="4" w:space="0" w:color="auto"/>
              <w:bottom w:val="single" w:sz="12" w:space="0" w:color="auto"/>
            </w:tcBorders>
            <w:shd w:val="clear" w:color="auto" w:fill="auto"/>
            <w:vAlign w:val="bottom"/>
          </w:tcPr>
          <w:p w14:paraId="6C072521" w14:textId="77777777" w:rsidR="00354666" w:rsidRPr="00354666" w:rsidRDefault="00354666" w:rsidP="00354666">
            <w:pPr>
              <w:pStyle w:val="SingleTxtG"/>
              <w:spacing w:before="80" w:after="80" w:line="200" w:lineRule="exact"/>
              <w:ind w:left="113" w:right="0"/>
              <w:jc w:val="right"/>
              <w:rPr>
                <w:i/>
                <w:iCs/>
                <w:sz w:val="16"/>
              </w:rPr>
            </w:pPr>
            <w:r w:rsidRPr="00354666">
              <w:rPr>
                <w:i/>
                <w:iCs/>
                <w:sz w:val="16"/>
              </w:rPr>
              <w:t>Trabajador itinerante</w:t>
            </w:r>
          </w:p>
        </w:tc>
        <w:tc>
          <w:tcPr>
            <w:tcW w:w="2783" w:type="dxa"/>
            <w:gridSpan w:val="2"/>
            <w:tcBorders>
              <w:top w:val="single" w:sz="4" w:space="0" w:color="auto"/>
              <w:bottom w:val="single" w:sz="12" w:space="0" w:color="auto"/>
            </w:tcBorders>
            <w:shd w:val="clear" w:color="auto" w:fill="auto"/>
            <w:vAlign w:val="bottom"/>
          </w:tcPr>
          <w:p w14:paraId="69284691" w14:textId="77777777" w:rsidR="00354666" w:rsidRPr="00354666" w:rsidRDefault="00354666" w:rsidP="00354666">
            <w:pPr>
              <w:pStyle w:val="SingleTxtG"/>
              <w:spacing w:before="80" w:after="80" w:line="200" w:lineRule="exact"/>
              <w:ind w:left="113" w:right="0"/>
              <w:jc w:val="right"/>
              <w:rPr>
                <w:i/>
                <w:iCs/>
                <w:sz w:val="16"/>
              </w:rPr>
            </w:pPr>
            <w:r w:rsidRPr="00354666">
              <w:rPr>
                <w:i/>
                <w:iCs/>
                <w:sz w:val="16"/>
              </w:rPr>
              <w:t>Vendedor callejero</w:t>
            </w:r>
          </w:p>
        </w:tc>
        <w:tc>
          <w:tcPr>
            <w:tcW w:w="850" w:type="dxa"/>
            <w:tcBorders>
              <w:top w:val="single" w:sz="4" w:space="0" w:color="auto"/>
              <w:bottom w:val="single" w:sz="12" w:space="0" w:color="auto"/>
            </w:tcBorders>
            <w:shd w:val="clear" w:color="auto" w:fill="auto"/>
            <w:vAlign w:val="bottom"/>
          </w:tcPr>
          <w:p w14:paraId="492811F3" w14:textId="77777777" w:rsidR="00354666" w:rsidRPr="00354666" w:rsidRDefault="00354666" w:rsidP="00354666">
            <w:pPr>
              <w:pStyle w:val="SingleTxtG"/>
              <w:spacing w:before="80" w:after="80" w:line="200" w:lineRule="exact"/>
              <w:ind w:left="113" w:right="0"/>
              <w:jc w:val="right"/>
              <w:rPr>
                <w:i/>
                <w:iCs/>
                <w:sz w:val="16"/>
              </w:rPr>
            </w:pPr>
            <w:r w:rsidRPr="00354666">
              <w:rPr>
                <w:i/>
                <w:iCs/>
                <w:sz w:val="16"/>
              </w:rPr>
              <w:t>Mendigo</w:t>
            </w:r>
          </w:p>
        </w:tc>
        <w:tc>
          <w:tcPr>
            <w:tcW w:w="859" w:type="dxa"/>
            <w:gridSpan w:val="2"/>
            <w:tcBorders>
              <w:top w:val="nil"/>
              <w:bottom w:val="nil"/>
            </w:tcBorders>
          </w:tcPr>
          <w:p w14:paraId="214578FC" w14:textId="77777777" w:rsidR="00354666" w:rsidRPr="00354666" w:rsidRDefault="00354666" w:rsidP="00354666">
            <w:pPr>
              <w:pStyle w:val="SingleTxtG"/>
              <w:spacing w:before="80" w:after="80" w:line="200" w:lineRule="exact"/>
              <w:ind w:left="113" w:right="0"/>
              <w:jc w:val="right"/>
              <w:rPr>
                <w:i/>
                <w:iCs/>
                <w:sz w:val="16"/>
              </w:rPr>
            </w:pPr>
          </w:p>
        </w:tc>
      </w:tr>
      <w:tr w:rsidR="00354666" w:rsidRPr="00D576CC" w14:paraId="53DE59E5" w14:textId="77777777" w:rsidTr="004F65C8">
        <w:trPr>
          <w:trHeight w:val="240"/>
        </w:trPr>
        <w:tc>
          <w:tcPr>
            <w:tcW w:w="62" w:type="dxa"/>
            <w:vMerge w:val="restart"/>
            <w:tcBorders>
              <w:top w:val="single" w:sz="4" w:space="0" w:color="auto"/>
            </w:tcBorders>
            <w:shd w:val="clear" w:color="auto" w:fill="auto"/>
          </w:tcPr>
          <w:p w14:paraId="7020F1F2" w14:textId="77777777" w:rsidR="00354666" w:rsidRPr="00D576CC" w:rsidRDefault="00354666" w:rsidP="00D576CC">
            <w:pPr>
              <w:pStyle w:val="SingleTxtG"/>
              <w:spacing w:before="40" w:after="40" w:line="220" w:lineRule="exact"/>
              <w:ind w:left="0" w:right="0"/>
              <w:jc w:val="left"/>
              <w:rPr>
                <w:sz w:val="18"/>
              </w:rPr>
            </w:pPr>
          </w:p>
        </w:tc>
        <w:tc>
          <w:tcPr>
            <w:tcW w:w="678" w:type="dxa"/>
            <w:tcBorders>
              <w:top w:val="nil"/>
            </w:tcBorders>
            <w:shd w:val="clear" w:color="auto" w:fill="auto"/>
          </w:tcPr>
          <w:p w14:paraId="3AEEC67A" w14:textId="77777777" w:rsidR="00354666" w:rsidRPr="00D91BBE" w:rsidRDefault="00354666" w:rsidP="00182953">
            <w:pPr>
              <w:pStyle w:val="SingleTxtG"/>
              <w:spacing w:before="40" w:after="40" w:line="220" w:lineRule="exact"/>
              <w:ind w:left="57" w:right="0"/>
              <w:jc w:val="right"/>
              <w:rPr>
                <w:iCs/>
                <w:sz w:val="16"/>
                <w:szCs w:val="16"/>
              </w:rPr>
            </w:pPr>
            <w:r w:rsidRPr="00D91BBE">
              <w:rPr>
                <w:iCs/>
                <w:sz w:val="16"/>
                <w:szCs w:val="16"/>
              </w:rPr>
              <w:t xml:space="preserve">Primera </w:t>
            </w:r>
          </w:p>
        </w:tc>
        <w:tc>
          <w:tcPr>
            <w:tcW w:w="995" w:type="dxa"/>
            <w:tcBorders>
              <w:top w:val="nil"/>
            </w:tcBorders>
            <w:shd w:val="clear" w:color="auto" w:fill="auto"/>
          </w:tcPr>
          <w:p w14:paraId="75411B8C" w14:textId="77777777" w:rsidR="00354666" w:rsidRPr="00D91BBE" w:rsidRDefault="00354666" w:rsidP="00182953">
            <w:pPr>
              <w:pStyle w:val="SingleTxtG"/>
              <w:spacing w:before="40" w:after="40" w:line="220" w:lineRule="exact"/>
              <w:ind w:left="57" w:right="0"/>
              <w:jc w:val="right"/>
              <w:rPr>
                <w:iCs/>
                <w:sz w:val="16"/>
                <w:szCs w:val="16"/>
              </w:rPr>
            </w:pPr>
            <w:r w:rsidRPr="00D91BBE">
              <w:rPr>
                <w:iCs/>
                <w:sz w:val="16"/>
                <w:szCs w:val="16"/>
              </w:rPr>
              <w:t>Subsiguientes</w:t>
            </w:r>
          </w:p>
        </w:tc>
        <w:tc>
          <w:tcPr>
            <w:tcW w:w="1078" w:type="dxa"/>
            <w:vMerge w:val="restart"/>
            <w:tcBorders>
              <w:top w:val="nil"/>
            </w:tcBorders>
            <w:shd w:val="clear" w:color="auto" w:fill="auto"/>
            <w:vAlign w:val="bottom"/>
          </w:tcPr>
          <w:p w14:paraId="5DCAB2E8" w14:textId="77777777" w:rsidR="00354666" w:rsidRPr="00D576CC" w:rsidRDefault="00354666" w:rsidP="00182953">
            <w:pPr>
              <w:pStyle w:val="SingleTxtG"/>
              <w:spacing w:before="40" w:after="40" w:line="220" w:lineRule="exact"/>
              <w:ind w:left="57" w:right="0"/>
              <w:jc w:val="right"/>
              <w:rPr>
                <w:sz w:val="18"/>
              </w:rPr>
            </w:pPr>
            <w:r w:rsidRPr="00D576CC">
              <w:rPr>
                <w:sz w:val="18"/>
              </w:rPr>
              <w:t>4</w:t>
            </w:r>
            <w:r>
              <w:rPr>
                <w:sz w:val="18"/>
              </w:rPr>
              <w:t xml:space="preserve"> </w:t>
            </w:r>
            <w:r w:rsidRPr="00D576CC">
              <w:rPr>
                <w:sz w:val="18"/>
              </w:rPr>
              <w:t>186</w:t>
            </w:r>
          </w:p>
        </w:tc>
        <w:tc>
          <w:tcPr>
            <w:tcW w:w="925" w:type="dxa"/>
            <w:vMerge w:val="restart"/>
            <w:tcBorders>
              <w:top w:val="single" w:sz="12" w:space="0" w:color="auto"/>
            </w:tcBorders>
            <w:shd w:val="clear" w:color="auto" w:fill="auto"/>
            <w:vAlign w:val="bottom"/>
          </w:tcPr>
          <w:p w14:paraId="443E6199" w14:textId="77777777" w:rsidR="00354666" w:rsidRPr="00D576CC" w:rsidRDefault="00354666" w:rsidP="00182953">
            <w:pPr>
              <w:pStyle w:val="SingleTxtG"/>
              <w:spacing w:before="40" w:after="40" w:line="220" w:lineRule="exact"/>
              <w:ind w:left="57" w:right="0"/>
              <w:jc w:val="left"/>
              <w:rPr>
                <w:sz w:val="18"/>
              </w:rPr>
            </w:pPr>
            <w:r w:rsidRPr="00D576CC">
              <w:rPr>
                <w:sz w:val="18"/>
              </w:rPr>
              <w:t>Licencia comercial</w:t>
            </w:r>
          </w:p>
        </w:tc>
        <w:tc>
          <w:tcPr>
            <w:tcW w:w="2216" w:type="dxa"/>
            <w:vMerge w:val="restart"/>
            <w:tcBorders>
              <w:top w:val="single" w:sz="12" w:space="0" w:color="auto"/>
            </w:tcBorders>
            <w:shd w:val="clear" w:color="auto" w:fill="auto"/>
            <w:vAlign w:val="bottom"/>
          </w:tcPr>
          <w:p w14:paraId="2832F2F7" w14:textId="77777777" w:rsidR="00354666" w:rsidRPr="00D576CC" w:rsidRDefault="00354666" w:rsidP="00182953">
            <w:pPr>
              <w:pStyle w:val="SingleTxtG"/>
              <w:spacing w:before="40" w:after="40" w:line="220" w:lineRule="exact"/>
              <w:ind w:left="57" w:right="0"/>
              <w:jc w:val="right"/>
              <w:rPr>
                <w:sz w:val="18"/>
              </w:rPr>
            </w:pPr>
            <w:r w:rsidRPr="00D576CC">
              <w:rPr>
                <w:sz w:val="18"/>
              </w:rPr>
              <w:t>4</w:t>
            </w:r>
            <w:r>
              <w:rPr>
                <w:sz w:val="18"/>
              </w:rPr>
              <w:t xml:space="preserve"> </w:t>
            </w:r>
            <w:r w:rsidRPr="00D576CC">
              <w:rPr>
                <w:sz w:val="18"/>
              </w:rPr>
              <w:t>908</w:t>
            </w:r>
          </w:p>
        </w:tc>
        <w:tc>
          <w:tcPr>
            <w:tcW w:w="567" w:type="dxa"/>
            <w:vMerge w:val="restart"/>
            <w:tcBorders>
              <w:top w:val="single" w:sz="12" w:space="0" w:color="auto"/>
            </w:tcBorders>
            <w:shd w:val="clear" w:color="auto" w:fill="auto"/>
            <w:vAlign w:val="bottom"/>
          </w:tcPr>
          <w:p w14:paraId="459FB30A" w14:textId="77777777" w:rsidR="00354666" w:rsidRPr="00D576CC" w:rsidRDefault="00354666" w:rsidP="00182953">
            <w:pPr>
              <w:pStyle w:val="SingleTxtG"/>
              <w:spacing w:before="40" w:after="40" w:line="220" w:lineRule="exact"/>
              <w:ind w:left="57" w:right="0"/>
              <w:jc w:val="right"/>
              <w:rPr>
                <w:sz w:val="18"/>
              </w:rPr>
            </w:pPr>
            <w:r w:rsidRPr="00D576CC">
              <w:rPr>
                <w:sz w:val="18"/>
              </w:rPr>
              <w:t>47</w:t>
            </w:r>
          </w:p>
        </w:tc>
        <w:tc>
          <w:tcPr>
            <w:tcW w:w="850" w:type="dxa"/>
            <w:vMerge w:val="restart"/>
            <w:tcBorders>
              <w:top w:val="single" w:sz="12" w:space="0" w:color="auto"/>
            </w:tcBorders>
            <w:shd w:val="clear" w:color="auto" w:fill="auto"/>
            <w:vAlign w:val="bottom"/>
          </w:tcPr>
          <w:p w14:paraId="1AA46126" w14:textId="77777777" w:rsidR="00354666" w:rsidRPr="00D576CC" w:rsidRDefault="00354666" w:rsidP="00182953">
            <w:pPr>
              <w:pStyle w:val="SingleTxtG"/>
              <w:spacing w:before="40" w:after="40" w:line="220" w:lineRule="exact"/>
              <w:ind w:left="57" w:right="0"/>
              <w:jc w:val="right"/>
              <w:rPr>
                <w:sz w:val="18"/>
              </w:rPr>
            </w:pPr>
            <w:r w:rsidRPr="00D576CC">
              <w:rPr>
                <w:sz w:val="18"/>
              </w:rPr>
              <w:t>23</w:t>
            </w:r>
          </w:p>
        </w:tc>
        <w:tc>
          <w:tcPr>
            <w:tcW w:w="859" w:type="dxa"/>
            <w:gridSpan w:val="2"/>
            <w:tcBorders>
              <w:top w:val="nil"/>
            </w:tcBorders>
          </w:tcPr>
          <w:p w14:paraId="2F2FB277"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2F900620" w14:textId="77777777" w:rsidTr="004F65C8">
        <w:trPr>
          <w:trHeight w:val="240"/>
        </w:trPr>
        <w:tc>
          <w:tcPr>
            <w:tcW w:w="62" w:type="dxa"/>
            <w:vMerge/>
            <w:shd w:val="clear" w:color="auto" w:fill="auto"/>
          </w:tcPr>
          <w:p w14:paraId="142B77CB" w14:textId="77777777" w:rsidR="00354666" w:rsidRPr="00D576CC" w:rsidRDefault="00354666" w:rsidP="00D576CC">
            <w:pPr>
              <w:pStyle w:val="SingleTxtG"/>
              <w:spacing w:before="40" w:after="40" w:line="220" w:lineRule="exact"/>
              <w:ind w:left="0" w:right="0"/>
              <w:jc w:val="left"/>
              <w:rPr>
                <w:sz w:val="18"/>
              </w:rPr>
            </w:pPr>
          </w:p>
        </w:tc>
        <w:tc>
          <w:tcPr>
            <w:tcW w:w="678" w:type="dxa"/>
            <w:shd w:val="clear" w:color="auto" w:fill="auto"/>
          </w:tcPr>
          <w:p w14:paraId="629F52CD" w14:textId="77777777" w:rsidR="00354666" w:rsidRPr="00D576CC" w:rsidRDefault="00354666" w:rsidP="00182953">
            <w:pPr>
              <w:pStyle w:val="SingleTxtG"/>
              <w:spacing w:before="40" w:after="40" w:line="220" w:lineRule="exact"/>
              <w:ind w:left="57" w:right="0"/>
              <w:jc w:val="right"/>
              <w:rPr>
                <w:sz w:val="18"/>
              </w:rPr>
            </w:pPr>
            <w:r w:rsidRPr="00D576CC">
              <w:rPr>
                <w:sz w:val="18"/>
              </w:rPr>
              <w:t>881</w:t>
            </w:r>
          </w:p>
        </w:tc>
        <w:tc>
          <w:tcPr>
            <w:tcW w:w="995" w:type="dxa"/>
            <w:shd w:val="clear" w:color="auto" w:fill="auto"/>
          </w:tcPr>
          <w:p w14:paraId="15387B2F" w14:textId="77777777" w:rsidR="00354666" w:rsidRPr="00D576CC" w:rsidRDefault="00354666" w:rsidP="00182953">
            <w:pPr>
              <w:pStyle w:val="SingleTxtG"/>
              <w:spacing w:before="40" w:after="40" w:line="220" w:lineRule="exact"/>
              <w:ind w:left="57" w:right="0"/>
              <w:jc w:val="right"/>
              <w:rPr>
                <w:sz w:val="18"/>
              </w:rPr>
            </w:pPr>
            <w:r w:rsidRPr="00D576CC">
              <w:rPr>
                <w:sz w:val="18"/>
              </w:rPr>
              <w:t>287</w:t>
            </w:r>
          </w:p>
        </w:tc>
        <w:tc>
          <w:tcPr>
            <w:tcW w:w="1078" w:type="dxa"/>
            <w:vMerge/>
            <w:shd w:val="clear" w:color="auto" w:fill="auto"/>
            <w:vAlign w:val="bottom"/>
          </w:tcPr>
          <w:p w14:paraId="32DA8574" w14:textId="77777777" w:rsidR="00354666" w:rsidRPr="00D576CC" w:rsidRDefault="00354666" w:rsidP="00182953">
            <w:pPr>
              <w:pStyle w:val="SingleTxtG"/>
              <w:spacing w:before="40" w:after="40" w:line="220" w:lineRule="exact"/>
              <w:ind w:left="57" w:right="0"/>
              <w:jc w:val="right"/>
              <w:rPr>
                <w:sz w:val="18"/>
              </w:rPr>
            </w:pPr>
          </w:p>
        </w:tc>
        <w:tc>
          <w:tcPr>
            <w:tcW w:w="925" w:type="dxa"/>
            <w:vMerge/>
            <w:shd w:val="clear" w:color="auto" w:fill="auto"/>
            <w:vAlign w:val="bottom"/>
          </w:tcPr>
          <w:p w14:paraId="043E82A5" w14:textId="77777777" w:rsidR="00354666" w:rsidRPr="00D576CC" w:rsidRDefault="00354666" w:rsidP="00182953">
            <w:pPr>
              <w:pStyle w:val="SingleTxtG"/>
              <w:spacing w:before="40" w:after="40" w:line="220" w:lineRule="exact"/>
              <w:ind w:left="57" w:right="0"/>
              <w:jc w:val="right"/>
              <w:rPr>
                <w:sz w:val="18"/>
                <w:rtl/>
                <w:lang w:bidi="ar-KW"/>
              </w:rPr>
            </w:pPr>
          </w:p>
        </w:tc>
        <w:tc>
          <w:tcPr>
            <w:tcW w:w="2216" w:type="dxa"/>
            <w:vMerge/>
            <w:shd w:val="clear" w:color="auto" w:fill="auto"/>
            <w:vAlign w:val="bottom"/>
          </w:tcPr>
          <w:p w14:paraId="6D269CB3" w14:textId="77777777" w:rsidR="00354666" w:rsidRPr="00D576CC" w:rsidRDefault="00354666" w:rsidP="00182953">
            <w:pPr>
              <w:pStyle w:val="SingleTxtG"/>
              <w:spacing w:before="40" w:after="40" w:line="220" w:lineRule="exact"/>
              <w:ind w:left="57" w:right="0"/>
              <w:jc w:val="right"/>
              <w:rPr>
                <w:sz w:val="18"/>
              </w:rPr>
            </w:pPr>
          </w:p>
        </w:tc>
        <w:tc>
          <w:tcPr>
            <w:tcW w:w="567" w:type="dxa"/>
            <w:vMerge/>
            <w:shd w:val="clear" w:color="auto" w:fill="auto"/>
            <w:vAlign w:val="bottom"/>
          </w:tcPr>
          <w:p w14:paraId="7D567808" w14:textId="77777777" w:rsidR="00354666" w:rsidRPr="00D576CC" w:rsidRDefault="00354666" w:rsidP="00182953">
            <w:pPr>
              <w:pStyle w:val="SingleTxtG"/>
              <w:spacing w:before="40" w:after="40" w:line="220" w:lineRule="exact"/>
              <w:ind w:left="57" w:right="0"/>
              <w:jc w:val="right"/>
              <w:rPr>
                <w:sz w:val="18"/>
              </w:rPr>
            </w:pPr>
          </w:p>
        </w:tc>
        <w:tc>
          <w:tcPr>
            <w:tcW w:w="850" w:type="dxa"/>
            <w:vMerge/>
            <w:shd w:val="clear" w:color="auto" w:fill="auto"/>
            <w:vAlign w:val="bottom"/>
          </w:tcPr>
          <w:p w14:paraId="7947D898" w14:textId="77777777" w:rsidR="00354666" w:rsidRPr="00D576CC" w:rsidRDefault="00354666" w:rsidP="00182953">
            <w:pPr>
              <w:pStyle w:val="SingleTxtG"/>
              <w:spacing w:before="40" w:after="40" w:line="220" w:lineRule="exact"/>
              <w:ind w:left="57" w:right="0"/>
              <w:jc w:val="right"/>
              <w:rPr>
                <w:sz w:val="18"/>
              </w:rPr>
            </w:pPr>
          </w:p>
        </w:tc>
        <w:tc>
          <w:tcPr>
            <w:tcW w:w="859" w:type="dxa"/>
            <w:gridSpan w:val="2"/>
          </w:tcPr>
          <w:p w14:paraId="544D2BA4"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09021400" w14:textId="77777777" w:rsidTr="004F65C8">
        <w:trPr>
          <w:gridAfter w:val="1"/>
          <w:wAfter w:w="850" w:type="dxa"/>
          <w:trHeight w:val="240"/>
        </w:trPr>
        <w:tc>
          <w:tcPr>
            <w:tcW w:w="3738" w:type="dxa"/>
            <w:gridSpan w:val="5"/>
            <w:vMerge w:val="restart"/>
            <w:shd w:val="clear" w:color="auto" w:fill="auto"/>
          </w:tcPr>
          <w:p w14:paraId="4347C168"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shd w:val="clear" w:color="auto" w:fill="auto"/>
            <w:vAlign w:val="bottom"/>
          </w:tcPr>
          <w:p w14:paraId="32D38D12" w14:textId="77777777" w:rsidR="00354666" w:rsidRPr="00D576CC" w:rsidRDefault="00354666" w:rsidP="00182953">
            <w:pPr>
              <w:pStyle w:val="SingleTxtG"/>
              <w:spacing w:before="40" w:after="40" w:line="220" w:lineRule="exact"/>
              <w:ind w:left="57" w:right="0"/>
              <w:jc w:val="left"/>
              <w:rPr>
                <w:sz w:val="18"/>
              </w:rPr>
            </w:pPr>
            <w:r w:rsidRPr="00D576CC">
              <w:rPr>
                <w:sz w:val="18"/>
              </w:rPr>
              <w:t>Sector privado</w:t>
            </w:r>
          </w:p>
        </w:tc>
        <w:tc>
          <w:tcPr>
            <w:tcW w:w="567" w:type="dxa"/>
            <w:shd w:val="clear" w:color="auto" w:fill="auto"/>
            <w:vAlign w:val="bottom"/>
          </w:tcPr>
          <w:p w14:paraId="78D7C0A8" w14:textId="77777777" w:rsidR="00354666" w:rsidRPr="00D576CC" w:rsidRDefault="00354666" w:rsidP="00182953">
            <w:pPr>
              <w:pStyle w:val="SingleTxtG"/>
              <w:spacing w:before="40" w:after="40" w:line="220" w:lineRule="exact"/>
              <w:ind w:left="57" w:right="0"/>
              <w:jc w:val="right"/>
              <w:rPr>
                <w:sz w:val="18"/>
              </w:rPr>
            </w:pPr>
            <w:r w:rsidRPr="00D576CC">
              <w:rPr>
                <w:sz w:val="18"/>
              </w:rPr>
              <w:t>2</w:t>
            </w:r>
            <w:r>
              <w:rPr>
                <w:sz w:val="18"/>
              </w:rPr>
              <w:t xml:space="preserve"> </w:t>
            </w:r>
            <w:r w:rsidRPr="00D576CC">
              <w:rPr>
                <w:sz w:val="18"/>
              </w:rPr>
              <w:t>289</w:t>
            </w:r>
          </w:p>
        </w:tc>
        <w:tc>
          <w:tcPr>
            <w:tcW w:w="859" w:type="dxa"/>
            <w:gridSpan w:val="2"/>
          </w:tcPr>
          <w:p w14:paraId="0806D410"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6297021D" w14:textId="77777777" w:rsidTr="004F65C8">
        <w:trPr>
          <w:gridAfter w:val="1"/>
          <w:wAfter w:w="850" w:type="dxa"/>
          <w:trHeight w:val="240"/>
        </w:trPr>
        <w:tc>
          <w:tcPr>
            <w:tcW w:w="3738" w:type="dxa"/>
            <w:gridSpan w:val="5"/>
            <w:vMerge/>
            <w:shd w:val="clear" w:color="auto" w:fill="auto"/>
          </w:tcPr>
          <w:p w14:paraId="2FC60198" w14:textId="77777777" w:rsidR="00354666" w:rsidRPr="00D576CC" w:rsidRDefault="00354666" w:rsidP="00182953">
            <w:pPr>
              <w:pStyle w:val="SingleTxtG"/>
              <w:spacing w:before="40" w:after="40" w:line="220" w:lineRule="exact"/>
              <w:ind w:left="57" w:right="0"/>
              <w:jc w:val="left"/>
              <w:rPr>
                <w:sz w:val="18"/>
              </w:rPr>
            </w:pPr>
          </w:p>
        </w:tc>
        <w:tc>
          <w:tcPr>
            <w:tcW w:w="2216" w:type="dxa"/>
            <w:shd w:val="clear" w:color="auto" w:fill="auto"/>
            <w:vAlign w:val="bottom"/>
          </w:tcPr>
          <w:p w14:paraId="5A37E388" w14:textId="77777777" w:rsidR="00354666" w:rsidRPr="00D576CC" w:rsidRDefault="00354666" w:rsidP="00182953">
            <w:pPr>
              <w:pStyle w:val="SingleTxtG"/>
              <w:spacing w:before="40" w:after="40" w:line="220" w:lineRule="exact"/>
              <w:ind w:left="57" w:right="0"/>
              <w:jc w:val="left"/>
              <w:rPr>
                <w:sz w:val="18"/>
              </w:rPr>
            </w:pPr>
            <w:r w:rsidRPr="00D576CC">
              <w:rPr>
                <w:sz w:val="18"/>
              </w:rPr>
              <w:t>Reagrupación con el alimentante</w:t>
            </w:r>
          </w:p>
        </w:tc>
        <w:tc>
          <w:tcPr>
            <w:tcW w:w="567" w:type="dxa"/>
            <w:shd w:val="clear" w:color="auto" w:fill="auto"/>
            <w:vAlign w:val="bottom"/>
          </w:tcPr>
          <w:p w14:paraId="2D20C4E7" w14:textId="77777777" w:rsidR="00354666" w:rsidRPr="00D576CC" w:rsidRDefault="00354666" w:rsidP="00182953">
            <w:pPr>
              <w:pStyle w:val="SingleTxtG"/>
              <w:spacing w:before="40" w:after="40" w:line="220" w:lineRule="exact"/>
              <w:ind w:left="57" w:right="0"/>
              <w:jc w:val="right"/>
              <w:rPr>
                <w:sz w:val="18"/>
              </w:rPr>
            </w:pPr>
            <w:r w:rsidRPr="00D576CC">
              <w:rPr>
                <w:sz w:val="18"/>
              </w:rPr>
              <w:t>113</w:t>
            </w:r>
          </w:p>
        </w:tc>
        <w:tc>
          <w:tcPr>
            <w:tcW w:w="859" w:type="dxa"/>
            <w:gridSpan w:val="2"/>
          </w:tcPr>
          <w:p w14:paraId="5D2EAC5B"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5D5F6F6D" w14:textId="77777777" w:rsidTr="004F65C8">
        <w:trPr>
          <w:gridAfter w:val="1"/>
          <w:wAfter w:w="850" w:type="dxa"/>
          <w:trHeight w:val="240"/>
        </w:trPr>
        <w:tc>
          <w:tcPr>
            <w:tcW w:w="3738" w:type="dxa"/>
            <w:gridSpan w:val="5"/>
            <w:vMerge/>
            <w:shd w:val="clear" w:color="auto" w:fill="auto"/>
          </w:tcPr>
          <w:p w14:paraId="5638F152"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shd w:val="clear" w:color="auto" w:fill="auto"/>
            <w:vAlign w:val="bottom"/>
          </w:tcPr>
          <w:p w14:paraId="618EA802" w14:textId="77777777" w:rsidR="00354666" w:rsidRPr="00D576CC" w:rsidRDefault="00354666" w:rsidP="004F65C8">
            <w:pPr>
              <w:pStyle w:val="SingleTxtG"/>
              <w:keepNext/>
              <w:spacing w:before="40" w:after="40" w:line="220" w:lineRule="exact"/>
              <w:ind w:left="57" w:right="0"/>
              <w:jc w:val="left"/>
              <w:rPr>
                <w:sz w:val="18"/>
              </w:rPr>
            </w:pPr>
            <w:r w:rsidRPr="00D576CC">
              <w:rPr>
                <w:sz w:val="18"/>
              </w:rPr>
              <w:t>Sirviente/trabajador doméstico</w:t>
            </w:r>
          </w:p>
        </w:tc>
        <w:tc>
          <w:tcPr>
            <w:tcW w:w="567" w:type="dxa"/>
            <w:shd w:val="clear" w:color="auto" w:fill="auto"/>
            <w:vAlign w:val="bottom"/>
          </w:tcPr>
          <w:p w14:paraId="38D05109" w14:textId="77777777" w:rsidR="00354666" w:rsidRPr="00D576CC" w:rsidRDefault="00354666" w:rsidP="004F65C8">
            <w:pPr>
              <w:pStyle w:val="SingleTxtG"/>
              <w:keepNext/>
              <w:spacing w:before="40" w:after="40" w:line="220" w:lineRule="exact"/>
              <w:ind w:left="57" w:right="0"/>
              <w:jc w:val="right"/>
              <w:rPr>
                <w:sz w:val="18"/>
              </w:rPr>
            </w:pPr>
            <w:r w:rsidRPr="00D576CC">
              <w:rPr>
                <w:sz w:val="18"/>
              </w:rPr>
              <w:t>2</w:t>
            </w:r>
            <w:r>
              <w:rPr>
                <w:sz w:val="18"/>
              </w:rPr>
              <w:t xml:space="preserve"> </w:t>
            </w:r>
            <w:r w:rsidRPr="00D576CC">
              <w:rPr>
                <w:sz w:val="18"/>
              </w:rPr>
              <w:t>539</w:t>
            </w:r>
          </w:p>
        </w:tc>
        <w:tc>
          <w:tcPr>
            <w:tcW w:w="859" w:type="dxa"/>
            <w:gridSpan w:val="2"/>
          </w:tcPr>
          <w:p w14:paraId="2AC186DC" w14:textId="77777777" w:rsidR="00354666" w:rsidRPr="00D576CC" w:rsidRDefault="00354666" w:rsidP="004F65C8">
            <w:pPr>
              <w:pStyle w:val="SingleTxtG"/>
              <w:keepNext/>
              <w:spacing w:before="40" w:after="40" w:line="220" w:lineRule="exact"/>
              <w:ind w:left="57" w:right="0"/>
              <w:jc w:val="right"/>
              <w:rPr>
                <w:sz w:val="18"/>
              </w:rPr>
            </w:pPr>
          </w:p>
        </w:tc>
      </w:tr>
      <w:tr w:rsidR="00354666" w:rsidRPr="00D576CC" w14:paraId="230D76EE" w14:textId="77777777" w:rsidTr="004F65C8">
        <w:trPr>
          <w:gridAfter w:val="1"/>
          <w:wAfter w:w="850" w:type="dxa"/>
          <w:trHeight w:val="240"/>
        </w:trPr>
        <w:tc>
          <w:tcPr>
            <w:tcW w:w="3738" w:type="dxa"/>
            <w:gridSpan w:val="5"/>
            <w:vMerge/>
            <w:shd w:val="clear" w:color="auto" w:fill="auto"/>
          </w:tcPr>
          <w:p w14:paraId="314289B5"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shd w:val="clear" w:color="auto" w:fill="auto"/>
            <w:vAlign w:val="bottom"/>
          </w:tcPr>
          <w:p w14:paraId="60A9A7D0" w14:textId="77777777" w:rsidR="00354666" w:rsidRPr="00D576CC" w:rsidRDefault="00354666" w:rsidP="00182953">
            <w:pPr>
              <w:pStyle w:val="SingleTxtG"/>
              <w:spacing w:before="40" w:after="40" w:line="220" w:lineRule="exact"/>
              <w:ind w:left="57" w:right="0"/>
              <w:jc w:val="left"/>
              <w:rPr>
                <w:sz w:val="18"/>
              </w:rPr>
            </w:pPr>
            <w:r w:rsidRPr="00D576CC">
              <w:rPr>
                <w:sz w:val="18"/>
              </w:rPr>
              <w:t>Visitas</w:t>
            </w:r>
          </w:p>
        </w:tc>
        <w:tc>
          <w:tcPr>
            <w:tcW w:w="567" w:type="dxa"/>
            <w:shd w:val="clear" w:color="auto" w:fill="auto"/>
            <w:vAlign w:val="bottom"/>
          </w:tcPr>
          <w:p w14:paraId="6797C634" w14:textId="77777777" w:rsidR="00354666" w:rsidRPr="00D576CC" w:rsidRDefault="00354666" w:rsidP="00182953">
            <w:pPr>
              <w:pStyle w:val="SingleTxtG"/>
              <w:spacing w:before="40" w:after="40" w:line="220" w:lineRule="exact"/>
              <w:ind w:left="57" w:right="0"/>
              <w:jc w:val="right"/>
              <w:rPr>
                <w:sz w:val="18"/>
              </w:rPr>
            </w:pPr>
            <w:r w:rsidRPr="00D576CC">
              <w:rPr>
                <w:sz w:val="18"/>
              </w:rPr>
              <w:t>7</w:t>
            </w:r>
          </w:p>
        </w:tc>
        <w:tc>
          <w:tcPr>
            <w:tcW w:w="859" w:type="dxa"/>
            <w:gridSpan w:val="2"/>
          </w:tcPr>
          <w:p w14:paraId="449BAB75"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2E22FF7B" w14:textId="77777777" w:rsidTr="004F65C8">
        <w:trPr>
          <w:gridAfter w:val="1"/>
          <w:wAfter w:w="850" w:type="dxa"/>
          <w:trHeight w:val="240"/>
        </w:trPr>
        <w:tc>
          <w:tcPr>
            <w:tcW w:w="3738" w:type="dxa"/>
            <w:gridSpan w:val="5"/>
            <w:vMerge/>
            <w:shd w:val="clear" w:color="auto" w:fill="auto"/>
          </w:tcPr>
          <w:p w14:paraId="5698509E"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shd w:val="clear" w:color="auto" w:fill="auto"/>
            <w:vAlign w:val="bottom"/>
          </w:tcPr>
          <w:p w14:paraId="2C59942B" w14:textId="77777777" w:rsidR="00354666" w:rsidRPr="00D576CC" w:rsidRDefault="00354666" w:rsidP="00182953">
            <w:pPr>
              <w:pStyle w:val="SingleTxtG"/>
              <w:spacing w:before="40" w:after="40" w:line="220" w:lineRule="exact"/>
              <w:ind w:left="57" w:right="0"/>
              <w:jc w:val="left"/>
              <w:rPr>
                <w:sz w:val="18"/>
              </w:rPr>
            </w:pPr>
            <w:r w:rsidRPr="00D576CC">
              <w:rPr>
                <w:sz w:val="18"/>
              </w:rPr>
              <w:t>Residente en situación irregular</w:t>
            </w:r>
          </w:p>
        </w:tc>
        <w:tc>
          <w:tcPr>
            <w:tcW w:w="567" w:type="dxa"/>
            <w:shd w:val="clear" w:color="auto" w:fill="auto"/>
            <w:vAlign w:val="bottom"/>
          </w:tcPr>
          <w:p w14:paraId="0395F623" w14:textId="77777777" w:rsidR="00354666" w:rsidRPr="00D576CC" w:rsidRDefault="00354666" w:rsidP="00182953">
            <w:pPr>
              <w:pStyle w:val="SingleTxtG"/>
              <w:spacing w:before="40" w:after="40" w:line="220" w:lineRule="exact"/>
              <w:ind w:left="57" w:right="0"/>
              <w:jc w:val="right"/>
              <w:rPr>
                <w:sz w:val="18"/>
              </w:rPr>
            </w:pPr>
            <w:r w:rsidRPr="00D576CC">
              <w:rPr>
                <w:sz w:val="18"/>
              </w:rPr>
              <w:t>6</w:t>
            </w:r>
          </w:p>
        </w:tc>
        <w:tc>
          <w:tcPr>
            <w:tcW w:w="859" w:type="dxa"/>
            <w:gridSpan w:val="2"/>
          </w:tcPr>
          <w:p w14:paraId="2B105F41"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7A528C13" w14:textId="77777777" w:rsidTr="004F65C8">
        <w:trPr>
          <w:gridAfter w:val="1"/>
          <w:wAfter w:w="850" w:type="dxa"/>
          <w:trHeight w:val="240"/>
        </w:trPr>
        <w:tc>
          <w:tcPr>
            <w:tcW w:w="3738" w:type="dxa"/>
            <w:gridSpan w:val="5"/>
            <w:vMerge/>
            <w:shd w:val="clear" w:color="auto" w:fill="auto"/>
          </w:tcPr>
          <w:p w14:paraId="0FAFD460"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shd w:val="clear" w:color="auto" w:fill="auto"/>
            <w:vAlign w:val="bottom"/>
          </w:tcPr>
          <w:p w14:paraId="67730D50" w14:textId="77777777" w:rsidR="00354666" w:rsidRPr="00D576CC" w:rsidRDefault="00354666" w:rsidP="00182953">
            <w:pPr>
              <w:pStyle w:val="SingleTxtG"/>
              <w:spacing w:before="40" w:after="40" w:line="220" w:lineRule="exact"/>
              <w:ind w:left="57" w:right="0"/>
              <w:jc w:val="left"/>
              <w:rPr>
                <w:sz w:val="18"/>
              </w:rPr>
            </w:pPr>
            <w:r w:rsidRPr="00D576CC">
              <w:rPr>
                <w:sz w:val="18"/>
              </w:rPr>
              <w:t>Ciudadanos de los Estados del Consejo de Cooperación</w:t>
            </w:r>
          </w:p>
        </w:tc>
        <w:tc>
          <w:tcPr>
            <w:tcW w:w="567" w:type="dxa"/>
            <w:shd w:val="clear" w:color="auto" w:fill="auto"/>
            <w:vAlign w:val="bottom"/>
          </w:tcPr>
          <w:p w14:paraId="43D296DF" w14:textId="77777777" w:rsidR="00354666" w:rsidRPr="00D576CC" w:rsidRDefault="00354666" w:rsidP="00182953">
            <w:pPr>
              <w:pStyle w:val="SingleTxtG"/>
              <w:spacing w:before="40" w:after="40" w:line="220" w:lineRule="exact"/>
              <w:ind w:left="57" w:right="0"/>
              <w:jc w:val="right"/>
              <w:rPr>
                <w:sz w:val="18"/>
              </w:rPr>
            </w:pPr>
            <w:r w:rsidRPr="00D576CC">
              <w:rPr>
                <w:sz w:val="18"/>
              </w:rPr>
              <w:t>3</w:t>
            </w:r>
          </w:p>
        </w:tc>
        <w:tc>
          <w:tcPr>
            <w:tcW w:w="859" w:type="dxa"/>
            <w:gridSpan w:val="2"/>
          </w:tcPr>
          <w:p w14:paraId="00F2B691" w14:textId="77777777" w:rsidR="00354666" w:rsidRPr="00D576CC" w:rsidRDefault="00354666" w:rsidP="00182953">
            <w:pPr>
              <w:pStyle w:val="SingleTxtG"/>
              <w:spacing w:before="40" w:after="40" w:line="220" w:lineRule="exact"/>
              <w:ind w:left="57" w:right="0"/>
              <w:jc w:val="right"/>
              <w:rPr>
                <w:sz w:val="18"/>
              </w:rPr>
            </w:pPr>
          </w:p>
        </w:tc>
      </w:tr>
      <w:tr w:rsidR="00354666" w:rsidRPr="00D576CC" w14:paraId="1B04A5A3" w14:textId="77777777" w:rsidTr="004F65C8">
        <w:trPr>
          <w:gridAfter w:val="1"/>
          <w:wAfter w:w="850" w:type="dxa"/>
          <w:trHeight w:val="240"/>
        </w:trPr>
        <w:tc>
          <w:tcPr>
            <w:tcW w:w="3738" w:type="dxa"/>
            <w:gridSpan w:val="5"/>
            <w:vMerge/>
            <w:tcBorders>
              <w:bottom w:val="single" w:sz="12" w:space="0" w:color="auto"/>
            </w:tcBorders>
            <w:shd w:val="clear" w:color="auto" w:fill="auto"/>
          </w:tcPr>
          <w:p w14:paraId="4BD4A5F8" w14:textId="77777777" w:rsidR="00354666" w:rsidRPr="00D576CC" w:rsidRDefault="00354666" w:rsidP="00182953">
            <w:pPr>
              <w:pStyle w:val="SingleTxtG"/>
              <w:spacing w:before="40" w:after="40" w:line="220" w:lineRule="exact"/>
              <w:ind w:left="57" w:right="0"/>
              <w:jc w:val="left"/>
              <w:rPr>
                <w:sz w:val="18"/>
                <w:rtl/>
                <w:lang w:bidi="ar-KW"/>
              </w:rPr>
            </w:pPr>
          </w:p>
        </w:tc>
        <w:tc>
          <w:tcPr>
            <w:tcW w:w="2216" w:type="dxa"/>
            <w:tcBorders>
              <w:bottom w:val="single" w:sz="12" w:space="0" w:color="auto"/>
            </w:tcBorders>
            <w:shd w:val="clear" w:color="auto" w:fill="auto"/>
            <w:vAlign w:val="bottom"/>
          </w:tcPr>
          <w:p w14:paraId="37F00438" w14:textId="77777777" w:rsidR="00354666" w:rsidRPr="00D576CC" w:rsidRDefault="00354666" w:rsidP="00182953">
            <w:pPr>
              <w:pStyle w:val="SingleTxtG"/>
              <w:spacing w:before="40" w:after="40" w:line="220" w:lineRule="exact"/>
              <w:ind w:left="57" w:right="0"/>
              <w:jc w:val="left"/>
              <w:rPr>
                <w:sz w:val="18"/>
              </w:rPr>
            </w:pPr>
            <w:r w:rsidRPr="00D576CC">
              <w:rPr>
                <w:sz w:val="18"/>
              </w:rPr>
              <w:t>Otros</w:t>
            </w:r>
          </w:p>
        </w:tc>
        <w:tc>
          <w:tcPr>
            <w:tcW w:w="567" w:type="dxa"/>
            <w:tcBorders>
              <w:bottom w:val="single" w:sz="12" w:space="0" w:color="auto"/>
            </w:tcBorders>
            <w:shd w:val="clear" w:color="auto" w:fill="auto"/>
            <w:vAlign w:val="bottom"/>
          </w:tcPr>
          <w:p w14:paraId="0DDEAC1E" w14:textId="77777777" w:rsidR="00354666" w:rsidRPr="00D576CC" w:rsidRDefault="00354666" w:rsidP="00182953">
            <w:pPr>
              <w:pStyle w:val="SingleTxtG"/>
              <w:spacing w:before="40" w:after="40" w:line="220" w:lineRule="exact"/>
              <w:ind w:left="57" w:right="0"/>
              <w:jc w:val="right"/>
              <w:rPr>
                <w:sz w:val="18"/>
              </w:rPr>
            </w:pPr>
            <w:r w:rsidRPr="00D576CC">
              <w:rPr>
                <w:sz w:val="18"/>
              </w:rPr>
              <w:t>21</w:t>
            </w:r>
          </w:p>
        </w:tc>
        <w:tc>
          <w:tcPr>
            <w:tcW w:w="859" w:type="dxa"/>
            <w:gridSpan w:val="2"/>
            <w:tcBorders>
              <w:bottom w:val="single" w:sz="12" w:space="0" w:color="auto"/>
            </w:tcBorders>
          </w:tcPr>
          <w:p w14:paraId="327DB139" w14:textId="77777777" w:rsidR="00354666" w:rsidRPr="00D576CC" w:rsidRDefault="00354666" w:rsidP="00182953">
            <w:pPr>
              <w:pStyle w:val="SingleTxtG"/>
              <w:spacing w:before="40" w:after="40" w:line="220" w:lineRule="exact"/>
              <w:ind w:left="57" w:right="0"/>
              <w:jc w:val="right"/>
              <w:rPr>
                <w:sz w:val="18"/>
              </w:rPr>
            </w:pPr>
          </w:p>
        </w:tc>
      </w:tr>
    </w:tbl>
    <w:p w14:paraId="1C530E19" w14:textId="77777777" w:rsidR="00FA139B" w:rsidRPr="00FA139B" w:rsidRDefault="00FA139B" w:rsidP="00354666">
      <w:pPr>
        <w:pStyle w:val="SingleTxtG"/>
        <w:spacing w:before="240"/>
      </w:pPr>
      <w:r w:rsidRPr="00FA139B">
        <w:t>84.</w:t>
      </w:r>
      <w:r w:rsidRPr="00FA139B">
        <w:tab/>
        <w:t>Hasta octubre de 2019, la Dirección General de Investigaciones del Ministerio del Interior registró 915 casos de infracción a las disposiciones de la Ley núm. 6/2010.</w:t>
      </w:r>
    </w:p>
    <w:p w14:paraId="39508B2E" w14:textId="77777777" w:rsidR="00FA139B" w:rsidRPr="00FA139B" w:rsidRDefault="00FA139B" w:rsidP="00182953">
      <w:pPr>
        <w:pStyle w:val="SingleTxtG"/>
        <w:jc w:val="left"/>
        <w:rPr>
          <w:b/>
          <w:bCs/>
        </w:rPr>
      </w:pPr>
      <w:r w:rsidRPr="00FA139B">
        <w:rPr>
          <w:b/>
          <w:bCs/>
        </w:rPr>
        <w:t xml:space="preserve">Datos estadísticos sobre las resoluciones judiciales dictadas entre el 1 de </w:t>
      </w:r>
      <w:r w:rsidR="00182953">
        <w:rPr>
          <w:b/>
          <w:bCs/>
        </w:rPr>
        <w:br/>
      </w:r>
      <w:r w:rsidRPr="00FA139B">
        <w:rPr>
          <w:b/>
          <w:bCs/>
        </w:rPr>
        <w:t xml:space="preserve">enero y el 19 de octubre de 2019 contra empleadores por infracciones </w:t>
      </w:r>
      <w:r w:rsidR="00182953">
        <w:rPr>
          <w:b/>
          <w:bCs/>
        </w:rPr>
        <w:br/>
      </w:r>
      <w:r w:rsidRPr="00FA139B">
        <w:rPr>
          <w:b/>
          <w:bCs/>
        </w:rPr>
        <w:t>a la Ley núm. 6/2010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7"/>
        <w:gridCol w:w="5057"/>
        <w:gridCol w:w="1146"/>
      </w:tblGrid>
      <w:tr w:rsidR="00FA139B" w:rsidRPr="00D576CC" w14:paraId="7B62C65B" w14:textId="77777777" w:rsidTr="006416E5">
        <w:trPr>
          <w:trHeight w:val="240"/>
          <w:tblHeader/>
        </w:trPr>
        <w:tc>
          <w:tcPr>
            <w:tcW w:w="1167" w:type="dxa"/>
            <w:tcBorders>
              <w:top w:val="single" w:sz="4" w:space="0" w:color="auto"/>
              <w:bottom w:val="single" w:sz="12" w:space="0" w:color="auto"/>
            </w:tcBorders>
            <w:shd w:val="clear" w:color="auto" w:fill="auto"/>
            <w:vAlign w:val="bottom"/>
          </w:tcPr>
          <w:p w14:paraId="61F84318" w14:textId="77777777" w:rsidR="00FA139B" w:rsidRPr="00D576CC" w:rsidRDefault="00FA139B" w:rsidP="00D576CC">
            <w:pPr>
              <w:pStyle w:val="SingleTxtG"/>
              <w:spacing w:before="80" w:after="80" w:line="200" w:lineRule="exact"/>
              <w:ind w:left="0" w:right="0"/>
              <w:jc w:val="left"/>
              <w:rPr>
                <w:i/>
                <w:iCs/>
                <w:sz w:val="16"/>
              </w:rPr>
            </w:pPr>
            <w:r w:rsidRPr="00D576CC">
              <w:rPr>
                <w:i/>
                <w:iCs/>
                <w:sz w:val="16"/>
              </w:rPr>
              <w:t>Órgano sentenciador</w:t>
            </w:r>
          </w:p>
        </w:tc>
        <w:tc>
          <w:tcPr>
            <w:tcW w:w="5057" w:type="dxa"/>
            <w:tcBorders>
              <w:top w:val="single" w:sz="4" w:space="0" w:color="auto"/>
              <w:bottom w:val="single" w:sz="12" w:space="0" w:color="auto"/>
            </w:tcBorders>
            <w:shd w:val="clear" w:color="auto" w:fill="auto"/>
            <w:vAlign w:val="bottom"/>
          </w:tcPr>
          <w:p w14:paraId="0C32D254" w14:textId="77777777" w:rsidR="00FA139B" w:rsidRPr="00D576CC" w:rsidRDefault="00FA139B" w:rsidP="00182953">
            <w:pPr>
              <w:pStyle w:val="SingleTxtG"/>
              <w:spacing w:before="80" w:after="80" w:line="200" w:lineRule="exact"/>
              <w:ind w:left="113" w:right="0"/>
              <w:jc w:val="left"/>
              <w:rPr>
                <w:i/>
                <w:iCs/>
                <w:sz w:val="16"/>
              </w:rPr>
            </w:pPr>
            <w:r w:rsidRPr="00D576CC">
              <w:rPr>
                <w:i/>
                <w:iCs/>
                <w:sz w:val="16"/>
              </w:rPr>
              <w:t>Fallo</w:t>
            </w:r>
          </w:p>
        </w:tc>
        <w:tc>
          <w:tcPr>
            <w:tcW w:w="1146" w:type="dxa"/>
            <w:tcBorders>
              <w:top w:val="single" w:sz="4" w:space="0" w:color="auto"/>
              <w:bottom w:val="single" w:sz="12" w:space="0" w:color="auto"/>
            </w:tcBorders>
            <w:shd w:val="clear" w:color="auto" w:fill="auto"/>
            <w:vAlign w:val="bottom"/>
          </w:tcPr>
          <w:p w14:paraId="14BB957E"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Núm</w:t>
            </w:r>
            <w:r w:rsidR="00182953">
              <w:rPr>
                <w:i/>
                <w:iCs/>
                <w:sz w:val="16"/>
              </w:rPr>
              <w:t>ero</w:t>
            </w:r>
            <w:r w:rsidRPr="00D576CC">
              <w:rPr>
                <w:i/>
                <w:iCs/>
                <w:sz w:val="16"/>
              </w:rPr>
              <w:t xml:space="preserve"> de resoluciones dictadas</w:t>
            </w:r>
          </w:p>
        </w:tc>
      </w:tr>
      <w:tr w:rsidR="00FA139B" w:rsidRPr="00D576CC" w14:paraId="0A941716" w14:textId="77777777" w:rsidTr="006416E5">
        <w:trPr>
          <w:trHeight w:val="240"/>
        </w:trPr>
        <w:tc>
          <w:tcPr>
            <w:tcW w:w="1167" w:type="dxa"/>
            <w:tcBorders>
              <w:top w:val="single" w:sz="12" w:space="0" w:color="auto"/>
              <w:bottom w:val="single" w:sz="4" w:space="0" w:color="auto"/>
            </w:tcBorders>
            <w:shd w:val="clear" w:color="auto" w:fill="auto"/>
          </w:tcPr>
          <w:p w14:paraId="17608B1F" w14:textId="77777777" w:rsidR="00FA139B" w:rsidRPr="00D576CC" w:rsidRDefault="00FA139B" w:rsidP="006416E5">
            <w:pPr>
              <w:pStyle w:val="SingleTxtG"/>
              <w:spacing w:before="80" w:after="80" w:line="220" w:lineRule="exact"/>
              <w:ind w:left="0" w:right="0"/>
              <w:jc w:val="left"/>
              <w:rPr>
                <w:sz w:val="18"/>
              </w:rPr>
            </w:pPr>
            <w:r w:rsidRPr="00D576CC">
              <w:rPr>
                <w:sz w:val="18"/>
              </w:rPr>
              <w:t>En primera instancia</w:t>
            </w:r>
          </w:p>
        </w:tc>
        <w:tc>
          <w:tcPr>
            <w:tcW w:w="5057" w:type="dxa"/>
            <w:tcBorders>
              <w:top w:val="single" w:sz="12" w:space="0" w:color="auto"/>
              <w:bottom w:val="single" w:sz="4" w:space="0" w:color="auto"/>
            </w:tcBorders>
            <w:shd w:val="clear" w:color="auto" w:fill="auto"/>
            <w:vAlign w:val="bottom"/>
          </w:tcPr>
          <w:p w14:paraId="6DC5D3B0" w14:textId="77777777" w:rsidR="00FA139B" w:rsidRPr="00D576CC" w:rsidRDefault="00FA139B" w:rsidP="006416E5">
            <w:pPr>
              <w:pStyle w:val="SingleTxtG"/>
              <w:spacing w:before="80" w:after="80" w:line="220" w:lineRule="exact"/>
              <w:ind w:left="113" w:right="0"/>
              <w:jc w:val="left"/>
              <w:rPr>
                <w:sz w:val="18"/>
              </w:rPr>
            </w:pPr>
            <w:r w:rsidRPr="00D576CC">
              <w:rPr>
                <w:sz w:val="18"/>
              </w:rPr>
              <w:t>Sentencia absolutoria</w:t>
            </w:r>
          </w:p>
          <w:p w14:paraId="59570650" w14:textId="77777777" w:rsidR="00FA139B" w:rsidRPr="00D576CC" w:rsidRDefault="00FA139B" w:rsidP="006416E5">
            <w:pPr>
              <w:pStyle w:val="SingleTxtG"/>
              <w:spacing w:before="80" w:after="80" w:line="220" w:lineRule="exact"/>
              <w:ind w:left="113" w:right="0"/>
              <w:jc w:val="left"/>
              <w:rPr>
                <w:sz w:val="18"/>
              </w:rPr>
            </w:pPr>
            <w:r w:rsidRPr="00D576CC">
              <w:rPr>
                <w:sz w:val="18"/>
              </w:rPr>
              <w:t>Sanción pecuniaria</w:t>
            </w:r>
          </w:p>
          <w:p w14:paraId="7A9A232B" w14:textId="77777777" w:rsidR="00FA139B" w:rsidRPr="00D576CC" w:rsidRDefault="00FA139B" w:rsidP="006416E5">
            <w:pPr>
              <w:pStyle w:val="SingleTxtG"/>
              <w:spacing w:before="80" w:after="80" w:line="220" w:lineRule="exact"/>
              <w:ind w:left="113" w:right="0"/>
              <w:jc w:val="left"/>
              <w:rPr>
                <w:sz w:val="18"/>
              </w:rPr>
            </w:pPr>
            <w:r w:rsidRPr="00D576CC">
              <w:rPr>
                <w:sz w:val="18"/>
              </w:rPr>
              <w:t>Fraccionamiento del pago de la multa</w:t>
            </w:r>
          </w:p>
          <w:p w14:paraId="06442F59" w14:textId="77777777" w:rsidR="00FA139B" w:rsidRPr="00D576CC" w:rsidRDefault="00FA139B" w:rsidP="006416E5">
            <w:pPr>
              <w:pStyle w:val="SingleTxtG"/>
              <w:spacing w:before="80" w:after="80" w:line="220" w:lineRule="exact"/>
              <w:ind w:left="113" w:right="0"/>
              <w:jc w:val="left"/>
              <w:rPr>
                <w:sz w:val="18"/>
              </w:rPr>
            </w:pPr>
            <w:r w:rsidRPr="00D576CC">
              <w:rPr>
                <w:sz w:val="18"/>
              </w:rPr>
              <w:t>Auto de suspensión de la sanción pecuniaria con caución</w:t>
            </w:r>
          </w:p>
          <w:p w14:paraId="00D90D3A" w14:textId="77777777" w:rsidR="00FA139B" w:rsidRPr="00D576CC" w:rsidRDefault="00FA139B" w:rsidP="006416E5">
            <w:pPr>
              <w:pStyle w:val="SingleTxtG"/>
              <w:spacing w:before="80" w:after="80" w:line="220" w:lineRule="exact"/>
              <w:ind w:left="113" w:right="0"/>
              <w:jc w:val="left"/>
              <w:rPr>
                <w:sz w:val="18"/>
              </w:rPr>
            </w:pPr>
            <w:r w:rsidRPr="00D576CC">
              <w:rPr>
                <w:sz w:val="18"/>
              </w:rPr>
              <w:t>Suspensión del proceso penal a prueba sin caución</w:t>
            </w:r>
          </w:p>
          <w:p w14:paraId="21DD1DC6" w14:textId="77777777" w:rsidR="00FA139B" w:rsidRPr="00D576CC" w:rsidRDefault="00FA139B" w:rsidP="006416E5">
            <w:pPr>
              <w:pStyle w:val="SingleTxtG"/>
              <w:spacing w:before="80" w:after="80" w:line="220" w:lineRule="exact"/>
              <w:ind w:left="113" w:right="0"/>
              <w:jc w:val="left"/>
              <w:rPr>
                <w:sz w:val="18"/>
              </w:rPr>
            </w:pPr>
            <w:r w:rsidRPr="00D576CC">
              <w:rPr>
                <w:sz w:val="18"/>
              </w:rPr>
              <w:t>Auto de suspensión de la sanción pecuniaria sin caución</w:t>
            </w:r>
          </w:p>
          <w:p w14:paraId="3ACBF525" w14:textId="77777777" w:rsidR="00FA139B" w:rsidRPr="00D576CC" w:rsidRDefault="00FA139B" w:rsidP="006416E5">
            <w:pPr>
              <w:pStyle w:val="SingleTxtG"/>
              <w:spacing w:before="80" w:after="80" w:line="220" w:lineRule="exact"/>
              <w:ind w:left="113" w:right="0"/>
              <w:jc w:val="left"/>
              <w:rPr>
                <w:sz w:val="18"/>
              </w:rPr>
            </w:pPr>
            <w:r w:rsidRPr="00D576CC">
              <w:rPr>
                <w:sz w:val="18"/>
              </w:rPr>
              <w:t>Suspensión del proceso penal a prueba con caución</w:t>
            </w:r>
          </w:p>
        </w:tc>
        <w:tc>
          <w:tcPr>
            <w:tcW w:w="1146" w:type="dxa"/>
            <w:tcBorders>
              <w:top w:val="single" w:sz="12" w:space="0" w:color="auto"/>
              <w:bottom w:val="single" w:sz="4" w:space="0" w:color="auto"/>
            </w:tcBorders>
            <w:shd w:val="clear" w:color="auto" w:fill="auto"/>
            <w:vAlign w:val="bottom"/>
          </w:tcPr>
          <w:p w14:paraId="3D8864F8" w14:textId="77777777" w:rsidR="00FA139B" w:rsidRPr="00D576CC" w:rsidRDefault="00FA139B" w:rsidP="006416E5">
            <w:pPr>
              <w:pStyle w:val="SingleTxtG"/>
              <w:spacing w:before="80" w:after="80" w:line="220" w:lineRule="exact"/>
              <w:ind w:left="113" w:right="0"/>
              <w:jc w:val="right"/>
              <w:rPr>
                <w:sz w:val="18"/>
              </w:rPr>
            </w:pPr>
            <w:r w:rsidRPr="00D576CC">
              <w:rPr>
                <w:sz w:val="18"/>
              </w:rPr>
              <w:t>83</w:t>
            </w:r>
          </w:p>
          <w:p w14:paraId="34965C0E" w14:textId="77777777" w:rsidR="00FA139B" w:rsidRPr="00D576CC" w:rsidRDefault="00FA139B" w:rsidP="006416E5">
            <w:pPr>
              <w:pStyle w:val="SingleTxtG"/>
              <w:spacing w:before="80" w:after="80" w:line="220" w:lineRule="exact"/>
              <w:ind w:left="113" w:right="0"/>
              <w:jc w:val="right"/>
              <w:rPr>
                <w:sz w:val="18"/>
              </w:rPr>
            </w:pPr>
            <w:r w:rsidRPr="00D576CC">
              <w:rPr>
                <w:sz w:val="18"/>
              </w:rPr>
              <w:t>413</w:t>
            </w:r>
          </w:p>
          <w:p w14:paraId="07565663" w14:textId="77777777" w:rsidR="00FA139B" w:rsidRPr="00D576CC" w:rsidRDefault="00FA139B" w:rsidP="006416E5">
            <w:pPr>
              <w:pStyle w:val="SingleTxtG"/>
              <w:spacing w:before="80" w:after="80" w:line="220" w:lineRule="exact"/>
              <w:ind w:left="113" w:right="0"/>
              <w:jc w:val="right"/>
              <w:rPr>
                <w:sz w:val="18"/>
              </w:rPr>
            </w:pPr>
            <w:r w:rsidRPr="00D576CC">
              <w:rPr>
                <w:sz w:val="18"/>
              </w:rPr>
              <w:t>6</w:t>
            </w:r>
          </w:p>
          <w:p w14:paraId="163CCA84" w14:textId="77777777" w:rsidR="00FA139B" w:rsidRPr="00D576CC" w:rsidRDefault="00FA139B" w:rsidP="006416E5">
            <w:pPr>
              <w:pStyle w:val="SingleTxtG"/>
              <w:spacing w:before="80" w:after="80" w:line="220" w:lineRule="exact"/>
              <w:ind w:left="113" w:right="0"/>
              <w:jc w:val="right"/>
              <w:rPr>
                <w:sz w:val="18"/>
              </w:rPr>
            </w:pPr>
            <w:r w:rsidRPr="00D576CC">
              <w:rPr>
                <w:sz w:val="18"/>
              </w:rPr>
              <w:t>12</w:t>
            </w:r>
          </w:p>
          <w:p w14:paraId="3531E66C" w14:textId="77777777" w:rsidR="00FA139B" w:rsidRPr="00D576CC" w:rsidRDefault="00FA139B" w:rsidP="006416E5">
            <w:pPr>
              <w:pStyle w:val="SingleTxtG"/>
              <w:spacing w:before="80" w:after="80" w:line="220" w:lineRule="exact"/>
              <w:ind w:left="113" w:right="0"/>
              <w:jc w:val="right"/>
              <w:rPr>
                <w:sz w:val="18"/>
              </w:rPr>
            </w:pPr>
            <w:r w:rsidRPr="00D576CC">
              <w:rPr>
                <w:sz w:val="18"/>
              </w:rPr>
              <w:t>5</w:t>
            </w:r>
          </w:p>
          <w:p w14:paraId="5661871D" w14:textId="77777777" w:rsidR="00FA139B" w:rsidRPr="00D576CC" w:rsidRDefault="00FA139B" w:rsidP="006416E5">
            <w:pPr>
              <w:pStyle w:val="SingleTxtG"/>
              <w:spacing w:before="80" w:after="80" w:line="220" w:lineRule="exact"/>
              <w:ind w:left="113" w:right="0"/>
              <w:jc w:val="right"/>
              <w:rPr>
                <w:sz w:val="18"/>
              </w:rPr>
            </w:pPr>
            <w:r w:rsidRPr="00D576CC">
              <w:rPr>
                <w:sz w:val="18"/>
              </w:rPr>
              <w:t>18</w:t>
            </w:r>
          </w:p>
          <w:p w14:paraId="7689411E" w14:textId="77777777" w:rsidR="00FA139B" w:rsidRPr="00D576CC" w:rsidRDefault="00FA139B" w:rsidP="006416E5">
            <w:pPr>
              <w:pStyle w:val="SingleTxtG"/>
              <w:spacing w:before="80" w:after="80" w:line="220" w:lineRule="exact"/>
              <w:ind w:left="113" w:right="0"/>
              <w:jc w:val="right"/>
              <w:rPr>
                <w:sz w:val="18"/>
              </w:rPr>
            </w:pPr>
            <w:r w:rsidRPr="00D576CC">
              <w:rPr>
                <w:sz w:val="18"/>
              </w:rPr>
              <w:t>9</w:t>
            </w:r>
          </w:p>
        </w:tc>
      </w:tr>
      <w:tr w:rsidR="00FA139B" w:rsidRPr="00182953" w14:paraId="1EBB17F2" w14:textId="77777777" w:rsidTr="006416E5">
        <w:trPr>
          <w:trHeight w:val="240"/>
        </w:trPr>
        <w:tc>
          <w:tcPr>
            <w:tcW w:w="1167" w:type="dxa"/>
            <w:tcBorders>
              <w:top w:val="single" w:sz="4" w:space="0" w:color="auto"/>
              <w:bottom w:val="single" w:sz="4" w:space="0" w:color="auto"/>
            </w:tcBorders>
            <w:shd w:val="clear" w:color="auto" w:fill="auto"/>
          </w:tcPr>
          <w:p w14:paraId="6E464BC8" w14:textId="77777777" w:rsidR="00FA139B" w:rsidRPr="00182953" w:rsidRDefault="00FA139B" w:rsidP="00182953">
            <w:pPr>
              <w:pStyle w:val="SingleTxtG"/>
              <w:spacing w:before="80" w:after="80" w:line="220" w:lineRule="exact"/>
              <w:ind w:left="284" w:right="0"/>
              <w:jc w:val="left"/>
              <w:rPr>
                <w:b/>
                <w:sz w:val="18"/>
              </w:rPr>
            </w:pPr>
            <w:r w:rsidRPr="00182953">
              <w:rPr>
                <w:b/>
                <w:sz w:val="18"/>
              </w:rPr>
              <w:t>Total</w:t>
            </w:r>
          </w:p>
        </w:tc>
        <w:tc>
          <w:tcPr>
            <w:tcW w:w="5057" w:type="dxa"/>
            <w:tcBorders>
              <w:top w:val="single" w:sz="4" w:space="0" w:color="auto"/>
              <w:bottom w:val="single" w:sz="4" w:space="0" w:color="auto"/>
            </w:tcBorders>
            <w:shd w:val="clear" w:color="auto" w:fill="auto"/>
            <w:vAlign w:val="bottom"/>
          </w:tcPr>
          <w:p w14:paraId="19D6189E" w14:textId="77777777" w:rsidR="00FA139B" w:rsidRPr="00182953" w:rsidRDefault="00FA139B" w:rsidP="00182953">
            <w:pPr>
              <w:pStyle w:val="SingleTxtG"/>
              <w:spacing w:before="80" w:after="80" w:line="220" w:lineRule="exact"/>
              <w:ind w:left="113" w:right="0"/>
              <w:jc w:val="left"/>
              <w:rPr>
                <w:b/>
                <w:sz w:val="18"/>
                <w:rtl/>
                <w:lang w:bidi="ar-KW"/>
              </w:rPr>
            </w:pPr>
          </w:p>
        </w:tc>
        <w:tc>
          <w:tcPr>
            <w:tcW w:w="1146" w:type="dxa"/>
            <w:tcBorders>
              <w:top w:val="single" w:sz="4" w:space="0" w:color="auto"/>
              <w:bottom w:val="single" w:sz="4" w:space="0" w:color="auto"/>
            </w:tcBorders>
            <w:shd w:val="clear" w:color="auto" w:fill="auto"/>
            <w:vAlign w:val="bottom"/>
          </w:tcPr>
          <w:p w14:paraId="457B1AAC" w14:textId="77777777" w:rsidR="00FA139B" w:rsidRPr="00182953" w:rsidRDefault="00FA139B" w:rsidP="00182953">
            <w:pPr>
              <w:pStyle w:val="SingleTxtG"/>
              <w:spacing w:before="80" w:after="80" w:line="220" w:lineRule="exact"/>
              <w:ind w:left="113" w:right="0"/>
              <w:jc w:val="right"/>
              <w:rPr>
                <w:b/>
                <w:sz w:val="18"/>
              </w:rPr>
            </w:pPr>
            <w:r w:rsidRPr="00182953">
              <w:rPr>
                <w:b/>
                <w:sz w:val="18"/>
              </w:rPr>
              <w:t>546</w:t>
            </w:r>
          </w:p>
        </w:tc>
      </w:tr>
      <w:tr w:rsidR="00FA139B" w:rsidRPr="00D576CC" w14:paraId="286CC223" w14:textId="77777777" w:rsidTr="006416E5">
        <w:trPr>
          <w:trHeight w:val="240"/>
        </w:trPr>
        <w:tc>
          <w:tcPr>
            <w:tcW w:w="1167" w:type="dxa"/>
            <w:tcBorders>
              <w:top w:val="single" w:sz="4" w:space="0" w:color="auto"/>
              <w:bottom w:val="nil"/>
            </w:tcBorders>
            <w:shd w:val="clear" w:color="auto" w:fill="auto"/>
          </w:tcPr>
          <w:p w14:paraId="0A926221" w14:textId="77777777" w:rsidR="00FA139B" w:rsidRPr="00D576CC" w:rsidRDefault="00FA139B" w:rsidP="00D576CC">
            <w:pPr>
              <w:pStyle w:val="SingleTxtG"/>
              <w:spacing w:before="40" w:after="40" w:line="220" w:lineRule="exact"/>
              <w:ind w:left="0" w:right="0"/>
              <w:jc w:val="left"/>
              <w:rPr>
                <w:sz w:val="18"/>
              </w:rPr>
            </w:pPr>
            <w:r w:rsidRPr="00D576CC">
              <w:rPr>
                <w:sz w:val="18"/>
              </w:rPr>
              <w:t>En apelación</w:t>
            </w:r>
          </w:p>
        </w:tc>
        <w:tc>
          <w:tcPr>
            <w:tcW w:w="5057" w:type="dxa"/>
            <w:tcBorders>
              <w:top w:val="single" w:sz="4" w:space="0" w:color="auto"/>
              <w:bottom w:val="nil"/>
            </w:tcBorders>
            <w:shd w:val="clear" w:color="auto" w:fill="auto"/>
            <w:vAlign w:val="bottom"/>
          </w:tcPr>
          <w:p w14:paraId="2CCB3CD8" w14:textId="77777777" w:rsidR="00FA139B" w:rsidRPr="00D576CC" w:rsidRDefault="00FA139B" w:rsidP="006416E5">
            <w:pPr>
              <w:pStyle w:val="SingleTxtG"/>
              <w:spacing w:before="60" w:after="60" w:line="220" w:lineRule="exact"/>
              <w:ind w:left="113" w:right="0"/>
              <w:jc w:val="left"/>
              <w:rPr>
                <w:sz w:val="18"/>
              </w:rPr>
            </w:pPr>
            <w:r w:rsidRPr="00D576CC">
              <w:rPr>
                <w:sz w:val="18"/>
              </w:rPr>
              <w:t>Sentencia absolutoria</w:t>
            </w:r>
          </w:p>
        </w:tc>
        <w:tc>
          <w:tcPr>
            <w:tcW w:w="1146" w:type="dxa"/>
            <w:tcBorders>
              <w:top w:val="single" w:sz="4" w:space="0" w:color="auto"/>
              <w:bottom w:val="nil"/>
            </w:tcBorders>
            <w:shd w:val="clear" w:color="auto" w:fill="auto"/>
            <w:vAlign w:val="bottom"/>
          </w:tcPr>
          <w:p w14:paraId="0BE9EE6F" w14:textId="77777777" w:rsidR="00FA139B" w:rsidRPr="00D576CC" w:rsidRDefault="006416E5" w:rsidP="006416E5">
            <w:pPr>
              <w:pStyle w:val="SingleTxtG"/>
              <w:spacing w:before="60" w:after="60" w:line="220" w:lineRule="exact"/>
              <w:ind w:left="113" w:right="0"/>
              <w:jc w:val="right"/>
              <w:rPr>
                <w:sz w:val="18"/>
              </w:rPr>
            </w:pPr>
            <w:r>
              <w:rPr>
                <w:sz w:val="18"/>
              </w:rPr>
              <w:t>23</w:t>
            </w:r>
          </w:p>
        </w:tc>
      </w:tr>
      <w:tr w:rsidR="006416E5" w:rsidRPr="00D576CC" w14:paraId="2839A576" w14:textId="77777777" w:rsidTr="006416E5">
        <w:trPr>
          <w:trHeight w:val="240"/>
        </w:trPr>
        <w:tc>
          <w:tcPr>
            <w:tcW w:w="1167" w:type="dxa"/>
            <w:tcBorders>
              <w:top w:val="nil"/>
              <w:bottom w:val="nil"/>
            </w:tcBorders>
            <w:shd w:val="clear" w:color="auto" w:fill="auto"/>
          </w:tcPr>
          <w:p w14:paraId="6F6079D3" w14:textId="77777777" w:rsidR="006416E5" w:rsidRPr="00D576CC" w:rsidRDefault="006416E5" w:rsidP="00D576CC">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632E8DEF" w14:textId="77777777" w:rsidR="006416E5" w:rsidRPr="00D576CC" w:rsidRDefault="006416E5" w:rsidP="00182953">
            <w:pPr>
              <w:pStyle w:val="SingleTxtG"/>
              <w:spacing w:before="60" w:after="60" w:line="220" w:lineRule="exact"/>
              <w:ind w:left="113" w:right="0"/>
              <w:jc w:val="left"/>
              <w:rPr>
                <w:sz w:val="18"/>
              </w:rPr>
            </w:pPr>
            <w:r w:rsidRPr="00D576CC">
              <w:rPr>
                <w:sz w:val="18"/>
              </w:rPr>
              <w:t>Desestimación y ratificación</w:t>
            </w:r>
          </w:p>
        </w:tc>
        <w:tc>
          <w:tcPr>
            <w:tcW w:w="1146" w:type="dxa"/>
            <w:tcBorders>
              <w:top w:val="nil"/>
              <w:bottom w:val="nil"/>
            </w:tcBorders>
            <w:shd w:val="clear" w:color="auto" w:fill="auto"/>
            <w:vAlign w:val="bottom"/>
          </w:tcPr>
          <w:p w14:paraId="0C07F473" w14:textId="77777777" w:rsidR="006416E5" w:rsidRPr="00D576CC" w:rsidRDefault="006416E5" w:rsidP="00182953">
            <w:pPr>
              <w:pStyle w:val="SingleTxtG"/>
              <w:spacing w:before="60" w:after="60" w:line="220" w:lineRule="exact"/>
              <w:ind w:left="113" w:right="0"/>
              <w:jc w:val="right"/>
              <w:rPr>
                <w:sz w:val="18"/>
              </w:rPr>
            </w:pPr>
            <w:r>
              <w:rPr>
                <w:sz w:val="18"/>
              </w:rPr>
              <w:t>32</w:t>
            </w:r>
          </w:p>
        </w:tc>
      </w:tr>
      <w:tr w:rsidR="006416E5" w:rsidRPr="00D576CC" w14:paraId="0CE11C6F" w14:textId="77777777" w:rsidTr="006416E5">
        <w:trPr>
          <w:trHeight w:val="240"/>
        </w:trPr>
        <w:tc>
          <w:tcPr>
            <w:tcW w:w="1167" w:type="dxa"/>
            <w:tcBorders>
              <w:top w:val="nil"/>
              <w:bottom w:val="nil"/>
            </w:tcBorders>
            <w:shd w:val="clear" w:color="auto" w:fill="auto"/>
          </w:tcPr>
          <w:p w14:paraId="468D76DC" w14:textId="77777777" w:rsidR="006416E5" w:rsidRPr="00D576CC" w:rsidRDefault="006416E5" w:rsidP="00D576CC">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3C15AB57" w14:textId="77777777" w:rsidR="006416E5" w:rsidRPr="00D576CC" w:rsidRDefault="006416E5" w:rsidP="00182953">
            <w:pPr>
              <w:pStyle w:val="SingleTxtG"/>
              <w:spacing w:before="60" w:after="60" w:line="220" w:lineRule="exact"/>
              <w:ind w:left="113" w:right="0"/>
              <w:jc w:val="left"/>
              <w:rPr>
                <w:sz w:val="18"/>
              </w:rPr>
            </w:pPr>
            <w:r w:rsidRPr="00D576CC">
              <w:rPr>
                <w:sz w:val="18"/>
              </w:rPr>
              <w:t>Declaración de nulidad del fallo</w:t>
            </w:r>
          </w:p>
        </w:tc>
        <w:tc>
          <w:tcPr>
            <w:tcW w:w="1146" w:type="dxa"/>
            <w:tcBorders>
              <w:top w:val="nil"/>
              <w:bottom w:val="nil"/>
            </w:tcBorders>
            <w:shd w:val="clear" w:color="auto" w:fill="auto"/>
            <w:vAlign w:val="bottom"/>
          </w:tcPr>
          <w:p w14:paraId="265B0525" w14:textId="77777777" w:rsidR="006416E5" w:rsidRPr="00D576CC" w:rsidRDefault="006416E5" w:rsidP="00182953">
            <w:pPr>
              <w:pStyle w:val="SingleTxtG"/>
              <w:spacing w:before="60" w:after="60" w:line="220" w:lineRule="exact"/>
              <w:ind w:left="113" w:right="0"/>
              <w:jc w:val="right"/>
              <w:rPr>
                <w:sz w:val="18"/>
              </w:rPr>
            </w:pPr>
            <w:r>
              <w:rPr>
                <w:sz w:val="18"/>
              </w:rPr>
              <w:t>35</w:t>
            </w:r>
          </w:p>
        </w:tc>
      </w:tr>
      <w:tr w:rsidR="006416E5" w:rsidRPr="00D576CC" w14:paraId="7F46592D" w14:textId="77777777" w:rsidTr="006416E5">
        <w:trPr>
          <w:trHeight w:val="240"/>
        </w:trPr>
        <w:tc>
          <w:tcPr>
            <w:tcW w:w="1167" w:type="dxa"/>
            <w:tcBorders>
              <w:top w:val="nil"/>
              <w:bottom w:val="nil"/>
            </w:tcBorders>
            <w:shd w:val="clear" w:color="auto" w:fill="auto"/>
          </w:tcPr>
          <w:p w14:paraId="330C8672" w14:textId="77777777" w:rsidR="006416E5" w:rsidRPr="00D576CC" w:rsidRDefault="006416E5" w:rsidP="00D576CC">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028E9F21" w14:textId="77777777" w:rsidR="006416E5" w:rsidRPr="00D576CC" w:rsidRDefault="006416E5" w:rsidP="00182953">
            <w:pPr>
              <w:pStyle w:val="SingleTxtG"/>
              <w:spacing w:before="60" w:after="60" w:line="220" w:lineRule="exact"/>
              <w:ind w:left="113" w:right="0"/>
              <w:jc w:val="left"/>
              <w:rPr>
                <w:sz w:val="18"/>
              </w:rPr>
            </w:pPr>
            <w:r w:rsidRPr="00D576CC">
              <w:rPr>
                <w:sz w:val="18"/>
              </w:rPr>
              <w:t>Modificación de la sentencia</w:t>
            </w:r>
          </w:p>
        </w:tc>
        <w:tc>
          <w:tcPr>
            <w:tcW w:w="1146" w:type="dxa"/>
            <w:tcBorders>
              <w:top w:val="nil"/>
              <w:bottom w:val="nil"/>
            </w:tcBorders>
            <w:shd w:val="clear" w:color="auto" w:fill="auto"/>
            <w:vAlign w:val="bottom"/>
          </w:tcPr>
          <w:p w14:paraId="347B750E" w14:textId="77777777" w:rsidR="006416E5" w:rsidRPr="00D576CC" w:rsidRDefault="006416E5" w:rsidP="00182953">
            <w:pPr>
              <w:pStyle w:val="SingleTxtG"/>
              <w:spacing w:before="60" w:after="60" w:line="220" w:lineRule="exact"/>
              <w:ind w:left="113" w:right="0"/>
              <w:jc w:val="right"/>
              <w:rPr>
                <w:sz w:val="18"/>
              </w:rPr>
            </w:pPr>
            <w:r>
              <w:rPr>
                <w:sz w:val="18"/>
              </w:rPr>
              <w:t>3</w:t>
            </w:r>
          </w:p>
        </w:tc>
      </w:tr>
      <w:tr w:rsidR="006416E5" w:rsidRPr="00D576CC" w14:paraId="43D525B4" w14:textId="77777777" w:rsidTr="006416E5">
        <w:trPr>
          <w:trHeight w:val="240"/>
        </w:trPr>
        <w:tc>
          <w:tcPr>
            <w:tcW w:w="1167" w:type="dxa"/>
            <w:tcBorders>
              <w:top w:val="nil"/>
              <w:bottom w:val="nil"/>
            </w:tcBorders>
            <w:shd w:val="clear" w:color="auto" w:fill="auto"/>
          </w:tcPr>
          <w:p w14:paraId="48D801F1" w14:textId="77777777" w:rsidR="006416E5" w:rsidRPr="00D576CC" w:rsidRDefault="006416E5" w:rsidP="00D576CC">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21CF584A" w14:textId="77777777" w:rsidR="006416E5" w:rsidRPr="00D576CC" w:rsidRDefault="006416E5" w:rsidP="00182953">
            <w:pPr>
              <w:pStyle w:val="SingleTxtG"/>
              <w:spacing w:before="60" w:after="60" w:line="220" w:lineRule="exact"/>
              <w:ind w:left="113" w:right="0"/>
              <w:jc w:val="left"/>
              <w:rPr>
                <w:sz w:val="18"/>
              </w:rPr>
            </w:pPr>
            <w:r w:rsidRPr="00D576CC">
              <w:rPr>
                <w:sz w:val="18"/>
              </w:rPr>
              <w:t>Prescripción de la acción penal</w:t>
            </w:r>
          </w:p>
        </w:tc>
        <w:tc>
          <w:tcPr>
            <w:tcW w:w="1146" w:type="dxa"/>
            <w:tcBorders>
              <w:top w:val="nil"/>
              <w:bottom w:val="nil"/>
            </w:tcBorders>
            <w:shd w:val="clear" w:color="auto" w:fill="auto"/>
            <w:vAlign w:val="bottom"/>
          </w:tcPr>
          <w:p w14:paraId="2A7ACB47" w14:textId="77777777" w:rsidR="006416E5" w:rsidRPr="00D576CC" w:rsidRDefault="006416E5" w:rsidP="00182953">
            <w:pPr>
              <w:pStyle w:val="SingleTxtG"/>
              <w:spacing w:before="60" w:after="60" w:line="220" w:lineRule="exact"/>
              <w:ind w:left="113" w:right="0"/>
              <w:jc w:val="right"/>
              <w:rPr>
                <w:sz w:val="18"/>
              </w:rPr>
            </w:pPr>
            <w:r>
              <w:rPr>
                <w:sz w:val="18"/>
              </w:rPr>
              <w:t>3</w:t>
            </w:r>
          </w:p>
        </w:tc>
      </w:tr>
      <w:tr w:rsidR="006416E5" w:rsidRPr="00D576CC" w14:paraId="75CE8E0A" w14:textId="77777777" w:rsidTr="006416E5">
        <w:trPr>
          <w:trHeight w:val="240"/>
        </w:trPr>
        <w:tc>
          <w:tcPr>
            <w:tcW w:w="1167" w:type="dxa"/>
            <w:tcBorders>
              <w:top w:val="nil"/>
              <w:bottom w:val="nil"/>
            </w:tcBorders>
            <w:shd w:val="clear" w:color="auto" w:fill="auto"/>
          </w:tcPr>
          <w:p w14:paraId="63144C18" w14:textId="77777777" w:rsidR="006416E5" w:rsidRPr="00D576CC" w:rsidRDefault="006416E5" w:rsidP="00D576CC">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1CB82F87" w14:textId="77777777" w:rsidR="006416E5" w:rsidRPr="00D576CC" w:rsidRDefault="006416E5" w:rsidP="006416E5">
            <w:pPr>
              <w:pStyle w:val="SingleTxtG"/>
              <w:spacing w:before="60" w:after="60" w:line="220" w:lineRule="exact"/>
              <w:ind w:left="113" w:right="0"/>
              <w:jc w:val="left"/>
              <w:rPr>
                <w:sz w:val="18"/>
              </w:rPr>
            </w:pPr>
            <w:r w:rsidRPr="00D576CC">
              <w:rPr>
                <w:sz w:val="18"/>
              </w:rPr>
              <w:t>Suspensión de la ejecución de la pena</w:t>
            </w:r>
          </w:p>
        </w:tc>
        <w:tc>
          <w:tcPr>
            <w:tcW w:w="1146" w:type="dxa"/>
            <w:tcBorders>
              <w:top w:val="nil"/>
              <w:bottom w:val="nil"/>
            </w:tcBorders>
            <w:shd w:val="clear" w:color="auto" w:fill="auto"/>
            <w:vAlign w:val="bottom"/>
          </w:tcPr>
          <w:p w14:paraId="61041CB7" w14:textId="77777777" w:rsidR="006416E5" w:rsidRPr="00D576CC" w:rsidRDefault="006416E5" w:rsidP="00182953">
            <w:pPr>
              <w:pStyle w:val="SingleTxtG"/>
              <w:spacing w:before="60" w:after="60" w:line="220" w:lineRule="exact"/>
              <w:ind w:left="113" w:right="0"/>
              <w:jc w:val="right"/>
              <w:rPr>
                <w:sz w:val="18"/>
              </w:rPr>
            </w:pPr>
            <w:r>
              <w:rPr>
                <w:sz w:val="18"/>
              </w:rPr>
              <w:t>6</w:t>
            </w:r>
          </w:p>
        </w:tc>
      </w:tr>
      <w:tr w:rsidR="00182953" w:rsidRPr="00D576CC" w14:paraId="1595E82D" w14:textId="77777777" w:rsidTr="006416E5">
        <w:trPr>
          <w:trHeight w:val="240"/>
        </w:trPr>
        <w:tc>
          <w:tcPr>
            <w:tcW w:w="1167" w:type="dxa"/>
            <w:tcBorders>
              <w:top w:val="nil"/>
              <w:bottom w:val="nil"/>
            </w:tcBorders>
            <w:shd w:val="clear" w:color="auto" w:fill="auto"/>
          </w:tcPr>
          <w:p w14:paraId="102C159D" w14:textId="77777777" w:rsidR="00182953" w:rsidRPr="00D576CC" w:rsidRDefault="00182953" w:rsidP="004F65C8">
            <w:pPr>
              <w:pStyle w:val="SingleTxtG"/>
              <w:keepNext/>
              <w:spacing w:before="40" w:after="40" w:line="220" w:lineRule="exact"/>
              <w:ind w:left="0" w:right="0"/>
              <w:jc w:val="left"/>
              <w:rPr>
                <w:sz w:val="18"/>
              </w:rPr>
            </w:pPr>
          </w:p>
        </w:tc>
        <w:tc>
          <w:tcPr>
            <w:tcW w:w="5057" w:type="dxa"/>
            <w:tcBorders>
              <w:top w:val="nil"/>
              <w:bottom w:val="nil"/>
            </w:tcBorders>
            <w:shd w:val="clear" w:color="auto" w:fill="auto"/>
            <w:vAlign w:val="bottom"/>
          </w:tcPr>
          <w:p w14:paraId="0645E4CE" w14:textId="77777777" w:rsidR="00182953" w:rsidRPr="00D576CC" w:rsidRDefault="00182953" w:rsidP="004F65C8">
            <w:pPr>
              <w:pStyle w:val="SingleTxtG"/>
              <w:keepNext/>
              <w:spacing w:before="60" w:after="60" w:line="220" w:lineRule="exact"/>
              <w:ind w:left="113" w:right="0"/>
              <w:jc w:val="left"/>
              <w:rPr>
                <w:sz w:val="18"/>
              </w:rPr>
            </w:pPr>
            <w:r w:rsidRPr="00D576CC">
              <w:rPr>
                <w:sz w:val="18"/>
              </w:rPr>
              <w:t>Desestimación por interposición extemporánea del recurso de apelación al auto de suspensión de la sanción pecuniaria sin caución</w:t>
            </w:r>
          </w:p>
        </w:tc>
        <w:tc>
          <w:tcPr>
            <w:tcW w:w="1146" w:type="dxa"/>
            <w:tcBorders>
              <w:top w:val="nil"/>
              <w:bottom w:val="nil"/>
            </w:tcBorders>
            <w:shd w:val="clear" w:color="auto" w:fill="auto"/>
            <w:vAlign w:val="bottom"/>
          </w:tcPr>
          <w:p w14:paraId="4267723A" w14:textId="77777777" w:rsidR="00182953" w:rsidRPr="00D576CC" w:rsidRDefault="00182953" w:rsidP="004F65C8">
            <w:pPr>
              <w:pStyle w:val="SingleTxtG"/>
              <w:keepNext/>
              <w:spacing w:before="60" w:after="60" w:line="220" w:lineRule="exact"/>
              <w:ind w:left="113" w:right="0"/>
              <w:jc w:val="right"/>
              <w:rPr>
                <w:sz w:val="18"/>
              </w:rPr>
            </w:pPr>
            <w:r>
              <w:rPr>
                <w:sz w:val="18"/>
              </w:rPr>
              <w:t>6</w:t>
            </w:r>
          </w:p>
        </w:tc>
      </w:tr>
      <w:tr w:rsidR="00182953" w:rsidRPr="00D576CC" w14:paraId="181BFB32" w14:textId="77777777" w:rsidTr="006416E5">
        <w:trPr>
          <w:trHeight w:val="240"/>
        </w:trPr>
        <w:tc>
          <w:tcPr>
            <w:tcW w:w="1167" w:type="dxa"/>
            <w:tcBorders>
              <w:top w:val="nil"/>
              <w:bottom w:val="single" w:sz="4" w:space="0" w:color="auto"/>
            </w:tcBorders>
            <w:shd w:val="clear" w:color="auto" w:fill="auto"/>
          </w:tcPr>
          <w:p w14:paraId="32F8B64E" w14:textId="77777777" w:rsidR="00182953" w:rsidRPr="00D576CC" w:rsidRDefault="00182953" w:rsidP="004F65C8">
            <w:pPr>
              <w:pStyle w:val="SingleTxtG"/>
              <w:keepNext/>
              <w:spacing w:before="40" w:after="40" w:line="220" w:lineRule="exact"/>
              <w:ind w:left="0" w:right="0"/>
              <w:jc w:val="left"/>
              <w:rPr>
                <w:sz w:val="18"/>
              </w:rPr>
            </w:pPr>
          </w:p>
        </w:tc>
        <w:tc>
          <w:tcPr>
            <w:tcW w:w="5057" w:type="dxa"/>
            <w:tcBorders>
              <w:top w:val="nil"/>
              <w:bottom w:val="single" w:sz="4" w:space="0" w:color="auto"/>
            </w:tcBorders>
            <w:shd w:val="clear" w:color="auto" w:fill="auto"/>
            <w:vAlign w:val="bottom"/>
          </w:tcPr>
          <w:p w14:paraId="0A768B68" w14:textId="77777777" w:rsidR="00182953" w:rsidRPr="00D576CC" w:rsidRDefault="00182953" w:rsidP="004F65C8">
            <w:pPr>
              <w:pStyle w:val="SingleTxtG"/>
              <w:keepNext/>
              <w:spacing w:before="60" w:after="60" w:line="220" w:lineRule="exact"/>
              <w:ind w:left="113" w:right="0"/>
              <w:jc w:val="left"/>
              <w:rPr>
                <w:sz w:val="18"/>
              </w:rPr>
            </w:pPr>
            <w:r w:rsidRPr="00D576CC">
              <w:rPr>
                <w:sz w:val="18"/>
              </w:rPr>
              <w:t>Desestimación del recurso interpuesto por la acusación particular o la Fiscalía y ratificación de la sentencia de anterior instancia</w:t>
            </w:r>
          </w:p>
        </w:tc>
        <w:tc>
          <w:tcPr>
            <w:tcW w:w="1146" w:type="dxa"/>
            <w:tcBorders>
              <w:top w:val="nil"/>
              <w:bottom w:val="single" w:sz="4" w:space="0" w:color="auto"/>
            </w:tcBorders>
            <w:shd w:val="clear" w:color="auto" w:fill="auto"/>
            <w:vAlign w:val="bottom"/>
          </w:tcPr>
          <w:p w14:paraId="00CEC9AF" w14:textId="77777777" w:rsidR="00182953" w:rsidRPr="00D576CC" w:rsidRDefault="00182953" w:rsidP="004F65C8">
            <w:pPr>
              <w:pStyle w:val="SingleTxtG"/>
              <w:keepNext/>
              <w:spacing w:before="60" w:after="60" w:line="220" w:lineRule="exact"/>
              <w:ind w:left="113" w:right="0"/>
              <w:jc w:val="right"/>
              <w:rPr>
                <w:sz w:val="18"/>
              </w:rPr>
            </w:pPr>
            <w:r w:rsidRPr="00D576CC">
              <w:rPr>
                <w:sz w:val="18"/>
              </w:rPr>
              <w:t>117</w:t>
            </w:r>
          </w:p>
        </w:tc>
      </w:tr>
      <w:tr w:rsidR="00FA139B" w:rsidRPr="00182953" w14:paraId="55874782" w14:textId="77777777" w:rsidTr="006416E5">
        <w:trPr>
          <w:trHeight w:val="240"/>
        </w:trPr>
        <w:tc>
          <w:tcPr>
            <w:tcW w:w="1167" w:type="dxa"/>
            <w:tcBorders>
              <w:top w:val="single" w:sz="4" w:space="0" w:color="auto"/>
              <w:bottom w:val="single" w:sz="4" w:space="0" w:color="auto"/>
            </w:tcBorders>
            <w:shd w:val="clear" w:color="auto" w:fill="auto"/>
          </w:tcPr>
          <w:p w14:paraId="04805E9F" w14:textId="77777777" w:rsidR="00FA139B" w:rsidRPr="00182953" w:rsidRDefault="00FA139B" w:rsidP="00182953">
            <w:pPr>
              <w:pStyle w:val="SingleTxtG"/>
              <w:spacing w:before="80" w:after="80" w:line="220" w:lineRule="exact"/>
              <w:ind w:left="284" w:right="0"/>
              <w:jc w:val="left"/>
              <w:rPr>
                <w:b/>
                <w:sz w:val="18"/>
              </w:rPr>
            </w:pPr>
            <w:r w:rsidRPr="00182953">
              <w:rPr>
                <w:b/>
                <w:sz w:val="18"/>
              </w:rPr>
              <w:t>Total</w:t>
            </w:r>
          </w:p>
        </w:tc>
        <w:tc>
          <w:tcPr>
            <w:tcW w:w="5057" w:type="dxa"/>
            <w:tcBorders>
              <w:top w:val="single" w:sz="4" w:space="0" w:color="auto"/>
              <w:bottom w:val="single" w:sz="4" w:space="0" w:color="auto"/>
            </w:tcBorders>
            <w:shd w:val="clear" w:color="auto" w:fill="auto"/>
            <w:vAlign w:val="bottom"/>
          </w:tcPr>
          <w:p w14:paraId="4BBAB43E" w14:textId="77777777" w:rsidR="00FA139B" w:rsidRPr="00182953" w:rsidRDefault="00FA139B" w:rsidP="00182953">
            <w:pPr>
              <w:pStyle w:val="SingleTxtG"/>
              <w:spacing w:before="80" w:after="80" w:line="220" w:lineRule="exact"/>
              <w:ind w:left="113" w:right="0"/>
              <w:jc w:val="left"/>
              <w:rPr>
                <w:b/>
                <w:sz w:val="18"/>
                <w:rtl/>
                <w:lang w:bidi="ar-KW"/>
              </w:rPr>
            </w:pPr>
          </w:p>
        </w:tc>
        <w:tc>
          <w:tcPr>
            <w:tcW w:w="1146" w:type="dxa"/>
            <w:tcBorders>
              <w:top w:val="single" w:sz="4" w:space="0" w:color="auto"/>
              <w:bottom w:val="single" w:sz="4" w:space="0" w:color="auto"/>
            </w:tcBorders>
            <w:shd w:val="clear" w:color="auto" w:fill="auto"/>
            <w:vAlign w:val="bottom"/>
          </w:tcPr>
          <w:p w14:paraId="54A192BD" w14:textId="77777777" w:rsidR="00FA139B" w:rsidRPr="00182953" w:rsidRDefault="00FA139B" w:rsidP="00182953">
            <w:pPr>
              <w:pStyle w:val="SingleTxtG"/>
              <w:spacing w:before="80" w:after="80" w:line="220" w:lineRule="exact"/>
              <w:ind w:left="113" w:right="0"/>
              <w:jc w:val="right"/>
              <w:rPr>
                <w:b/>
                <w:sz w:val="18"/>
              </w:rPr>
            </w:pPr>
            <w:r w:rsidRPr="00182953">
              <w:rPr>
                <w:b/>
                <w:sz w:val="18"/>
              </w:rPr>
              <w:t>225</w:t>
            </w:r>
          </w:p>
        </w:tc>
      </w:tr>
      <w:tr w:rsidR="006416E5" w:rsidRPr="00D576CC" w14:paraId="4B4445F6" w14:textId="77777777" w:rsidTr="006416E5">
        <w:trPr>
          <w:trHeight w:val="240"/>
        </w:trPr>
        <w:tc>
          <w:tcPr>
            <w:tcW w:w="1167" w:type="dxa"/>
            <w:vMerge w:val="restart"/>
            <w:tcBorders>
              <w:top w:val="single" w:sz="4" w:space="0" w:color="auto"/>
            </w:tcBorders>
            <w:shd w:val="clear" w:color="auto" w:fill="auto"/>
          </w:tcPr>
          <w:p w14:paraId="41CF20D1" w14:textId="77777777" w:rsidR="006416E5" w:rsidRPr="00D576CC" w:rsidRDefault="006416E5" w:rsidP="004F65C8">
            <w:pPr>
              <w:pStyle w:val="SingleTxtG"/>
              <w:spacing w:before="40" w:after="40" w:line="220" w:lineRule="exact"/>
              <w:ind w:left="0" w:right="0"/>
              <w:jc w:val="left"/>
              <w:rPr>
                <w:sz w:val="18"/>
              </w:rPr>
            </w:pPr>
            <w:r w:rsidRPr="00D576CC">
              <w:rPr>
                <w:sz w:val="18"/>
              </w:rPr>
              <w:t>En recurso de oposición</w:t>
            </w:r>
          </w:p>
        </w:tc>
        <w:tc>
          <w:tcPr>
            <w:tcW w:w="5057" w:type="dxa"/>
            <w:tcBorders>
              <w:top w:val="single" w:sz="4" w:space="0" w:color="auto"/>
              <w:bottom w:val="nil"/>
            </w:tcBorders>
            <w:shd w:val="clear" w:color="auto" w:fill="auto"/>
            <w:vAlign w:val="bottom"/>
          </w:tcPr>
          <w:p w14:paraId="422ABC8E" w14:textId="77777777" w:rsidR="006416E5" w:rsidRPr="00D576CC" w:rsidRDefault="006416E5" w:rsidP="004F65C8">
            <w:pPr>
              <w:pStyle w:val="SingleTxtG"/>
              <w:spacing w:before="40" w:after="40" w:line="220" w:lineRule="exact"/>
              <w:ind w:left="113" w:right="0"/>
              <w:jc w:val="left"/>
              <w:rPr>
                <w:sz w:val="18"/>
              </w:rPr>
            </w:pPr>
            <w:r w:rsidRPr="00D576CC">
              <w:rPr>
                <w:sz w:val="18"/>
              </w:rPr>
              <w:t>Sentencia absolutoria</w:t>
            </w:r>
          </w:p>
        </w:tc>
        <w:tc>
          <w:tcPr>
            <w:tcW w:w="1146" w:type="dxa"/>
            <w:tcBorders>
              <w:top w:val="single" w:sz="4" w:space="0" w:color="auto"/>
              <w:bottom w:val="nil"/>
            </w:tcBorders>
            <w:shd w:val="clear" w:color="auto" w:fill="auto"/>
            <w:vAlign w:val="bottom"/>
          </w:tcPr>
          <w:p w14:paraId="7C906A20" w14:textId="77777777" w:rsidR="006416E5" w:rsidRPr="00D576CC" w:rsidRDefault="006416E5" w:rsidP="004F65C8">
            <w:pPr>
              <w:pStyle w:val="SingleTxtG"/>
              <w:spacing w:before="40" w:after="40" w:line="220" w:lineRule="exact"/>
              <w:ind w:left="113" w:right="0"/>
              <w:jc w:val="right"/>
              <w:rPr>
                <w:sz w:val="18"/>
              </w:rPr>
            </w:pPr>
            <w:r w:rsidRPr="00D576CC">
              <w:rPr>
                <w:sz w:val="18"/>
              </w:rPr>
              <w:t>16</w:t>
            </w:r>
          </w:p>
        </w:tc>
      </w:tr>
      <w:tr w:rsidR="006416E5" w:rsidRPr="00D576CC" w14:paraId="61886F6F" w14:textId="77777777" w:rsidTr="006416E5">
        <w:trPr>
          <w:trHeight w:val="240"/>
        </w:trPr>
        <w:tc>
          <w:tcPr>
            <w:tcW w:w="1167" w:type="dxa"/>
            <w:vMerge/>
            <w:tcBorders>
              <w:bottom w:val="nil"/>
            </w:tcBorders>
            <w:shd w:val="clear" w:color="auto" w:fill="auto"/>
          </w:tcPr>
          <w:p w14:paraId="153CBD6B"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563B7D8C" w14:textId="77777777" w:rsidR="006416E5" w:rsidRPr="00D576CC" w:rsidRDefault="006416E5" w:rsidP="004F65C8">
            <w:pPr>
              <w:pStyle w:val="SingleTxtG"/>
              <w:spacing w:before="40" w:after="40" w:line="220" w:lineRule="exact"/>
              <w:ind w:left="113" w:right="0"/>
              <w:jc w:val="left"/>
              <w:rPr>
                <w:sz w:val="18"/>
              </w:rPr>
            </w:pPr>
            <w:r w:rsidRPr="00D576CC">
              <w:rPr>
                <w:sz w:val="18"/>
              </w:rPr>
              <w:t>Sanción pecuniaria</w:t>
            </w:r>
          </w:p>
        </w:tc>
        <w:tc>
          <w:tcPr>
            <w:tcW w:w="1146" w:type="dxa"/>
            <w:tcBorders>
              <w:top w:val="nil"/>
              <w:bottom w:val="nil"/>
            </w:tcBorders>
            <w:shd w:val="clear" w:color="auto" w:fill="auto"/>
            <w:vAlign w:val="bottom"/>
          </w:tcPr>
          <w:p w14:paraId="434C4F3B" w14:textId="77777777" w:rsidR="006416E5" w:rsidRPr="00D576CC" w:rsidRDefault="006416E5" w:rsidP="004F65C8">
            <w:pPr>
              <w:pStyle w:val="SingleTxtG"/>
              <w:spacing w:before="40" w:after="40" w:line="220" w:lineRule="exact"/>
              <w:ind w:left="113" w:right="0"/>
              <w:jc w:val="right"/>
              <w:rPr>
                <w:sz w:val="18"/>
              </w:rPr>
            </w:pPr>
            <w:r>
              <w:rPr>
                <w:sz w:val="18"/>
              </w:rPr>
              <w:t>3</w:t>
            </w:r>
          </w:p>
        </w:tc>
      </w:tr>
      <w:tr w:rsidR="006416E5" w:rsidRPr="00D576CC" w14:paraId="3863AFE7" w14:textId="77777777" w:rsidTr="006416E5">
        <w:trPr>
          <w:trHeight w:val="240"/>
        </w:trPr>
        <w:tc>
          <w:tcPr>
            <w:tcW w:w="1167" w:type="dxa"/>
            <w:tcBorders>
              <w:top w:val="nil"/>
              <w:bottom w:val="nil"/>
            </w:tcBorders>
            <w:shd w:val="clear" w:color="auto" w:fill="auto"/>
          </w:tcPr>
          <w:p w14:paraId="4A27EFD5"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7928978A" w14:textId="77777777" w:rsidR="006416E5" w:rsidRPr="00D576CC" w:rsidRDefault="006416E5" w:rsidP="004F65C8">
            <w:pPr>
              <w:pStyle w:val="SingleTxtG"/>
              <w:spacing w:before="40" w:after="40" w:line="220" w:lineRule="exact"/>
              <w:ind w:left="113" w:right="0"/>
              <w:jc w:val="left"/>
              <w:rPr>
                <w:sz w:val="18"/>
              </w:rPr>
            </w:pPr>
            <w:r w:rsidRPr="00D576CC">
              <w:rPr>
                <w:sz w:val="18"/>
              </w:rPr>
              <w:t>Desestimación y ratificación</w:t>
            </w:r>
          </w:p>
        </w:tc>
        <w:tc>
          <w:tcPr>
            <w:tcW w:w="1146" w:type="dxa"/>
            <w:tcBorders>
              <w:top w:val="nil"/>
              <w:bottom w:val="nil"/>
            </w:tcBorders>
            <w:shd w:val="clear" w:color="auto" w:fill="auto"/>
            <w:vAlign w:val="bottom"/>
          </w:tcPr>
          <w:p w14:paraId="254A8F2E" w14:textId="77777777" w:rsidR="006416E5" w:rsidRPr="00D576CC" w:rsidRDefault="006416E5" w:rsidP="004F65C8">
            <w:pPr>
              <w:pStyle w:val="SingleTxtG"/>
              <w:spacing w:before="40" w:after="40" w:line="220" w:lineRule="exact"/>
              <w:ind w:left="113" w:right="0"/>
              <w:jc w:val="right"/>
              <w:rPr>
                <w:sz w:val="18"/>
              </w:rPr>
            </w:pPr>
            <w:r>
              <w:rPr>
                <w:sz w:val="18"/>
              </w:rPr>
              <w:t>82</w:t>
            </w:r>
          </w:p>
        </w:tc>
      </w:tr>
      <w:tr w:rsidR="006416E5" w:rsidRPr="00D576CC" w14:paraId="64757BD7" w14:textId="77777777" w:rsidTr="006416E5">
        <w:trPr>
          <w:trHeight w:val="240"/>
        </w:trPr>
        <w:tc>
          <w:tcPr>
            <w:tcW w:w="1167" w:type="dxa"/>
            <w:tcBorders>
              <w:top w:val="nil"/>
              <w:bottom w:val="nil"/>
            </w:tcBorders>
            <w:shd w:val="clear" w:color="auto" w:fill="auto"/>
          </w:tcPr>
          <w:p w14:paraId="636002BD"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7555F3FC" w14:textId="77777777" w:rsidR="006416E5" w:rsidRPr="00D576CC" w:rsidRDefault="006416E5" w:rsidP="004F65C8">
            <w:pPr>
              <w:pStyle w:val="SingleTxtG"/>
              <w:spacing w:before="40" w:after="40" w:line="220" w:lineRule="exact"/>
              <w:ind w:left="113" w:right="0"/>
              <w:jc w:val="left"/>
              <w:rPr>
                <w:sz w:val="18"/>
              </w:rPr>
            </w:pPr>
            <w:r w:rsidRPr="00D576CC">
              <w:rPr>
                <w:sz w:val="18"/>
              </w:rPr>
              <w:t>Declaración de nulidad del fallo</w:t>
            </w:r>
          </w:p>
        </w:tc>
        <w:tc>
          <w:tcPr>
            <w:tcW w:w="1146" w:type="dxa"/>
            <w:tcBorders>
              <w:top w:val="nil"/>
              <w:bottom w:val="nil"/>
            </w:tcBorders>
            <w:shd w:val="clear" w:color="auto" w:fill="auto"/>
            <w:vAlign w:val="bottom"/>
          </w:tcPr>
          <w:p w14:paraId="7D7DF6E4" w14:textId="77777777" w:rsidR="006416E5" w:rsidRPr="00D576CC" w:rsidRDefault="006416E5" w:rsidP="004F65C8">
            <w:pPr>
              <w:pStyle w:val="SingleTxtG"/>
              <w:spacing w:before="40" w:after="40" w:line="220" w:lineRule="exact"/>
              <w:ind w:left="113" w:right="0"/>
              <w:jc w:val="right"/>
              <w:rPr>
                <w:sz w:val="18"/>
              </w:rPr>
            </w:pPr>
            <w:r>
              <w:rPr>
                <w:sz w:val="18"/>
              </w:rPr>
              <w:t>57</w:t>
            </w:r>
          </w:p>
        </w:tc>
      </w:tr>
      <w:tr w:rsidR="006416E5" w:rsidRPr="00D576CC" w14:paraId="4823A57D" w14:textId="77777777" w:rsidTr="006416E5">
        <w:trPr>
          <w:trHeight w:val="240"/>
        </w:trPr>
        <w:tc>
          <w:tcPr>
            <w:tcW w:w="1167" w:type="dxa"/>
            <w:tcBorders>
              <w:top w:val="nil"/>
              <w:bottom w:val="nil"/>
            </w:tcBorders>
            <w:shd w:val="clear" w:color="auto" w:fill="auto"/>
          </w:tcPr>
          <w:p w14:paraId="0A1CE06B"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10DA1F46" w14:textId="77777777" w:rsidR="006416E5" w:rsidRPr="00D576CC" w:rsidRDefault="006416E5" w:rsidP="004F65C8">
            <w:pPr>
              <w:pStyle w:val="SingleTxtG"/>
              <w:spacing w:before="40" w:after="40" w:line="220" w:lineRule="exact"/>
              <w:ind w:left="113" w:right="0"/>
              <w:jc w:val="left"/>
              <w:rPr>
                <w:sz w:val="18"/>
              </w:rPr>
            </w:pPr>
            <w:r w:rsidRPr="00D576CC">
              <w:rPr>
                <w:sz w:val="18"/>
              </w:rPr>
              <w:t>Modificación de la sentencia</w:t>
            </w:r>
          </w:p>
        </w:tc>
        <w:tc>
          <w:tcPr>
            <w:tcW w:w="1146" w:type="dxa"/>
            <w:tcBorders>
              <w:top w:val="nil"/>
              <w:bottom w:val="nil"/>
            </w:tcBorders>
            <w:shd w:val="clear" w:color="auto" w:fill="auto"/>
            <w:vAlign w:val="bottom"/>
          </w:tcPr>
          <w:p w14:paraId="1AEE6EF6" w14:textId="77777777" w:rsidR="006416E5" w:rsidRPr="00D576CC" w:rsidRDefault="006416E5" w:rsidP="004F65C8">
            <w:pPr>
              <w:pStyle w:val="SingleTxtG"/>
              <w:spacing w:before="40" w:after="40" w:line="220" w:lineRule="exact"/>
              <w:ind w:left="113" w:right="0"/>
              <w:jc w:val="right"/>
              <w:rPr>
                <w:sz w:val="18"/>
              </w:rPr>
            </w:pPr>
            <w:r>
              <w:rPr>
                <w:sz w:val="18"/>
              </w:rPr>
              <w:t>9</w:t>
            </w:r>
          </w:p>
        </w:tc>
      </w:tr>
      <w:tr w:rsidR="006416E5" w:rsidRPr="00D576CC" w14:paraId="6E8E62F5" w14:textId="77777777" w:rsidTr="006416E5">
        <w:trPr>
          <w:trHeight w:val="240"/>
        </w:trPr>
        <w:tc>
          <w:tcPr>
            <w:tcW w:w="1167" w:type="dxa"/>
            <w:tcBorders>
              <w:top w:val="nil"/>
              <w:bottom w:val="nil"/>
            </w:tcBorders>
            <w:shd w:val="clear" w:color="auto" w:fill="auto"/>
          </w:tcPr>
          <w:p w14:paraId="1A908940"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35EE11C0" w14:textId="77777777" w:rsidR="006416E5" w:rsidRPr="00D576CC" w:rsidRDefault="006416E5" w:rsidP="004F65C8">
            <w:pPr>
              <w:pStyle w:val="SingleTxtG"/>
              <w:spacing w:before="40" w:after="40" w:line="220" w:lineRule="exact"/>
              <w:ind w:left="113" w:right="0"/>
              <w:jc w:val="left"/>
              <w:rPr>
                <w:sz w:val="18"/>
              </w:rPr>
            </w:pPr>
            <w:r w:rsidRPr="00D576CC">
              <w:rPr>
                <w:sz w:val="18"/>
              </w:rPr>
              <w:t>Prescripción de la acción penal</w:t>
            </w:r>
          </w:p>
        </w:tc>
        <w:tc>
          <w:tcPr>
            <w:tcW w:w="1146" w:type="dxa"/>
            <w:tcBorders>
              <w:top w:val="nil"/>
              <w:bottom w:val="nil"/>
            </w:tcBorders>
            <w:shd w:val="clear" w:color="auto" w:fill="auto"/>
            <w:vAlign w:val="bottom"/>
          </w:tcPr>
          <w:p w14:paraId="092BC0C1" w14:textId="77777777" w:rsidR="006416E5" w:rsidRPr="00D576CC" w:rsidRDefault="006416E5" w:rsidP="004F65C8">
            <w:pPr>
              <w:pStyle w:val="SingleTxtG"/>
              <w:spacing w:before="40" w:after="40" w:line="220" w:lineRule="exact"/>
              <w:ind w:left="113" w:right="0"/>
              <w:jc w:val="right"/>
              <w:rPr>
                <w:sz w:val="18"/>
              </w:rPr>
            </w:pPr>
            <w:r>
              <w:rPr>
                <w:sz w:val="18"/>
              </w:rPr>
              <w:t>4</w:t>
            </w:r>
          </w:p>
        </w:tc>
      </w:tr>
      <w:tr w:rsidR="006416E5" w:rsidRPr="00D576CC" w14:paraId="29F25F79" w14:textId="77777777" w:rsidTr="006416E5">
        <w:trPr>
          <w:trHeight w:val="240"/>
        </w:trPr>
        <w:tc>
          <w:tcPr>
            <w:tcW w:w="1167" w:type="dxa"/>
            <w:tcBorders>
              <w:top w:val="nil"/>
              <w:bottom w:val="nil"/>
            </w:tcBorders>
            <w:shd w:val="clear" w:color="auto" w:fill="auto"/>
          </w:tcPr>
          <w:p w14:paraId="67774FB5"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6739B296" w14:textId="77777777" w:rsidR="006416E5" w:rsidRPr="00D576CC" w:rsidRDefault="006416E5" w:rsidP="004F65C8">
            <w:pPr>
              <w:pStyle w:val="SingleTxtG"/>
              <w:spacing w:before="40" w:after="40" w:line="220" w:lineRule="exact"/>
              <w:ind w:left="113" w:right="0"/>
              <w:jc w:val="left"/>
              <w:rPr>
                <w:sz w:val="18"/>
              </w:rPr>
            </w:pPr>
            <w:r w:rsidRPr="00D576CC">
              <w:rPr>
                <w:sz w:val="18"/>
              </w:rPr>
              <w:t>Suspensión de la ejecución de la pena</w:t>
            </w:r>
          </w:p>
        </w:tc>
        <w:tc>
          <w:tcPr>
            <w:tcW w:w="1146" w:type="dxa"/>
            <w:tcBorders>
              <w:top w:val="nil"/>
              <w:bottom w:val="nil"/>
            </w:tcBorders>
            <w:shd w:val="clear" w:color="auto" w:fill="auto"/>
            <w:vAlign w:val="bottom"/>
          </w:tcPr>
          <w:p w14:paraId="2B850A8C" w14:textId="77777777" w:rsidR="006416E5" w:rsidRPr="00D576CC" w:rsidRDefault="006416E5" w:rsidP="004F65C8">
            <w:pPr>
              <w:pStyle w:val="SingleTxtG"/>
              <w:spacing w:before="40" w:after="40" w:line="220" w:lineRule="exact"/>
              <w:ind w:left="113" w:right="0"/>
              <w:jc w:val="right"/>
              <w:rPr>
                <w:sz w:val="18"/>
              </w:rPr>
            </w:pPr>
            <w:r>
              <w:rPr>
                <w:sz w:val="18"/>
              </w:rPr>
              <w:t>7</w:t>
            </w:r>
          </w:p>
        </w:tc>
      </w:tr>
      <w:tr w:rsidR="006416E5" w:rsidRPr="00D576CC" w14:paraId="5E246F72" w14:textId="77777777" w:rsidTr="006416E5">
        <w:trPr>
          <w:trHeight w:val="240"/>
        </w:trPr>
        <w:tc>
          <w:tcPr>
            <w:tcW w:w="1167" w:type="dxa"/>
            <w:tcBorders>
              <w:top w:val="nil"/>
              <w:bottom w:val="nil"/>
            </w:tcBorders>
            <w:shd w:val="clear" w:color="auto" w:fill="auto"/>
          </w:tcPr>
          <w:p w14:paraId="52456ACA"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4C1EAC50" w14:textId="77777777" w:rsidR="006416E5" w:rsidRPr="00D576CC" w:rsidRDefault="006416E5" w:rsidP="004F65C8">
            <w:pPr>
              <w:pStyle w:val="SingleTxtG"/>
              <w:spacing w:before="40" w:after="40" w:line="220" w:lineRule="exact"/>
              <w:ind w:left="113" w:right="0"/>
              <w:jc w:val="left"/>
              <w:rPr>
                <w:sz w:val="18"/>
              </w:rPr>
            </w:pPr>
            <w:r w:rsidRPr="00D576CC">
              <w:rPr>
                <w:sz w:val="18"/>
              </w:rPr>
              <w:t>Sobreseimiento por prescripción</w:t>
            </w:r>
          </w:p>
        </w:tc>
        <w:tc>
          <w:tcPr>
            <w:tcW w:w="1146" w:type="dxa"/>
            <w:tcBorders>
              <w:top w:val="nil"/>
              <w:bottom w:val="nil"/>
            </w:tcBorders>
            <w:shd w:val="clear" w:color="auto" w:fill="auto"/>
            <w:vAlign w:val="bottom"/>
          </w:tcPr>
          <w:p w14:paraId="4FC5463D" w14:textId="77777777" w:rsidR="006416E5" w:rsidRPr="00D576CC" w:rsidRDefault="006416E5" w:rsidP="004F65C8">
            <w:pPr>
              <w:pStyle w:val="SingleTxtG"/>
              <w:spacing w:before="40" w:after="40" w:line="220" w:lineRule="exact"/>
              <w:ind w:left="113" w:right="0"/>
              <w:jc w:val="right"/>
              <w:rPr>
                <w:sz w:val="18"/>
              </w:rPr>
            </w:pPr>
            <w:r>
              <w:rPr>
                <w:sz w:val="18"/>
              </w:rPr>
              <w:t>12</w:t>
            </w:r>
          </w:p>
        </w:tc>
      </w:tr>
      <w:tr w:rsidR="006416E5" w:rsidRPr="00D576CC" w14:paraId="546B2DAC" w14:textId="77777777" w:rsidTr="006416E5">
        <w:trPr>
          <w:trHeight w:val="240"/>
        </w:trPr>
        <w:tc>
          <w:tcPr>
            <w:tcW w:w="1167" w:type="dxa"/>
            <w:tcBorders>
              <w:top w:val="nil"/>
              <w:bottom w:val="nil"/>
            </w:tcBorders>
            <w:shd w:val="clear" w:color="auto" w:fill="auto"/>
          </w:tcPr>
          <w:p w14:paraId="36D447B9" w14:textId="77777777" w:rsidR="006416E5" w:rsidRPr="00D576CC" w:rsidRDefault="006416E5" w:rsidP="004F65C8">
            <w:pPr>
              <w:pStyle w:val="SingleTxtG"/>
              <w:keepNext/>
              <w:spacing w:before="40" w:after="40" w:line="220" w:lineRule="exact"/>
              <w:ind w:left="0" w:right="0"/>
              <w:jc w:val="left"/>
              <w:rPr>
                <w:sz w:val="18"/>
              </w:rPr>
            </w:pPr>
          </w:p>
        </w:tc>
        <w:tc>
          <w:tcPr>
            <w:tcW w:w="5057" w:type="dxa"/>
            <w:tcBorders>
              <w:top w:val="nil"/>
              <w:bottom w:val="nil"/>
            </w:tcBorders>
            <w:shd w:val="clear" w:color="auto" w:fill="auto"/>
            <w:vAlign w:val="bottom"/>
          </w:tcPr>
          <w:p w14:paraId="08D05FD9" w14:textId="77777777" w:rsidR="006416E5" w:rsidRPr="00D576CC" w:rsidRDefault="006416E5" w:rsidP="004F65C8">
            <w:pPr>
              <w:pStyle w:val="SingleTxtG"/>
              <w:keepNext/>
              <w:spacing w:before="40" w:after="40" w:line="220" w:lineRule="exact"/>
              <w:ind w:left="113" w:right="0"/>
              <w:jc w:val="left"/>
              <w:rPr>
                <w:sz w:val="18"/>
              </w:rPr>
            </w:pPr>
            <w:r w:rsidRPr="00D576CC">
              <w:rPr>
                <w:sz w:val="18"/>
              </w:rPr>
              <w:t>Estimación del recurso de oposición en forma y ratificación de la sentencia en anterior instancia</w:t>
            </w:r>
          </w:p>
        </w:tc>
        <w:tc>
          <w:tcPr>
            <w:tcW w:w="1146" w:type="dxa"/>
            <w:tcBorders>
              <w:top w:val="nil"/>
              <w:bottom w:val="nil"/>
            </w:tcBorders>
            <w:shd w:val="clear" w:color="auto" w:fill="auto"/>
            <w:vAlign w:val="bottom"/>
          </w:tcPr>
          <w:p w14:paraId="3CF9C0EE" w14:textId="77777777" w:rsidR="006416E5" w:rsidRPr="00D576CC" w:rsidRDefault="006416E5" w:rsidP="004F65C8">
            <w:pPr>
              <w:pStyle w:val="SingleTxtG"/>
              <w:keepNext/>
              <w:spacing w:before="40" w:after="40" w:line="220" w:lineRule="exact"/>
              <w:ind w:left="113" w:right="0"/>
              <w:jc w:val="right"/>
              <w:rPr>
                <w:sz w:val="18"/>
              </w:rPr>
            </w:pPr>
            <w:r>
              <w:rPr>
                <w:sz w:val="18"/>
              </w:rPr>
              <w:t>4</w:t>
            </w:r>
          </w:p>
        </w:tc>
      </w:tr>
      <w:tr w:rsidR="006416E5" w:rsidRPr="00D576CC" w14:paraId="4AC3FB20" w14:textId="77777777" w:rsidTr="006416E5">
        <w:trPr>
          <w:trHeight w:val="240"/>
        </w:trPr>
        <w:tc>
          <w:tcPr>
            <w:tcW w:w="1167" w:type="dxa"/>
            <w:tcBorders>
              <w:top w:val="nil"/>
              <w:bottom w:val="nil"/>
            </w:tcBorders>
            <w:shd w:val="clear" w:color="auto" w:fill="auto"/>
          </w:tcPr>
          <w:p w14:paraId="2EC3F6B4" w14:textId="77777777" w:rsidR="006416E5" w:rsidRPr="00D576CC" w:rsidRDefault="006416E5" w:rsidP="004F65C8">
            <w:pPr>
              <w:pStyle w:val="SingleTxtG"/>
              <w:spacing w:before="40" w:after="40" w:line="220" w:lineRule="exact"/>
              <w:ind w:left="0" w:right="0"/>
              <w:jc w:val="left"/>
              <w:rPr>
                <w:sz w:val="18"/>
              </w:rPr>
            </w:pPr>
          </w:p>
        </w:tc>
        <w:tc>
          <w:tcPr>
            <w:tcW w:w="5057" w:type="dxa"/>
            <w:tcBorders>
              <w:top w:val="nil"/>
              <w:bottom w:val="nil"/>
            </w:tcBorders>
            <w:shd w:val="clear" w:color="auto" w:fill="auto"/>
            <w:vAlign w:val="bottom"/>
          </w:tcPr>
          <w:p w14:paraId="2EDC1B5A" w14:textId="77777777" w:rsidR="006416E5" w:rsidRPr="00D576CC" w:rsidRDefault="006416E5" w:rsidP="004F65C8">
            <w:pPr>
              <w:pStyle w:val="SingleTxtG"/>
              <w:spacing w:before="40" w:after="40" w:line="220" w:lineRule="exact"/>
              <w:ind w:left="113" w:right="0"/>
              <w:jc w:val="left"/>
              <w:rPr>
                <w:sz w:val="18"/>
              </w:rPr>
            </w:pPr>
            <w:r w:rsidRPr="00D576CC">
              <w:rPr>
                <w:sz w:val="18"/>
              </w:rPr>
              <w:t>Nulidad del recurso de oposición o apelación</w:t>
            </w:r>
          </w:p>
        </w:tc>
        <w:tc>
          <w:tcPr>
            <w:tcW w:w="1146" w:type="dxa"/>
            <w:tcBorders>
              <w:top w:val="nil"/>
              <w:bottom w:val="nil"/>
            </w:tcBorders>
            <w:shd w:val="clear" w:color="auto" w:fill="auto"/>
            <w:vAlign w:val="bottom"/>
          </w:tcPr>
          <w:p w14:paraId="4D121BDE" w14:textId="77777777" w:rsidR="006416E5" w:rsidRPr="00D576CC" w:rsidRDefault="006416E5" w:rsidP="004F65C8">
            <w:pPr>
              <w:pStyle w:val="SingleTxtG"/>
              <w:spacing w:before="40" w:after="40" w:line="220" w:lineRule="exact"/>
              <w:ind w:left="113" w:right="0"/>
              <w:jc w:val="right"/>
              <w:rPr>
                <w:sz w:val="18"/>
              </w:rPr>
            </w:pPr>
            <w:r>
              <w:rPr>
                <w:sz w:val="18"/>
              </w:rPr>
              <w:t>128</w:t>
            </w:r>
          </w:p>
        </w:tc>
      </w:tr>
      <w:tr w:rsidR="006416E5" w:rsidRPr="00D576CC" w14:paraId="5B4F99E8" w14:textId="77777777" w:rsidTr="006416E5">
        <w:trPr>
          <w:trHeight w:val="240"/>
        </w:trPr>
        <w:tc>
          <w:tcPr>
            <w:tcW w:w="1167" w:type="dxa"/>
            <w:tcBorders>
              <w:top w:val="nil"/>
              <w:bottom w:val="nil"/>
            </w:tcBorders>
            <w:shd w:val="clear" w:color="auto" w:fill="auto"/>
          </w:tcPr>
          <w:p w14:paraId="5B85CE8B" w14:textId="77777777" w:rsidR="006416E5" w:rsidRPr="00D576CC" w:rsidRDefault="006416E5" w:rsidP="006416E5">
            <w:pPr>
              <w:pStyle w:val="SingleTxtG"/>
              <w:keepNext/>
              <w:spacing w:before="40" w:after="40" w:line="220" w:lineRule="exact"/>
              <w:ind w:left="0" w:right="0"/>
              <w:jc w:val="left"/>
              <w:rPr>
                <w:sz w:val="18"/>
              </w:rPr>
            </w:pPr>
          </w:p>
        </w:tc>
        <w:tc>
          <w:tcPr>
            <w:tcW w:w="5057" w:type="dxa"/>
            <w:tcBorders>
              <w:top w:val="nil"/>
              <w:bottom w:val="nil"/>
            </w:tcBorders>
            <w:shd w:val="clear" w:color="auto" w:fill="auto"/>
            <w:vAlign w:val="bottom"/>
          </w:tcPr>
          <w:p w14:paraId="3751951F" w14:textId="77777777" w:rsidR="006416E5" w:rsidRPr="00D576CC" w:rsidRDefault="006416E5" w:rsidP="006416E5">
            <w:pPr>
              <w:pStyle w:val="SingleTxtG"/>
              <w:keepNext/>
              <w:spacing w:before="40" w:after="40" w:line="220" w:lineRule="exact"/>
              <w:ind w:left="113" w:right="0"/>
              <w:jc w:val="left"/>
              <w:rPr>
                <w:sz w:val="18"/>
              </w:rPr>
            </w:pPr>
            <w:r w:rsidRPr="00D576CC">
              <w:rPr>
                <w:sz w:val="18"/>
              </w:rPr>
              <w:t>Auto de suspensión de la sanción pecuniaria sin caución</w:t>
            </w:r>
          </w:p>
        </w:tc>
        <w:tc>
          <w:tcPr>
            <w:tcW w:w="1146" w:type="dxa"/>
            <w:tcBorders>
              <w:top w:val="nil"/>
              <w:bottom w:val="nil"/>
            </w:tcBorders>
            <w:shd w:val="clear" w:color="auto" w:fill="auto"/>
            <w:vAlign w:val="bottom"/>
          </w:tcPr>
          <w:p w14:paraId="4FD28BF2" w14:textId="77777777" w:rsidR="006416E5" w:rsidRPr="00D576CC" w:rsidRDefault="006416E5" w:rsidP="006416E5">
            <w:pPr>
              <w:pStyle w:val="SingleTxtG"/>
              <w:keepNext/>
              <w:spacing w:before="40" w:after="40" w:line="220" w:lineRule="exact"/>
              <w:ind w:left="113" w:right="0"/>
              <w:jc w:val="right"/>
              <w:rPr>
                <w:sz w:val="18"/>
              </w:rPr>
            </w:pPr>
            <w:r>
              <w:rPr>
                <w:sz w:val="18"/>
              </w:rPr>
              <w:t>3</w:t>
            </w:r>
          </w:p>
        </w:tc>
      </w:tr>
      <w:tr w:rsidR="006416E5" w:rsidRPr="00D576CC" w14:paraId="4924F73E" w14:textId="77777777" w:rsidTr="006416E5">
        <w:trPr>
          <w:trHeight w:val="240"/>
        </w:trPr>
        <w:tc>
          <w:tcPr>
            <w:tcW w:w="1167" w:type="dxa"/>
            <w:tcBorders>
              <w:top w:val="nil"/>
              <w:bottom w:val="single" w:sz="4" w:space="0" w:color="auto"/>
            </w:tcBorders>
            <w:shd w:val="clear" w:color="auto" w:fill="auto"/>
          </w:tcPr>
          <w:p w14:paraId="17D02EB4" w14:textId="77777777" w:rsidR="006416E5" w:rsidRPr="00D576CC" w:rsidRDefault="006416E5" w:rsidP="006416E5">
            <w:pPr>
              <w:pStyle w:val="SingleTxtG"/>
              <w:keepNext/>
              <w:spacing w:before="40" w:after="40" w:line="220" w:lineRule="exact"/>
              <w:ind w:left="0" w:right="0"/>
              <w:jc w:val="left"/>
              <w:rPr>
                <w:sz w:val="18"/>
              </w:rPr>
            </w:pPr>
          </w:p>
        </w:tc>
        <w:tc>
          <w:tcPr>
            <w:tcW w:w="5057" w:type="dxa"/>
            <w:tcBorders>
              <w:top w:val="nil"/>
              <w:bottom w:val="single" w:sz="4" w:space="0" w:color="auto"/>
            </w:tcBorders>
            <w:shd w:val="clear" w:color="auto" w:fill="auto"/>
            <w:vAlign w:val="bottom"/>
          </w:tcPr>
          <w:p w14:paraId="289C6591" w14:textId="77777777" w:rsidR="006416E5" w:rsidRPr="00D576CC" w:rsidRDefault="006416E5" w:rsidP="006416E5">
            <w:pPr>
              <w:pStyle w:val="SingleTxtG"/>
              <w:keepNext/>
              <w:spacing w:before="40" w:after="40" w:line="220" w:lineRule="exact"/>
              <w:ind w:left="113" w:right="0"/>
              <w:jc w:val="left"/>
              <w:rPr>
                <w:sz w:val="18"/>
              </w:rPr>
            </w:pPr>
            <w:r w:rsidRPr="00D576CC">
              <w:rPr>
                <w:sz w:val="18"/>
              </w:rPr>
              <w:t>Suspensión del proceso penal a prueba con caución</w:t>
            </w:r>
          </w:p>
        </w:tc>
        <w:tc>
          <w:tcPr>
            <w:tcW w:w="1146" w:type="dxa"/>
            <w:tcBorders>
              <w:top w:val="nil"/>
              <w:bottom w:val="single" w:sz="4" w:space="0" w:color="auto"/>
            </w:tcBorders>
            <w:shd w:val="clear" w:color="auto" w:fill="auto"/>
            <w:vAlign w:val="bottom"/>
          </w:tcPr>
          <w:p w14:paraId="12F12BAB" w14:textId="77777777" w:rsidR="006416E5" w:rsidRPr="00D576CC" w:rsidRDefault="006416E5" w:rsidP="006416E5">
            <w:pPr>
              <w:pStyle w:val="SingleTxtG"/>
              <w:keepNext/>
              <w:spacing w:before="40" w:after="40" w:line="220" w:lineRule="exact"/>
              <w:ind w:left="113" w:right="0"/>
              <w:jc w:val="right"/>
              <w:rPr>
                <w:sz w:val="18"/>
              </w:rPr>
            </w:pPr>
            <w:r>
              <w:rPr>
                <w:sz w:val="18"/>
              </w:rPr>
              <w:t>8</w:t>
            </w:r>
          </w:p>
        </w:tc>
      </w:tr>
      <w:tr w:rsidR="00FA139B" w:rsidRPr="00182953" w14:paraId="47AE157C" w14:textId="77777777" w:rsidTr="006416E5">
        <w:trPr>
          <w:trHeight w:val="240"/>
        </w:trPr>
        <w:tc>
          <w:tcPr>
            <w:tcW w:w="1167" w:type="dxa"/>
            <w:tcBorders>
              <w:top w:val="single" w:sz="4" w:space="0" w:color="auto"/>
              <w:bottom w:val="single" w:sz="4" w:space="0" w:color="auto"/>
            </w:tcBorders>
            <w:shd w:val="clear" w:color="auto" w:fill="auto"/>
          </w:tcPr>
          <w:p w14:paraId="2A2DE13D" w14:textId="77777777" w:rsidR="00FA139B" w:rsidRPr="00182953" w:rsidRDefault="00FA139B" w:rsidP="00182953">
            <w:pPr>
              <w:pStyle w:val="SingleTxtG"/>
              <w:spacing w:before="80" w:after="80" w:line="220" w:lineRule="exact"/>
              <w:ind w:left="284" w:right="0"/>
              <w:jc w:val="left"/>
              <w:rPr>
                <w:b/>
                <w:sz w:val="18"/>
              </w:rPr>
            </w:pPr>
            <w:r w:rsidRPr="00182953">
              <w:rPr>
                <w:b/>
                <w:sz w:val="18"/>
              </w:rPr>
              <w:t>Total</w:t>
            </w:r>
          </w:p>
        </w:tc>
        <w:tc>
          <w:tcPr>
            <w:tcW w:w="5057" w:type="dxa"/>
            <w:tcBorders>
              <w:top w:val="single" w:sz="4" w:space="0" w:color="auto"/>
              <w:bottom w:val="single" w:sz="4" w:space="0" w:color="auto"/>
            </w:tcBorders>
            <w:shd w:val="clear" w:color="auto" w:fill="auto"/>
            <w:vAlign w:val="bottom"/>
          </w:tcPr>
          <w:p w14:paraId="3D26A139" w14:textId="77777777" w:rsidR="00FA139B" w:rsidRPr="00182953" w:rsidRDefault="00FA139B" w:rsidP="00182953">
            <w:pPr>
              <w:pStyle w:val="SingleTxtG"/>
              <w:spacing w:before="80" w:after="80" w:line="220" w:lineRule="exact"/>
              <w:ind w:left="113" w:right="0"/>
              <w:jc w:val="left"/>
              <w:rPr>
                <w:b/>
                <w:sz w:val="18"/>
                <w:rtl/>
                <w:lang w:bidi="ar-KW"/>
              </w:rPr>
            </w:pPr>
          </w:p>
        </w:tc>
        <w:tc>
          <w:tcPr>
            <w:tcW w:w="1146" w:type="dxa"/>
            <w:tcBorders>
              <w:top w:val="single" w:sz="4" w:space="0" w:color="auto"/>
              <w:bottom w:val="single" w:sz="4" w:space="0" w:color="auto"/>
            </w:tcBorders>
            <w:shd w:val="clear" w:color="auto" w:fill="auto"/>
            <w:vAlign w:val="bottom"/>
          </w:tcPr>
          <w:p w14:paraId="0E03ED2A" w14:textId="77777777" w:rsidR="00FA139B" w:rsidRPr="00182953" w:rsidRDefault="00FA139B" w:rsidP="00182953">
            <w:pPr>
              <w:pStyle w:val="SingleTxtG"/>
              <w:spacing w:before="80" w:after="80" w:line="220" w:lineRule="exact"/>
              <w:ind w:left="113" w:right="0"/>
              <w:jc w:val="right"/>
              <w:rPr>
                <w:b/>
                <w:sz w:val="18"/>
              </w:rPr>
            </w:pPr>
            <w:r w:rsidRPr="00182953">
              <w:rPr>
                <w:b/>
                <w:sz w:val="18"/>
              </w:rPr>
              <w:t>333</w:t>
            </w:r>
          </w:p>
        </w:tc>
      </w:tr>
      <w:tr w:rsidR="00FA139B" w:rsidRPr="00D576CC" w14:paraId="51E0D406" w14:textId="77777777" w:rsidTr="006416E5">
        <w:trPr>
          <w:trHeight w:val="240"/>
        </w:trPr>
        <w:tc>
          <w:tcPr>
            <w:tcW w:w="1167" w:type="dxa"/>
            <w:tcBorders>
              <w:top w:val="single" w:sz="4" w:space="0" w:color="auto"/>
              <w:bottom w:val="single" w:sz="4" w:space="0" w:color="auto"/>
            </w:tcBorders>
            <w:shd w:val="clear" w:color="auto" w:fill="auto"/>
          </w:tcPr>
          <w:p w14:paraId="7C7B1CD8" w14:textId="77777777" w:rsidR="00FA139B" w:rsidRPr="00D576CC" w:rsidRDefault="00FA139B" w:rsidP="006416E5">
            <w:pPr>
              <w:pStyle w:val="SingleTxtG"/>
              <w:spacing w:before="80" w:after="80" w:line="220" w:lineRule="exact"/>
              <w:ind w:left="0" w:right="0"/>
              <w:jc w:val="left"/>
              <w:rPr>
                <w:sz w:val="18"/>
              </w:rPr>
            </w:pPr>
            <w:r w:rsidRPr="00D576CC">
              <w:rPr>
                <w:sz w:val="18"/>
              </w:rPr>
              <w:t>En casación</w:t>
            </w:r>
          </w:p>
        </w:tc>
        <w:tc>
          <w:tcPr>
            <w:tcW w:w="5057" w:type="dxa"/>
            <w:tcBorders>
              <w:top w:val="single" w:sz="4" w:space="0" w:color="auto"/>
              <w:bottom w:val="single" w:sz="4" w:space="0" w:color="auto"/>
            </w:tcBorders>
            <w:shd w:val="clear" w:color="auto" w:fill="auto"/>
            <w:vAlign w:val="bottom"/>
          </w:tcPr>
          <w:p w14:paraId="1A0E92C4" w14:textId="77777777" w:rsidR="00FA139B" w:rsidRPr="00D576CC" w:rsidRDefault="00FA139B" w:rsidP="006416E5">
            <w:pPr>
              <w:pStyle w:val="SingleTxtG"/>
              <w:spacing w:before="80" w:after="80" w:line="220" w:lineRule="exact"/>
              <w:ind w:left="113" w:right="0"/>
              <w:jc w:val="left"/>
              <w:rPr>
                <w:sz w:val="18"/>
              </w:rPr>
            </w:pPr>
            <w:r w:rsidRPr="00D576CC">
              <w:rPr>
                <w:sz w:val="18"/>
              </w:rPr>
              <w:t>Estimación</w:t>
            </w:r>
          </w:p>
          <w:p w14:paraId="3C212C44" w14:textId="77777777" w:rsidR="00FA139B" w:rsidRPr="00D576CC" w:rsidRDefault="00FA139B" w:rsidP="006416E5">
            <w:pPr>
              <w:pStyle w:val="SingleTxtG"/>
              <w:spacing w:before="80" w:after="80" w:line="220" w:lineRule="exact"/>
              <w:ind w:left="113" w:right="0"/>
              <w:jc w:val="left"/>
              <w:rPr>
                <w:sz w:val="18"/>
              </w:rPr>
            </w:pPr>
            <w:r w:rsidRPr="00D576CC">
              <w:rPr>
                <w:sz w:val="18"/>
              </w:rPr>
              <w:t>Sentencia absolutoria</w:t>
            </w:r>
          </w:p>
          <w:p w14:paraId="5FABF5FB" w14:textId="77777777" w:rsidR="00FA139B" w:rsidRPr="00D576CC" w:rsidRDefault="00FA139B" w:rsidP="006416E5">
            <w:pPr>
              <w:pStyle w:val="SingleTxtG"/>
              <w:spacing w:before="80" w:after="80" w:line="220" w:lineRule="exact"/>
              <w:ind w:left="113" w:right="0"/>
              <w:jc w:val="left"/>
              <w:rPr>
                <w:sz w:val="18"/>
              </w:rPr>
            </w:pPr>
            <w:r w:rsidRPr="00D576CC">
              <w:rPr>
                <w:sz w:val="18"/>
              </w:rPr>
              <w:t>Declaración de nulidad del fallo</w:t>
            </w:r>
          </w:p>
          <w:p w14:paraId="630890BF" w14:textId="77777777" w:rsidR="00FA139B" w:rsidRPr="00D576CC" w:rsidRDefault="00FA139B" w:rsidP="006416E5">
            <w:pPr>
              <w:pStyle w:val="SingleTxtG"/>
              <w:spacing w:before="80" w:after="80" w:line="220" w:lineRule="exact"/>
              <w:ind w:left="113" w:right="0"/>
              <w:jc w:val="left"/>
              <w:rPr>
                <w:sz w:val="18"/>
              </w:rPr>
            </w:pPr>
            <w:r w:rsidRPr="00D576CC">
              <w:rPr>
                <w:sz w:val="18"/>
              </w:rPr>
              <w:t>Modificación de la sentencia</w:t>
            </w:r>
          </w:p>
          <w:p w14:paraId="5AA5E52C" w14:textId="77777777" w:rsidR="00FA139B" w:rsidRPr="00D576CC" w:rsidRDefault="00FA139B" w:rsidP="006416E5">
            <w:pPr>
              <w:pStyle w:val="SingleTxtG"/>
              <w:spacing w:before="80" w:after="80" w:line="220" w:lineRule="exact"/>
              <w:ind w:left="113" w:right="0"/>
              <w:jc w:val="left"/>
              <w:rPr>
                <w:sz w:val="18"/>
              </w:rPr>
            </w:pPr>
            <w:r w:rsidRPr="00D576CC">
              <w:rPr>
                <w:sz w:val="18"/>
              </w:rPr>
              <w:t>Desestimación del recurso</w:t>
            </w:r>
          </w:p>
        </w:tc>
        <w:tc>
          <w:tcPr>
            <w:tcW w:w="1146" w:type="dxa"/>
            <w:tcBorders>
              <w:top w:val="single" w:sz="4" w:space="0" w:color="auto"/>
              <w:bottom w:val="single" w:sz="4" w:space="0" w:color="auto"/>
            </w:tcBorders>
            <w:shd w:val="clear" w:color="auto" w:fill="auto"/>
            <w:vAlign w:val="bottom"/>
          </w:tcPr>
          <w:p w14:paraId="2955B781" w14:textId="77777777" w:rsidR="00FA139B" w:rsidRPr="00D576CC" w:rsidRDefault="00FA139B" w:rsidP="006416E5">
            <w:pPr>
              <w:pStyle w:val="SingleTxtG"/>
              <w:spacing w:before="80" w:after="80" w:line="220" w:lineRule="exact"/>
              <w:ind w:left="113" w:right="0"/>
              <w:jc w:val="right"/>
              <w:rPr>
                <w:sz w:val="18"/>
              </w:rPr>
            </w:pPr>
            <w:r w:rsidRPr="00D576CC">
              <w:rPr>
                <w:sz w:val="18"/>
              </w:rPr>
              <w:t>12</w:t>
            </w:r>
          </w:p>
          <w:p w14:paraId="586DA6A1" w14:textId="77777777" w:rsidR="00FA139B" w:rsidRPr="00D576CC" w:rsidRDefault="00FA139B" w:rsidP="006416E5">
            <w:pPr>
              <w:pStyle w:val="SingleTxtG"/>
              <w:spacing w:before="80" w:after="80" w:line="220" w:lineRule="exact"/>
              <w:ind w:left="113" w:right="0"/>
              <w:jc w:val="right"/>
              <w:rPr>
                <w:sz w:val="18"/>
              </w:rPr>
            </w:pPr>
            <w:r w:rsidRPr="00D576CC">
              <w:rPr>
                <w:sz w:val="18"/>
              </w:rPr>
              <w:t>3</w:t>
            </w:r>
          </w:p>
          <w:p w14:paraId="019E555E" w14:textId="77777777" w:rsidR="00FA139B" w:rsidRPr="00D576CC" w:rsidRDefault="00FA139B" w:rsidP="006416E5">
            <w:pPr>
              <w:pStyle w:val="SingleTxtG"/>
              <w:spacing w:before="80" w:after="80" w:line="220" w:lineRule="exact"/>
              <w:ind w:left="113" w:right="0"/>
              <w:jc w:val="right"/>
              <w:rPr>
                <w:sz w:val="18"/>
              </w:rPr>
            </w:pPr>
            <w:r w:rsidRPr="00D576CC">
              <w:rPr>
                <w:sz w:val="18"/>
              </w:rPr>
              <w:t>12</w:t>
            </w:r>
          </w:p>
          <w:p w14:paraId="323DB9B0" w14:textId="77777777" w:rsidR="00FA139B" w:rsidRPr="00D576CC" w:rsidRDefault="00FA139B" w:rsidP="006416E5">
            <w:pPr>
              <w:pStyle w:val="SingleTxtG"/>
              <w:spacing w:before="80" w:after="80" w:line="220" w:lineRule="exact"/>
              <w:ind w:left="113" w:right="0"/>
              <w:jc w:val="right"/>
              <w:rPr>
                <w:sz w:val="18"/>
              </w:rPr>
            </w:pPr>
            <w:r w:rsidRPr="00D576CC">
              <w:rPr>
                <w:sz w:val="18"/>
              </w:rPr>
              <w:t>4</w:t>
            </w:r>
          </w:p>
          <w:p w14:paraId="050953CF" w14:textId="77777777" w:rsidR="00FA139B" w:rsidRPr="00D576CC" w:rsidRDefault="00FA139B" w:rsidP="006416E5">
            <w:pPr>
              <w:pStyle w:val="SingleTxtG"/>
              <w:spacing w:before="80" w:after="80" w:line="220" w:lineRule="exact"/>
              <w:ind w:left="113" w:right="0"/>
              <w:jc w:val="right"/>
              <w:rPr>
                <w:sz w:val="18"/>
              </w:rPr>
            </w:pPr>
            <w:r w:rsidRPr="00D576CC">
              <w:rPr>
                <w:sz w:val="18"/>
              </w:rPr>
              <w:t>3</w:t>
            </w:r>
          </w:p>
        </w:tc>
      </w:tr>
      <w:tr w:rsidR="00FA139B" w:rsidRPr="00182953" w14:paraId="2779E914" w14:textId="77777777" w:rsidTr="006416E5">
        <w:trPr>
          <w:trHeight w:val="240"/>
        </w:trPr>
        <w:tc>
          <w:tcPr>
            <w:tcW w:w="1167" w:type="dxa"/>
            <w:tcBorders>
              <w:top w:val="single" w:sz="4" w:space="0" w:color="auto"/>
              <w:bottom w:val="single" w:sz="4" w:space="0" w:color="auto"/>
            </w:tcBorders>
            <w:shd w:val="clear" w:color="auto" w:fill="auto"/>
          </w:tcPr>
          <w:p w14:paraId="3932C5A1" w14:textId="77777777" w:rsidR="00FA139B" w:rsidRPr="00182953" w:rsidRDefault="00FA139B" w:rsidP="00182953">
            <w:pPr>
              <w:pStyle w:val="SingleTxtG"/>
              <w:spacing w:before="80" w:after="80" w:line="220" w:lineRule="exact"/>
              <w:ind w:left="284" w:right="0"/>
              <w:jc w:val="left"/>
              <w:rPr>
                <w:b/>
                <w:sz w:val="18"/>
              </w:rPr>
            </w:pPr>
            <w:r w:rsidRPr="00182953">
              <w:rPr>
                <w:b/>
                <w:sz w:val="18"/>
              </w:rPr>
              <w:t>Total</w:t>
            </w:r>
          </w:p>
        </w:tc>
        <w:tc>
          <w:tcPr>
            <w:tcW w:w="5057" w:type="dxa"/>
            <w:tcBorders>
              <w:top w:val="single" w:sz="4" w:space="0" w:color="auto"/>
              <w:bottom w:val="single" w:sz="4" w:space="0" w:color="auto"/>
            </w:tcBorders>
            <w:shd w:val="clear" w:color="auto" w:fill="auto"/>
            <w:vAlign w:val="bottom"/>
          </w:tcPr>
          <w:p w14:paraId="6BD492BE" w14:textId="77777777" w:rsidR="00FA139B" w:rsidRPr="00182953" w:rsidRDefault="00FA139B" w:rsidP="00182953">
            <w:pPr>
              <w:pStyle w:val="SingleTxtG"/>
              <w:spacing w:before="80" w:after="80" w:line="220" w:lineRule="exact"/>
              <w:ind w:left="113" w:right="0"/>
              <w:jc w:val="left"/>
              <w:rPr>
                <w:b/>
                <w:sz w:val="18"/>
                <w:rtl/>
                <w:lang w:bidi="ar-KW"/>
              </w:rPr>
            </w:pPr>
          </w:p>
        </w:tc>
        <w:tc>
          <w:tcPr>
            <w:tcW w:w="1146" w:type="dxa"/>
            <w:tcBorders>
              <w:top w:val="single" w:sz="4" w:space="0" w:color="auto"/>
              <w:bottom w:val="single" w:sz="4" w:space="0" w:color="auto"/>
            </w:tcBorders>
            <w:shd w:val="clear" w:color="auto" w:fill="auto"/>
            <w:vAlign w:val="bottom"/>
          </w:tcPr>
          <w:p w14:paraId="550E7A62" w14:textId="77777777" w:rsidR="00FA139B" w:rsidRPr="00182953" w:rsidRDefault="00FA139B" w:rsidP="00182953">
            <w:pPr>
              <w:pStyle w:val="SingleTxtG"/>
              <w:spacing w:before="80" w:after="80" w:line="220" w:lineRule="exact"/>
              <w:ind w:left="113" w:right="0"/>
              <w:jc w:val="right"/>
              <w:rPr>
                <w:b/>
                <w:sz w:val="18"/>
              </w:rPr>
            </w:pPr>
            <w:r w:rsidRPr="00182953">
              <w:rPr>
                <w:b/>
                <w:sz w:val="18"/>
              </w:rPr>
              <w:t>34</w:t>
            </w:r>
          </w:p>
        </w:tc>
      </w:tr>
      <w:tr w:rsidR="00FA139B" w:rsidRPr="00182953" w14:paraId="5162D1B6" w14:textId="77777777" w:rsidTr="006416E5">
        <w:trPr>
          <w:trHeight w:val="240"/>
        </w:trPr>
        <w:tc>
          <w:tcPr>
            <w:tcW w:w="6224" w:type="dxa"/>
            <w:gridSpan w:val="2"/>
            <w:tcBorders>
              <w:top w:val="single" w:sz="4" w:space="0" w:color="auto"/>
              <w:bottom w:val="single" w:sz="12" w:space="0" w:color="auto"/>
            </w:tcBorders>
            <w:shd w:val="clear" w:color="auto" w:fill="auto"/>
          </w:tcPr>
          <w:p w14:paraId="0AEF7830" w14:textId="77777777" w:rsidR="00FA139B" w:rsidRPr="00182953" w:rsidRDefault="00FA139B" w:rsidP="00182953">
            <w:pPr>
              <w:pStyle w:val="SingleTxtG"/>
              <w:spacing w:before="80" w:after="80" w:line="220" w:lineRule="exact"/>
              <w:ind w:left="567" w:right="0"/>
              <w:jc w:val="left"/>
              <w:rPr>
                <w:b/>
                <w:sz w:val="18"/>
              </w:rPr>
            </w:pPr>
            <w:r w:rsidRPr="00182953">
              <w:rPr>
                <w:b/>
                <w:sz w:val="18"/>
              </w:rPr>
              <w:t>T</w:t>
            </w:r>
            <w:r w:rsidR="00182953">
              <w:rPr>
                <w:b/>
                <w:sz w:val="18"/>
              </w:rPr>
              <w:t>otal</w:t>
            </w:r>
          </w:p>
        </w:tc>
        <w:tc>
          <w:tcPr>
            <w:tcW w:w="1146" w:type="dxa"/>
            <w:tcBorders>
              <w:top w:val="single" w:sz="4" w:space="0" w:color="auto"/>
              <w:bottom w:val="single" w:sz="12" w:space="0" w:color="auto"/>
            </w:tcBorders>
            <w:shd w:val="clear" w:color="auto" w:fill="auto"/>
            <w:vAlign w:val="bottom"/>
          </w:tcPr>
          <w:p w14:paraId="1FE28DB3" w14:textId="77777777" w:rsidR="00FA139B" w:rsidRPr="00182953" w:rsidRDefault="00FA139B" w:rsidP="00182953">
            <w:pPr>
              <w:pStyle w:val="SingleTxtG"/>
              <w:spacing w:before="80" w:after="80" w:line="220" w:lineRule="exact"/>
              <w:ind w:left="113" w:right="0"/>
              <w:jc w:val="right"/>
              <w:rPr>
                <w:b/>
                <w:sz w:val="18"/>
              </w:rPr>
            </w:pPr>
            <w:r w:rsidRPr="00182953">
              <w:rPr>
                <w:b/>
                <w:sz w:val="18"/>
              </w:rPr>
              <w:t>1</w:t>
            </w:r>
            <w:r w:rsidR="00182953">
              <w:rPr>
                <w:b/>
                <w:sz w:val="18"/>
              </w:rPr>
              <w:t xml:space="preserve"> </w:t>
            </w:r>
            <w:r w:rsidRPr="00182953">
              <w:rPr>
                <w:b/>
                <w:sz w:val="18"/>
              </w:rPr>
              <w:t>138</w:t>
            </w:r>
          </w:p>
        </w:tc>
      </w:tr>
    </w:tbl>
    <w:p w14:paraId="57140A1C" w14:textId="77777777" w:rsidR="00FA139B" w:rsidRPr="00FA139B" w:rsidRDefault="00FA139B" w:rsidP="00354666">
      <w:pPr>
        <w:pStyle w:val="H1G"/>
      </w:pPr>
      <w:r w:rsidRPr="00FA139B">
        <w:tab/>
      </w:r>
      <w:r w:rsidRPr="00FA139B">
        <w:tab/>
        <w:t>Recomendación núm. 26 c)</w:t>
      </w:r>
    </w:p>
    <w:p w14:paraId="36D4A997" w14:textId="77777777" w:rsidR="00FA139B" w:rsidRPr="00FA139B" w:rsidRDefault="00FA139B" w:rsidP="00FA139B">
      <w:pPr>
        <w:pStyle w:val="SingleTxtG"/>
      </w:pPr>
      <w:r w:rsidRPr="00FA139B">
        <w:t>85.</w:t>
      </w:r>
      <w:r w:rsidRPr="00FA139B">
        <w:tab/>
        <w:t xml:space="preserve">El artículo 29 de la Ley núm. 6/2010 del Trabajo en el Sector Privado dispone lo siguiente: </w:t>
      </w:r>
      <w:r w:rsidR="006E23E2">
        <w:t>“</w:t>
      </w:r>
      <w:r w:rsidRPr="00FA139B">
        <w:t>Los contratos se redactarán en lengua árabe y se les podrá adjuntar traducción a otra lengua. En caso de discrepancia, prevalecerá el texto árabe</w:t>
      </w:r>
      <w:r w:rsidR="006E23E2">
        <w:t>”</w:t>
      </w:r>
      <w:r w:rsidRPr="00FA139B">
        <w:t>.</w:t>
      </w:r>
    </w:p>
    <w:p w14:paraId="177AE265" w14:textId="77777777" w:rsidR="00FA139B" w:rsidRPr="00FA139B" w:rsidRDefault="00FA139B" w:rsidP="00FA139B">
      <w:pPr>
        <w:pStyle w:val="SingleTxtG"/>
      </w:pPr>
      <w:r w:rsidRPr="00FA139B">
        <w:t>86.</w:t>
      </w:r>
      <w:r w:rsidRPr="00FA139B">
        <w:tab/>
        <w:t>En relación con el trabajador doméstico conviene señalar que la Autoridad de la Mano de Obra solicitó al Ministerio de Relaciones Exteriores que remitiera instrucciones a las misiones diplomáticas kuwaitíes en los Estados de origen de esos trabajadores para que los informaran de las condiciones del contrato de trabajo al personarse en la misión de Kuwait para recibir su visado de entrada, es decir, antes de que firmaran ese contrato. El objetivo de esa iniciativa era que el trabajador doméstico estuviera perfectamente informado de sus derechos y deberes y de las condiciones del trabajo.</w:t>
      </w:r>
    </w:p>
    <w:p w14:paraId="604BFCAE" w14:textId="77777777" w:rsidR="00FA139B" w:rsidRPr="00FA139B" w:rsidRDefault="00FA139B" w:rsidP="00354666">
      <w:pPr>
        <w:pStyle w:val="H1G"/>
      </w:pPr>
      <w:r w:rsidRPr="00FA139B">
        <w:tab/>
      </w:r>
      <w:r w:rsidRPr="00FA139B">
        <w:tab/>
        <w:t>Recomendación núm. 28 a)</w:t>
      </w:r>
    </w:p>
    <w:p w14:paraId="5E297DB2" w14:textId="77777777" w:rsidR="00FA139B" w:rsidRPr="00FA139B" w:rsidRDefault="00FA139B" w:rsidP="00FA139B">
      <w:pPr>
        <w:pStyle w:val="SingleTxtG"/>
      </w:pPr>
      <w:r w:rsidRPr="00FA139B">
        <w:t>87.</w:t>
      </w:r>
      <w:r w:rsidRPr="00FA139B">
        <w:tab/>
        <w:t xml:space="preserve">El Estado subraya que la concesión de la nacionalidad es una prerrogativa soberana que evalúa a la vista de sus intereses supremos. Esa facultad se sujeta a las normas y condiciones señaladas en la Ley de Nacionalidad Kuwaití núm. 15/1959 y sus modificaciones, en las que se determinan los supuestos de naturalización. El Organismo </w:t>
      </w:r>
      <w:r w:rsidRPr="00FA139B">
        <w:lastRenderedPageBreak/>
        <w:t>Central designa a quienes cumplen los requisitos para adquirir la nacionalidad kuwaití con arreglo a la Ley de Nacionalidad y la hoja de ruta aprobada por el Consejo de Ministros.</w:t>
      </w:r>
    </w:p>
    <w:p w14:paraId="78C7F160" w14:textId="77777777" w:rsidR="00FA139B" w:rsidRPr="00FA139B" w:rsidRDefault="00FA139B" w:rsidP="00FA139B">
      <w:pPr>
        <w:pStyle w:val="SingleTxtG"/>
      </w:pPr>
      <w:r w:rsidRPr="00FA139B">
        <w:t>88.</w:t>
      </w:r>
      <w:r w:rsidRPr="00FA139B">
        <w:tab/>
        <w:t>Entre 1992 y finales de 2018 se naturalizaron unos 17.285 residentes en situación irregular.</w:t>
      </w:r>
    </w:p>
    <w:p w14:paraId="2983D64E" w14:textId="77777777" w:rsidR="00FA139B" w:rsidRPr="00FA139B" w:rsidRDefault="00FA139B" w:rsidP="00354666">
      <w:pPr>
        <w:pStyle w:val="H1G"/>
      </w:pPr>
      <w:r w:rsidRPr="00FA139B">
        <w:tab/>
      </w:r>
      <w:r w:rsidRPr="00FA139B">
        <w:tab/>
        <w:t>Recomendación núm. 28 b)</w:t>
      </w:r>
    </w:p>
    <w:p w14:paraId="41C12D80" w14:textId="77777777" w:rsidR="00FA139B" w:rsidRPr="00FA139B" w:rsidRDefault="00FA139B" w:rsidP="00FA139B">
      <w:pPr>
        <w:pStyle w:val="SingleTxtG"/>
        <w:rPr>
          <w:b/>
          <w:bCs/>
          <w:u w:val="single"/>
        </w:rPr>
      </w:pPr>
      <w:r w:rsidRPr="00FA139B">
        <w:t>89.</w:t>
      </w:r>
      <w:r w:rsidRPr="00FA139B">
        <w:tab/>
        <w:t xml:space="preserve">Para el Estado, la obtención de todo tipo de documentación civil es un derecho inalienable de todos los presentes en su territorio. Los residentes en situación irregular obtienen su documentación oficial gracias a la colaboración entre el Organismo Central, el Ministerio de Justicia y el Ministerio de Salud. </w:t>
      </w:r>
    </w:p>
    <w:p w14:paraId="2AFB6610" w14:textId="77777777" w:rsidR="00FA139B" w:rsidRPr="00FA139B" w:rsidRDefault="00FA139B" w:rsidP="00FA139B">
      <w:pPr>
        <w:pStyle w:val="SingleTxtG"/>
      </w:pPr>
      <w:r w:rsidRPr="00FA139B">
        <w:t>90.</w:t>
      </w:r>
      <w:r w:rsidRPr="00FA139B">
        <w:tab/>
        <w:t xml:space="preserve">La Ley núm. 36/1969 del Registro de Nacimientos y Defunciones regula la expedición de esos certificados. Para facilitar su obtención a los residentes en situación irregular, el Gobierno de Kuwait ha dispuesto, por ejemplo, que en aplicación de la Resolución del Consejo de Ministros núm. 409/2011 se haga constar </w:t>
      </w:r>
      <w:r w:rsidR="006E23E2">
        <w:t>“</w:t>
      </w:r>
      <w:r w:rsidRPr="00FA139B">
        <w:t>no kuwaití</w:t>
      </w:r>
      <w:r w:rsidR="006E23E2">
        <w:t>”</w:t>
      </w:r>
      <w:r w:rsidRPr="00FA139B">
        <w:t xml:space="preserve"> en la casilla de la nacionalidad que figura en tales documentos, en lugar de la nacionalidad de origen del solicitante. Gracias a ello se ha incrementado el número de certificaciones expedidas a los residentes en situación irregular.</w:t>
      </w:r>
    </w:p>
    <w:p w14:paraId="09873022" w14:textId="77777777" w:rsidR="00FA139B" w:rsidRPr="00FA139B" w:rsidRDefault="00FA139B" w:rsidP="00354666">
      <w:pPr>
        <w:pStyle w:val="H23G"/>
      </w:pPr>
      <w:r w:rsidRPr="00FA139B">
        <w:tab/>
        <w:t>1)</w:t>
      </w:r>
      <w:r w:rsidRPr="00FA139B">
        <w:tab/>
        <w:t>Obtención de documentos oficiales</w:t>
      </w:r>
    </w:p>
    <w:p w14:paraId="224E444C" w14:textId="77777777" w:rsidR="00FA139B" w:rsidRPr="00FA139B" w:rsidRDefault="00FA139B" w:rsidP="00FA139B">
      <w:pPr>
        <w:pStyle w:val="SingleTxtG"/>
        <w:rPr>
          <w:b/>
          <w:bCs/>
          <w:u w:val="single"/>
        </w:rPr>
      </w:pPr>
      <w:r w:rsidRPr="00FA139B">
        <w:t>91.</w:t>
      </w:r>
      <w:r w:rsidRPr="00FA139B">
        <w:tab/>
        <w:t>La obtención de certificaciones civiles de todo tipo es un derecho universal reconocido por el Estado a todas las personas presentes en su territorio. Esas certificaciones aseguran la protección del Estado a la familia. Los residentes en situación irregular obtienen su documentación oficial con la colaboración del Organismo Central, el Ministerio de Justicia y el Ministerio de Salud.</w:t>
      </w:r>
    </w:p>
    <w:p w14:paraId="2F9ED713" w14:textId="77777777" w:rsidR="00FA139B" w:rsidRPr="00FA139B" w:rsidRDefault="00FA139B" w:rsidP="00354666">
      <w:pPr>
        <w:pStyle w:val="H23G"/>
      </w:pPr>
      <w:r w:rsidRPr="00FA139B">
        <w:tab/>
        <w:t>2)</w:t>
      </w:r>
      <w:r w:rsidRPr="00FA139B">
        <w:tab/>
        <w:t>Oportunidades laborales en los sectores público y privado</w:t>
      </w:r>
    </w:p>
    <w:p w14:paraId="7BADC7F8" w14:textId="77777777" w:rsidR="00FA139B" w:rsidRPr="00FA139B" w:rsidRDefault="00FA139B" w:rsidP="00FA139B">
      <w:pPr>
        <w:pStyle w:val="SingleTxtG"/>
      </w:pPr>
      <w:r w:rsidRPr="00FA139B">
        <w:t>92.</w:t>
      </w:r>
      <w:r w:rsidRPr="00FA139B">
        <w:tab/>
        <w:t>El Organismo Central, en coordinación con las instancias concernidas en el Estado, proporciona empleo a los residentes en situación irregular de uno y otro sexo en los sectores privado y público con arreglo a las vacantes existentes y de conformidad con las normas y los requisitos aprobados por el Organismo.</w:t>
      </w:r>
    </w:p>
    <w:p w14:paraId="54DD6DA7" w14:textId="77777777" w:rsidR="00FA139B" w:rsidRPr="00FA139B" w:rsidRDefault="00FA139B" w:rsidP="00FA139B">
      <w:pPr>
        <w:pStyle w:val="SingleTxtG"/>
      </w:pPr>
      <w:r w:rsidRPr="00FA139B">
        <w:t>93.</w:t>
      </w:r>
      <w:r w:rsidRPr="00FA139B">
        <w:tab/>
        <w:t>En 2018, un total de 324 residentes en situación irregular fueron empleados en instancias gubernamentales y 376 en cooperativas. También se ha permitido a los hijos de la mujer kuwaití y el residente en situación irregular el ingreso en el ejército kuwaití. En los seis años anteriores a la elaboración de este informe, 2.280 de ellos ingresaron en el ejército.</w:t>
      </w:r>
    </w:p>
    <w:p w14:paraId="4DC4838C" w14:textId="77777777" w:rsidR="00FA139B" w:rsidRPr="00FA139B" w:rsidRDefault="00FA139B" w:rsidP="00354666">
      <w:pPr>
        <w:pStyle w:val="H1G"/>
      </w:pPr>
      <w:r w:rsidRPr="00FA139B">
        <w:tab/>
      </w:r>
      <w:r w:rsidRPr="00FA139B">
        <w:tab/>
        <w:t>Recomendación núm. 28 c)</w:t>
      </w:r>
    </w:p>
    <w:p w14:paraId="06F77093" w14:textId="77777777" w:rsidR="00FA139B" w:rsidRPr="00FA139B" w:rsidRDefault="00FA139B" w:rsidP="00FA139B">
      <w:pPr>
        <w:pStyle w:val="SingleTxtG"/>
      </w:pPr>
      <w:r w:rsidRPr="00FA139B">
        <w:t>94.</w:t>
      </w:r>
      <w:r w:rsidRPr="00FA139B">
        <w:tab/>
        <w:t>Los visados de entrada para trabajo, estudios o reagrupación con el alimentante autorizan la residencia ordinaria en el país durante el tiempo previsto en cada caso. La Ley de Extranjería y su reglamento ejecutivo determinan las condiciones para la obtención del permiso de residencia.</w:t>
      </w:r>
    </w:p>
    <w:p w14:paraId="5DA65B4B" w14:textId="77777777" w:rsidR="00FA139B" w:rsidRPr="00FA139B" w:rsidRDefault="00FA139B" w:rsidP="00FA139B">
      <w:pPr>
        <w:pStyle w:val="SingleTxtG"/>
      </w:pPr>
      <w:r w:rsidRPr="00FA139B">
        <w:t>95.</w:t>
      </w:r>
      <w:r w:rsidRPr="00FA139B">
        <w:tab/>
        <w:t xml:space="preserve">Los visados de visita autorizan a residir en el país durante el tiempo previsto en cada caso. Transcurrido el tiempo de vigencia del visado y en aplicación de lo dispuesto en el artículo 14 de la </w:t>
      </w:r>
      <w:r w:rsidR="00817E48">
        <w:t>L</w:t>
      </w:r>
      <w:r w:rsidRPr="00FA139B">
        <w:t xml:space="preserve">ey citada, el Estado podrá otorgar un permiso de residencia temporal al visitante que no pueda abandonar el país por problemas de seguridad o porque su estado de salud exija que permanezca en Kuwait para recibir tratamiento médico. </w:t>
      </w:r>
    </w:p>
    <w:p w14:paraId="5209264F" w14:textId="77777777" w:rsidR="00FA139B" w:rsidRPr="00FA139B" w:rsidRDefault="00FA139B" w:rsidP="00354666">
      <w:pPr>
        <w:pStyle w:val="H1G"/>
      </w:pPr>
      <w:r w:rsidRPr="00FA139B">
        <w:tab/>
      </w:r>
      <w:r w:rsidRPr="00FA139B">
        <w:tab/>
        <w:t>Recomendación núm. 28 d)</w:t>
      </w:r>
    </w:p>
    <w:p w14:paraId="440F8B47" w14:textId="77777777" w:rsidR="00FA139B" w:rsidRPr="00FA139B" w:rsidRDefault="00FA139B" w:rsidP="00FA139B">
      <w:pPr>
        <w:pStyle w:val="SingleTxtG"/>
      </w:pPr>
      <w:r w:rsidRPr="00FA139B">
        <w:t>96.</w:t>
      </w:r>
      <w:r w:rsidRPr="00FA139B">
        <w:tab/>
        <w:t xml:space="preserve">El Consejo de Ministros de Kuwait aprobó mediante el Decreto núm. 1612/2010 el estudio sobre los residentes en situación irregular realizado ese año por el Consejo Superior de Planificación y Desarrollo y en el que figuraba una hoja de ruta con plazos </w:t>
      </w:r>
      <w:r w:rsidRPr="00FA139B">
        <w:lastRenderedPageBreak/>
        <w:t>determinados. A raíz de ello, el 9 de noviembre de 2010 se promulgó el Decreto por el que se establece el Organismo Central para la Regularización de los Residentes en Situación Irregular, institución responsable de la ejecución de esa hoja de ruta junto con las instancias concernidas en el Estado. El Organismo se ha afanado sin cesar en atender a esas personas y facilitar su situación, así como ha propuesto al Consejo de Ministros diversas iniciativas encaminadas a que se les sigan proporcionando prestaciones humanitarias y civiles.</w:t>
      </w:r>
    </w:p>
    <w:p w14:paraId="235EEFD2" w14:textId="77777777" w:rsidR="00FA139B" w:rsidRPr="00FA139B" w:rsidRDefault="00FA139B" w:rsidP="00FA139B">
      <w:pPr>
        <w:pStyle w:val="SingleTxtG"/>
      </w:pPr>
      <w:r w:rsidRPr="00FA139B">
        <w:t>97.</w:t>
      </w:r>
      <w:r w:rsidRPr="00FA139B">
        <w:tab/>
        <w:t xml:space="preserve">La iniciativa anterior no implica que los residentes en situación irregular carecieran de atención humanitaria antes de la constitución del Organismo Central. El Estado satisfacía entonces, y lo hace ahora, todas las necesidades humanitarias de esos residentes. </w:t>
      </w:r>
    </w:p>
    <w:p w14:paraId="0C231AA4" w14:textId="77777777" w:rsidR="00FA139B" w:rsidRPr="00FA139B" w:rsidRDefault="00FA139B" w:rsidP="00FA139B">
      <w:pPr>
        <w:pStyle w:val="SingleTxtG"/>
      </w:pPr>
      <w:r w:rsidRPr="00FA139B">
        <w:t>98.</w:t>
      </w:r>
      <w:r w:rsidRPr="00FA139B">
        <w:tab/>
        <w:t>A finales de 2018 había en el Estado 85.000 residentes en situación irregular. La tarjeta de usuario de servicios permite a esas personas disfrutar de las prestaciones del Organismo que se describen a continuación.</w:t>
      </w:r>
    </w:p>
    <w:p w14:paraId="39C1C6C4" w14:textId="77777777" w:rsidR="00FA139B" w:rsidRPr="00FA139B" w:rsidRDefault="00FA139B" w:rsidP="00354666">
      <w:pPr>
        <w:pStyle w:val="H23G"/>
      </w:pPr>
      <w:r w:rsidRPr="00FA139B">
        <w:tab/>
        <w:t>1)</w:t>
      </w:r>
      <w:r w:rsidRPr="00FA139B">
        <w:tab/>
        <w:t xml:space="preserve">Educación gratuita </w:t>
      </w:r>
    </w:p>
    <w:p w14:paraId="59F32817" w14:textId="77777777" w:rsidR="00FA139B" w:rsidRPr="00FA139B" w:rsidRDefault="00FA139B" w:rsidP="00FA139B">
      <w:pPr>
        <w:pStyle w:val="SingleTxtG"/>
      </w:pPr>
      <w:r w:rsidRPr="00FA139B">
        <w:t>99.</w:t>
      </w:r>
      <w:r w:rsidRPr="00FA139B">
        <w:tab/>
        <w:t>Los residentes en situación irregular disfrutan sin coste alguno de servicios educativos. Los descendientes en primer y segundo grado de las mujeres kuwaitíes, los militares y el personal del Ministerio de Educación pueden cursar estudios en los centros educativos públicos. En el curso académico 2018</w:t>
      </w:r>
      <w:r w:rsidR="00862B24">
        <w:t>/</w:t>
      </w:r>
      <w:r w:rsidRPr="00FA139B">
        <w:t xml:space="preserve">19 había 13.682 de esos alumnos en el sistema público de enseñanza, lo que comprende la educación general en todas sus etapas, la educación de adultos, la educación religiosa y la educación especial (la destinada a personas con necesidades especiales). </w:t>
      </w:r>
    </w:p>
    <w:p w14:paraId="6055E0DB" w14:textId="77777777" w:rsidR="00FA139B" w:rsidRPr="00FA139B" w:rsidRDefault="00FA139B" w:rsidP="00FA139B">
      <w:pPr>
        <w:pStyle w:val="SingleTxtG"/>
      </w:pPr>
      <w:r w:rsidRPr="00FA139B">
        <w:t>100.</w:t>
      </w:r>
      <w:r w:rsidRPr="00FA139B">
        <w:tab/>
        <w:t>El Fondo Benéfico para la Educación del Estado de Kuwait cubre todos los gastos académicos en todas las etapas del sistema de enseñanza. En el curso académico 2018</w:t>
      </w:r>
      <w:r w:rsidR="00862B24">
        <w:t>/</w:t>
      </w:r>
      <w:r w:rsidRPr="00FA139B">
        <w:t xml:space="preserve">19, en torno a 15.448 alumnos se beneficiaron de los servicios del Fondo Benéfico, lo que supuso un costo total de 5.478.115 dinares kuwaitíes. </w:t>
      </w:r>
    </w:p>
    <w:p w14:paraId="59A01DFB" w14:textId="77777777" w:rsidR="00FA139B" w:rsidRPr="00FA139B" w:rsidRDefault="00FA139B" w:rsidP="00354666">
      <w:pPr>
        <w:pStyle w:val="H23G"/>
      </w:pPr>
      <w:r w:rsidRPr="00FA139B">
        <w:tab/>
        <w:t>2)</w:t>
      </w:r>
      <w:r w:rsidRPr="00FA139B">
        <w:tab/>
        <w:t xml:space="preserve">Estudios universitarios </w:t>
      </w:r>
    </w:p>
    <w:p w14:paraId="6EAAF9A7" w14:textId="77777777" w:rsidR="00FA139B" w:rsidRPr="00FA139B" w:rsidRDefault="00FA139B" w:rsidP="00FA139B">
      <w:pPr>
        <w:pStyle w:val="SingleTxtG"/>
        <w:rPr>
          <w:b/>
          <w:bCs/>
          <w:u w:val="single"/>
        </w:rPr>
      </w:pPr>
      <w:r w:rsidRPr="00FA139B">
        <w:t>101.</w:t>
      </w:r>
      <w:r w:rsidRPr="00FA139B">
        <w:tab/>
        <w:t>El Estado brinda a los residentes en situación irregular la posibilidad de completar con formación universitaria sus estudios de enseñanza primaria y secundaria. Su Alteza el Emir, que Dios guarde, cursó instrucciones del más alto nivel a fin de que todos los hijos de los residentes en situación irregular que presentaran un alto rendimiento académico fueran admitidos para cursar estudios universitarios.</w:t>
      </w:r>
    </w:p>
    <w:p w14:paraId="303862D8" w14:textId="77777777" w:rsidR="00FA139B" w:rsidRPr="00FA139B" w:rsidRDefault="00FA139B" w:rsidP="00FA139B">
      <w:pPr>
        <w:pStyle w:val="SingleTxtG"/>
        <w:rPr>
          <w:b/>
          <w:bCs/>
          <w:u w:val="single"/>
        </w:rPr>
      </w:pPr>
      <w:r w:rsidRPr="00FA139B">
        <w:t>102.</w:t>
      </w:r>
      <w:r w:rsidRPr="00FA139B">
        <w:tab/>
        <w:t>Según las estadísticas más recientes, en el curso académico 2018</w:t>
      </w:r>
      <w:r w:rsidR="00862B24">
        <w:t>/</w:t>
      </w:r>
      <w:r w:rsidRPr="00FA139B">
        <w:t>19 había 1.265 residentes en situación irregular de uno y otro sexo matriculados en la Universidad de Kuwait.</w:t>
      </w:r>
    </w:p>
    <w:p w14:paraId="7E34D6F3" w14:textId="77777777" w:rsidR="00FA139B" w:rsidRPr="00FA139B" w:rsidRDefault="00FA139B" w:rsidP="00FA139B">
      <w:pPr>
        <w:pStyle w:val="SingleTxtG"/>
        <w:rPr>
          <w:b/>
          <w:bCs/>
          <w:u w:val="single"/>
        </w:rPr>
      </w:pPr>
      <w:r w:rsidRPr="00FA139B">
        <w:t>103.</w:t>
      </w:r>
      <w:r w:rsidRPr="00FA139B">
        <w:tab/>
        <w:t>Ese curso, en la Autoridad de la Educación Aplicada y la Formación Profesional había 1.995 residentes en situación irregular matriculados y 588 admitidos, y egresaron</w:t>
      </w:r>
      <w:r w:rsidR="00354666">
        <w:t> </w:t>
      </w:r>
      <w:r w:rsidRPr="00FA139B">
        <w:t xml:space="preserve">246. </w:t>
      </w:r>
    </w:p>
    <w:p w14:paraId="4C272A5A" w14:textId="77777777" w:rsidR="00FA139B" w:rsidRPr="00FA139B" w:rsidRDefault="00FA139B" w:rsidP="00FA139B">
      <w:pPr>
        <w:pStyle w:val="SingleTxtG"/>
        <w:rPr>
          <w:b/>
          <w:bCs/>
          <w:u w:val="single"/>
        </w:rPr>
      </w:pPr>
      <w:r w:rsidRPr="00FA139B">
        <w:t>104.</w:t>
      </w:r>
      <w:r w:rsidRPr="00FA139B">
        <w:tab/>
        <w:t xml:space="preserve">Además, 408 residentes en situación irregular de uno y otro sexo fueron admitidos en las universidades privadas, por lo que el número de esos alumnos matriculados en esos establecimientos ascendió a 1.168. </w:t>
      </w:r>
    </w:p>
    <w:p w14:paraId="1590A520" w14:textId="77777777" w:rsidR="00FA139B" w:rsidRPr="00FA139B" w:rsidRDefault="00FA139B" w:rsidP="00FA139B">
      <w:pPr>
        <w:pStyle w:val="SingleTxtG"/>
        <w:rPr>
          <w:b/>
          <w:bCs/>
          <w:u w:val="single"/>
        </w:rPr>
      </w:pPr>
      <w:r w:rsidRPr="00FA139B">
        <w:t>105.</w:t>
      </w:r>
      <w:r w:rsidRPr="00FA139B">
        <w:tab/>
        <w:t xml:space="preserve">En el Ministerio de Educación Superior había matriculados en estudios de grado y de máster 141 residentes en situación irregular de uno y otro sexo. </w:t>
      </w:r>
    </w:p>
    <w:p w14:paraId="691B7BB6" w14:textId="77777777" w:rsidR="00FA139B" w:rsidRPr="00FA139B" w:rsidRDefault="00354666" w:rsidP="00354666">
      <w:pPr>
        <w:pStyle w:val="H23G"/>
      </w:pPr>
      <w:r>
        <w:tab/>
      </w:r>
      <w:r w:rsidR="00FA139B" w:rsidRPr="00FA139B">
        <w:t>3)</w:t>
      </w:r>
      <w:r w:rsidR="00FA139B" w:rsidRPr="00FA139B">
        <w:tab/>
        <w:t xml:space="preserve">Obtención del permiso de conducción </w:t>
      </w:r>
    </w:p>
    <w:p w14:paraId="5E65F312" w14:textId="77777777" w:rsidR="00FA139B" w:rsidRPr="00FA139B" w:rsidRDefault="00FA139B" w:rsidP="00FA139B">
      <w:pPr>
        <w:pStyle w:val="SingleTxtG"/>
        <w:rPr>
          <w:b/>
          <w:bCs/>
        </w:rPr>
      </w:pPr>
      <w:r w:rsidRPr="00FA139B">
        <w:t>106.</w:t>
      </w:r>
      <w:r w:rsidRPr="00FA139B">
        <w:tab/>
        <w:t xml:space="preserve">Los requisitos para la obtención del permiso de conducción figuran en el artículo 85 del Reglamento Ejecutivo de la Ley de Tráfico (Decreto Ministerial núm. 1729/2005), reformado mediante el Decreto núm. 393/2013. Los residentes ilegales y los titulares de una tarjeta de usuario de servicios en vigor expedida por el Organismo Central están exentos del cumplimiento de esos requisitos y pueden obtener el permiso de conducción sin problema alguno ni distinción de sexo una vez cumplidos 18 años y superados los exámenes orales y prácticos correspondientes. </w:t>
      </w:r>
    </w:p>
    <w:p w14:paraId="082AE058" w14:textId="77777777" w:rsidR="00FA139B" w:rsidRPr="00FA139B" w:rsidRDefault="00FA139B" w:rsidP="00FA139B">
      <w:pPr>
        <w:pStyle w:val="SingleTxtG"/>
        <w:rPr>
          <w:b/>
          <w:bCs/>
        </w:rPr>
      </w:pPr>
      <w:r w:rsidRPr="00FA139B">
        <w:t>107.</w:t>
      </w:r>
      <w:r w:rsidRPr="00FA139B">
        <w:tab/>
        <w:t xml:space="preserve">El Ministerio del Interior emitió y renovó 25.723 permisos de conducción en 2018 (1.861 nuevas emisiones y 23.862 renovaciones). </w:t>
      </w:r>
    </w:p>
    <w:p w14:paraId="6FED4B89" w14:textId="77777777" w:rsidR="00FA139B" w:rsidRPr="00FA139B" w:rsidRDefault="00FA139B" w:rsidP="00354666">
      <w:pPr>
        <w:pStyle w:val="H23G"/>
      </w:pPr>
      <w:r w:rsidRPr="00FA139B">
        <w:lastRenderedPageBreak/>
        <w:tab/>
        <w:t>4)</w:t>
      </w:r>
      <w:r w:rsidRPr="00FA139B">
        <w:tab/>
        <w:t>Oportunidades laborales en los sectores público y privado</w:t>
      </w:r>
    </w:p>
    <w:p w14:paraId="7D77B01E" w14:textId="77777777" w:rsidR="00FA139B" w:rsidRPr="00FA139B" w:rsidRDefault="00FA139B" w:rsidP="00FA139B">
      <w:pPr>
        <w:pStyle w:val="SingleTxtG"/>
        <w:rPr>
          <w:b/>
          <w:bCs/>
          <w:u w:val="single"/>
        </w:rPr>
      </w:pPr>
      <w:r w:rsidRPr="00FA139B">
        <w:t>108.</w:t>
      </w:r>
      <w:r w:rsidRPr="00FA139B">
        <w:tab/>
        <w:t xml:space="preserve">El Organismo Central, en coordinación con las instancias concernidas en el Estado, proporciona empleo a los residentes ilegales de uno y otro sexo en los sectores privado y público considerando los puestos vacantes y las normas y los requisitos adoptados por el Organismo. </w:t>
      </w:r>
    </w:p>
    <w:p w14:paraId="73AC57B8" w14:textId="77777777" w:rsidR="00FA139B" w:rsidRPr="00FA139B" w:rsidRDefault="00FA139B" w:rsidP="00FA139B">
      <w:pPr>
        <w:pStyle w:val="SingleTxtG"/>
        <w:rPr>
          <w:b/>
          <w:bCs/>
          <w:u w:val="single"/>
        </w:rPr>
      </w:pPr>
      <w:r w:rsidRPr="00FA139B">
        <w:t>109.</w:t>
      </w:r>
      <w:r w:rsidRPr="00FA139B">
        <w:tab/>
        <w:t xml:space="preserve">En 2018, un total de 324 residentes en situación irregular fueron empleados en instancias gubernamentales (lo que supone un total de 2.066) y 739 en cooperativas. También se ha permitido que los hijos de la mujer kuwaití y el residente en situación irregular ingresen en el ejército kuwaití. En los seis años anteriores a la elaboración de este informe, 2.981 de ellos ingresaron en el ejército. </w:t>
      </w:r>
    </w:p>
    <w:p w14:paraId="35AE328B" w14:textId="77777777" w:rsidR="00FA139B" w:rsidRPr="00FA139B" w:rsidRDefault="00FA139B" w:rsidP="00FA139B">
      <w:pPr>
        <w:pStyle w:val="SingleTxtG"/>
        <w:rPr>
          <w:b/>
          <w:bCs/>
          <w:u w:val="single"/>
        </w:rPr>
      </w:pPr>
      <w:r w:rsidRPr="00FA139B">
        <w:t>110.</w:t>
      </w:r>
      <w:r w:rsidRPr="00FA139B">
        <w:tab/>
        <w:t xml:space="preserve">Un total de 549 residentes ilegales han sido contratados en la Kuwait Petroleum Corporation y sus empresas filiales. </w:t>
      </w:r>
    </w:p>
    <w:p w14:paraId="76D5CC58" w14:textId="77777777" w:rsidR="00FA139B" w:rsidRPr="00FA139B" w:rsidRDefault="00FA139B" w:rsidP="00354666">
      <w:pPr>
        <w:pStyle w:val="H23G"/>
      </w:pPr>
      <w:r w:rsidRPr="00FA139B">
        <w:tab/>
        <w:t>5)</w:t>
      </w:r>
      <w:r w:rsidRPr="00FA139B">
        <w:tab/>
        <w:t xml:space="preserve">Servicios de abastecimiento subvencionado de productos básicos </w:t>
      </w:r>
    </w:p>
    <w:p w14:paraId="030D419C" w14:textId="77777777" w:rsidR="00FA139B" w:rsidRPr="00FA139B" w:rsidRDefault="00FA139B" w:rsidP="00FA139B">
      <w:pPr>
        <w:pStyle w:val="SingleTxtG"/>
      </w:pPr>
      <w:r w:rsidRPr="00FA139B">
        <w:t>111.</w:t>
      </w:r>
      <w:r w:rsidRPr="00FA139B">
        <w:tab/>
        <w:t xml:space="preserve">A los residentes en situación irregular se les proporciona una tarjeta de abastecimiento subvencionado de productos básicos con la que, a precios simbólicos y en igualdad de condiciones con los kuwaitíes, tienen acceso a arroz, lentejas, aceite, leche, pollo congelado y leche infantil, entre otros alimentos. En 2018, unos 85.000 de esos residentes se beneficiaron de este servicio, con un costo de 18 millones de dinares kuwaitíes. </w:t>
      </w:r>
    </w:p>
    <w:p w14:paraId="2E9AB80B" w14:textId="77777777" w:rsidR="00FA139B" w:rsidRPr="00FA139B" w:rsidRDefault="00FA139B" w:rsidP="00354666">
      <w:pPr>
        <w:pStyle w:val="H23G"/>
        <w:rPr>
          <w:u w:val="single"/>
        </w:rPr>
      </w:pPr>
      <w:r w:rsidRPr="00FA139B">
        <w:tab/>
        <w:t>6)</w:t>
      </w:r>
      <w:r w:rsidRPr="00FA139B">
        <w:tab/>
        <w:t xml:space="preserve">Tratamiento médico gratuito </w:t>
      </w:r>
    </w:p>
    <w:p w14:paraId="00934496" w14:textId="77777777" w:rsidR="00FA139B" w:rsidRPr="00FA139B" w:rsidRDefault="00FA139B" w:rsidP="00FA139B">
      <w:pPr>
        <w:pStyle w:val="SingleTxtG"/>
      </w:pPr>
      <w:r w:rsidRPr="00FA139B">
        <w:t>112.</w:t>
      </w:r>
      <w:r w:rsidRPr="00FA139B">
        <w:tab/>
        <w:t>A los residentes en situación irregular se les dispensa, al amparo de lo dispuesto en el Decreto Ministerial núm. 86/2011, el mismo trato que a los kuwaitíes en materia de tasas y tarifas por la atención sanitaria. El Gobierno de Kuwait les sufraga los tratamientos médicos en su totalidad. Una resolución conjunta del Organismo Central y el Ministerio de Salud exime a los titulares de la tarjeta de seguridad expedida por el Organismo Central, incluso si no están registrados como solicitantes de la tarjeta de seguro médico, del pago de tasas en todos los servicios de atención de la salud en condiciones de igualdad con los kuwaitíes.</w:t>
      </w:r>
    </w:p>
    <w:p w14:paraId="2CBAD6A8" w14:textId="77777777" w:rsidR="00FA139B" w:rsidRPr="00FA139B" w:rsidRDefault="00FA139B" w:rsidP="00354666">
      <w:pPr>
        <w:pStyle w:val="H23G"/>
      </w:pPr>
      <w:r w:rsidRPr="00FA139B">
        <w:tab/>
        <w:t>7)</w:t>
      </w:r>
      <w:r w:rsidRPr="00FA139B">
        <w:tab/>
        <w:t>Obtención de documentos oficiales</w:t>
      </w:r>
    </w:p>
    <w:p w14:paraId="16C9AC4C" w14:textId="77777777" w:rsidR="00FA139B" w:rsidRPr="00FA139B" w:rsidRDefault="00FA139B" w:rsidP="00FA139B">
      <w:pPr>
        <w:pStyle w:val="SingleTxtG"/>
      </w:pPr>
      <w:r w:rsidRPr="00FA139B">
        <w:t>113.</w:t>
      </w:r>
      <w:r w:rsidRPr="00FA139B">
        <w:tab/>
        <w:t xml:space="preserve">La obtención de certificaciones civiles de todo tipo es un derecho universal reconocido por el Estado a todas las personas presentes en su territorio. Esas certificaciones permiten al Estado asegurar la protección a la familia. Los residentes en situación irregular obtienen todo tipo de documentación oficial gracias a la colaboración entre el Organismo Central, el Ministerio de Justicia y el Ministerio de Salud. </w:t>
      </w:r>
    </w:p>
    <w:p w14:paraId="51E3A69A" w14:textId="77777777" w:rsidR="00FA139B" w:rsidRPr="00FA139B" w:rsidRDefault="00FA139B" w:rsidP="00FA139B">
      <w:pPr>
        <w:pStyle w:val="SingleTxtG"/>
        <w:rPr>
          <w:b/>
          <w:bCs/>
          <w:u w:val="single"/>
        </w:rPr>
      </w:pPr>
      <w:r w:rsidRPr="00FA139B">
        <w:rPr>
          <w:b/>
          <w:bCs/>
        </w:rPr>
        <w:t xml:space="preserve">En el cuadro siguiente figura información estadística sobre el número de documentos expedidos en 2018.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79"/>
        <w:gridCol w:w="3491"/>
      </w:tblGrid>
      <w:tr w:rsidR="00FA139B" w:rsidRPr="00D576CC" w14:paraId="072B07B5" w14:textId="77777777" w:rsidTr="00D576CC">
        <w:trPr>
          <w:trHeight w:val="240"/>
          <w:tblHeader/>
        </w:trPr>
        <w:tc>
          <w:tcPr>
            <w:tcW w:w="7370" w:type="dxa"/>
            <w:gridSpan w:val="2"/>
            <w:tcBorders>
              <w:top w:val="single" w:sz="4" w:space="0" w:color="auto"/>
              <w:bottom w:val="single" w:sz="12" w:space="0" w:color="auto"/>
            </w:tcBorders>
            <w:shd w:val="clear" w:color="auto" w:fill="auto"/>
            <w:vAlign w:val="bottom"/>
            <w:hideMark/>
          </w:tcPr>
          <w:p w14:paraId="257B52FA" w14:textId="77777777" w:rsidR="00FA139B" w:rsidRPr="00D576CC" w:rsidRDefault="00FA139B" w:rsidP="00354666">
            <w:pPr>
              <w:pStyle w:val="SingleTxtG"/>
              <w:spacing w:before="80" w:after="80" w:line="200" w:lineRule="exact"/>
              <w:ind w:left="0" w:right="0"/>
              <w:jc w:val="left"/>
              <w:rPr>
                <w:i/>
                <w:iCs/>
                <w:sz w:val="16"/>
              </w:rPr>
            </w:pPr>
            <w:r w:rsidRPr="00D576CC">
              <w:rPr>
                <w:i/>
                <w:sz w:val="16"/>
              </w:rPr>
              <w:t>2018</w:t>
            </w:r>
          </w:p>
        </w:tc>
      </w:tr>
      <w:tr w:rsidR="00FA139B" w:rsidRPr="00D576CC" w14:paraId="49B8859A" w14:textId="77777777" w:rsidTr="00D576CC">
        <w:trPr>
          <w:trHeight w:val="240"/>
        </w:trPr>
        <w:tc>
          <w:tcPr>
            <w:tcW w:w="3879" w:type="dxa"/>
            <w:tcBorders>
              <w:top w:val="single" w:sz="12" w:space="0" w:color="auto"/>
            </w:tcBorders>
            <w:shd w:val="clear" w:color="auto" w:fill="auto"/>
            <w:hideMark/>
          </w:tcPr>
          <w:p w14:paraId="18D357CA" w14:textId="77777777" w:rsidR="00FA139B" w:rsidRPr="00D576CC" w:rsidRDefault="00FA139B" w:rsidP="00D576CC">
            <w:pPr>
              <w:pStyle w:val="SingleTxtG"/>
              <w:spacing w:before="40" w:after="40" w:line="220" w:lineRule="exact"/>
              <w:ind w:left="0" w:right="0"/>
              <w:jc w:val="left"/>
              <w:rPr>
                <w:sz w:val="18"/>
              </w:rPr>
            </w:pPr>
            <w:r w:rsidRPr="00D576CC">
              <w:rPr>
                <w:sz w:val="18"/>
              </w:rPr>
              <w:t>Actas de matrimonio</w:t>
            </w:r>
          </w:p>
        </w:tc>
        <w:tc>
          <w:tcPr>
            <w:tcW w:w="3491" w:type="dxa"/>
            <w:tcBorders>
              <w:top w:val="single" w:sz="12" w:space="0" w:color="auto"/>
            </w:tcBorders>
            <w:shd w:val="clear" w:color="auto" w:fill="auto"/>
            <w:hideMark/>
          </w:tcPr>
          <w:p w14:paraId="7EDB9A39" w14:textId="77777777" w:rsidR="00FA139B" w:rsidRPr="00D576CC" w:rsidRDefault="00FA139B" w:rsidP="00D576CC">
            <w:pPr>
              <w:pStyle w:val="SingleTxtG"/>
              <w:spacing w:before="40" w:after="40" w:line="220" w:lineRule="exact"/>
              <w:ind w:left="0" w:right="0"/>
              <w:jc w:val="right"/>
              <w:rPr>
                <w:sz w:val="18"/>
              </w:rPr>
            </w:pPr>
            <w:r w:rsidRPr="00D576CC">
              <w:rPr>
                <w:sz w:val="18"/>
              </w:rPr>
              <w:t>1</w:t>
            </w:r>
            <w:r w:rsidR="00D576CC">
              <w:rPr>
                <w:sz w:val="18"/>
              </w:rPr>
              <w:t xml:space="preserve"> </w:t>
            </w:r>
            <w:r w:rsidRPr="00D576CC">
              <w:rPr>
                <w:sz w:val="18"/>
              </w:rPr>
              <w:t>027</w:t>
            </w:r>
          </w:p>
        </w:tc>
      </w:tr>
      <w:tr w:rsidR="00FA139B" w:rsidRPr="00D576CC" w14:paraId="35437590" w14:textId="77777777" w:rsidTr="00D576CC">
        <w:trPr>
          <w:trHeight w:val="240"/>
        </w:trPr>
        <w:tc>
          <w:tcPr>
            <w:tcW w:w="3879" w:type="dxa"/>
            <w:shd w:val="clear" w:color="auto" w:fill="auto"/>
            <w:hideMark/>
          </w:tcPr>
          <w:p w14:paraId="46EA3964" w14:textId="77777777" w:rsidR="00FA139B" w:rsidRPr="00D576CC" w:rsidRDefault="00FA139B" w:rsidP="00D576CC">
            <w:pPr>
              <w:pStyle w:val="SingleTxtG"/>
              <w:spacing w:before="40" w:after="40" w:line="220" w:lineRule="exact"/>
              <w:ind w:left="0" w:right="0"/>
              <w:jc w:val="left"/>
              <w:rPr>
                <w:sz w:val="18"/>
              </w:rPr>
            </w:pPr>
            <w:r w:rsidRPr="00D576CC">
              <w:rPr>
                <w:sz w:val="18"/>
              </w:rPr>
              <w:t xml:space="preserve">Certificaciones de divorcio o repudio </w:t>
            </w:r>
          </w:p>
        </w:tc>
        <w:tc>
          <w:tcPr>
            <w:tcW w:w="3491" w:type="dxa"/>
            <w:shd w:val="clear" w:color="auto" w:fill="auto"/>
            <w:hideMark/>
          </w:tcPr>
          <w:p w14:paraId="22A88001" w14:textId="77777777" w:rsidR="00FA139B" w:rsidRPr="00D576CC" w:rsidRDefault="00FA139B" w:rsidP="00D576CC">
            <w:pPr>
              <w:pStyle w:val="SingleTxtG"/>
              <w:spacing w:before="40" w:after="40" w:line="220" w:lineRule="exact"/>
              <w:ind w:left="0" w:right="0"/>
              <w:jc w:val="right"/>
              <w:rPr>
                <w:sz w:val="18"/>
              </w:rPr>
            </w:pPr>
            <w:r w:rsidRPr="00D576CC">
              <w:rPr>
                <w:sz w:val="18"/>
              </w:rPr>
              <w:t>477</w:t>
            </w:r>
          </w:p>
        </w:tc>
      </w:tr>
      <w:tr w:rsidR="00FA139B" w:rsidRPr="00D576CC" w14:paraId="632EDFE5" w14:textId="77777777" w:rsidTr="00D576CC">
        <w:trPr>
          <w:trHeight w:val="240"/>
        </w:trPr>
        <w:tc>
          <w:tcPr>
            <w:tcW w:w="3879" w:type="dxa"/>
            <w:shd w:val="clear" w:color="auto" w:fill="auto"/>
            <w:hideMark/>
          </w:tcPr>
          <w:p w14:paraId="7801EEEC" w14:textId="77777777" w:rsidR="00FA139B" w:rsidRPr="00D576CC" w:rsidRDefault="00FA139B" w:rsidP="00D576CC">
            <w:pPr>
              <w:pStyle w:val="SingleTxtG"/>
              <w:spacing w:before="40" w:after="40" w:line="220" w:lineRule="exact"/>
              <w:ind w:left="0" w:right="0"/>
              <w:jc w:val="left"/>
              <w:rPr>
                <w:sz w:val="18"/>
              </w:rPr>
            </w:pPr>
            <w:r w:rsidRPr="00D576CC">
              <w:rPr>
                <w:sz w:val="18"/>
              </w:rPr>
              <w:t xml:space="preserve">Actas de reintegración matrimonial </w:t>
            </w:r>
          </w:p>
        </w:tc>
        <w:tc>
          <w:tcPr>
            <w:tcW w:w="3491" w:type="dxa"/>
            <w:shd w:val="clear" w:color="auto" w:fill="auto"/>
            <w:hideMark/>
          </w:tcPr>
          <w:p w14:paraId="7D37DD39" w14:textId="77777777" w:rsidR="00FA139B" w:rsidRPr="00D576CC" w:rsidRDefault="00FA139B" w:rsidP="00D576CC">
            <w:pPr>
              <w:pStyle w:val="SingleTxtG"/>
              <w:spacing w:before="40" w:after="40" w:line="220" w:lineRule="exact"/>
              <w:ind w:left="0" w:right="0"/>
              <w:jc w:val="right"/>
              <w:rPr>
                <w:sz w:val="18"/>
              </w:rPr>
            </w:pPr>
            <w:r w:rsidRPr="00D576CC">
              <w:rPr>
                <w:sz w:val="18"/>
              </w:rPr>
              <w:t>74</w:t>
            </w:r>
          </w:p>
        </w:tc>
      </w:tr>
      <w:tr w:rsidR="00FA139B" w:rsidRPr="00D576CC" w14:paraId="6EA8F17B" w14:textId="77777777" w:rsidTr="00D576CC">
        <w:trPr>
          <w:trHeight w:val="240"/>
        </w:trPr>
        <w:tc>
          <w:tcPr>
            <w:tcW w:w="3879" w:type="dxa"/>
            <w:shd w:val="clear" w:color="auto" w:fill="auto"/>
            <w:hideMark/>
          </w:tcPr>
          <w:p w14:paraId="18504EB4" w14:textId="77777777" w:rsidR="00FA139B" w:rsidRPr="00D576CC" w:rsidRDefault="00FA139B" w:rsidP="00D576CC">
            <w:pPr>
              <w:pStyle w:val="SingleTxtG"/>
              <w:spacing w:before="40" w:after="40" w:line="220" w:lineRule="exact"/>
              <w:ind w:left="0" w:right="0"/>
              <w:jc w:val="left"/>
              <w:rPr>
                <w:sz w:val="18"/>
              </w:rPr>
            </w:pPr>
            <w:r w:rsidRPr="00D576CC">
              <w:rPr>
                <w:sz w:val="18"/>
              </w:rPr>
              <w:t>Certificaciones de nacimiento</w:t>
            </w:r>
          </w:p>
        </w:tc>
        <w:tc>
          <w:tcPr>
            <w:tcW w:w="3491" w:type="dxa"/>
            <w:shd w:val="clear" w:color="auto" w:fill="auto"/>
            <w:hideMark/>
          </w:tcPr>
          <w:p w14:paraId="5BE80231" w14:textId="77777777" w:rsidR="00FA139B" w:rsidRPr="00D576CC" w:rsidRDefault="00FA139B" w:rsidP="00D576CC">
            <w:pPr>
              <w:pStyle w:val="SingleTxtG"/>
              <w:spacing w:before="40" w:after="40" w:line="220" w:lineRule="exact"/>
              <w:ind w:left="0" w:right="0"/>
              <w:jc w:val="right"/>
              <w:rPr>
                <w:sz w:val="18"/>
              </w:rPr>
            </w:pPr>
            <w:r w:rsidRPr="00D576CC">
              <w:rPr>
                <w:sz w:val="18"/>
              </w:rPr>
              <w:t>1</w:t>
            </w:r>
            <w:r w:rsidR="00D576CC">
              <w:rPr>
                <w:sz w:val="18"/>
              </w:rPr>
              <w:t xml:space="preserve"> </w:t>
            </w:r>
            <w:r w:rsidRPr="00D576CC">
              <w:rPr>
                <w:sz w:val="18"/>
              </w:rPr>
              <w:t>948</w:t>
            </w:r>
          </w:p>
        </w:tc>
      </w:tr>
      <w:tr w:rsidR="00FA139B" w:rsidRPr="00D576CC" w14:paraId="60FE659E" w14:textId="77777777" w:rsidTr="00D576CC">
        <w:trPr>
          <w:trHeight w:val="240"/>
        </w:trPr>
        <w:tc>
          <w:tcPr>
            <w:tcW w:w="3879" w:type="dxa"/>
            <w:shd w:val="clear" w:color="auto" w:fill="auto"/>
            <w:hideMark/>
          </w:tcPr>
          <w:p w14:paraId="6244FA29" w14:textId="77777777" w:rsidR="00FA139B" w:rsidRPr="00D576CC" w:rsidRDefault="00FA139B" w:rsidP="00D576CC">
            <w:pPr>
              <w:pStyle w:val="SingleTxtG"/>
              <w:spacing w:before="40" w:after="40" w:line="220" w:lineRule="exact"/>
              <w:ind w:left="0" w:right="0"/>
              <w:jc w:val="left"/>
              <w:rPr>
                <w:sz w:val="18"/>
              </w:rPr>
            </w:pPr>
            <w:r w:rsidRPr="00D576CC">
              <w:rPr>
                <w:sz w:val="18"/>
              </w:rPr>
              <w:t xml:space="preserve">Certificados de defunción </w:t>
            </w:r>
          </w:p>
        </w:tc>
        <w:tc>
          <w:tcPr>
            <w:tcW w:w="3491" w:type="dxa"/>
            <w:shd w:val="clear" w:color="auto" w:fill="auto"/>
            <w:hideMark/>
          </w:tcPr>
          <w:p w14:paraId="0B3DE81D" w14:textId="77777777" w:rsidR="00FA139B" w:rsidRPr="00D576CC" w:rsidRDefault="00FA139B" w:rsidP="00D576CC">
            <w:pPr>
              <w:pStyle w:val="SingleTxtG"/>
              <w:spacing w:before="40" w:after="40" w:line="220" w:lineRule="exact"/>
              <w:ind w:left="0" w:right="0"/>
              <w:jc w:val="right"/>
              <w:rPr>
                <w:sz w:val="18"/>
              </w:rPr>
            </w:pPr>
            <w:r w:rsidRPr="00D576CC">
              <w:rPr>
                <w:sz w:val="18"/>
              </w:rPr>
              <w:t>214</w:t>
            </w:r>
          </w:p>
        </w:tc>
      </w:tr>
      <w:tr w:rsidR="00FA139B" w:rsidRPr="00D576CC" w14:paraId="564DD74F" w14:textId="77777777" w:rsidTr="00D576CC">
        <w:trPr>
          <w:trHeight w:val="240"/>
        </w:trPr>
        <w:tc>
          <w:tcPr>
            <w:tcW w:w="3879" w:type="dxa"/>
            <w:shd w:val="clear" w:color="auto" w:fill="auto"/>
            <w:hideMark/>
          </w:tcPr>
          <w:p w14:paraId="1A8D4A5F" w14:textId="77777777" w:rsidR="00FA139B" w:rsidRPr="00D576CC" w:rsidRDefault="00FA139B" w:rsidP="00D576CC">
            <w:pPr>
              <w:pStyle w:val="SingleTxtG"/>
              <w:spacing w:before="40" w:after="40" w:line="220" w:lineRule="exact"/>
              <w:ind w:left="0" w:right="0"/>
              <w:jc w:val="left"/>
              <w:rPr>
                <w:sz w:val="18"/>
              </w:rPr>
            </w:pPr>
            <w:r w:rsidRPr="00D576CC">
              <w:rPr>
                <w:sz w:val="18"/>
              </w:rPr>
              <w:t>Acta de herederos</w:t>
            </w:r>
            <w:r w:rsidRPr="00D576CC">
              <w:rPr>
                <w:iCs/>
                <w:sz w:val="18"/>
              </w:rPr>
              <w:t xml:space="preserve"> ab intestato</w:t>
            </w:r>
            <w:r w:rsidRPr="00D576CC">
              <w:rPr>
                <w:sz w:val="18"/>
              </w:rPr>
              <w:t xml:space="preserve"> </w:t>
            </w:r>
          </w:p>
        </w:tc>
        <w:tc>
          <w:tcPr>
            <w:tcW w:w="3491" w:type="dxa"/>
            <w:shd w:val="clear" w:color="auto" w:fill="auto"/>
            <w:hideMark/>
          </w:tcPr>
          <w:p w14:paraId="396AEE89" w14:textId="77777777" w:rsidR="00FA139B" w:rsidRPr="00D576CC" w:rsidRDefault="00FA139B" w:rsidP="00D576CC">
            <w:pPr>
              <w:pStyle w:val="SingleTxtG"/>
              <w:spacing w:before="40" w:after="40" w:line="220" w:lineRule="exact"/>
              <w:ind w:left="0" w:right="0"/>
              <w:jc w:val="right"/>
              <w:rPr>
                <w:sz w:val="18"/>
              </w:rPr>
            </w:pPr>
            <w:r w:rsidRPr="00D576CC">
              <w:rPr>
                <w:sz w:val="18"/>
              </w:rPr>
              <w:t>2</w:t>
            </w:r>
            <w:r w:rsidR="00D576CC">
              <w:rPr>
                <w:sz w:val="18"/>
              </w:rPr>
              <w:t xml:space="preserve"> </w:t>
            </w:r>
            <w:r w:rsidRPr="00D576CC">
              <w:rPr>
                <w:sz w:val="18"/>
              </w:rPr>
              <w:t>131</w:t>
            </w:r>
          </w:p>
        </w:tc>
      </w:tr>
      <w:tr w:rsidR="00FA139B" w:rsidRPr="00D576CC" w14:paraId="4E8710D6" w14:textId="77777777" w:rsidTr="00D576CC">
        <w:trPr>
          <w:trHeight w:val="240"/>
        </w:trPr>
        <w:tc>
          <w:tcPr>
            <w:tcW w:w="3879" w:type="dxa"/>
            <w:shd w:val="clear" w:color="auto" w:fill="auto"/>
            <w:hideMark/>
          </w:tcPr>
          <w:p w14:paraId="0349CDDD" w14:textId="77777777" w:rsidR="00FA139B" w:rsidRPr="00D576CC" w:rsidRDefault="00FA139B" w:rsidP="00D576CC">
            <w:pPr>
              <w:pStyle w:val="SingleTxtG"/>
              <w:spacing w:before="40" w:after="40" w:line="220" w:lineRule="exact"/>
              <w:ind w:left="0" w:right="0"/>
              <w:jc w:val="left"/>
              <w:rPr>
                <w:sz w:val="18"/>
              </w:rPr>
            </w:pPr>
            <w:r w:rsidRPr="00D576CC">
              <w:rPr>
                <w:sz w:val="18"/>
              </w:rPr>
              <w:t xml:space="preserve">Escrituras notariales </w:t>
            </w:r>
          </w:p>
        </w:tc>
        <w:tc>
          <w:tcPr>
            <w:tcW w:w="3491" w:type="dxa"/>
            <w:shd w:val="clear" w:color="auto" w:fill="auto"/>
            <w:hideMark/>
          </w:tcPr>
          <w:p w14:paraId="416B5ACC" w14:textId="77777777" w:rsidR="00FA139B" w:rsidRPr="00D576CC" w:rsidRDefault="00FA139B" w:rsidP="00D576CC">
            <w:pPr>
              <w:pStyle w:val="SingleTxtG"/>
              <w:spacing w:before="40" w:after="40" w:line="220" w:lineRule="exact"/>
              <w:ind w:left="0" w:right="0"/>
              <w:jc w:val="right"/>
              <w:rPr>
                <w:sz w:val="18"/>
              </w:rPr>
            </w:pPr>
            <w:r w:rsidRPr="00D576CC">
              <w:rPr>
                <w:sz w:val="18"/>
              </w:rPr>
              <w:t>1</w:t>
            </w:r>
            <w:r w:rsidR="00D576CC">
              <w:rPr>
                <w:sz w:val="18"/>
              </w:rPr>
              <w:t xml:space="preserve"> </w:t>
            </w:r>
            <w:r w:rsidRPr="00D576CC">
              <w:rPr>
                <w:sz w:val="18"/>
              </w:rPr>
              <w:t>617</w:t>
            </w:r>
          </w:p>
        </w:tc>
      </w:tr>
      <w:tr w:rsidR="00FA139B" w:rsidRPr="00D576CC" w14:paraId="7EC5D24B" w14:textId="77777777" w:rsidTr="00D576CC">
        <w:trPr>
          <w:trHeight w:val="240"/>
        </w:trPr>
        <w:tc>
          <w:tcPr>
            <w:tcW w:w="3879" w:type="dxa"/>
            <w:tcBorders>
              <w:bottom w:val="single" w:sz="12" w:space="0" w:color="auto"/>
            </w:tcBorders>
            <w:shd w:val="clear" w:color="auto" w:fill="auto"/>
            <w:hideMark/>
          </w:tcPr>
          <w:p w14:paraId="2E9DD296" w14:textId="77777777" w:rsidR="00FA139B" w:rsidRPr="00D576CC" w:rsidRDefault="00FA139B" w:rsidP="00D576CC">
            <w:pPr>
              <w:pStyle w:val="SingleTxtG"/>
              <w:spacing w:before="40" w:after="40" w:line="220" w:lineRule="exact"/>
              <w:ind w:left="0" w:right="0"/>
              <w:jc w:val="left"/>
              <w:rPr>
                <w:sz w:val="18"/>
              </w:rPr>
            </w:pPr>
            <w:r w:rsidRPr="00D576CC">
              <w:rPr>
                <w:sz w:val="18"/>
              </w:rPr>
              <w:t>Autenticaciones</w:t>
            </w:r>
          </w:p>
        </w:tc>
        <w:tc>
          <w:tcPr>
            <w:tcW w:w="3491" w:type="dxa"/>
            <w:tcBorders>
              <w:bottom w:val="single" w:sz="12" w:space="0" w:color="auto"/>
            </w:tcBorders>
            <w:shd w:val="clear" w:color="auto" w:fill="auto"/>
            <w:hideMark/>
          </w:tcPr>
          <w:p w14:paraId="77A48D18" w14:textId="77777777" w:rsidR="00FA139B" w:rsidRPr="00D576CC" w:rsidRDefault="00FA139B" w:rsidP="00D576CC">
            <w:pPr>
              <w:pStyle w:val="SingleTxtG"/>
              <w:spacing w:before="40" w:after="40" w:line="220" w:lineRule="exact"/>
              <w:ind w:left="0" w:right="0"/>
              <w:jc w:val="right"/>
              <w:rPr>
                <w:sz w:val="18"/>
              </w:rPr>
            </w:pPr>
            <w:r w:rsidRPr="00D576CC">
              <w:rPr>
                <w:sz w:val="18"/>
              </w:rPr>
              <w:t>6</w:t>
            </w:r>
            <w:r w:rsidR="00D576CC">
              <w:rPr>
                <w:sz w:val="18"/>
              </w:rPr>
              <w:t xml:space="preserve"> </w:t>
            </w:r>
            <w:r w:rsidRPr="00D576CC">
              <w:rPr>
                <w:sz w:val="18"/>
              </w:rPr>
              <w:t>132</w:t>
            </w:r>
          </w:p>
        </w:tc>
      </w:tr>
    </w:tbl>
    <w:p w14:paraId="06217BC3" w14:textId="77777777" w:rsidR="00FA139B" w:rsidRPr="00FA139B" w:rsidRDefault="00FA139B" w:rsidP="00D576CC">
      <w:pPr>
        <w:pStyle w:val="H23G"/>
      </w:pPr>
      <w:r w:rsidRPr="00FA139B">
        <w:tab/>
        <w:t>8)</w:t>
      </w:r>
      <w:r w:rsidRPr="00FA139B">
        <w:tab/>
        <w:t>Personas con discapacidad</w:t>
      </w:r>
    </w:p>
    <w:p w14:paraId="4D95ACB3" w14:textId="77777777" w:rsidR="00FA139B" w:rsidRPr="00FA139B" w:rsidRDefault="00FA139B" w:rsidP="00FA139B">
      <w:pPr>
        <w:pStyle w:val="SingleTxtG"/>
      </w:pPr>
      <w:r w:rsidRPr="00FA139B">
        <w:t>114.</w:t>
      </w:r>
      <w:r w:rsidRPr="00FA139B">
        <w:tab/>
        <w:t xml:space="preserve">Un total de 1.491 residentes en situación irregular que presentan discapacidad disfrutan de los servicios que presta el Consejo Superior de las Personas con Discapacidad </w:t>
      </w:r>
      <w:r w:rsidRPr="00FA139B">
        <w:lastRenderedPageBreak/>
        <w:t xml:space="preserve">con arreglo a lo dispuesto en la Ley de la Autoridad de las Personas con Discapacidad y la Convención Internacional sobre los Derechos de las Personas con Discapacidad. </w:t>
      </w:r>
    </w:p>
    <w:p w14:paraId="020F2619" w14:textId="77777777" w:rsidR="00FA139B" w:rsidRPr="00FA139B" w:rsidRDefault="00FA139B" w:rsidP="00D576CC">
      <w:pPr>
        <w:pStyle w:val="SingleTxtG"/>
        <w:rPr>
          <w:b/>
          <w:bCs/>
        </w:rPr>
      </w:pPr>
      <w:r w:rsidRPr="00FA139B">
        <w:rPr>
          <w:b/>
          <w:bCs/>
        </w:rPr>
        <w:t>En el cuadro siguiente figuran los servicios prestados en 2018 a los residentes en situación irregular que presentan discapacidad</w:t>
      </w:r>
      <w:r w:rsidR="00D576CC">
        <w:rPr>
          <w:b/>
          <w:bCs/>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379"/>
        <w:gridCol w:w="991"/>
      </w:tblGrid>
      <w:tr w:rsidR="00FA139B" w:rsidRPr="00D576CC" w14:paraId="5558F770" w14:textId="77777777" w:rsidTr="008F358C">
        <w:trPr>
          <w:trHeight w:val="240"/>
          <w:tblHeader/>
        </w:trPr>
        <w:tc>
          <w:tcPr>
            <w:tcW w:w="6379" w:type="dxa"/>
            <w:tcBorders>
              <w:top w:val="single" w:sz="12" w:space="0" w:color="auto"/>
              <w:bottom w:val="nil"/>
            </w:tcBorders>
            <w:shd w:val="clear" w:color="auto" w:fill="auto"/>
            <w:vAlign w:val="bottom"/>
            <w:hideMark/>
          </w:tcPr>
          <w:p w14:paraId="1A35431C" w14:textId="77777777" w:rsidR="00FA139B" w:rsidRPr="00D576CC" w:rsidRDefault="00FA139B" w:rsidP="00D576CC">
            <w:pPr>
              <w:pStyle w:val="SingleTxtG"/>
              <w:spacing w:before="40" w:after="40" w:line="220" w:lineRule="exact"/>
              <w:ind w:left="0" w:right="0"/>
              <w:jc w:val="left"/>
              <w:rPr>
                <w:i/>
                <w:sz w:val="16"/>
              </w:rPr>
            </w:pPr>
            <w:r w:rsidRPr="00D576CC">
              <w:rPr>
                <w:sz w:val="18"/>
              </w:rPr>
              <w:t>Núm</w:t>
            </w:r>
            <w:r w:rsidR="00D576CC" w:rsidRPr="00D576CC">
              <w:rPr>
                <w:sz w:val="18"/>
              </w:rPr>
              <w:t>ero</w:t>
            </w:r>
            <w:r w:rsidRPr="00D576CC">
              <w:rPr>
                <w:sz w:val="18"/>
              </w:rPr>
              <w:t xml:space="preserve"> de titulares de certificación de discapacidad en vigor</w:t>
            </w:r>
          </w:p>
        </w:tc>
        <w:tc>
          <w:tcPr>
            <w:tcW w:w="991" w:type="dxa"/>
            <w:tcBorders>
              <w:top w:val="single" w:sz="12" w:space="0" w:color="auto"/>
              <w:bottom w:val="nil"/>
            </w:tcBorders>
            <w:shd w:val="clear" w:color="auto" w:fill="auto"/>
            <w:vAlign w:val="bottom"/>
            <w:hideMark/>
          </w:tcPr>
          <w:p w14:paraId="085C3B3B" w14:textId="77777777" w:rsidR="00FA139B" w:rsidRPr="00D576CC" w:rsidRDefault="00FA139B" w:rsidP="00D576CC">
            <w:pPr>
              <w:pStyle w:val="SingleTxtG"/>
              <w:spacing w:before="40" w:after="40" w:line="220" w:lineRule="exact"/>
              <w:ind w:left="113" w:right="0"/>
              <w:jc w:val="right"/>
              <w:rPr>
                <w:i/>
                <w:sz w:val="16"/>
              </w:rPr>
            </w:pPr>
            <w:r w:rsidRPr="00D576CC">
              <w:rPr>
                <w:sz w:val="18"/>
              </w:rPr>
              <w:t>1</w:t>
            </w:r>
            <w:r w:rsidR="00D576CC">
              <w:rPr>
                <w:sz w:val="18"/>
              </w:rPr>
              <w:t xml:space="preserve"> </w:t>
            </w:r>
            <w:r w:rsidRPr="00D576CC">
              <w:rPr>
                <w:sz w:val="18"/>
              </w:rPr>
              <w:t>491</w:t>
            </w:r>
          </w:p>
        </w:tc>
      </w:tr>
      <w:tr w:rsidR="00FA139B" w:rsidRPr="00D576CC" w14:paraId="7E5CCE75" w14:textId="77777777" w:rsidTr="008F358C">
        <w:trPr>
          <w:trHeight w:val="240"/>
        </w:trPr>
        <w:tc>
          <w:tcPr>
            <w:tcW w:w="6379" w:type="dxa"/>
            <w:tcBorders>
              <w:top w:val="nil"/>
            </w:tcBorders>
            <w:shd w:val="clear" w:color="auto" w:fill="auto"/>
            <w:hideMark/>
          </w:tcPr>
          <w:p w14:paraId="51195595" w14:textId="77777777" w:rsidR="00FA139B" w:rsidRPr="00D576CC" w:rsidRDefault="00FA139B" w:rsidP="00D576CC">
            <w:pPr>
              <w:pStyle w:val="SingleTxtG"/>
              <w:spacing w:before="40" w:after="40" w:line="220" w:lineRule="exact"/>
              <w:ind w:left="0" w:right="0"/>
              <w:jc w:val="left"/>
              <w:rPr>
                <w:sz w:val="18"/>
              </w:rPr>
            </w:pPr>
            <w:r w:rsidRPr="00D576CC">
              <w:rPr>
                <w:sz w:val="18"/>
              </w:rPr>
              <w:t>Núm</w:t>
            </w:r>
            <w:r w:rsidR="00D576CC">
              <w:rPr>
                <w:sz w:val="18"/>
              </w:rPr>
              <w:t>ero</w:t>
            </w:r>
            <w:r w:rsidRPr="00D576CC">
              <w:rPr>
                <w:sz w:val="18"/>
              </w:rPr>
              <w:t xml:space="preserve"> de titulares de tarjeta identificativa de persona con discapacidad </w:t>
            </w:r>
          </w:p>
        </w:tc>
        <w:tc>
          <w:tcPr>
            <w:tcW w:w="991" w:type="dxa"/>
            <w:tcBorders>
              <w:top w:val="nil"/>
            </w:tcBorders>
            <w:shd w:val="clear" w:color="auto" w:fill="auto"/>
            <w:vAlign w:val="bottom"/>
            <w:hideMark/>
          </w:tcPr>
          <w:p w14:paraId="53F5236C" w14:textId="77777777" w:rsidR="00FA139B" w:rsidRPr="00D576CC" w:rsidRDefault="00FA139B" w:rsidP="00D576CC">
            <w:pPr>
              <w:pStyle w:val="SingleTxtG"/>
              <w:spacing w:before="40" w:after="40" w:line="220" w:lineRule="exact"/>
              <w:ind w:left="113" w:right="0"/>
              <w:jc w:val="right"/>
              <w:rPr>
                <w:sz w:val="18"/>
              </w:rPr>
            </w:pPr>
            <w:r w:rsidRPr="00D576CC">
              <w:rPr>
                <w:sz w:val="18"/>
              </w:rPr>
              <w:t>595</w:t>
            </w:r>
          </w:p>
        </w:tc>
      </w:tr>
      <w:tr w:rsidR="00FA139B" w:rsidRPr="00D576CC" w14:paraId="70F6BAA4" w14:textId="77777777" w:rsidTr="008F358C">
        <w:trPr>
          <w:trHeight w:val="240"/>
        </w:trPr>
        <w:tc>
          <w:tcPr>
            <w:tcW w:w="6379" w:type="dxa"/>
            <w:shd w:val="clear" w:color="auto" w:fill="auto"/>
            <w:hideMark/>
          </w:tcPr>
          <w:p w14:paraId="496951BE" w14:textId="77777777" w:rsidR="00FA139B" w:rsidRPr="00D576CC" w:rsidRDefault="00FA139B" w:rsidP="00D576CC">
            <w:pPr>
              <w:pStyle w:val="SingleTxtG"/>
              <w:spacing w:before="40" w:after="40" w:line="220" w:lineRule="exact"/>
              <w:ind w:left="0" w:right="0"/>
              <w:jc w:val="left"/>
              <w:rPr>
                <w:sz w:val="18"/>
              </w:rPr>
            </w:pPr>
            <w:r w:rsidRPr="00D576CC">
              <w:rPr>
                <w:sz w:val="18"/>
              </w:rPr>
              <w:t>Núm</w:t>
            </w:r>
            <w:r w:rsidR="00D576CC">
              <w:rPr>
                <w:sz w:val="18"/>
              </w:rPr>
              <w:t>ero</w:t>
            </w:r>
            <w:r w:rsidRPr="00D576CC">
              <w:rPr>
                <w:sz w:val="18"/>
              </w:rPr>
              <w:t xml:space="preserve"> de titulares de matrícula de vehículo identificativa de persona con discapacidad</w:t>
            </w:r>
          </w:p>
        </w:tc>
        <w:tc>
          <w:tcPr>
            <w:tcW w:w="991" w:type="dxa"/>
            <w:shd w:val="clear" w:color="auto" w:fill="auto"/>
            <w:vAlign w:val="bottom"/>
            <w:hideMark/>
          </w:tcPr>
          <w:p w14:paraId="6871CDF2" w14:textId="77777777" w:rsidR="00FA139B" w:rsidRPr="00D576CC" w:rsidRDefault="00FA139B" w:rsidP="00D576CC">
            <w:pPr>
              <w:pStyle w:val="SingleTxtG"/>
              <w:spacing w:before="40" w:after="40" w:line="220" w:lineRule="exact"/>
              <w:ind w:left="113" w:right="0"/>
              <w:jc w:val="right"/>
              <w:rPr>
                <w:sz w:val="18"/>
              </w:rPr>
            </w:pPr>
            <w:r w:rsidRPr="00D576CC">
              <w:rPr>
                <w:sz w:val="18"/>
              </w:rPr>
              <w:t>347</w:t>
            </w:r>
          </w:p>
        </w:tc>
      </w:tr>
      <w:tr w:rsidR="00FA139B" w:rsidRPr="00D576CC" w14:paraId="29A4E65E" w14:textId="77777777" w:rsidTr="008F358C">
        <w:trPr>
          <w:trHeight w:val="240"/>
        </w:trPr>
        <w:tc>
          <w:tcPr>
            <w:tcW w:w="6379" w:type="dxa"/>
            <w:tcBorders>
              <w:bottom w:val="single" w:sz="12" w:space="0" w:color="auto"/>
            </w:tcBorders>
            <w:shd w:val="clear" w:color="auto" w:fill="auto"/>
            <w:hideMark/>
          </w:tcPr>
          <w:p w14:paraId="44631DD7" w14:textId="77777777" w:rsidR="00FA139B" w:rsidRPr="00D576CC" w:rsidRDefault="00FA139B" w:rsidP="00D576CC">
            <w:pPr>
              <w:pStyle w:val="SingleTxtG"/>
              <w:spacing w:before="40" w:after="40" w:line="220" w:lineRule="exact"/>
              <w:ind w:left="0" w:right="0"/>
              <w:jc w:val="left"/>
              <w:rPr>
                <w:sz w:val="18"/>
              </w:rPr>
            </w:pPr>
            <w:r w:rsidRPr="00D576CC">
              <w:rPr>
                <w:sz w:val="18"/>
              </w:rPr>
              <w:t>Núm</w:t>
            </w:r>
            <w:r w:rsidR="00D576CC">
              <w:rPr>
                <w:sz w:val="18"/>
              </w:rPr>
              <w:t>ero</w:t>
            </w:r>
            <w:r w:rsidRPr="00D576CC">
              <w:rPr>
                <w:sz w:val="18"/>
              </w:rPr>
              <w:t xml:space="preserve"> de titulares de </w:t>
            </w:r>
            <w:r w:rsidR="006E23E2">
              <w:rPr>
                <w:sz w:val="18"/>
              </w:rPr>
              <w:t>“</w:t>
            </w:r>
            <w:r w:rsidRPr="00D576CC">
              <w:rPr>
                <w:sz w:val="18"/>
              </w:rPr>
              <w:t>A quien pueda interesar</w:t>
            </w:r>
            <w:r w:rsidR="006E23E2">
              <w:rPr>
                <w:sz w:val="18"/>
              </w:rPr>
              <w:t>”</w:t>
            </w:r>
            <w:r w:rsidRPr="00D576CC">
              <w:rPr>
                <w:sz w:val="18"/>
              </w:rPr>
              <w:t xml:space="preserve"> </w:t>
            </w:r>
            <w:r w:rsidRPr="008F358C">
              <w:rPr>
                <w:i/>
                <w:sz w:val="18"/>
              </w:rPr>
              <w:t>[</w:t>
            </w:r>
            <w:r w:rsidRPr="008F358C">
              <w:rPr>
                <w:i/>
                <w:iCs/>
                <w:sz w:val="18"/>
              </w:rPr>
              <w:t>Li-man yahummu-hu al-amr</w:t>
            </w:r>
            <w:r w:rsidRPr="008F358C">
              <w:rPr>
                <w:i/>
                <w:sz w:val="18"/>
              </w:rPr>
              <w:t>]</w:t>
            </w:r>
            <w:r w:rsidRPr="00D576CC">
              <w:rPr>
                <w:sz w:val="18"/>
              </w:rPr>
              <w:t xml:space="preserve"> </w:t>
            </w:r>
          </w:p>
        </w:tc>
        <w:tc>
          <w:tcPr>
            <w:tcW w:w="991" w:type="dxa"/>
            <w:tcBorders>
              <w:bottom w:val="single" w:sz="12" w:space="0" w:color="auto"/>
            </w:tcBorders>
            <w:shd w:val="clear" w:color="auto" w:fill="auto"/>
            <w:vAlign w:val="bottom"/>
            <w:hideMark/>
          </w:tcPr>
          <w:p w14:paraId="297C891D" w14:textId="77777777" w:rsidR="00FA139B" w:rsidRPr="00D576CC" w:rsidRDefault="00FA139B" w:rsidP="00D576CC">
            <w:pPr>
              <w:pStyle w:val="SingleTxtG"/>
              <w:spacing w:before="40" w:after="40" w:line="220" w:lineRule="exact"/>
              <w:ind w:left="113" w:right="0"/>
              <w:jc w:val="right"/>
              <w:rPr>
                <w:sz w:val="18"/>
              </w:rPr>
            </w:pPr>
            <w:r w:rsidRPr="00D576CC">
              <w:rPr>
                <w:sz w:val="18"/>
              </w:rPr>
              <w:t>54</w:t>
            </w:r>
          </w:p>
        </w:tc>
      </w:tr>
    </w:tbl>
    <w:p w14:paraId="36266CE8" w14:textId="77777777" w:rsidR="00FA139B" w:rsidRPr="00FA139B" w:rsidRDefault="00FA139B" w:rsidP="00D576CC">
      <w:pPr>
        <w:pStyle w:val="H1G"/>
      </w:pPr>
      <w:r w:rsidRPr="00FA139B">
        <w:tab/>
      </w:r>
      <w:r w:rsidRPr="00FA139B">
        <w:tab/>
        <w:t>Recomendación núm. 28 e)</w:t>
      </w:r>
    </w:p>
    <w:p w14:paraId="7B2CC211" w14:textId="77777777" w:rsidR="00FA139B" w:rsidRPr="00FA139B" w:rsidRDefault="00FA139B" w:rsidP="00FA139B">
      <w:pPr>
        <w:pStyle w:val="SingleTxtG"/>
      </w:pPr>
      <w:r w:rsidRPr="00FA139B">
        <w:t>115.</w:t>
      </w:r>
      <w:r w:rsidRPr="00FA139B">
        <w:tab/>
        <w:t>Los no nacionales pueden solicitar la nacionalidad kuwaití si cumplen los requisitos exigidos en los artículos 4, 5, 7 y 8 de la Ley núm. 15/1959 de la Nacionalidad y sus modificaciones. La naturalización se obtiene por decreto tras cursar la correspondiente solicitud al Ministro del Interior. Las solicitudes se evalúan, sin discriminación, mediante decisiones por escrito que pueden recurrirse. La concesión de la nacionalidad es una prerrogativa soberana del Estado.</w:t>
      </w:r>
    </w:p>
    <w:p w14:paraId="7F1DF272" w14:textId="77777777" w:rsidR="00FA139B" w:rsidRPr="00FA139B" w:rsidRDefault="00FA139B" w:rsidP="00D576CC">
      <w:pPr>
        <w:pStyle w:val="H1G"/>
      </w:pPr>
      <w:r w:rsidRPr="00FA139B">
        <w:tab/>
      </w:r>
      <w:r w:rsidRPr="00FA139B">
        <w:tab/>
        <w:t>Recomendación núm. 28 f)</w:t>
      </w:r>
    </w:p>
    <w:p w14:paraId="3AEAEB63" w14:textId="77777777" w:rsidR="00FA139B" w:rsidRPr="00FA139B" w:rsidRDefault="00FA139B" w:rsidP="00FA139B">
      <w:pPr>
        <w:pStyle w:val="SingleTxtG"/>
        <w:rPr>
          <w:b/>
          <w:bCs/>
          <w:u w:val="single"/>
        </w:rPr>
      </w:pPr>
      <w:r w:rsidRPr="00FA139B">
        <w:t>116.</w:t>
      </w:r>
      <w:r w:rsidRPr="00FA139B">
        <w:tab/>
        <w:t xml:space="preserve"> Numerosas organizaciones internacionales de derechos humanos confunden sin cesar a las personas apátridas y los residentes en situación irregular, pese a que se trata de situaciones muy diferentes. El apátrida, según la Convención sobre el Estatuto de los Apátridas de 1954, es aquella persona a la que ningún Estado considera nacional de su país en virtud de su legislación. Esa es una situación diferente a la que se plantea en el caso de los residentes en situación irregular, que entraron a Kuwait ilegalmente y ocultando los documentos que indicaban su nacionalidad de origen para establecerse en el país, disfrutar de sus servicios y obtener la ciudadanía. La figura del apátrida, según se define en la Convención, no se aplica en su caso. En consecuencia, el hecho de que el Estado de Kuwait no se haya adherido a las convenciones señaladas no tiene incidencia alguna en ellos, ya que a esas personas no les afectan sus disposiciones. El estatuto jurídico de unos y otros es diferente. La presencia del residente en situación irregular en el Estado vulnera lo dispuesto en la Ley núm. 17/1959 de Extranjería y le exige que regularice su situación. El apátrida, sin embargo, al carecer de nacionalidad, no está obligado a hacerlo. </w:t>
      </w:r>
    </w:p>
    <w:p w14:paraId="61550510" w14:textId="77777777" w:rsidR="00FA139B" w:rsidRPr="00FA139B" w:rsidRDefault="00FA139B" w:rsidP="00FA139B">
      <w:pPr>
        <w:pStyle w:val="SingleTxtG"/>
        <w:rPr>
          <w:b/>
          <w:bCs/>
          <w:u w:val="single"/>
        </w:rPr>
      </w:pPr>
      <w:r w:rsidRPr="00FA139B">
        <w:t>117.</w:t>
      </w:r>
      <w:r w:rsidRPr="00FA139B">
        <w:tab/>
        <w:t>Además, después de consultar los registros de los diversos organismos del Estado, se hallaron pruebas de las nacionalidades y el origen de un gran número de residentes en situación irregular gracias a su documentación y familiares.</w:t>
      </w:r>
    </w:p>
    <w:p w14:paraId="15B01753" w14:textId="77777777" w:rsidR="00FA139B" w:rsidRPr="00FA139B" w:rsidRDefault="00FA139B" w:rsidP="00FA139B">
      <w:pPr>
        <w:pStyle w:val="SingleTxtG"/>
        <w:rPr>
          <w:b/>
          <w:bCs/>
          <w:u w:val="single"/>
        </w:rPr>
      </w:pPr>
      <w:r w:rsidRPr="00FA139B">
        <w:t>118.</w:t>
      </w:r>
      <w:r w:rsidRPr="00FA139B">
        <w:tab/>
        <w:t xml:space="preserve">Desde 1991 hasta la fecha, unas 91.000 personas han regularizado su situación tras desvelar su nacionalidad o retornar a su país de origen. Por lo tanto, no pueden considerarse apátridas. </w:t>
      </w:r>
    </w:p>
    <w:p w14:paraId="1F7B7CD5" w14:textId="77777777" w:rsidR="00FA139B" w:rsidRPr="00FA139B" w:rsidRDefault="00FA139B" w:rsidP="00D576CC">
      <w:pPr>
        <w:pStyle w:val="H1G"/>
      </w:pPr>
      <w:r w:rsidRPr="00FA139B">
        <w:tab/>
      </w:r>
      <w:r w:rsidRPr="00FA139B">
        <w:tab/>
        <w:t>Recomendación núm. 30</w:t>
      </w:r>
    </w:p>
    <w:p w14:paraId="5F70BB43" w14:textId="77777777" w:rsidR="00FA139B" w:rsidRPr="00FA139B" w:rsidRDefault="00FA139B" w:rsidP="00FA139B">
      <w:pPr>
        <w:pStyle w:val="SingleTxtG"/>
      </w:pPr>
      <w:r w:rsidRPr="00FA139B">
        <w:t>119.</w:t>
      </w:r>
      <w:r w:rsidRPr="00FA139B">
        <w:tab/>
        <w:t>La tortura está prohibida en el ordenamiento jurídico kuwaití. El artículo 53 de la Ley núm. 31/1970, por el que se modifica parte del articulado del Código Penal (Ley núm.</w:t>
      </w:r>
      <w:r w:rsidR="007B2046">
        <w:t> </w:t>
      </w:r>
      <w:r w:rsidRPr="00FA139B">
        <w:t xml:space="preserve">16/1960), dispone lo siguiente: </w:t>
      </w:r>
      <w:r w:rsidR="006E23E2">
        <w:t>“</w:t>
      </w:r>
      <w:r w:rsidRPr="00FA139B">
        <w:t>El funcionario público o empleado que, por sí mismo o por conducto de un tercero, torturare a un acusado, testigo o perito para obligarle a confesar un delito o a declarar o suministrar información será castigado con la pena de hasta cinco años de prisión o multa de hasta 500 dinares. Si el acto de tortura condujese a la comisión de una infracción castigada con una pena mayor, o se perpetrara al mismo tiempo que esa infracción, se le aplicará la pena más severa. Si la tortura causare la muerte, se castigará con la pena tipificada para el homicidio intencionado</w:t>
      </w:r>
      <w:r w:rsidR="006E23E2">
        <w:t>”</w:t>
      </w:r>
      <w:r w:rsidRPr="00FA139B">
        <w:t xml:space="preserve">. </w:t>
      </w:r>
    </w:p>
    <w:p w14:paraId="02CCE8EA" w14:textId="77777777" w:rsidR="00FA139B" w:rsidRPr="00FA139B" w:rsidRDefault="00FA139B" w:rsidP="00FA139B">
      <w:pPr>
        <w:pStyle w:val="SingleTxtG"/>
      </w:pPr>
      <w:r w:rsidRPr="00FA139B">
        <w:lastRenderedPageBreak/>
        <w:t>120.</w:t>
      </w:r>
      <w:r w:rsidRPr="00FA139B">
        <w:tab/>
      </w:r>
      <w:r w:rsidR="006E23E2">
        <w:t>“</w:t>
      </w:r>
      <w:r w:rsidRPr="00FA139B">
        <w:t>El funcionario público o persona responsable de un servicio público que castigue u ordene castigar al reo condenado con una pena más severa que la decretada con arreglo a la ley o con una sanción que no se le impuso judicialmente será castigado con la pena de hasta cinco años de prisión o multa de hasta 500 dinares</w:t>
      </w:r>
      <w:r w:rsidR="006E23E2">
        <w:t>”</w:t>
      </w:r>
      <w:r w:rsidRPr="00FA139B">
        <w:t xml:space="preserve"> (art. 54 de la misma </w:t>
      </w:r>
      <w:r w:rsidR="007B2046">
        <w:t>L</w:t>
      </w:r>
      <w:r w:rsidRPr="00FA139B">
        <w:t>ey).</w:t>
      </w:r>
    </w:p>
    <w:p w14:paraId="0A0FF7E2" w14:textId="77777777" w:rsidR="00FA139B" w:rsidRPr="00FA139B" w:rsidRDefault="00FA139B" w:rsidP="00FA139B">
      <w:pPr>
        <w:pStyle w:val="SingleTxtG"/>
      </w:pPr>
      <w:r w:rsidRPr="00FA139B">
        <w:t>121.</w:t>
      </w:r>
      <w:r w:rsidRPr="00FA139B">
        <w:tab/>
      </w:r>
      <w:r w:rsidR="006E23E2">
        <w:t>“</w:t>
      </w:r>
      <w:r w:rsidRPr="00FA139B">
        <w:t>El funcionario, empleado público o persona responsable de un servicio público que, valiéndose de su cargo, infligiere actos crueles a terceros, atentare contra su honor o les causare sufrimiento físico será castigado con la pena de hasta tres años de prisión o multa de hasta 225 dinares</w:t>
      </w:r>
      <w:r w:rsidR="006E23E2">
        <w:t>”</w:t>
      </w:r>
      <w:r w:rsidRPr="00FA139B">
        <w:t xml:space="preserve"> (art. 56).</w:t>
      </w:r>
    </w:p>
    <w:p w14:paraId="21A5464A" w14:textId="77777777" w:rsidR="00FA139B" w:rsidRPr="00FA139B" w:rsidRDefault="00FA139B" w:rsidP="00FA139B">
      <w:pPr>
        <w:pStyle w:val="SingleTxtG"/>
      </w:pPr>
      <w:r w:rsidRPr="00FA139B">
        <w:t>122.</w:t>
      </w:r>
      <w:r w:rsidRPr="00FA139B">
        <w:tab/>
        <w:t>El Ministerio del Interior, representado por la Dirección General de Vigilancia e Inspección, realiza inspecciones diarias a los lugares de detención temporal de las comisarías, las oficinas de investigación y las dependencias de la Dirección General de Ejecución de Pena, así como a las áreas de reclusión de los centros penitenciarios. Esas inspecciones se centran en la situación y las condiciones de vida de las personas privadas de libertad y en la observancia de las normas internacionales de derechos humanos con arreglo al derecho interno. Cualquier atropello o práctica inhumana detectadas se pone en conocimiento de los responsables ministeriales para que se tomen medidas urgentes y se impongan sanciones disuasorias a los infractores. Todo ello, por sí mismo, impide la ocurrencia de actos de tortura o vejación y promueve el trato humanitario. Las inspecciones prestan particular atención a lo siguiente:</w:t>
      </w:r>
    </w:p>
    <w:p w14:paraId="5C863D4B" w14:textId="77777777" w:rsidR="00FA139B" w:rsidRPr="00FA139B" w:rsidRDefault="00FA139B" w:rsidP="00D576CC">
      <w:pPr>
        <w:pStyle w:val="Bullet1G"/>
      </w:pPr>
      <w:r w:rsidRPr="00FA139B">
        <w:t>Comprobar la veracidad de los hechos que justificaron la privación de libertad e identificar a la instancia que autorizó la detención</w:t>
      </w:r>
      <w:r w:rsidR="00D576CC">
        <w:t>.</w:t>
      </w:r>
    </w:p>
    <w:p w14:paraId="24EA4E96" w14:textId="77777777" w:rsidR="00FA139B" w:rsidRPr="00FA139B" w:rsidRDefault="00FA139B" w:rsidP="00D576CC">
      <w:pPr>
        <w:pStyle w:val="Bullet1G"/>
      </w:pPr>
      <w:r w:rsidRPr="00FA139B">
        <w:t>Corroborar la legalidad de la medida y que no se ha excedido el tiempo de detención acordado</w:t>
      </w:r>
      <w:r w:rsidR="00D576CC">
        <w:t>.</w:t>
      </w:r>
    </w:p>
    <w:p w14:paraId="4BD594AD" w14:textId="77777777" w:rsidR="00FA139B" w:rsidRPr="00FA139B" w:rsidRDefault="00FA139B" w:rsidP="00D576CC">
      <w:pPr>
        <w:pStyle w:val="Bullet1G"/>
      </w:pPr>
      <w:r w:rsidRPr="00FA139B">
        <w:t>Vigilar los lugares de detención temporal para comprobar que cumplan las condiciones legales previstas y que las personas en ellos recluidas dispongan de un entorno sanitario, social y de seguridad apropiado</w:t>
      </w:r>
      <w:r w:rsidR="00D576CC">
        <w:t>.</w:t>
      </w:r>
    </w:p>
    <w:p w14:paraId="5BB595ED" w14:textId="77777777" w:rsidR="00FA139B" w:rsidRPr="00FA139B" w:rsidRDefault="00FA139B" w:rsidP="00D576CC">
      <w:pPr>
        <w:pStyle w:val="Bullet1G"/>
      </w:pPr>
      <w:r w:rsidRPr="00FA139B">
        <w:t>Velar por que las personas privadas de libertad tengan la posibilidad de mantener la comunicación con sus familiares o representantes legales, de manera que estos puedan hacer un seguimiento de la causa y tomar medidas para solventar sus problemas jurídicos, lo que constituye un derecho tutelado por la ley, pagar sus deudas y comparecer a las vistas judiciales programadas o ante las instancias de investigación o judiciales</w:t>
      </w:r>
      <w:r w:rsidR="00D576CC">
        <w:t>.</w:t>
      </w:r>
    </w:p>
    <w:p w14:paraId="60458035" w14:textId="77777777" w:rsidR="00FA139B" w:rsidRPr="00FA139B" w:rsidRDefault="00FA139B" w:rsidP="00D576CC">
      <w:pPr>
        <w:pStyle w:val="Bullet1G"/>
      </w:pPr>
      <w:r w:rsidRPr="00FA139B">
        <w:t>Vigilar las condiciones de la reclusión, en particular que las personas privadas de libertad no sufran maltrato o abuso</w:t>
      </w:r>
      <w:r w:rsidR="00D576CC">
        <w:t>.</w:t>
      </w:r>
    </w:p>
    <w:p w14:paraId="65546CA9" w14:textId="77777777" w:rsidR="00FA139B" w:rsidRPr="00FA139B" w:rsidRDefault="00FA139B" w:rsidP="00D576CC">
      <w:pPr>
        <w:pStyle w:val="Bullet1G"/>
      </w:pPr>
      <w:r w:rsidRPr="00FA139B">
        <w:t>Si la persona recluida es extranjera, notificar a su embajada el lugar en que se encuentra y los motivos de su detención</w:t>
      </w:r>
      <w:r w:rsidR="00D576CC">
        <w:t>.</w:t>
      </w:r>
    </w:p>
    <w:p w14:paraId="72D96F73" w14:textId="77777777" w:rsidR="00FA139B" w:rsidRPr="00FA139B" w:rsidRDefault="00FA139B" w:rsidP="00D576CC">
      <w:pPr>
        <w:pStyle w:val="Bullet1G"/>
      </w:pPr>
      <w:r w:rsidRPr="00FA139B">
        <w:t>Verificar la calidad, cantidad y salubridad de los alimentos que se proporcionan a las personas recluidas</w:t>
      </w:r>
      <w:r w:rsidR="00D576CC">
        <w:t>.</w:t>
      </w:r>
    </w:p>
    <w:p w14:paraId="1A9589BD" w14:textId="77777777" w:rsidR="00FA139B" w:rsidRPr="00FA139B" w:rsidRDefault="00FA139B" w:rsidP="00D576CC">
      <w:pPr>
        <w:pStyle w:val="Bullet1G"/>
      </w:pPr>
      <w:r w:rsidRPr="00FA139B">
        <w:t>Proporcionarles atención sanitaria integral y, en su caso, trasladarlas a un centro hospitalario</w:t>
      </w:r>
      <w:r w:rsidR="00D576CC">
        <w:t>.</w:t>
      </w:r>
    </w:p>
    <w:p w14:paraId="75D1CDFB" w14:textId="77777777" w:rsidR="00FA139B" w:rsidRPr="00FA139B" w:rsidRDefault="00FA139B" w:rsidP="00D576CC">
      <w:pPr>
        <w:pStyle w:val="Bullet1G"/>
      </w:pPr>
      <w:r w:rsidRPr="00FA139B">
        <w:t>Preservar sus propiedades y depósitos a la vista de los registros oficiales</w:t>
      </w:r>
      <w:r w:rsidR="00D576CC">
        <w:t>.</w:t>
      </w:r>
    </w:p>
    <w:p w14:paraId="0CD80A7A" w14:textId="77777777" w:rsidR="00FA139B" w:rsidRPr="00FA139B" w:rsidRDefault="00FA139B" w:rsidP="00D576CC">
      <w:pPr>
        <w:pStyle w:val="Bullet1G"/>
      </w:pPr>
      <w:r w:rsidRPr="00FA139B">
        <w:t>Velar por que se custodie un archivo con todos los movimientos que les afecten, de modo que pueda consultarse para salvaguardar sus derechos en caso de conductas negligente o abusiva.</w:t>
      </w:r>
    </w:p>
    <w:p w14:paraId="57169A33" w14:textId="77777777" w:rsidR="00FA139B" w:rsidRPr="00FA139B" w:rsidRDefault="00FA139B" w:rsidP="00FA139B">
      <w:pPr>
        <w:pStyle w:val="SingleTxtG"/>
      </w:pPr>
      <w:r w:rsidRPr="00FA139B">
        <w:t>123.</w:t>
      </w:r>
      <w:r w:rsidRPr="00FA139B">
        <w:tab/>
        <w:t>La instancia competente del Ministerio del Interior no duda en practicar las investigaciones administrativas que correspondan en caso de denuncia de tortura o maltrato. Si los hechos alegados quedan acreditados, el infractor será puesto a disposición de las instancias competentes en aplicación de lo dispuesto en la Ley núm. 23/1968 del Reglamento de la Fuerza de Policía y sus reglamentos ejecutivos y en la Ley núm. 15/1979 de la Función Pública. El investigado podrá ser suspendido de funciones si así se requiere en interés de la instrucción de la causa.</w:t>
      </w:r>
    </w:p>
    <w:p w14:paraId="192672FE" w14:textId="77777777" w:rsidR="00FA139B" w:rsidRPr="00FA139B" w:rsidRDefault="00FA139B" w:rsidP="00D576CC">
      <w:pPr>
        <w:pStyle w:val="H1G"/>
      </w:pPr>
      <w:r w:rsidRPr="00FA139B">
        <w:lastRenderedPageBreak/>
        <w:tab/>
      </w:r>
      <w:r w:rsidRPr="00FA139B">
        <w:tab/>
        <w:t>Recomendación núm. 32</w:t>
      </w:r>
    </w:p>
    <w:p w14:paraId="7316334B" w14:textId="77777777" w:rsidR="00FA139B" w:rsidRPr="00FA139B" w:rsidRDefault="00FA139B" w:rsidP="00FA139B">
      <w:pPr>
        <w:pStyle w:val="SingleTxtG"/>
        <w:rPr>
          <w:b/>
          <w:bCs/>
          <w:u w:val="single"/>
        </w:rPr>
      </w:pPr>
      <w:r w:rsidRPr="00FA139B">
        <w:t>124.</w:t>
      </w:r>
      <w:r w:rsidRPr="00FA139B">
        <w:tab/>
        <w:t xml:space="preserve">La Ley núm. 15/1959 de la Nacionalidad Kuwaití y sus modificaciones, como se afirma en su preámbulo, es uno de los textos normativos más importantes y de mayor trascendencia para el Estado. En ella se determinan las fronteras de la nación y se diferencia entre el ciudadano y el extranjero. En la Ley de la Nacionalidad, uno de los pilares sobre los que se sustenta el Estado, se conjugan las circunstancias nacionales con la observancia de los principios reconocidos en la legislación pertinente de los países civilizados. En la </w:t>
      </w:r>
      <w:r w:rsidR="007B2046">
        <w:t>L</w:t>
      </w:r>
      <w:r w:rsidRPr="00FA139B">
        <w:t>ey citada, la nacionalidad se adquiere como norma general por</w:t>
      </w:r>
      <w:r w:rsidRPr="00FA139B">
        <w:rPr>
          <w:i/>
          <w:iCs/>
        </w:rPr>
        <w:t xml:space="preserve"> ius sanguinis</w:t>
      </w:r>
      <w:r w:rsidRPr="00FA139B">
        <w:t xml:space="preserve"> y, en ciertos supuestos, por </w:t>
      </w:r>
      <w:r w:rsidRPr="00FA139B">
        <w:rPr>
          <w:i/>
          <w:iCs/>
        </w:rPr>
        <w:t>ius solis</w:t>
      </w:r>
      <w:r w:rsidRPr="00FA139B">
        <w:t xml:space="preserve">. </w:t>
      </w:r>
    </w:p>
    <w:p w14:paraId="35BAA6DA" w14:textId="77777777" w:rsidR="00FA139B" w:rsidRPr="00FA139B" w:rsidRDefault="00FA139B" w:rsidP="00FA139B">
      <w:pPr>
        <w:pStyle w:val="SingleTxtG"/>
        <w:rPr>
          <w:b/>
          <w:bCs/>
          <w:u w:val="single"/>
        </w:rPr>
      </w:pPr>
      <w:r w:rsidRPr="00FA139B">
        <w:t>125.</w:t>
      </w:r>
      <w:r w:rsidRPr="00FA139B">
        <w:tab/>
        <w:t xml:space="preserve">Según el artículo 3 de la </w:t>
      </w:r>
      <w:r w:rsidR="007B2046">
        <w:t>L</w:t>
      </w:r>
      <w:r w:rsidRPr="00FA139B">
        <w:t xml:space="preserve">ey citada, es kuwaití el nacido de madre kuwaití en Kuwait o fuera de su territorio si su progenitor es desconocido o su filiación paterna no se acreditó conforme a derecho. También es kuwaití el nacido en Kuwait de padres desconocidos. El legislador considera al </w:t>
      </w:r>
      <w:r w:rsidR="006E23E2">
        <w:t>“</w:t>
      </w:r>
      <w:r w:rsidRPr="00FA139B">
        <w:t>expósito</w:t>
      </w:r>
      <w:r w:rsidR="006E23E2">
        <w:t>”</w:t>
      </w:r>
      <w:r w:rsidRPr="00FA139B">
        <w:t xml:space="preserve"> </w:t>
      </w:r>
      <w:r w:rsidRPr="006E23E2">
        <w:rPr>
          <w:i/>
        </w:rPr>
        <w:t>[</w:t>
      </w:r>
      <w:r w:rsidRPr="006E23E2">
        <w:rPr>
          <w:i/>
          <w:iCs/>
        </w:rPr>
        <w:t>laqit</w:t>
      </w:r>
      <w:r w:rsidRPr="006E23E2">
        <w:rPr>
          <w:i/>
        </w:rPr>
        <w:t>]</w:t>
      </w:r>
      <w:r w:rsidRPr="00FA139B">
        <w:t xml:space="preserve"> nacido en Kuwait, salvo que se demuestre otra cosa. Por tanto, el nacido adquiere la nacionalidad kuwaití por filiación materna en los supuestos de </w:t>
      </w:r>
      <w:r w:rsidR="006E23E2">
        <w:t>“</w:t>
      </w:r>
      <w:r w:rsidRPr="00FA139B">
        <w:rPr>
          <w:i/>
          <w:iCs/>
        </w:rPr>
        <w:t>ius sanguinis</w:t>
      </w:r>
      <w:r w:rsidRPr="00FA139B">
        <w:t xml:space="preserve"> parcial</w:t>
      </w:r>
      <w:r w:rsidR="006E23E2">
        <w:t>”</w:t>
      </w:r>
      <w:r w:rsidRPr="00FA139B">
        <w:t xml:space="preserve"> </w:t>
      </w:r>
      <w:r w:rsidRPr="006E23E2">
        <w:rPr>
          <w:i/>
        </w:rPr>
        <w:t>[</w:t>
      </w:r>
      <w:r w:rsidRPr="006E23E2">
        <w:rPr>
          <w:i/>
          <w:iCs/>
        </w:rPr>
        <w:t>haq al-dam al-farai</w:t>
      </w:r>
      <w:r w:rsidRPr="006E23E2">
        <w:rPr>
          <w:i/>
        </w:rPr>
        <w:t>]</w:t>
      </w:r>
      <w:r w:rsidRPr="00FA139B">
        <w:t>.</w:t>
      </w:r>
    </w:p>
    <w:p w14:paraId="549FD488" w14:textId="77777777" w:rsidR="00FA139B" w:rsidRPr="00FA139B" w:rsidRDefault="00FA139B" w:rsidP="00FA139B">
      <w:pPr>
        <w:pStyle w:val="SingleTxtG"/>
        <w:rPr>
          <w:b/>
          <w:bCs/>
          <w:u w:val="single"/>
        </w:rPr>
      </w:pPr>
      <w:r w:rsidRPr="00FA139B">
        <w:t>126.</w:t>
      </w:r>
      <w:r w:rsidRPr="00FA139B">
        <w:tab/>
        <w:t>Se añadió el párrafo ii) al artículo 5 de la Ley núm. 100/1980, por la que se modifica la Ley núm. 15/1959 de la Nacionalidad Kuwaití. Ese párrafo dispone que serán kuwaitíes los hijos de la mujer kuwaití repudiada de manera irrevocable, supérstite o cónyuge de prisionero de guerra.</w:t>
      </w:r>
    </w:p>
    <w:p w14:paraId="12A94F5C" w14:textId="77777777" w:rsidR="00FA139B" w:rsidRPr="00FA139B" w:rsidRDefault="00FA139B" w:rsidP="00D576CC">
      <w:pPr>
        <w:pStyle w:val="H1G"/>
      </w:pPr>
      <w:r w:rsidRPr="00FA139B">
        <w:tab/>
      </w:r>
      <w:r w:rsidRPr="00FA139B">
        <w:tab/>
        <w:t>Recomendación núm. 34</w:t>
      </w:r>
    </w:p>
    <w:p w14:paraId="045629C2" w14:textId="77777777" w:rsidR="00FA139B" w:rsidRPr="00FA139B" w:rsidRDefault="00FA139B" w:rsidP="00FA139B">
      <w:pPr>
        <w:pStyle w:val="SingleTxtG"/>
      </w:pPr>
      <w:r w:rsidRPr="00FA139B">
        <w:t>127.</w:t>
      </w:r>
      <w:r w:rsidRPr="00FA139B">
        <w:tab/>
        <w:t>En Kuwait no hay refugiados o solicitantes de estatuto de refugiado, ya que el Estado no ha ratificado la Convención sobre el Estatuto de los Refugiados ni su Protocolo de 1967. A las personas con ciudadanía indeterminada (residentes en situación irregular) no se les han impuesto multas por infracción de la Ley de Extranjería, puesto que están autorizadas a residir en el Estado de Kuwait sin necesidad de obtener un permiso de residencia ordinario.</w:t>
      </w:r>
    </w:p>
    <w:p w14:paraId="788CA6D4" w14:textId="77777777" w:rsidR="00FA139B" w:rsidRPr="00FA139B" w:rsidRDefault="00FA139B" w:rsidP="00FA139B">
      <w:pPr>
        <w:pStyle w:val="SingleTxtG"/>
        <w:rPr>
          <w:b/>
          <w:bCs/>
          <w:u w:val="single"/>
        </w:rPr>
      </w:pPr>
      <w:r w:rsidRPr="00FA139B">
        <w:t>128.</w:t>
      </w:r>
      <w:r w:rsidRPr="00FA139B">
        <w:tab/>
      </w:r>
      <w:r w:rsidRPr="00FA139B">
        <w:rPr>
          <w:b/>
          <w:bCs/>
        </w:rPr>
        <w:t>Si una persona con ciudadanía indeterminada obtiene pasaporte expedido por otro Estado, la Dirección General de la Residencia modificará el estatuto de esa persona y, si cumple los requisitos exigidos para ello, le concederá un permiso ordinario de residencia en el Estado de Kuwait.</w:t>
      </w:r>
    </w:p>
    <w:p w14:paraId="46E90B6D" w14:textId="77777777" w:rsidR="00FA139B" w:rsidRPr="00FA139B" w:rsidRDefault="00FA139B" w:rsidP="00FA139B">
      <w:pPr>
        <w:pStyle w:val="SingleTxtG"/>
        <w:rPr>
          <w:b/>
          <w:bCs/>
          <w:u w:val="single"/>
        </w:rPr>
      </w:pPr>
      <w:r w:rsidRPr="00FA139B">
        <w:t>129.</w:t>
      </w:r>
      <w:r w:rsidRPr="00FA139B">
        <w:tab/>
        <w:t xml:space="preserve">Los expatriados cuyo permiso de residencia haya expirado infringen la Ley de Extranjería. El Ministerio del Interior, en consideración al trato humanitario que debe dispensarse a esas personas, ha promulgado entre otros los </w:t>
      </w:r>
      <w:r w:rsidR="007B2046">
        <w:t>D</w:t>
      </w:r>
      <w:r w:rsidRPr="00FA139B">
        <w:t xml:space="preserve">ecretos </w:t>
      </w:r>
      <w:proofErr w:type="spellStart"/>
      <w:r w:rsidRPr="00FA139B">
        <w:t>núm</w:t>
      </w:r>
      <w:r w:rsidR="007B2046">
        <w:t>s</w:t>
      </w:r>
      <w:proofErr w:type="spellEnd"/>
      <w:r w:rsidRPr="00FA139B">
        <w:t>. 64/2018 y</w:t>
      </w:r>
      <w:r w:rsidR="007B2046">
        <w:t> </w:t>
      </w:r>
      <w:r w:rsidRPr="00FA139B">
        <w:t>192/2018, por citar los más recientes. Esas resoluciones permiten a los infractores de la Ley de Extranjería abandonar el país en los plazos fijado sin abonar las sanciones pecuniarias acumuladas por infracciones a esa norma, retornar a Kuwait si es su deseo o regularizar su situación jurídica y renovar su permiso de residencia.</w:t>
      </w:r>
    </w:p>
    <w:p w14:paraId="75682A8A" w14:textId="77777777" w:rsidR="00FA139B" w:rsidRPr="00FA139B" w:rsidRDefault="00FA139B" w:rsidP="00FA139B">
      <w:pPr>
        <w:pStyle w:val="SingleTxtG"/>
      </w:pPr>
      <w:r w:rsidRPr="00FA139B">
        <w:t>130.</w:t>
      </w:r>
      <w:r w:rsidRPr="00FA139B">
        <w:tab/>
        <w:t xml:space="preserve">Ningún extranjero residente es objeto de expulsión forzosa del Estado de Kuwait. El extranjero es expulsado por vía administrativa, incluso si su permiso de residencia se encuentra en vigor, cuando concurra cualquiera de los supuestos previstos en el artículo 16 de la Ley de Extranjería y en el artículo 26 </w:t>
      </w:r>
      <w:r w:rsidRPr="007B2046">
        <w:rPr>
          <w:i/>
        </w:rPr>
        <w:t>bis</w:t>
      </w:r>
      <w:r w:rsidRPr="00FA139B">
        <w:t xml:space="preserve"> de su Reglamento Ejecutivo. </w:t>
      </w:r>
    </w:p>
    <w:p w14:paraId="3834D716" w14:textId="77777777" w:rsidR="00FA139B" w:rsidRPr="00FA139B" w:rsidRDefault="00FA139B" w:rsidP="00D576CC">
      <w:pPr>
        <w:pStyle w:val="SingleTxtG"/>
        <w:rPr>
          <w:b/>
          <w:bCs/>
          <w:u w:val="single"/>
        </w:rPr>
      </w:pPr>
      <w:r w:rsidRPr="00FA139B">
        <w:rPr>
          <w:b/>
          <w:bCs/>
        </w:rPr>
        <w:t>A continuación figura información estadística sobre las personas que, entre el 23 de febrero y el 21 de abril de 2018, abandonaron el Estado sin abono de multas o regularizaron su situación</w:t>
      </w:r>
      <w:r w:rsidR="00D576CC">
        <w:rPr>
          <w:b/>
          <w:bCs/>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19"/>
        <w:gridCol w:w="3118"/>
        <w:gridCol w:w="1133"/>
      </w:tblGrid>
      <w:tr w:rsidR="00FA139B" w:rsidRPr="00D576CC" w14:paraId="62DC3BF6" w14:textId="77777777" w:rsidTr="00D576CC">
        <w:trPr>
          <w:trHeight w:val="240"/>
          <w:tblHeader/>
        </w:trPr>
        <w:tc>
          <w:tcPr>
            <w:tcW w:w="3119" w:type="dxa"/>
            <w:tcBorders>
              <w:top w:val="single" w:sz="4" w:space="0" w:color="auto"/>
              <w:bottom w:val="single" w:sz="12" w:space="0" w:color="auto"/>
            </w:tcBorders>
            <w:shd w:val="clear" w:color="auto" w:fill="auto"/>
            <w:vAlign w:val="bottom"/>
          </w:tcPr>
          <w:p w14:paraId="5E2C30A5" w14:textId="77777777" w:rsidR="00FA139B" w:rsidRPr="00D576CC" w:rsidRDefault="00FA139B" w:rsidP="00D576CC">
            <w:pPr>
              <w:pStyle w:val="SingleTxtG"/>
              <w:spacing w:before="80" w:after="80" w:line="200" w:lineRule="exact"/>
              <w:ind w:left="0" w:right="0"/>
              <w:jc w:val="right"/>
              <w:rPr>
                <w:i/>
                <w:iCs/>
                <w:sz w:val="16"/>
              </w:rPr>
            </w:pPr>
            <w:r w:rsidRPr="00D576CC">
              <w:rPr>
                <w:i/>
                <w:iCs/>
                <w:sz w:val="16"/>
              </w:rPr>
              <w:t>Núm</w:t>
            </w:r>
            <w:r w:rsidR="00D576CC">
              <w:rPr>
                <w:i/>
                <w:iCs/>
                <w:sz w:val="16"/>
              </w:rPr>
              <w:t>ero</w:t>
            </w:r>
            <w:r w:rsidRPr="00D576CC">
              <w:rPr>
                <w:i/>
                <w:iCs/>
                <w:sz w:val="16"/>
              </w:rPr>
              <w:t xml:space="preserve"> de infractores que abandonaron </w:t>
            </w:r>
            <w:r w:rsidR="00144CCF">
              <w:rPr>
                <w:i/>
                <w:iCs/>
                <w:sz w:val="16"/>
              </w:rPr>
              <w:br/>
            </w:r>
            <w:r w:rsidRPr="00D576CC">
              <w:rPr>
                <w:i/>
                <w:iCs/>
                <w:sz w:val="16"/>
              </w:rPr>
              <w:t>el Estado sin abono de multas</w:t>
            </w:r>
          </w:p>
        </w:tc>
        <w:tc>
          <w:tcPr>
            <w:tcW w:w="3118" w:type="dxa"/>
            <w:tcBorders>
              <w:top w:val="single" w:sz="4" w:space="0" w:color="auto"/>
              <w:bottom w:val="single" w:sz="12" w:space="0" w:color="auto"/>
            </w:tcBorders>
            <w:shd w:val="clear" w:color="auto" w:fill="auto"/>
            <w:vAlign w:val="bottom"/>
          </w:tcPr>
          <w:p w14:paraId="605318FC" w14:textId="77777777" w:rsidR="00FA139B" w:rsidRPr="00D576CC" w:rsidRDefault="00FA139B" w:rsidP="00D576CC">
            <w:pPr>
              <w:pStyle w:val="SingleTxtG"/>
              <w:spacing w:before="80" w:after="80" w:line="200" w:lineRule="exact"/>
              <w:ind w:left="113" w:right="0"/>
              <w:jc w:val="right"/>
              <w:rPr>
                <w:i/>
                <w:iCs/>
                <w:sz w:val="16"/>
              </w:rPr>
            </w:pPr>
            <w:r w:rsidRPr="00D576CC">
              <w:rPr>
                <w:i/>
                <w:iCs/>
                <w:sz w:val="16"/>
              </w:rPr>
              <w:t>Núm</w:t>
            </w:r>
            <w:r w:rsidR="00D576CC">
              <w:rPr>
                <w:i/>
                <w:iCs/>
                <w:sz w:val="16"/>
              </w:rPr>
              <w:t>ero</w:t>
            </w:r>
            <w:r w:rsidRPr="00D576CC">
              <w:rPr>
                <w:i/>
                <w:iCs/>
                <w:sz w:val="16"/>
              </w:rPr>
              <w:t xml:space="preserve"> de infractores que </w:t>
            </w:r>
            <w:r w:rsidR="00144CCF">
              <w:rPr>
                <w:i/>
                <w:iCs/>
                <w:sz w:val="16"/>
              </w:rPr>
              <w:br/>
            </w:r>
            <w:r w:rsidRPr="00D576CC">
              <w:rPr>
                <w:i/>
                <w:iCs/>
                <w:sz w:val="16"/>
              </w:rPr>
              <w:t>regularizaron su situación</w:t>
            </w:r>
          </w:p>
        </w:tc>
        <w:tc>
          <w:tcPr>
            <w:tcW w:w="1133" w:type="dxa"/>
            <w:tcBorders>
              <w:top w:val="single" w:sz="4" w:space="0" w:color="auto"/>
              <w:bottom w:val="single" w:sz="12" w:space="0" w:color="auto"/>
            </w:tcBorders>
            <w:shd w:val="clear" w:color="auto" w:fill="auto"/>
            <w:vAlign w:val="bottom"/>
          </w:tcPr>
          <w:p w14:paraId="6EF25CBA" w14:textId="77777777" w:rsidR="00FA139B" w:rsidRPr="00D576CC" w:rsidRDefault="00FA139B" w:rsidP="00D576CC">
            <w:pPr>
              <w:pStyle w:val="SingleTxtG"/>
              <w:spacing w:before="80" w:after="80" w:line="200" w:lineRule="exact"/>
              <w:ind w:left="113" w:right="0"/>
              <w:jc w:val="right"/>
              <w:rPr>
                <w:i/>
                <w:iCs/>
                <w:sz w:val="16"/>
              </w:rPr>
            </w:pPr>
            <w:r w:rsidRPr="00D576CC">
              <w:rPr>
                <w:i/>
                <w:sz w:val="16"/>
              </w:rPr>
              <w:t>T</w:t>
            </w:r>
            <w:r w:rsidR="00D576CC">
              <w:rPr>
                <w:i/>
                <w:sz w:val="16"/>
              </w:rPr>
              <w:t>otal</w:t>
            </w:r>
          </w:p>
        </w:tc>
      </w:tr>
      <w:tr w:rsidR="00FA139B" w:rsidRPr="00D576CC" w14:paraId="6DD9527C" w14:textId="77777777" w:rsidTr="00D576CC">
        <w:trPr>
          <w:trHeight w:val="240"/>
        </w:trPr>
        <w:tc>
          <w:tcPr>
            <w:tcW w:w="3119" w:type="dxa"/>
            <w:tcBorders>
              <w:bottom w:val="single" w:sz="12" w:space="0" w:color="auto"/>
            </w:tcBorders>
            <w:shd w:val="clear" w:color="auto" w:fill="auto"/>
          </w:tcPr>
          <w:p w14:paraId="35F537E4" w14:textId="77777777" w:rsidR="00FA139B" w:rsidRPr="00D576CC" w:rsidRDefault="00FA139B" w:rsidP="00D576CC">
            <w:pPr>
              <w:pStyle w:val="SingleTxtG"/>
              <w:spacing w:before="40" w:after="40" w:line="220" w:lineRule="exact"/>
              <w:ind w:left="0" w:right="0"/>
              <w:jc w:val="right"/>
              <w:rPr>
                <w:sz w:val="18"/>
              </w:rPr>
            </w:pPr>
            <w:r w:rsidRPr="00D576CC">
              <w:rPr>
                <w:sz w:val="18"/>
              </w:rPr>
              <w:t>9</w:t>
            </w:r>
            <w:r w:rsidR="00D576CC">
              <w:rPr>
                <w:sz w:val="18"/>
              </w:rPr>
              <w:t xml:space="preserve"> </w:t>
            </w:r>
            <w:r w:rsidRPr="00D576CC">
              <w:rPr>
                <w:sz w:val="18"/>
              </w:rPr>
              <w:t>755</w:t>
            </w:r>
          </w:p>
        </w:tc>
        <w:tc>
          <w:tcPr>
            <w:tcW w:w="3118" w:type="dxa"/>
            <w:tcBorders>
              <w:bottom w:val="single" w:sz="12" w:space="0" w:color="auto"/>
            </w:tcBorders>
            <w:shd w:val="clear" w:color="auto" w:fill="auto"/>
            <w:vAlign w:val="bottom"/>
          </w:tcPr>
          <w:p w14:paraId="1B6DF268" w14:textId="77777777" w:rsidR="00FA139B" w:rsidRPr="00D576CC" w:rsidRDefault="00FA139B" w:rsidP="00D576CC">
            <w:pPr>
              <w:pStyle w:val="SingleTxtG"/>
              <w:spacing w:before="40" w:after="40" w:line="220" w:lineRule="exact"/>
              <w:ind w:left="113" w:right="0"/>
              <w:jc w:val="right"/>
              <w:rPr>
                <w:sz w:val="18"/>
              </w:rPr>
            </w:pPr>
            <w:r w:rsidRPr="00D576CC">
              <w:rPr>
                <w:sz w:val="18"/>
              </w:rPr>
              <w:t>12</w:t>
            </w:r>
            <w:r w:rsidR="00D576CC">
              <w:rPr>
                <w:sz w:val="18"/>
              </w:rPr>
              <w:t xml:space="preserve"> </w:t>
            </w:r>
            <w:r w:rsidRPr="00D576CC">
              <w:rPr>
                <w:sz w:val="18"/>
              </w:rPr>
              <w:t>289</w:t>
            </w:r>
          </w:p>
        </w:tc>
        <w:tc>
          <w:tcPr>
            <w:tcW w:w="1133" w:type="dxa"/>
            <w:tcBorders>
              <w:bottom w:val="single" w:sz="12" w:space="0" w:color="auto"/>
            </w:tcBorders>
            <w:shd w:val="clear" w:color="auto" w:fill="auto"/>
            <w:vAlign w:val="bottom"/>
          </w:tcPr>
          <w:p w14:paraId="63F94BAF" w14:textId="77777777" w:rsidR="00FA139B" w:rsidRPr="00D576CC" w:rsidRDefault="00FA139B" w:rsidP="00D576CC">
            <w:pPr>
              <w:pStyle w:val="SingleTxtG"/>
              <w:spacing w:before="40" w:after="40" w:line="220" w:lineRule="exact"/>
              <w:ind w:left="113" w:right="0"/>
              <w:jc w:val="right"/>
              <w:rPr>
                <w:sz w:val="18"/>
              </w:rPr>
            </w:pPr>
            <w:r w:rsidRPr="00D576CC">
              <w:rPr>
                <w:sz w:val="18"/>
              </w:rPr>
              <w:t>22</w:t>
            </w:r>
            <w:r w:rsidR="00D576CC">
              <w:rPr>
                <w:sz w:val="18"/>
              </w:rPr>
              <w:t xml:space="preserve"> </w:t>
            </w:r>
            <w:r w:rsidRPr="00D576CC">
              <w:rPr>
                <w:sz w:val="18"/>
              </w:rPr>
              <w:t>044</w:t>
            </w:r>
          </w:p>
        </w:tc>
      </w:tr>
    </w:tbl>
    <w:p w14:paraId="453E5E0D" w14:textId="77777777" w:rsidR="00FA139B" w:rsidRPr="00FA139B" w:rsidRDefault="00FA139B" w:rsidP="00D576CC">
      <w:pPr>
        <w:pStyle w:val="H1G"/>
      </w:pPr>
      <w:r w:rsidRPr="00FA139B">
        <w:lastRenderedPageBreak/>
        <w:tab/>
      </w:r>
      <w:r w:rsidRPr="00FA139B">
        <w:tab/>
        <w:t>Recomendación núm. 35</w:t>
      </w:r>
    </w:p>
    <w:p w14:paraId="04AAEE12" w14:textId="77777777" w:rsidR="00FA139B" w:rsidRPr="00FA139B" w:rsidRDefault="00FA139B" w:rsidP="00FA139B">
      <w:pPr>
        <w:pStyle w:val="SingleTxtG"/>
      </w:pPr>
      <w:r w:rsidRPr="00FA139B">
        <w:t>131.</w:t>
      </w:r>
      <w:r w:rsidRPr="00FA139B">
        <w:tab/>
        <w:t>El Estado de Kuwait se ha adherido a todas las convenciones internacionales, salvo a la Convención Internacional para la Protección de Todas las Personas contra las Desapariciones Forzadas y la Convención Internacional sobre la Protección de los Derechos de Todos los Trabajadores Migratorios y de sus Familiares. Kuwait considera todos los actos que supongan desaparición forzada una violación flagrante de esos derechos y proporciona las salvaguardias debidas para asegurar el disfrute universal de todos los derechos y las libertades fundamentales. La legislación kuwaití, entre otras cosas, prohíbe los actos de desaparición forzada e involuntaria y castiga a sus autores. Las leyes nacionales también prohíben el secuestro y los actos que socaven o limiten el derecho a la vida. El Código Penal de Kuwait tipifica y castiga esos actos.</w:t>
      </w:r>
    </w:p>
    <w:p w14:paraId="2C7BD7BF" w14:textId="77777777" w:rsidR="00FA139B" w:rsidRPr="00FA139B" w:rsidRDefault="00FA139B" w:rsidP="00FA139B">
      <w:pPr>
        <w:pStyle w:val="SingleTxtG"/>
      </w:pPr>
      <w:r w:rsidRPr="00FA139B">
        <w:t>132.</w:t>
      </w:r>
      <w:r w:rsidRPr="00FA139B">
        <w:tab/>
        <w:t xml:space="preserve">El compromiso con la Convención Internacional para la Protección de Todas las Personas contra las Desapariciones Forzadas exigiría al Estado la armonización de su legislación. Las instancias kuwaitíes competentes no consideran que la Convención conlleve obligaciones adicionales en relación con la observancia del conjunto de los derechos humanos y las libertades y con la proscripción de la desaparición forzada. Por ello, el Estado de Kuwait no considera necesaria su adhesión en estos momentos. El Estado coopera sin cortapisas con el Comité pertinente, al que ha facilitado toda la información solicitada. Ello demuestra su firme voluntad de esclarecer la verdad y tomar cuantas medidas sean necesarias para prevenir y castigar las desapariciones forzadas. </w:t>
      </w:r>
    </w:p>
    <w:p w14:paraId="26107E80" w14:textId="77777777" w:rsidR="00FA139B" w:rsidRPr="00FA139B" w:rsidRDefault="00FA139B" w:rsidP="00FA139B">
      <w:pPr>
        <w:pStyle w:val="SingleTxtG"/>
      </w:pPr>
      <w:r w:rsidRPr="00FA139B">
        <w:t>133.</w:t>
      </w:r>
      <w:r w:rsidRPr="00FA139B">
        <w:tab/>
        <w:t>El Estado de Kuwait, tras el examen pertinente, ha decidido que de momento aplaza su adhesión a la Convención Internacional sobre la Protección de los Derechos de Todos los Trabajadores Migratorios y de Sus Familiares. El legislador kuwaití vela por que en el ordenamiento constitucional y jurídico del Estado se proteja a los trabajadores migratorios y sus derechos. El Estado de Kuwait se ha adherido a siete convenios de derechos humanos de la Organización Internacional del Trabajo.</w:t>
      </w:r>
    </w:p>
    <w:p w14:paraId="61D1AC3F" w14:textId="77777777" w:rsidR="00FA139B" w:rsidRPr="00FA139B" w:rsidRDefault="00FA139B" w:rsidP="00D576CC">
      <w:pPr>
        <w:pStyle w:val="H1G"/>
      </w:pPr>
      <w:r w:rsidRPr="00FA139B">
        <w:tab/>
      </w:r>
      <w:r w:rsidRPr="00FA139B">
        <w:tab/>
        <w:t>Recomendación núm. 36</w:t>
      </w:r>
    </w:p>
    <w:p w14:paraId="43C9CC1F" w14:textId="77777777" w:rsidR="00FA139B" w:rsidRPr="00FA139B" w:rsidRDefault="00FA139B" w:rsidP="00FA139B">
      <w:pPr>
        <w:pStyle w:val="SingleTxtG"/>
        <w:rPr>
          <w:b/>
          <w:bCs/>
          <w:u w:val="single"/>
        </w:rPr>
      </w:pPr>
      <w:r w:rsidRPr="00FA139B">
        <w:t>134.</w:t>
      </w:r>
      <w:r w:rsidRPr="00FA139B">
        <w:tab/>
        <w:t>La Declaración y el Programa de Acción de Durban se tuvieron en cuenta al elaborar la Ley núm. 19/2012 para la Protección de la Unidad Nacional.</w:t>
      </w:r>
    </w:p>
    <w:p w14:paraId="2FA895EF" w14:textId="77777777" w:rsidR="00FA139B" w:rsidRPr="00FA139B" w:rsidRDefault="00FA139B" w:rsidP="00D576CC">
      <w:pPr>
        <w:pStyle w:val="H1G"/>
      </w:pPr>
      <w:r w:rsidRPr="00FA139B">
        <w:tab/>
      </w:r>
      <w:r w:rsidRPr="00FA139B">
        <w:tab/>
        <w:t>Recomendación núm. 37</w:t>
      </w:r>
    </w:p>
    <w:p w14:paraId="718CAF0A" w14:textId="77777777" w:rsidR="00FA139B" w:rsidRPr="00FA139B" w:rsidRDefault="00FA139B" w:rsidP="00FA139B">
      <w:pPr>
        <w:pStyle w:val="SingleTxtG"/>
      </w:pPr>
      <w:r w:rsidRPr="00FA139B">
        <w:t>135.</w:t>
      </w:r>
      <w:r w:rsidRPr="00FA139B">
        <w:tab/>
        <w:t>En relación con las medidas concretas adoptadas por el Estado de Kuwait para luchar contra el racismo en el marco del Decenio Internacional de los Afrodescendientes conviene señalar que, según el artículo 29 de la Constitución de Kuwait, todas las personas son iguales ante la ley en dignidad y en derechos y deberes generales y no se harán distinciones entre ellas por motivo de sexo, origen, lengua o religión.</w:t>
      </w:r>
    </w:p>
    <w:p w14:paraId="3D23FBD5" w14:textId="77777777" w:rsidR="00FA139B" w:rsidRPr="00FA139B" w:rsidRDefault="00FA139B" w:rsidP="00D576CC">
      <w:pPr>
        <w:pStyle w:val="H1G"/>
      </w:pPr>
      <w:r w:rsidRPr="00FA139B">
        <w:tab/>
      </w:r>
      <w:r w:rsidRPr="00FA139B">
        <w:tab/>
        <w:t>Recomendación núm. 38</w:t>
      </w:r>
    </w:p>
    <w:p w14:paraId="2880F51E" w14:textId="77777777" w:rsidR="00FA139B" w:rsidRPr="00FA139B" w:rsidRDefault="00FA139B" w:rsidP="00FA139B">
      <w:pPr>
        <w:pStyle w:val="SingleTxtG"/>
      </w:pPr>
      <w:r w:rsidRPr="00FA139B">
        <w:t>136.</w:t>
      </w:r>
      <w:r w:rsidRPr="00FA139B">
        <w:tab/>
        <w:t>La Comisión Nacional Permanente para la Elaboración de los Informes y el Seguimiento de las Recomendaciones de Derechos Humanos vela por que el Estado de Kuwait cumpla los compromisos adquiridos ante los órganos de tratados y presente sus informes periódicos de manera oportuna. Ese organismo es responsable de consultar a las organizaciones de la sociedad civil durante la elaboración de los informes pertinentes.</w:t>
      </w:r>
    </w:p>
    <w:p w14:paraId="76485876" w14:textId="77777777" w:rsidR="00FA139B" w:rsidRPr="00FA139B" w:rsidRDefault="00FA139B" w:rsidP="00D576CC">
      <w:pPr>
        <w:pStyle w:val="H1G"/>
      </w:pPr>
      <w:r w:rsidRPr="00FA139B">
        <w:tab/>
      </w:r>
      <w:r w:rsidRPr="00FA139B">
        <w:tab/>
        <w:t>Recomendación núm. 39</w:t>
      </w:r>
    </w:p>
    <w:p w14:paraId="50769B88" w14:textId="77777777" w:rsidR="00FA139B" w:rsidRPr="00FA139B" w:rsidRDefault="00FA139B" w:rsidP="00FA139B">
      <w:pPr>
        <w:pStyle w:val="SingleTxtG"/>
      </w:pPr>
      <w:r w:rsidRPr="00FA139B">
        <w:t>137.</w:t>
      </w:r>
      <w:r w:rsidRPr="00FA139B">
        <w:tab/>
        <w:t xml:space="preserve">Los Estados examinan siempre las declaraciones facultativas considerando sus circunstancias particulares. La adhesión a esas declaraciones, si bien es deseable, se deja al arbitrio de cada Estado si no concurren las circunstancias adecuadas para ello. Puesto que la declaración es de naturaleza facultativa, los autores de los convenios consideran que los </w:t>
      </w:r>
      <w:r w:rsidRPr="00FA139B">
        <w:lastRenderedPageBreak/>
        <w:t xml:space="preserve">Estados no pueden ser obligados a adherirse a ella. Además, existen otros mecanismos nacionales alternativos que permiten examinar las vulneraciones de los derechos consagrados en la Convención, en primer lugar el recurso a los tribunales de justicia y a los organismos nacionales para la protección de los derechos humanos. </w:t>
      </w:r>
    </w:p>
    <w:p w14:paraId="71398333" w14:textId="77777777" w:rsidR="00FA139B" w:rsidRPr="00FA139B" w:rsidRDefault="00FA139B" w:rsidP="00D576CC">
      <w:pPr>
        <w:pStyle w:val="H1G"/>
      </w:pPr>
      <w:r w:rsidRPr="00FA139B">
        <w:tab/>
      </w:r>
      <w:r w:rsidRPr="00FA139B">
        <w:tab/>
        <w:t>Recomendación núm. 40</w:t>
      </w:r>
    </w:p>
    <w:p w14:paraId="466B30B7" w14:textId="77777777" w:rsidR="00FA139B" w:rsidRPr="00FA139B" w:rsidRDefault="00FA139B" w:rsidP="00FA139B">
      <w:pPr>
        <w:pStyle w:val="SingleTxtG"/>
      </w:pPr>
      <w:r w:rsidRPr="00FA139B">
        <w:t>138.</w:t>
      </w:r>
      <w:r w:rsidRPr="00FA139B">
        <w:tab/>
        <w:t>El Estado de Kuwait examina con interés la posibilidad de ratificar la enmienda aprobada en la 14ª reunión de los Estados partes en la Convención.</w:t>
      </w:r>
    </w:p>
    <w:p w14:paraId="1938B99E" w14:textId="77777777" w:rsidR="00FA139B" w:rsidRPr="00FA139B" w:rsidRDefault="00FA139B" w:rsidP="00D576CC">
      <w:pPr>
        <w:pStyle w:val="H1G"/>
      </w:pPr>
      <w:r w:rsidRPr="00FA139B">
        <w:tab/>
      </w:r>
      <w:r w:rsidRPr="00FA139B">
        <w:tab/>
        <w:t>Recomendación núm. 41</w:t>
      </w:r>
    </w:p>
    <w:p w14:paraId="3035B3C6" w14:textId="77777777" w:rsidR="00FA139B" w:rsidRPr="00FA139B" w:rsidRDefault="00FA139B" w:rsidP="00FA139B">
      <w:pPr>
        <w:pStyle w:val="SingleTxtG"/>
      </w:pPr>
      <w:r w:rsidRPr="00FA139B">
        <w:t>139.</w:t>
      </w:r>
      <w:r w:rsidRPr="00FA139B">
        <w:tab/>
        <w:t>El Estado de Kuwait ha revisado el documento básico común adjunto a sus informes 25º a 26º para ajustarlo a las directrices armonizadas para la presentación de los informes a los órganos creados en virtud de tratados internacionales de derechos humanos.</w:t>
      </w:r>
    </w:p>
    <w:p w14:paraId="173E7073" w14:textId="77777777" w:rsidR="00FA139B" w:rsidRPr="00FA139B" w:rsidRDefault="00FA139B" w:rsidP="00D576CC">
      <w:pPr>
        <w:pStyle w:val="H1G"/>
      </w:pPr>
      <w:r w:rsidRPr="00FA139B">
        <w:tab/>
      </w:r>
      <w:r w:rsidRPr="00FA139B">
        <w:tab/>
        <w:t>Recomendación núm. 42</w:t>
      </w:r>
    </w:p>
    <w:p w14:paraId="516CA41F" w14:textId="77777777" w:rsidR="00FA139B" w:rsidRPr="00FA139B" w:rsidRDefault="00FA139B" w:rsidP="00FA139B">
      <w:pPr>
        <w:pStyle w:val="SingleTxtG"/>
      </w:pPr>
      <w:r w:rsidRPr="00FA139B">
        <w:t>140.</w:t>
      </w:r>
      <w:r w:rsidRPr="00FA139B">
        <w:tab/>
        <w:t>El Estado ha respondido a las recomendaciones formuladas en los párrafos 14, 20, 26 y 28 a) en el plazo fijado por el Comité. El Estado recibió la carta remitida por el Presidente del Comité para la Eliminación de la Discriminación Racial, con signatura CERD/98th session/FU/MJA/ks, en la que se agradece al Estado de Kuwait la respuesta solicitada a algunas de las recomendaciones formuladas y la remisión de esa respuesta en el plazo de un año desde el examen de sus informes periódicos combinados 21º a 24º.</w:t>
      </w:r>
    </w:p>
    <w:p w14:paraId="4FE129E1" w14:textId="77777777" w:rsidR="00FA139B" w:rsidRPr="00FA139B" w:rsidRDefault="00FA139B" w:rsidP="00D576CC">
      <w:pPr>
        <w:pStyle w:val="H1G"/>
      </w:pPr>
      <w:r w:rsidRPr="00FA139B">
        <w:tab/>
      </w:r>
      <w:r w:rsidRPr="00FA139B">
        <w:tab/>
        <w:t>Recomendación núm. 43</w:t>
      </w:r>
    </w:p>
    <w:p w14:paraId="0C1076CE" w14:textId="77777777" w:rsidR="00FA139B" w:rsidRPr="00FA139B" w:rsidRDefault="00FA139B" w:rsidP="00FA139B">
      <w:pPr>
        <w:pStyle w:val="SingleTxtG"/>
        <w:rPr>
          <w:b/>
          <w:bCs/>
          <w:u w:val="single"/>
        </w:rPr>
      </w:pPr>
      <w:r w:rsidRPr="00FA139B">
        <w:t>141.</w:t>
      </w:r>
      <w:r w:rsidRPr="00FA139B">
        <w:tab/>
        <w:t>En relación con la particular importancia concedida por el Comité a los párrafos 14, 20, 26 y 28 a), el Estado de Kuwait desea aclarar que ha respondido por extenso a esos párrafos en el presente informe.</w:t>
      </w:r>
    </w:p>
    <w:p w14:paraId="6EAA7D0C" w14:textId="77777777" w:rsidR="00FA139B" w:rsidRPr="00FA139B" w:rsidRDefault="00D576CC" w:rsidP="00D576CC">
      <w:pPr>
        <w:pStyle w:val="H1G"/>
      </w:pPr>
      <w:r>
        <w:tab/>
      </w:r>
      <w:r w:rsidR="00FA139B" w:rsidRPr="00FA139B">
        <w:tab/>
        <w:t>Recomendación núm. 44</w:t>
      </w:r>
    </w:p>
    <w:p w14:paraId="1D8C28C0" w14:textId="77777777" w:rsidR="00FA139B" w:rsidRDefault="00FA139B" w:rsidP="00FA139B">
      <w:pPr>
        <w:pStyle w:val="SingleTxtG"/>
      </w:pPr>
      <w:r w:rsidRPr="00FA139B">
        <w:t>142.</w:t>
      </w:r>
      <w:r w:rsidRPr="00FA139B">
        <w:tab/>
        <w:t>La Comisión Nacional Permanente para la Elaboración de los Informes y el Seguimiento de las Recomendaciones de Derechos Humanos, haciendo honor a los compromisos adquiridos por el Estado de Kuwait en virtud de su adhesión a las convenciones internacionales, suele publicar los informes del Estado en el sitio web del Ministerio de Relaciones Exteriore</w:t>
      </w:r>
      <w:bookmarkStart w:id="2" w:name="_GoBack"/>
      <w:bookmarkEnd w:id="2"/>
      <w:r w:rsidRPr="00FA139B">
        <w:t xml:space="preserve">s y los hace públicos en los medios de comunicación nacionales durante el período de consultas con las </w:t>
      </w:r>
      <w:r w:rsidR="00451E02">
        <w:t>ONG</w:t>
      </w:r>
      <w:r w:rsidRPr="00FA139B">
        <w:t>, así como tras el examen ante los órganos de tratados.</w:t>
      </w:r>
    </w:p>
    <w:p w14:paraId="25041D1A" w14:textId="77777777" w:rsidR="00D576CC" w:rsidRPr="00D576CC" w:rsidRDefault="00D576CC" w:rsidP="00D576CC">
      <w:pPr>
        <w:pStyle w:val="SingleTxtG"/>
        <w:suppressAutoHyphens/>
        <w:spacing w:before="240" w:after="0"/>
        <w:jc w:val="center"/>
        <w:rPr>
          <w:u w:val="single"/>
        </w:rPr>
      </w:pPr>
      <w:r>
        <w:rPr>
          <w:u w:val="single"/>
        </w:rPr>
        <w:tab/>
      </w:r>
      <w:r>
        <w:rPr>
          <w:u w:val="single"/>
        </w:rPr>
        <w:tab/>
      </w:r>
      <w:r>
        <w:rPr>
          <w:u w:val="single"/>
        </w:rPr>
        <w:tab/>
      </w:r>
    </w:p>
    <w:sectPr w:rsidR="00D576CC" w:rsidRPr="00D576CC" w:rsidSect="00FA139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066B1" w14:textId="77777777" w:rsidR="00076189" w:rsidRPr="00D43FF0" w:rsidRDefault="00076189" w:rsidP="00D43FF0">
      <w:pPr>
        <w:pStyle w:val="Piedepgina"/>
      </w:pPr>
    </w:p>
  </w:endnote>
  <w:endnote w:type="continuationSeparator" w:id="0">
    <w:p w14:paraId="7F7F300E" w14:textId="77777777" w:rsidR="00076189" w:rsidRPr="00D43FF0" w:rsidRDefault="0007618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0EF79" w14:textId="77777777" w:rsidR="00076189" w:rsidRPr="00FA139B" w:rsidRDefault="00076189" w:rsidP="00FA139B">
    <w:pPr>
      <w:pStyle w:val="Piedepgina"/>
      <w:tabs>
        <w:tab w:val="right" w:pos="9638"/>
      </w:tabs>
    </w:pPr>
    <w:r w:rsidRPr="00FA139B">
      <w:rPr>
        <w:b/>
        <w:sz w:val="18"/>
      </w:rPr>
      <w:fldChar w:fldCharType="begin"/>
    </w:r>
    <w:r w:rsidRPr="00FA139B">
      <w:rPr>
        <w:b/>
        <w:sz w:val="18"/>
      </w:rPr>
      <w:instrText xml:space="preserve"> PAGE  \* MERGEFORMAT </w:instrText>
    </w:r>
    <w:r w:rsidRPr="00FA139B">
      <w:rPr>
        <w:b/>
        <w:sz w:val="18"/>
      </w:rPr>
      <w:fldChar w:fldCharType="separate"/>
    </w:r>
    <w:r w:rsidRPr="00FA139B">
      <w:rPr>
        <w:b/>
        <w:noProof/>
        <w:sz w:val="18"/>
      </w:rPr>
      <w:t>2</w:t>
    </w:r>
    <w:r w:rsidRPr="00FA139B">
      <w:rPr>
        <w:b/>
        <w:sz w:val="18"/>
      </w:rPr>
      <w:fldChar w:fldCharType="end"/>
    </w:r>
    <w:r>
      <w:rPr>
        <w:b/>
        <w:sz w:val="18"/>
      </w:rPr>
      <w:tab/>
    </w:r>
    <w:r>
      <w:t>GE.20-10615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D532" w14:textId="77777777" w:rsidR="00076189" w:rsidRPr="00FA139B" w:rsidRDefault="00076189" w:rsidP="00FA139B">
    <w:pPr>
      <w:pStyle w:val="Piedepgina"/>
      <w:tabs>
        <w:tab w:val="right" w:pos="9638"/>
      </w:tabs>
      <w:rPr>
        <w:b/>
        <w:sz w:val="18"/>
      </w:rPr>
    </w:pPr>
    <w:r>
      <w:t>GE.20-10615</w:t>
    </w:r>
    <w:r>
      <w:tab/>
    </w:r>
    <w:r w:rsidRPr="00FA139B">
      <w:rPr>
        <w:b/>
        <w:sz w:val="18"/>
      </w:rPr>
      <w:fldChar w:fldCharType="begin"/>
    </w:r>
    <w:r w:rsidRPr="00FA139B">
      <w:rPr>
        <w:b/>
        <w:sz w:val="18"/>
      </w:rPr>
      <w:instrText xml:space="preserve"> PAGE  \* MERGEFORMAT </w:instrText>
    </w:r>
    <w:r w:rsidRPr="00FA139B">
      <w:rPr>
        <w:b/>
        <w:sz w:val="18"/>
      </w:rPr>
      <w:fldChar w:fldCharType="separate"/>
    </w:r>
    <w:r w:rsidRPr="00FA139B">
      <w:rPr>
        <w:b/>
        <w:noProof/>
        <w:sz w:val="18"/>
      </w:rPr>
      <w:t>3</w:t>
    </w:r>
    <w:r w:rsidRPr="00FA13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2FA57" w14:textId="77777777" w:rsidR="00076189" w:rsidRPr="00FA139B" w:rsidRDefault="00076189" w:rsidP="00FA139B">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58C28829" wp14:editId="39EE6A4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-10615  (S)    250820    270820</w:t>
    </w:r>
    <w:r>
      <w:rPr>
        <w:sz w:val="20"/>
      </w:rPr>
      <w:br/>
    </w:r>
    <w:r w:rsidRPr="00FA139B">
      <w:rPr>
        <w:rFonts w:ascii="C39T30Lfz" w:hAnsi="C39T30Lfz"/>
        <w:sz w:val="56"/>
      </w:rPr>
      <w:t>*2010615*</w:t>
    </w:r>
    <w:r>
      <w:rPr>
        <w:noProof/>
        <w:sz w:val="20"/>
      </w:rPr>
      <w:drawing>
        <wp:anchor distT="0" distB="0" distL="114300" distR="114300" simplePos="0" relativeHeight="251654144" behindDoc="0" locked="0" layoutInCell="1" allowOverlap="1" wp14:anchorId="0A6F25E5" wp14:editId="650D735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09A51" w14:textId="77777777" w:rsidR="00076189" w:rsidRPr="001075E9" w:rsidRDefault="00076189" w:rsidP="001075E9">
      <w:pPr>
        <w:tabs>
          <w:tab w:val="right" w:pos="2155"/>
        </w:tabs>
        <w:spacing w:after="80" w:line="240" w:lineRule="auto"/>
        <w:ind w:left="680"/>
        <w:rPr>
          <w:u w:val="single"/>
        </w:rPr>
      </w:pPr>
      <w:r>
        <w:rPr>
          <w:u w:val="single"/>
        </w:rPr>
        <w:tab/>
      </w:r>
    </w:p>
  </w:footnote>
  <w:footnote w:type="continuationSeparator" w:id="0">
    <w:p w14:paraId="3F7F805E" w14:textId="77777777" w:rsidR="00076189" w:rsidRDefault="00076189" w:rsidP="00D43FF0">
      <w:pPr>
        <w:tabs>
          <w:tab w:val="right" w:pos="2155"/>
        </w:tabs>
        <w:spacing w:after="80" w:line="240" w:lineRule="auto"/>
        <w:ind w:left="680"/>
        <w:rPr>
          <w:u w:val="single"/>
        </w:rPr>
      </w:pPr>
      <w:r>
        <w:rPr>
          <w:u w:val="single"/>
        </w:rPr>
        <w:tab/>
      </w:r>
    </w:p>
  </w:footnote>
  <w:footnote w:id="1">
    <w:p w14:paraId="500ED6CD" w14:textId="77777777" w:rsidR="00076189" w:rsidRPr="00472A76" w:rsidRDefault="00076189" w:rsidP="00FA139B">
      <w:pPr>
        <w:pStyle w:val="Textonotapie"/>
      </w:pPr>
      <w:r w:rsidRPr="00472A76">
        <w:rPr>
          <w:rFonts w:eastAsiaTheme="majorEastAsia"/>
        </w:rPr>
        <w:tab/>
      </w:r>
      <w:r w:rsidRPr="00FA139B">
        <w:rPr>
          <w:rFonts w:eastAsiaTheme="majorEastAsia"/>
          <w:sz w:val="20"/>
          <w:szCs w:val="22"/>
        </w:rPr>
        <w:t>*</w:t>
      </w:r>
      <w:r w:rsidRPr="00FA139B">
        <w:rPr>
          <w:rFonts w:eastAsiaTheme="majorEastAsia"/>
          <w:sz w:val="20"/>
          <w:szCs w:val="22"/>
        </w:rPr>
        <w:tab/>
      </w:r>
      <w:r w:rsidRPr="00472A7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E3375" w14:textId="0B403D3F" w:rsidR="00076189" w:rsidRPr="00FA139B" w:rsidRDefault="00931A6C">
    <w:pPr>
      <w:pStyle w:val="Encabezado"/>
    </w:pPr>
    <w:r>
      <w:fldChar w:fldCharType="begin"/>
    </w:r>
    <w:r>
      <w:instrText xml:space="preserve"> TITLE  \* MERGEFORMAT </w:instrText>
    </w:r>
    <w:r>
      <w:fldChar w:fldCharType="separate"/>
    </w:r>
    <w:proofErr w:type="spellStart"/>
    <w:r>
      <w:t>CERD</w:t>
    </w:r>
    <w:proofErr w:type="spellEnd"/>
    <w:r>
      <w:t>/C/</w:t>
    </w:r>
    <w:proofErr w:type="spellStart"/>
    <w:r>
      <w:t>KWT</w:t>
    </w:r>
    <w:proofErr w:type="spellEnd"/>
    <w:r>
      <w:t>/25-26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F26FE" w14:textId="7F3C0E5F" w:rsidR="00076189" w:rsidRPr="00FA139B" w:rsidRDefault="00931A6C" w:rsidP="00FA139B">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KWT</w:t>
    </w:r>
    <w:proofErr w:type="spellEnd"/>
    <w:r>
      <w:t>/25-26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E13A3"/>
    <w:rsid w:val="00006BB9"/>
    <w:rsid w:val="000107A1"/>
    <w:rsid w:val="0002339D"/>
    <w:rsid w:val="00036733"/>
    <w:rsid w:val="00076189"/>
    <w:rsid w:val="000B57E7"/>
    <w:rsid w:val="000F09DF"/>
    <w:rsid w:val="000F61B2"/>
    <w:rsid w:val="00100EA7"/>
    <w:rsid w:val="00103A93"/>
    <w:rsid w:val="001075E9"/>
    <w:rsid w:val="00127811"/>
    <w:rsid w:val="00133DFF"/>
    <w:rsid w:val="00144CCF"/>
    <w:rsid w:val="00145F2F"/>
    <w:rsid w:val="00160FF7"/>
    <w:rsid w:val="00180183"/>
    <w:rsid w:val="00182953"/>
    <w:rsid w:val="00196389"/>
    <w:rsid w:val="001C7A89"/>
    <w:rsid w:val="001E13A3"/>
    <w:rsid w:val="00201F1A"/>
    <w:rsid w:val="0020777D"/>
    <w:rsid w:val="00213632"/>
    <w:rsid w:val="002433EC"/>
    <w:rsid w:val="0025226E"/>
    <w:rsid w:val="00281DDE"/>
    <w:rsid w:val="00283ED7"/>
    <w:rsid w:val="002A2EFC"/>
    <w:rsid w:val="002C0E18"/>
    <w:rsid w:val="002C33BB"/>
    <w:rsid w:val="002D5AAC"/>
    <w:rsid w:val="00301299"/>
    <w:rsid w:val="00322004"/>
    <w:rsid w:val="003402C2"/>
    <w:rsid w:val="00350A30"/>
    <w:rsid w:val="00354666"/>
    <w:rsid w:val="00381C24"/>
    <w:rsid w:val="003831D1"/>
    <w:rsid w:val="003958D0"/>
    <w:rsid w:val="003D372B"/>
    <w:rsid w:val="00402AFE"/>
    <w:rsid w:val="004031F0"/>
    <w:rsid w:val="00451E02"/>
    <w:rsid w:val="00454E07"/>
    <w:rsid w:val="00471CB3"/>
    <w:rsid w:val="004F65C8"/>
    <w:rsid w:val="0050108D"/>
    <w:rsid w:val="0051740C"/>
    <w:rsid w:val="00546F86"/>
    <w:rsid w:val="00572E19"/>
    <w:rsid w:val="005F0B42"/>
    <w:rsid w:val="00634841"/>
    <w:rsid w:val="006416E5"/>
    <w:rsid w:val="00644AA7"/>
    <w:rsid w:val="00655A21"/>
    <w:rsid w:val="006650E5"/>
    <w:rsid w:val="0067198A"/>
    <w:rsid w:val="006725B3"/>
    <w:rsid w:val="006808A9"/>
    <w:rsid w:val="006D631C"/>
    <w:rsid w:val="006E23E2"/>
    <w:rsid w:val="006F35EE"/>
    <w:rsid w:val="007021FF"/>
    <w:rsid w:val="007076CB"/>
    <w:rsid w:val="007967DF"/>
    <w:rsid w:val="007B2046"/>
    <w:rsid w:val="008051D8"/>
    <w:rsid w:val="0080761C"/>
    <w:rsid w:val="00817E48"/>
    <w:rsid w:val="00834B71"/>
    <w:rsid w:val="00862B24"/>
    <w:rsid w:val="0086445C"/>
    <w:rsid w:val="00865A80"/>
    <w:rsid w:val="00865FAC"/>
    <w:rsid w:val="008728CD"/>
    <w:rsid w:val="008A08D7"/>
    <w:rsid w:val="008A13F9"/>
    <w:rsid w:val="008C0F65"/>
    <w:rsid w:val="008C29C4"/>
    <w:rsid w:val="008F358C"/>
    <w:rsid w:val="00906890"/>
    <w:rsid w:val="00911868"/>
    <w:rsid w:val="00931A6C"/>
    <w:rsid w:val="00944977"/>
    <w:rsid w:val="00951972"/>
    <w:rsid w:val="00954E65"/>
    <w:rsid w:val="009C3FA2"/>
    <w:rsid w:val="00A158AC"/>
    <w:rsid w:val="00A17DFD"/>
    <w:rsid w:val="00A414EF"/>
    <w:rsid w:val="00A4674B"/>
    <w:rsid w:val="00A80137"/>
    <w:rsid w:val="00A917B3"/>
    <w:rsid w:val="00AB4B51"/>
    <w:rsid w:val="00B066FC"/>
    <w:rsid w:val="00B10CC7"/>
    <w:rsid w:val="00B62458"/>
    <w:rsid w:val="00B778C8"/>
    <w:rsid w:val="00BA3587"/>
    <w:rsid w:val="00BB36EA"/>
    <w:rsid w:val="00BD33EE"/>
    <w:rsid w:val="00C53B06"/>
    <w:rsid w:val="00C60F0C"/>
    <w:rsid w:val="00C63C2A"/>
    <w:rsid w:val="00C805C9"/>
    <w:rsid w:val="00C907F0"/>
    <w:rsid w:val="00CA1679"/>
    <w:rsid w:val="00CC15A3"/>
    <w:rsid w:val="00D04F36"/>
    <w:rsid w:val="00D05347"/>
    <w:rsid w:val="00D43FF0"/>
    <w:rsid w:val="00D576CC"/>
    <w:rsid w:val="00D90138"/>
    <w:rsid w:val="00D91BBE"/>
    <w:rsid w:val="00DA26B8"/>
    <w:rsid w:val="00DD4E25"/>
    <w:rsid w:val="00E2656E"/>
    <w:rsid w:val="00E32124"/>
    <w:rsid w:val="00E73F76"/>
    <w:rsid w:val="00EA31D8"/>
    <w:rsid w:val="00EA5579"/>
    <w:rsid w:val="00EF1360"/>
    <w:rsid w:val="00EF3220"/>
    <w:rsid w:val="00EF7198"/>
    <w:rsid w:val="00F16CA7"/>
    <w:rsid w:val="00F41883"/>
    <w:rsid w:val="00F45524"/>
    <w:rsid w:val="00F94155"/>
    <w:rsid w:val="00FA139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0F17DD"/>
  <w15:docId w15:val="{586E97E2-6B52-436A-AD00-007A9C78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Table_GA"/>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Char,Fußnotentext arial,Char,Footnote Text Char Char Char Char,Footnote Text Char Char,Char Char Char Char, Char Char Char Char,Note de bas de page Car,Char Car,EUMC_Lábjegyzetszöveg + 13 pt,Félkövér,Dolt,Középre zárt Char,Fußnote,f"/>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7_GA"/>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2_ GA"/>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FA139B"/>
    <w:rPr>
      <w:rFonts w:cs="Arial"/>
      <w:bCs/>
      <w:szCs w:val="32"/>
      <w:lang w:val="es-ES" w:eastAsia="es-ES"/>
    </w:rPr>
  </w:style>
  <w:style w:type="character" w:customStyle="1" w:styleId="Ttulo2Car">
    <w:name w:val="Título 2 Car"/>
    <w:basedOn w:val="Fuentedeprrafopredeter"/>
    <w:link w:val="Ttulo2"/>
    <w:rsid w:val="00FA139B"/>
    <w:rPr>
      <w:rFonts w:cs="Arial"/>
      <w:bCs/>
      <w:iCs/>
      <w:szCs w:val="28"/>
      <w:lang w:val="es-ES" w:eastAsia="es-ES"/>
    </w:rPr>
  </w:style>
  <w:style w:type="character" w:customStyle="1" w:styleId="Ttulo3Car">
    <w:name w:val="Título 3 Car"/>
    <w:basedOn w:val="Fuentedeprrafopredeter"/>
    <w:link w:val="Ttulo3"/>
    <w:rsid w:val="00FA139B"/>
    <w:rPr>
      <w:rFonts w:ascii="Arial" w:hAnsi="Arial" w:cs="Arial"/>
      <w:b/>
      <w:bCs/>
      <w:sz w:val="26"/>
      <w:szCs w:val="26"/>
      <w:lang w:val="es-ES" w:eastAsia="es-ES"/>
    </w:rPr>
  </w:style>
  <w:style w:type="character" w:customStyle="1" w:styleId="Ttulo4Car">
    <w:name w:val="Título 4 Car"/>
    <w:basedOn w:val="Fuentedeprrafopredeter"/>
    <w:link w:val="Ttulo4"/>
    <w:rsid w:val="00FA139B"/>
    <w:rPr>
      <w:b/>
      <w:bCs/>
      <w:sz w:val="28"/>
      <w:szCs w:val="28"/>
      <w:lang w:val="es-ES" w:eastAsia="es-ES"/>
    </w:rPr>
  </w:style>
  <w:style w:type="character" w:customStyle="1" w:styleId="Ttulo5Car">
    <w:name w:val="Título 5 Car"/>
    <w:basedOn w:val="Fuentedeprrafopredeter"/>
    <w:link w:val="Ttulo5"/>
    <w:rsid w:val="00FA139B"/>
    <w:rPr>
      <w:b/>
      <w:bCs/>
      <w:i/>
      <w:iCs/>
      <w:sz w:val="26"/>
      <w:szCs w:val="26"/>
      <w:lang w:val="es-ES" w:eastAsia="es-ES"/>
    </w:rPr>
  </w:style>
  <w:style w:type="character" w:customStyle="1" w:styleId="Ttulo6Car">
    <w:name w:val="Título 6 Car"/>
    <w:basedOn w:val="Fuentedeprrafopredeter"/>
    <w:link w:val="Ttulo6"/>
    <w:rsid w:val="00FA139B"/>
    <w:rPr>
      <w:b/>
      <w:bCs/>
      <w:sz w:val="22"/>
      <w:szCs w:val="22"/>
      <w:lang w:val="es-ES" w:eastAsia="es-ES"/>
    </w:rPr>
  </w:style>
  <w:style w:type="character" w:customStyle="1" w:styleId="Ttulo7Car">
    <w:name w:val="Título 7 Car"/>
    <w:basedOn w:val="Fuentedeprrafopredeter"/>
    <w:link w:val="Ttulo7"/>
    <w:rsid w:val="00FA139B"/>
    <w:rPr>
      <w:sz w:val="24"/>
      <w:szCs w:val="24"/>
      <w:lang w:val="es-ES" w:eastAsia="es-ES"/>
    </w:rPr>
  </w:style>
  <w:style w:type="character" w:customStyle="1" w:styleId="Ttulo8Car">
    <w:name w:val="Título 8 Car"/>
    <w:basedOn w:val="Fuentedeprrafopredeter"/>
    <w:link w:val="Ttulo8"/>
    <w:rsid w:val="00FA139B"/>
    <w:rPr>
      <w:i/>
      <w:iCs/>
      <w:sz w:val="24"/>
      <w:szCs w:val="24"/>
      <w:lang w:val="es-ES" w:eastAsia="es-ES"/>
    </w:rPr>
  </w:style>
  <w:style w:type="character" w:customStyle="1" w:styleId="Ttulo9Car">
    <w:name w:val="Título 9 Car"/>
    <w:basedOn w:val="Fuentedeprrafopredeter"/>
    <w:link w:val="Ttulo9"/>
    <w:rsid w:val="00FA139B"/>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FA139B"/>
    <w:rPr>
      <w:b/>
      <w:sz w:val="18"/>
      <w:lang w:val="es-ES" w:eastAsia="es-ES"/>
    </w:rPr>
  </w:style>
  <w:style w:type="character" w:customStyle="1" w:styleId="PiedepginaCar">
    <w:name w:val="Pie de página Car"/>
    <w:aliases w:val="3_G Car,3_GA Car"/>
    <w:basedOn w:val="Fuentedeprrafopredeter"/>
    <w:link w:val="Piedepgina"/>
    <w:rsid w:val="00FA139B"/>
    <w:rPr>
      <w:sz w:val="16"/>
      <w:lang w:val="es-ES" w:eastAsia="es-ES"/>
    </w:rPr>
  </w:style>
  <w:style w:type="character" w:customStyle="1" w:styleId="TextonotapieCar">
    <w:name w:val="Texto nota pie Car"/>
    <w:aliases w:val="5_G Car, Char Car,Fußnotentext arial Car,Char Car1,Footnote Text Char Char Char Char Car,Footnote Text Char Char Car,Char Char Char Char Car, Char Char Char Char Car,Note de bas de page Car Car,Char Car Car,Félkövér Car,Dolt Car,f Car"/>
    <w:basedOn w:val="Fuentedeprrafopredeter"/>
    <w:link w:val="Textonotapie"/>
    <w:rsid w:val="00FA139B"/>
    <w:rPr>
      <w:sz w:val="18"/>
      <w:lang w:val="es-ES" w:eastAsia="es-ES"/>
    </w:rPr>
  </w:style>
  <w:style w:type="character" w:customStyle="1" w:styleId="CierreCar">
    <w:name w:val="Cierre Car"/>
    <w:basedOn w:val="Fuentedeprrafopredeter"/>
    <w:link w:val="Cierre"/>
    <w:semiHidden/>
    <w:rsid w:val="00FA139B"/>
    <w:rPr>
      <w:lang w:val="es-ES" w:eastAsia="es-ES"/>
    </w:rPr>
  </w:style>
  <w:style w:type="character" w:customStyle="1" w:styleId="DireccinHTMLCar">
    <w:name w:val="Dirección HTML Car"/>
    <w:basedOn w:val="Fuentedeprrafopredeter"/>
    <w:link w:val="DireccinHTML"/>
    <w:semiHidden/>
    <w:rsid w:val="00FA139B"/>
    <w:rPr>
      <w:i/>
      <w:iCs/>
      <w:lang w:val="es-ES" w:eastAsia="es-ES"/>
    </w:rPr>
  </w:style>
  <w:style w:type="character" w:customStyle="1" w:styleId="EncabezadodemensajeCar">
    <w:name w:val="Encabezado de mensaje Car"/>
    <w:basedOn w:val="Fuentedeprrafopredeter"/>
    <w:link w:val="Encabezadodemensaje"/>
    <w:semiHidden/>
    <w:rsid w:val="00FA139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A139B"/>
    <w:rPr>
      <w:lang w:val="es-ES" w:eastAsia="es-ES"/>
    </w:rPr>
  </w:style>
  <w:style w:type="character" w:customStyle="1" w:styleId="FechaCar">
    <w:name w:val="Fecha Car"/>
    <w:basedOn w:val="Fuentedeprrafopredeter"/>
    <w:link w:val="Fecha"/>
    <w:semiHidden/>
    <w:rsid w:val="00FA139B"/>
    <w:rPr>
      <w:lang w:val="es-ES" w:eastAsia="es-ES"/>
    </w:rPr>
  </w:style>
  <w:style w:type="character" w:customStyle="1" w:styleId="FirmaCar">
    <w:name w:val="Firma Car"/>
    <w:basedOn w:val="Fuentedeprrafopredeter"/>
    <w:link w:val="Firma"/>
    <w:semiHidden/>
    <w:rsid w:val="00FA139B"/>
    <w:rPr>
      <w:lang w:val="es-ES" w:eastAsia="es-ES"/>
    </w:rPr>
  </w:style>
  <w:style w:type="character" w:customStyle="1" w:styleId="FirmadecorreoelectrnicoCar">
    <w:name w:val="Firma de correo electrónico Car"/>
    <w:basedOn w:val="Fuentedeprrafopredeter"/>
    <w:link w:val="Firmadecorreoelectrnico"/>
    <w:semiHidden/>
    <w:rsid w:val="00FA139B"/>
    <w:rPr>
      <w:lang w:val="es-ES" w:eastAsia="es-ES"/>
    </w:rPr>
  </w:style>
  <w:style w:type="character" w:customStyle="1" w:styleId="HTMLconformatoprevioCar">
    <w:name w:val="HTML con formato previo Car"/>
    <w:basedOn w:val="Fuentedeprrafopredeter"/>
    <w:link w:val="HTMLconformatoprevio"/>
    <w:semiHidden/>
    <w:rsid w:val="00FA139B"/>
    <w:rPr>
      <w:rFonts w:ascii="Courier New" w:hAnsi="Courier New" w:cs="Courier New"/>
      <w:lang w:val="es-ES" w:eastAsia="es-ES"/>
    </w:rPr>
  </w:style>
  <w:style w:type="character" w:customStyle="1" w:styleId="SaludoCar">
    <w:name w:val="Saludo Car"/>
    <w:basedOn w:val="Fuentedeprrafopredeter"/>
    <w:link w:val="Saludo"/>
    <w:semiHidden/>
    <w:rsid w:val="00FA139B"/>
    <w:rPr>
      <w:lang w:val="es-ES" w:eastAsia="es-ES"/>
    </w:rPr>
  </w:style>
  <w:style w:type="character" w:customStyle="1" w:styleId="Sangra2detindependienteCar">
    <w:name w:val="Sangría 2 de t. independiente Car"/>
    <w:basedOn w:val="Fuentedeprrafopredeter"/>
    <w:link w:val="Sangra2detindependiente"/>
    <w:semiHidden/>
    <w:rsid w:val="00FA139B"/>
    <w:rPr>
      <w:lang w:val="es-ES" w:eastAsia="es-ES"/>
    </w:rPr>
  </w:style>
  <w:style w:type="character" w:customStyle="1" w:styleId="Sangra3detindependienteCar">
    <w:name w:val="Sangría 3 de t. independiente Car"/>
    <w:basedOn w:val="Fuentedeprrafopredeter"/>
    <w:link w:val="Sangra3detindependiente"/>
    <w:semiHidden/>
    <w:rsid w:val="00FA139B"/>
    <w:rPr>
      <w:sz w:val="16"/>
      <w:szCs w:val="16"/>
      <w:lang w:val="es-ES" w:eastAsia="es-ES"/>
    </w:rPr>
  </w:style>
  <w:style w:type="character" w:customStyle="1" w:styleId="SangradetextonormalCar">
    <w:name w:val="Sangría de texto normal Car"/>
    <w:basedOn w:val="Fuentedeprrafopredeter"/>
    <w:link w:val="Sangradetextonormal"/>
    <w:semiHidden/>
    <w:rsid w:val="00FA139B"/>
    <w:rPr>
      <w:lang w:val="es-ES" w:eastAsia="es-ES"/>
    </w:rPr>
  </w:style>
  <w:style w:type="character" w:customStyle="1" w:styleId="SubttuloCar">
    <w:name w:val="Subtítulo Car"/>
    <w:basedOn w:val="Fuentedeprrafopredeter"/>
    <w:link w:val="Subttulo"/>
    <w:rsid w:val="00FA139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A139B"/>
    <w:rPr>
      <w:lang w:val="es-ES" w:eastAsia="es-ES"/>
    </w:rPr>
  </w:style>
  <w:style w:type="character" w:customStyle="1" w:styleId="Textoindependiente2Car">
    <w:name w:val="Texto independiente 2 Car"/>
    <w:basedOn w:val="Fuentedeprrafopredeter"/>
    <w:link w:val="Textoindependiente2"/>
    <w:semiHidden/>
    <w:rsid w:val="00FA139B"/>
    <w:rPr>
      <w:lang w:val="es-ES" w:eastAsia="es-ES"/>
    </w:rPr>
  </w:style>
  <w:style w:type="character" w:customStyle="1" w:styleId="Textoindependiente3Car">
    <w:name w:val="Texto independiente 3 Car"/>
    <w:basedOn w:val="Fuentedeprrafopredeter"/>
    <w:link w:val="Textoindependiente3"/>
    <w:semiHidden/>
    <w:rsid w:val="00FA139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A139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A139B"/>
    <w:rPr>
      <w:lang w:val="es-ES" w:eastAsia="es-ES"/>
    </w:rPr>
  </w:style>
  <w:style w:type="character" w:customStyle="1" w:styleId="TextonotaalfinalCar">
    <w:name w:val="Texto nota al final Car"/>
    <w:aliases w:val="2_G Car,2_ GA Car"/>
    <w:basedOn w:val="Fuentedeprrafopredeter"/>
    <w:link w:val="Textonotaalfinal"/>
    <w:rsid w:val="00FA139B"/>
    <w:rPr>
      <w:sz w:val="18"/>
      <w:lang w:val="es-ES" w:eastAsia="es-ES"/>
    </w:rPr>
  </w:style>
  <w:style w:type="character" w:customStyle="1" w:styleId="TextosinformatoCar">
    <w:name w:val="Texto sin formato Car"/>
    <w:basedOn w:val="Fuentedeprrafopredeter"/>
    <w:link w:val="Textosinformato"/>
    <w:semiHidden/>
    <w:rsid w:val="00FA139B"/>
    <w:rPr>
      <w:rFonts w:ascii="Courier New" w:hAnsi="Courier New" w:cs="Courier New"/>
      <w:lang w:val="es-ES" w:eastAsia="es-ES"/>
    </w:rPr>
  </w:style>
  <w:style w:type="character" w:customStyle="1" w:styleId="TtuloCar">
    <w:name w:val="Título Car"/>
    <w:basedOn w:val="Fuentedeprrafopredeter"/>
    <w:link w:val="Ttulo"/>
    <w:rsid w:val="00FA139B"/>
    <w:rPr>
      <w:rFonts w:ascii="Arial" w:hAnsi="Arial" w:cs="Arial"/>
      <w:b/>
      <w:bCs/>
      <w:kern w:val="28"/>
      <w:sz w:val="32"/>
      <w:szCs w:val="32"/>
      <w:lang w:val="es-ES" w:eastAsia="es-ES"/>
    </w:rPr>
  </w:style>
  <w:style w:type="character" w:styleId="nfasisintenso">
    <w:name w:val="Intense Emphasis"/>
    <w:uiPriority w:val="21"/>
    <w:rsid w:val="00FA139B"/>
    <w:rPr>
      <w:b/>
      <w:bCs/>
      <w:i/>
      <w:iCs/>
      <w:color w:val="4F81BD"/>
    </w:rPr>
  </w:style>
  <w:style w:type="paragraph" w:styleId="Citadestacada">
    <w:name w:val="Intense Quote"/>
    <w:basedOn w:val="Normal"/>
    <w:next w:val="Normal"/>
    <w:link w:val="CitadestacadaCar"/>
    <w:uiPriority w:val="30"/>
    <w:rsid w:val="00FA139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A139B"/>
    <w:rPr>
      <w:b/>
      <w:bCs/>
      <w:i/>
      <w:iCs/>
      <w:color w:val="4F81BD"/>
      <w:lang w:val="es-ES" w:eastAsia="es-ES"/>
    </w:rPr>
  </w:style>
  <w:style w:type="character" w:customStyle="1" w:styleId="SingleTxtGChar">
    <w:name w:val="_ Single Txt_G Char"/>
    <w:link w:val="SingleTxtG"/>
    <w:rsid w:val="00FA139B"/>
    <w:rPr>
      <w:lang w:val="es-ES" w:eastAsia="es-ES"/>
    </w:rPr>
  </w:style>
  <w:style w:type="character" w:styleId="Ttulodellibro">
    <w:name w:val="Book Title"/>
    <w:basedOn w:val="Fuentedeprrafopredeter"/>
    <w:uiPriority w:val="33"/>
    <w:rsid w:val="00FA139B"/>
    <w:rPr>
      <w:b/>
      <w:bCs/>
      <w:smallCaps/>
      <w:spacing w:val="5"/>
    </w:rPr>
  </w:style>
  <w:style w:type="character" w:styleId="nfasissutil">
    <w:name w:val="Subtle Emphasis"/>
    <w:basedOn w:val="Fuentedeprrafopredeter"/>
    <w:uiPriority w:val="19"/>
    <w:rsid w:val="00FA139B"/>
    <w:rPr>
      <w:i/>
      <w:iCs/>
      <w:color w:val="808080" w:themeColor="text1" w:themeTint="7F"/>
    </w:rPr>
  </w:style>
  <w:style w:type="table" w:styleId="Cuadrculavistosa-nfasis6">
    <w:name w:val="Colorful Grid Accent 6"/>
    <w:basedOn w:val="Tablanormal"/>
    <w:uiPriority w:val="73"/>
    <w:rsid w:val="00FA139B"/>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FA139B"/>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FA139B"/>
    <w:rPr>
      <w:rFonts w:cs="Traditional Arabic"/>
      <w:i/>
      <w:iCs/>
      <w:color w:val="000000" w:themeColor="text1"/>
      <w:szCs w:val="30"/>
      <w:lang w:eastAsia="en-US"/>
    </w:rPr>
  </w:style>
  <w:style w:type="character" w:styleId="Referenciasutil">
    <w:name w:val="Subtle Reference"/>
    <w:basedOn w:val="Fuentedeprrafopredeter"/>
    <w:uiPriority w:val="31"/>
    <w:rsid w:val="00FA139B"/>
    <w:rPr>
      <w:smallCaps/>
      <w:color w:val="C0504D" w:themeColor="accent2"/>
      <w:u w:val="single"/>
    </w:rPr>
  </w:style>
  <w:style w:type="character" w:styleId="Referenciaintensa">
    <w:name w:val="Intense Reference"/>
    <w:basedOn w:val="Fuentedeprrafopredeter"/>
    <w:uiPriority w:val="32"/>
    <w:rsid w:val="00FA139B"/>
    <w:rPr>
      <w:b/>
      <w:bCs/>
      <w:smallCaps/>
      <w:color w:val="C0504D" w:themeColor="accent2"/>
      <w:spacing w:val="5"/>
      <w:u w:val="single"/>
    </w:rPr>
  </w:style>
  <w:style w:type="table" w:styleId="Sombreadomedio1-nfasis4">
    <w:name w:val="Medium Shading 1 Accent 4"/>
    <w:basedOn w:val="Tablanormal"/>
    <w:uiPriority w:val="63"/>
    <w:rsid w:val="00FA139B"/>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TextocomentarioCar">
    <w:name w:val="Texto comentario Car"/>
    <w:basedOn w:val="Fuentedeprrafopredeter"/>
    <w:link w:val="Textocomentario"/>
    <w:uiPriority w:val="99"/>
    <w:semiHidden/>
    <w:rsid w:val="00FA139B"/>
    <w:rPr>
      <w:rFonts w:eastAsiaTheme="minorHAnsi"/>
      <w:szCs w:val="32"/>
      <w:lang w:bidi="km-KH"/>
    </w:rPr>
  </w:style>
  <w:style w:type="paragraph" w:styleId="Textocomentario">
    <w:name w:val="annotation text"/>
    <w:basedOn w:val="Normal"/>
    <w:link w:val="TextocomentarioCar"/>
    <w:uiPriority w:val="99"/>
    <w:semiHidden/>
    <w:unhideWhenUsed/>
    <w:rsid w:val="00FA139B"/>
    <w:pPr>
      <w:spacing w:line="240" w:lineRule="auto"/>
    </w:pPr>
    <w:rPr>
      <w:rFonts w:eastAsiaTheme="minorHAnsi"/>
      <w:szCs w:val="32"/>
      <w:lang w:val="en-US" w:eastAsia="zh-CN" w:bidi="km-KH"/>
    </w:rPr>
  </w:style>
  <w:style w:type="character" w:customStyle="1" w:styleId="TextocomentarioCar1">
    <w:name w:val="Texto comentario Car1"/>
    <w:basedOn w:val="Fuentedeprrafopredeter"/>
    <w:uiPriority w:val="99"/>
    <w:semiHidden/>
    <w:rsid w:val="00FA139B"/>
    <w:rPr>
      <w:lang w:val="es-ES" w:eastAsia="es-ES"/>
    </w:rPr>
  </w:style>
  <w:style w:type="character" w:customStyle="1" w:styleId="AsuntodelcomentarioCar">
    <w:name w:val="Asunto del comentario Car"/>
    <w:basedOn w:val="TextocomentarioCar"/>
    <w:link w:val="Asuntodelcomentario"/>
    <w:uiPriority w:val="99"/>
    <w:semiHidden/>
    <w:rsid w:val="00FA139B"/>
    <w:rPr>
      <w:rFonts w:eastAsiaTheme="minorHAnsi"/>
      <w:b/>
      <w:bCs/>
      <w:szCs w:val="32"/>
      <w:lang w:bidi="km-KH"/>
    </w:rPr>
  </w:style>
  <w:style w:type="paragraph" w:styleId="Asuntodelcomentario">
    <w:name w:val="annotation subject"/>
    <w:basedOn w:val="Textocomentario"/>
    <w:next w:val="Textocomentario"/>
    <w:link w:val="AsuntodelcomentarioCar"/>
    <w:uiPriority w:val="99"/>
    <w:semiHidden/>
    <w:unhideWhenUsed/>
    <w:rsid w:val="00FA139B"/>
    <w:rPr>
      <w:b/>
      <w:bCs/>
    </w:rPr>
  </w:style>
  <w:style w:type="character" w:customStyle="1" w:styleId="AsuntodelcomentarioCar1">
    <w:name w:val="Asunto del comentario Car1"/>
    <w:basedOn w:val="TextocomentarioCar1"/>
    <w:uiPriority w:val="99"/>
    <w:semiHidden/>
    <w:rsid w:val="00FA139B"/>
    <w:rPr>
      <w:b/>
      <w:bCs/>
      <w:lang w:val="es-ES" w:eastAsia="es-ES"/>
    </w:rPr>
  </w:style>
  <w:style w:type="paragraph" w:styleId="Sinespaciado">
    <w:name w:val="No Spacing"/>
    <w:basedOn w:val="Normal"/>
    <w:link w:val="SinespaciadoCar"/>
    <w:uiPriority w:val="1"/>
    <w:qFormat/>
    <w:rsid w:val="00FA139B"/>
    <w:pPr>
      <w:spacing w:line="240" w:lineRule="auto"/>
    </w:pPr>
    <w:rPr>
      <w:rFonts w:ascii="Calibri" w:hAnsi="Calibri"/>
      <w:sz w:val="22"/>
      <w:szCs w:val="28"/>
      <w:lang w:val="en-US" w:eastAsia="en-US" w:bidi="th-TH"/>
    </w:rPr>
  </w:style>
  <w:style w:type="character" w:customStyle="1" w:styleId="SinespaciadoCar">
    <w:name w:val="Sin espaciado Car"/>
    <w:basedOn w:val="Fuentedeprrafopredeter"/>
    <w:link w:val="Sinespaciado"/>
    <w:uiPriority w:val="1"/>
    <w:rsid w:val="00FA139B"/>
    <w:rPr>
      <w:rFonts w:ascii="Calibri" w:hAnsi="Calibri"/>
      <w:sz w:val="22"/>
      <w:szCs w:val="28"/>
      <w:lang w:eastAsia="en-US" w:bidi="th-TH"/>
    </w:rPr>
  </w:style>
  <w:style w:type="character" w:styleId="Mencinsinresolver">
    <w:name w:val="Unresolved Mention"/>
    <w:basedOn w:val="Fuentedeprrafopredeter"/>
    <w:uiPriority w:val="99"/>
    <w:semiHidden/>
    <w:unhideWhenUsed/>
    <w:rsid w:val="00FA139B"/>
    <w:rPr>
      <w:color w:val="605E5C"/>
      <w:shd w:val="clear" w:color="auto" w:fill="E1DFDD"/>
    </w:rPr>
  </w:style>
  <w:style w:type="character" w:styleId="Refdecomentario">
    <w:name w:val="annotation reference"/>
    <w:basedOn w:val="Fuentedeprrafopredeter"/>
    <w:uiPriority w:val="99"/>
    <w:semiHidden/>
    <w:unhideWhenUsed/>
    <w:rsid w:val="00FA139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sb.gov.k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66CA5-91F0-4726-8555-F9D6D775C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27</Pages>
  <Words>12832</Words>
  <Characters>70577</Characters>
  <Application>Microsoft Office Word</Application>
  <DocSecurity>0</DocSecurity>
  <Lines>588</Lines>
  <Paragraphs>166</Paragraphs>
  <ScaleCrop>false</ScaleCrop>
  <HeadingPairs>
    <vt:vector size="2" baseType="variant">
      <vt:variant>
        <vt:lpstr>Título</vt:lpstr>
      </vt:variant>
      <vt:variant>
        <vt:i4>1</vt:i4>
      </vt:variant>
    </vt:vector>
  </HeadingPairs>
  <TitlesOfParts>
    <vt:vector size="1" baseType="lpstr">
      <vt:lpstr>CERD/C/KWT/25-26</vt:lpstr>
    </vt:vector>
  </TitlesOfParts>
  <Company/>
  <LinksUpToDate>false</LinksUpToDate>
  <CharactersWithSpaces>83243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CERD/C/KWT/25-26</dc:title>
  <dc:subject/>
  <dc:creator>Javier RODRIGUEZ PEREZ</dc:creator>
  <cp:keywords/>
  <cp:lastModifiedBy>Maria DE-LA-PLAZA</cp:lastModifiedBy>
  <cp:revision>3</cp:revision>
  <cp:lastPrinted>2020-08-27T06:44:00Z</cp:lastPrinted>
  <dcterms:created xsi:type="dcterms:W3CDTF">2020-08-27T06:44:00Z</dcterms:created>
  <dcterms:modified xsi:type="dcterms:W3CDTF">2020-08-27T06:44:00Z</dcterms:modified>
</cp:coreProperties>
</file>