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3F708A" w:rsidP="00AA7221">
            <w:pPr>
              <w:bidi w:val="0"/>
              <w:spacing w:after="20"/>
              <w:jc w:val="left"/>
              <w:rPr>
                <w:szCs w:val="20"/>
              </w:rPr>
            </w:pPr>
            <w:r w:rsidRPr="003F708A">
              <w:rPr>
                <w:sz w:val="40"/>
                <w:szCs w:val="20"/>
              </w:rPr>
              <w:t>A</w:t>
            </w:r>
            <w:r>
              <w:rPr>
                <w:szCs w:val="20"/>
              </w:rPr>
              <w:t>/HRC/34/L.6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AA7221" w:rsidP="00AA7221">
            <w:pPr>
              <w:bidi w:val="0"/>
              <w:spacing w:before="240"/>
              <w:jc w:val="left"/>
              <w:rPr>
                <w:szCs w:val="20"/>
              </w:rPr>
            </w:pPr>
            <w:r>
              <w:rPr>
                <w:szCs w:val="20"/>
              </w:rPr>
              <w:t>Distr.: Limited</w:t>
            </w:r>
          </w:p>
          <w:p w:rsidR="00AA7221" w:rsidRDefault="00AA7221" w:rsidP="00AA7221">
            <w:pPr>
              <w:bidi w:val="0"/>
              <w:jc w:val="left"/>
              <w:rPr>
                <w:szCs w:val="20"/>
              </w:rPr>
            </w:pPr>
            <w:r>
              <w:rPr>
                <w:szCs w:val="20"/>
              </w:rPr>
              <w:t>17 March 2017</w:t>
            </w:r>
          </w:p>
          <w:p w:rsidR="00AA7221" w:rsidRDefault="00AA7221" w:rsidP="00AA7221">
            <w:pPr>
              <w:bidi w:val="0"/>
              <w:jc w:val="left"/>
              <w:rPr>
                <w:szCs w:val="20"/>
              </w:rPr>
            </w:pPr>
            <w:r>
              <w:rPr>
                <w:szCs w:val="20"/>
              </w:rPr>
              <w:t>Arabic</w:t>
            </w:r>
          </w:p>
          <w:p w:rsidR="00AA7221" w:rsidRPr="003E159A" w:rsidRDefault="00AA7221" w:rsidP="00AA7221">
            <w:pPr>
              <w:bidi w:val="0"/>
              <w:jc w:val="left"/>
              <w:rPr>
                <w:szCs w:val="20"/>
              </w:rPr>
            </w:pPr>
            <w:r>
              <w:rPr>
                <w:szCs w:val="20"/>
              </w:rPr>
              <w:t>Original: English</w:t>
            </w:r>
          </w:p>
        </w:tc>
      </w:tr>
    </w:tbl>
    <w:p w:rsidR="00AA7221"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1B4FCB" w:rsidRPr="001B4FCB" w:rsidRDefault="00B45612" w:rsidP="001B4FCB">
      <w:pPr>
        <w:rPr>
          <w:b/>
          <w:bCs/>
          <w:rtl/>
        </w:rPr>
      </w:pPr>
      <w:dir w:val="rtl">
        <w:r w:rsidR="001B4FCB" w:rsidRPr="001B4FCB">
          <w:rPr>
            <w:b/>
            <w:bCs/>
            <w:rtl/>
          </w:rPr>
          <w:t>الدورة الرابعة والثلاثون</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rtl/>
          </w:rPr>
          <w:t>‬</w:t>
        </w:r>
        <w:r w:rsidR="001B4FCB" w:rsidRPr="001B4FCB">
          <w:rPr>
            <w:rFonts w:ascii="MS Mincho" w:eastAsia="MS Mincho" w:hAnsi="MS Mincho" w:cs="MS Mincho" w:hint="eastAsia"/>
            <w:b/>
            <w:bCs/>
            <w:lang w:val="en-GB"/>
          </w:rPr>
          <w:t>‬</w:t>
        </w:r>
        <w:r w:rsidR="009A62C3">
          <w:t>‬</w:t>
        </w:r>
        <w:r>
          <w:t>‬</w:t>
        </w:r>
      </w:dir>
    </w:p>
    <w:p w:rsidR="001B4FCB" w:rsidRPr="001B4FCB" w:rsidRDefault="00B45612" w:rsidP="001B4FCB">
      <w:pPr>
        <w:rPr>
          <w:rtl/>
        </w:rPr>
      </w:pPr>
      <w:dir w:val="rtl">
        <w:r w:rsidR="001B4FCB" w:rsidRPr="001B4FCB">
          <w:rPr>
            <w:rtl/>
          </w:rPr>
          <w:t>٢٧ شباط/فبراير - ٢٤ آذار/مارس ٢٠١٧</w:t>
        </w:r>
        <w:r w:rsidR="001B4FCB" w:rsidRPr="001B4FCB">
          <w:rPr>
            <w:rFonts w:ascii="MS Mincho" w:eastAsia="MS Mincho" w:hAnsi="MS Mincho" w:cs="MS Mincho" w:hint="eastAsia"/>
            <w:rtl/>
          </w:rPr>
          <w:t>‬</w:t>
        </w:r>
        <w:r w:rsidR="001B4FCB" w:rsidRPr="001B4FCB">
          <w:rPr>
            <w:rFonts w:ascii="MS Mincho" w:eastAsia="MS Mincho" w:hAnsi="MS Mincho" w:cs="MS Mincho" w:hint="eastAsia"/>
            <w:lang w:val="en-GB"/>
          </w:rPr>
          <w:t>‬</w:t>
        </w:r>
        <w:r w:rsidR="009A62C3">
          <w:t>‬</w:t>
        </w:r>
        <w:r>
          <w:t>‬</w:t>
        </w:r>
      </w:dir>
    </w:p>
    <w:p w:rsidR="001B4FCB" w:rsidRPr="001B4FCB" w:rsidRDefault="00B45612" w:rsidP="001B4FCB">
      <w:pPr>
        <w:rPr>
          <w:rtl/>
        </w:rPr>
      </w:pPr>
      <w:dir w:val="rtl">
        <w:r w:rsidR="001B4FCB" w:rsidRPr="001B4FCB">
          <w:rPr>
            <w:rtl/>
          </w:rPr>
          <w:t>البند 3 من جدول الأعمال</w:t>
        </w:r>
        <w:r w:rsidR="001B4FCB" w:rsidRPr="001B4FCB">
          <w:rPr>
            <w:rFonts w:ascii="MS Mincho" w:eastAsia="MS Mincho" w:hAnsi="MS Mincho" w:cs="MS Mincho" w:hint="eastAsia"/>
            <w:rtl/>
          </w:rPr>
          <w:t>‬</w:t>
        </w:r>
        <w:r w:rsidR="001B4FCB" w:rsidRPr="001B4FCB">
          <w:rPr>
            <w:rFonts w:ascii="MS Mincho" w:eastAsia="MS Mincho" w:hAnsi="MS Mincho" w:cs="MS Mincho" w:hint="eastAsia"/>
            <w:lang w:val="en-GB"/>
          </w:rPr>
          <w:t>‬</w:t>
        </w:r>
        <w:r w:rsidR="009A62C3">
          <w:t>‬</w:t>
        </w:r>
        <w:r>
          <w:t>‬</w:t>
        </w:r>
      </w:dir>
    </w:p>
    <w:p w:rsidR="001B4FCB" w:rsidRPr="001B4FCB" w:rsidRDefault="001B4FCB" w:rsidP="001B4FCB">
      <w:pPr>
        <w:ind w:right="4253"/>
        <w:rPr>
          <w:b/>
          <w:bCs/>
          <w:rtl/>
        </w:rPr>
      </w:pPr>
      <w:r w:rsidRPr="001B4FCB">
        <w:rPr>
          <w:b/>
          <w:bCs/>
          <w:rtl/>
        </w:rPr>
        <w:t>تعزيز وحماية جميع حقوق الإنسان، المدنية</w:t>
      </w:r>
      <w:r w:rsidRPr="001B4FCB">
        <w:rPr>
          <w:rFonts w:ascii="MS Mincho" w:eastAsia="MS Mincho" w:hAnsi="MS Mincho" w:cs="MS Mincho" w:hint="eastAsia"/>
          <w:b/>
          <w:bCs/>
          <w:rtl/>
        </w:rPr>
        <w:t>‬</w:t>
      </w:r>
      <w:r w:rsidRPr="001B4FCB">
        <w:rPr>
          <w:rFonts w:ascii="MS Mincho" w:eastAsia="MS Mincho" w:hAnsi="MS Mincho" w:cs="MS Mincho" w:hint="eastAsia"/>
          <w:b/>
          <w:bCs/>
          <w:rtl/>
        </w:rPr>
        <w:t>‬</w:t>
      </w:r>
      <w:r w:rsidRPr="001B4FCB">
        <w:rPr>
          <w:b/>
          <w:bCs/>
          <w:rtl/>
        </w:rPr>
        <w:t xml:space="preserve"> </w:t>
      </w:r>
      <w:r w:rsidRPr="001B4FCB">
        <w:rPr>
          <w:rFonts w:ascii="Traditional Arabic" w:hAnsi="Traditional Arabic" w:hint="cs"/>
          <w:b/>
          <w:bCs/>
          <w:rtl/>
        </w:rPr>
        <w:t>والسياسية</w:t>
      </w:r>
      <w:r w:rsidRPr="001B4FCB">
        <w:rPr>
          <w:b/>
          <w:bCs/>
          <w:rtl/>
        </w:rPr>
        <w:t xml:space="preserve"> </w:t>
      </w:r>
      <w:r w:rsidRPr="001B4FCB">
        <w:rPr>
          <w:rFonts w:ascii="Traditional Arabic" w:hAnsi="Traditional Arabic" w:hint="cs"/>
          <w:b/>
          <w:bCs/>
          <w:rtl/>
        </w:rPr>
        <w:t>والاقتصادية</w:t>
      </w:r>
      <w:r w:rsidRPr="001B4FCB">
        <w:rPr>
          <w:b/>
          <w:bCs/>
          <w:rtl/>
        </w:rPr>
        <w:t xml:space="preserve"> </w:t>
      </w:r>
      <w:r w:rsidRPr="001B4FCB">
        <w:rPr>
          <w:rFonts w:ascii="Traditional Arabic" w:hAnsi="Traditional Arabic" w:hint="cs"/>
          <w:b/>
          <w:bCs/>
          <w:rtl/>
        </w:rPr>
        <w:t>والاجتماعية</w:t>
      </w:r>
      <w:r w:rsidRPr="001B4FCB">
        <w:rPr>
          <w:b/>
          <w:bCs/>
          <w:rtl/>
        </w:rPr>
        <w:t xml:space="preserve"> </w:t>
      </w:r>
      <w:r w:rsidRPr="001B4FCB">
        <w:rPr>
          <w:rFonts w:ascii="Traditional Arabic" w:hAnsi="Traditional Arabic" w:hint="cs"/>
          <w:b/>
          <w:bCs/>
          <w:rtl/>
        </w:rPr>
        <w:t>والثقافية،</w:t>
      </w:r>
      <w:r w:rsidRPr="001B4FCB">
        <w:rPr>
          <w:b/>
          <w:bCs/>
          <w:rtl/>
        </w:rPr>
        <w:t xml:space="preserve"> </w:t>
      </w:r>
      <w:r w:rsidRPr="001B4FCB">
        <w:rPr>
          <w:rFonts w:ascii="Traditional Arabic" w:hAnsi="Traditional Arabic" w:hint="cs"/>
          <w:b/>
          <w:bCs/>
          <w:rtl/>
        </w:rPr>
        <w:t>بما</w:t>
      </w:r>
      <w:r w:rsidRPr="001B4FCB">
        <w:rPr>
          <w:b/>
          <w:bCs/>
          <w:rtl/>
        </w:rPr>
        <w:t xml:space="preserve"> </w:t>
      </w:r>
      <w:r w:rsidRPr="001B4FCB">
        <w:rPr>
          <w:rFonts w:ascii="Traditional Arabic" w:hAnsi="Traditional Arabic" w:hint="cs"/>
          <w:b/>
          <w:bCs/>
          <w:rtl/>
        </w:rPr>
        <w:t>في</w:t>
      </w:r>
      <w:r w:rsidRPr="001B4FCB">
        <w:rPr>
          <w:b/>
          <w:bCs/>
          <w:rtl/>
        </w:rPr>
        <w:t xml:space="preserve"> </w:t>
      </w:r>
      <w:r w:rsidRPr="001B4FCB">
        <w:rPr>
          <w:rFonts w:ascii="Traditional Arabic" w:hAnsi="Traditional Arabic" w:hint="cs"/>
          <w:b/>
          <w:bCs/>
          <w:rtl/>
        </w:rPr>
        <w:t>ذلك</w:t>
      </w:r>
      <w:r w:rsidRPr="001B4FCB">
        <w:rPr>
          <w:b/>
          <w:bCs/>
          <w:rtl/>
        </w:rPr>
        <w:t xml:space="preserve"> </w:t>
      </w:r>
      <w:r w:rsidRPr="001B4FCB">
        <w:rPr>
          <w:rFonts w:ascii="Traditional Arabic" w:hAnsi="Traditional Arabic" w:hint="cs"/>
          <w:b/>
          <w:bCs/>
          <w:rtl/>
        </w:rPr>
        <w:t>الحق</w:t>
      </w:r>
      <w:r w:rsidRPr="001B4FCB">
        <w:rPr>
          <w:b/>
          <w:bCs/>
          <w:rtl/>
        </w:rPr>
        <w:t xml:space="preserve"> </w:t>
      </w:r>
      <w:r w:rsidRPr="001B4FCB">
        <w:rPr>
          <w:rFonts w:ascii="Traditional Arabic" w:hAnsi="Traditional Arabic" w:hint="cs"/>
          <w:b/>
          <w:bCs/>
          <w:rtl/>
        </w:rPr>
        <w:t>في</w:t>
      </w:r>
      <w:r w:rsidRPr="001B4FCB">
        <w:rPr>
          <w:b/>
          <w:bCs/>
          <w:rtl/>
        </w:rPr>
        <w:t xml:space="preserve"> </w:t>
      </w:r>
      <w:r w:rsidRPr="001B4FCB">
        <w:rPr>
          <w:rFonts w:ascii="Traditional Arabic" w:hAnsi="Traditional Arabic" w:hint="cs"/>
          <w:b/>
          <w:bCs/>
          <w:rtl/>
        </w:rPr>
        <w:t>التنمية</w:t>
      </w:r>
      <w:r w:rsidRPr="001B4FCB">
        <w:rPr>
          <w:rFonts w:ascii="MS Mincho" w:eastAsia="MS Mincho" w:hAnsi="MS Mincho" w:cs="MS Mincho" w:hint="eastAsia"/>
          <w:b/>
          <w:bCs/>
          <w:rtl/>
        </w:rPr>
        <w:t>‬</w:t>
      </w:r>
      <w:r w:rsidRPr="001B4FCB">
        <w:rPr>
          <w:rFonts w:ascii="MS Mincho" w:eastAsia="MS Mincho" w:hAnsi="MS Mincho" w:cs="MS Mincho" w:hint="eastAsia"/>
          <w:b/>
          <w:bCs/>
          <w:rtl/>
        </w:rPr>
        <w:t>‬</w:t>
      </w:r>
      <w:r w:rsidRPr="001B4FCB">
        <w:rPr>
          <w:rFonts w:ascii="MS Mincho" w:eastAsia="MS Mincho" w:hAnsi="MS Mincho" w:cs="MS Mincho" w:hint="eastAsia"/>
          <w:b/>
          <w:bCs/>
          <w:rtl/>
        </w:rPr>
        <w:t>‬</w:t>
      </w:r>
      <w:r w:rsidRPr="001B4FCB">
        <w:rPr>
          <w:rFonts w:ascii="MS Mincho" w:eastAsia="MS Mincho" w:hAnsi="MS Mincho" w:cs="MS Mincho" w:hint="eastAsia"/>
          <w:b/>
          <w:bCs/>
          <w:rtl/>
        </w:rPr>
        <w:t>‬</w:t>
      </w:r>
      <w:r w:rsidRPr="001B4FCB">
        <w:rPr>
          <w:rFonts w:ascii="MS Mincho" w:eastAsia="MS Mincho" w:hAnsi="MS Mincho" w:cs="MS Mincho" w:hint="eastAsia"/>
          <w:b/>
          <w:bCs/>
          <w:rtl/>
        </w:rPr>
        <w:t>‬</w:t>
      </w:r>
    </w:p>
    <w:p w:rsidR="001B4FCB" w:rsidRPr="001B4FCB" w:rsidRDefault="001B4FCB" w:rsidP="000A476E">
      <w:pPr>
        <w:pStyle w:val="H23GA"/>
        <w:rPr>
          <w:rtl/>
        </w:rPr>
      </w:pPr>
      <w:r w:rsidRPr="001B4FCB">
        <w:rPr>
          <w:lang w:val="en-GB"/>
        </w:rPr>
        <w:tab/>
      </w:r>
      <w:r w:rsidRPr="001B4FCB">
        <w:rPr>
          <w:lang w:val="en-GB"/>
        </w:rPr>
        <w:tab/>
      </w:r>
      <w:r w:rsidRPr="001B4FCB">
        <w:rPr>
          <w:rtl/>
        </w:rPr>
        <w:t>أرمينيا</w:t>
      </w:r>
      <w:r w:rsidR="00ED7874" w:rsidRPr="00ED7874">
        <w:rPr>
          <w:rStyle w:val="FootnoteReference"/>
          <w:b/>
          <w:bCs w:val="0"/>
          <w:sz w:val="20"/>
          <w:vertAlign w:val="baseline"/>
          <w:rtl/>
        </w:rPr>
        <w:footnoteReference w:customMarkFollows="1" w:id="1"/>
        <w:t>*</w:t>
      </w:r>
      <w:r w:rsidRPr="001B4FCB">
        <w:rPr>
          <w:rtl/>
        </w:rPr>
        <w:t>، إسبانيا</w:t>
      </w:r>
      <w:r w:rsidR="00ED7874" w:rsidRPr="00ED7874">
        <w:rPr>
          <w:rFonts w:hint="cs"/>
          <w:b w:val="0"/>
          <w:bCs w:val="0"/>
          <w:sz w:val="18"/>
          <w:szCs w:val="28"/>
          <w:rtl/>
        </w:rPr>
        <w:t>*</w:t>
      </w:r>
      <w:r w:rsidRPr="001B4FCB">
        <w:rPr>
          <w:rtl/>
        </w:rPr>
        <w:t>٬ أستراليا</w:t>
      </w:r>
      <w:r w:rsidR="00ED7874" w:rsidRPr="00ED7874">
        <w:rPr>
          <w:rFonts w:hint="cs"/>
          <w:b w:val="0"/>
          <w:bCs w:val="0"/>
          <w:sz w:val="18"/>
          <w:szCs w:val="28"/>
          <w:rtl/>
        </w:rPr>
        <w:t>*</w:t>
      </w:r>
      <w:r w:rsidRPr="001B4FCB">
        <w:rPr>
          <w:rtl/>
        </w:rPr>
        <w:t>٬ إستونيا</w:t>
      </w:r>
      <w:r w:rsidR="00ED7874" w:rsidRPr="00ED7874">
        <w:rPr>
          <w:rFonts w:hint="cs"/>
          <w:b w:val="0"/>
          <w:bCs w:val="0"/>
          <w:sz w:val="18"/>
          <w:szCs w:val="28"/>
          <w:rtl/>
        </w:rPr>
        <w:t>*</w:t>
      </w:r>
      <w:r w:rsidRPr="001B4FCB">
        <w:rPr>
          <w:rtl/>
        </w:rPr>
        <w:t>٬ ألمانيا٬ أوكرانيا</w:t>
      </w:r>
      <w:r w:rsidR="00ED7874" w:rsidRPr="00ED7874">
        <w:rPr>
          <w:rFonts w:hint="cs"/>
          <w:b w:val="0"/>
          <w:bCs w:val="0"/>
          <w:sz w:val="18"/>
          <w:szCs w:val="28"/>
          <w:rtl/>
        </w:rPr>
        <w:t>*</w:t>
      </w:r>
      <w:r w:rsidRPr="001B4FCB">
        <w:rPr>
          <w:rtl/>
        </w:rPr>
        <w:t xml:space="preserve">٬ </w:t>
      </w:r>
      <w:r w:rsidR="000A476E">
        <w:rPr>
          <w:rFonts w:hint="cs"/>
          <w:rtl/>
        </w:rPr>
        <w:t>آ</w:t>
      </w:r>
      <w:r w:rsidRPr="001B4FCB">
        <w:rPr>
          <w:rtl/>
        </w:rPr>
        <w:t>يرلندا</w:t>
      </w:r>
      <w:r w:rsidR="00ED7874" w:rsidRPr="00ED7874">
        <w:rPr>
          <w:rFonts w:hint="cs"/>
          <w:b w:val="0"/>
          <w:bCs w:val="0"/>
          <w:sz w:val="18"/>
          <w:szCs w:val="28"/>
          <w:rtl/>
        </w:rPr>
        <w:t>*</w:t>
      </w:r>
      <w:r w:rsidRPr="001B4FCB">
        <w:rPr>
          <w:rtl/>
        </w:rPr>
        <w:t>٬ آيسلندا</w:t>
      </w:r>
      <w:r w:rsidR="00ED7874" w:rsidRPr="00ED7874">
        <w:rPr>
          <w:rFonts w:hint="cs"/>
          <w:b w:val="0"/>
          <w:bCs w:val="0"/>
          <w:sz w:val="18"/>
          <w:szCs w:val="28"/>
          <w:rtl/>
        </w:rPr>
        <w:t>*</w:t>
      </w:r>
      <w:r w:rsidRPr="001B4FCB">
        <w:rPr>
          <w:rtl/>
        </w:rPr>
        <w:t>٬ إيطاليا</w:t>
      </w:r>
      <w:r w:rsidR="00ED7874" w:rsidRPr="00ED7874">
        <w:rPr>
          <w:rFonts w:hint="cs"/>
          <w:b w:val="0"/>
          <w:bCs w:val="0"/>
          <w:sz w:val="18"/>
          <w:szCs w:val="28"/>
          <w:rtl/>
        </w:rPr>
        <w:t>*</w:t>
      </w:r>
      <w:r w:rsidRPr="001B4FCB">
        <w:rPr>
          <w:rtl/>
        </w:rPr>
        <w:t>٬ باراغواي٬ بلغاريا</w:t>
      </w:r>
      <w:r w:rsidR="00ED7874" w:rsidRPr="00ED7874">
        <w:rPr>
          <w:rFonts w:hint="cs"/>
          <w:b w:val="0"/>
          <w:bCs w:val="0"/>
          <w:sz w:val="18"/>
          <w:szCs w:val="28"/>
          <w:rtl/>
        </w:rPr>
        <w:t>*</w:t>
      </w:r>
      <w:r w:rsidRPr="001B4FCB">
        <w:rPr>
          <w:rtl/>
        </w:rPr>
        <w:t>٬ بنما٬ البوسنة والهرسك</w:t>
      </w:r>
      <w:r w:rsidR="00ED7874" w:rsidRPr="00ED7874">
        <w:rPr>
          <w:rFonts w:hint="cs"/>
          <w:b w:val="0"/>
          <w:bCs w:val="0"/>
          <w:sz w:val="18"/>
          <w:szCs w:val="28"/>
          <w:rtl/>
        </w:rPr>
        <w:t>*</w:t>
      </w:r>
      <w:r w:rsidRPr="001B4FCB">
        <w:rPr>
          <w:rtl/>
        </w:rPr>
        <w:t>٬ بولندا</w:t>
      </w:r>
      <w:r w:rsidR="00ED7874" w:rsidRPr="00ED7874">
        <w:rPr>
          <w:rFonts w:hint="cs"/>
          <w:b w:val="0"/>
          <w:bCs w:val="0"/>
          <w:sz w:val="18"/>
          <w:szCs w:val="28"/>
          <w:rtl/>
        </w:rPr>
        <w:t>*</w:t>
      </w:r>
      <w:r w:rsidRPr="001B4FCB">
        <w:rPr>
          <w:rtl/>
        </w:rPr>
        <w:t>٬ بيرو</w:t>
      </w:r>
      <w:r w:rsidR="00ED7874" w:rsidRPr="00ED7874">
        <w:rPr>
          <w:rFonts w:hint="cs"/>
          <w:b w:val="0"/>
          <w:bCs w:val="0"/>
          <w:sz w:val="18"/>
          <w:szCs w:val="28"/>
          <w:rtl/>
        </w:rPr>
        <w:t>*</w:t>
      </w:r>
      <w:r w:rsidRPr="001B4FCB">
        <w:rPr>
          <w:rtl/>
        </w:rPr>
        <w:t>٬ تشيكيا</w:t>
      </w:r>
      <w:r w:rsidR="00ED7874" w:rsidRPr="00ED7874">
        <w:rPr>
          <w:rFonts w:hint="cs"/>
          <w:b w:val="0"/>
          <w:bCs w:val="0"/>
          <w:sz w:val="18"/>
          <w:szCs w:val="28"/>
          <w:rtl/>
        </w:rPr>
        <w:t>*</w:t>
      </w:r>
      <w:r w:rsidRPr="001B4FCB">
        <w:rPr>
          <w:rtl/>
        </w:rPr>
        <w:t>٬ الجبل الأسود</w:t>
      </w:r>
      <w:r w:rsidR="00ED7874" w:rsidRPr="00ED7874">
        <w:rPr>
          <w:rFonts w:hint="cs"/>
          <w:b w:val="0"/>
          <w:bCs w:val="0"/>
          <w:sz w:val="18"/>
          <w:szCs w:val="28"/>
          <w:rtl/>
        </w:rPr>
        <w:t>*</w:t>
      </w:r>
      <w:r w:rsidRPr="001B4FCB">
        <w:rPr>
          <w:rtl/>
        </w:rPr>
        <w:t>٬ جمهورية مقدونيا اليوغوسلافية سابقا</w:t>
      </w:r>
      <w:r w:rsidR="00ED7874">
        <w:rPr>
          <w:rFonts w:hint="cs"/>
          <w:rtl/>
        </w:rPr>
        <w:t>ً</w:t>
      </w:r>
      <w:r w:rsidR="00ED7874" w:rsidRPr="00ED7874">
        <w:rPr>
          <w:rFonts w:hint="cs"/>
          <w:b w:val="0"/>
          <w:bCs w:val="0"/>
          <w:sz w:val="18"/>
          <w:szCs w:val="28"/>
          <w:rtl/>
        </w:rPr>
        <w:t>*</w:t>
      </w:r>
      <w:r w:rsidRPr="001B4FCB">
        <w:rPr>
          <w:rtl/>
        </w:rPr>
        <w:t>٬ جورجيا٬ الدانمرك</w:t>
      </w:r>
      <w:r w:rsidR="00ED7874" w:rsidRPr="00ED7874">
        <w:rPr>
          <w:rFonts w:hint="cs"/>
          <w:b w:val="0"/>
          <w:bCs w:val="0"/>
          <w:sz w:val="18"/>
          <w:szCs w:val="28"/>
          <w:rtl/>
        </w:rPr>
        <w:t>*</w:t>
      </w:r>
      <w:r w:rsidRPr="001B4FCB">
        <w:rPr>
          <w:rtl/>
        </w:rPr>
        <w:t>٬ رومانيا</w:t>
      </w:r>
      <w:r w:rsidR="00ED7874" w:rsidRPr="00ED7874">
        <w:rPr>
          <w:rFonts w:hint="cs"/>
          <w:b w:val="0"/>
          <w:bCs w:val="0"/>
          <w:sz w:val="18"/>
          <w:szCs w:val="28"/>
          <w:rtl/>
        </w:rPr>
        <w:t>*</w:t>
      </w:r>
      <w:r w:rsidRPr="001B4FCB">
        <w:rPr>
          <w:rtl/>
        </w:rPr>
        <w:t>٬ سلوفاكيا</w:t>
      </w:r>
      <w:r w:rsidR="00ED7874" w:rsidRPr="00ED7874">
        <w:rPr>
          <w:rFonts w:hint="cs"/>
          <w:b w:val="0"/>
          <w:bCs w:val="0"/>
          <w:sz w:val="18"/>
          <w:szCs w:val="28"/>
          <w:rtl/>
        </w:rPr>
        <w:t>*</w:t>
      </w:r>
      <w:r w:rsidRPr="001B4FCB">
        <w:rPr>
          <w:rtl/>
        </w:rPr>
        <w:t>٬ سلوفينيا٬ السنغال</w:t>
      </w:r>
      <w:r w:rsidR="00ED7874" w:rsidRPr="00ED7874">
        <w:rPr>
          <w:rFonts w:hint="cs"/>
          <w:b w:val="0"/>
          <w:bCs w:val="0"/>
          <w:sz w:val="18"/>
          <w:szCs w:val="28"/>
          <w:rtl/>
        </w:rPr>
        <w:t>*</w:t>
      </w:r>
      <w:r w:rsidRPr="001B4FCB">
        <w:rPr>
          <w:rtl/>
        </w:rPr>
        <w:t>٬ السويد</w:t>
      </w:r>
      <w:r w:rsidR="00ED7874" w:rsidRPr="00ED7874">
        <w:rPr>
          <w:rFonts w:hint="cs"/>
          <w:b w:val="0"/>
          <w:bCs w:val="0"/>
          <w:sz w:val="18"/>
          <w:szCs w:val="28"/>
          <w:rtl/>
        </w:rPr>
        <w:t>*</w:t>
      </w:r>
      <w:r w:rsidRPr="001B4FCB">
        <w:rPr>
          <w:rtl/>
        </w:rPr>
        <w:t>٬ سويسرا٬ صربيا</w:t>
      </w:r>
      <w:r w:rsidR="00ED7874" w:rsidRPr="00ED7874">
        <w:rPr>
          <w:rFonts w:hint="cs"/>
          <w:b w:val="0"/>
          <w:bCs w:val="0"/>
          <w:sz w:val="18"/>
          <w:szCs w:val="28"/>
          <w:rtl/>
        </w:rPr>
        <w:t>*</w:t>
      </w:r>
      <w:r w:rsidRPr="001B4FCB">
        <w:rPr>
          <w:rtl/>
        </w:rPr>
        <w:t>٬ فنلندا</w:t>
      </w:r>
      <w:r w:rsidR="00ED7874" w:rsidRPr="00ED7874">
        <w:rPr>
          <w:rFonts w:hint="cs"/>
          <w:b w:val="0"/>
          <w:bCs w:val="0"/>
          <w:sz w:val="18"/>
          <w:szCs w:val="28"/>
          <w:rtl/>
        </w:rPr>
        <w:t>*</w:t>
      </w:r>
      <w:r w:rsidRPr="001B4FCB">
        <w:rPr>
          <w:rtl/>
        </w:rPr>
        <w:t>٬ قبرص</w:t>
      </w:r>
      <w:r w:rsidR="00ED7874" w:rsidRPr="00ED7874">
        <w:rPr>
          <w:rFonts w:hint="cs"/>
          <w:b w:val="0"/>
          <w:bCs w:val="0"/>
          <w:sz w:val="18"/>
          <w:szCs w:val="28"/>
          <w:rtl/>
        </w:rPr>
        <w:t>*</w:t>
      </w:r>
      <w:r w:rsidRPr="001B4FCB">
        <w:rPr>
          <w:rtl/>
        </w:rPr>
        <w:t>٬ كندا</w:t>
      </w:r>
      <w:r w:rsidR="00ED7874" w:rsidRPr="00ED7874">
        <w:rPr>
          <w:rFonts w:hint="cs"/>
          <w:b w:val="0"/>
          <w:bCs w:val="0"/>
          <w:sz w:val="18"/>
          <w:szCs w:val="28"/>
          <w:rtl/>
        </w:rPr>
        <w:t>*</w:t>
      </w:r>
      <w:r w:rsidRPr="001B4FCB">
        <w:rPr>
          <w:rtl/>
        </w:rPr>
        <w:t>٬ لاتفيا٬ لكسمبرغ</w:t>
      </w:r>
      <w:r w:rsidR="00ED7874" w:rsidRPr="00ED7874">
        <w:rPr>
          <w:rFonts w:hint="cs"/>
          <w:b w:val="0"/>
          <w:bCs w:val="0"/>
          <w:sz w:val="18"/>
          <w:szCs w:val="28"/>
          <w:rtl/>
        </w:rPr>
        <w:t>*</w:t>
      </w:r>
      <w:r w:rsidRPr="001B4FCB">
        <w:rPr>
          <w:rtl/>
        </w:rPr>
        <w:t>٬ ليختنشتاين</w:t>
      </w:r>
      <w:r w:rsidR="00ED7874" w:rsidRPr="00ED7874">
        <w:rPr>
          <w:rFonts w:hint="cs"/>
          <w:b w:val="0"/>
          <w:bCs w:val="0"/>
          <w:sz w:val="18"/>
          <w:szCs w:val="28"/>
          <w:rtl/>
        </w:rPr>
        <w:t>*</w:t>
      </w:r>
      <w:r w:rsidRPr="001B4FCB">
        <w:rPr>
          <w:rtl/>
        </w:rPr>
        <w:t>٬ مالطة</w:t>
      </w:r>
      <w:r w:rsidR="00ED7874" w:rsidRPr="00ED7874">
        <w:rPr>
          <w:rFonts w:hint="cs"/>
          <w:b w:val="0"/>
          <w:bCs w:val="0"/>
          <w:sz w:val="18"/>
          <w:szCs w:val="28"/>
          <w:rtl/>
        </w:rPr>
        <w:t>*</w:t>
      </w:r>
      <w:r w:rsidRPr="001B4FCB">
        <w:rPr>
          <w:rtl/>
        </w:rPr>
        <w:t>٬ المكسيك</w:t>
      </w:r>
      <w:r w:rsidR="00ED7874" w:rsidRPr="00ED7874">
        <w:rPr>
          <w:rFonts w:hint="cs"/>
          <w:b w:val="0"/>
          <w:bCs w:val="0"/>
          <w:sz w:val="18"/>
          <w:szCs w:val="28"/>
          <w:rtl/>
        </w:rPr>
        <w:t>*</w:t>
      </w:r>
      <w:r w:rsidRPr="001B4FCB">
        <w:rPr>
          <w:rtl/>
        </w:rPr>
        <w:t>٬ النرويج</w:t>
      </w:r>
      <w:r w:rsidR="00ED7874" w:rsidRPr="00ED7874">
        <w:rPr>
          <w:rFonts w:hint="cs"/>
          <w:b w:val="0"/>
          <w:bCs w:val="0"/>
          <w:sz w:val="18"/>
          <w:szCs w:val="28"/>
          <w:rtl/>
        </w:rPr>
        <w:t>*</w:t>
      </w:r>
      <w:r w:rsidRPr="001B4FCB">
        <w:rPr>
          <w:rtl/>
        </w:rPr>
        <w:t>٬ النمسا</w:t>
      </w:r>
      <w:r w:rsidR="00ED7874" w:rsidRPr="00ED7874">
        <w:rPr>
          <w:rFonts w:hint="cs"/>
          <w:b w:val="0"/>
          <w:bCs w:val="0"/>
          <w:sz w:val="18"/>
          <w:szCs w:val="28"/>
          <w:rtl/>
        </w:rPr>
        <w:t>*</w:t>
      </w:r>
      <w:r w:rsidRPr="001B4FCB">
        <w:rPr>
          <w:rtl/>
        </w:rPr>
        <w:t>٬ هنغاريا٬ هولندا٬ الولايات المتحدة الأمريكية٬ اليابان٬ اليونان</w:t>
      </w:r>
      <w:r w:rsidR="00ED7874" w:rsidRPr="00ED7874">
        <w:rPr>
          <w:rFonts w:hint="cs"/>
          <w:b w:val="0"/>
          <w:bCs w:val="0"/>
          <w:sz w:val="18"/>
          <w:szCs w:val="28"/>
          <w:rtl/>
        </w:rPr>
        <w:t>*</w:t>
      </w:r>
      <w:r w:rsidRPr="001B4FCB">
        <w:rPr>
          <w:rtl/>
        </w:rPr>
        <w:t>: مشروع قرار</w:t>
      </w:r>
    </w:p>
    <w:p w:rsidR="001B4FCB" w:rsidRPr="001B4FCB" w:rsidRDefault="001B4FCB" w:rsidP="001B4FCB">
      <w:pPr>
        <w:pStyle w:val="H1GA"/>
        <w:tabs>
          <w:tab w:val="left" w:pos="2268"/>
        </w:tabs>
        <w:rPr>
          <w:rtl/>
        </w:rPr>
      </w:pPr>
      <w:r>
        <w:rPr>
          <w:rtl/>
        </w:rPr>
        <w:tab/>
      </w:r>
      <w:r>
        <w:rPr>
          <w:rFonts w:hint="cs"/>
          <w:rtl/>
        </w:rPr>
        <w:tab/>
      </w:r>
      <w:r>
        <w:rPr>
          <w:rtl/>
        </w:rPr>
        <w:t>٣٤/…</w:t>
      </w:r>
      <w:r>
        <w:rPr>
          <w:rFonts w:hint="cs"/>
          <w:rtl/>
        </w:rPr>
        <w:tab/>
      </w:r>
      <w:r w:rsidRPr="001B4FCB">
        <w:rPr>
          <w:rtl/>
        </w:rPr>
        <w:t>تقرير المقررة الخاصة المعنية بقضايا الأقليات</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lang w:val="en-GB"/>
        </w:rPr>
        <w:t>‬</w:t>
      </w:r>
    </w:p>
    <w:p w:rsidR="001B4FCB" w:rsidRPr="00F62311" w:rsidRDefault="001B4FCB" w:rsidP="001B4FCB">
      <w:pPr>
        <w:pStyle w:val="SingleTxtGA"/>
        <w:rPr>
          <w:i/>
          <w:iCs/>
          <w:rtl/>
        </w:rPr>
      </w:pPr>
      <w:r w:rsidRPr="00F62311">
        <w:rPr>
          <w:i/>
          <w:iCs/>
          <w:lang w:val="en-GB"/>
        </w:rPr>
        <w:tab/>
      </w:r>
      <w:dir w:val="rtl">
        <w:r w:rsidRPr="00F62311">
          <w:rPr>
            <w:i/>
            <w:iCs/>
            <w:rtl/>
          </w:rPr>
          <w:t>إن مجلس حقوق الإنسان،</w:t>
        </w:r>
        <w:r w:rsidRPr="00F62311">
          <w:rPr>
            <w:rFonts w:ascii="MS Mincho" w:eastAsia="MS Mincho" w:hAnsi="MS Mincho" w:cs="MS Mincho" w:hint="eastAsia"/>
            <w:i/>
            <w:iCs/>
            <w:rtl/>
          </w:rPr>
          <w:t>‬</w:t>
        </w:r>
        <w:r w:rsidRPr="00F62311">
          <w:rPr>
            <w:rFonts w:ascii="MS Mincho" w:eastAsia="MS Mincho" w:hAnsi="MS Mincho" w:cs="MS Mincho" w:hint="eastAsia"/>
            <w:i/>
            <w:iCs/>
            <w:lang w:val="en-GB"/>
          </w:rPr>
          <w:t>‬</w:t>
        </w:r>
        <w:r w:rsidR="009A62C3">
          <w:t>‬</w:t>
        </w:r>
        <w:r w:rsidR="00B45612">
          <w:t>‬</w:t>
        </w:r>
      </w:dir>
    </w:p>
    <w:p w:rsidR="001B4FCB" w:rsidRPr="001B4FCB" w:rsidRDefault="001B4FCB" w:rsidP="001B4FCB">
      <w:pPr>
        <w:pStyle w:val="SingleTxtGA"/>
        <w:rPr>
          <w:rtl/>
        </w:rPr>
      </w:pPr>
      <w:r>
        <w:tab/>
      </w:r>
      <w:r w:rsidRPr="001B4FCB">
        <w:rPr>
          <w:i/>
          <w:iCs/>
          <w:rtl/>
        </w:rPr>
        <w:t xml:space="preserve">إذ يشير </w:t>
      </w:r>
      <w:r w:rsidRPr="001B4FCB">
        <w:rPr>
          <w:rtl/>
        </w:rPr>
        <w:t>إلى الإعلان العالمي لحقوق الإنسان، والعهد الدولي الخاص بالحقوق المدنية والسياسية، والعهد الدولي الخاص بالحقوق الاقتصادية والاجتماعية والثقافية، واتفاقية حقوق الطفل، والاتفاقية الدولية للقضاء على جميع أشكال التمييز العنصري، وإعلان حقوق الأشخاص المنتمين إلى أقليات قومية أو إثنية وإلى أقليات دينية ولغوية الذي اعتمدته الجمعية العامة بتوافق الآراء بموجب قرارها 47/135 المؤرخ 18 كانون الأول/ديسمبر 1992،</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r w:rsidRPr="001B4FCB">
        <w:rPr>
          <w:rFonts w:ascii="MS Mincho" w:eastAsia="MS Mincho" w:hAnsi="MS Mincho" w:cs="MS Mincho" w:hint="eastAsia"/>
          <w:rtl/>
        </w:rPr>
        <w:t>‬</w:t>
      </w:r>
    </w:p>
    <w:p w:rsidR="001B4FCB" w:rsidRPr="001B4FCB" w:rsidRDefault="001B4FCB" w:rsidP="001B4FCB">
      <w:pPr>
        <w:pStyle w:val="SingleTxtGA"/>
        <w:rPr>
          <w:rtl/>
        </w:rPr>
      </w:pPr>
      <w:r w:rsidRPr="001B4FCB">
        <w:rPr>
          <w:lang w:val="en-GB"/>
        </w:rPr>
        <w:tab/>
      </w:r>
      <w:r w:rsidRPr="001B4FCB">
        <w:rPr>
          <w:rtl/>
        </w:rPr>
        <w:t>و</w:t>
      </w:r>
      <w:r w:rsidRPr="001B4FCB">
        <w:rPr>
          <w:i/>
          <w:iCs/>
          <w:rtl/>
        </w:rPr>
        <w:t>إذ يذكّر أيضا</w:t>
      </w:r>
      <w:r w:rsidR="00ED7874">
        <w:rPr>
          <w:rFonts w:hint="cs"/>
          <w:i/>
          <w:iCs/>
          <w:rtl/>
        </w:rPr>
        <w:t>ً</w:t>
      </w:r>
      <w:r w:rsidRPr="001B4FCB">
        <w:rPr>
          <w:i/>
          <w:iCs/>
          <w:rtl/>
        </w:rPr>
        <w:t xml:space="preserve"> </w:t>
      </w:r>
      <w:r w:rsidRPr="001B4FCB">
        <w:rPr>
          <w:rtl/>
        </w:rPr>
        <w:t>بجم</w:t>
      </w:r>
      <w:bookmarkStart w:id="0" w:name="_GoBack"/>
      <w:bookmarkEnd w:id="0"/>
      <w:r w:rsidRPr="001B4FCB">
        <w:rPr>
          <w:rtl/>
        </w:rPr>
        <w:t xml:space="preserve">يع القرارات السابقة التي اعتمدتها الجمعية العامة، ولجنة حقوق الإنسان، ومجلس حقوق الإنسان بشأن حقوق الأشخاص المنتمين إلى أقليات قومية أو إثنية وإلى أقليات دينية ولغوية، </w:t>
      </w:r>
    </w:p>
    <w:p w:rsidR="001B4FCB" w:rsidRPr="001B4FCB" w:rsidRDefault="00B45612" w:rsidP="001B4FCB">
      <w:pPr>
        <w:pStyle w:val="SingleTxtGA"/>
        <w:rPr>
          <w:rtl/>
        </w:rPr>
      </w:pPr>
      <w:dir w:val="rtl">
        <w:r w:rsidR="001B4FCB" w:rsidRPr="001B4FCB">
          <w:rPr>
            <w:rtl/>
          </w:rPr>
          <w:tab/>
        </w:r>
        <w:dir w:val="rtl">
          <w:r w:rsidR="001B4FCB" w:rsidRPr="001B4FCB">
            <w:rPr>
              <w:i/>
              <w:iCs/>
              <w:rtl/>
            </w:rPr>
            <w:t xml:space="preserve">وإذ يشير كذلك </w:t>
          </w:r>
          <w:r w:rsidR="001B4FCB" w:rsidRPr="001B4FCB">
            <w:rPr>
              <w:rtl/>
            </w:rPr>
            <w:t>إلى قراريه 5/1 بشأن بناء مؤسسات المجلس و5/2 بشأن مدونة قواعد السلوك لأصحاب الولايات في إطار الإجراءات الخاصة للمجلس، المؤرخين 18 حزيران/ يونيه 2007، وإذ يشدد على أن يضطلع جميع المكلفين بولايات بواجباتهم وفقاً لهذين القرارين ومرفقاتهما،</w:t>
          </w:r>
          <w:r w:rsidR="001B4FCB" w:rsidRPr="001B4FCB">
            <w:rPr>
              <w:rFonts w:ascii="MS Mincho" w:eastAsia="MS Mincho" w:hAnsi="MS Mincho" w:cs="MS Mincho" w:hint="eastAsia"/>
              <w:rtl/>
            </w:rPr>
            <w:t>‬</w:t>
          </w:r>
          <w:r w:rsidR="001B4FCB" w:rsidRPr="001B4FCB">
            <w:rPr>
              <w:rFonts w:ascii="MS Mincho" w:eastAsia="MS Mincho" w:hAnsi="MS Mincho" w:cs="MS Mincho" w:hint="eastAsia"/>
              <w:rtl/>
            </w:rPr>
            <w:t>‬</w:t>
          </w:r>
          <w:r w:rsidR="001B4FCB" w:rsidRPr="001B4FCB">
            <w:rPr>
              <w:rFonts w:ascii="MS Mincho" w:eastAsia="MS Mincho" w:hAnsi="MS Mincho" w:cs="MS Mincho" w:hint="eastAsia"/>
              <w:lang w:val="en-GB"/>
            </w:rPr>
            <w:t>‬</w:t>
          </w:r>
          <w:r w:rsidR="001B4FCB" w:rsidRPr="001B4FCB">
            <w:rPr>
              <w:rFonts w:ascii="MS Mincho" w:eastAsia="MS Mincho" w:hAnsi="MS Mincho" w:cs="MS Mincho" w:hint="eastAsia"/>
              <w:lang w:val="en-GB"/>
            </w:rPr>
            <w:t>‬</w:t>
          </w:r>
          <w:r w:rsidR="009A62C3">
            <w:t>‬</w:t>
          </w:r>
          <w:r w:rsidR="009A62C3">
            <w:t>‬</w:t>
          </w:r>
          <w:r>
            <w:t>‬</w:t>
          </w:r>
          <w:r>
            <w:t>‬</w:t>
          </w:r>
        </w:dir>
      </w:dir>
    </w:p>
    <w:p w:rsidR="001B4FCB" w:rsidRPr="001B4FCB" w:rsidRDefault="001B4FCB" w:rsidP="001B4FCB">
      <w:pPr>
        <w:pStyle w:val="SingleTxtGA"/>
        <w:rPr>
          <w:rtl/>
        </w:rPr>
      </w:pPr>
      <w:r w:rsidRPr="001B4FCB">
        <w:rPr>
          <w:rtl/>
        </w:rPr>
        <w:tab/>
      </w:r>
      <w:dir w:val="rtl">
        <w:r>
          <w:rPr>
            <w:rtl/>
          </w:rPr>
          <w:t>1-</w:t>
        </w:r>
        <w:r>
          <w:rPr>
            <w:rFonts w:hint="cs"/>
            <w:rtl/>
          </w:rPr>
          <w:tab/>
        </w:r>
        <w:r w:rsidRPr="001B4FCB">
          <w:rPr>
            <w:i/>
            <w:iCs/>
            <w:rtl/>
          </w:rPr>
          <w:t xml:space="preserve">يقرر </w:t>
        </w:r>
        <w:r w:rsidRPr="001B4FCB">
          <w:rPr>
            <w:rtl/>
          </w:rPr>
          <w:t>تمديد ولاية المقرر</w:t>
        </w:r>
        <w:r w:rsidR="000A476E">
          <w:rPr>
            <w:rFonts w:hint="cs"/>
            <w:rtl/>
          </w:rPr>
          <w:t>ة</w:t>
        </w:r>
        <w:r w:rsidRPr="001B4FCB">
          <w:rPr>
            <w:rtl/>
          </w:rPr>
          <w:t xml:space="preserve"> الخاصة المعنية بقضايا الأقليات لفترة ثلاث سنوات بالشروط نفسها التي حددها مجلس حقوق الإنسان في قراره 25/5؛</w:t>
        </w:r>
        <w:r w:rsidRPr="001B4FCB">
          <w:rPr>
            <w:rFonts w:ascii="MS Mincho" w:eastAsia="MS Mincho" w:hAnsi="MS Mincho" w:cs="MS Mincho" w:hint="eastAsia"/>
            <w:rtl/>
          </w:rPr>
          <w:t>‬</w:t>
        </w:r>
        <w:r w:rsidRPr="001B4FCB">
          <w:rPr>
            <w:rFonts w:ascii="MS Mincho" w:eastAsia="MS Mincho" w:hAnsi="MS Mincho" w:cs="MS Mincho" w:hint="eastAsia"/>
            <w:lang w:val="en-GB"/>
          </w:rPr>
          <w:t>‬</w:t>
        </w:r>
        <w:r w:rsidR="009A62C3">
          <w:t>‬</w:t>
        </w:r>
        <w:r w:rsidR="00B45612">
          <w:t>‬</w:t>
        </w:r>
      </w:dir>
    </w:p>
    <w:p w:rsidR="001B4FCB" w:rsidRPr="001B4FCB" w:rsidRDefault="001B4FCB" w:rsidP="001B4FCB">
      <w:pPr>
        <w:pStyle w:val="SingleTxtGA"/>
        <w:rPr>
          <w:rtl/>
        </w:rPr>
      </w:pPr>
      <w:r w:rsidRPr="001B4FCB">
        <w:rPr>
          <w:rtl/>
        </w:rPr>
        <w:tab/>
        <w:t>٢-</w:t>
      </w:r>
      <w:r>
        <w:rPr>
          <w:rFonts w:hint="cs"/>
          <w:rtl/>
        </w:rPr>
        <w:tab/>
      </w:r>
      <w:r w:rsidRPr="001B4FCB">
        <w:rPr>
          <w:i/>
          <w:iCs/>
          <w:rtl/>
        </w:rPr>
        <w:t xml:space="preserve">يهيب </w:t>
      </w:r>
      <w:r w:rsidRPr="001B4FCB">
        <w:rPr>
          <w:rtl/>
        </w:rPr>
        <w:t>بجميع الدول أن تتعاون مع المقرّرة الخاصة في تأدية المهام والواجبات المنوطة بها وأن تساعدها في ذلك وأن تزودها بكل المعلومات اللازمة التي تطلبها وأن تنظر جديا</w:t>
      </w:r>
      <w:r w:rsidR="000A476E">
        <w:rPr>
          <w:rFonts w:hint="cs"/>
          <w:rtl/>
        </w:rPr>
        <w:t>ً</w:t>
      </w:r>
      <w:r w:rsidRPr="001B4FCB">
        <w:rPr>
          <w:rtl/>
        </w:rPr>
        <w:t xml:space="preserve"> في الاستجابة على وجه السرعة لطلبات المقررة الخاصة لزيارة بلدانها لتمكينها من الاضطلاع بواجباتها على نحو فعال؛</w:t>
      </w:r>
    </w:p>
    <w:p w:rsidR="001B4FCB" w:rsidRPr="001B4FCB" w:rsidRDefault="001B4FCB" w:rsidP="001B4FCB">
      <w:pPr>
        <w:pStyle w:val="SingleTxtGA"/>
        <w:rPr>
          <w:rtl/>
        </w:rPr>
      </w:pPr>
      <w:r w:rsidRPr="001B4FCB">
        <w:rPr>
          <w:rtl/>
        </w:rPr>
        <w:tab/>
        <w:t>٣-</w:t>
      </w:r>
      <w:r>
        <w:rPr>
          <w:rFonts w:hint="cs"/>
          <w:rtl/>
        </w:rPr>
        <w:tab/>
      </w:r>
      <w:r w:rsidRPr="001B4FCB">
        <w:rPr>
          <w:i/>
          <w:iCs/>
          <w:rtl/>
        </w:rPr>
        <w:t>يشجع</w:t>
      </w:r>
      <w:r w:rsidRPr="001B4FCB">
        <w:rPr>
          <w:rtl/>
        </w:rPr>
        <w:t xml:space="preserve"> الوكالات المتخصصة والمنظمات الإقليمية والمؤسسات الوطنية لحقوق الإنسان والمنظمات غير الحكومية على إجراء حوار منتظم مع المكلفة بالولاية والحفاظ عليه، وعلى مواصلة الإسهام في تعزيز وحماية حقوق الأشخاص المنتمين إلى أقليات قومية أو إثنية وإلى أقليات دينية ولغوية؛</w:t>
      </w:r>
    </w:p>
    <w:p w:rsidR="001B4FCB" w:rsidRPr="001B4FCB" w:rsidRDefault="001B4FCB" w:rsidP="001B4FCB">
      <w:pPr>
        <w:pStyle w:val="SingleTxtGA"/>
        <w:rPr>
          <w:rtl/>
        </w:rPr>
      </w:pPr>
      <w:r w:rsidRPr="001B4FCB">
        <w:rPr>
          <w:rtl/>
        </w:rPr>
        <w:tab/>
        <w:t>٤-</w:t>
      </w:r>
      <w:r>
        <w:rPr>
          <w:rFonts w:hint="cs"/>
          <w:rtl/>
        </w:rPr>
        <w:tab/>
      </w:r>
      <w:r w:rsidRPr="001B4FCB">
        <w:rPr>
          <w:i/>
          <w:iCs/>
          <w:rtl/>
        </w:rPr>
        <w:t xml:space="preserve">يطلب </w:t>
      </w:r>
      <w:r w:rsidRPr="009A62C3">
        <w:rPr>
          <w:rtl/>
        </w:rPr>
        <w:t>إلى</w:t>
      </w:r>
      <w:r w:rsidRPr="001B4FCB">
        <w:rPr>
          <w:rtl/>
        </w:rPr>
        <w:t xml:space="preserve"> الأمين العام ومفوض الأمم المتحدة السامي لحقوق الإنسان أن يقدما جميع الدعم البشري والتقني والمالي اللازم لتمكين المقررة الخاصة من تنفيذ مهام ولايتها على نحو فعال؛</w:t>
      </w:r>
    </w:p>
    <w:p w:rsidR="001B4FCB" w:rsidRPr="001B4FCB" w:rsidRDefault="001B4FCB" w:rsidP="001B4FCB">
      <w:pPr>
        <w:pStyle w:val="SingleTxtGA"/>
        <w:rPr>
          <w:i/>
          <w:rtl/>
        </w:rPr>
      </w:pPr>
      <w:r w:rsidRPr="001B4FCB">
        <w:rPr>
          <w:rtl/>
        </w:rPr>
        <w:tab/>
        <w:t>٥-</w:t>
      </w:r>
      <w:r>
        <w:rPr>
          <w:rFonts w:hint="cs"/>
          <w:rtl/>
        </w:rPr>
        <w:tab/>
      </w:r>
      <w:r w:rsidRPr="001B4FCB">
        <w:rPr>
          <w:i/>
          <w:iCs/>
          <w:rtl/>
        </w:rPr>
        <w:t>يقرر</w:t>
      </w:r>
      <w:r w:rsidRPr="001B4FCB">
        <w:rPr>
          <w:rtl/>
        </w:rPr>
        <w:t xml:space="preserve"> مواصلة النظر في هذه المسألة وفقاً لبرنامج عمله السنوي.</w:t>
      </w:r>
      <w:r w:rsidRPr="001B4FCB">
        <w:rPr>
          <w:rFonts w:ascii="MS Mincho" w:eastAsia="MS Mincho" w:hAnsi="MS Mincho" w:cs="MS Mincho" w:hint="eastAsia"/>
          <w:rtl/>
        </w:rPr>
        <w:t>‬</w:t>
      </w:r>
    </w:p>
    <w:p w:rsidR="00B54045" w:rsidRPr="001B4FCB" w:rsidRDefault="001B4FCB" w:rsidP="001B4FCB">
      <w:pPr>
        <w:spacing w:before="120"/>
        <w:jc w:val="center"/>
        <w:rPr>
          <w:u w:val="single"/>
          <w:rtl/>
        </w:rPr>
      </w:pPr>
      <w:r>
        <w:rPr>
          <w:u w:val="single"/>
          <w:rtl/>
        </w:rPr>
        <w:tab/>
      </w:r>
      <w:r>
        <w:rPr>
          <w:u w:val="single"/>
          <w:rtl/>
        </w:rPr>
        <w:tab/>
      </w:r>
      <w:r>
        <w:rPr>
          <w:u w:val="single"/>
          <w:rtl/>
        </w:rPr>
        <w:tab/>
      </w:r>
    </w:p>
    <w:sectPr w:rsidR="00B54045" w:rsidRPr="001B4FCB" w:rsidSect="003F708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C0" w:rsidRPr="002901D9" w:rsidRDefault="00E16FC0" w:rsidP="002901D9">
      <w:pPr>
        <w:spacing w:after="60" w:line="240" w:lineRule="auto"/>
        <w:rPr>
          <w:i/>
          <w:iCs/>
        </w:rPr>
      </w:pPr>
      <w:r>
        <w:rPr>
          <w:rFonts w:hint="cs"/>
          <w:i/>
          <w:iCs/>
          <w:rtl/>
        </w:rPr>
        <w:t>الحواشي</w:t>
      </w:r>
    </w:p>
  </w:endnote>
  <w:endnote w:type="continuationSeparator" w:id="0">
    <w:p w:rsidR="00E16FC0" w:rsidRDefault="00E16FC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A" w:rsidRPr="00AA7221" w:rsidRDefault="00AA7221" w:rsidP="00AA7221">
    <w:pPr>
      <w:pStyle w:val="Footer"/>
      <w:tabs>
        <w:tab w:val="right" w:pos="9598"/>
      </w:tabs>
      <w:rPr>
        <w:sz w:val="17"/>
      </w:rPr>
    </w:pPr>
    <w:r>
      <w:rPr>
        <w:sz w:val="17"/>
      </w:rPr>
      <w:t>GE.17-04315</w:t>
    </w:r>
    <w:r>
      <w:rPr>
        <w:sz w:val="17"/>
      </w:rPr>
      <w:tab/>
    </w:r>
    <w:r w:rsidRPr="00AA7221">
      <w:rPr>
        <w:b/>
        <w:sz w:val="18"/>
      </w:rPr>
      <w:fldChar w:fldCharType="begin"/>
    </w:r>
    <w:r w:rsidRPr="00AA7221">
      <w:rPr>
        <w:b/>
        <w:sz w:val="18"/>
      </w:rPr>
      <w:instrText xml:space="preserve"> PAGE  \* MERGEFORMAT </w:instrText>
    </w:r>
    <w:r w:rsidRPr="00AA7221">
      <w:rPr>
        <w:b/>
        <w:sz w:val="18"/>
      </w:rPr>
      <w:fldChar w:fldCharType="separate"/>
    </w:r>
    <w:r w:rsidR="00CE0301">
      <w:rPr>
        <w:b/>
        <w:noProof/>
        <w:sz w:val="18"/>
      </w:rPr>
      <w:t>2</w:t>
    </w:r>
    <w:r w:rsidRPr="00AA722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A7221" w:rsidRDefault="00AA7221" w:rsidP="006959B0">
    <w:pPr>
      <w:pStyle w:val="Footer"/>
      <w:tabs>
        <w:tab w:val="right" w:pos="9599"/>
      </w:tabs>
      <w:jc w:val="left"/>
      <w:rPr>
        <w:b/>
        <w:sz w:val="18"/>
        <w:lang w:val="en-US"/>
      </w:rPr>
    </w:pPr>
    <w:r w:rsidRPr="00AA7221">
      <w:rPr>
        <w:b/>
        <w:sz w:val="18"/>
        <w:lang w:val="en-US"/>
      </w:rPr>
      <w:fldChar w:fldCharType="begin"/>
    </w:r>
    <w:r w:rsidRPr="00AA7221">
      <w:rPr>
        <w:b/>
        <w:sz w:val="18"/>
        <w:lang w:val="en-US"/>
      </w:rPr>
      <w:instrText xml:space="preserve"> PAGE  \* MERGEFORMAT </w:instrText>
    </w:r>
    <w:r w:rsidRPr="00AA7221">
      <w:rPr>
        <w:b/>
        <w:sz w:val="18"/>
        <w:lang w:val="en-US"/>
      </w:rPr>
      <w:fldChar w:fldCharType="separate"/>
    </w:r>
    <w:r>
      <w:rPr>
        <w:b/>
        <w:noProof/>
        <w:sz w:val="18"/>
        <w:lang w:val="en-US"/>
      </w:rPr>
      <w:t>3</w:t>
    </w:r>
    <w:r w:rsidRPr="00AA7221">
      <w:rPr>
        <w:b/>
        <w:sz w:val="18"/>
        <w:lang w:val="en-US"/>
      </w:rPr>
      <w:fldChar w:fldCharType="end"/>
    </w:r>
    <w:r>
      <w:rPr>
        <w:b/>
        <w:sz w:val="18"/>
        <w:lang w:val="en-US"/>
      </w:rPr>
      <w:tab/>
    </w:r>
    <w:r>
      <w:rPr>
        <w:sz w:val="17"/>
        <w:lang w:val="en-US"/>
      </w:rPr>
      <w:t>GE.17-04315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CE0301" w:rsidP="00F6741C">
    <w:pPr>
      <w:pStyle w:val="Footer"/>
      <w:spacing w:before="360"/>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3E2DF4E1" wp14:editId="04182938">
          <wp:simplePos x="0" y="0"/>
          <wp:positionH relativeFrom="page">
            <wp:posOffset>719455</wp:posOffset>
          </wp:positionH>
          <wp:positionV relativeFrom="page">
            <wp:posOffset>9716770</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r w:rsidR="003F708A">
      <w:rPr>
        <w:sz w:val="20"/>
        <w:szCs w:val="20"/>
      </w:rPr>
      <w:t>GE.17-04315</w:t>
    </w:r>
    <w:r w:rsidR="00FD4BC9">
      <w:rPr>
        <w:noProof/>
        <w:lang w:val="en-US"/>
      </w:rPr>
      <w:drawing>
        <wp:anchor distT="0" distB="0" distL="114300" distR="114300" simplePos="0" relativeHeight="251659264" behindDoc="1" locked="1" layoutInCell="0" allowOverlap="1" wp14:anchorId="7E2F9CEB" wp14:editId="03A3CE4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3F708A" w:rsidRPr="003F708A" w:rsidRDefault="003F708A" w:rsidP="003F708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C0" w:rsidRPr="0054762C" w:rsidRDefault="00E16FC0" w:rsidP="000E524A">
      <w:pPr>
        <w:pStyle w:val="Footer"/>
        <w:bidi/>
        <w:spacing w:after="80" w:line="200" w:lineRule="exact"/>
        <w:ind w:left="680"/>
      </w:pPr>
      <w:r>
        <w:rPr>
          <w:rtl/>
        </w:rPr>
        <w:t>__________</w:t>
      </w:r>
    </w:p>
  </w:footnote>
  <w:footnote w:type="continuationSeparator" w:id="0">
    <w:p w:rsidR="00E16FC0" w:rsidRDefault="00E16FC0" w:rsidP="00656392">
      <w:pPr>
        <w:spacing w:line="240" w:lineRule="auto"/>
      </w:pPr>
      <w:r>
        <w:continuationSeparator/>
      </w:r>
    </w:p>
  </w:footnote>
  <w:footnote w:id="1">
    <w:p w:rsidR="00ED7874" w:rsidRPr="00ED7874" w:rsidRDefault="00ED7874" w:rsidP="00ED7874">
      <w:pPr>
        <w:pStyle w:val="FootnoteText1"/>
        <w:rPr>
          <w:rtl/>
        </w:rPr>
      </w:pPr>
      <w:r>
        <w:rPr>
          <w:rtl/>
        </w:rPr>
        <w:t>*</w:t>
      </w:r>
      <w:r>
        <w:rPr>
          <w:rtl/>
        </w:rPr>
        <w:tab/>
      </w:r>
      <w:r w:rsidRPr="00ED7874">
        <w:rPr>
          <w:rtl/>
        </w:rPr>
        <w:t>دولة غير عضو في مجلس حقوق الإنسان.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A" w:rsidRPr="00AA7221" w:rsidRDefault="00AA7221" w:rsidP="00AA7221">
    <w:pPr>
      <w:pStyle w:val="Header"/>
      <w:jc w:val="right"/>
    </w:pPr>
    <w:r w:rsidRPr="00AA7221">
      <w:t>A/HRC/34/L.6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A" w:rsidRPr="00AA7221" w:rsidRDefault="00AA7221" w:rsidP="00AA7221">
    <w:pPr>
      <w:pStyle w:val="Header"/>
      <w:jc w:val="left"/>
    </w:pPr>
    <w:r w:rsidRPr="00AA7221">
      <w:t>A/HRC/34/L.6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16FC0"/>
    <w:rsid w:val="000076D5"/>
    <w:rsid w:val="00043663"/>
    <w:rsid w:val="000505CF"/>
    <w:rsid w:val="000A476E"/>
    <w:rsid w:val="000D701C"/>
    <w:rsid w:val="000E2A71"/>
    <w:rsid w:val="000E524A"/>
    <w:rsid w:val="00160263"/>
    <w:rsid w:val="001773DB"/>
    <w:rsid w:val="00181F96"/>
    <w:rsid w:val="001A1371"/>
    <w:rsid w:val="001B346A"/>
    <w:rsid w:val="001B4FCB"/>
    <w:rsid w:val="001E1CAD"/>
    <w:rsid w:val="001E290D"/>
    <w:rsid w:val="002144FA"/>
    <w:rsid w:val="0023469A"/>
    <w:rsid w:val="00243C8A"/>
    <w:rsid w:val="00267A0E"/>
    <w:rsid w:val="002901D9"/>
    <w:rsid w:val="002976C2"/>
    <w:rsid w:val="00325CC1"/>
    <w:rsid w:val="003260FF"/>
    <w:rsid w:val="00343D95"/>
    <w:rsid w:val="00374341"/>
    <w:rsid w:val="003D1062"/>
    <w:rsid w:val="003E159A"/>
    <w:rsid w:val="003F708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62C3"/>
    <w:rsid w:val="009A7E9F"/>
    <w:rsid w:val="009E5018"/>
    <w:rsid w:val="00A12B37"/>
    <w:rsid w:val="00A50EC0"/>
    <w:rsid w:val="00A74331"/>
    <w:rsid w:val="00AA7221"/>
    <w:rsid w:val="00AB6758"/>
    <w:rsid w:val="00B13763"/>
    <w:rsid w:val="00B477A4"/>
    <w:rsid w:val="00B54045"/>
    <w:rsid w:val="00BA5E8B"/>
    <w:rsid w:val="00C022F5"/>
    <w:rsid w:val="00C438D7"/>
    <w:rsid w:val="00C53FE8"/>
    <w:rsid w:val="00C81B50"/>
    <w:rsid w:val="00CA655B"/>
    <w:rsid w:val="00CB3C3C"/>
    <w:rsid w:val="00CD1801"/>
    <w:rsid w:val="00CE0301"/>
    <w:rsid w:val="00D10EF1"/>
    <w:rsid w:val="00D42810"/>
    <w:rsid w:val="00D914A7"/>
    <w:rsid w:val="00DD13C3"/>
    <w:rsid w:val="00DD596E"/>
    <w:rsid w:val="00DD621E"/>
    <w:rsid w:val="00DF0575"/>
    <w:rsid w:val="00E16FC0"/>
    <w:rsid w:val="00E70E04"/>
    <w:rsid w:val="00EC05A7"/>
    <w:rsid w:val="00EC4B6B"/>
    <w:rsid w:val="00ED7442"/>
    <w:rsid w:val="00ED7874"/>
    <w:rsid w:val="00EE0B18"/>
    <w:rsid w:val="00EF1EE5"/>
    <w:rsid w:val="00F62311"/>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6&amp;Size=2&amp;Lang=A"/></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344B-0176-4DFB-A4B0-97FB9469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A/HRC/34/L.6</dc:title>
  <dc:subject>GE.1704315</dc:subject>
  <dc:creator>SALY - AGH</dc:creator>
  <cp:keywords>ODS No.1706864</cp:keywords>
  <dc:description>Original: English _x000d_
Distribution: Limited_x000d_
Date: 17 March 2017</dc:description>
  <cp:lastModifiedBy>Tpsara</cp:lastModifiedBy>
  <cp:revision>2</cp:revision>
  <dcterms:created xsi:type="dcterms:W3CDTF">2017-03-20T08:38:00Z</dcterms:created>
  <dcterms:modified xsi:type="dcterms:W3CDTF">2017-03-20T08:38:00Z</dcterms:modified>
  <cp:category>Final</cp:category>
</cp:coreProperties>
</file>