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2EE73AC" w14:textId="77777777" w:rsidTr="00562621">
        <w:trPr>
          <w:trHeight w:val="851"/>
        </w:trPr>
        <w:tc>
          <w:tcPr>
            <w:tcW w:w="1259" w:type="dxa"/>
            <w:tcBorders>
              <w:top w:val="nil"/>
              <w:left w:val="nil"/>
              <w:bottom w:val="single" w:sz="4" w:space="0" w:color="auto"/>
              <w:right w:val="nil"/>
            </w:tcBorders>
          </w:tcPr>
          <w:p w14:paraId="25325F6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8829783"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4FB2CB1" w14:textId="1C3AF01C" w:rsidR="00446DE4" w:rsidRPr="00DE3EC0" w:rsidRDefault="00EE06CD" w:rsidP="00A13BA9">
            <w:pPr>
              <w:jc w:val="right"/>
            </w:pPr>
            <w:r w:rsidRPr="00EE06CD">
              <w:rPr>
                <w:sz w:val="40"/>
              </w:rPr>
              <w:t>A</w:t>
            </w:r>
            <w:r w:rsidR="00C06876">
              <w:t>/HRC/</w:t>
            </w:r>
            <w:r w:rsidR="00A13BA9">
              <w:t>RES/</w:t>
            </w:r>
            <w:r w:rsidR="00C06876">
              <w:t>4</w:t>
            </w:r>
            <w:r w:rsidR="001C7ACB">
              <w:t>1</w:t>
            </w:r>
            <w:r>
              <w:t>/</w:t>
            </w:r>
            <w:r w:rsidR="00A13BA9">
              <w:t>18</w:t>
            </w:r>
          </w:p>
        </w:tc>
      </w:tr>
      <w:tr w:rsidR="003107FA" w14:paraId="5D26F237" w14:textId="77777777" w:rsidTr="00562621">
        <w:trPr>
          <w:trHeight w:val="2835"/>
        </w:trPr>
        <w:tc>
          <w:tcPr>
            <w:tcW w:w="1259" w:type="dxa"/>
            <w:tcBorders>
              <w:top w:val="single" w:sz="4" w:space="0" w:color="auto"/>
              <w:left w:val="nil"/>
              <w:bottom w:val="single" w:sz="12" w:space="0" w:color="auto"/>
              <w:right w:val="nil"/>
            </w:tcBorders>
          </w:tcPr>
          <w:p w14:paraId="60D83A24" w14:textId="77777777" w:rsidR="003107FA" w:rsidRDefault="00014E3E" w:rsidP="00562621">
            <w:pPr>
              <w:spacing w:before="120"/>
              <w:jc w:val="center"/>
            </w:pPr>
            <w:r>
              <w:rPr>
                <w:noProof/>
                <w:lang w:val="en-US" w:eastAsia="zh-CN"/>
              </w:rPr>
              <w:drawing>
                <wp:inline distT="0" distB="0" distL="0" distR="0" wp14:anchorId="0B8B67FF" wp14:editId="7E21602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23B5ACE" w14:textId="4F521499" w:rsidR="009E6C00" w:rsidRPr="00B3317B" w:rsidRDefault="00B3317B" w:rsidP="008250F2">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A1787F9" w14:textId="1C1A1919" w:rsidR="003107FA" w:rsidRDefault="00EE06CD" w:rsidP="00EE06CD">
            <w:pPr>
              <w:spacing w:before="240" w:line="240" w:lineRule="exact"/>
            </w:pPr>
            <w:r>
              <w:t xml:space="preserve">Distr.: </w:t>
            </w:r>
            <w:r w:rsidR="00A13BA9">
              <w:t>General</w:t>
            </w:r>
          </w:p>
          <w:p w14:paraId="13C82DF5" w14:textId="3DF835FD" w:rsidR="00EE06CD" w:rsidRDefault="009E00B5" w:rsidP="00630282">
            <w:pPr>
              <w:spacing w:line="240" w:lineRule="exact"/>
            </w:pPr>
            <w:r>
              <w:t>1</w:t>
            </w:r>
            <w:r w:rsidR="007B0EFF">
              <w:t>9</w:t>
            </w:r>
            <w:r w:rsidR="00EE06CD">
              <w:t xml:space="preserve"> </w:t>
            </w:r>
            <w:r w:rsidR="001C7ACB">
              <w:t>Ju</w:t>
            </w:r>
            <w:r w:rsidR="00014E3E">
              <w:t>ly</w:t>
            </w:r>
            <w:r w:rsidR="00C06876">
              <w:t xml:space="preserve"> 2019</w:t>
            </w:r>
          </w:p>
          <w:p w14:paraId="0197C2F6" w14:textId="77777777" w:rsidR="00EE06CD" w:rsidRDefault="00EE06CD" w:rsidP="00EE06CD">
            <w:pPr>
              <w:spacing w:line="240" w:lineRule="exact"/>
            </w:pPr>
          </w:p>
          <w:p w14:paraId="361EF843" w14:textId="77777777" w:rsidR="00EE06CD" w:rsidRDefault="00EE06CD" w:rsidP="00EE06CD">
            <w:pPr>
              <w:spacing w:line="240" w:lineRule="exact"/>
            </w:pPr>
            <w:r>
              <w:t>Original: English</w:t>
            </w:r>
          </w:p>
        </w:tc>
      </w:tr>
    </w:tbl>
    <w:p w14:paraId="3A26FF0C" w14:textId="77777777" w:rsidR="00EE06CD" w:rsidRPr="00EE06CD" w:rsidRDefault="00EE06CD" w:rsidP="00EE06CD">
      <w:pPr>
        <w:spacing w:before="120"/>
        <w:rPr>
          <w:b/>
          <w:sz w:val="24"/>
          <w:szCs w:val="24"/>
        </w:rPr>
      </w:pPr>
      <w:r w:rsidRPr="00EE06CD">
        <w:rPr>
          <w:b/>
          <w:sz w:val="24"/>
          <w:szCs w:val="24"/>
        </w:rPr>
        <w:t>Human Rights Council</w:t>
      </w:r>
    </w:p>
    <w:p w14:paraId="05134BC0" w14:textId="77777777" w:rsidR="00EE06CD" w:rsidRPr="00EE06CD" w:rsidRDefault="001C7ACB" w:rsidP="00EE06CD">
      <w:pPr>
        <w:rPr>
          <w:b/>
        </w:rPr>
      </w:pPr>
      <w:r>
        <w:rPr>
          <w:b/>
        </w:rPr>
        <w:t>Forty-first</w:t>
      </w:r>
      <w:r w:rsidR="00C06876">
        <w:rPr>
          <w:b/>
        </w:rPr>
        <w:t xml:space="preserve"> </w:t>
      </w:r>
      <w:r w:rsidR="00EE06CD" w:rsidRPr="00EE06CD">
        <w:rPr>
          <w:b/>
        </w:rPr>
        <w:t>session</w:t>
      </w:r>
    </w:p>
    <w:p w14:paraId="504DB6CD" w14:textId="77777777" w:rsidR="00EE06CD" w:rsidRPr="00EE06CD" w:rsidRDefault="00C06876" w:rsidP="00EE06CD">
      <w:r>
        <w:t>2</w:t>
      </w:r>
      <w:r w:rsidR="001C7ACB">
        <w:t>4</w:t>
      </w:r>
      <w:r>
        <w:t xml:space="preserve"> </w:t>
      </w:r>
      <w:r w:rsidR="001C7ACB">
        <w:t>June</w:t>
      </w:r>
      <w:r>
        <w:t>–</w:t>
      </w:r>
      <w:r w:rsidR="001C7ACB">
        <w:t>1</w:t>
      </w:r>
      <w:r>
        <w:t xml:space="preserve">2 </w:t>
      </w:r>
      <w:r w:rsidR="001C7ACB">
        <w:t>July</w:t>
      </w:r>
      <w:r>
        <w:t xml:space="preserve"> 2019</w:t>
      </w:r>
    </w:p>
    <w:p w14:paraId="506ABD33" w14:textId="77777777" w:rsidR="00EE06CD" w:rsidRPr="00EE06CD" w:rsidRDefault="00EE06CD" w:rsidP="00EE06CD">
      <w:r w:rsidRPr="00EE06CD">
        <w:t>Agenda item 3</w:t>
      </w:r>
    </w:p>
    <w:p w14:paraId="70C330E1" w14:textId="3546D6C3" w:rsidR="00EE06CD" w:rsidRPr="00EE06CD" w:rsidRDefault="00A13BA9" w:rsidP="00630282">
      <w:pPr>
        <w:pStyle w:val="HChG"/>
      </w:pPr>
      <w:r>
        <w:tab/>
      </w:r>
      <w:r>
        <w:tab/>
        <w:t>R</w:t>
      </w:r>
      <w:r w:rsidR="00EE06CD" w:rsidRPr="00EE06CD">
        <w:t>esolution</w:t>
      </w:r>
      <w:r>
        <w:t xml:space="preserve"> adopted by the Human Rights Council </w:t>
      </w:r>
      <w:r>
        <w:br/>
        <w:t>on 12 July 2019</w:t>
      </w:r>
      <w:bookmarkStart w:id="0" w:name="_GoBack"/>
      <w:bookmarkEnd w:id="0"/>
    </w:p>
    <w:p w14:paraId="0B37100B" w14:textId="79A9C044" w:rsidR="00EE06CD" w:rsidRPr="00FE722B" w:rsidRDefault="001C7ACB" w:rsidP="00630282">
      <w:pPr>
        <w:keepNext/>
        <w:keepLines/>
        <w:spacing w:before="360" w:after="240" w:line="270" w:lineRule="exact"/>
        <w:ind w:left="1134" w:right="1134" w:hanging="850"/>
        <w:rPr>
          <w:b/>
          <w:bCs/>
          <w:sz w:val="24"/>
          <w:lang w:val="en-US"/>
        </w:rPr>
      </w:pPr>
      <w:r>
        <w:rPr>
          <w:b/>
          <w:sz w:val="24"/>
        </w:rPr>
        <w:t>41</w:t>
      </w:r>
      <w:r w:rsidR="00EE06CD" w:rsidRPr="00EE06CD">
        <w:rPr>
          <w:b/>
          <w:sz w:val="24"/>
        </w:rPr>
        <w:t>/</w:t>
      </w:r>
      <w:r w:rsidR="00A13BA9">
        <w:rPr>
          <w:b/>
          <w:sz w:val="24"/>
        </w:rPr>
        <w:t>18.</w:t>
      </w:r>
      <w:r w:rsidR="00EE06CD" w:rsidRPr="00EE06CD">
        <w:rPr>
          <w:b/>
          <w:sz w:val="24"/>
        </w:rPr>
        <w:tab/>
      </w:r>
      <w:r w:rsidR="00FE722B" w:rsidRPr="00FE722B">
        <w:rPr>
          <w:b/>
          <w:bCs/>
          <w:sz w:val="24"/>
          <w:lang w:val="en-US"/>
        </w:rPr>
        <w:t>Mandate of the Independent Expert on protection against violence and discrimination based on sexual orientation and gender identity</w:t>
      </w:r>
    </w:p>
    <w:p w14:paraId="5A6F237A" w14:textId="691FCEB5" w:rsidR="00EE06CD" w:rsidRDefault="008250F2" w:rsidP="00FA4086">
      <w:pPr>
        <w:spacing w:after="120"/>
        <w:ind w:left="1134" w:right="1134"/>
        <w:jc w:val="both"/>
      </w:pPr>
      <w:r>
        <w:tab/>
      </w:r>
      <w:r w:rsidR="00FB4232">
        <w:tab/>
      </w:r>
      <w:r w:rsidR="00EE06CD" w:rsidRPr="00EE06CD">
        <w:rPr>
          <w:i/>
        </w:rPr>
        <w:t>The Human Rights Council</w:t>
      </w:r>
      <w:r w:rsidR="00EE06CD" w:rsidRPr="00EE06CD">
        <w:t>,</w:t>
      </w:r>
    </w:p>
    <w:p w14:paraId="74B0E2F9" w14:textId="4FDCEA92" w:rsidR="00FE722B" w:rsidRPr="00FE722B" w:rsidRDefault="008250F2" w:rsidP="00FA4086">
      <w:pPr>
        <w:pStyle w:val="SingleTxtG"/>
        <w:rPr>
          <w:lang w:val="en-US"/>
        </w:rPr>
      </w:pPr>
      <w:r>
        <w:tab/>
      </w:r>
      <w:r w:rsidR="00FB4232">
        <w:tab/>
      </w:r>
      <w:r w:rsidR="00FE722B" w:rsidRPr="00FE722B">
        <w:rPr>
          <w:i/>
          <w:lang w:val="en-US"/>
        </w:rPr>
        <w:t xml:space="preserve">Reaffirming </w:t>
      </w:r>
      <w:r w:rsidR="00FE722B" w:rsidRPr="00FE722B">
        <w:rPr>
          <w:lang w:val="en-US"/>
        </w:rPr>
        <w:t>the Univers</w:t>
      </w:r>
      <w:r w:rsidR="00C063A5">
        <w:rPr>
          <w:lang w:val="en-US"/>
        </w:rPr>
        <w:t>al Declaration of Human Rights,</w:t>
      </w:r>
    </w:p>
    <w:p w14:paraId="41005AA0" w14:textId="5018ED83" w:rsidR="00FE722B" w:rsidRPr="00FE722B" w:rsidRDefault="00FE722B" w:rsidP="00E8729E">
      <w:pPr>
        <w:pStyle w:val="SingleTxtG"/>
        <w:ind w:firstLine="567"/>
        <w:rPr>
          <w:rFonts w:eastAsia="Times"/>
        </w:rPr>
      </w:pPr>
      <w:r w:rsidRPr="00FE722B">
        <w:rPr>
          <w:i/>
        </w:rPr>
        <w:t>Recalling</w:t>
      </w:r>
      <w:r w:rsidRPr="00FE722B">
        <w:t xml:space="preserve"> General Assembly resolution 60/251 of 15 March 2006, in which the Assembly stated that the Human Rights Council should be responsible for promoting universal respect for the protection of all human rights and fundamental freedoms for all, without distinction of any kind </w:t>
      </w:r>
      <w:r w:rsidR="00C063A5">
        <w:t>and in a fair and equal manner,</w:t>
      </w:r>
    </w:p>
    <w:p w14:paraId="45A182D1" w14:textId="0FE391FE" w:rsidR="00FE722B" w:rsidRPr="00FE722B" w:rsidRDefault="00FE722B" w:rsidP="00FE722B">
      <w:pPr>
        <w:pStyle w:val="SingleTxtG"/>
        <w:ind w:firstLine="567"/>
        <w:rPr>
          <w:rFonts w:eastAsia="Times"/>
        </w:rPr>
      </w:pPr>
      <w:r w:rsidRPr="00FE722B">
        <w:rPr>
          <w:i/>
        </w:rPr>
        <w:t>Recalling</w:t>
      </w:r>
      <w:r w:rsidRPr="00FE722B">
        <w:t xml:space="preserve"> </w:t>
      </w:r>
      <w:r w:rsidR="00E8729E" w:rsidRPr="001C4070">
        <w:rPr>
          <w:i/>
          <w:iCs/>
        </w:rPr>
        <w:t>also</w:t>
      </w:r>
      <w:r w:rsidR="00E8729E" w:rsidRPr="00FE722B">
        <w:t xml:space="preserve"> </w:t>
      </w:r>
      <w:r w:rsidRPr="00FE722B">
        <w:t>Human Rights Council resolutions 17/19 of 17 June 2011, 27/32 of 26 September 2014 and 32/2 of 30 June 2016,</w:t>
      </w:r>
    </w:p>
    <w:p w14:paraId="60246BD5" w14:textId="77777777" w:rsidR="00FE722B" w:rsidRDefault="00FE722B" w:rsidP="00FE722B">
      <w:pPr>
        <w:pStyle w:val="SingleTxtG"/>
        <w:ind w:firstLine="567"/>
      </w:pPr>
      <w:r w:rsidRPr="00FE722B">
        <w:rPr>
          <w:i/>
        </w:rPr>
        <w:t>Recalling</w:t>
      </w:r>
      <w:r w:rsidR="00E8729E">
        <w:rPr>
          <w:i/>
        </w:rPr>
        <w:t xml:space="preserve"> further</w:t>
      </w:r>
      <w:r w:rsidRPr="00FE722B">
        <w:t xml:space="preserve"> Human Rights Council resolutions 5/1 and 5/2 of 18 June 2007,</w:t>
      </w:r>
    </w:p>
    <w:p w14:paraId="3B50CE3C" w14:textId="286467FC" w:rsidR="00846D95" w:rsidRPr="00FE722B" w:rsidRDefault="00846D95">
      <w:pPr>
        <w:pStyle w:val="SingleTxtG"/>
        <w:ind w:firstLine="567"/>
        <w:rPr>
          <w:rFonts w:eastAsia="Times"/>
        </w:rPr>
      </w:pPr>
      <w:r w:rsidRPr="00167F78">
        <w:rPr>
          <w:rFonts w:eastAsia="Times"/>
          <w:i/>
        </w:rPr>
        <w:t>Recalling</w:t>
      </w:r>
      <w:r w:rsidRPr="00846D95">
        <w:rPr>
          <w:rFonts w:eastAsia="Times"/>
        </w:rPr>
        <w:t xml:space="preserve"> that the Vienna Declaration and Programme of Action affirms that all human rights are universal, indivisible and interdependent and interrelated, that the international community must treat human rights globally in a fair and equal manner, on the same footing, and with the same emphasis, and that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r w:rsidR="00FB55F4">
        <w:rPr>
          <w:rFonts w:eastAsia="Times"/>
        </w:rPr>
        <w:t>,</w:t>
      </w:r>
    </w:p>
    <w:p w14:paraId="7049B766" w14:textId="320FD091" w:rsidR="00FE722B" w:rsidRPr="00FE722B" w:rsidRDefault="00FE722B" w:rsidP="00282586">
      <w:pPr>
        <w:pStyle w:val="SingleTxtG"/>
        <w:ind w:firstLine="567"/>
        <w:rPr>
          <w:rFonts w:eastAsia="Times"/>
        </w:rPr>
      </w:pPr>
      <w:r>
        <w:t>1.</w:t>
      </w:r>
      <w:r>
        <w:tab/>
      </w:r>
      <w:r w:rsidRPr="00FE722B">
        <w:rPr>
          <w:i/>
        </w:rPr>
        <w:t>Welcomes</w:t>
      </w:r>
      <w:r w:rsidRPr="00FE722B">
        <w:t xml:space="preserve"> the work undertaken by the Independent Expert on protection against violence and discrimination based on sexual orientation and gender identity in the implementation of the mandate, the comprehensive, transparent and inclusive consultations conducted with relevant stakeholders, the thematic reports and the undertaking of country visits to different regions;</w:t>
      </w:r>
      <w:r w:rsidR="00575EA0">
        <w:rPr>
          <w:rStyle w:val="FootnoteReference"/>
        </w:rPr>
        <w:footnoteReference w:id="2"/>
      </w:r>
    </w:p>
    <w:p w14:paraId="570DA8E8" w14:textId="7C235EB4" w:rsidR="00FE722B" w:rsidRPr="00FE722B" w:rsidRDefault="00FE722B">
      <w:pPr>
        <w:pStyle w:val="SingleTxtG"/>
        <w:ind w:firstLine="567"/>
        <w:rPr>
          <w:rFonts w:eastAsia="Times"/>
        </w:rPr>
      </w:pPr>
      <w:r>
        <w:t>2.</w:t>
      </w:r>
      <w:r>
        <w:tab/>
      </w:r>
      <w:r w:rsidRPr="00FE722B">
        <w:rPr>
          <w:i/>
        </w:rPr>
        <w:t xml:space="preserve">Decides </w:t>
      </w:r>
      <w:r w:rsidRPr="00FE722B">
        <w:t xml:space="preserve">to extend the mandate of the Independent Expert on protection against violence and discrimination based on sexual orientation and gender identity for a period of three years to enable the mandate holder to continue to work in accordance with the mandate established by the Human Rights Council in its </w:t>
      </w:r>
      <w:r w:rsidR="00282586">
        <w:t>r</w:t>
      </w:r>
      <w:r w:rsidRPr="00FE722B">
        <w:t>esolution 32/2;</w:t>
      </w:r>
    </w:p>
    <w:p w14:paraId="4215B901" w14:textId="7993E086" w:rsidR="00FE722B" w:rsidRPr="00FE722B" w:rsidRDefault="00FE722B">
      <w:pPr>
        <w:pStyle w:val="SingleTxtG"/>
        <w:ind w:firstLine="567"/>
        <w:rPr>
          <w:rFonts w:eastAsia="Times"/>
        </w:rPr>
      </w:pPr>
      <w:r>
        <w:t>3.</w:t>
      </w:r>
      <w:r>
        <w:tab/>
      </w:r>
      <w:r w:rsidRPr="00FE722B">
        <w:rPr>
          <w:i/>
        </w:rPr>
        <w:t>Request</w:t>
      </w:r>
      <w:r w:rsidR="00282586">
        <w:rPr>
          <w:i/>
        </w:rPr>
        <w:t>s</w:t>
      </w:r>
      <w:r w:rsidRPr="00FE722B">
        <w:t xml:space="preserve"> the Secretary</w:t>
      </w:r>
      <w:r w:rsidR="00DA13E7">
        <w:t>-</w:t>
      </w:r>
      <w:r w:rsidRPr="00FE722B">
        <w:t xml:space="preserve">General and the United Nations High Commissioner for Human Rights to continue to provide </w:t>
      </w:r>
      <w:r w:rsidR="00282586" w:rsidRPr="00FE722B">
        <w:t xml:space="preserve">the Independent Expert </w:t>
      </w:r>
      <w:r w:rsidR="00282586">
        <w:t xml:space="preserve">with </w:t>
      </w:r>
      <w:r w:rsidRPr="00FE722B">
        <w:t xml:space="preserve">all the human, technical </w:t>
      </w:r>
      <w:r w:rsidRPr="00FE722B">
        <w:lastRenderedPageBreak/>
        <w:t>and financial resources necessary for the continuation of the effective fulfilment of the mandate;</w:t>
      </w:r>
    </w:p>
    <w:p w14:paraId="56672458" w14:textId="39197376" w:rsidR="00FE722B" w:rsidRPr="00FE722B" w:rsidRDefault="00FE722B">
      <w:pPr>
        <w:pStyle w:val="SingleTxtG"/>
        <w:ind w:firstLine="567"/>
        <w:rPr>
          <w:rFonts w:eastAsia="Times"/>
        </w:rPr>
      </w:pPr>
      <w:r>
        <w:t>4.</w:t>
      </w:r>
      <w:r>
        <w:tab/>
      </w:r>
      <w:r w:rsidRPr="00FE722B">
        <w:rPr>
          <w:i/>
        </w:rPr>
        <w:t>Calls upon</w:t>
      </w:r>
      <w:r w:rsidRPr="00FE722B">
        <w:t xml:space="preserve"> all Governments to cooperate with and assist the Independent Expert by supplying all necessary information requested by the mandate holder, and responding favourably to the requests of the Independent Expert to visit their countries to fulfil</w:t>
      </w:r>
      <w:r w:rsidR="00C063A5">
        <w:t xml:space="preserve"> the mandate more effectively;</w:t>
      </w:r>
    </w:p>
    <w:p w14:paraId="4DEA1AA9" w14:textId="306B936E" w:rsidR="008F6DA9" w:rsidRDefault="00FE722B">
      <w:pPr>
        <w:pStyle w:val="SingleTxtG"/>
        <w:ind w:firstLine="567"/>
      </w:pPr>
      <w:r>
        <w:t>5.</w:t>
      </w:r>
      <w:r>
        <w:tab/>
      </w:r>
      <w:r w:rsidRPr="00FE722B">
        <w:rPr>
          <w:i/>
        </w:rPr>
        <w:t>Reque</w:t>
      </w:r>
      <w:r w:rsidRPr="00FE722B">
        <w:t>s</w:t>
      </w:r>
      <w:r w:rsidRPr="001C4070">
        <w:rPr>
          <w:i/>
          <w:iCs/>
        </w:rPr>
        <w:t>t</w:t>
      </w:r>
      <w:r w:rsidR="00282586">
        <w:t>s</w:t>
      </w:r>
      <w:r w:rsidRPr="00FE722B">
        <w:t xml:space="preserve"> the Independent Expert to continue </w:t>
      </w:r>
      <w:r w:rsidR="00282586">
        <w:t xml:space="preserve">to </w:t>
      </w:r>
      <w:r w:rsidRPr="00FE722B">
        <w:t xml:space="preserve">report annually on the implementation of the mandate to the Human Rights Council and the General Assembly in accordance </w:t>
      </w:r>
      <w:r w:rsidR="00282586">
        <w:t>with</w:t>
      </w:r>
      <w:r w:rsidR="00282586" w:rsidRPr="00FE722B">
        <w:t xml:space="preserve"> </w:t>
      </w:r>
      <w:r w:rsidRPr="00FE722B">
        <w:t>their</w:t>
      </w:r>
      <w:r w:rsidR="00C063A5">
        <w:t xml:space="preserve"> respective programmes of work.</w:t>
      </w:r>
    </w:p>
    <w:p w14:paraId="778F38D9" w14:textId="3F2DCCF0" w:rsidR="00A13BA9" w:rsidRDefault="00A13BA9" w:rsidP="00A13BA9">
      <w:pPr>
        <w:pStyle w:val="SingleTxtG"/>
        <w:jc w:val="right"/>
        <w:rPr>
          <w:i/>
          <w:iCs/>
        </w:rPr>
      </w:pPr>
      <w:r>
        <w:rPr>
          <w:i/>
          <w:iCs/>
        </w:rPr>
        <w:t>40th meeting</w:t>
      </w:r>
      <w:r>
        <w:rPr>
          <w:i/>
          <w:iCs/>
        </w:rPr>
        <w:br/>
        <w:t>12 July 2019</w:t>
      </w:r>
    </w:p>
    <w:p w14:paraId="4C84DA09" w14:textId="6A0D5B2C" w:rsidR="00A13BA9" w:rsidRDefault="00A13BA9" w:rsidP="00A13BA9">
      <w:pPr>
        <w:pStyle w:val="SingleTxtG"/>
      </w:pPr>
      <w:r>
        <w:t xml:space="preserve">[Adopted by a recorded vote of </w:t>
      </w:r>
      <w:r w:rsidR="00D861B3">
        <w:t>27</w:t>
      </w:r>
      <w:r>
        <w:t xml:space="preserve"> to </w:t>
      </w:r>
      <w:r w:rsidR="00D861B3">
        <w:t>12</w:t>
      </w:r>
      <w:r>
        <w:t xml:space="preserve">, with </w:t>
      </w:r>
      <w:r w:rsidR="00D861B3">
        <w:t>7</w:t>
      </w:r>
      <w:r>
        <w:t xml:space="preserve"> abstentions. The voting was as follows: </w:t>
      </w:r>
    </w:p>
    <w:p w14:paraId="1FAD7931" w14:textId="77777777" w:rsidR="00A13BA9" w:rsidRDefault="00A13BA9" w:rsidP="00A13BA9">
      <w:pPr>
        <w:pStyle w:val="SingleTxtG"/>
        <w:spacing w:after="0"/>
        <w:ind w:left="1701"/>
      </w:pPr>
      <w:r>
        <w:rPr>
          <w:i/>
          <w:iCs/>
        </w:rPr>
        <w:t>In favour</w:t>
      </w:r>
      <w:r>
        <w:t xml:space="preserve">: </w:t>
      </w:r>
    </w:p>
    <w:p w14:paraId="5D0F122F" w14:textId="1E5F34AB" w:rsidR="00A13BA9" w:rsidRDefault="00A13BA9" w:rsidP="00A13BA9">
      <w:pPr>
        <w:pStyle w:val="SingleTxtG"/>
        <w:ind w:left="2268"/>
      </w:pPr>
      <w:r>
        <w:t xml:space="preserve">Argentina, Australia, Austria, Bahamas, </w:t>
      </w:r>
      <w:r w:rsidR="00825D4E">
        <w:t xml:space="preserve">Brazil, </w:t>
      </w:r>
      <w:r>
        <w:t xml:space="preserve">Bulgaria, </w:t>
      </w:r>
      <w:r w:rsidR="00801650">
        <w:t xml:space="preserve">Chile, </w:t>
      </w:r>
      <w:r>
        <w:t xml:space="preserve">Croatia, </w:t>
      </w:r>
      <w:r w:rsidR="00801650">
        <w:t xml:space="preserve">Cuba, </w:t>
      </w:r>
      <w:r>
        <w:t xml:space="preserve">Czechia, Denmark, Fiji, Iceland, Italy, </w:t>
      </w:r>
      <w:r w:rsidR="004B6EE2">
        <w:t xml:space="preserve">Japan, Mexico, Nepal, </w:t>
      </w:r>
      <w:r>
        <w:t xml:space="preserve">Peru, </w:t>
      </w:r>
      <w:r w:rsidR="00A233FE">
        <w:t xml:space="preserve">Philippines, Rwanda, </w:t>
      </w:r>
      <w:r>
        <w:t xml:space="preserve">Slovakia, </w:t>
      </w:r>
      <w:r w:rsidR="00A233FE">
        <w:t xml:space="preserve">South Africa, </w:t>
      </w:r>
      <w:r>
        <w:t xml:space="preserve">Spain, </w:t>
      </w:r>
      <w:r w:rsidR="00BF5565">
        <w:t xml:space="preserve">Tunisia, </w:t>
      </w:r>
      <w:r>
        <w:t>Ukraine, United Kingdom of Great Britain and Northern Ireland, Uruguay</w:t>
      </w:r>
    </w:p>
    <w:p w14:paraId="2639768F" w14:textId="77777777" w:rsidR="00A13BA9" w:rsidRDefault="00A13BA9" w:rsidP="00A13BA9">
      <w:pPr>
        <w:pStyle w:val="SingleTxtG"/>
        <w:spacing w:after="0"/>
        <w:ind w:left="1701"/>
      </w:pPr>
      <w:r>
        <w:rPr>
          <w:i/>
          <w:iCs/>
        </w:rPr>
        <w:t>Against</w:t>
      </w:r>
      <w:r>
        <w:t xml:space="preserve">: </w:t>
      </w:r>
    </w:p>
    <w:p w14:paraId="05860B7E" w14:textId="5EE8C640" w:rsidR="00A13BA9" w:rsidRDefault="00825D4E" w:rsidP="00A13BA9">
      <w:pPr>
        <w:pStyle w:val="SingleTxtG"/>
        <w:ind w:left="2268"/>
      </w:pPr>
      <w:r>
        <w:t xml:space="preserve">Afghanistan, </w:t>
      </w:r>
      <w:r w:rsidR="00A13BA9">
        <w:t xml:space="preserve">Bahrain, </w:t>
      </w:r>
      <w:r>
        <w:t xml:space="preserve">Bangladesh, </w:t>
      </w:r>
      <w:r w:rsidR="00A13BA9">
        <w:t xml:space="preserve">China, Egypt, Eritrea, Iraq, </w:t>
      </w:r>
      <w:r w:rsidR="00A233FE">
        <w:t xml:space="preserve">Nigeria, Pakistan, </w:t>
      </w:r>
      <w:r w:rsidR="00A13BA9">
        <w:t>Qatar, Saudi Arabia, Somalia</w:t>
      </w:r>
    </w:p>
    <w:p w14:paraId="02739574" w14:textId="77777777" w:rsidR="00A13BA9" w:rsidRDefault="00A13BA9" w:rsidP="00A13BA9">
      <w:pPr>
        <w:pStyle w:val="SingleTxtG"/>
        <w:spacing w:after="0"/>
        <w:ind w:left="1701"/>
      </w:pPr>
      <w:r>
        <w:rPr>
          <w:i/>
          <w:iCs/>
        </w:rPr>
        <w:t>Abstaining</w:t>
      </w:r>
      <w:r>
        <w:t xml:space="preserve">: </w:t>
      </w:r>
    </w:p>
    <w:p w14:paraId="2A03B875" w14:textId="4846D3AF" w:rsidR="00A13BA9" w:rsidRPr="00E7223E" w:rsidRDefault="00825D4E" w:rsidP="00E7223E">
      <w:pPr>
        <w:pStyle w:val="SingleTxtG"/>
        <w:ind w:left="2268"/>
      </w:pPr>
      <w:r>
        <w:t xml:space="preserve">Angola, </w:t>
      </w:r>
      <w:r w:rsidR="00A13BA9">
        <w:t xml:space="preserve">Burkina Faso, Democratic Republic of the Congo, </w:t>
      </w:r>
      <w:r w:rsidR="008B7D8A">
        <w:t xml:space="preserve">Hungary, India, </w:t>
      </w:r>
      <w:r w:rsidR="00A13BA9">
        <w:t>Senegal, Togo]</w:t>
      </w:r>
    </w:p>
    <w:p w14:paraId="290DA54E" w14:textId="5F1DFAAD" w:rsidR="00FE722B" w:rsidRPr="00FE722B" w:rsidRDefault="00FE722B" w:rsidP="00FE722B">
      <w:pPr>
        <w:pStyle w:val="SingleTxtG"/>
        <w:spacing w:before="240" w:after="0"/>
        <w:jc w:val="center"/>
        <w:rPr>
          <w:rFonts w:eastAsia="Times"/>
          <w:u w:val="single"/>
        </w:rPr>
      </w:pPr>
      <w:r>
        <w:rPr>
          <w:rFonts w:eastAsia="Times"/>
          <w:u w:val="single"/>
        </w:rPr>
        <w:tab/>
      </w:r>
      <w:r>
        <w:rPr>
          <w:rFonts w:eastAsia="Times"/>
          <w:u w:val="single"/>
        </w:rPr>
        <w:tab/>
      </w:r>
      <w:r>
        <w:rPr>
          <w:rFonts w:eastAsia="Times"/>
          <w:u w:val="single"/>
        </w:rPr>
        <w:tab/>
      </w:r>
      <w:r w:rsidR="00815374">
        <w:rPr>
          <w:rFonts w:eastAsia="Times"/>
          <w:u w:val="single"/>
        </w:rPr>
        <w:tab/>
      </w:r>
    </w:p>
    <w:sectPr w:rsidR="00FE722B" w:rsidRPr="00FE722B"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5DC1" w14:textId="77777777" w:rsidR="00D218B1" w:rsidRDefault="00D218B1"/>
  </w:endnote>
  <w:endnote w:type="continuationSeparator" w:id="0">
    <w:p w14:paraId="56C0DE64" w14:textId="77777777" w:rsidR="00D218B1" w:rsidRDefault="00D218B1"/>
  </w:endnote>
  <w:endnote w:type="continuationNotice" w:id="1">
    <w:p w14:paraId="397EECD6" w14:textId="77777777" w:rsidR="00D218B1" w:rsidRDefault="00D21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DD7D" w14:textId="3268B376"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BE738D">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692A" w14:textId="7777777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FE722B">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9897" w14:textId="6D3231F6" w:rsidR="00261796" w:rsidRDefault="005B181C" w:rsidP="005B181C">
    <w:pPr>
      <w:pStyle w:val="Footer"/>
      <w:ind w:right="1134"/>
      <w:rPr>
        <w:rFonts w:asciiTheme="majorBidi" w:hAnsiTheme="majorBidi" w:cstheme="majorBidi"/>
        <w:sz w:val="20"/>
      </w:rPr>
    </w:pPr>
    <w:r w:rsidRPr="005B181C">
      <w:rPr>
        <w:rFonts w:asciiTheme="majorBidi" w:hAnsiTheme="majorBidi" w:cstheme="majorBidi"/>
        <w:noProof/>
        <w:sz w:val="20"/>
        <w:lang w:val="en-US" w:eastAsia="zh-CN"/>
      </w:rPr>
      <w:drawing>
        <wp:anchor distT="0" distB="0" distL="114300" distR="114300" simplePos="0" relativeHeight="251659264" behindDoc="1" locked="1" layoutInCell="1" allowOverlap="1" wp14:anchorId="6187DDB0" wp14:editId="3450876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B3930B" w14:textId="28705969" w:rsidR="005B181C" w:rsidRDefault="005B181C" w:rsidP="005B181C">
    <w:pPr>
      <w:pStyle w:val="Footer"/>
      <w:ind w:right="1134"/>
      <w:rPr>
        <w:rFonts w:asciiTheme="majorBidi" w:hAnsiTheme="majorBidi" w:cstheme="majorBidi"/>
        <w:sz w:val="20"/>
      </w:rPr>
    </w:pPr>
    <w:r>
      <w:rPr>
        <w:rFonts w:asciiTheme="majorBidi" w:hAnsiTheme="majorBidi" w:cstheme="majorBidi"/>
        <w:sz w:val="20"/>
      </w:rPr>
      <w:t>GE.19-12384(E)</w:t>
    </w:r>
  </w:p>
  <w:p w14:paraId="7922CF7B" w14:textId="72011880" w:rsidR="005B181C" w:rsidRPr="005B181C" w:rsidRDefault="005B181C" w:rsidP="005B181C">
    <w:pPr>
      <w:pStyle w:val="Footer"/>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val="en-US" w:eastAsia="zh-CN"/>
      </w:rPr>
      <w:drawing>
        <wp:anchor distT="0" distB="0" distL="114300" distR="114300" simplePos="0" relativeHeight="251660288" behindDoc="0" locked="0" layoutInCell="1" allowOverlap="1" wp14:anchorId="1CB25A53" wp14:editId="441CDDE9">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1/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1/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68F74" w14:textId="77777777" w:rsidR="00D218B1" w:rsidRPr="000B175B" w:rsidRDefault="00D218B1" w:rsidP="000B175B">
      <w:pPr>
        <w:tabs>
          <w:tab w:val="right" w:pos="2155"/>
        </w:tabs>
        <w:spacing w:after="80"/>
        <w:ind w:left="680"/>
        <w:rPr>
          <w:u w:val="single"/>
        </w:rPr>
      </w:pPr>
      <w:r>
        <w:rPr>
          <w:u w:val="single"/>
        </w:rPr>
        <w:tab/>
      </w:r>
    </w:p>
  </w:footnote>
  <w:footnote w:type="continuationSeparator" w:id="0">
    <w:p w14:paraId="20EC3491" w14:textId="77777777" w:rsidR="00D218B1" w:rsidRPr="00FC68B7" w:rsidRDefault="00D218B1" w:rsidP="00FC68B7">
      <w:pPr>
        <w:tabs>
          <w:tab w:val="left" w:pos="2155"/>
        </w:tabs>
        <w:spacing w:after="80"/>
        <w:ind w:left="680"/>
        <w:rPr>
          <w:u w:val="single"/>
        </w:rPr>
      </w:pPr>
      <w:r>
        <w:rPr>
          <w:u w:val="single"/>
        </w:rPr>
        <w:tab/>
      </w:r>
    </w:p>
  </w:footnote>
  <w:footnote w:type="continuationNotice" w:id="1">
    <w:p w14:paraId="1AB8D43B" w14:textId="77777777" w:rsidR="00D218B1" w:rsidRDefault="00D218B1"/>
  </w:footnote>
  <w:footnote w:id="2">
    <w:p w14:paraId="23C1160E" w14:textId="07AB31BA" w:rsidR="00575EA0" w:rsidRPr="00630282" w:rsidRDefault="00575EA0">
      <w:pPr>
        <w:pStyle w:val="FootnoteText"/>
        <w:rPr>
          <w:lang w:val="en-US"/>
        </w:rPr>
      </w:pPr>
      <w:r>
        <w:tab/>
      </w:r>
      <w:r>
        <w:rPr>
          <w:rStyle w:val="FootnoteReference"/>
        </w:rPr>
        <w:footnoteRef/>
      </w:r>
      <w:r>
        <w:t xml:space="preserve"> </w:t>
      </w:r>
      <w:r>
        <w:tab/>
      </w:r>
      <w:r>
        <w:rPr>
          <w:lang w:val="en-US"/>
        </w:rPr>
        <w:t xml:space="preserve">See A/HRC/41/45 and </w:t>
      </w:r>
      <w:proofErr w:type="gramStart"/>
      <w:r>
        <w:rPr>
          <w:lang w:val="en-US"/>
        </w:rPr>
        <w:t>Adds</w:t>
      </w:r>
      <w:proofErr w:type="gramEnd"/>
      <w:r>
        <w:rPr>
          <w:lang w:val="en-US"/>
        </w:rPr>
        <w:t>. 1</w:t>
      </w:r>
      <w:r w:rsidR="00C76884">
        <w:rPr>
          <w:lang w:val="en-US"/>
        </w:rPr>
        <w:t xml:space="preserve"> and </w:t>
      </w:r>
      <w:r>
        <w:rPr>
          <w:lang w:val="en-US"/>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D5CF" w14:textId="36AA8277" w:rsidR="00EE06CD" w:rsidRPr="00EE06CD" w:rsidRDefault="001C7ACB">
    <w:pPr>
      <w:pStyle w:val="Header"/>
    </w:pPr>
    <w:r>
      <w:t>A/HRC/</w:t>
    </w:r>
    <w:r w:rsidR="00A13BA9">
      <w:t>RES/</w:t>
    </w:r>
    <w:r>
      <w:t>41/</w:t>
    </w:r>
    <w:r w:rsidR="00A13BA9">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D7A8" w14:textId="77777777" w:rsidR="00EE06CD" w:rsidRPr="00EE06CD" w:rsidRDefault="003B14EC" w:rsidP="00EE06CD">
    <w:pPr>
      <w:pStyle w:val="Header"/>
      <w:jc w:val="right"/>
    </w:pPr>
    <w:r>
      <w:t>A/HRC/41/L.</w:t>
    </w:r>
    <w:r w:rsidR="008F6DA9">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C9D20A6"/>
    <w:multiLevelType w:val="hybridMultilevel"/>
    <w:tmpl w:val="1D42D1A8"/>
    <w:lvl w:ilvl="0" w:tplc="903A983E">
      <w:start w:val="1"/>
      <w:numFmt w:val="lowerLetter"/>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14E3E"/>
    <w:rsid w:val="00022DB5"/>
    <w:rsid w:val="000403D1"/>
    <w:rsid w:val="00041FA9"/>
    <w:rsid w:val="000449AA"/>
    <w:rsid w:val="00050F6B"/>
    <w:rsid w:val="0005662A"/>
    <w:rsid w:val="00057914"/>
    <w:rsid w:val="00072C8C"/>
    <w:rsid w:val="00073E70"/>
    <w:rsid w:val="000876EB"/>
    <w:rsid w:val="000912C2"/>
    <w:rsid w:val="00091419"/>
    <w:rsid w:val="000931C0"/>
    <w:rsid w:val="000A6D14"/>
    <w:rsid w:val="000B175B"/>
    <w:rsid w:val="000B2851"/>
    <w:rsid w:val="000B3A0F"/>
    <w:rsid w:val="000B4A3B"/>
    <w:rsid w:val="000C59D8"/>
    <w:rsid w:val="000D1851"/>
    <w:rsid w:val="000E0415"/>
    <w:rsid w:val="00146D32"/>
    <w:rsid w:val="001509BA"/>
    <w:rsid w:val="00167F78"/>
    <w:rsid w:val="001B4B04"/>
    <w:rsid w:val="001C4070"/>
    <w:rsid w:val="001C6663"/>
    <w:rsid w:val="001C7895"/>
    <w:rsid w:val="001C7ACB"/>
    <w:rsid w:val="001D26DF"/>
    <w:rsid w:val="001E2790"/>
    <w:rsid w:val="00211E0B"/>
    <w:rsid w:val="00211E72"/>
    <w:rsid w:val="00214047"/>
    <w:rsid w:val="0022130F"/>
    <w:rsid w:val="00237785"/>
    <w:rsid w:val="002410DD"/>
    <w:rsid w:val="00241466"/>
    <w:rsid w:val="00243A5B"/>
    <w:rsid w:val="00253D58"/>
    <w:rsid w:val="00261796"/>
    <w:rsid w:val="0027725F"/>
    <w:rsid w:val="00282586"/>
    <w:rsid w:val="002929B6"/>
    <w:rsid w:val="002A7BAB"/>
    <w:rsid w:val="002C21F0"/>
    <w:rsid w:val="003107FA"/>
    <w:rsid w:val="003229D8"/>
    <w:rsid w:val="003314D1"/>
    <w:rsid w:val="00335A2F"/>
    <w:rsid w:val="00341937"/>
    <w:rsid w:val="0039277A"/>
    <w:rsid w:val="003972E0"/>
    <w:rsid w:val="003975ED"/>
    <w:rsid w:val="003B14EC"/>
    <w:rsid w:val="003C2CC4"/>
    <w:rsid w:val="003D4B23"/>
    <w:rsid w:val="00424C80"/>
    <w:rsid w:val="004325CB"/>
    <w:rsid w:val="0044503A"/>
    <w:rsid w:val="00446DE4"/>
    <w:rsid w:val="00447761"/>
    <w:rsid w:val="00451EC3"/>
    <w:rsid w:val="004579F6"/>
    <w:rsid w:val="004721B1"/>
    <w:rsid w:val="004859EC"/>
    <w:rsid w:val="00496A15"/>
    <w:rsid w:val="004B6EE2"/>
    <w:rsid w:val="004B75D2"/>
    <w:rsid w:val="004D1140"/>
    <w:rsid w:val="004F55ED"/>
    <w:rsid w:val="004F6BD3"/>
    <w:rsid w:val="0052176C"/>
    <w:rsid w:val="005261E5"/>
    <w:rsid w:val="005420F2"/>
    <w:rsid w:val="00542574"/>
    <w:rsid w:val="005436AB"/>
    <w:rsid w:val="00544E56"/>
    <w:rsid w:val="00546924"/>
    <w:rsid w:val="00546DBF"/>
    <w:rsid w:val="00553D76"/>
    <w:rsid w:val="005552B5"/>
    <w:rsid w:val="0056117B"/>
    <w:rsid w:val="00562621"/>
    <w:rsid w:val="00571365"/>
    <w:rsid w:val="005726C9"/>
    <w:rsid w:val="00575EA0"/>
    <w:rsid w:val="005A0E16"/>
    <w:rsid w:val="005A5443"/>
    <w:rsid w:val="005B181C"/>
    <w:rsid w:val="005B3DB3"/>
    <w:rsid w:val="005B6E48"/>
    <w:rsid w:val="005D53BE"/>
    <w:rsid w:val="005E1712"/>
    <w:rsid w:val="00611FC4"/>
    <w:rsid w:val="00617295"/>
    <w:rsid w:val="006176FB"/>
    <w:rsid w:val="00625FA2"/>
    <w:rsid w:val="00630282"/>
    <w:rsid w:val="00640B26"/>
    <w:rsid w:val="00655B60"/>
    <w:rsid w:val="00670741"/>
    <w:rsid w:val="00696BD6"/>
    <w:rsid w:val="006A1D5B"/>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0EFF"/>
    <w:rsid w:val="007B6BA5"/>
    <w:rsid w:val="007C1B62"/>
    <w:rsid w:val="007C3390"/>
    <w:rsid w:val="007C4F4B"/>
    <w:rsid w:val="007D2CDC"/>
    <w:rsid w:val="007D5327"/>
    <w:rsid w:val="007F6611"/>
    <w:rsid w:val="00801650"/>
    <w:rsid w:val="00807FAA"/>
    <w:rsid w:val="00815374"/>
    <w:rsid w:val="008155C3"/>
    <w:rsid w:val="008175E9"/>
    <w:rsid w:val="0082243E"/>
    <w:rsid w:val="008242D7"/>
    <w:rsid w:val="008250F2"/>
    <w:rsid w:val="00825D4E"/>
    <w:rsid w:val="00846D95"/>
    <w:rsid w:val="00856CD2"/>
    <w:rsid w:val="00861BC6"/>
    <w:rsid w:val="00871FD5"/>
    <w:rsid w:val="0087421B"/>
    <w:rsid w:val="008847BB"/>
    <w:rsid w:val="00896C10"/>
    <w:rsid w:val="008979B1"/>
    <w:rsid w:val="008A6B25"/>
    <w:rsid w:val="008A6C4F"/>
    <w:rsid w:val="008B7D8A"/>
    <w:rsid w:val="008C1E4D"/>
    <w:rsid w:val="008D1B56"/>
    <w:rsid w:val="008E0E46"/>
    <w:rsid w:val="008F6DA9"/>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00B5"/>
    <w:rsid w:val="009E1C4E"/>
    <w:rsid w:val="009E6C00"/>
    <w:rsid w:val="00A0036A"/>
    <w:rsid w:val="00A05E0B"/>
    <w:rsid w:val="00A13BA9"/>
    <w:rsid w:val="00A1427D"/>
    <w:rsid w:val="00A233FE"/>
    <w:rsid w:val="00A4634F"/>
    <w:rsid w:val="00A4734A"/>
    <w:rsid w:val="00A51CF3"/>
    <w:rsid w:val="00A72F22"/>
    <w:rsid w:val="00A73D32"/>
    <w:rsid w:val="00A748A6"/>
    <w:rsid w:val="00A879A4"/>
    <w:rsid w:val="00A87E95"/>
    <w:rsid w:val="00A92E29"/>
    <w:rsid w:val="00A95E3A"/>
    <w:rsid w:val="00AC5AE2"/>
    <w:rsid w:val="00AD09E9"/>
    <w:rsid w:val="00AE43B3"/>
    <w:rsid w:val="00AF0576"/>
    <w:rsid w:val="00AF3829"/>
    <w:rsid w:val="00B02AD5"/>
    <w:rsid w:val="00B037F0"/>
    <w:rsid w:val="00B2327D"/>
    <w:rsid w:val="00B2718F"/>
    <w:rsid w:val="00B30179"/>
    <w:rsid w:val="00B3317B"/>
    <w:rsid w:val="00B334DC"/>
    <w:rsid w:val="00B3631A"/>
    <w:rsid w:val="00B53013"/>
    <w:rsid w:val="00B550CD"/>
    <w:rsid w:val="00B67F5E"/>
    <w:rsid w:val="00B73E65"/>
    <w:rsid w:val="00B81E12"/>
    <w:rsid w:val="00B87110"/>
    <w:rsid w:val="00B97FA8"/>
    <w:rsid w:val="00BB25D1"/>
    <w:rsid w:val="00BC03B3"/>
    <w:rsid w:val="00BC1385"/>
    <w:rsid w:val="00BC28BF"/>
    <w:rsid w:val="00BC74E9"/>
    <w:rsid w:val="00BE618E"/>
    <w:rsid w:val="00BE655C"/>
    <w:rsid w:val="00BE738D"/>
    <w:rsid w:val="00BF5565"/>
    <w:rsid w:val="00C063A5"/>
    <w:rsid w:val="00C06876"/>
    <w:rsid w:val="00C217E7"/>
    <w:rsid w:val="00C24693"/>
    <w:rsid w:val="00C35F0B"/>
    <w:rsid w:val="00C463DD"/>
    <w:rsid w:val="00C64458"/>
    <w:rsid w:val="00C745C3"/>
    <w:rsid w:val="00C76884"/>
    <w:rsid w:val="00CA2A58"/>
    <w:rsid w:val="00CC0B55"/>
    <w:rsid w:val="00CD6995"/>
    <w:rsid w:val="00CE4A8F"/>
    <w:rsid w:val="00CF0214"/>
    <w:rsid w:val="00CF586F"/>
    <w:rsid w:val="00CF7D43"/>
    <w:rsid w:val="00D11129"/>
    <w:rsid w:val="00D2031B"/>
    <w:rsid w:val="00D218B1"/>
    <w:rsid w:val="00D22332"/>
    <w:rsid w:val="00D25FE2"/>
    <w:rsid w:val="00D43252"/>
    <w:rsid w:val="00D5319C"/>
    <w:rsid w:val="00D54716"/>
    <w:rsid w:val="00D550F9"/>
    <w:rsid w:val="00D572B0"/>
    <w:rsid w:val="00D62E90"/>
    <w:rsid w:val="00D70908"/>
    <w:rsid w:val="00D76BE5"/>
    <w:rsid w:val="00D861B3"/>
    <w:rsid w:val="00D978C6"/>
    <w:rsid w:val="00DA13E7"/>
    <w:rsid w:val="00DA67AD"/>
    <w:rsid w:val="00DB18CE"/>
    <w:rsid w:val="00DB5566"/>
    <w:rsid w:val="00DE3EC0"/>
    <w:rsid w:val="00DE5772"/>
    <w:rsid w:val="00E11593"/>
    <w:rsid w:val="00E12B6B"/>
    <w:rsid w:val="00E130AB"/>
    <w:rsid w:val="00E438D9"/>
    <w:rsid w:val="00E5644E"/>
    <w:rsid w:val="00E7223E"/>
    <w:rsid w:val="00E7260F"/>
    <w:rsid w:val="00E806EE"/>
    <w:rsid w:val="00E8729E"/>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A4086"/>
    <w:rsid w:val="00FA7DF3"/>
    <w:rsid w:val="00FB4232"/>
    <w:rsid w:val="00FB55F4"/>
    <w:rsid w:val="00FC68B7"/>
    <w:rsid w:val="00FD7C12"/>
    <w:rsid w:val="00FE722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6002D03E"/>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4F6BD3"/>
    <w:rPr>
      <w:sz w:val="18"/>
      <w:lang w:eastAsia="en-US"/>
    </w:rPr>
  </w:style>
  <w:style w:type="paragraph" w:styleId="ListParagraph">
    <w:name w:val="List Paragraph"/>
    <w:basedOn w:val="Normal"/>
    <w:uiPriority w:val="34"/>
    <w:qFormat/>
    <w:rsid w:val="004F6BD3"/>
    <w:pPr>
      <w:pBdr>
        <w:top w:val="nil"/>
        <w:left w:val="nil"/>
        <w:bottom w:val="nil"/>
        <w:right w:val="nil"/>
        <w:between w:val="nil"/>
        <w:bar w:val="nil"/>
      </w:pBdr>
      <w:suppressAutoHyphens w:val="0"/>
      <w:spacing w:line="240" w:lineRule="auto"/>
      <w:ind w:left="720"/>
      <w:contextualSpacing/>
    </w:pPr>
    <w:rPr>
      <w:rFonts w:ascii="Arial" w:eastAsiaTheme="minorHAnsi" w:hAnsi="Arial"/>
      <w:sz w:val="22"/>
      <w:szCs w:val="24"/>
      <w:bdr w:val="nil"/>
      <w:lang w:val="en-US"/>
    </w:rPr>
  </w:style>
  <w:style w:type="paragraph" w:styleId="NormalWeb">
    <w:name w:val="Normal (Web)"/>
    <w:basedOn w:val="Normal"/>
    <w:uiPriority w:val="99"/>
    <w:unhideWhenUsed/>
    <w:rsid w:val="004F6BD3"/>
    <w:pPr>
      <w:suppressAutoHyphens w:val="0"/>
      <w:spacing w:before="100" w:beforeAutospacing="1" w:after="100" w:afterAutospacing="1" w:line="240" w:lineRule="auto"/>
    </w:pPr>
    <w:rPr>
      <w:sz w:val="24"/>
      <w:szCs w:val="24"/>
      <w:lang w:val="en-US"/>
    </w:rPr>
  </w:style>
  <w:style w:type="character" w:customStyle="1" w:styleId="SingleTxtGChar">
    <w:name w:val="_ Single Txt_G Char"/>
    <w:link w:val="SingleTxtG"/>
    <w:rsid w:val="004F6BD3"/>
    <w:rPr>
      <w:lang w:eastAsia="en-US"/>
    </w:rPr>
  </w:style>
  <w:style w:type="character" w:styleId="CommentReference">
    <w:name w:val="annotation reference"/>
    <w:basedOn w:val="DefaultParagraphFont"/>
    <w:semiHidden/>
    <w:unhideWhenUsed/>
    <w:rsid w:val="00A4734A"/>
    <w:rPr>
      <w:sz w:val="16"/>
      <w:szCs w:val="16"/>
    </w:rPr>
  </w:style>
  <w:style w:type="paragraph" w:styleId="CommentText">
    <w:name w:val="annotation text"/>
    <w:basedOn w:val="Normal"/>
    <w:link w:val="CommentTextChar"/>
    <w:semiHidden/>
    <w:unhideWhenUsed/>
    <w:rsid w:val="00A4734A"/>
    <w:pPr>
      <w:spacing w:line="240" w:lineRule="auto"/>
    </w:pPr>
  </w:style>
  <w:style w:type="character" w:customStyle="1" w:styleId="CommentTextChar">
    <w:name w:val="Comment Text Char"/>
    <w:basedOn w:val="DefaultParagraphFont"/>
    <w:link w:val="CommentText"/>
    <w:semiHidden/>
    <w:rsid w:val="00A4734A"/>
    <w:rPr>
      <w:lang w:eastAsia="en-US"/>
    </w:rPr>
  </w:style>
  <w:style w:type="paragraph" w:styleId="CommentSubject">
    <w:name w:val="annotation subject"/>
    <w:basedOn w:val="CommentText"/>
    <w:next w:val="CommentText"/>
    <w:link w:val="CommentSubjectChar"/>
    <w:semiHidden/>
    <w:unhideWhenUsed/>
    <w:rsid w:val="00A4734A"/>
    <w:rPr>
      <w:b/>
      <w:bCs/>
    </w:rPr>
  </w:style>
  <w:style w:type="character" w:customStyle="1" w:styleId="CommentSubjectChar">
    <w:name w:val="Comment Subject Char"/>
    <w:basedOn w:val="CommentTextChar"/>
    <w:link w:val="CommentSubject"/>
    <w:semiHidden/>
    <w:rsid w:val="00A4734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BABC-DD02-4EBF-8EE8-83938A2F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546</Words>
  <Characters>3126</Characters>
  <Application>Microsoft Office Word</Application>
  <DocSecurity>0</DocSecurity>
  <Lines>68</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A/HRC/41/L.10/Rev.1</vt:lpstr>
      <vt:lpstr/>
    </vt:vector>
  </TitlesOfParts>
  <Company>CSD</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A/HRC/RES/41/18</dc:title>
  <dc:subject>1912384</dc:subject>
  <dc:creator>Sumiko IHARA</dc:creator>
  <cp:keywords/>
  <dc:description/>
  <cp:lastModifiedBy>Generic Pdf eng</cp:lastModifiedBy>
  <cp:revision>2</cp:revision>
  <cp:lastPrinted>2019-07-19T13:58:00Z</cp:lastPrinted>
  <dcterms:created xsi:type="dcterms:W3CDTF">2019-07-19T15:02:00Z</dcterms:created>
  <dcterms:modified xsi:type="dcterms:W3CDTF">2019-07-19T15:02:00Z</dcterms:modified>
</cp:coreProperties>
</file>