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49C44684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E587D8" w14:textId="77777777" w:rsidR="002D5AAC" w:rsidRDefault="002D5AAC" w:rsidP="003B42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995ECF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D6F00F" w14:textId="77777777" w:rsidR="002D5AAC" w:rsidRDefault="003B42D9" w:rsidP="003B42D9">
            <w:pPr>
              <w:jc w:val="right"/>
            </w:pPr>
            <w:r w:rsidRPr="003B42D9">
              <w:rPr>
                <w:sz w:val="40"/>
              </w:rPr>
              <w:t>A</w:t>
            </w:r>
            <w:r>
              <w:t>/HRC/RES/43/14</w:t>
            </w:r>
          </w:p>
        </w:tc>
      </w:tr>
      <w:tr w:rsidR="002D5AAC" w:rsidRPr="003B42D9" w14:paraId="1F640853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D21258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0920DF1" wp14:editId="7E2D7AB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166C05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63AE28C" w14:textId="77777777" w:rsidR="002D5AAC" w:rsidRDefault="003B42D9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="00E050EE">
              <w:rPr>
                <w:lang w:val="en-US"/>
              </w:rPr>
              <w:t>General</w:t>
            </w:r>
          </w:p>
          <w:p w14:paraId="1C11C976" w14:textId="77777777" w:rsidR="003B42D9" w:rsidRDefault="003B42D9" w:rsidP="003B42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July 2020</w:t>
            </w:r>
          </w:p>
          <w:p w14:paraId="716A7AF9" w14:textId="77777777" w:rsidR="003B42D9" w:rsidRDefault="003B42D9" w:rsidP="003B42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CFC8AC2" w14:textId="77777777" w:rsidR="003B42D9" w:rsidRPr="00E71476" w:rsidRDefault="003B42D9" w:rsidP="003B42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BA01571" w14:textId="77777777" w:rsidR="003B42D9" w:rsidRPr="00C40E19" w:rsidRDefault="00DF71B9" w:rsidP="006F0B59">
      <w:pPr>
        <w:spacing w:before="120"/>
        <w:rPr>
          <w:b/>
          <w:sz w:val="24"/>
          <w:szCs w:val="24"/>
        </w:rPr>
      </w:pPr>
      <w:r w:rsidRPr="00C40E19">
        <w:rPr>
          <w:b/>
          <w:sz w:val="24"/>
          <w:szCs w:val="24"/>
        </w:rPr>
        <w:t>Совет по правам человека</w:t>
      </w:r>
    </w:p>
    <w:p w14:paraId="27638038" w14:textId="77777777" w:rsidR="00E050EE" w:rsidRPr="00C40E19" w:rsidRDefault="00E050EE" w:rsidP="00E050EE">
      <w:pPr>
        <w:rPr>
          <w:b/>
        </w:rPr>
      </w:pPr>
      <w:r w:rsidRPr="00C40E19">
        <w:rPr>
          <w:b/>
          <w:bCs/>
        </w:rPr>
        <w:t>Сорок третья сессия</w:t>
      </w:r>
    </w:p>
    <w:p w14:paraId="2F3ABAF6" w14:textId="77777777" w:rsidR="00E050EE" w:rsidRPr="00C40E19" w:rsidRDefault="00E050EE" w:rsidP="00E050EE">
      <w:pPr>
        <w:rPr>
          <w:szCs w:val="20"/>
        </w:rPr>
      </w:pPr>
      <w:r w:rsidRPr="00C40E19">
        <w:rPr>
          <w:szCs w:val="20"/>
        </w:rPr>
        <w:t xml:space="preserve">24 февраля — </w:t>
      </w:r>
      <w:r w:rsidRPr="00C40E19">
        <w:rPr>
          <w:szCs w:val="20"/>
          <w:shd w:val="clear" w:color="auto" w:fill="FFFFFF"/>
        </w:rPr>
        <w:t>13 марта и 15–23 июня</w:t>
      </w:r>
      <w:r w:rsidRPr="00C40E19">
        <w:rPr>
          <w:szCs w:val="20"/>
        </w:rPr>
        <w:t xml:space="preserve"> 2020 года</w:t>
      </w:r>
    </w:p>
    <w:p w14:paraId="7B23484E" w14:textId="77777777" w:rsidR="00E050EE" w:rsidRPr="00C40E19" w:rsidRDefault="00E050EE" w:rsidP="00E050EE">
      <w:r w:rsidRPr="00C40E19">
        <w:t>Пункт 3 повестки дня</w:t>
      </w:r>
    </w:p>
    <w:p w14:paraId="1399C97B" w14:textId="77777777" w:rsidR="00E050EE" w:rsidRPr="00C40E19" w:rsidRDefault="00E050EE" w:rsidP="00E050EE">
      <w:r w:rsidRPr="00C40E19">
        <w:rPr>
          <w:b/>
          <w:bCs/>
        </w:rPr>
        <w:t xml:space="preserve">Поощрение и защита всех прав человека, </w:t>
      </w:r>
      <w:r w:rsidRPr="00C40E19">
        <w:rPr>
          <w:b/>
          <w:bCs/>
        </w:rPr>
        <w:br/>
        <w:t xml:space="preserve">гражданских, политических, экономических, </w:t>
      </w:r>
      <w:r w:rsidRPr="00C40E19">
        <w:rPr>
          <w:b/>
          <w:bCs/>
        </w:rPr>
        <w:br/>
        <w:t>социальных и культурных прав,</w:t>
      </w:r>
      <w:r w:rsidRPr="00C40E19">
        <w:rPr>
          <w:b/>
          <w:bCs/>
        </w:rPr>
        <w:br/>
        <w:t>включая право на развитие</w:t>
      </w:r>
    </w:p>
    <w:p w14:paraId="0DD331F4" w14:textId="77777777" w:rsidR="00E050EE" w:rsidRPr="00C40E19" w:rsidRDefault="00E050EE" w:rsidP="00E050EE">
      <w:pPr>
        <w:pStyle w:val="HChG"/>
      </w:pPr>
      <w:r w:rsidRPr="00C40E19">
        <w:tab/>
      </w:r>
      <w:r w:rsidRPr="00C40E19">
        <w:tab/>
        <w:t>Резолюция, принятая Советом по правам человека 19</w:t>
      </w:r>
      <w:r w:rsidRPr="00C40E19">
        <w:t> </w:t>
      </w:r>
      <w:r w:rsidRPr="00C40E19">
        <w:t>июня 2020 года</w:t>
      </w:r>
    </w:p>
    <w:p w14:paraId="7A300EF1" w14:textId="77777777" w:rsidR="00E050EE" w:rsidRPr="00C40E19" w:rsidRDefault="00E050EE" w:rsidP="00E050EE">
      <w:pPr>
        <w:pStyle w:val="H1G"/>
      </w:pPr>
      <w:r w:rsidRPr="00C40E19">
        <w:tab/>
      </w:r>
      <w:r w:rsidRPr="00C40E19">
        <w:t>43/14.</w:t>
      </w:r>
      <w:r w:rsidRPr="00C40E19">
        <w:tab/>
        <w:t>Достаточное жилище как компонент права на достаточный жизненный уровень и право на недискриминацию в этом контексте</w:t>
      </w:r>
    </w:p>
    <w:p w14:paraId="20BA2153" w14:textId="77777777" w:rsidR="00E050EE" w:rsidRPr="00C40E19" w:rsidRDefault="00E050EE" w:rsidP="00E050EE">
      <w:pPr>
        <w:pStyle w:val="SingleTxtG"/>
      </w:pPr>
      <w:r w:rsidRPr="00C40E19">
        <w:tab/>
      </w:r>
      <w:r w:rsidRPr="00C40E19">
        <w:tab/>
      </w:r>
      <w:r w:rsidRPr="00C40E19">
        <w:rPr>
          <w:i/>
        </w:rPr>
        <w:t>Совет по правам человека</w:t>
      </w:r>
      <w:r w:rsidRPr="00C40E19">
        <w:t>,</w:t>
      </w:r>
    </w:p>
    <w:p w14:paraId="1F9D24AD" w14:textId="77777777" w:rsidR="00E050EE" w:rsidRPr="00C40E19" w:rsidRDefault="00E050EE" w:rsidP="00E050EE">
      <w:pPr>
        <w:pStyle w:val="SingleTxtG"/>
        <w:ind w:firstLine="567"/>
      </w:pPr>
      <w:r w:rsidRPr="00C40E19">
        <w:rPr>
          <w:i/>
          <w:iCs/>
        </w:rPr>
        <w:t>вновь подтверждая</w:t>
      </w:r>
      <w:r w:rsidRPr="00C40E19">
        <w:t>, что международные договоры по правам человека, включая Всеобщую декларацию прав человека, Международный пакт об экономических, социальных и культурных правах и Международный пакт о гражданских и политических правах, предусматривают обязательства и обязанности государств-участников, в том числе на всех уровнях государственного управления, в</w:t>
      </w:r>
      <w:r w:rsidRPr="00C40E19">
        <w:rPr>
          <w:lang w:val="en-US"/>
        </w:rPr>
        <w:t> </w:t>
      </w:r>
      <w:r w:rsidRPr="00C40E19">
        <w:t xml:space="preserve">отношении обеспечения доступа к достаточному жилищу, </w:t>
      </w:r>
    </w:p>
    <w:p w14:paraId="6A94CB2D" w14:textId="77777777" w:rsidR="00E050EE" w:rsidRPr="00C40E19" w:rsidRDefault="00E050EE" w:rsidP="00E050EE">
      <w:pPr>
        <w:pStyle w:val="SingleTxtG"/>
        <w:ind w:firstLine="567"/>
      </w:pPr>
      <w:r w:rsidRPr="00C40E19">
        <w:rPr>
          <w:i/>
          <w:iCs/>
        </w:rPr>
        <w:t>вновь подтверждая также</w:t>
      </w:r>
      <w:r w:rsidRPr="00C40E19">
        <w:t xml:space="preserve">, что каждый имеет право на достаточное жилище как компонент права на достаточный жизненный уровень без какой бы то ни было дискриминации, как-то в отношении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обстоятельства, </w:t>
      </w:r>
    </w:p>
    <w:p w14:paraId="69435E61" w14:textId="77777777" w:rsidR="00E050EE" w:rsidRPr="00C40E19" w:rsidRDefault="00E050EE" w:rsidP="00E050EE">
      <w:pPr>
        <w:pStyle w:val="SingleTxtG"/>
        <w:ind w:firstLine="567"/>
        <w:rPr>
          <w:rFonts w:ascii="Calibri" w:hAnsi="Calibri" w:cs="Calibri"/>
        </w:rPr>
      </w:pPr>
      <w:r w:rsidRPr="00C40E19">
        <w:rPr>
          <w:i/>
          <w:iCs/>
        </w:rPr>
        <w:t>напоминая</w:t>
      </w:r>
      <w:r w:rsidRPr="00C40E19">
        <w:t xml:space="preserve">, что государства несут главную ответственность за обеспечение полной реализации всех прав человека и обязаны в индивидуальном порядке и посредством международной помощи и сотрудничества, в особенности в экономической и технической областях, предпринимать в максимальных пределах имеющихся ресурсов шаги к тому, чтобы обеспечить постепенную полную реализацию права на достаточное жилище как компонент права на достаточный жизненный уровень с помощью всех соответствующих средств, включая принятие законодательных мер, </w:t>
      </w:r>
    </w:p>
    <w:p w14:paraId="588891B1" w14:textId="77777777" w:rsidR="00E050EE" w:rsidRPr="00C40E19" w:rsidRDefault="00E050EE" w:rsidP="00E050EE">
      <w:pPr>
        <w:pStyle w:val="SingleTxtG"/>
        <w:ind w:firstLine="567"/>
      </w:pPr>
      <w:r w:rsidRPr="00C40E19">
        <w:rPr>
          <w:i/>
          <w:iCs/>
        </w:rPr>
        <w:t>ссылаясь также</w:t>
      </w:r>
      <w:r w:rsidRPr="00C40E19">
        <w:t xml:space="preserve"> на все предыдущие резолюции, принятые Советом по правам человека и Комиссией по правам человека по вопросу о праве на достаточное жилище как компоненте права на достаточный жизненный уровень, </w:t>
      </w:r>
    </w:p>
    <w:p w14:paraId="0A4A2712" w14:textId="77777777" w:rsidR="00E050EE" w:rsidRPr="00C40E19" w:rsidRDefault="00E050EE" w:rsidP="00E050EE">
      <w:pPr>
        <w:pStyle w:val="SingleTxtG"/>
        <w:ind w:firstLine="567"/>
      </w:pPr>
      <w:r w:rsidRPr="00C40E19">
        <w:rPr>
          <w:i/>
          <w:iCs/>
        </w:rPr>
        <w:t>ссылаясь далее</w:t>
      </w:r>
      <w:r w:rsidRPr="00C40E19">
        <w:t xml:space="preserve"> на все предыдущие резолюции, принятые Комиссией по правам человека по вопросу о равных правах женщин на владение землей, доступ к земле и контроль над ней, а также по вопросу о равных правах на владение имуществом и его </w:t>
      </w:r>
      <w:r w:rsidRPr="00C40E19">
        <w:lastRenderedPageBreak/>
        <w:t>наследование и достаточное жилище, включая резолюцию 2005/25 от 15 апреля 2005</w:t>
      </w:r>
      <w:r w:rsidRPr="00C40E19">
        <w:rPr>
          <w:lang w:val="en-US"/>
        </w:rPr>
        <w:t> </w:t>
      </w:r>
      <w:r w:rsidRPr="00C40E19">
        <w:t xml:space="preserve">года, </w:t>
      </w:r>
      <w:bookmarkStart w:id="0" w:name="page2"/>
      <w:bookmarkEnd w:id="0"/>
    </w:p>
    <w:p w14:paraId="59C98301" w14:textId="77777777" w:rsidR="00E050EE" w:rsidRPr="00C40E19" w:rsidRDefault="00E050EE" w:rsidP="00E050EE">
      <w:pPr>
        <w:pStyle w:val="SingleTxtG"/>
        <w:ind w:firstLine="567"/>
      </w:pPr>
      <w:r w:rsidRPr="00C40E19">
        <w:rPr>
          <w:i/>
          <w:iCs/>
        </w:rPr>
        <w:t>ссылаясь</w:t>
      </w:r>
      <w:r w:rsidRPr="00C40E19">
        <w:t xml:space="preserve"> 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мандатарии должны выполнять свои обязанности в соответствии с этими резолюциями и приложениями к ним, </w:t>
      </w:r>
    </w:p>
    <w:p w14:paraId="22B39050" w14:textId="77777777" w:rsidR="00E050EE" w:rsidRPr="00C40E19" w:rsidRDefault="00E050EE" w:rsidP="00E050EE">
      <w:pPr>
        <w:pStyle w:val="SingleTxtG"/>
        <w:ind w:firstLine="567"/>
      </w:pPr>
      <w:r w:rsidRPr="00C40E19">
        <w:rPr>
          <w:i/>
          <w:iCs/>
        </w:rPr>
        <w:t>вновь подтверждая</w:t>
      </w:r>
      <w:r w:rsidRPr="00C40E19">
        <w:t xml:space="preserve"> принципы и обязательства в отношении достаточного жилища, закрепленные в соответствующих положениях деклараций и программ, принятых на крупных конференциях и встречах на высшем уровне Организации Объединенных Наций, в частности Новой программы развития городов, принятой на Конференции Организации Объединенных Наций по жилью и устойчивому городскому развитию (Хабитат-III), и обращая особое внимание на важность осуществления Повестки дня в области устойчивого развития на период до 2030 года, включая задачу 11.1, </w:t>
      </w:r>
    </w:p>
    <w:p w14:paraId="5DB40375" w14:textId="77777777" w:rsidR="00E050EE" w:rsidRPr="00C40E19" w:rsidRDefault="00E050EE" w:rsidP="00E050EE">
      <w:pPr>
        <w:pStyle w:val="SingleTxtG"/>
        <w:ind w:firstLine="567"/>
      </w:pPr>
      <w:r w:rsidRPr="00C40E19">
        <w:rPr>
          <w:i/>
          <w:iCs/>
        </w:rPr>
        <w:t>будучи обеспокоен</w:t>
      </w:r>
      <w:r w:rsidRPr="00C40E19">
        <w:t xml:space="preserve"> тем, что многие люди в мире лишены возможности реализовать свое право на достаточное жилище, что миллионы людей продолжают проживать в жилье, не отвечающем установленным нормам, а миллионы других являются бездомными или могут в любой момент оказаться бездомными, и признавая, что для разрешения этой ситуации требуется принятие государствами срочных и безотлагательных мер в соответствии с существующими международными обязательствами и обязанностями в области прав человека при содействии, в случае необходимости, международного сообщества, </w:t>
      </w:r>
    </w:p>
    <w:p w14:paraId="5DF59AC2" w14:textId="77777777" w:rsidR="00E050EE" w:rsidRPr="00C40E19" w:rsidRDefault="00E050EE" w:rsidP="00E050EE">
      <w:pPr>
        <w:pStyle w:val="SingleTxtG"/>
        <w:ind w:firstLine="567"/>
      </w:pPr>
      <w:r w:rsidRPr="00C40E19">
        <w:rPr>
          <w:i/>
          <w:iCs/>
        </w:rPr>
        <w:t>выражая глубокую обеспокоенность</w:t>
      </w:r>
      <w:r w:rsidRPr="00C40E19">
        <w:t xml:space="preserve"> по поводу числа и масштабов стихийных бедствий и их негативного воздействия на право на достаточное жилище и в этой связи подтверждая необходимость дальнейшего осуществления Сендайской рамочной программы по снижению риска бедствий на 2015–2030 годы, </w:t>
      </w:r>
    </w:p>
    <w:p w14:paraId="323EFCF6" w14:textId="77777777" w:rsidR="00E050EE" w:rsidRPr="00C40E19" w:rsidRDefault="00E050EE" w:rsidP="00E050EE">
      <w:pPr>
        <w:pStyle w:val="SingleTxtG"/>
        <w:ind w:firstLine="567"/>
      </w:pPr>
      <w:r w:rsidRPr="00C40E19">
        <w:rPr>
          <w:i/>
          <w:iCs/>
        </w:rPr>
        <w:t>особо отмечая</w:t>
      </w:r>
      <w:r w:rsidRPr="00C40E19">
        <w:t xml:space="preserve">, что неблагоприятные последствия изменения климата самым различным образом прямо и косвенно влияют на эффективное осуществление прав человека, в частности права на достаточное жилище как компонента права на достаточный жизненный уровень, </w:t>
      </w:r>
    </w:p>
    <w:p w14:paraId="357B4634" w14:textId="77777777" w:rsidR="00E050EE" w:rsidRPr="00C40E19" w:rsidRDefault="00E050EE" w:rsidP="00E050EE">
      <w:pPr>
        <w:pStyle w:val="SingleTxtG"/>
        <w:ind w:firstLine="567"/>
      </w:pPr>
      <w:r w:rsidRPr="00C40E19">
        <w:rPr>
          <w:i/>
          <w:iCs/>
        </w:rPr>
        <w:t>будучи глубоко обеспокоен</w:t>
      </w:r>
      <w:r w:rsidRPr="00C40E19">
        <w:t xml:space="preserve"> тем, что инвестиции в жилье зачастую становятся главным образом финансовым инструментом, предназначенным исключительно лишь для извлечения высокой прибыли, в результате чего оно перестает выполнять свою социальную функцию места для жизни в условиях безопасности и уважения достоинства, </w:t>
      </w:r>
    </w:p>
    <w:p w14:paraId="554114C0" w14:textId="77777777" w:rsidR="00E050EE" w:rsidRPr="00C40E19" w:rsidRDefault="00E050EE" w:rsidP="00E050EE">
      <w:pPr>
        <w:pStyle w:val="SingleTxtG"/>
        <w:ind w:firstLine="567"/>
        <w:rPr>
          <w:rFonts w:ascii="Calibri" w:hAnsi="Calibri" w:cs="Calibri"/>
        </w:rPr>
      </w:pPr>
      <w:r w:rsidRPr="00C40E19">
        <w:rPr>
          <w:i/>
          <w:iCs/>
        </w:rPr>
        <w:t>признавая</w:t>
      </w:r>
      <w:r w:rsidRPr="00C40E19">
        <w:t xml:space="preserve">, что гарантия права занимать жилплощадь является фактором, способствующим осуществлению права на достаточное жилище, и имеет важное значение для осуществления многих других экономических, социальных, культурных, гражданских и политических прав и что право занимать жилплощадь должно быть гарантировано каждому человеку в такой степени, которая обеспечивает правовую защиту от принудительных выселений, преследований и других угроз, </w:t>
      </w:r>
    </w:p>
    <w:p w14:paraId="3CC5FE1D" w14:textId="77777777" w:rsidR="00E050EE" w:rsidRPr="00C40E19" w:rsidRDefault="00E050EE" w:rsidP="00E050EE">
      <w:pPr>
        <w:pStyle w:val="SingleTxtG"/>
        <w:ind w:firstLine="567"/>
        <w:rPr>
          <w:rFonts w:ascii="Calibri" w:hAnsi="Calibri" w:cs="Calibri"/>
          <w:noProof/>
        </w:rPr>
      </w:pPr>
      <w:r w:rsidRPr="00C40E19">
        <w:rPr>
          <w:i/>
          <w:iCs/>
        </w:rPr>
        <w:t>ссылаясь</w:t>
      </w:r>
      <w:r w:rsidRPr="00C40E19">
        <w:t xml:space="preserve"> на руководящие принципы гарантирования права городской бедноты занимать жилплощадь и основные принципы и руководящие указания, касающиеся выселений и перемещений по соображениям развития, представленные Совету по правам человека предыдущими мандатариями, </w:t>
      </w:r>
    </w:p>
    <w:p w14:paraId="12B27BC0" w14:textId="6D51EF73" w:rsidR="00E050EE" w:rsidRPr="00C40E19" w:rsidRDefault="00E050EE" w:rsidP="00E050EE">
      <w:pPr>
        <w:pStyle w:val="SingleTxtG"/>
        <w:ind w:firstLine="567"/>
      </w:pPr>
      <w:r w:rsidRPr="00C40E19">
        <w:rPr>
          <w:i/>
          <w:iCs/>
        </w:rPr>
        <w:t>с удовлетворением принимая к сведению</w:t>
      </w:r>
      <w:r w:rsidRPr="00C40E19">
        <w:t xml:space="preserve"> работу договорных органов, в</w:t>
      </w:r>
      <w:r w:rsidRPr="00C40E19">
        <w:rPr>
          <w:lang w:val="en-US"/>
        </w:rPr>
        <w:t> </w:t>
      </w:r>
      <w:r w:rsidRPr="00C40E19">
        <w:t xml:space="preserve">частности Комитета по экономическим, социальным и культурным правам, в деле поощрения прав, связанных с достаточным жилищем как компонентом права на достаточный жизненный уровень, включая все его соответствующие замечания общего порядка и, применительно к государствам </w:t>
      </w:r>
      <w:r w:rsidR="00DE7BEF" w:rsidRPr="00DE7BEF">
        <w:t>—</w:t>
      </w:r>
      <w:bookmarkStart w:id="1" w:name="_GoBack"/>
      <w:bookmarkEnd w:id="1"/>
      <w:r w:rsidRPr="00C40E19">
        <w:t xml:space="preserve"> участникам Факультативного протокола к Международному пакту об экономических, социальных и культурных правах, рассмотрение индивидуальных сообщений, </w:t>
      </w:r>
    </w:p>
    <w:p w14:paraId="644226BA" w14:textId="77777777" w:rsidR="00E050EE" w:rsidRPr="00C40E19" w:rsidRDefault="00E050EE" w:rsidP="00E050EE">
      <w:pPr>
        <w:pStyle w:val="SingleTxtG"/>
        <w:pageBreakBefore/>
        <w:ind w:firstLine="567"/>
      </w:pPr>
      <w:r w:rsidRPr="00C40E19">
        <w:lastRenderedPageBreak/>
        <w:t>1.</w:t>
      </w:r>
      <w:r w:rsidRPr="00C40E19">
        <w:tab/>
      </w:r>
      <w:r w:rsidRPr="00C40E19">
        <w:rPr>
          <w:i/>
          <w:iCs/>
        </w:rPr>
        <w:t>призывает</w:t>
      </w:r>
      <w:r w:rsidRPr="00C40E19">
        <w:t xml:space="preserve"> государства:</w:t>
      </w:r>
    </w:p>
    <w:p w14:paraId="58D48D54" w14:textId="77777777" w:rsidR="00E050EE" w:rsidRPr="00C40E19" w:rsidRDefault="00E050EE" w:rsidP="00E050EE">
      <w:pPr>
        <w:pStyle w:val="SingleTxtG"/>
        <w:ind w:firstLine="567"/>
      </w:pPr>
      <w:r w:rsidRPr="00C40E19">
        <w:t>а)</w:t>
      </w:r>
      <w:r w:rsidRPr="00C40E19">
        <w:tab/>
        <w:t xml:space="preserve">уделять должное внимание учету права на достаточное жилище при осуществлении Новой программы развития городов и Повестки дня в области устойчивого развития на период до 2030 года; </w:t>
      </w:r>
    </w:p>
    <w:p w14:paraId="6D3EAE99" w14:textId="77777777" w:rsidR="00E050EE" w:rsidRPr="00C40E19" w:rsidRDefault="00E050EE" w:rsidP="00E050EE">
      <w:pPr>
        <w:pStyle w:val="SingleTxtG"/>
        <w:ind w:firstLine="567"/>
      </w:pPr>
      <w:r w:rsidRPr="00C40E19">
        <w:t>b)</w:t>
      </w:r>
      <w:r w:rsidRPr="00C40E19">
        <w:tab/>
        <w:t xml:space="preserve">принять срочные меры для решения проблемы отсутствия достаточного жилища и улучшения условий жизни лиц, проживающих в неформальных поселениях, в соответствии с международным правом прав человека; </w:t>
      </w:r>
    </w:p>
    <w:p w14:paraId="18BD10AE" w14:textId="77777777" w:rsidR="00E050EE" w:rsidRPr="00C40E19" w:rsidRDefault="00E050EE" w:rsidP="00E050EE">
      <w:pPr>
        <w:pStyle w:val="SingleTxtG"/>
        <w:ind w:firstLine="567"/>
      </w:pPr>
      <w:r w:rsidRPr="00C40E19">
        <w:t>c)</w:t>
      </w:r>
      <w:r w:rsidRPr="00C40E19">
        <w:tab/>
        <w:t>принимать необходимые меры по противодействию факторам, приводящим к нехватке доступного по цене жилья, таким как спекуляция жильем и «финансиализация жилья»</w:t>
      </w:r>
      <w:r w:rsidRPr="00C40E19">
        <w:rPr>
          <w:rStyle w:val="aa"/>
          <w:szCs w:val="18"/>
        </w:rPr>
        <w:footnoteReference w:id="1"/>
      </w:r>
      <w:r w:rsidRPr="00C40E19">
        <w:t xml:space="preserve">; </w:t>
      </w:r>
    </w:p>
    <w:p w14:paraId="2835A8AC" w14:textId="77777777" w:rsidR="00E050EE" w:rsidRPr="00C40E19" w:rsidRDefault="00E050EE" w:rsidP="00E050EE">
      <w:pPr>
        <w:pStyle w:val="SingleTxtG"/>
        <w:ind w:firstLine="567"/>
      </w:pPr>
      <w:r w:rsidRPr="00C40E19">
        <w:t>d)</w:t>
      </w:r>
      <w:r w:rsidRPr="00C40E19">
        <w:tab/>
        <w:t xml:space="preserve">учитывать право на достаточное жилище в стратегиях адаптации к изменению климата и смягчения его последствий; </w:t>
      </w:r>
    </w:p>
    <w:p w14:paraId="2D949093" w14:textId="77777777" w:rsidR="00E050EE" w:rsidRPr="00C40E19" w:rsidRDefault="00E050EE" w:rsidP="00E050EE">
      <w:pPr>
        <w:pStyle w:val="SingleTxtG"/>
        <w:ind w:firstLine="567"/>
      </w:pPr>
      <w:r w:rsidRPr="00C40E19">
        <w:t>e)</w:t>
      </w:r>
      <w:r w:rsidRPr="00C40E19">
        <w:tab/>
        <w:t xml:space="preserve">работать с затрагиваемыми общинами и отдельными лицами в целях разработки и поощрения экологически устойчивых и рациональных вариантов проектирования, строительства и эксплуатации жилья для преодоления последствий изменения климата при одновременном обеспечении соблюдения права на достаточное жилище; </w:t>
      </w:r>
    </w:p>
    <w:p w14:paraId="377B12D2" w14:textId="77777777" w:rsidR="00E050EE" w:rsidRPr="00C40E19" w:rsidRDefault="00E050EE" w:rsidP="00E050EE">
      <w:pPr>
        <w:pStyle w:val="SingleTxtG"/>
        <w:ind w:firstLine="567"/>
      </w:pPr>
      <w:r w:rsidRPr="00C40E19">
        <w:t>f)</w:t>
      </w:r>
      <w:r w:rsidRPr="00C40E19">
        <w:tab/>
        <w:t xml:space="preserve">рассмотреть возможность принятия национальных программ и законов, которые отвечали бы нормам в отношении права прав человека и надлежащей правовой процедуры, а также уважения человеческого достоинства и принципа соразмерности, в целях предотвращения, недопущения и сокращения случаев выселения, а также в целях содействия обеспечению доступного по цене жилья для всех; </w:t>
      </w:r>
    </w:p>
    <w:p w14:paraId="078DDDB5" w14:textId="77777777" w:rsidR="00E050EE" w:rsidRPr="00C40E19" w:rsidRDefault="00E050EE" w:rsidP="00E050EE">
      <w:pPr>
        <w:pStyle w:val="SingleTxtG"/>
        <w:ind w:firstLine="567"/>
      </w:pPr>
      <w:r w:rsidRPr="00C40E19">
        <w:t>g)</w:t>
      </w:r>
      <w:r w:rsidRPr="00C40E19">
        <w:tab/>
        <w:t xml:space="preserve">осуществить Повестку дня в области устойчивого развития на период до 2030 года, включая задачу 11.1, и в этом контексте настоятельно призывает государства принять в консультации с соответствующими заинтересованными сторонами, включая гражданское общество, национальные правозащитные учреждения и частный сектор, инклюзивные и межсекторальные стратегии, гарантирующие уважение, защиту и осуществление прав человека всех лиц, и обеспечить, чтобы эти стратегии четко определяли обязанности на всех уровнях государственного управления, содержали поддающиеся измерению цели, задачи и сроки и предусматривали надлежащие механизмы регулярного мониторинга и обзора с уделением особого внимания потребностям маргинализированных и наиболее уязвимых лиц; </w:t>
      </w:r>
    </w:p>
    <w:p w14:paraId="687F0CF1" w14:textId="77777777" w:rsidR="00E050EE" w:rsidRPr="00C40E19" w:rsidRDefault="00E050EE" w:rsidP="00E050EE">
      <w:pPr>
        <w:pStyle w:val="SingleTxtG"/>
        <w:ind w:firstLine="567"/>
      </w:pPr>
      <w:r w:rsidRPr="00C40E19">
        <w:t>h)</w:t>
      </w:r>
      <w:r w:rsidRPr="00C40E19">
        <w:tab/>
        <w:t xml:space="preserve">обеспечивать равенство и недискриминацию при осуществлении права на достаточное жилище и стремиться к полной реализации права на достаточное жилище для всех; </w:t>
      </w:r>
    </w:p>
    <w:p w14:paraId="6D206F7C" w14:textId="77777777" w:rsidR="00E050EE" w:rsidRPr="00C40E19" w:rsidRDefault="00E050EE" w:rsidP="00E050EE">
      <w:pPr>
        <w:pStyle w:val="SingleTxtG"/>
        <w:ind w:firstLine="567"/>
      </w:pPr>
      <w:r w:rsidRPr="00C40E19">
        <w:t>i)</w:t>
      </w:r>
      <w:r w:rsidRPr="00C40E19">
        <w:tab/>
        <w:t xml:space="preserve">обеспечивать равное право женщин на достаточное жилище как компонент права на достаточный жизненный уровень во всех аспектах жилищных стратегий, в том числе путем предоставления равного доступа к кредитам, ипотеке, владению жильем и аренде жилья, учитывать должным образом безопасность такого жилья, особенно когда женщины и дети сталкиваются с любой формой насилия или угрозой насилия, и проводить законодательные и иные реформы в целях реализации равных прав для всех в отношении собственности и наследования; </w:t>
      </w:r>
    </w:p>
    <w:p w14:paraId="1061E482" w14:textId="77777777" w:rsidR="00E050EE" w:rsidRPr="00C40E19" w:rsidRDefault="00E050EE" w:rsidP="00E050EE">
      <w:pPr>
        <w:pStyle w:val="SingleTxtG"/>
        <w:ind w:firstLine="567"/>
      </w:pPr>
      <w:r w:rsidRPr="00C40E19">
        <w:t>j)</w:t>
      </w:r>
      <w:r w:rsidRPr="00C40E19">
        <w:tab/>
        <w:t xml:space="preserve">принимать все необходимые меры для отмены законов, устанавливающих уголовную ответственность за бездомность, и принимать позитивные меры с целью предотвращения и ликвидации бездомности путем принятия и осуществления законов, административных распоряжений, межсекторальных стратегий и программ на всех уровнях, в которых, в частности, учитываются гендерная принадлежность, возраст и инвалидность и которые основаны на международном праве прав человека; </w:t>
      </w:r>
    </w:p>
    <w:p w14:paraId="1687F777" w14:textId="77777777" w:rsidR="00E050EE" w:rsidRPr="00C40E19" w:rsidRDefault="00E050EE" w:rsidP="00E050EE">
      <w:pPr>
        <w:pStyle w:val="SingleTxtG"/>
        <w:ind w:firstLine="567"/>
      </w:pPr>
      <w:r w:rsidRPr="00C40E19">
        <w:lastRenderedPageBreak/>
        <w:t>k)</w:t>
      </w:r>
      <w:r w:rsidRPr="00C40E19">
        <w:tab/>
        <w:t>обеспечивать, чтобы строительные компании работали с соблюдением строительных норм и стандартов безопасности;</w:t>
      </w:r>
    </w:p>
    <w:p w14:paraId="792D5875" w14:textId="77777777" w:rsidR="00E050EE" w:rsidRPr="00C40E19" w:rsidRDefault="00E050EE" w:rsidP="00E050EE">
      <w:pPr>
        <w:pStyle w:val="SingleTxtG"/>
        <w:ind w:firstLine="567"/>
      </w:pPr>
      <w:r w:rsidRPr="00C40E19">
        <w:t>2.</w:t>
      </w:r>
      <w:r w:rsidRPr="00C40E19">
        <w:tab/>
      </w:r>
      <w:r w:rsidRPr="00C40E19">
        <w:rPr>
          <w:i/>
          <w:iCs/>
        </w:rPr>
        <w:t xml:space="preserve">призывает также </w:t>
      </w:r>
      <w:r w:rsidRPr="00C40E19">
        <w:t xml:space="preserve">государства своевременно и доступным, недорогим и действенным образом обеспечивать всем эффективные средства правовой защиты и равный доступ к правосудию и административным процедурам — в дополнение к обращению в судебные инстанции — в связи с нарушениями и ущемлениями права на достаточное жилище путем рассмотрения возможности: </w:t>
      </w:r>
    </w:p>
    <w:p w14:paraId="5BA7849A" w14:textId="77777777" w:rsidR="00E050EE" w:rsidRPr="00C40E19" w:rsidRDefault="00E050EE" w:rsidP="00E050EE">
      <w:pPr>
        <w:pStyle w:val="SingleTxtG"/>
        <w:ind w:firstLine="567"/>
      </w:pPr>
      <w:r w:rsidRPr="00C40E19">
        <w:t>а)</w:t>
      </w:r>
      <w:r w:rsidRPr="00C40E19">
        <w:tab/>
        <w:t xml:space="preserve">принятия внутренних законов и административных распоряжений, обеспечивающих полное осуществление права на достаточное жилище и возмещение ущерба в случае нарушения этого права; </w:t>
      </w:r>
    </w:p>
    <w:p w14:paraId="4496EAC7" w14:textId="77777777" w:rsidR="00E050EE" w:rsidRPr="00C40E19" w:rsidRDefault="00E050EE" w:rsidP="00E050EE">
      <w:pPr>
        <w:pStyle w:val="SingleTxtG"/>
        <w:ind w:firstLine="567"/>
      </w:pPr>
      <w:r w:rsidRPr="00C40E19">
        <w:t>b)</w:t>
      </w:r>
      <w:r w:rsidRPr="00C40E19">
        <w:tab/>
        <w:t>включения положений о юридической поддержке и юридической помощи;</w:t>
      </w:r>
    </w:p>
    <w:p w14:paraId="6CB99E2B" w14:textId="77777777" w:rsidR="00E050EE" w:rsidRPr="00C40E19" w:rsidRDefault="00E050EE" w:rsidP="00E050EE">
      <w:pPr>
        <w:pStyle w:val="SingleTxtG"/>
        <w:ind w:firstLine="567"/>
      </w:pPr>
      <w:r w:rsidRPr="00C40E19">
        <w:t>c)</w:t>
      </w:r>
      <w:r w:rsidRPr="00C40E19">
        <w:tab/>
        <w:t>содействия созданию национальных правозащитных учреждений, органов по вопросам равенства, института омбудсменов и организаций гражданского общества, отстаивающих интересы затрагиваемых лиц, согласно их соответствующему процессуальному праву;</w:t>
      </w:r>
    </w:p>
    <w:p w14:paraId="27F5DB92" w14:textId="77777777" w:rsidR="00E050EE" w:rsidRPr="00C40E19" w:rsidRDefault="00E050EE" w:rsidP="00E050EE">
      <w:pPr>
        <w:pStyle w:val="SingleTxtG"/>
        <w:ind w:firstLine="567"/>
      </w:pPr>
      <w:r w:rsidRPr="00C40E19">
        <w:t>d)</w:t>
      </w:r>
      <w:r w:rsidRPr="00C40E19">
        <w:tab/>
        <w:t>ратификации Факультативного протокола к Международному пакту об экономических, социальных и культурных правах, если они этого еще не сделали;</w:t>
      </w:r>
    </w:p>
    <w:p w14:paraId="1DF544EF" w14:textId="77777777" w:rsidR="00E050EE" w:rsidRPr="00C40E19" w:rsidRDefault="00E050EE" w:rsidP="00E050EE">
      <w:pPr>
        <w:pStyle w:val="SingleTxtG"/>
        <w:ind w:firstLine="567"/>
        <w:rPr>
          <w:noProof/>
        </w:rPr>
      </w:pPr>
      <w:r w:rsidRPr="00C40E19">
        <w:t>3.</w:t>
      </w:r>
      <w:r w:rsidRPr="00C40E19">
        <w:tab/>
      </w:r>
      <w:r w:rsidRPr="00C40E19">
        <w:rPr>
          <w:i/>
          <w:iCs/>
        </w:rPr>
        <w:t>приветствует</w:t>
      </w:r>
      <w:r w:rsidRPr="00C40E19">
        <w:t xml:space="preserve"> работу Специального докладчика по вопросу о достаточном жилище как компоненте права на достаточный жизненный уровень, а</w:t>
      </w:r>
      <w:r w:rsidRPr="00C40E19">
        <w:rPr>
          <w:lang w:val="en-US"/>
        </w:rPr>
        <w:t> </w:t>
      </w:r>
      <w:r w:rsidRPr="00C40E19">
        <w:t>также о праве на недискриминацию в этом контексте, включая посещение стран, и</w:t>
      </w:r>
      <w:r w:rsidRPr="00C40E19">
        <w:rPr>
          <w:lang w:val="en-US"/>
        </w:rPr>
        <w:t> </w:t>
      </w:r>
      <w:r w:rsidRPr="00C40E19">
        <w:t>принимает к сведению ее доклады, включая ее последний доклад, содержащий руководящие принципы осуществления права на достаточное жилище</w:t>
      </w:r>
      <w:r w:rsidRPr="00C40E19">
        <w:rPr>
          <w:rStyle w:val="aa"/>
          <w:rFonts w:cs="Arial"/>
          <w:szCs w:val="18"/>
        </w:rPr>
        <w:footnoteReference w:id="2"/>
      </w:r>
      <w:r w:rsidRPr="00C40E19">
        <w:t xml:space="preserve">; </w:t>
      </w:r>
    </w:p>
    <w:p w14:paraId="656256F2" w14:textId="77777777" w:rsidR="00E050EE" w:rsidRPr="00C40E19" w:rsidRDefault="00E050EE" w:rsidP="00E050EE">
      <w:pPr>
        <w:pStyle w:val="SingleTxtG"/>
        <w:ind w:firstLine="567"/>
      </w:pPr>
      <w:r w:rsidRPr="00C40E19">
        <w:t>4.</w:t>
      </w:r>
      <w:r w:rsidRPr="00C40E19">
        <w:tab/>
      </w:r>
      <w:r w:rsidRPr="00C40E19">
        <w:rPr>
          <w:i/>
          <w:iCs/>
        </w:rPr>
        <w:t>постановляет</w:t>
      </w:r>
      <w:r w:rsidRPr="00C40E19">
        <w:t xml:space="preserve"> продлить на три года мандат Специального докладчика по вопросу о достаточном жилище как компоненте права на достаточный жизненный уровень, а также о праве на недискриминацию в этом контексте, изложенный Советом по правам человека в предыдущих резолюциях, в частности в резолюции 15/8 Совета от 30 сентября 2010 года; </w:t>
      </w:r>
    </w:p>
    <w:p w14:paraId="08AE5EC1" w14:textId="77777777" w:rsidR="00E050EE" w:rsidRPr="00C40E19" w:rsidRDefault="00E050EE" w:rsidP="00E050EE">
      <w:pPr>
        <w:pStyle w:val="SingleTxtG"/>
        <w:ind w:firstLine="567"/>
      </w:pPr>
      <w:r w:rsidRPr="00C40E19">
        <w:t>5.</w:t>
      </w:r>
      <w:r w:rsidRPr="00C40E19">
        <w:tab/>
      </w:r>
      <w:r w:rsidRPr="00C40E19">
        <w:rPr>
          <w:i/>
          <w:iCs/>
        </w:rPr>
        <w:t xml:space="preserve">просит </w:t>
      </w:r>
      <w:r w:rsidRPr="00C40E19">
        <w:t>Специального докладчика при выполнении мандата продолжать взаимодействовать с государствами в деле осуществления права на достаточное жилище, Новой программы развития городов и связанных с жильем Целей и задач в области устойчивого развития и проводить консультации с гражданским обществом и другими заинтересованными сторонами в соответствии с резолюцией</w:t>
      </w:r>
      <w:r w:rsidRPr="00C40E19">
        <w:rPr>
          <w:lang w:val="en-US"/>
        </w:rPr>
        <w:t> </w:t>
      </w:r>
      <w:r w:rsidRPr="00C40E19">
        <w:t xml:space="preserve">37/4 Совета по правам человека от 22 марта 2018 года; </w:t>
      </w:r>
    </w:p>
    <w:p w14:paraId="2475C79D" w14:textId="77777777" w:rsidR="00E050EE" w:rsidRPr="00C40E19" w:rsidRDefault="00E050EE" w:rsidP="00E050EE">
      <w:pPr>
        <w:pStyle w:val="SingleTxtG"/>
        <w:ind w:firstLine="567"/>
      </w:pPr>
      <w:r w:rsidRPr="00C40E19">
        <w:t>6.</w:t>
      </w:r>
      <w:r w:rsidRPr="00C40E19">
        <w:tab/>
      </w:r>
      <w:r w:rsidRPr="00C40E19">
        <w:rPr>
          <w:i/>
          <w:iCs/>
        </w:rPr>
        <w:t>с удовлетворением отмечает</w:t>
      </w:r>
      <w:r w:rsidRPr="00C40E19">
        <w:t xml:space="preserve"> содействие, оказывавшееся до сих пор Специальному докладчику различными субъектами, и призывает государства: </w:t>
      </w:r>
    </w:p>
    <w:p w14:paraId="5577A009" w14:textId="77777777" w:rsidR="00E050EE" w:rsidRPr="00C40E19" w:rsidRDefault="00E050EE" w:rsidP="00E050EE">
      <w:pPr>
        <w:pStyle w:val="SingleTxtG"/>
        <w:ind w:firstLine="567"/>
      </w:pPr>
      <w:r w:rsidRPr="00C40E19">
        <w:t>а)</w:t>
      </w:r>
      <w:r w:rsidRPr="00C40E19">
        <w:tab/>
        <w:t xml:space="preserve">продолжать сотрудничать со Специальным докладчиком в осуществлении им/ею своего мандата и позитивно реагировать на его/ее просьбы относительно информации и посещений; </w:t>
      </w:r>
    </w:p>
    <w:p w14:paraId="6943567A" w14:textId="77777777" w:rsidR="00E050EE" w:rsidRPr="00C40E19" w:rsidRDefault="00E050EE" w:rsidP="00E050EE">
      <w:pPr>
        <w:pStyle w:val="SingleTxtG"/>
        <w:ind w:firstLine="567"/>
      </w:pPr>
      <w:r w:rsidRPr="00C40E19">
        <w:t>b)</w:t>
      </w:r>
      <w:r w:rsidRPr="00C40E19">
        <w:tab/>
        <w:t xml:space="preserve">вступить в конструктивный диалог со Специальным докладчиком по вопросам принятия последующих мер и осуществления его/ее рекомендаций; </w:t>
      </w:r>
    </w:p>
    <w:p w14:paraId="57598506" w14:textId="77777777" w:rsidR="00E050EE" w:rsidRPr="00C40E19" w:rsidRDefault="00E050EE" w:rsidP="00E050EE">
      <w:pPr>
        <w:pStyle w:val="SingleTxtG"/>
        <w:ind w:firstLine="567"/>
      </w:pPr>
      <w:r w:rsidRPr="00C40E19">
        <w:t>7.</w:t>
      </w:r>
      <w:r w:rsidRPr="00C40E19">
        <w:tab/>
      </w:r>
      <w:r w:rsidRPr="00C40E19">
        <w:rPr>
          <w:i/>
          <w:iCs/>
        </w:rPr>
        <w:t>просит</w:t>
      </w:r>
      <w:r w:rsidRPr="00C40E19">
        <w:t xml:space="preserve"> Генерального секретаря и Верховного комиссара Организации Объединенных Наций по правам человека продолжать предоставлять все ресурсы и помощь, необходимые для эффективного выполнения мандата Специального докладчика; </w:t>
      </w:r>
    </w:p>
    <w:p w14:paraId="205116F1" w14:textId="77777777" w:rsidR="00E050EE" w:rsidRPr="00C40E19" w:rsidRDefault="00E050EE" w:rsidP="00E050EE">
      <w:pPr>
        <w:pStyle w:val="SingleTxtG"/>
        <w:ind w:firstLine="567"/>
      </w:pPr>
      <w:r w:rsidRPr="00C40E19">
        <w:t>8.</w:t>
      </w:r>
      <w:r w:rsidRPr="00C40E19">
        <w:tab/>
      </w:r>
      <w:r w:rsidRPr="00C40E19">
        <w:rPr>
          <w:i/>
          <w:iCs/>
        </w:rPr>
        <w:t>просит</w:t>
      </w:r>
      <w:r w:rsidRPr="00C40E19">
        <w:t xml:space="preserve"> Специального докладчика представлять</w:t>
      </w:r>
      <w:r w:rsidRPr="00C40E19">
        <w:t xml:space="preserve"> годовой </w:t>
      </w:r>
      <w:r w:rsidRPr="00C40E19">
        <w:t xml:space="preserve">доклад об осуществлении мандата Совету по правам человека и Генеральной Ассамблее в соответствии с их годовой программой работы; </w:t>
      </w:r>
    </w:p>
    <w:p w14:paraId="61E9D445" w14:textId="77777777" w:rsidR="00E050EE" w:rsidRPr="00C40E19" w:rsidRDefault="00E050EE" w:rsidP="00E050EE">
      <w:pPr>
        <w:pStyle w:val="SingleTxtG"/>
      </w:pPr>
      <w:r w:rsidRPr="00C40E19">
        <w:lastRenderedPageBreak/>
        <w:tab/>
      </w:r>
      <w:r w:rsidRPr="00C40E19">
        <w:tab/>
        <w:t>9.</w:t>
      </w:r>
      <w:r w:rsidRPr="00C40E19">
        <w:tab/>
      </w:r>
      <w:r w:rsidRPr="00C40E19">
        <w:rPr>
          <w:i/>
          <w:iCs/>
        </w:rPr>
        <w:t>постановляет</w:t>
      </w:r>
      <w:r w:rsidRPr="00C40E19">
        <w:t xml:space="preserve"> продолжить рассмотрение этого вопроса в рамках того же пункта повестки дня.</w:t>
      </w:r>
    </w:p>
    <w:p w14:paraId="62814829" w14:textId="77777777" w:rsidR="00E050EE" w:rsidRPr="00C40E19" w:rsidRDefault="00E050EE" w:rsidP="00E050EE">
      <w:pPr>
        <w:pStyle w:val="SingleTxtG"/>
        <w:jc w:val="right"/>
        <w:rPr>
          <w:i/>
          <w:iCs/>
        </w:rPr>
      </w:pPr>
      <w:r w:rsidRPr="00C40E19">
        <w:rPr>
          <w:i/>
          <w:iCs/>
        </w:rPr>
        <w:t>44-е заседание</w:t>
      </w:r>
      <w:r w:rsidRPr="00C40E19">
        <w:rPr>
          <w:i/>
          <w:iCs/>
        </w:rPr>
        <w:br/>
      </w:r>
      <w:r w:rsidRPr="00C40E19">
        <w:rPr>
          <w:i/>
          <w:iCs/>
        </w:rPr>
        <w:t>19 июня 2020 года</w:t>
      </w:r>
    </w:p>
    <w:p w14:paraId="14BA38B8" w14:textId="77777777" w:rsidR="00E050EE" w:rsidRPr="00C40E19" w:rsidRDefault="00E050EE" w:rsidP="00E050EE">
      <w:pPr>
        <w:pStyle w:val="SingleTxtG"/>
      </w:pPr>
      <w:r w:rsidRPr="00C40E19">
        <w:rPr>
          <w:shd w:val="clear" w:color="auto" w:fill="FFFFFF"/>
        </w:rPr>
        <w:t>[Принята без голосования.]</w:t>
      </w:r>
    </w:p>
    <w:p w14:paraId="471EACEE" w14:textId="77777777" w:rsidR="00E050EE" w:rsidRPr="00C40E19" w:rsidRDefault="00E050EE" w:rsidP="00E050EE">
      <w:pPr>
        <w:pStyle w:val="SingleTxtG"/>
        <w:spacing w:before="240" w:after="0"/>
        <w:jc w:val="center"/>
        <w:rPr>
          <w:u w:val="single"/>
        </w:rPr>
      </w:pPr>
      <w:r w:rsidRPr="00C40E19">
        <w:rPr>
          <w:u w:val="single"/>
        </w:rPr>
        <w:tab/>
      </w:r>
      <w:r w:rsidRPr="00C40E19">
        <w:rPr>
          <w:u w:val="single"/>
        </w:rPr>
        <w:tab/>
      </w:r>
      <w:r w:rsidRPr="00C40E19">
        <w:rPr>
          <w:u w:val="single"/>
        </w:rPr>
        <w:tab/>
      </w:r>
      <w:r w:rsidRPr="00C40E19">
        <w:rPr>
          <w:u w:val="single"/>
        </w:rPr>
        <w:tab/>
      </w:r>
    </w:p>
    <w:p w14:paraId="7EDD083D" w14:textId="77777777" w:rsidR="00CB0692" w:rsidRPr="00C40E19" w:rsidRDefault="00CB0692" w:rsidP="002E5067">
      <w:pPr>
        <w:rPr>
          <w:szCs w:val="20"/>
        </w:rPr>
      </w:pPr>
    </w:p>
    <w:sectPr w:rsidR="00CB0692" w:rsidRPr="00C40E19" w:rsidSect="003B42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F8449" w14:textId="77777777" w:rsidR="00B92C69" w:rsidRPr="00A312BC" w:rsidRDefault="00B92C69" w:rsidP="00A312BC"/>
  </w:endnote>
  <w:endnote w:type="continuationSeparator" w:id="0">
    <w:p w14:paraId="0814B6C5" w14:textId="77777777" w:rsidR="00B92C69" w:rsidRPr="00A312BC" w:rsidRDefault="00B92C6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DBDD" w14:textId="77777777" w:rsidR="003B42D9" w:rsidRPr="003B42D9" w:rsidRDefault="003B42D9">
    <w:pPr>
      <w:pStyle w:val="a8"/>
    </w:pPr>
    <w:r w:rsidRPr="003B42D9">
      <w:rPr>
        <w:b/>
        <w:sz w:val="18"/>
      </w:rPr>
      <w:fldChar w:fldCharType="begin"/>
    </w:r>
    <w:r w:rsidRPr="003B42D9">
      <w:rPr>
        <w:b/>
        <w:sz w:val="18"/>
      </w:rPr>
      <w:instrText xml:space="preserve"> PAGE  \* MERGEFORMAT </w:instrText>
    </w:r>
    <w:r w:rsidRPr="003B42D9">
      <w:rPr>
        <w:b/>
        <w:sz w:val="18"/>
      </w:rPr>
      <w:fldChar w:fldCharType="separate"/>
    </w:r>
    <w:r w:rsidRPr="003B42D9">
      <w:rPr>
        <w:b/>
        <w:noProof/>
        <w:sz w:val="18"/>
      </w:rPr>
      <w:t>2</w:t>
    </w:r>
    <w:r w:rsidRPr="003B42D9">
      <w:rPr>
        <w:b/>
        <w:sz w:val="18"/>
      </w:rPr>
      <w:fldChar w:fldCharType="end"/>
    </w:r>
    <w:r>
      <w:rPr>
        <w:b/>
        <w:sz w:val="18"/>
      </w:rPr>
      <w:tab/>
    </w:r>
    <w:r>
      <w:t>GE.20-08981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6E4D" w14:textId="77777777" w:rsidR="003B42D9" w:rsidRPr="003B42D9" w:rsidRDefault="003B42D9" w:rsidP="003B42D9">
    <w:pPr>
      <w:pStyle w:val="a8"/>
      <w:tabs>
        <w:tab w:val="clear" w:pos="9639"/>
        <w:tab w:val="right" w:pos="9638"/>
      </w:tabs>
      <w:rPr>
        <w:b/>
        <w:sz w:val="18"/>
      </w:rPr>
    </w:pPr>
    <w:r>
      <w:t>GE.20-08981</w:t>
    </w:r>
    <w:r>
      <w:tab/>
    </w:r>
    <w:r w:rsidRPr="003B42D9">
      <w:rPr>
        <w:b/>
        <w:sz w:val="18"/>
      </w:rPr>
      <w:fldChar w:fldCharType="begin"/>
    </w:r>
    <w:r w:rsidRPr="003B42D9">
      <w:rPr>
        <w:b/>
        <w:sz w:val="18"/>
      </w:rPr>
      <w:instrText xml:space="preserve"> PAGE  \* MERGEFORMAT </w:instrText>
    </w:r>
    <w:r w:rsidRPr="003B42D9">
      <w:rPr>
        <w:b/>
        <w:sz w:val="18"/>
      </w:rPr>
      <w:fldChar w:fldCharType="separate"/>
    </w:r>
    <w:r w:rsidRPr="003B42D9">
      <w:rPr>
        <w:b/>
        <w:noProof/>
        <w:sz w:val="18"/>
      </w:rPr>
      <w:t>3</w:t>
    </w:r>
    <w:r w:rsidRPr="003B42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4D822" w14:textId="77777777" w:rsidR="00042B72" w:rsidRPr="003B42D9" w:rsidRDefault="003B42D9" w:rsidP="003B42D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9239BA" wp14:editId="7FBD62D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20-08981  (R)</w:t>
    </w:r>
    <w:r w:rsidR="00E050EE">
      <w:t xml:space="preserve">  100820  1</w:t>
    </w:r>
    <w:r w:rsidR="00C40E19">
      <w:rPr>
        <w:lang w:val="en-US"/>
      </w:rPr>
      <w:t>1</w:t>
    </w:r>
    <w:r w:rsidR="00E050EE">
      <w:t>0820</w:t>
    </w:r>
    <w:r>
      <w:br/>
    </w:r>
    <w:r w:rsidRPr="003B42D9">
      <w:rPr>
        <w:rFonts w:ascii="C39T30Lfz" w:hAnsi="C39T30Lfz"/>
        <w:kern w:val="14"/>
        <w:sz w:val="56"/>
      </w:rPr>
      <w:t></w:t>
    </w:r>
    <w:r w:rsidRPr="003B42D9">
      <w:rPr>
        <w:rFonts w:ascii="C39T30Lfz" w:hAnsi="C39T30Lfz"/>
        <w:kern w:val="14"/>
        <w:sz w:val="56"/>
      </w:rPr>
      <w:t></w:t>
    </w:r>
    <w:r w:rsidRPr="003B42D9">
      <w:rPr>
        <w:rFonts w:ascii="C39T30Lfz" w:hAnsi="C39T30Lfz"/>
        <w:kern w:val="14"/>
        <w:sz w:val="56"/>
      </w:rPr>
      <w:t></w:t>
    </w:r>
    <w:r w:rsidRPr="003B42D9">
      <w:rPr>
        <w:rFonts w:ascii="C39T30Lfz" w:hAnsi="C39T30Lfz"/>
        <w:kern w:val="14"/>
        <w:sz w:val="56"/>
      </w:rPr>
      <w:t></w:t>
    </w:r>
    <w:r w:rsidRPr="003B42D9">
      <w:rPr>
        <w:rFonts w:ascii="C39T30Lfz" w:hAnsi="C39T30Lfz"/>
        <w:kern w:val="14"/>
        <w:sz w:val="56"/>
      </w:rPr>
      <w:t></w:t>
    </w:r>
    <w:r w:rsidRPr="003B42D9">
      <w:rPr>
        <w:rFonts w:ascii="C39T30Lfz" w:hAnsi="C39T30Lfz"/>
        <w:kern w:val="14"/>
        <w:sz w:val="56"/>
      </w:rPr>
      <w:t></w:t>
    </w:r>
    <w:r w:rsidRPr="003B42D9">
      <w:rPr>
        <w:rFonts w:ascii="C39T30Lfz" w:hAnsi="C39T30Lfz"/>
        <w:kern w:val="14"/>
        <w:sz w:val="56"/>
      </w:rPr>
      <w:t></w:t>
    </w:r>
    <w:r w:rsidRPr="003B42D9">
      <w:rPr>
        <w:rFonts w:ascii="C39T30Lfz" w:hAnsi="C39T30Lfz"/>
        <w:kern w:val="14"/>
        <w:sz w:val="56"/>
      </w:rPr>
      <w:t></w:t>
    </w:r>
    <w:r w:rsidRPr="003B42D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09B2816" wp14:editId="5B5D779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73A3D" w14:textId="77777777" w:rsidR="00B92C69" w:rsidRPr="001075E9" w:rsidRDefault="00B92C6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E2108B" w14:textId="77777777" w:rsidR="00B92C69" w:rsidRDefault="00B92C6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C173AF" w14:textId="77777777" w:rsidR="00E050EE" w:rsidRPr="00E561B3" w:rsidRDefault="00E050EE" w:rsidP="00E050EE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D701BA">
        <w:rPr>
          <w:lang w:val="en-US"/>
        </w:rPr>
        <w:tab/>
      </w:r>
      <w:r>
        <w:t>См</w:t>
      </w:r>
      <w:r w:rsidRPr="00D701BA">
        <w:rPr>
          <w:lang w:val="en-US"/>
        </w:rPr>
        <w:t>. A/HRC/34/51.</w:t>
      </w:r>
    </w:p>
  </w:footnote>
  <w:footnote w:id="2">
    <w:p w14:paraId="377FDCBD" w14:textId="77777777" w:rsidR="00E050EE" w:rsidRPr="00E561B3" w:rsidRDefault="00E050EE" w:rsidP="00E050EE">
      <w:pPr>
        <w:pStyle w:val="ad"/>
        <w:rPr>
          <w:lang w:val="en-US"/>
        </w:rPr>
      </w:pPr>
      <w:r w:rsidRPr="00D701BA">
        <w:rPr>
          <w:lang w:val="en-US"/>
        </w:rPr>
        <w:tab/>
      </w:r>
      <w:r>
        <w:rPr>
          <w:rStyle w:val="aa"/>
        </w:rPr>
        <w:footnoteRef/>
      </w:r>
      <w:r w:rsidRPr="00D701BA">
        <w:rPr>
          <w:lang w:val="en-US"/>
        </w:rPr>
        <w:tab/>
        <w:t>A/HRC/43/43.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0CF40" w14:textId="0D1C8E70" w:rsidR="003B42D9" w:rsidRPr="003B42D9" w:rsidRDefault="003B42D9">
    <w:pPr>
      <w:pStyle w:val="a5"/>
    </w:pPr>
    <w:fldSimple w:instr=" TITLE  \* MERGEFORMAT ">
      <w:r w:rsidR="007C700B">
        <w:t>A/HRC/RES/43/14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4A01" w14:textId="28EB35FD" w:rsidR="003B42D9" w:rsidRPr="003B42D9" w:rsidRDefault="003B42D9" w:rsidP="003B42D9">
    <w:pPr>
      <w:pStyle w:val="a5"/>
      <w:jc w:val="right"/>
    </w:pPr>
    <w:fldSimple w:instr=" TITLE  \* MERGEFORMAT ">
      <w:r w:rsidR="007C700B">
        <w:t>A/HRC/RES/43/14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9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3B42D9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C700B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92C69"/>
    <w:rsid w:val="00BC18B2"/>
    <w:rsid w:val="00BD33EE"/>
    <w:rsid w:val="00BE0674"/>
    <w:rsid w:val="00C106D6"/>
    <w:rsid w:val="00C40E19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E7BEF"/>
    <w:rsid w:val="00DF71B9"/>
    <w:rsid w:val="00E050EE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97B3F6"/>
  <w15:docId w15:val="{A210824D-901E-4D56-B6E4-92934BFE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050E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5</Pages>
  <Words>1589</Words>
  <Characters>10765</Characters>
  <Application>Microsoft Office Word</Application>
  <DocSecurity>0</DocSecurity>
  <Lines>1196</Lines>
  <Paragraphs>514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A/HRC/RES/43/14</vt:lpstr>
      <vt:lpstr>A/</vt:lpstr>
      <vt:lpstr>A/</vt:lpstr>
      <vt:lpstr>A/</vt:lpstr>
    </vt:vector>
  </TitlesOfParts>
  <Company>DCM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A/HRC/RES/43/14</dc:title>
  <dc:subject/>
  <dc:creator>Uliana ANTIPOVA</dc:creator>
  <cp:keywords/>
  <cp:lastModifiedBy>Uliana Antipova</cp:lastModifiedBy>
  <cp:revision>3</cp:revision>
  <cp:lastPrinted>2020-08-11T05:16:00Z</cp:lastPrinted>
  <dcterms:created xsi:type="dcterms:W3CDTF">2020-08-11T05:16:00Z</dcterms:created>
  <dcterms:modified xsi:type="dcterms:W3CDTF">2020-08-11T05:16:00Z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