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F53D4C">
        <w:trPr>
          <w:trHeight w:hRule="exact" w:val="851"/>
        </w:trPr>
        <w:tc>
          <w:tcPr>
            <w:tcW w:w="1280" w:type="dxa"/>
            <w:tcBorders>
              <w:bottom w:val="single" w:sz="4" w:space="0" w:color="auto"/>
            </w:tcBorders>
          </w:tcPr>
          <w:p w:rsidR="00F53D4C" w:rsidRDefault="00F53D4C">
            <w:pPr>
              <w:rPr>
                <w:rFonts w:hint="eastAsia"/>
              </w:rPr>
            </w:pPr>
          </w:p>
        </w:tc>
        <w:tc>
          <w:tcPr>
            <w:tcW w:w="2273" w:type="dxa"/>
            <w:tcBorders>
              <w:bottom w:val="single" w:sz="4" w:space="0" w:color="auto"/>
            </w:tcBorders>
            <w:vAlign w:val="bottom"/>
          </w:tcPr>
          <w:p w:rsidR="00F53D4C" w:rsidRDefault="00F53D4C">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F53D4C" w:rsidRDefault="00F53D4C" w:rsidP="00AE4D20">
            <w:pPr>
              <w:spacing w:line="240" w:lineRule="atLeast"/>
              <w:jc w:val="right"/>
              <w:rPr>
                <w:rFonts w:hint="eastAsia"/>
                <w:szCs w:val="21"/>
              </w:rPr>
            </w:pPr>
            <w:r>
              <w:rPr>
                <w:sz w:val="40"/>
                <w:szCs w:val="40"/>
              </w:rPr>
              <w:t>A</w:t>
            </w:r>
            <w:r w:rsidRPr="00637834">
              <w:rPr>
                <w:sz w:val="20"/>
              </w:rPr>
              <w:t>/HRC/</w:t>
            </w:r>
            <w:r w:rsidR="005D2AB9">
              <w:rPr>
                <w:rFonts w:hint="eastAsia"/>
                <w:sz w:val="20"/>
              </w:rPr>
              <w:t>RES/</w:t>
            </w:r>
            <w:r w:rsidR="005D2AB9">
              <w:rPr>
                <w:sz w:val="20"/>
                <w:lang w:val="en-GB"/>
              </w:rPr>
              <w:t>24/</w:t>
            </w:r>
            <w:r w:rsidR="003D3EC9">
              <w:rPr>
                <w:rFonts w:hint="eastAsia"/>
                <w:sz w:val="20"/>
                <w:lang w:val="en-GB"/>
              </w:rPr>
              <w:t>6</w:t>
            </w:r>
          </w:p>
        </w:tc>
      </w:tr>
      <w:tr w:rsidR="00F53D4C">
        <w:trPr>
          <w:trHeight w:hRule="exact" w:val="2835"/>
        </w:trPr>
        <w:tc>
          <w:tcPr>
            <w:tcW w:w="1280" w:type="dxa"/>
            <w:tcBorders>
              <w:top w:val="single" w:sz="4" w:space="0" w:color="auto"/>
              <w:bottom w:val="single" w:sz="12" w:space="0" w:color="auto"/>
            </w:tcBorders>
          </w:tcPr>
          <w:p w:rsidR="00F53D4C" w:rsidRDefault="00F53D4C">
            <w:pPr>
              <w:spacing w:line="120" w:lineRule="atLeast"/>
              <w:rPr>
                <w:sz w:val="10"/>
                <w:szCs w:val="10"/>
              </w:rPr>
            </w:pPr>
          </w:p>
          <w:p w:rsidR="00F53D4C" w:rsidRDefault="00F53D4C">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F53D4C" w:rsidRPr="00A067AD" w:rsidRDefault="00F53D4C">
            <w:pPr>
              <w:spacing w:before="240" w:line="420" w:lineRule="exact"/>
              <w:rPr>
                <w:rFonts w:ascii="Time New Roman" w:eastAsia="SimHei" w:hAnsi="Time New Roman" w:hint="eastAsia"/>
                <w:sz w:val="40"/>
                <w:szCs w:val="40"/>
              </w:rPr>
            </w:pPr>
            <w:r w:rsidRPr="00A067AD">
              <w:rPr>
                <w:rFonts w:ascii="Time New Roman" w:eastAsia="SimHei" w:hAnsi="Time New Roman" w:hint="eastAsia"/>
                <w:sz w:val="40"/>
                <w:szCs w:val="40"/>
              </w:rPr>
              <w:t>大</w:t>
            </w:r>
            <w:r w:rsidRPr="00A067AD">
              <w:rPr>
                <w:rFonts w:ascii="Time New Roman" w:eastAsia="SimHei" w:hAnsi="Time New Roman" w:hint="eastAsia"/>
                <w:sz w:val="40"/>
                <w:szCs w:val="40"/>
              </w:rPr>
              <w:t xml:space="preserve">  </w:t>
            </w:r>
            <w:r w:rsidRPr="00A067AD">
              <w:rPr>
                <w:rFonts w:ascii="Time New Roman" w:eastAsia="SimHei" w:hAnsi="Time New Roman" w:hint="eastAsia"/>
                <w:sz w:val="40"/>
                <w:szCs w:val="40"/>
              </w:rPr>
              <w:t>会</w:t>
            </w:r>
          </w:p>
        </w:tc>
        <w:tc>
          <w:tcPr>
            <w:tcW w:w="2819" w:type="dxa"/>
            <w:tcBorders>
              <w:top w:val="single" w:sz="4" w:space="0" w:color="auto"/>
              <w:bottom w:val="single" w:sz="12" w:space="0" w:color="auto"/>
            </w:tcBorders>
          </w:tcPr>
          <w:p w:rsidR="005D2AB9" w:rsidRPr="00637834" w:rsidRDefault="00CE3513" w:rsidP="005D2AB9">
            <w:pPr>
              <w:spacing w:before="240" w:line="240" w:lineRule="atLeast"/>
              <w:rPr>
                <w:sz w:val="20"/>
              </w:rPr>
            </w:pPr>
            <w:r>
              <w:rPr>
                <w:sz w:val="20"/>
              </w:rPr>
              <w:t xml:space="preserve">Distr.: </w:t>
            </w:r>
            <w:r w:rsidR="005D2AB9">
              <w:t>General</w:t>
            </w:r>
          </w:p>
          <w:p w:rsidR="005D2AB9" w:rsidRPr="00637834" w:rsidRDefault="005D2AB9" w:rsidP="005D2AB9">
            <w:pPr>
              <w:spacing w:line="240" w:lineRule="atLeast"/>
              <w:rPr>
                <w:rFonts w:hint="eastAsia"/>
                <w:sz w:val="20"/>
              </w:rPr>
            </w:pPr>
            <w:r>
              <w:rPr>
                <w:rFonts w:hint="eastAsia"/>
                <w:sz w:val="20"/>
                <w:lang w:val="en-GB"/>
              </w:rPr>
              <w:t>8</w:t>
            </w:r>
            <w:r w:rsidRPr="000F680C">
              <w:rPr>
                <w:sz w:val="20"/>
                <w:lang w:val="en-GB"/>
              </w:rPr>
              <w:t xml:space="preserve"> </w:t>
            </w:r>
            <w:r>
              <w:rPr>
                <w:rFonts w:hint="eastAsia"/>
                <w:sz w:val="20"/>
                <w:lang w:val="en-GB"/>
              </w:rPr>
              <w:t>Octo</w:t>
            </w:r>
            <w:r w:rsidRPr="000F680C">
              <w:rPr>
                <w:sz w:val="20"/>
                <w:lang w:val="en-GB"/>
              </w:rPr>
              <w:t>ber</w:t>
            </w:r>
            <w:r w:rsidRPr="009B2591">
              <w:rPr>
                <w:sz w:val="20"/>
              </w:rPr>
              <w:t xml:space="preserve"> </w:t>
            </w:r>
            <w:r>
              <w:rPr>
                <w:sz w:val="20"/>
              </w:rPr>
              <w:t>20</w:t>
            </w:r>
            <w:r>
              <w:rPr>
                <w:rFonts w:hint="eastAsia"/>
                <w:sz w:val="20"/>
              </w:rPr>
              <w:t>13</w:t>
            </w:r>
          </w:p>
          <w:p w:rsidR="00F53D4C" w:rsidRPr="00637834" w:rsidRDefault="00F53D4C">
            <w:pPr>
              <w:spacing w:line="240" w:lineRule="atLeast"/>
              <w:rPr>
                <w:sz w:val="20"/>
              </w:rPr>
            </w:pPr>
            <w:r w:rsidRPr="00637834">
              <w:rPr>
                <w:sz w:val="20"/>
              </w:rPr>
              <w:t xml:space="preserve">Chinese </w:t>
            </w:r>
          </w:p>
          <w:p w:rsidR="00F53D4C" w:rsidRPr="00637834" w:rsidRDefault="00CE3513" w:rsidP="00751C2E">
            <w:pPr>
              <w:spacing w:line="240" w:lineRule="atLeast"/>
              <w:rPr>
                <w:rFonts w:hint="eastAsia"/>
              </w:rPr>
            </w:pPr>
            <w:r>
              <w:rPr>
                <w:sz w:val="20"/>
              </w:rPr>
              <w:t xml:space="preserve">Original: </w:t>
            </w:r>
            <w:r w:rsidR="00F53D4C" w:rsidRPr="00637834">
              <w:rPr>
                <w:sz w:val="20"/>
              </w:rPr>
              <w:t>English</w:t>
            </w:r>
          </w:p>
        </w:tc>
      </w:tr>
    </w:tbl>
    <w:p w:rsidR="00F53D4C" w:rsidRPr="00BE1132" w:rsidRDefault="00F53D4C">
      <w:pPr>
        <w:spacing w:before="120"/>
        <w:rPr>
          <w:rFonts w:eastAsia="SimHei"/>
          <w:sz w:val="24"/>
          <w:szCs w:val="24"/>
          <w:lang w:val="fr-CH"/>
        </w:rPr>
      </w:pPr>
      <w:r w:rsidRPr="00BE1132">
        <w:rPr>
          <w:rFonts w:eastAsia="SimHei"/>
          <w:sz w:val="24"/>
          <w:szCs w:val="24"/>
          <w:lang w:val="fr-CH"/>
        </w:rPr>
        <w:t>人权理事会</w:t>
      </w:r>
    </w:p>
    <w:p w:rsidR="00F53D4C" w:rsidRPr="00BE1132" w:rsidRDefault="002F3F47">
      <w:pPr>
        <w:rPr>
          <w:rFonts w:eastAsia="SimHei"/>
          <w:szCs w:val="21"/>
          <w:lang w:val="fr-CH"/>
        </w:rPr>
      </w:pPr>
      <w:r w:rsidRPr="00BE1132">
        <w:rPr>
          <w:rFonts w:eastAsia="SimHei"/>
          <w:szCs w:val="21"/>
          <w:lang w:val="fr-CH"/>
        </w:rPr>
        <w:t>第</w:t>
      </w:r>
      <w:r w:rsidR="00CD1CAD" w:rsidRPr="00BE1132">
        <w:rPr>
          <w:rFonts w:eastAsia="SimHei"/>
          <w:szCs w:val="21"/>
          <w:lang w:val="en-GB"/>
        </w:rPr>
        <w:t>二十四</w:t>
      </w:r>
      <w:r w:rsidR="00F53D4C" w:rsidRPr="00BE1132">
        <w:rPr>
          <w:rFonts w:eastAsia="SimHei"/>
          <w:szCs w:val="21"/>
          <w:lang w:val="fr-CH"/>
        </w:rPr>
        <w:t>届会议</w:t>
      </w:r>
    </w:p>
    <w:p w:rsidR="00CD1CAD" w:rsidRPr="00BE1132" w:rsidRDefault="00CD1CAD" w:rsidP="0043661C">
      <w:pPr>
        <w:rPr>
          <w:szCs w:val="21"/>
          <w:lang w:val="fr-CH"/>
        </w:rPr>
      </w:pPr>
      <w:r w:rsidRPr="00BE1132">
        <w:rPr>
          <w:szCs w:val="21"/>
          <w:lang w:val="fr-CH"/>
        </w:rPr>
        <w:t>议程项目</w:t>
      </w:r>
      <w:r w:rsidRPr="00BE1132">
        <w:rPr>
          <w:szCs w:val="21"/>
          <w:lang w:val="fr-CH"/>
        </w:rPr>
        <w:t>3</w:t>
      </w:r>
    </w:p>
    <w:p w:rsidR="00CD1CAD" w:rsidRDefault="00CD1CAD" w:rsidP="0043661C">
      <w:pPr>
        <w:rPr>
          <w:rFonts w:eastAsia="SimHei" w:hint="eastAsia"/>
          <w:lang w:val="fr-CH"/>
        </w:rPr>
      </w:pPr>
      <w:r w:rsidRPr="00BE1132">
        <w:rPr>
          <w:rFonts w:eastAsia="SimHei"/>
          <w:lang w:val="fr-CH"/>
        </w:rPr>
        <w:t>增进和保护所有人权</w:t>
      </w:r>
      <w:r w:rsidR="0043661C" w:rsidRPr="00BE1132">
        <w:rPr>
          <w:rFonts w:eastAsia="SimHei"/>
          <w:spacing w:val="-50"/>
          <w:lang w:val="fr-CH"/>
        </w:rPr>
        <w:t>―</w:t>
      </w:r>
      <w:r w:rsidR="0043661C" w:rsidRPr="00BE1132">
        <w:rPr>
          <w:rFonts w:eastAsia="SimHei"/>
          <w:lang w:val="fr-CH"/>
        </w:rPr>
        <w:t>―</w:t>
      </w:r>
      <w:r w:rsidRPr="00BE1132">
        <w:rPr>
          <w:rFonts w:eastAsia="SimHei"/>
          <w:lang w:val="fr-CH"/>
        </w:rPr>
        <w:t>公民权利、政治权利、</w:t>
      </w:r>
      <w:r w:rsidRPr="00BE1132">
        <w:rPr>
          <w:rFonts w:eastAsia="SimHei"/>
          <w:lang w:val="fr-CH"/>
        </w:rPr>
        <w:br/>
      </w:r>
      <w:r w:rsidRPr="00BE1132">
        <w:rPr>
          <w:rFonts w:eastAsia="SimHei"/>
          <w:lang w:val="fr-CH"/>
        </w:rPr>
        <w:t>经济、社会和文化权利，包括发展权</w:t>
      </w:r>
    </w:p>
    <w:p w:rsidR="004E01B1" w:rsidRPr="00104BE7" w:rsidRDefault="004E01B1" w:rsidP="004E01B1">
      <w:pPr>
        <w:pStyle w:val="H1GC"/>
        <w:rPr>
          <w:rFonts w:hint="eastAsia"/>
          <w:spacing w:val="2"/>
        </w:rPr>
      </w:pPr>
      <w:r>
        <w:rPr>
          <w:rFonts w:hint="eastAsia"/>
        </w:rPr>
        <w:tab/>
      </w:r>
      <w:r>
        <w:rPr>
          <w:rFonts w:hint="eastAsia"/>
        </w:rPr>
        <w:tab/>
      </w:r>
      <w:r w:rsidRPr="001C4873">
        <w:rPr>
          <w:rFonts w:hint="eastAsia"/>
        </w:rPr>
        <w:t>人权理事会通过的决</w:t>
      </w:r>
      <w:r>
        <w:rPr>
          <w:rFonts w:hint="eastAsia"/>
        </w:rPr>
        <w:t>议</w:t>
      </w:r>
      <w:r w:rsidRPr="004E01B1">
        <w:rPr>
          <w:sz w:val="28"/>
          <w:szCs w:val="28"/>
        </w:rPr>
        <w:footnoteReference w:customMarkFollows="1" w:id="2"/>
        <w:sym w:font="Symbol" w:char="F02A"/>
      </w:r>
    </w:p>
    <w:p w:rsidR="00FA1F15" w:rsidRDefault="004E01B1" w:rsidP="00FA1F15">
      <w:pPr>
        <w:pStyle w:val="H1GC"/>
        <w:rPr>
          <w:rFonts w:hint="eastAsia"/>
        </w:rPr>
      </w:pPr>
      <w:r>
        <w:rPr>
          <w:rFonts w:hint="eastAsia"/>
          <w:lang w:val="en-GB"/>
        </w:rPr>
        <w:tab/>
      </w:r>
      <w:r>
        <w:rPr>
          <w:rFonts w:hint="eastAsia"/>
          <w:lang w:val="en-GB"/>
        </w:rPr>
        <w:tab/>
      </w:r>
      <w:r w:rsidRPr="00104BE7">
        <w:rPr>
          <w:lang w:val="en-GB"/>
        </w:rPr>
        <w:t>24</w:t>
      </w:r>
      <w:r>
        <w:rPr>
          <w:lang w:val="en-GB"/>
        </w:rPr>
        <w:t>/</w:t>
      </w:r>
      <w:r w:rsidR="007768D0">
        <w:rPr>
          <w:rFonts w:hint="eastAsia"/>
          <w:lang w:val="en-GB"/>
        </w:rPr>
        <w:t>6</w:t>
      </w:r>
      <w:r>
        <w:rPr>
          <w:rFonts w:hint="eastAsia"/>
          <w:lang w:val="en-GB"/>
        </w:rPr>
        <w:t>.</w:t>
      </w:r>
      <w:r>
        <w:rPr>
          <w:rFonts w:hint="eastAsia"/>
          <w:lang w:val="en-GB"/>
        </w:rPr>
        <w:br/>
      </w:r>
      <w:r w:rsidR="00FA1F15" w:rsidRPr="000A0176">
        <w:rPr>
          <w:rFonts w:hint="eastAsia"/>
        </w:rPr>
        <w:t>人人享有可达到的最高水准身心健康的权利</w:t>
      </w:r>
    </w:p>
    <w:p w:rsidR="00FA1F15" w:rsidRPr="00D76232" w:rsidRDefault="00FA1F15" w:rsidP="00FA1F15">
      <w:pPr>
        <w:pStyle w:val="SingleTxtGC"/>
        <w:ind w:firstLine="431"/>
        <w:rPr>
          <w:rFonts w:eastAsia="KaiTi_GB2312" w:hint="eastAsia"/>
        </w:rPr>
      </w:pPr>
      <w:r w:rsidRPr="00D76232">
        <w:rPr>
          <w:rFonts w:eastAsia="KaiTi_GB2312" w:hint="eastAsia"/>
        </w:rPr>
        <w:t>人权理事会</w:t>
      </w:r>
      <w:r>
        <w:rPr>
          <w:rFonts w:eastAsia="KaiTi_GB2312" w:hint="eastAsia"/>
        </w:rPr>
        <w:t>，</w:t>
      </w:r>
    </w:p>
    <w:p w:rsidR="00FA1F15" w:rsidRPr="0003466D" w:rsidRDefault="00FA1F15" w:rsidP="00FA1F15">
      <w:pPr>
        <w:pStyle w:val="SingleTxtGC"/>
        <w:ind w:firstLine="431"/>
        <w:rPr>
          <w:rFonts w:hint="eastAsia"/>
        </w:rPr>
      </w:pPr>
      <w:r w:rsidRPr="0003466D">
        <w:rPr>
          <w:rFonts w:eastAsia="KaiTi_GB2312" w:hint="eastAsia"/>
          <w:iCs/>
        </w:rPr>
        <w:t>重申</w:t>
      </w:r>
      <w:r w:rsidRPr="0003466D">
        <w:t>《世界人权宣言》</w:t>
      </w:r>
      <w:r>
        <w:rPr>
          <w:rFonts w:hint="eastAsia"/>
        </w:rPr>
        <w:t>，</w:t>
      </w:r>
      <w:r w:rsidRPr="0003466D">
        <w:rPr>
          <w:rFonts w:hint="eastAsia"/>
        </w:rPr>
        <w:t>回顾</w:t>
      </w:r>
      <w:r w:rsidRPr="0003466D">
        <w:t>《经济、社会、文化权利国际公约》</w:t>
      </w:r>
      <w:r w:rsidRPr="0003466D">
        <w:rPr>
          <w:rFonts w:hint="eastAsia"/>
        </w:rPr>
        <w:t>、</w:t>
      </w:r>
      <w:r w:rsidRPr="0003466D">
        <w:t>《消除一切形式种族歧视国际公约》、《消除对妇女一切形式歧视公约》</w:t>
      </w:r>
      <w:r w:rsidRPr="0003466D">
        <w:rPr>
          <w:rFonts w:hint="eastAsia"/>
        </w:rPr>
        <w:t>、</w:t>
      </w:r>
      <w:r w:rsidRPr="0003466D">
        <w:t>《儿童权利公约》</w:t>
      </w:r>
      <w:r w:rsidRPr="0003466D">
        <w:rPr>
          <w:rFonts w:hint="eastAsia"/>
        </w:rPr>
        <w:t>和</w:t>
      </w:r>
      <w:r w:rsidRPr="0003466D">
        <w:t>《残疾人权利公约》</w:t>
      </w:r>
      <w:r>
        <w:rPr>
          <w:rFonts w:hint="eastAsia"/>
        </w:rPr>
        <w:t>，</w:t>
      </w:r>
    </w:p>
    <w:p w:rsidR="00FA1F15" w:rsidRPr="0025435D" w:rsidRDefault="00FA1F15" w:rsidP="00FA1F15">
      <w:pPr>
        <w:pStyle w:val="SingleTxtGC"/>
        <w:ind w:firstLine="431"/>
        <w:rPr>
          <w:rFonts w:hint="eastAsia"/>
        </w:rPr>
      </w:pPr>
      <w:r w:rsidRPr="0003466D">
        <w:rPr>
          <w:rFonts w:eastAsia="KaiTi_GB2312" w:hint="eastAsia"/>
          <w:iCs/>
        </w:rPr>
        <w:t>回顾</w:t>
      </w:r>
      <w:r>
        <w:rPr>
          <w:rFonts w:hint="eastAsia"/>
        </w:rPr>
        <w:t>人权理事会</w:t>
      </w:r>
      <w:r>
        <w:rPr>
          <w:rFonts w:hint="eastAsia"/>
        </w:rPr>
        <w:t>2007</w:t>
      </w:r>
      <w:r>
        <w:rPr>
          <w:rFonts w:hint="eastAsia"/>
        </w:rPr>
        <w:t>年</w:t>
      </w:r>
      <w:r>
        <w:rPr>
          <w:rFonts w:hint="eastAsia"/>
        </w:rPr>
        <w:t>12</w:t>
      </w:r>
      <w:r>
        <w:rPr>
          <w:rFonts w:hint="eastAsia"/>
        </w:rPr>
        <w:t>月</w:t>
      </w:r>
      <w:r>
        <w:rPr>
          <w:rFonts w:hint="eastAsia"/>
        </w:rPr>
        <w:t>14</w:t>
      </w:r>
      <w:r>
        <w:rPr>
          <w:rFonts w:hint="eastAsia"/>
        </w:rPr>
        <w:t>日第</w:t>
      </w:r>
      <w:r>
        <w:rPr>
          <w:rFonts w:hint="eastAsia"/>
        </w:rPr>
        <w:t>6/29</w:t>
      </w:r>
      <w:r>
        <w:rPr>
          <w:rFonts w:hint="eastAsia"/>
        </w:rPr>
        <w:t>号决议和</w:t>
      </w:r>
      <w:r>
        <w:rPr>
          <w:rFonts w:hint="eastAsia"/>
        </w:rPr>
        <w:t>2010</w:t>
      </w:r>
      <w:r>
        <w:rPr>
          <w:rFonts w:hint="eastAsia"/>
        </w:rPr>
        <w:t>年</w:t>
      </w:r>
      <w:r>
        <w:rPr>
          <w:rFonts w:hint="eastAsia"/>
        </w:rPr>
        <w:t>9</w:t>
      </w:r>
      <w:r>
        <w:rPr>
          <w:rFonts w:hint="eastAsia"/>
        </w:rPr>
        <w:t>月</w:t>
      </w:r>
      <w:r>
        <w:rPr>
          <w:rFonts w:hint="eastAsia"/>
        </w:rPr>
        <w:t>30</w:t>
      </w:r>
      <w:r>
        <w:rPr>
          <w:rFonts w:hint="eastAsia"/>
        </w:rPr>
        <w:t>日第</w:t>
      </w:r>
      <w:r>
        <w:rPr>
          <w:rFonts w:hint="eastAsia"/>
        </w:rPr>
        <w:t>15/22</w:t>
      </w:r>
      <w:r>
        <w:rPr>
          <w:rFonts w:hint="eastAsia"/>
        </w:rPr>
        <w:t>号决议，以及人权委员会和理事会以往所有有关实现人人享有可达到的最高水准身心健康权利问题的决议，</w:t>
      </w:r>
    </w:p>
    <w:p w:rsidR="00FA1F15" w:rsidRPr="0025435D" w:rsidRDefault="00FA1F15" w:rsidP="00FA1F15">
      <w:pPr>
        <w:pStyle w:val="SingleTxtGC"/>
        <w:ind w:firstLine="431"/>
        <w:rPr>
          <w:rFonts w:hint="eastAsia"/>
        </w:rPr>
      </w:pPr>
      <w:r>
        <w:rPr>
          <w:rFonts w:eastAsia="KaiTi_GB2312" w:hint="eastAsia"/>
          <w:iCs/>
        </w:rPr>
        <w:t>确认</w:t>
      </w:r>
      <w:r>
        <w:t>各国需要与国际组织和民间社会</w:t>
      </w:r>
      <w:r>
        <w:rPr>
          <w:rFonts w:hint="eastAsia"/>
        </w:rPr>
        <w:t>、</w:t>
      </w:r>
      <w:r w:rsidRPr="00FB1E68">
        <w:t>包括非政府组织和私营部门合作</w:t>
      </w:r>
      <w:r>
        <w:t>，</w:t>
      </w:r>
      <w:r w:rsidRPr="00FB1E68">
        <w:t>在国家、区域和国</w:t>
      </w:r>
      <w:r>
        <w:t>际各级创造有利条件，确保人人都能充分和切实享有可达到的最高水准</w:t>
      </w:r>
      <w:r w:rsidRPr="00FB1E68">
        <w:t>身心健康的权利</w:t>
      </w:r>
      <w:r>
        <w:rPr>
          <w:rFonts w:hint="eastAsia"/>
        </w:rPr>
        <w:t>，</w:t>
      </w:r>
    </w:p>
    <w:p w:rsidR="00FA1F15" w:rsidRPr="0025435D" w:rsidRDefault="00FA1F15" w:rsidP="00FA1F15">
      <w:pPr>
        <w:pStyle w:val="SingleTxtGC"/>
        <w:ind w:firstLine="431"/>
        <w:rPr>
          <w:rFonts w:hint="eastAsia"/>
        </w:rPr>
      </w:pPr>
      <w:r w:rsidRPr="00D5291E">
        <w:rPr>
          <w:rFonts w:eastAsia="KaiTi_GB2312"/>
          <w:iCs/>
        </w:rPr>
        <w:t>回顾</w:t>
      </w:r>
      <w:r w:rsidRPr="00D5291E">
        <w:t>人权理事会</w:t>
      </w:r>
      <w:r w:rsidRPr="00D5291E">
        <w:t>2007</w:t>
      </w:r>
      <w:r w:rsidRPr="00D5291E">
        <w:t>年</w:t>
      </w:r>
      <w:r w:rsidRPr="00D5291E">
        <w:t>6</w:t>
      </w:r>
      <w:r w:rsidRPr="00D5291E">
        <w:t>月</w:t>
      </w:r>
      <w:r w:rsidRPr="00D5291E">
        <w:t>18</w:t>
      </w:r>
      <w:r w:rsidRPr="00D5291E">
        <w:t>日关于理事会体制建设的第</w:t>
      </w:r>
      <w:r w:rsidRPr="00D5291E">
        <w:t>5</w:t>
      </w:r>
      <w:r>
        <w:t>/</w:t>
      </w:r>
      <w:r w:rsidRPr="00D5291E">
        <w:t>1</w:t>
      </w:r>
      <w:r w:rsidRPr="00D5291E">
        <w:t>号决议和关于理事会特别程序任务负责人行为守则的第</w:t>
      </w:r>
      <w:r w:rsidRPr="00D5291E">
        <w:t>5</w:t>
      </w:r>
      <w:r>
        <w:t>/</w:t>
      </w:r>
      <w:r w:rsidRPr="00D5291E">
        <w:t>2</w:t>
      </w:r>
      <w:r w:rsidRPr="00D5291E">
        <w:t>号决议</w:t>
      </w:r>
      <w:r>
        <w:t>，</w:t>
      </w:r>
      <w:r w:rsidRPr="00D5291E">
        <w:t>强调任务负责人应根据</w:t>
      </w:r>
      <w:r>
        <w:rPr>
          <w:rFonts w:hint="eastAsia"/>
        </w:rPr>
        <w:t>这两项</w:t>
      </w:r>
      <w:r w:rsidRPr="00D5291E">
        <w:t>决议及其附件履行职责</w:t>
      </w:r>
      <w:r>
        <w:rPr>
          <w:rFonts w:hint="eastAsia"/>
        </w:rPr>
        <w:t>；</w:t>
      </w:r>
    </w:p>
    <w:p w:rsidR="00FA1F15" w:rsidRPr="0025435D" w:rsidRDefault="00FA1F15" w:rsidP="00FA1F15">
      <w:pPr>
        <w:pStyle w:val="SingleTxtGC"/>
        <w:rPr>
          <w:rFonts w:hint="eastAsia"/>
        </w:rPr>
      </w:pPr>
      <w:r>
        <w:br w:type="page"/>
      </w:r>
      <w:r>
        <w:rPr>
          <w:rFonts w:hint="eastAsia"/>
        </w:rPr>
        <w:tab/>
      </w:r>
      <w:r>
        <w:t>1.</w:t>
      </w:r>
      <w:r>
        <w:rPr>
          <w:rFonts w:hint="eastAsia"/>
        </w:rPr>
        <w:t xml:space="preserve">  </w:t>
      </w:r>
      <w:r w:rsidRPr="004528D1">
        <w:rPr>
          <w:rFonts w:eastAsia="KaiTi_GB2312" w:hint="eastAsia"/>
          <w:iCs/>
        </w:rPr>
        <w:t>赞赏地注意到</w:t>
      </w:r>
      <w:r w:rsidRPr="004528D1">
        <w:t>人人有权享有可达到的最高水准身心健康问题特别报告员</w:t>
      </w:r>
      <w:r>
        <w:rPr>
          <w:rFonts w:hint="eastAsia"/>
        </w:rPr>
        <w:t>的工作；</w:t>
      </w:r>
    </w:p>
    <w:p w:rsidR="00FA1F15" w:rsidRPr="0025435D" w:rsidRDefault="00FA1F15" w:rsidP="00FA1F15">
      <w:pPr>
        <w:pStyle w:val="SingleTxtGC"/>
        <w:rPr>
          <w:rFonts w:hint="eastAsia"/>
        </w:rPr>
      </w:pPr>
      <w:r>
        <w:rPr>
          <w:rFonts w:hint="eastAsia"/>
        </w:rPr>
        <w:tab/>
      </w:r>
      <w:r>
        <w:t>2.</w:t>
      </w:r>
      <w:r>
        <w:rPr>
          <w:rFonts w:hint="eastAsia"/>
        </w:rPr>
        <w:t xml:space="preserve">  </w:t>
      </w:r>
      <w:r w:rsidRPr="00996C88">
        <w:rPr>
          <w:rFonts w:eastAsia="KaiTi_GB2312" w:hint="eastAsia"/>
          <w:iCs/>
        </w:rPr>
        <w:t>决定</w:t>
      </w:r>
      <w:r w:rsidRPr="00996C88">
        <w:t>将</w:t>
      </w:r>
      <w:r>
        <w:rPr>
          <w:rFonts w:hint="eastAsia"/>
        </w:rPr>
        <w:t>人权理事会在</w:t>
      </w:r>
      <w:r w:rsidRPr="00996C88">
        <w:t>第</w:t>
      </w:r>
      <w:r w:rsidRPr="00996C88">
        <w:t>6</w:t>
      </w:r>
      <w:r>
        <w:t>/</w:t>
      </w:r>
      <w:r w:rsidRPr="00996C88">
        <w:t>29</w:t>
      </w:r>
      <w:r w:rsidRPr="00996C88">
        <w:t>号决议</w:t>
      </w:r>
      <w:r w:rsidRPr="00996C88">
        <w:rPr>
          <w:rFonts w:hint="eastAsia"/>
        </w:rPr>
        <w:t>第</w:t>
      </w:r>
      <w:r w:rsidRPr="00996C88">
        <w:rPr>
          <w:rFonts w:hint="eastAsia"/>
        </w:rPr>
        <w:t>1</w:t>
      </w:r>
      <w:r w:rsidRPr="00996C88">
        <w:rPr>
          <w:rFonts w:hint="eastAsia"/>
        </w:rPr>
        <w:t>段</w:t>
      </w:r>
      <w:r>
        <w:rPr>
          <w:rFonts w:hint="eastAsia"/>
        </w:rPr>
        <w:t>中</w:t>
      </w:r>
      <w:r w:rsidRPr="00996C88">
        <w:t>确定的人人有权享有</w:t>
      </w:r>
      <w:r w:rsidRPr="00996C88">
        <w:rPr>
          <w:rFonts w:hint="eastAsia"/>
        </w:rPr>
        <w:t>可</w:t>
      </w:r>
      <w:r w:rsidRPr="00996C88">
        <w:t>达到的最高</w:t>
      </w:r>
      <w:r w:rsidRPr="00996C88">
        <w:rPr>
          <w:rFonts w:hint="eastAsia"/>
        </w:rPr>
        <w:t>水准</w:t>
      </w:r>
      <w:r w:rsidRPr="00996C88">
        <w:t>身心健康问题特别报告员的任期再延长</w:t>
      </w:r>
      <w:r>
        <w:rPr>
          <w:rFonts w:hint="eastAsia"/>
        </w:rPr>
        <w:t>三</w:t>
      </w:r>
      <w:r w:rsidRPr="00996C88">
        <w:t>年</w:t>
      </w:r>
      <w:r>
        <w:rPr>
          <w:rFonts w:hint="eastAsia"/>
        </w:rPr>
        <w:t>；</w:t>
      </w:r>
    </w:p>
    <w:p w:rsidR="00FA1F15" w:rsidRPr="0025435D" w:rsidRDefault="00FA1F15" w:rsidP="00FA1F15">
      <w:pPr>
        <w:pStyle w:val="SingleTxtGC"/>
        <w:rPr>
          <w:rFonts w:hint="eastAsia"/>
        </w:rPr>
      </w:pPr>
      <w:r>
        <w:rPr>
          <w:rFonts w:hint="eastAsia"/>
        </w:rPr>
        <w:tab/>
      </w:r>
      <w:r>
        <w:t>3.</w:t>
      </w:r>
      <w:r>
        <w:rPr>
          <w:rFonts w:hint="eastAsia"/>
        </w:rPr>
        <w:t xml:space="preserve">  </w:t>
      </w:r>
      <w:r w:rsidRPr="007C34C4">
        <w:rPr>
          <w:rFonts w:eastAsia="KaiTi_GB2312" w:hint="eastAsia"/>
          <w:iCs/>
        </w:rPr>
        <w:t>请</w:t>
      </w:r>
      <w:r>
        <w:rPr>
          <w:rFonts w:hint="eastAsia"/>
        </w:rPr>
        <w:t>所有国家政府在特别报告员履行规定的任务和职责时与之充分合作，并适当考虑任务负责人提出的各项建议；</w:t>
      </w:r>
    </w:p>
    <w:p w:rsidR="00FA1F15" w:rsidRPr="0025435D" w:rsidRDefault="00FA1F15" w:rsidP="00FA1F15">
      <w:pPr>
        <w:pStyle w:val="SingleTxtGC"/>
        <w:rPr>
          <w:rFonts w:hint="eastAsia"/>
        </w:rPr>
      </w:pPr>
      <w:r>
        <w:rPr>
          <w:rFonts w:hint="eastAsia"/>
        </w:rPr>
        <w:tab/>
      </w:r>
      <w:r>
        <w:t>4.</w:t>
      </w:r>
      <w:r>
        <w:rPr>
          <w:rFonts w:hint="eastAsia"/>
        </w:rPr>
        <w:t xml:space="preserve">  </w:t>
      </w:r>
      <w:r w:rsidRPr="007C34C4">
        <w:rPr>
          <w:rFonts w:eastAsia="KaiTi_GB2312" w:hint="eastAsia"/>
        </w:rPr>
        <w:t>鼓励</w:t>
      </w:r>
      <w:r>
        <w:rPr>
          <w:rFonts w:hint="eastAsia"/>
        </w:rPr>
        <w:t>所有国家政府认真考虑答应特别报告员提出的访问本国的请求，使任务负责人能够切实履行任务；</w:t>
      </w:r>
    </w:p>
    <w:p w:rsidR="00FA1F15" w:rsidRPr="0025435D" w:rsidRDefault="00FA1F15" w:rsidP="00FA1F15">
      <w:pPr>
        <w:pStyle w:val="SingleTxtGC"/>
        <w:rPr>
          <w:rFonts w:hint="eastAsia"/>
        </w:rPr>
      </w:pPr>
      <w:r>
        <w:rPr>
          <w:rFonts w:hint="eastAsia"/>
        </w:rPr>
        <w:tab/>
      </w:r>
      <w:r>
        <w:t>5.</w:t>
      </w:r>
      <w:r>
        <w:rPr>
          <w:rFonts w:hint="eastAsia"/>
        </w:rPr>
        <w:t xml:space="preserve">  </w:t>
      </w:r>
      <w:r w:rsidRPr="007C34C4">
        <w:rPr>
          <w:rFonts w:eastAsia="KaiTi_GB2312" w:hint="eastAsia"/>
        </w:rPr>
        <w:t>请</w:t>
      </w:r>
      <w:r>
        <w:rPr>
          <w:rFonts w:hint="eastAsia"/>
        </w:rPr>
        <w:t>联合国人权事务高级专员继续为特别报告员切实履行任务提供一切必要资源；</w:t>
      </w:r>
    </w:p>
    <w:p w:rsidR="00FA1F15" w:rsidRPr="0025435D" w:rsidRDefault="00FA1F15" w:rsidP="00FA1F15">
      <w:pPr>
        <w:pStyle w:val="SingleTxtGC"/>
        <w:rPr>
          <w:rFonts w:hint="eastAsia"/>
        </w:rPr>
      </w:pPr>
      <w:r>
        <w:rPr>
          <w:rFonts w:hint="eastAsia"/>
        </w:rPr>
        <w:tab/>
      </w:r>
      <w:r>
        <w:t>6.</w:t>
      </w:r>
      <w:r>
        <w:rPr>
          <w:rFonts w:hint="eastAsia"/>
        </w:rPr>
        <w:t xml:space="preserve">  </w:t>
      </w:r>
      <w:r w:rsidRPr="00E1717D">
        <w:rPr>
          <w:rFonts w:eastAsia="KaiTi_GB2312" w:hint="eastAsia"/>
        </w:rPr>
        <w:t>请</w:t>
      </w:r>
      <w:r>
        <w:rPr>
          <w:rFonts w:hint="eastAsia"/>
        </w:rPr>
        <w:t>特别报告员向人权理事会和大会提交一份年度报告，</w:t>
      </w:r>
      <w:r w:rsidRPr="00E1717D">
        <w:t>说明</w:t>
      </w:r>
      <w:r>
        <w:rPr>
          <w:rFonts w:hint="eastAsia"/>
        </w:rPr>
        <w:t>与</w:t>
      </w:r>
      <w:r w:rsidRPr="00E1717D">
        <w:t>其任务</w:t>
      </w:r>
      <w:r>
        <w:rPr>
          <w:rFonts w:hint="eastAsia"/>
        </w:rPr>
        <w:t>有关</w:t>
      </w:r>
      <w:r w:rsidRPr="00E1717D">
        <w:t>的所有活动</w:t>
      </w:r>
      <w:r>
        <w:t>，</w:t>
      </w:r>
      <w:r w:rsidRPr="00E1717D">
        <w:t>以便最大限度地发挥报告进程的益处</w:t>
      </w:r>
      <w:r>
        <w:t>；</w:t>
      </w:r>
    </w:p>
    <w:p w:rsidR="00FA1F15" w:rsidRPr="00D76232" w:rsidRDefault="00FA1F15" w:rsidP="00FA1F15">
      <w:pPr>
        <w:pStyle w:val="SingleTxtGC"/>
        <w:spacing w:after="240"/>
        <w:rPr>
          <w:rFonts w:hint="eastAsia"/>
        </w:rPr>
      </w:pPr>
      <w:r>
        <w:rPr>
          <w:rFonts w:hint="eastAsia"/>
        </w:rPr>
        <w:tab/>
      </w:r>
      <w:r>
        <w:t>7.</w:t>
      </w:r>
      <w:r>
        <w:rPr>
          <w:rFonts w:hint="eastAsia"/>
        </w:rPr>
        <w:t xml:space="preserve">  </w:t>
      </w:r>
      <w:r w:rsidRPr="00E1717D">
        <w:rPr>
          <w:rFonts w:eastAsia="KaiTi_GB2312" w:hint="eastAsia"/>
        </w:rPr>
        <w:t>决定</w:t>
      </w:r>
      <w:r w:rsidRPr="00E1717D">
        <w:rPr>
          <w:rFonts w:hint="eastAsia"/>
        </w:rPr>
        <w:t>根据理事会</w:t>
      </w:r>
      <w:r>
        <w:rPr>
          <w:rFonts w:hint="eastAsia"/>
        </w:rPr>
        <w:t>工作方案在同一议程项目下继续审议此事。</w:t>
      </w:r>
    </w:p>
    <w:p w:rsidR="00FA1F15" w:rsidRPr="00E62F5C" w:rsidRDefault="00FA1F15" w:rsidP="00FA1F15">
      <w:pPr>
        <w:pStyle w:val="SingleTxtGC"/>
        <w:spacing w:after="0"/>
        <w:jc w:val="right"/>
        <w:rPr>
          <w:rFonts w:hint="eastAsia"/>
          <w:lang w:val="fr-FR"/>
        </w:rPr>
      </w:pPr>
      <w:r>
        <w:rPr>
          <w:rFonts w:eastAsia="KaiTi_GB2312" w:hint="eastAsia"/>
        </w:rPr>
        <w:t>2</w:t>
      </w:r>
      <w:r w:rsidRPr="00331E83">
        <w:rPr>
          <w:rFonts w:eastAsia="KaiTi_GB2312" w:hint="eastAsia"/>
        </w:rPr>
        <w:t>01</w:t>
      </w:r>
      <w:r>
        <w:rPr>
          <w:rFonts w:eastAsia="KaiTi_GB2312" w:hint="eastAsia"/>
        </w:rPr>
        <w:t>3</w:t>
      </w:r>
      <w:r w:rsidRPr="00331E83">
        <w:rPr>
          <w:rFonts w:eastAsia="KaiTi_GB2312" w:hint="eastAsia"/>
        </w:rPr>
        <w:t>年</w:t>
      </w:r>
      <w:r>
        <w:rPr>
          <w:rFonts w:eastAsia="KaiTi_GB2312" w:hint="eastAsia"/>
        </w:rPr>
        <w:t>9</w:t>
      </w:r>
      <w:r w:rsidRPr="00331E83">
        <w:rPr>
          <w:rFonts w:eastAsia="KaiTi_GB2312" w:hint="eastAsia"/>
        </w:rPr>
        <w:t>月</w:t>
      </w:r>
      <w:r>
        <w:rPr>
          <w:rFonts w:eastAsia="KaiTi_GB2312" w:hint="eastAsia"/>
        </w:rPr>
        <w:t>26</w:t>
      </w:r>
      <w:r w:rsidRPr="00331E83">
        <w:rPr>
          <w:rFonts w:eastAsia="KaiTi_GB2312" w:hint="eastAsia"/>
        </w:rPr>
        <w:t>日</w:t>
      </w:r>
    </w:p>
    <w:p w:rsidR="00FA1F15" w:rsidRDefault="00FA1F15" w:rsidP="00FA1F15">
      <w:pPr>
        <w:pStyle w:val="SingleTxtGC"/>
        <w:jc w:val="right"/>
        <w:rPr>
          <w:rFonts w:eastAsia="KaiTi_GB2312" w:hint="eastAsia"/>
        </w:rPr>
      </w:pPr>
      <w:r w:rsidRPr="00331E83">
        <w:rPr>
          <w:rFonts w:eastAsia="KaiTi_GB2312" w:hint="eastAsia"/>
        </w:rPr>
        <w:t>第</w:t>
      </w:r>
      <w:r>
        <w:rPr>
          <w:rFonts w:eastAsia="KaiTi_GB2312" w:hint="eastAsia"/>
        </w:rPr>
        <w:t>34</w:t>
      </w:r>
      <w:r w:rsidRPr="00331E83">
        <w:rPr>
          <w:rFonts w:eastAsia="KaiTi_GB2312" w:hint="eastAsia"/>
        </w:rPr>
        <w:t>次会议</w:t>
      </w:r>
    </w:p>
    <w:p w:rsidR="00FA1F15" w:rsidRDefault="00FA1F15" w:rsidP="00FA1F15">
      <w:pPr>
        <w:pStyle w:val="SingleTxtGC"/>
        <w:rPr>
          <w:rFonts w:hint="eastAsia"/>
        </w:rPr>
      </w:pPr>
      <w:r w:rsidRPr="007C5D9D">
        <w:rPr>
          <w:rFonts w:hint="eastAsia"/>
        </w:rPr>
        <w:t>[</w:t>
      </w:r>
      <w:r w:rsidRPr="007C5D9D">
        <w:rPr>
          <w:rFonts w:hint="eastAsia"/>
        </w:rPr>
        <w:t>未经表决获得通过。</w:t>
      </w:r>
      <w:r w:rsidRPr="007C5D9D">
        <w:rPr>
          <w:rFonts w:hint="eastAsia"/>
        </w:rPr>
        <w:t>]</w:t>
      </w:r>
    </w:p>
    <w:p w:rsidR="00FA1F15" w:rsidRPr="00B427A2" w:rsidRDefault="00FA1F15" w:rsidP="00FA1F15">
      <w:pPr>
        <w:pStyle w:val="SingleTxtGC"/>
        <w:rPr>
          <w:rFonts w:eastAsia="KaiTi_GB2312" w:hint="eastAsia"/>
        </w:rPr>
      </w:pPr>
    </w:p>
    <w:p w:rsidR="00FA1F15" w:rsidRPr="002D6A9C" w:rsidRDefault="00FA1F15" w:rsidP="00FA1F1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4E01B1" w:rsidRPr="00BE1132" w:rsidRDefault="004E01B1" w:rsidP="0043661C">
      <w:pPr>
        <w:rPr>
          <w:rFonts w:eastAsia="SimHei" w:hint="eastAsia"/>
          <w:lang w:val="fr-CH"/>
        </w:rPr>
      </w:pPr>
    </w:p>
    <w:sectPr w:rsidR="004E01B1" w:rsidRPr="00BE1132">
      <w:headerReference w:type="even" r:id="rId8"/>
      <w:headerReference w:type="default" r:id="rId9"/>
      <w:footerReference w:type="even" r:id="rId10"/>
      <w:footerReference w:type="default" r:id="rId11"/>
      <w:footerReference w:type="first" r:id="rId12"/>
      <w:footnotePr>
        <w:numFmt w:val="chicago"/>
      </w:footnotePr>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9D8" w:rsidRPr="00E0554F" w:rsidRDefault="008759D8" w:rsidP="00E0554F">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8759D8" w:rsidRPr="00E0554F" w:rsidRDefault="008759D8" w:rsidP="00E0554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D2" w:rsidRPr="00BE1132" w:rsidRDefault="000955D2" w:rsidP="00637441">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650D66">
      <w:rPr>
        <w:rStyle w:val="PageNumber"/>
        <w:noProof/>
      </w:rPr>
      <w:t>2</w:t>
    </w:r>
    <w:r>
      <w:rPr>
        <w:rStyle w:val="PageNumber"/>
      </w:rPr>
      <w:fldChar w:fldCharType="end"/>
    </w:r>
    <w:r>
      <w:rPr>
        <w:rStyle w:val="PageNumber"/>
        <w:rFonts w:eastAsia="SimSun" w:hint="eastAsia"/>
        <w:lang w:eastAsia="zh-CN"/>
      </w:rPr>
      <w:tab/>
    </w:r>
    <w:r w:rsidRPr="00BE1132">
      <w:rPr>
        <w:rFonts w:eastAsia="SimSun"/>
        <w:lang w:eastAsia="zh-CN"/>
      </w:rPr>
      <w:t>GE.13-178</w:t>
    </w:r>
    <w:r>
      <w:rPr>
        <w:rFonts w:eastAsia="SimSun" w:hint="eastAsia"/>
        <w:lang w:eastAsia="zh-CN"/>
      </w:rPr>
      <w:t>39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D2" w:rsidRDefault="000955D2">
    <w:pPr>
      <w:pStyle w:val="Footer"/>
      <w:tabs>
        <w:tab w:val="right" w:pos="9639"/>
      </w:tabs>
    </w:pPr>
    <w:r w:rsidRPr="00BE1132">
      <w:rPr>
        <w:rFonts w:eastAsia="SimSun"/>
        <w:lang w:eastAsia="zh-CN"/>
      </w:rPr>
      <w:t>GE.13-17811</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D2" w:rsidRPr="00690C33" w:rsidRDefault="000955D2" w:rsidP="00690C33">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17839</w:t>
    </w:r>
    <w:r w:rsidRPr="00EE277A">
      <w:rPr>
        <w:rFonts w:eastAsia="SimSun"/>
        <w:sz w:val="20"/>
        <w:lang w:eastAsia="zh-CN"/>
      </w:rPr>
      <w:t>(C)</w:t>
    </w:r>
    <w:r>
      <w:rPr>
        <w:rFonts w:eastAsia="SimSun"/>
        <w:sz w:val="20"/>
        <w:lang w:eastAsia="zh-CN"/>
      </w:rPr>
      <w:tab/>
    </w:r>
    <w:r>
      <w:rPr>
        <w:rFonts w:eastAsia="SimSun" w:hint="eastAsia"/>
        <w:sz w:val="20"/>
        <w:lang w:eastAsia="zh-CN"/>
      </w:rPr>
      <w:t>141013</w:t>
    </w:r>
    <w:r>
      <w:rPr>
        <w:rFonts w:eastAsia="SimSun" w:hint="eastAsia"/>
        <w:b/>
        <w:sz w:val="21"/>
        <w:lang w:eastAsia="zh-CN"/>
      </w:rPr>
      <w:tab/>
    </w:r>
    <w:r w:rsidRPr="00BE1132">
      <w:rPr>
        <w:rFonts w:eastAsia="SimSun" w:hint="eastAsia"/>
        <w:sz w:val="21"/>
        <w:lang w:eastAsia="zh-CN"/>
      </w:rPr>
      <w:t>141013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9D8" w:rsidRPr="000157B1" w:rsidRDefault="008759D8" w:rsidP="000157B1">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8759D8" w:rsidRPr="000157B1" w:rsidRDefault="008759D8" w:rsidP="000157B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Notice" w:id="1">
    <w:p w:rsidR="008759D8" w:rsidRDefault="008759D8"/>
  </w:footnote>
  <w:footnote w:id="2">
    <w:p w:rsidR="000955D2" w:rsidRDefault="000955D2" w:rsidP="004E01B1">
      <w:pPr>
        <w:pStyle w:val="FootnoteText"/>
        <w:rPr>
          <w:rFonts w:hint="eastAsia"/>
        </w:rPr>
      </w:pPr>
      <w:r>
        <w:rPr>
          <w:rFonts w:hint="eastAsia"/>
        </w:rPr>
        <w:tab/>
      </w:r>
      <w:r w:rsidRPr="004E01B1">
        <w:rPr>
          <w:rStyle w:val="FootnoteReference"/>
          <w:vertAlign w:val="baseline"/>
        </w:rPr>
        <w:sym w:font="Symbol" w:char="F02A"/>
      </w:r>
      <w:r>
        <w:rPr>
          <w:rFonts w:hint="eastAsia"/>
        </w:rPr>
        <w:tab/>
      </w:r>
      <w:r>
        <w:t>人权理事会通过的决议和决定将载于理事会第</w:t>
      </w:r>
      <w:r>
        <w:rPr>
          <w:rFonts w:hint="eastAsia"/>
        </w:rPr>
        <w:t>二十四</w:t>
      </w:r>
      <w:r>
        <w:t>届会议报告</w:t>
      </w:r>
      <w:r>
        <w:t>(A/HRC/</w:t>
      </w:r>
      <w:r>
        <w:rPr>
          <w:rFonts w:hint="eastAsia"/>
        </w:rPr>
        <w:t>24</w:t>
      </w:r>
      <w:r>
        <w:t>/2)</w:t>
      </w:r>
      <w:r>
        <w:t>，第一</w:t>
      </w:r>
      <w:r>
        <w:rPr>
          <w:rFonts w:hint="eastAsia"/>
        </w:rPr>
        <w:t>部分</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D2" w:rsidRPr="00FA1F15" w:rsidRDefault="000955D2">
    <w:pPr>
      <w:pStyle w:val="Header"/>
      <w:rPr>
        <w:rFonts w:hint="eastAsia"/>
        <w:lang w:eastAsia="zh-CN"/>
      </w:rPr>
    </w:pPr>
    <w:r w:rsidRPr="00FA1F15">
      <w:t>A/HRC/RES/24/6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D2" w:rsidRPr="00BE1132" w:rsidRDefault="000955D2">
    <w:pPr>
      <w:pStyle w:val="Header"/>
      <w:jc w:val="right"/>
      <w:rPr>
        <w:rFonts w:hint="eastAsia"/>
        <w:lang w:eastAsia="zh-CN"/>
      </w:rPr>
    </w:pPr>
    <w:r w:rsidRPr="00BE1132">
      <w:rPr>
        <w:lang w:eastAsia="zh-CN"/>
      </w:rPr>
      <w:t>A/HRC/RES/24/2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1D0B65"/>
    <w:multiLevelType w:val="hybridMultilevel"/>
    <w:tmpl w:val="778225FE"/>
    <w:lvl w:ilvl="0" w:tplc="067ABE1A">
      <w:start w:val="1"/>
      <w:numFmt w:val="chineseCountingThousand"/>
      <w:lvlRestart w:val="0"/>
      <w:lvlText w:val="(%1)"/>
      <w:lvlJc w:val="right"/>
      <w:pPr>
        <w:tabs>
          <w:tab w:val="num" w:pos="2007"/>
        </w:tabs>
        <w:ind w:left="1145" w:firstLine="64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15A0E63"/>
    <w:multiLevelType w:val="hybridMultilevel"/>
    <w:tmpl w:val="2C40160C"/>
    <w:lvl w:ilvl="0" w:tplc="C14CFACE">
      <w:start w:val="1"/>
      <w:numFmt w:val="decimal"/>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D0C096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1F400C0C"/>
    <w:multiLevelType w:val="hybridMultilevel"/>
    <w:tmpl w:val="FA9488E8"/>
    <w:lvl w:ilvl="0" w:tplc="4ABCA058">
      <w:start w:val="1"/>
      <w:numFmt w:val="chineseCountingThousand"/>
      <w:lvlRestart w:val="0"/>
      <w:lvlText w:val="(%1)"/>
      <w:lvlJc w:val="right"/>
      <w:pPr>
        <w:tabs>
          <w:tab w:val="num" w:pos="2007"/>
        </w:tabs>
        <w:ind w:left="2007"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FA7128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8">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01421BE"/>
    <w:multiLevelType w:val="hybridMultilevel"/>
    <w:tmpl w:val="79B0CC38"/>
    <w:lvl w:ilvl="0" w:tplc="C14CFACE">
      <w:start w:val="1"/>
      <w:numFmt w:val="decimal"/>
      <w:lvlRestart w:val="0"/>
      <w:lvlText w:val="(%1)"/>
      <w:lvlJc w:val="right"/>
      <w:pPr>
        <w:tabs>
          <w:tab w:val="num" w:pos="1622"/>
        </w:tabs>
        <w:ind w:left="1622" w:hanging="205"/>
      </w:p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1">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B3649D1"/>
    <w:multiLevelType w:val="hybridMultilevel"/>
    <w:tmpl w:val="3E4C66B8"/>
    <w:lvl w:ilvl="0" w:tplc="4ABCA058">
      <w:start w:val="1"/>
      <w:numFmt w:val="chineseCountingThousand"/>
      <w:lvlRestart w:val="0"/>
      <w:lvlText w:val="(%1)"/>
      <w:lvlJc w:val="right"/>
      <w:pPr>
        <w:tabs>
          <w:tab w:val="num" w:pos="1996"/>
        </w:tabs>
        <w:ind w:left="1996"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88319C6"/>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6">
    <w:nsid w:val="64F97169"/>
    <w:multiLevelType w:val="hybridMultilevel"/>
    <w:tmpl w:val="FCB43584"/>
    <w:lvl w:ilvl="0" w:tplc="4ABCA058">
      <w:start w:val="1"/>
      <w:numFmt w:val="chineseCountingThousand"/>
      <w:lvlRestart w:val="0"/>
      <w:lvlText w:val="(%1)"/>
      <w:lvlJc w:val="right"/>
      <w:pPr>
        <w:tabs>
          <w:tab w:val="num" w:pos="1633"/>
        </w:tabs>
        <w:ind w:left="1633" w:hanging="216"/>
      </w:pPr>
      <w:rPr>
        <w:rFonts w:ascii="Times New Roman" w:hAnsi="Times New Roman" w:cs="Times New Roman"/>
        <w:sz w:val="18"/>
      </w:r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7"/>
  </w:num>
  <w:num w:numId="13">
    <w:abstractNumId w:val="24"/>
  </w:num>
  <w:num w:numId="14">
    <w:abstractNumId w:val="13"/>
  </w:num>
  <w:num w:numId="15">
    <w:abstractNumId w:val="14"/>
  </w:num>
  <w:num w:numId="16">
    <w:abstractNumId w:val="27"/>
  </w:num>
  <w:num w:numId="17">
    <w:abstractNumId w:val="13"/>
  </w:num>
  <w:num w:numId="18">
    <w:abstractNumId w:val="27"/>
  </w:num>
  <w:num w:numId="19">
    <w:abstractNumId w:val="14"/>
  </w:num>
  <w:num w:numId="20">
    <w:abstractNumId w:val="14"/>
  </w:num>
  <w:num w:numId="21">
    <w:abstractNumId w:val="19"/>
  </w:num>
  <w:num w:numId="22">
    <w:abstractNumId w:val="12"/>
  </w:num>
  <w:num w:numId="23">
    <w:abstractNumId w:val="23"/>
  </w:num>
  <w:num w:numId="24">
    <w:abstractNumId w:val="25"/>
  </w:num>
  <w:num w:numId="25">
    <w:abstractNumId w:val="21"/>
  </w:num>
  <w:num w:numId="26">
    <w:abstractNumId w:val="18"/>
  </w:num>
  <w:num w:numId="27">
    <w:abstractNumId w:val="28"/>
  </w:num>
  <w:num w:numId="28">
    <w:abstractNumId w:val="25"/>
  </w:num>
  <w:num w:numId="29">
    <w:abstractNumId w:val="21"/>
  </w:num>
  <w:num w:numId="30">
    <w:abstractNumId w:val="18"/>
  </w:num>
  <w:num w:numId="31">
    <w:abstractNumId w:val="23"/>
  </w:num>
  <w:num w:numId="32">
    <w:abstractNumId w:val="12"/>
  </w:num>
  <w:num w:numId="33">
    <w:abstractNumId w:val="19"/>
  </w:num>
  <w:num w:numId="34">
    <w:abstractNumId w:val="28"/>
  </w:num>
  <w:num w:numId="35">
    <w:abstractNumId w:val="26"/>
  </w:num>
  <w:num w:numId="36">
    <w:abstractNumId w:val="22"/>
  </w:num>
  <w:num w:numId="37">
    <w:abstractNumId w:val="16"/>
  </w:num>
  <w:num w:numId="38">
    <w:abstractNumId w:val="10"/>
  </w:num>
  <w:num w:numId="39">
    <w:abstractNumId w:val="20"/>
  </w:num>
  <w:num w:numId="40">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numFmt w:val="chicago"/>
    <w:footnote w:id="-1"/>
    <w:footnote w:id="0"/>
    <w:footnote w:id="1"/>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2E60"/>
    <w:rsid w:val="0000411A"/>
    <w:rsid w:val="00005A89"/>
    <w:rsid w:val="00007BCF"/>
    <w:rsid w:val="000102CC"/>
    <w:rsid w:val="000157B1"/>
    <w:rsid w:val="00050226"/>
    <w:rsid w:val="0005102E"/>
    <w:rsid w:val="000637CE"/>
    <w:rsid w:val="00082E10"/>
    <w:rsid w:val="000955D2"/>
    <w:rsid w:val="000A03EB"/>
    <w:rsid w:val="000A7C04"/>
    <w:rsid w:val="000C416A"/>
    <w:rsid w:val="000C4908"/>
    <w:rsid w:val="000D1E21"/>
    <w:rsid w:val="000D39E1"/>
    <w:rsid w:val="000F5937"/>
    <w:rsid w:val="00107C15"/>
    <w:rsid w:val="00125776"/>
    <w:rsid w:val="00127C05"/>
    <w:rsid w:val="00132E28"/>
    <w:rsid w:val="00140B6A"/>
    <w:rsid w:val="00145946"/>
    <w:rsid w:val="00145C92"/>
    <w:rsid w:val="001613CE"/>
    <w:rsid w:val="00165F4E"/>
    <w:rsid w:val="001A23E8"/>
    <w:rsid w:val="001A5624"/>
    <w:rsid w:val="001B11DB"/>
    <w:rsid w:val="001C3E9A"/>
    <w:rsid w:val="002074A6"/>
    <w:rsid w:val="0024012F"/>
    <w:rsid w:val="002629D4"/>
    <w:rsid w:val="00280515"/>
    <w:rsid w:val="00286515"/>
    <w:rsid w:val="002C3BA8"/>
    <w:rsid w:val="002D31D6"/>
    <w:rsid w:val="002D3FCB"/>
    <w:rsid w:val="002E68BE"/>
    <w:rsid w:val="002F3F47"/>
    <w:rsid w:val="002F6678"/>
    <w:rsid w:val="00315796"/>
    <w:rsid w:val="00322B61"/>
    <w:rsid w:val="00322F28"/>
    <w:rsid w:val="003734E0"/>
    <w:rsid w:val="00382B00"/>
    <w:rsid w:val="003836F1"/>
    <w:rsid w:val="00385C14"/>
    <w:rsid w:val="003B038F"/>
    <w:rsid w:val="003C27FE"/>
    <w:rsid w:val="003D2F08"/>
    <w:rsid w:val="003D3EC9"/>
    <w:rsid w:val="003F65D6"/>
    <w:rsid w:val="003F7BF8"/>
    <w:rsid w:val="00400A2E"/>
    <w:rsid w:val="00400C67"/>
    <w:rsid w:val="00407FCF"/>
    <w:rsid w:val="004127B9"/>
    <w:rsid w:val="004265B1"/>
    <w:rsid w:val="0043661C"/>
    <w:rsid w:val="0044178A"/>
    <w:rsid w:val="00453A81"/>
    <w:rsid w:val="00467D72"/>
    <w:rsid w:val="004746B9"/>
    <w:rsid w:val="004755EF"/>
    <w:rsid w:val="004858FB"/>
    <w:rsid w:val="00486766"/>
    <w:rsid w:val="00497F5C"/>
    <w:rsid w:val="004A4843"/>
    <w:rsid w:val="004A5604"/>
    <w:rsid w:val="004B580B"/>
    <w:rsid w:val="004C5291"/>
    <w:rsid w:val="004D1280"/>
    <w:rsid w:val="004D7F04"/>
    <w:rsid w:val="004E01B1"/>
    <w:rsid w:val="004E6C67"/>
    <w:rsid w:val="004F542B"/>
    <w:rsid w:val="00500866"/>
    <w:rsid w:val="00535843"/>
    <w:rsid w:val="00571343"/>
    <w:rsid w:val="00582C70"/>
    <w:rsid w:val="005906E6"/>
    <w:rsid w:val="005A5B0A"/>
    <w:rsid w:val="005B0D8A"/>
    <w:rsid w:val="005D2AB9"/>
    <w:rsid w:val="005E62FE"/>
    <w:rsid w:val="005F34AF"/>
    <w:rsid w:val="005F4B29"/>
    <w:rsid w:val="00613337"/>
    <w:rsid w:val="00630755"/>
    <w:rsid w:val="00637441"/>
    <w:rsid w:val="00637834"/>
    <w:rsid w:val="00647FD7"/>
    <w:rsid w:val="00650D66"/>
    <w:rsid w:val="00654172"/>
    <w:rsid w:val="00670C28"/>
    <w:rsid w:val="0067129C"/>
    <w:rsid w:val="0068612C"/>
    <w:rsid w:val="00690C33"/>
    <w:rsid w:val="00697A6C"/>
    <w:rsid w:val="006B1273"/>
    <w:rsid w:val="006B3300"/>
    <w:rsid w:val="006B3471"/>
    <w:rsid w:val="006D002F"/>
    <w:rsid w:val="006E0708"/>
    <w:rsid w:val="006E3CD4"/>
    <w:rsid w:val="006E7DF9"/>
    <w:rsid w:val="006E7E21"/>
    <w:rsid w:val="007131E3"/>
    <w:rsid w:val="00717C19"/>
    <w:rsid w:val="007418FE"/>
    <w:rsid w:val="00751C2E"/>
    <w:rsid w:val="007522B5"/>
    <w:rsid w:val="00752E60"/>
    <w:rsid w:val="00757807"/>
    <w:rsid w:val="007768D0"/>
    <w:rsid w:val="00781A1A"/>
    <w:rsid w:val="00782FA9"/>
    <w:rsid w:val="00785BE9"/>
    <w:rsid w:val="00786BD2"/>
    <w:rsid w:val="0079116A"/>
    <w:rsid w:val="00796BD3"/>
    <w:rsid w:val="007C0B4E"/>
    <w:rsid w:val="007D00F8"/>
    <w:rsid w:val="007D0842"/>
    <w:rsid w:val="007D7229"/>
    <w:rsid w:val="007E7822"/>
    <w:rsid w:val="007F501B"/>
    <w:rsid w:val="00801DCC"/>
    <w:rsid w:val="0082049D"/>
    <w:rsid w:val="00824A57"/>
    <w:rsid w:val="0083180F"/>
    <w:rsid w:val="00851B64"/>
    <w:rsid w:val="008759D8"/>
    <w:rsid w:val="00885DC7"/>
    <w:rsid w:val="00890356"/>
    <w:rsid w:val="00894207"/>
    <w:rsid w:val="008A6AB8"/>
    <w:rsid w:val="008C38AF"/>
    <w:rsid w:val="008F7472"/>
    <w:rsid w:val="0090065A"/>
    <w:rsid w:val="009006FB"/>
    <w:rsid w:val="00927B5D"/>
    <w:rsid w:val="00932233"/>
    <w:rsid w:val="00937176"/>
    <w:rsid w:val="00964622"/>
    <w:rsid w:val="0096567D"/>
    <w:rsid w:val="00986BA7"/>
    <w:rsid w:val="00992934"/>
    <w:rsid w:val="009B1BD6"/>
    <w:rsid w:val="009D60E5"/>
    <w:rsid w:val="009F6C52"/>
    <w:rsid w:val="009F7338"/>
    <w:rsid w:val="00A067AD"/>
    <w:rsid w:val="00A26748"/>
    <w:rsid w:val="00A36F72"/>
    <w:rsid w:val="00A42F4A"/>
    <w:rsid w:val="00A53E22"/>
    <w:rsid w:val="00A67F3E"/>
    <w:rsid w:val="00A92E8D"/>
    <w:rsid w:val="00A95BD9"/>
    <w:rsid w:val="00A97235"/>
    <w:rsid w:val="00AD6719"/>
    <w:rsid w:val="00AE4D20"/>
    <w:rsid w:val="00B16973"/>
    <w:rsid w:val="00B30642"/>
    <w:rsid w:val="00B34537"/>
    <w:rsid w:val="00B61E34"/>
    <w:rsid w:val="00B624FD"/>
    <w:rsid w:val="00B82B2A"/>
    <w:rsid w:val="00B8703D"/>
    <w:rsid w:val="00B9104B"/>
    <w:rsid w:val="00BA0A5B"/>
    <w:rsid w:val="00BC2A65"/>
    <w:rsid w:val="00BC2C23"/>
    <w:rsid w:val="00BC3D38"/>
    <w:rsid w:val="00BE1132"/>
    <w:rsid w:val="00BE4EAA"/>
    <w:rsid w:val="00BF6DC5"/>
    <w:rsid w:val="00BF7E3F"/>
    <w:rsid w:val="00C143D7"/>
    <w:rsid w:val="00C435EE"/>
    <w:rsid w:val="00C62277"/>
    <w:rsid w:val="00C623B2"/>
    <w:rsid w:val="00C80DA9"/>
    <w:rsid w:val="00C862E5"/>
    <w:rsid w:val="00CA073C"/>
    <w:rsid w:val="00CA4105"/>
    <w:rsid w:val="00CA7548"/>
    <w:rsid w:val="00CD1CAD"/>
    <w:rsid w:val="00CE3513"/>
    <w:rsid w:val="00CE4FBD"/>
    <w:rsid w:val="00CE6DB5"/>
    <w:rsid w:val="00CF02AF"/>
    <w:rsid w:val="00D2146D"/>
    <w:rsid w:val="00D43F71"/>
    <w:rsid w:val="00D54DF4"/>
    <w:rsid w:val="00D56026"/>
    <w:rsid w:val="00D619F6"/>
    <w:rsid w:val="00D84673"/>
    <w:rsid w:val="00DA7104"/>
    <w:rsid w:val="00DD66BC"/>
    <w:rsid w:val="00DF4798"/>
    <w:rsid w:val="00E05040"/>
    <w:rsid w:val="00E0554F"/>
    <w:rsid w:val="00E1548B"/>
    <w:rsid w:val="00E40A46"/>
    <w:rsid w:val="00E422D4"/>
    <w:rsid w:val="00E51F52"/>
    <w:rsid w:val="00E54840"/>
    <w:rsid w:val="00E911E5"/>
    <w:rsid w:val="00E91C05"/>
    <w:rsid w:val="00EB5521"/>
    <w:rsid w:val="00EB57AB"/>
    <w:rsid w:val="00EC0A3F"/>
    <w:rsid w:val="00EE0918"/>
    <w:rsid w:val="00EE277A"/>
    <w:rsid w:val="00EE2965"/>
    <w:rsid w:val="00F41BAF"/>
    <w:rsid w:val="00F50AC2"/>
    <w:rsid w:val="00F50CB9"/>
    <w:rsid w:val="00F51F70"/>
    <w:rsid w:val="00F53D4C"/>
    <w:rsid w:val="00F54A14"/>
    <w:rsid w:val="00F61015"/>
    <w:rsid w:val="00F6217B"/>
    <w:rsid w:val="00F70079"/>
    <w:rsid w:val="00F72A3C"/>
    <w:rsid w:val="00F75048"/>
    <w:rsid w:val="00F75357"/>
    <w:rsid w:val="00F76581"/>
    <w:rsid w:val="00F806C4"/>
    <w:rsid w:val="00FA1F15"/>
    <w:rsid w:val="00FC33B5"/>
    <w:rsid w:val="00FC6A02"/>
    <w:rsid w:val="00FD416D"/>
    <w:rsid w:val="00FD4F2C"/>
    <w:rsid w:val="00FD60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BE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01DCC"/>
    <w:pPr>
      <w:numPr>
        <w:numId w:val="20"/>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
    <w:basedOn w:val="Normal"/>
    <w:link w:val="FootnoteTextChar"/>
    <w:rsid w:val="002D31D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F41BAF"/>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EE0918"/>
    <w:pPr>
      <w:spacing w:before="80" w:after="80" w:line="200" w:lineRule="exact"/>
      <w:ind w:left="0" w:right="113"/>
    </w:pPr>
    <w:rPr>
      <w:rFonts w:eastAsia="KaiTi_GB2312"/>
      <w:sz w:val="18"/>
    </w:rPr>
  </w:style>
  <w:style w:type="paragraph" w:customStyle="1" w:styleId="a0">
    <w:name w:val="缩进正文"/>
    <w:basedOn w:val="SingleTxtGC"/>
    <w:rsid w:val="0024012F"/>
    <w:pPr>
      <w:ind w:left="1565"/>
    </w:pPr>
  </w:style>
  <w:style w:type="paragraph" w:customStyle="1" w:styleId="a1">
    <w:name w:val="目录段页次"/>
    <w:basedOn w:val="Normal"/>
    <w:rsid w:val="0028651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8651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B16973"/>
    <w:pPr>
      <w:tabs>
        <w:tab w:val="right" w:pos="1021"/>
      </w:tabs>
    </w:pPr>
  </w:style>
  <w:style w:type="character" w:styleId="EndnoteReference">
    <w:name w:val="endnote reference"/>
    <w:basedOn w:val="FootnoteReference"/>
    <w:rsid w:val="00F41BAF"/>
  </w:style>
  <w:style w:type="paragraph" w:styleId="Footer">
    <w:name w:val="footer"/>
    <w:basedOn w:val="Normal"/>
    <w:rsid w:val="00CA4105"/>
    <w:pPr>
      <w:spacing w:line="240" w:lineRule="auto"/>
    </w:pPr>
    <w:rPr>
      <w:rFonts w:eastAsia="Times New Roman"/>
      <w:sz w:val="16"/>
      <w:lang w:val="en-GB" w:eastAsia="en-US"/>
    </w:rPr>
  </w:style>
  <w:style w:type="character" w:styleId="PageNumber">
    <w:name w:val="page number"/>
    <w:basedOn w:val="DefaultParagraphFont"/>
    <w:rsid w:val="00CA4105"/>
    <w:rPr>
      <w:rFonts w:ascii="Times New Roman" w:hAnsi="Times New Roman"/>
      <w:b/>
      <w:spacing w:val="0"/>
      <w:kern w:val="0"/>
      <w:sz w:val="18"/>
    </w:rPr>
  </w:style>
  <w:style w:type="paragraph" w:styleId="Header">
    <w:name w:val="header"/>
    <w:basedOn w:val="Normal"/>
    <w:rsid w:val="00CA4105"/>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22F28"/>
    <w:pPr>
      <w:numPr>
        <w:numId w:val="17"/>
      </w:numPr>
      <w:spacing w:after="120"/>
      <w:ind w:right="1134"/>
    </w:pPr>
  </w:style>
  <w:style w:type="paragraph" w:customStyle="1" w:styleId="Bullet2GC">
    <w:name w:val="_Bullet 2_GC"/>
    <w:basedOn w:val="Normal"/>
    <w:rsid w:val="00801DCC"/>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F34A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F34A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F34A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F34A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F34A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F34A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C80DA9"/>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CA073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CA073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a3">
    <w:name w:val="悬挂"/>
    <w:basedOn w:val="SingleTxtGC"/>
    <w:rsid w:val="001B11DB"/>
    <w:pPr>
      <w:ind w:left="1565" w:hanging="431"/>
    </w:pPr>
  </w:style>
  <w:style w:type="paragraph" w:customStyle="1" w:styleId="a4">
    <w:name w:val="表中文字"/>
    <w:basedOn w:val="SingleTxtGC"/>
    <w:rsid w:val="00647FD7"/>
    <w:pPr>
      <w:spacing w:before="40" w:line="240" w:lineRule="atLeast"/>
      <w:ind w:left="0" w:right="113"/>
    </w:pPr>
    <w:rPr>
      <w:sz w:val="18"/>
    </w:rPr>
  </w:style>
  <w:style w:type="paragraph" w:customStyle="1" w:styleId="a5">
    <w:name w:val="表数文字"/>
    <w:basedOn w:val="SingleTxtGC"/>
    <w:rsid w:val="004C5291"/>
    <w:pPr>
      <w:spacing w:before="40" w:after="40" w:line="240" w:lineRule="atLeast"/>
      <w:ind w:left="0" w:right="113"/>
    </w:pPr>
    <w:rPr>
      <w:sz w:val="18"/>
    </w:rPr>
  </w:style>
  <w:style w:type="character" w:customStyle="1" w:styleId="FootnoteTextChar">
    <w:name w:val="Footnote Text Char"/>
    <w:aliases w:val="5_G Char"/>
    <w:link w:val="FootnoteText"/>
    <w:rsid w:val="00894207"/>
    <w:rPr>
      <w:rFonts w:eastAsia="SimSun"/>
      <w:snapToGrid w:val="0"/>
      <w:sz w:val="18"/>
      <w:lang w:val="en-US" w:eastAsia="zh-CN" w:bidi="ar-SA"/>
    </w:rPr>
  </w:style>
  <w:style w:type="character" w:customStyle="1" w:styleId="SingleTxtGCChar">
    <w:name w:val="_ Single Txt_GC Char"/>
    <w:basedOn w:val="DefaultParagraphFont"/>
    <w:link w:val="SingleTxtGC"/>
    <w:locked/>
    <w:rsid w:val="00986BA7"/>
    <w:rPr>
      <w:rFonts w:eastAsia="SimSun"/>
      <w:snapToGrid w:val="0"/>
      <w:sz w:val="21"/>
      <w:lang w:val="en-US" w:eastAsia="zh-CN" w:bidi="ar-SA"/>
    </w:rPr>
  </w:style>
  <w:style w:type="paragraph" w:styleId="BalloonText">
    <w:name w:val="Balloon Text"/>
    <w:basedOn w:val="Normal"/>
    <w:semiHidden/>
    <w:rsid w:val="00937176"/>
    <w:rPr>
      <w:sz w:val="18"/>
      <w:szCs w:val="18"/>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A-HRC.dot</Template>
  <TotalTime>0</TotalTime>
  <Pages>1</Pages>
  <Words>432</Words>
  <Characters>490</Characters>
  <Application>Microsoft Office Outlook</Application>
  <DocSecurity>4</DocSecurity>
  <Lines>30</Lines>
  <Paragraphs>29</Paragraphs>
  <ScaleCrop>false</ScaleCrop>
  <Company>CSD</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Tian</cp:lastModifiedBy>
  <cp:revision>3</cp:revision>
  <cp:lastPrinted>2013-10-14T12:24:00Z</cp:lastPrinted>
  <dcterms:created xsi:type="dcterms:W3CDTF">2013-10-14T12:24:00Z</dcterms:created>
  <dcterms:modified xsi:type="dcterms:W3CDTF">2013-10-14T12:24:00Z</dcterms:modified>
</cp:coreProperties>
</file>