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926E0A" w:rsidP="00926E0A">
            <w:pPr>
              <w:bidi w:val="0"/>
              <w:spacing w:after="20"/>
              <w:jc w:val="left"/>
              <w:rPr>
                <w:szCs w:val="20"/>
              </w:rPr>
            </w:pPr>
            <w:r w:rsidRPr="00926E0A">
              <w:rPr>
                <w:sz w:val="40"/>
                <w:szCs w:val="20"/>
              </w:rPr>
              <w:t>A</w:t>
            </w:r>
            <w:r>
              <w:rPr>
                <w:szCs w:val="20"/>
              </w:rPr>
              <w:t>/HRC/</w:t>
            </w:r>
            <w:r w:rsidR="001C00E3">
              <w:rPr>
                <w:szCs w:val="20"/>
              </w:rPr>
              <w:t>RES/</w:t>
            </w:r>
            <w:r>
              <w:rPr>
                <w:szCs w:val="20"/>
              </w:rPr>
              <w:t>15/</w:t>
            </w:r>
            <w:r w:rsidR="001C00E3">
              <w:rPr>
                <w:szCs w:val="20"/>
              </w:rPr>
              <w:t>8</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926E0A" w:rsidRDefault="001C00E3" w:rsidP="00926E0A">
            <w:pPr>
              <w:bidi w:val="0"/>
              <w:spacing w:before="240"/>
              <w:jc w:val="left"/>
            </w:pPr>
            <w:r>
              <w:t>Distr.: General</w:t>
            </w:r>
          </w:p>
          <w:p w:rsidR="00926E0A" w:rsidRDefault="001C00E3" w:rsidP="001C00E3">
            <w:pPr>
              <w:bidi w:val="0"/>
              <w:jc w:val="left"/>
            </w:pPr>
            <w:r>
              <w:t>6</w:t>
            </w:r>
            <w:r w:rsidR="00926E0A">
              <w:t xml:space="preserve"> </w:t>
            </w:r>
            <w:r>
              <w:t>Octo</w:t>
            </w:r>
            <w:r w:rsidR="00926E0A">
              <w:t>ber 2010</w:t>
            </w:r>
          </w:p>
          <w:p w:rsidR="00926E0A" w:rsidRDefault="00926E0A" w:rsidP="00926E0A">
            <w:pPr>
              <w:bidi w:val="0"/>
              <w:jc w:val="left"/>
            </w:pPr>
            <w:r>
              <w:t>Arabic</w:t>
            </w:r>
          </w:p>
          <w:p w:rsidR="00257225" w:rsidRPr="008B4BC6" w:rsidRDefault="00926E0A" w:rsidP="00926E0A">
            <w:pPr>
              <w:bidi w:val="0"/>
              <w:jc w:val="left"/>
            </w:pPr>
            <w:r>
              <w:t>Original: English</w:t>
            </w:r>
          </w:p>
        </w:tc>
      </w:tr>
    </w:tbl>
    <w:p w:rsidR="00926E0A" w:rsidRPr="00926E0A" w:rsidRDefault="00926E0A" w:rsidP="00926E0A">
      <w:pPr>
        <w:spacing w:before="120" w:line="380" w:lineRule="exact"/>
        <w:jc w:val="both"/>
        <w:rPr>
          <w:rFonts w:hint="cs"/>
          <w:b/>
          <w:bCs/>
          <w:sz w:val="28"/>
          <w:szCs w:val="36"/>
          <w:rtl/>
        </w:rPr>
      </w:pPr>
      <w:r w:rsidRPr="00926E0A">
        <w:rPr>
          <w:rFonts w:hint="cs"/>
          <w:b/>
          <w:bCs/>
          <w:sz w:val="28"/>
          <w:szCs w:val="36"/>
          <w:rtl/>
        </w:rPr>
        <w:t>مجلس حقوق الإنسان</w:t>
      </w:r>
    </w:p>
    <w:p w:rsidR="00926E0A" w:rsidRPr="00926E0A" w:rsidRDefault="00926E0A" w:rsidP="00926E0A">
      <w:pPr>
        <w:spacing w:line="380" w:lineRule="exact"/>
        <w:rPr>
          <w:rFonts w:hint="cs"/>
          <w:b/>
          <w:bCs/>
          <w:rtl/>
        </w:rPr>
      </w:pPr>
      <w:r w:rsidRPr="00926E0A">
        <w:rPr>
          <w:rFonts w:hint="cs"/>
          <w:b/>
          <w:bCs/>
          <w:rtl/>
        </w:rPr>
        <w:t>الدورة الخامسة عشرة</w:t>
      </w:r>
    </w:p>
    <w:p w:rsidR="00926E0A" w:rsidRDefault="00655556" w:rsidP="00BD31B0">
      <w:pPr>
        <w:spacing w:line="380" w:lineRule="exact"/>
        <w:rPr>
          <w:rFonts w:hint="cs"/>
          <w:rtl/>
        </w:rPr>
      </w:pPr>
      <w:r>
        <w:rPr>
          <w:rFonts w:hint="cs"/>
          <w:rtl/>
        </w:rPr>
        <w:t>البند</w:t>
      </w:r>
      <w:r w:rsidR="00BD31B0">
        <w:rPr>
          <w:rFonts w:hint="cs"/>
          <w:rtl/>
        </w:rPr>
        <w:t xml:space="preserve"> </w:t>
      </w:r>
      <w:r>
        <w:rPr>
          <w:rFonts w:hint="cs"/>
          <w:rtl/>
        </w:rPr>
        <w:t>3</w:t>
      </w:r>
      <w:r w:rsidR="00926E0A">
        <w:rPr>
          <w:rFonts w:hint="cs"/>
          <w:rtl/>
        </w:rPr>
        <w:t xml:space="preserve"> من جدول الأعمال</w:t>
      </w:r>
    </w:p>
    <w:p w:rsidR="00655556" w:rsidRDefault="00655556" w:rsidP="00655556">
      <w:pPr>
        <w:spacing w:line="380" w:lineRule="exact"/>
        <w:rPr>
          <w:rFonts w:hint="cs"/>
          <w:b/>
          <w:bCs/>
          <w:rtl/>
        </w:rPr>
      </w:pPr>
      <w:r w:rsidRPr="0078593F">
        <w:rPr>
          <w:rFonts w:hint="cs"/>
          <w:b/>
          <w:bCs/>
          <w:rtl/>
        </w:rPr>
        <w:t>تعزيز وحماية جميع حقوق الإنسان، المدنية والسياسية والاقتصادي</w:t>
      </w:r>
      <w:r>
        <w:rPr>
          <w:rFonts w:hint="cs"/>
          <w:b/>
          <w:bCs/>
          <w:rtl/>
        </w:rPr>
        <w:t>ة</w:t>
      </w:r>
    </w:p>
    <w:p w:rsidR="00655556" w:rsidRPr="0078593F" w:rsidRDefault="00655556" w:rsidP="00655556">
      <w:pPr>
        <w:spacing w:after="240" w:line="380" w:lineRule="exact"/>
        <w:rPr>
          <w:rFonts w:hint="cs"/>
          <w:b/>
          <w:bCs/>
          <w:rtl/>
        </w:rPr>
      </w:pPr>
      <w:r w:rsidRPr="0078593F">
        <w:rPr>
          <w:rFonts w:hint="cs"/>
          <w:b/>
          <w:bCs/>
          <w:rtl/>
        </w:rPr>
        <w:t>والاجتماعية والثقافية، بما في ذلك الحق في التنمية</w:t>
      </w:r>
    </w:p>
    <w:p w:rsidR="001C00E3" w:rsidRPr="00D00E72" w:rsidRDefault="001C00E3" w:rsidP="001C00E3">
      <w:pPr>
        <w:pStyle w:val="HChGA"/>
        <w:rPr>
          <w:rFonts w:hint="cs"/>
          <w:rtl/>
        </w:rPr>
      </w:pPr>
      <w:r>
        <w:rPr>
          <w:rFonts w:hint="cs"/>
          <w:rtl/>
        </w:rPr>
        <w:tab/>
      </w:r>
      <w:r>
        <w:rPr>
          <w:rFonts w:hint="cs"/>
          <w:rtl/>
        </w:rPr>
        <w:tab/>
      </w:r>
      <w:r w:rsidRPr="00D00E72">
        <w:rPr>
          <w:rtl/>
        </w:rPr>
        <w:t>قرار</w:t>
      </w:r>
      <w:r>
        <w:rPr>
          <w:rFonts w:hint="cs"/>
          <w:rtl/>
        </w:rPr>
        <w:t xml:space="preserve"> اعتمده مجلس حقوق الإنسان</w:t>
      </w:r>
      <w:r w:rsidRPr="00FE47EF">
        <w:rPr>
          <w:rStyle w:val="FootnoteReference"/>
          <w:sz w:val="36"/>
          <w:szCs w:val="36"/>
          <w:vertAlign w:val="baseline"/>
          <w:rtl/>
        </w:rPr>
        <w:footnoteReference w:customMarkFollows="1" w:id="1"/>
        <w:t>*</w:t>
      </w:r>
    </w:p>
    <w:p w:rsidR="00655556" w:rsidRDefault="001C00E3" w:rsidP="00DC7A92">
      <w:pPr>
        <w:pStyle w:val="HChGA"/>
        <w:rPr>
          <w:rFonts w:hint="cs"/>
          <w:rtl/>
        </w:rPr>
      </w:pPr>
      <w:r>
        <w:rPr>
          <w:rFonts w:hint="cs"/>
          <w:rtl/>
        </w:rPr>
        <w:tab/>
      </w:r>
      <w:r>
        <w:rPr>
          <w:rFonts w:hint="cs"/>
          <w:rtl/>
        </w:rPr>
        <w:tab/>
        <w:t>15/8</w:t>
      </w:r>
      <w:r w:rsidR="00655556">
        <w:rPr>
          <w:rtl/>
        </w:rPr>
        <w:br/>
      </w:r>
      <w:r w:rsidR="00655556">
        <w:rPr>
          <w:rFonts w:hint="cs"/>
          <w:rtl/>
          <w:lang w:bidi="ar"/>
        </w:rPr>
        <w:t>السكن اللائق كعنصر من عناصر الحق في مستوى معيشي مناسب</w:t>
      </w:r>
    </w:p>
    <w:p w:rsidR="00655556" w:rsidRPr="00ED3341" w:rsidRDefault="00655556" w:rsidP="00655556">
      <w:pPr>
        <w:pStyle w:val="SingleTxtGA"/>
        <w:rPr>
          <w:rFonts w:hint="cs"/>
          <w:i/>
          <w:iCs/>
          <w:rtl/>
        </w:rPr>
      </w:pPr>
      <w:r w:rsidRPr="00ED3341">
        <w:rPr>
          <w:rFonts w:hint="cs"/>
          <w:i/>
          <w:iCs/>
          <w:rtl/>
        </w:rPr>
        <w:tab/>
        <w:t>إن مجلس حقوق الإنسان،</w:t>
      </w:r>
    </w:p>
    <w:p w:rsidR="00655556" w:rsidRDefault="00655556" w:rsidP="00655556">
      <w:pPr>
        <w:pStyle w:val="SingleTxtGA"/>
        <w:rPr>
          <w:rFonts w:hint="cs"/>
          <w:rtl/>
        </w:rPr>
      </w:pPr>
      <w:r>
        <w:rPr>
          <w:rFonts w:hint="cs"/>
          <w:rtl/>
        </w:rPr>
        <w:tab/>
      </w:r>
      <w:r w:rsidRPr="00ED3341">
        <w:rPr>
          <w:rFonts w:hint="cs"/>
          <w:i/>
          <w:iCs/>
          <w:rtl/>
        </w:rPr>
        <w:t>إذ يؤكد من جديد</w:t>
      </w:r>
      <w:r>
        <w:rPr>
          <w:rFonts w:hint="cs"/>
          <w:rtl/>
        </w:rPr>
        <w:t xml:space="preserve"> جميع قراراته السابقة بما في ذلك القرارات التي اعتمدتها لجنة حقوق الإنسان بشأن مسألة </w:t>
      </w:r>
      <w:r>
        <w:rPr>
          <w:rFonts w:hint="cs"/>
          <w:rtl/>
          <w:lang w:bidi="ar"/>
        </w:rPr>
        <w:t xml:space="preserve">السكن اللائق كعنصر من عناصر الحق في مستوى معيشي مناسب، ومنها قرار المجلس </w:t>
      </w:r>
      <w:r>
        <w:rPr>
          <w:rFonts w:hint="cs"/>
          <w:rtl/>
        </w:rPr>
        <w:t>6/27 المؤرخ 14 كانون الأول/ديسمبر 2007،</w:t>
      </w:r>
    </w:p>
    <w:p w:rsidR="00655556" w:rsidRDefault="00655556" w:rsidP="00655556">
      <w:pPr>
        <w:pStyle w:val="SingleTxtGA"/>
        <w:rPr>
          <w:rFonts w:hint="cs"/>
          <w:rtl/>
        </w:rPr>
      </w:pPr>
      <w:r>
        <w:rPr>
          <w:rFonts w:hint="cs"/>
          <w:rtl/>
        </w:rPr>
        <w:tab/>
      </w:r>
      <w:r w:rsidRPr="00ED3341">
        <w:rPr>
          <w:rFonts w:hint="cs"/>
          <w:i/>
          <w:iCs/>
          <w:rtl/>
        </w:rPr>
        <w:t xml:space="preserve">وإذ يؤكد من </w:t>
      </w:r>
      <w:r w:rsidRPr="0085772E">
        <w:rPr>
          <w:rFonts w:hint="cs"/>
          <w:i/>
          <w:iCs/>
          <w:rtl/>
        </w:rPr>
        <w:t>جديد أيضاً</w:t>
      </w:r>
      <w:r>
        <w:rPr>
          <w:rFonts w:hint="cs"/>
          <w:rtl/>
        </w:rPr>
        <w:t xml:space="preserve"> أن </w:t>
      </w:r>
      <w:r>
        <w:rPr>
          <w:rFonts w:hint="cs"/>
          <w:rtl/>
          <w:lang w:bidi="ar"/>
        </w:rPr>
        <w:t>صكوك القانون الدولي لحقوق الإنسان، بما في ذلك العهد الدولي الخاص بالحقوق الاقتصادية والاجتماعية والثقافية، والإعلان العالمي لحقوق الإنسان، تستتبع واجبات والتزامات تقع على عاتق الدول الأطراف فيما يتعلق بالوصول إلى السكن اللائق</w:t>
      </w:r>
      <w:r>
        <w:rPr>
          <w:rFonts w:hint="cs"/>
          <w:rtl/>
        </w:rPr>
        <w:t xml:space="preserve">، </w:t>
      </w:r>
    </w:p>
    <w:p w:rsidR="00655556" w:rsidRDefault="00655556" w:rsidP="00655556">
      <w:pPr>
        <w:pStyle w:val="SingleTxtGA"/>
        <w:rPr>
          <w:rFonts w:hint="cs"/>
          <w:rtl/>
        </w:rPr>
      </w:pPr>
      <w:r>
        <w:rPr>
          <w:rFonts w:hint="cs"/>
          <w:rtl/>
        </w:rPr>
        <w:tab/>
      </w:r>
      <w:r w:rsidRPr="00D516BB">
        <w:rPr>
          <w:rFonts w:hint="cs"/>
          <w:i/>
          <w:iCs/>
          <w:rtl/>
        </w:rPr>
        <w:t xml:space="preserve">وإذ </w:t>
      </w:r>
      <w:r w:rsidRPr="00D516BB">
        <w:rPr>
          <w:rFonts w:hint="cs"/>
          <w:i/>
          <w:iCs/>
          <w:rtl/>
          <w:lang w:bidi="ar"/>
        </w:rPr>
        <w:t>يشير إلى</w:t>
      </w:r>
      <w:r>
        <w:rPr>
          <w:rFonts w:hint="cs"/>
          <w:rtl/>
          <w:lang w:bidi="ar"/>
        </w:rPr>
        <w:t xml:space="preserve"> قراره 5/1 المتعلق ببناء مؤسسات مجلس حقوق الإنسان التابع للأمم المتحدة وقراره 5/2 المتعلق بمدونة قواعد السلوك لأصحاب الولايات في إطار الإجراءات الخاصة بمجلس حقوق الإنسان، المؤرخين 18 حزيران/يونيه 2007، وإذ يشدد على أن صاحب الولاية يجب أن يؤدي مهامه وفقاً لهذين القرارين ومرفقاتهما</w:t>
      </w:r>
      <w:r>
        <w:rPr>
          <w:rFonts w:hint="cs"/>
          <w:rtl/>
        </w:rPr>
        <w:t>،</w:t>
      </w:r>
    </w:p>
    <w:p w:rsidR="00655556" w:rsidRPr="00C60EFF" w:rsidRDefault="00655556" w:rsidP="00655556">
      <w:pPr>
        <w:pStyle w:val="SingleTxtGA"/>
        <w:rPr>
          <w:rFonts w:hint="cs"/>
          <w:rtl/>
        </w:rPr>
      </w:pPr>
      <w:r>
        <w:rPr>
          <w:rFonts w:hint="cs"/>
          <w:rtl/>
        </w:rPr>
        <w:tab/>
      </w:r>
      <w:r w:rsidRPr="00D516BB">
        <w:rPr>
          <w:rFonts w:hint="cs"/>
          <w:rtl/>
        </w:rPr>
        <w:t xml:space="preserve">وإذ </w:t>
      </w:r>
      <w:r w:rsidRPr="00D516BB">
        <w:rPr>
          <w:rFonts w:hint="cs"/>
          <w:rtl/>
          <w:lang w:bidi="ar"/>
        </w:rPr>
        <w:t>يشير إلى</w:t>
      </w:r>
      <w:r>
        <w:rPr>
          <w:rFonts w:hint="cs"/>
          <w:rtl/>
          <w:lang w:bidi="ar"/>
        </w:rPr>
        <w:t xml:space="preserve"> المبادئ والالتزامات المتعلقة بالسكن اللائق والمكرسة في الأحكام ذات الصلة بالموضوع الواردة في الإعلانات والبرامج التي اعتمدتها المؤتمرات الرئي</w:t>
      </w:r>
      <w:r w:rsidR="00591614">
        <w:rPr>
          <w:rFonts w:hint="cs"/>
          <w:rtl/>
          <w:lang w:bidi="ar"/>
        </w:rPr>
        <w:t>سية للأمم المتحدة ومؤتمرات القمة</w:t>
      </w:r>
      <w:r>
        <w:rPr>
          <w:rFonts w:hint="cs"/>
          <w:rtl/>
          <w:lang w:bidi="ar"/>
        </w:rPr>
        <w:t xml:space="preserve"> والدورات الاستثنائية للجمعية العامة واجتماعات المتابعة المتعلقة بها، ومن بينها إعلان اسطنبول بشأن المستوطنات البشرية</w:t>
      </w:r>
      <w:r>
        <w:rPr>
          <w:vertAlign w:val="superscript"/>
          <w:rtl/>
          <w:lang w:bidi="ar"/>
        </w:rPr>
        <w:t xml:space="preserve"> </w:t>
      </w:r>
      <w:r>
        <w:rPr>
          <w:rFonts w:hint="cs"/>
          <w:rtl/>
          <w:lang w:bidi="ar"/>
        </w:rPr>
        <w:t xml:space="preserve"> وجدول أعمال الموئل</w:t>
      </w:r>
      <w:r>
        <w:rPr>
          <w:vertAlign w:val="superscript"/>
          <w:rtl/>
          <w:lang w:bidi="ar"/>
        </w:rPr>
        <w:t>(</w:t>
      </w:r>
      <w:r w:rsidRPr="002F0BEF">
        <w:rPr>
          <w:rStyle w:val="FootnoteReference"/>
          <w:rtl/>
          <w:lang w:bidi="ar"/>
        </w:rPr>
        <w:footnoteReference w:id="2"/>
      </w:r>
      <w:r w:rsidRPr="002F0BEF">
        <w:rPr>
          <w:vertAlign w:val="superscript"/>
          <w:rtl/>
          <w:lang w:bidi="ar"/>
        </w:rPr>
        <w:t>)</w:t>
      </w:r>
      <w:r>
        <w:rPr>
          <w:rFonts w:hint="cs"/>
          <w:rtl/>
          <w:lang w:bidi="ar"/>
        </w:rPr>
        <w:t>، والإعلان المتعلق بالمدن والمستوطنات البشرية الأخرى في الألفية الجديدة الذي اعتمدته الجمعية العامة في دورتها الاستثنائية الخامسة والعشرين وأرفقته بقرارها دإ-25/2 المؤرخ 9 حزيران/</w:t>
      </w:r>
      <w:r w:rsidR="002F0BEF">
        <w:rPr>
          <w:rFonts w:hint="cs"/>
          <w:rtl/>
          <w:lang w:bidi="ar"/>
        </w:rPr>
        <w:t xml:space="preserve">           </w:t>
      </w:r>
      <w:r>
        <w:rPr>
          <w:rFonts w:hint="cs"/>
          <w:rtl/>
          <w:lang w:bidi="ar"/>
        </w:rPr>
        <w:t>يونيه 2001،</w:t>
      </w:r>
    </w:p>
    <w:p w:rsidR="00655556" w:rsidRDefault="00655556" w:rsidP="00591614">
      <w:pPr>
        <w:pStyle w:val="SingleTxtGA"/>
        <w:rPr>
          <w:rFonts w:hint="cs"/>
          <w:rtl/>
          <w:lang w:bidi="ar"/>
        </w:rPr>
      </w:pPr>
      <w:r>
        <w:rPr>
          <w:rFonts w:hint="cs"/>
          <w:rtl/>
        </w:rPr>
        <w:tab/>
      </w:r>
      <w:r w:rsidRPr="00D516BB">
        <w:rPr>
          <w:rFonts w:hint="cs"/>
          <w:i/>
          <w:iCs/>
          <w:rtl/>
        </w:rPr>
        <w:t xml:space="preserve">وإذ </w:t>
      </w:r>
      <w:r w:rsidRPr="00D516BB">
        <w:rPr>
          <w:rFonts w:hint="cs"/>
          <w:i/>
          <w:iCs/>
          <w:rtl/>
          <w:lang w:bidi="ar"/>
        </w:rPr>
        <w:t>يعرب عن انشغاله</w:t>
      </w:r>
      <w:r>
        <w:rPr>
          <w:rFonts w:hint="cs"/>
          <w:rtl/>
          <w:lang w:bidi="ar"/>
        </w:rPr>
        <w:t xml:space="preserve"> من أن أي تدهور </w:t>
      </w:r>
      <w:r w:rsidR="00591614">
        <w:rPr>
          <w:rFonts w:hint="cs"/>
          <w:rtl/>
          <w:lang w:bidi="ar"/>
        </w:rPr>
        <w:t>في ا</w:t>
      </w:r>
      <w:r>
        <w:rPr>
          <w:rFonts w:hint="cs"/>
          <w:rtl/>
          <w:lang w:bidi="ar"/>
        </w:rPr>
        <w:t xml:space="preserve">لحالة العامة للسكن قد يؤثر بصورة غير متناسبة على الأشخاص الذي يعيشون ظروف الفقر، والأشخاص ذوي الدخل المنخفض، والنساء، والأطفال، والأشخاص المنتمين للأقليات أو للشعوب الأصلية، والمهاجرين، والمسنين، </w:t>
      </w:r>
      <w:r w:rsidR="00591614">
        <w:rPr>
          <w:rFonts w:hint="cs"/>
          <w:rtl/>
          <w:lang w:bidi="ar"/>
        </w:rPr>
        <w:t>والأشخاص ذوي الإعاقة</w:t>
      </w:r>
      <w:r>
        <w:rPr>
          <w:rFonts w:hint="cs"/>
          <w:rtl/>
          <w:lang w:bidi="ar"/>
        </w:rPr>
        <w:t>،</w:t>
      </w:r>
    </w:p>
    <w:p w:rsidR="00655556" w:rsidRDefault="00655556" w:rsidP="00DB262B">
      <w:pPr>
        <w:pStyle w:val="SingleTxtGA"/>
        <w:rPr>
          <w:rFonts w:hint="cs"/>
          <w:rtl/>
          <w:lang w:bidi="ar"/>
        </w:rPr>
      </w:pPr>
      <w:r>
        <w:rPr>
          <w:rFonts w:hint="cs"/>
          <w:rtl/>
        </w:rPr>
        <w:tab/>
      </w:r>
      <w:r w:rsidRPr="00D516BB">
        <w:rPr>
          <w:rFonts w:hint="cs"/>
          <w:i/>
          <w:iCs/>
          <w:rtl/>
        </w:rPr>
        <w:t xml:space="preserve">وإذ </w:t>
      </w:r>
      <w:r w:rsidRPr="00D516BB">
        <w:rPr>
          <w:rFonts w:hint="cs"/>
          <w:i/>
          <w:iCs/>
          <w:rtl/>
          <w:lang w:bidi="ar"/>
        </w:rPr>
        <w:t>يلاحظ</w:t>
      </w:r>
      <w:r>
        <w:rPr>
          <w:rFonts w:hint="cs"/>
          <w:rtl/>
          <w:lang w:bidi="ar"/>
        </w:rPr>
        <w:t xml:space="preserve"> العمل الذي تضطلع به هيئات معاهدات الأمم المتحدة من أجل تعزيز الحقوق المتصلة بالسكن اللائق، لا سيما عمل اللجنة المعنية بالحقوق الاقتصادية والاجتماعية والثقافية، بما في ذلك تعليقاتها العامة </w:t>
      </w:r>
      <w:r w:rsidR="00DB262B">
        <w:rPr>
          <w:rFonts w:hint="cs"/>
          <w:rtl/>
          <w:lang w:bidi="ar"/>
        </w:rPr>
        <w:t>رقم</w:t>
      </w:r>
      <w:r>
        <w:rPr>
          <w:rFonts w:hint="cs"/>
          <w:rtl/>
          <w:lang w:bidi="ar"/>
        </w:rPr>
        <w:t xml:space="preserve"> 4 و7 و9 و16،</w:t>
      </w:r>
    </w:p>
    <w:p w:rsidR="00655556" w:rsidRPr="00C60EFF" w:rsidRDefault="00655556" w:rsidP="00655556">
      <w:pPr>
        <w:pStyle w:val="SingleTxtGA"/>
        <w:rPr>
          <w:rFonts w:hint="cs"/>
          <w:rtl/>
        </w:rPr>
      </w:pPr>
      <w:r>
        <w:rPr>
          <w:rFonts w:hint="cs"/>
          <w:rtl/>
        </w:rPr>
        <w:tab/>
        <w:t>1-</w:t>
      </w:r>
      <w:r>
        <w:rPr>
          <w:rFonts w:hint="cs"/>
          <w:rtl/>
        </w:rPr>
        <w:tab/>
      </w:r>
      <w:r w:rsidRPr="002F0BEF">
        <w:rPr>
          <w:rFonts w:hint="cs"/>
          <w:i/>
          <w:iCs/>
          <w:rtl/>
          <w:lang w:bidi="ar"/>
        </w:rPr>
        <w:t>يقر</w:t>
      </w:r>
      <w:r w:rsidR="002F0BEF">
        <w:rPr>
          <w:rFonts w:hint="cs"/>
          <w:rtl/>
          <w:lang w:bidi="ar"/>
        </w:rPr>
        <w:t>ّ</w:t>
      </w:r>
      <w:r>
        <w:rPr>
          <w:rFonts w:hint="cs"/>
          <w:rtl/>
          <w:lang w:bidi="ar"/>
        </w:rPr>
        <w:t xml:space="preserve"> مع التقدير بعمل المقررة الخاصة المعنية بالسكن اللائق كعنصر من عناصر الحق في مستوى معيشي مناسب وبالحق في عدم التمييز في هذا السياق، بما في ذلك اضطلاعها ببعثات قطرية؛</w:t>
      </w:r>
    </w:p>
    <w:p w:rsidR="00655556" w:rsidRPr="007F20FB" w:rsidRDefault="00655556" w:rsidP="002F0BEF">
      <w:pPr>
        <w:pStyle w:val="SingleTxtGA"/>
        <w:rPr>
          <w:rFonts w:hint="cs"/>
          <w:spacing w:val="4"/>
          <w:rtl/>
        </w:rPr>
      </w:pPr>
      <w:r>
        <w:rPr>
          <w:rFonts w:hint="cs"/>
          <w:rtl/>
        </w:rPr>
        <w:tab/>
        <w:t>2-</w:t>
      </w:r>
      <w:r>
        <w:rPr>
          <w:rFonts w:hint="cs"/>
          <w:rtl/>
        </w:rPr>
        <w:tab/>
      </w:r>
      <w:r w:rsidRPr="007F20FB">
        <w:rPr>
          <w:rFonts w:hint="cs"/>
          <w:i/>
          <w:iCs/>
          <w:spacing w:val="4"/>
          <w:rtl/>
        </w:rPr>
        <w:t>يقرر</w:t>
      </w:r>
      <w:r w:rsidRPr="007F20FB">
        <w:rPr>
          <w:rFonts w:hint="cs"/>
          <w:spacing w:val="4"/>
          <w:rtl/>
        </w:rPr>
        <w:t xml:space="preserve"> أن يمدد لفترة ثلاث سنوات ولاية المقرر</w:t>
      </w:r>
      <w:r>
        <w:rPr>
          <w:rFonts w:hint="cs"/>
          <w:spacing w:val="4"/>
          <w:rtl/>
        </w:rPr>
        <w:t>ة</w:t>
      </w:r>
      <w:r w:rsidRPr="007F20FB">
        <w:rPr>
          <w:rFonts w:hint="cs"/>
          <w:spacing w:val="4"/>
          <w:rtl/>
        </w:rPr>
        <w:t xml:space="preserve"> الخاص</w:t>
      </w:r>
      <w:r>
        <w:rPr>
          <w:rFonts w:hint="cs"/>
          <w:spacing w:val="4"/>
          <w:rtl/>
        </w:rPr>
        <w:t>ة</w:t>
      </w:r>
      <w:r w:rsidRPr="007F20FB">
        <w:rPr>
          <w:rFonts w:hint="cs"/>
          <w:spacing w:val="4"/>
          <w:rtl/>
        </w:rPr>
        <w:t xml:space="preserve"> المعني</w:t>
      </w:r>
      <w:r>
        <w:rPr>
          <w:rFonts w:hint="cs"/>
          <w:spacing w:val="4"/>
          <w:rtl/>
        </w:rPr>
        <w:t>ة</w:t>
      </w:r>
      <w:r w:rsidRPr="007F20FB">
        <w:rPr>
          <w:rFonts w:hint="cs"/>
          <w:spacing w:val="4"/>
          <w:rtl/>
        </w:rPr>
        <w:t xml:space="preserve"> بالسكن اللائق كعنصر من العناصر المكونة للحق في مستوى معيشي </w:t>
      </w:r>
      <w:r w:rsidRPr="002F0BEF">
        <w:rPr>
          <w:rFonts w:hint="cs"/>
          <w:rtl/>
          <w:lang w:bidi="ar"/>
        </w:rPr>
        <w:t>مناسب</w:t>
      </w:r>
      <w:r w:rsidRPr="007F20FB">
        <w:rPr>
          <w:rFonts w:hint="cs"/>
          <w:spacing w:val="4"/>
          <w:rtl/>
        </w:rPr>
        <w:t xml:space="preserve"> وبالحق في عدم التمييز في هذا السياق، للقيام في جملة أمور بما يلي:</w:t>
      </w:r>
    </w:p>
    <w:p w:rsidR="00655556" w:rsidRPr="007F20FB" w:rsidRDefault="00655556" w:rsidP="002F0BEF">
      <w:pPr>
        <w:pStyle w:val="SingleTxtGA"/>
        <w:rPr>
          <w:rFonts w:hint="cs"/>
          <w:spacing w:val="4"/>
          <w:rtl/>
        </w:rPr>
      </w:pPr>
      <w:r w:rsidRPr="007F20FB">
        <w:rPr>
          <w:rFonts w:hint="cs"/>
          <w:spacing w:val="4"/>
          <w:rtl/>
        </w:rPr>
        <w:tab/>
        <w:t>(أ)</w:t>
      </w:r>
      <w:r w:rsidRPr="007F20FB">
        <w:rPr>
          <w:rFonts w:hint="cs"/>
          <w:spacing w:val="4"/>
          <w:rtl/>
        </w:rPr>
        <w:tab/>
      </w:r>
      <w:r w:rsidRPr="002F0BEF">
        <w:rPr>
          <w:rFonts w:hint="cs"/>
          <w:spacing w:val="4"/>
          <w:rtl/>
        </w:rPr>
        <w:t>تعزيز</w:t>
      </w:r>
      <w:r w:rsidRPr="007F20FB">
        <w:rPr>
          <w:rFonts w:hint="cs"/>
          <w:spacing w:val="4"/>
          <w:rtl/>
        </w:rPr>
        <w:t xml:space="preserve"> الإعمال </w:t>
      </w:r>
      <w:r w:rsidRPr="002F0BEF">
        <w:rPr>
          <w:rFonts w:hint="cs"/>
          <w:rtl/>
          <w:lang w:bidi="ar"/>
        </w:rPr>
        <w:t>الكامل</w:t>
      </w:r>
      <w:r w:rsidRPr="007F20FB">
        <w:rPr>
          <w:rFonts w:hint="cs"/>
          <w:spacing w:val="4"/>
          <w:rtl/>
        </w:rPr>
        <w:t xml:space="preserve"> للحق في السكن اللائق كعنصر من العناصر المكونة للحق في مستوى معيشي مناسب؛</w:t>
      </w:r>
    </w:p>
    <w:p w:rsidR="00655556" w:rsidRPr="007F20FB" w:rsidRDefault="00655556" w:rsidP="002F0BEF">
      <w:pPr>
        <w:pStyle w:val="SingleTxtGA"/>
        <w:rPr>
          <w:rFonts w:hint="cs"/>
          <w:spacing w:val="4"/>
          <w:rtl/>
        </w:rPr>
      </w:pPr>
      <w:r w:rsidRPr="007F20FB">
        <w:rPr>
          <w:rFonts w:hint="cs"/>
          <w:spacing w:val="4"/>
          <w:rtl/>
        </w:rPr>
        <w:tab/>
        <w:t>(ب)</w:t>
      </w:r>
      <w:r w:rsidRPr="007F20FB">
        <w:rPr>
          <w:rFonts w:hint="cs"/>
          <w:spacing w:val="4"/>
          <w:rtl/>
        </w:rPr>
        <w:tab/>
        <w:t xml:space="preserve">تحديد أفضل الممارسات وكذلك التحديات والعقبات القائمة أمام الإعمال الكامل للحق في السكن اللائق، وتحديد ثغرات الحماية </w:t>
      </w:r>
      <w:r w:rsidRPr="002F0BEF">
        <w:rPr>
          <w:rFonts w:hint="cs"/>
          <w:rtl/>
          <w:lang w:bidi="ar"/>
        </w:rPr>
        <w:t>في</w:t>
      </w:r>
      <w:r w:rsidRPr="007F20FB">
        <w:rPr>
          <w:rFonts w:hint="cs"/>
          <w:spacing w:val="4"/>
          <w:rtl/>
        </w:rPr>
        <w:t xml:space="preserve"> هذا الصدد؛</w:t>
      </w:r>
    </w:p>
    <w:p w:rsidR="00655556" w:rsidRPr="007F20FB" w:rsidRDefault="00655556" w:rsidP="002F0BEF">
      <w:pPr>
        <w:pStyle w:val="SingleTxtGA"/>
        <w:rPr>
          <w:rFonts w:hint="cs"/>
          <w:spacing w:val="4"/>
          <w:rtl/>
        </w:rPr>
      </w:pPr>
      <w:r w:rsidRPr="007F20FB">
        <w:rPr>
          <w:rFonts w:hint="cs"/>
          <w:spacing w:val="4"/>
          <w:rtl/>
        </w:rPr>
        <w:tab/>
        <w:t>(ج)</w:t>
      </w:r>
      <w:r w:rsidRPr="007F20FB">
        <w:rPr>
          <w:rFonts w:hint="cs"/>
          <w:spacing w:val="4"/>
          <w:rtl/>
        </w:rPr>
        <w:tab/>
        <w:t xml:space="preserve">التركيز بوجه </w:t>
      </w:r>
      <w:r w:rsidRPr="002F0BEF">
        <w:rPr>
          <w:rFonts w:hint="cs"/>
          <w:rtl/>
          <w:lang w:bidi="ar"/>
        </w:rPr>
        <w:t>خاص</w:t>
      </w:r>
      <w:r w:rsidRPr="007F20FB">
        <w:rPr>
          <w:rFonts w:hint="cs"/>
          <w:spacing w:val="4"/>
          <w:rtl/>
        </w:rPr>
        <w:t xml:space="preserve"> على الحلول العملية فيما يتصل بإعمال الحقوق ذات الصلة بالولاية؛</w:t>
      </w:r>
    </w:p>
    <w:p w:rsidR="00655556" w:rsidRPr="007F20FB" w:rsidRDefault="00655556" w:rsidP="00DB262B">
      <w:pPr>
        <w:pStyle w:val="SingleTxtGA"/>
        <w:rPr>
          <w:rFonts w:hint="cs"/>
          <w:spacing w:val="4"/>
          <w:rtl/>
        </w:rPr>
      </w:pPr>
      <w:r w:rsidRPr="007F20FB">
        <w:rPr>
          <w:rFonts w:hint="cs"/>
          <w:spacing w:val="4"/>
          <w:rtl/>
        </w:rPr>
        <w:tab/>
        <w:t>(د)</w:t>
      </w:r>
      <w:r w:rsidRPr="007F20FB">
        <w:rPr>
          <w:rFonts w:hint="cs"/>
          <w:spacing w:val="4"/>
          <w:rtl/>
        </w:rPr>
        <w:tab/>
        <w:t xml:space="preserve">تطبيق منظور </w:t>
      </w:r>
      <w:r w:rsidRPr="002F0BEF">
        <w:rPr>
          <w:rFonts w:hint="cs"/>
          <w:rtl/>
          <w:lang w:bidi="ar"/>
        </w:rPr>
        <w:t>جنساني</w:t>
      </w:r>
      <w:r w:rsidRPr="007F20FB">
        <w:rPr>
          <w:rFonts w:hint="cs"/>
          <w:spacing w:val="4"/>
          <w:rtl/>
        </w:rPr>
        <w:t xml:space="preserve">، بما في ذلك عن طريق تحديد </w:t>
      </w:r>
      <w:r w:rsidR="00DB262B">
        <w:rPr>
          <w:rFonts w:hint="cs"/>
          <w:spacing w:val="4"/>
          <w:rtl/>
        </w:rPr>
        <w:t>التحديات المتعلقة بنوع الجنس</w:t>
      </w:r>
      <w:r w:rsidRPr="007F20FB">
        <w:rPr>
          <w:rFonts w:hint="cs"/>
          <w:spacing w:val="4"/>
          <w:rtl/>
        </w:rPr>
        <w:t xml:space="preserve"> </w:t>
      </w:r>
      <w:r>
        <w:rPr>
          <w:rFonts w:hint="cs"/>
          <w:spacing w:val="4"/>
          <w:rtl/>
        </w:rPr>
        <w:t>فيما يتصل بالحق في السكن اللائق</w:t>
      </w:r>
      <w:r w:rsidRPr="007F20FB">
        <w:rPr>
          <w:rFonts w:hint="cs"/>
          <w:spacing w:val="4"/>
          <w:rtl/>
        </w:rPr>
        <w:t>؛</w:t>
      </w:r>
    </w:p>
    <w:p w:rsidR="00655556" w:rsidRPr="007F20FB" w:rsidRDefault="00655556" w:rsidP="002F0BEF">
      <w:pPr>
        <w:pStyle w:val="SingleTxtGA"/>
        <w:rPr>
          <w:rFonts w:hint="cs"/>
          <w:spacing w:val="4"/>
          <w:rtl/>
        </w:rPr>
      </w:pPr>
      <w:r w:rsidRPr="007F20FB">
        <w:rPr>
          <w:rFonts w:hint="cs"/>
          <w:spacing w:val="4"/>
          <w:rtl/>
        </w:rPr>
        <w:tab/>
        <w:t>(</w:t>
      </w:r>
      <w:r w:rsidR="002F0BEF" w:rsidRPr="002F0BEF">
        <w:rPr>
          <w:rFonts w:hint="cs"/>
          <w:spacing w:val="4"/>
          <w:sz w:val="30"/>
          <w:rtl/>
        </w:rPr>
        <w:t>ﻫ</w:t>
      </w:r>
      <w:r>
        <w:rPr>
          <w:rFonts w:hint="cs"/>
          <w:spacing w:val="4"/>
          <w:rtl/>
        </w:rPr>
        <w:t>)</w:t>
      </w:r>
      <w:r w:rsidRPr="007F20FB">
        <w:rPr>
          <w:rFonts w:hint="cs"/>
          <w:spacing w:val="4"/>
          <w:rtl/>
        </w:rPr>
        <w:tab/>
      </w:r>
      <w:r>
        <w:rPr>
          <w:rFonts w:hint="cs"/>
          <w:spacing w:val="4"/>
          <w:rtl/>
        </w:rPr>
        <w:t>إيلاء اهتمام خاص لاحتياجات الأشخاص الذين يعانون من حالات الضعف وكذلك المنتمين إلى الفئات المهمشة</w:t>
      </w:r>
      <w:r w:rsidRPr="007F20FB">
        <w:rPr>
          <w:rFonts w:hint="cs"/>
          <w:spacing w:val="4"/>
          <w:rtl/>
        </w:rPr>
        <w:t>؛</w:t>
      </w:r>
    </w:p>
    <w:p w:rsidR="00655556" w:rsidRPr="00611660" w:rsidRDefault="00655556" w:rsidP="002F0BEF">
      <w:pPr>
        <w:pStyle w:val="SingleTxtGA"/>
        <w:rPr>
          <w:rFonts w:hint="cs"/>
          <w:rtl/>
        </w:rPr>
      </w:pPr>
      <w:r w:rsidRPr="00611660">
        <w:rPr>
          <w:rFonts w:hint="cs"/>
          <w:rtl/>
        </w:rPr>
        <w:tab/>
        <w:t>(و)</w:t>
      </w:r>
      <w:r w:rsidRPr="00611660">
        <w:rPr>
          <w:rFonts w:hint="cs"/>
          <w:rtl/>
        </w:rPr>
        <w:tab/>
      </w:r>
      <w:r w:rsidRPr="007F20FB">
        <w:rPr>
          <w:rFonts w:hint="cs"/>
          <w:spacing w:val="4"/>
          <w:rtl/>
        </w:rPr>
        <w:t>تيسير توفير المساعدة التقنية</w:t>
      </w:r>
      <w:r>
        <w:rPr>
          <w:rFonts w:hint="cs"/>
          <w:spacing w:val="4"/>
          <w:rtl/>
        </w:rPr>
        <w:t xml:space="preserve">، بما في ذلك عن طريق التعاون مع الجهات المعنية صاحبة المصلحة؛ </w:t>
      </w:r>
    </w:p>
    <w:p w:rsidR="00655556" w:rsidRDefault="00655556" w:rsidP="002F0BEF">
      <w:pPr>
        <w:pStyle w:val="SingleTxtGA"/>
        <w:rPr>
          <w:rFonts w:hint="cs"/>
          <w:spacing w:val="4"/>
          <w:rtl/>
        </w:rPr>
      </w:pPr>
      <w:r w:rsidRPr="007F20FB">
        <w:rPr>
          <w:rFonts w:hint="cs"/>
          <w:spacing w:val="4"/>
          <w:rtl/>
        </w:rPr>
        <w:tab/>
        <w:t>(ز)</w:t>
      </w:r>
      <w:r w:rsidRPr="007F20FB">
        <w:rPr>
          <w:rFonts w:hint="cs"/>
          <w:spacing w:val="4"/>
          <w:rtl/>
        </w:rPr>
        <w:tab/>
      </w:r>
      <w:r w:rsidRPr="00611660">
        <w:rPr>
          <w:rFonts w:hint="cs"/>
          <w:rtl/>
        </w:rPr>
        <w:t>العمل بالتعاون الوثيق مع سائر الإجراءات الخاصة والأجهزة الفرعية التابعة لمجلس حقوق الإنسان وهيئات الأمم المتحدة ذات الصلة وهيئات المعاهدات وآليات حقوق الإنسان الإقليمية، مع تفادي الازدواجية التي لا لزوم لها؛</w:t>
      </w:r>
    </w:p>
    <w:p w:rsidR="00655556" w:rsidRPr="007F20FB" w:rsidRDefault="00655556" w:rsidP="002F0BEF">
      <w:pPr>
        <w:pStyle w:val="SingleTxtGA"/>
        <w:rPr>
          <w:rFonts w:hint="cs"/>
          <w:spacing w:val="4"/>
          <w:rtl/>
        </w:rPr>
      </w:pPr>
      <w:r>
        <w:rPr>
          <w:rFonts w:hint="cs"/>
          <w:spacing w:val="4"/>
          <w:rtl/>
        </w:rPr>
        <w:tab/>
        <w:t>(ح)</w:t>
      </w:r>
      <w:r>
        <w:rPr>
          <w:rFonts w:hint="cs"/>
          <w:spacing w:val="4"/>
          <w:rtl/>
        </w:rPr>
        <w:tab/>
      </w:r>
      <w:r w:rsidRPr="007F20FB">
        <w:rPr>
          <w:rFonts w:hint="cs"/>
          <w:spacing w:val="4"/>
          <w:rtl/>
        </w:rPr>
        <w:t xml:space="preserve">تقديم تقرير </w:t>
      </w:r>
      <w:r>
        <w:rPr>
          <w:rFonts w:hint="cs"/>
          <w:spacing w:val="4"/>
          <w:rtl/>
        </w:rPr>
        <w:t>بانتظام إلى المجلس و</w:t>
      </w:r>
      <w:r w:rsidRPr="007F20FB">
        <w:rPr>
          <w:rFonts w:hint="cs"/>
          <w:spacing w:val="4"/>
          <w:rtl/>
        </w:rPr>
        <w:t xml:space="preserve">إلى الجمعية العامة، وفقاً لبرنامج </w:t>
      </w:r>
      <w:r>
        <w:rPr>
          <w:rFonts w:hint="cs"/>
          <w:spacing w:val="4"/>
          <w:rtl/>
        </w:rPr>
        <w:t>ال</w:t>
      </w:r>
      <w:r w:rsidRPr="007F20FB">
        <w:rPr>
          <w:rFonts w:hint="cs"/>
          <w:spacing w:val="4"/>
          <w:rtl/>
        </w:rPr>
        <w:t>عمل السنوي</w:t>
      </w:r>
      <w:r>
        <w:rPr>
          <w:rFonts w:hint="cs"/>
          <w:spacing w:val="4"/>
          <w:rtl/>
        </w:rPr>
        <w:t xml:space="preserve"> لكل منهما،</w:t>
      </w:r>
      <w:r w:rsidRPr="007F20FB">
        <w:rPr>
          <w:rFonts w:hint="cs"/>
          <w:spacing w:val="4"/>
          <w:rtl/>
        </w:rPr>
        <w:t xml:space="preserve"> عن تنفيذ </w:t>
      </w:r>
      <w:r>
        <w:rPr>
          <w:rFonts w:hint="cs"/>
          <w:spacing w:val="4"/>
          <w:rtl/>
        </w:rPr>
        <w:t>المقررة الخاصة ولايتها</w:t>
      </w:r>
      <w:r w:rsidRPr="007F20FB">
        <w:rPr>
          <w:rFonts w:hint="cs"/>
          <w:spacing w:val="4"/>
          <w:rtl/>
        </w:rPr>
        <w:t>؛</w:t>
      </w:r>
    </w:p>
    <w:p w:rsidR="00655556" w:rsidRDefault="00655556" w:rsidP="002F0BEF">
      <w:pPr>
        <w:pStyle w:val="SingleTxtGA"/>
        <w:rPr>
          <w:rFonts w:hint="cs"/>
          <w:spacing w:val="4"/>
          <w:rtl/>
        </w:rPr>
      </w:pPr>
      <w:r w:rsidRPr="007F20FB">
        <w:rPr>
          <w:rFonts w:hint="cs"/>
          <w:spacing w:val="4"/>
          <w:rtl/>
        </w:rPr>
        <w:tab/>
      </w:r>
      <w:r>
        <w:rPr>
          <w:rFonts w:hint="cs"/>
          <w:spacing w:val="4"/>
          <w:rtl/>
        </w:rPr>
        <w:t>3</w:t>
      </w:r>
      <w:r w:rsidRPr="007F20FB">
        <w:rPr>
          <w:rFonts w:hint="cs"/>
          <w:spacing w:val="4"/>
          <w:rtl/>
        </w:rPr>
        <w:t>-</w:t>
      </w:r>
      <w:r w:rsidRPr="007F20FB">
        <w:rPr>
          <w:rFonts w:hint="cs"/>
          <w:spacing w:val="4"/>
          <w:rtl/>
        </w:rPr>
        <w:tab/>
      </w:r>
      <w:r w:rsidRPr="007F20FB">
        <w:rPr>
          <w:rFonts w:hint="cs"/>
          <w:i/>
          <w:iCs/>
          <w:spacing w:val="4"/>
          <w:rtl/>
        </w:rPr>
        <w:t>يحيط علماً</w:t>
      </w:r>
      <w:r w:rsidRPr="007F20FB">
        <w:rPr>
          <w:rFonts w:hint="cs"/>
          <w:spacing w:val="4"/>
          <w:rtl/>
        </w:rPr>
        <w:t xml:space="preserve"> بالعمل </w:t>
      </w:r>
      <w:r w:rsidRPr="002F0BEF">
        <w:rPr>
          <w:rFonts w:hint="cs"/>
          <w:rtl/>
          <w:lang w:bidi="ar"/>
        </w:rPr>
        <w:t>المنجز</w:t>
      </w:r>
      <w:r>
        <w:rPr>
          <w:rFonts w:hint="cs"/>
          <w:spacing w:val="4"/>
          <w:rtl/>
        </w:rPr>
        <w:t xml:space="preserve"> بشأن</w:t>
      </w:r>
      <w:r w:rsidRPr="007F20FB">
        <w:rPr>
          <w:rFonts w:hint="cs"/>
          <w:spacing w:val="4"/>
          <w:rtl/>
        </w:rPr>
        <w:t xml:space="preserve"> بالمبادئ الأساسية والمبادئ التوجيهية المتعلقة بعمليات الإخلاء والترحيل بدافع التنمية والحاجة إلى مواصلة العمل بصددها، بما في ذلك من خلال التشاور مع الدول وغيرها من الجهات صاحبة المصلحة؛</w:t>
      </w:r>
    </w:p>
    <w:p w:rsidR="00655556" w:rsidRPr="007F20FB" w:rsidRDefault="00655556" w:rsidP="002F0BEF">
      <w:pPr>
        <w:pStyle w:val="SingleTxtGA"/>
        <w:rPr>
          <w:rFonts w:hint="cs"/>
          <w:spacing w:val="4"/>
          <w:rtl/>
        </w:rPr>
      </w:pPr>
      <w:r>
        <w:rPr>
          <w:rFonts w:hint="cs"/>
          <w:spacing w:val="4"/>
          <w:rtl/>
        </w:rPr>
        <w:tab/>
        <w:t>4-</w:t>
      </w:r>
      <w:r>
        <w:rPr>
          <w:rFonts w:hint="cs"/>
          <w:spacing w:val="4"/>
          <w:rtl/>
        </w:rPr>
        <w:tab/>
      </w:r>
      <w:r w:rsidRPr="00DB48F4">
        <w:rPr>
          <w:rFonts w:hint="cs"/>
          <w:i/>
          <w:iCs/>
          <w:spacing w:val="4"/>
          <w:rtl/>
        </w:rPr>
        <w:t>يطلب</w:t>
      </w:r>
      <w:r>
        <w:rPr>
          <w:rFonts w:hint="cs"/>
          <w:rtl/>
          <w:lang w:bidi="ar"/>
        </w:rPr>
        <w:t xml:space="preserve"> إلى الأمين العام وإلى مفوضة الأمم المتحدة السامية لحقوق الإنسان تقديم كل ما يلزم من مساعدة للمقررة الخاصة لتمكينها من الاضطلاع بولايتها بفعالية؛</w:t>
      </w:r>
    </w:p>
    <w:p w:rsidR="00655556" w:rsidRPr="007F20FB" w:rsidRDefault="00655556" w:rsidP="002F0BEF">
      <w:pPr>
        <w:pStyle w:val="SingleTxtGA"/>
        <w:rPr>
          <w:rFonts w:hint="cs"/>
          <w:spacing w:val="4"/>
          <w:rtl/>
        </w:rPr>
      </w:pPr>
      <w:r w:rsidRPr="007F20FB">
        <w:rPr>
          <w:rFonts w:hint="cs"/>
          <w:spacing w:val="4"/>
          <w:rtl/>
        </w:rPr>
        <w:tab/>
      </w:r>
      <w:r>
        <w:rPr>
          <w:rFonts w:hint="cs"/>
          <w:spacing w:val="4"/>
          <w:rtl/>
        </w:rPr>
        <w:t>5</w:t>
      </w:r>
      <w:r w:rsidRPr="007F20FB">
        <w:rPr>
          <w:rFonts w:hint="cs"/>
          <w:spacing w:val="4"/>
          <w:rtl/>
        </w:rPr>
        <w:t>-</w:t>
      </w:r>
      <w:r w:rsidRPr="007F20FB">
        <w:rPr>
          <w:rFonts w:hint="cs"/>
          <w:spacing w:val="4"/>
          <w:rtl/>
        </w:rPr>
        <w:tab/>
      </w:r>
      <w:r w:rsidRPr="002F0BEF">
        <w:rPr>
          <w:rFonts w:hint="cs"/>
          <w:i/>
          <w:iCs/>
          <w:spacing w:val="4"/>
          <w:rtl/>
        </w:rPr>
        <w:t>يُلاحظ</w:t>
      </w:r>
      <w:r w:rsidRPr="002F0BEF">
        <w:rPr>
          <w:rFonts w:hint="cs"/>
          <w:i/>
          <w:iCs/>
          <w:rtl/>
          <w:lang w:bidi="ar"/>
        </w:rPr>
        <w:t xml:space="preserve"> مع التقدير</w:t>
      </w:r>
      <w:r>
        <w:rPr>
          <w:rFonts w:hint="cs"/>
          <w:rtl/>
          <w:lang w:bidi="ar"/>
        </w:rPr>
        <w:t xml:space="preserve"> التعاون الذي قدمته شتى الجهات الفاعلة حتى هذا التاريخ إلى المقررة الخاصة ويناشد كافة الدول</w:t>
      </w:r>
      <w:r>
        <w:rPr>
          <w:rFonts w:hint="cs"/>
          <w:spacing w:val="4"/>
          <w:rtl/>
        </w:rPr>
        <w:t>:</w:t>
      </w:r>
    </w:p>
    <w:p w:rsidR="00655556" w:rsidRPr="005122F7" w:rsidRDefault="00655556" w:rsidP="00DB262B">
      <w:pPr>
        <w:pStyle w:val="SingleTxtGA"/>
        <w:rPr>
          <w:rFonts w:hint="cs"/>
          <w:spacing w:val="4"/>
          <w:rtl/>
        </w:rPr>
      </w:pPr>
      <w:r>
        <w:rPr>
          <w:rFonts w:hint="cs"/>
          <w:spacing w:val="4"/>
          <w:rtl/>
        </w:rPr>
        <w:tab/>
        <w:t>(أ)</w:t>
      </w:r>
      <w:r>
        <w:rPr>
          <w:rFonts w:hint="cs"/>
          <w:spacing w:val="4"/>
          <w:rtl/>
        </w:rPr>
        <w:tab/>
      </w:r>
      <w:r>
        <w:rPr>
          <w:rFonts w:hint="cs"/>
          <w:rtl/>
          <w:lang w:bidi="ar"/>
        </w:rPr>
        <w:t>مواصلة التعاون مع المقررة الخاصة في اضطلاعها والاستجابة لطلباتها من أجل الحصول على معلومات والقيام بزيارات؛</w:t>
      </w:r>
    </w:p>
    <w:p w:rsidR="00655556" w:rsidRPr="007F20FB" w:rsidRDefault="00655556" w:rsidP="002F0BEF">
      <w:pPr>
        <w:pStyle w:val="SingleTxtGA"/>
        <w:rPr>
          <w:rFonts w:hint="cs"/>
          <w:spacing w:val="4"/>
          <w:rtl/>
        </w:rPr>
      </w:pPr>
      <w:r>
        <w:rPr>
          <w:rFonts w:hint="cs"/>
          <w:spacing w:val="4"/>
          <w:rtl/>
        </w:rPr>
        <w:tab/>
        <w:t>(ب)</w:t>
      </w:r>
      <w:r w:rsidRPr="007F20FB">
        <w:rPr>
          <w:rFonts w:hint="cs"/>
          <w:spacing w:val="4"/>
          <w:rtl/>
        </w:rPr>
        <w:tab/>
      </w:r>
      <w:r>
        <w:rPr>
          <w:rFonts w:hint="cs"/>
          <w:rtl/>
          <w:lang w:bidi="ar"/>
        </w:rPr>
        <w:t>الدخول في حوار بنَّاء مع المقررة الخاصة بشأن متابعة توصياتها وتنفيذها</w:t>
      </w:r>
      <w:r w:rsidRPr="007F20FB">
        <w:rPr>
          <w:rFonts w:hint="cs"/>
          <w:spacing w:val="4"/>
          <w:rtl/>
        </w:rPr>
        <w:t>؛</w:t>
      </w:r>
    </w:p>
    <w:p w:rsidR="00655556" w:rsidRDefault="00655556" w:rsidP="002F0BEF">
      <w:pPr>
        <w:pStyle w:val="SingleTxtGA"/>
        <w:rPr>
          <w:rFonts w:hint="cs"/>
          <w:rtl/>
        </w:rPr>
      </w:pPr>
      <w:r w:rsidRPr="007F20FB">
        <w:rPr>
          <w:rFonts w:hint="cs"/>
          <w:spacing w:val="4"/>
          <w:rtl/>
        </w:rPr>
        <w:tab/>
      </w:r>
      <w:r>
        <w:rPr>
          <w:rFonts w:hint="cs"/>
          <w:spacing w:val="4"/>
          <w:rtl/>
        </w:rPr>
        <w:t>6</w:t>
      </w:r>
      <w:r w:rsidRPr="007F20FB">
        <w:rPr>
          <w:rFonts w:hint="cs"/>
          <w:spacing w:val="4"/>
          <w:rtl/>
        </w:rPr>
        <w:t>-</w:t>
      </w:r>
      <w:r w:rsidRPr="007F20FB">
        <w:rPr>
          <w:rFonts w:hint="cs"/>
          <w:spacing w:val="4"/>
          <w:rtl/>
        </w:rPr>
        <w:tab/>
      </w:r>
      <w:r w:rsidRPr="007F20FB">
        <w:rPr>
          <w:rFonts w:hint="cs"/>
          <w:i/>
          <w:iCs/>
          <w:spacing w:val="4"/>
          <w:rtl/>
        </w:rPr>
        <w:t>يقرر</w:t>
      </w:r>
      <w:r w:rsidRPr="007F20FB">
        <w:rPr>
          <w:rFonts w:hint="cs"/>
          <w:spacing w:val="4"/>
          <w:rtl/>
        </w:rPr>
        <w:t xml:space="preserve"> مواصلة النظر في هذه المسألة في إطار البند نفسه من جدول الأعمال.</w:t>
      </w:r>
    </w:p>
    <w:p w:rsidR="00DB262B" w:rsidRPr="005C1076" w:rsidRDefault="00DB262B" w:rsidP="00DB262B">
      <w:pPr>
        <w:pStyle w:val="SingleTxtGA"/>
        <w:spacing w:after="0"/>
        <w:jc w:val="right"/>
        <w:rPr>
          <w:rFonts w:hint="cs"/>
          <w:i/>
          <w:iCs/>
          <w:rtl/>
        </w:rPr>
      </w:pPr>
      <w:r w:rsidRPr="005C1076">
        <w:rPr>
          <w:rFonts w:hint="cs"/>
          <w:i/>
          <w:iCs/>
          <w:rtl/>
        </w:rPr>
        <w:t xml:space="preserve">الجلسة </w:t>
      </w:r>
      <w:r>
        <w:rPr>
          <w:rFonts w:hint="cs"/>
          <w:i/>
          <w:iCs/>
          <w:rtl/>
        </w:rPr>
        <w:t>31</w:t>
      </w:r>
    </w:p>
    <w:p w:rsidR="00DB262B" w:rsidRPr="005C1076" w:rsidRDefault="00DB262B" w:rsidP="00DB262B">
      <w:pPr>
        <w:pStyle w:val="SingleTxtGA"/>
        <w:spacing w:after="0"/>
        <w:jc w:val="right"/>
        <w:rPr>
          <w:rFonts w:hint="cs"/>
          <w:i/>
          <w:iCs/>
          <w:rtl/>
        </w:rPr>
      </w:pPr>
      <w:r>
        <w:rPr>
          <w:rFonts w:hint="cs"/>
          <w:i/>
          <w:iCs/>
          <w:rtl/>
        </w:rPr>
        <w:t>30</w:t>
      </w:r>
      <w:r w:rsidRPr="005C1076">
        <w:rPr>
          <w:rFonts w:hint="cs"/>
          <w:i/>
          <w:iCs/>
          <w:rtl/>
        </w:rPr>
        <w:t xml:space="preserve"> أيلول/سبتمبر </w:t>
      </w:r>
      <w:r>
        <w:rPr>
          <w:rFonts w:hint="cs"/>
          <w:i/>
          <w:iCs/>
          <w:rtl/>
        </w:rPr>
        <w:t>2010</w:t>
      </w:r>
    </w:p>
    <w:p w:rsidR="00DB262B" w:rsidRDefault="00DB262B" w:rsidP="00DB262B">
      <w:pPr>
        <w:pStyle w:val="SingleTxtGA"/>
        <w:rPr>
          <w:rFonts w:hint="cs"/>
          <w:rtl/>
        </w:rPr>
      </w:pPr>
      <w:r>
        <w:rPr>
          <w:rFonts w:hint="cs"/>
          <w:rtl/>
        </w:rPr>
        <w:t>[اعتُمد دون تصويت.]</w:t>
      </w:r>
    </w:p>
    <w:p w:rsidR="00655556" w:rsidRPr="00ED3341" w:rsidRDefault="00655556" w:rsidP="00655556">
      <w:pPr>
        <w:spacing w:before="120"/>
        <w:jc w:val="center"/>
        <w:rPr>
          <w:rFonts w:hint="cs"/>
          <w:u w:val="single"/>
          <w:rtl/>
        </w:rPr>
      </w:pPr>
      <w:r>
        <w:rPr>
          <w:u w:val="single"/>
          <w:rtl/>
        </w:rPr>
        <w:tab/>
      </w:r>
      <w:r>
        <w:rPr>
          <w:u w:val="single"/>
          <w:rtl/>
        </w:rPr>
        <w:tab/>
      </w:r>
      <w:r>
        <w:rPr>
          <w:u w:val="single"/>
          <w:rtl/>
        </w:rPr>
        <w:tab/>
      </w:r>
    </w:p>
    <w:sectPr w:rsidR="00655556" w:rsidRPr="00ED3341" w:rsidSect="00926E0A">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D8" w:rsidRPr="00FE6865" w:rsidRDefault="00D924D8" w:rsidP="00FE6865">
      <w:pPr>
        <w:pStyle w:val="Footer"/>
      </w:pPr>
    </w:p>
  </w:endnote>
  <w:endnote w:type="continuationSeparator" w:id="0">
    <w:p w:rsidR="00D924D8" w:rsidRDefault="00D9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8" w:rsidRPr="00926E0A" w:rsidRDefault="00D924D8" w:rsidP="001A7824">
    <w:pPr>
      <w:pStyle w:val="Footer"/>
      <w:tabs>
        <w:tab w:val="right" w:pos="9598"/>
      </w:tabs>
    </w:pPr>
    <w:r>
      <w:t>GE.10-16624</w:t>
    </w:r>
    <w:r>
      <w:tab/>
    </w:r>
    <w:r w:rsidRPr="00926E0A">
      <w:rPr>
        <w:b/>
        <w:sz w:val="18"/>
      </w:rPr>
      <w:fldChar w:fldCharType="begin"/>
    </w:r>
    <w:r w:rsidRPr="00926E0A">
      <w:rPr>
        <w:b/>
        <w:sz w:val="18"/>
      </w:rPr>
      <w:instrText xml:space="preserve"> PAGE  \* MERGEFORMAT </w:instrText>
    </w:r>
    <w:r w:rsidRPr="00926E0A">
      <w:rPr>
        <w:b/>
        <w:sz w:val="18"/>
      </w:rPr>
      <w:fldChar w:fldCharType="separate"/>
    </w:r>
    <w:r>
      <w:rPr>
        <w:b/>
        <w:noProof/>
        <w:sz w:val="18"/>
      </w:rPr>
      <w:t>2</w:t>
    </w:r>
    <w:r w:rsidRPr="00926E0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8" w:rsidRPr="00926E0A" w:rsidRDefault="00D924D8" w:rsidP="001A7824">
    <w:pPr>
      <w:pStyle w:val="Footer"/>
      <w:tabs>
        <w:tab w:val="right" w:pos="9598"/>
      </w:tabs>
      <w:rPr>
        <w:b/>
        <w:sz w:val="18"/>
      </w:rPr>
    </w:pPr>
    <w:r w:rsidRPr="00926E0A">
      <w:rPr>
        <w:b/>
        <w:sz w:val="18"/>
      </w:rPr>
      <w:fldChar w:fldCharType="begin"/>
    </w:r>
    <w:r w:rsidRPr="00926E0A">
      <w:rPr>
        <w:b/>
        <w:sz w:val="18"/>
      </w:rPr>
      <w:instrText xml:space="preserve"> PAGE  \* MERGEFORMAT </w:instrText>
    </w:r>
    <w:r w:rsidRPr="00926E0A">
      <w:rPr>
        <w:b/>
        <w:sz w:val="18"/>
      </w:rPr>
      <w:fldChar w:fldCharType="separate"/>
    </w:r>
    <w:r>
      <w:rPr>
        <w:b/>
        <w:noProof/>
        <w:sz w:val="18"/>
      </w:rPr>
      <w:t>3</w:t>
    </w:r>
    <w:r w:rsidRPr="00926E0A">
      <w:rPr>
        <w:b/>
        <w:sz w:val="18"/>
      </w:rPr>
      <w:fldChar w:fldCharType="end"/>
    </w:r>
    <w:r>
      <w:rPr>
        <w:b/>
        <w:sz w:val="18"/>
      </w:rPr>
      <w:tab/>
    </w:r>
    <w:r>
      <w:t>GE.10-16624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8" w:rsidRDefault="00D924D8" w:rsidP="00DC7A92">
    <w:pPr>
      <w:pStyle w:val="Footer"/>
      <w:jc w:val="right"/>
    </w:pPr>
    <w:r>
      <w:rPr>
        <w:sz w:val="20"/>
      </w:rPr>
      <w:t>(A)   GE.10-16624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111010    131010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D8" w:rsidRDefault="00D924D8" w:rsidP="009A0C39">
      <w:pPr>
        <w:spacing w:after="80" w:line="200" w:lineRule="atLeast"/>
        <w:ind w:left="680"/>
      </w:pPr>
      <w:r w:rsidRPr="00C10C26">
        <w:rPr>
          <w:sz w:val="16"/>
          <w:rtl/>
        </w:rPr>
        <w:t>__________</w:t>
      </w:r>
    </w:p>
  </w:footnote>
  <w:footnote w:type="continuationSeparator" w:id="0">
    <w:p w:rsidR="00D924D8" w:rsidRDefault="00D924D8" w:rsidP="00444AA6">
      <w:pPr>
        <w:pStyle w:val="Footer"/>
        <w:bidi/>
        <w:spacing w:after="80" w:line="200" w:lineRule="exact"/>
        <w:ind w:left="680"/>
      </w:pPr>
      <w:r>
        <w:rPr>
          <w:rFonts w:hint="cs"/>
          <w:rtl/>
        </w:rPr>
        <w:t>__________</w:t>
      </w:r>
    </w:p>
  </w:footnote>
  <w:footnote w:id="1">
    <w:p w:rsidR="00D924D8" w:rsidRPr="0003325A" w:rsidRDefault="00D924D8" w:rsidP="001C00E3">
      <w:pPr>
        <w:pStyle w:val="footnoteText0"/>
        <w:rPr>
          <w:rFonts w:hint="cs"/>
          <w:rtl/>
        </w:rPr>
      </w:pPr>
      <w:r>
        <w:rPr>
          <w:rtl/>
        </w:rPr>
        <w:tab/>
      </w:r>
      <w:r w:rsidRPr="0003325A">
        <w:rPr>
          <w:rStyle w:val="FootnoteReference"/>
          <w:sz w:val="20"/>
          <w:vertAlign w:val="baseline"/>
          <w:rtl/>
        </w:rPr>
        <w:t>*</w:t>
      </w:r>
      <w:r>
        <w:rPr>
          <w:rtl/>
        </w:rPr>
        <w:tab/>
      </w:r>
      <w:r>
        <w:rPr>
          <w:rFonts w:hint="cs"/>
          <w:rtl/>
        </w:rPr>
        <w:t xml:space="preserve">سترد القرارات والمقررات التي اعتمدها مجلس حقوق الإنسان في تقرير المجلس عن أعمال دورته الخامسة عشرة </w:t>
      </w:r>
      <w:r>
        <w:t>(A/HRC/15/60)</w:t>
      </w:r>
      <w:r>
        <w:rPr>
          <w:rFonts w:hint="cs"/>
          <w:rtl/>
        </w:rPr>
        <w:t>، الفصل الأول.</w:t>
      </w:r>
    </w:p>
  </w:footnote>
  <w:footnote w:id="2">
    <w:p w:rsidR="00D924D8" w:rsidRDefault="00D924D8" w:rsidP="00655556">
      <w:pPr>
        <w:pStyle w:val="FootnoteText"/>
        <w:tabs>
          <w:tab w:val="num" w:pos="720"/>
        </w:tabs>
        <w:spacing w:after="120" w:line="340" w:lineRule="atLeast"/>
        <w:ind w:firstLine="720"/>
      </w:pPr>
      <w:r w:rsidRPr="002F0BEF">
        <w:rPr>
          <w:rFonts w:hint="cs"/>
          <w:sz w:val="26"/>
          <w:szCs w:val="26"/>
          <w:rtl/>
        </w:rPr>
        <w:t>(1)</w:t>
      </w:r>
      <w:r>
        <w:rPr>
          <w:rFonts w:hint="cs"/>
          <w:rtl/>
        </w:rPr>
        <w:tab/>
      </w:r>
      <w:r>
        <w:rPr>
          <w:rFonts w:hint="cs"/>
          <w:lang w:bidi="ar"/>
        </w:rPr>
        <w:t>A/CONF.165/14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8" w:rsidRPr="00926E0A" w:rsidRDefault="00D924D8" w:rsidP="001A7824">
    <w:pPr>
      <w:pStyle w:val="Header"/>
      <w:jc w:val="right"/>
    </w:pPr>
    <w:r w:rsidRPr="00926E0A">
      <w:t>A/HRC</w:t>
    </w:r>
    <w:r>
      <w:t>/RES</w:t>
    </w:r>
    <w:r w:rsidRPr="00926E0A">
      <w:t>/15/</w:t>
    </w:r>
    <w: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8" w:rsidRPr="00926E0A" w:rsidRDefault="00D924D8" w:rsidP="001A7824">
    <w:pPr>
      <w:pStyle w:val="Header"/>
      <w:jc w:val="left"/>
    </w:pPr>
    <w:r w:rsidRPr="00926E0A">
      <w:t>A/HRC</w:t>
    </w:r>
    <w:r w:rsidRPr="001A7824">
      <w:t xml:space="preserve"> </w:t>
    </w:r>
    <w:r>
      <w:t>RES</w:t>
    </w:r>
    <w:r w:rsidRPr="00926E0A">
      <w:t>/15/</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A2E12"/>
    <w:multiLevelType w:val="hybridMultilevel"/>
    <w:tmpl w:val="A1329E90"/>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2"/>
  </w:num>
  <w:num w:numId="12">
    <w:abstractNumId w:val="14"/>
  </w:num>
  <w:num w:numId="13">
    <w:abstractNumId w:val="12"/>
  </w:num>
  <w:num w:numId="14">
    <w:abstractNumId w:val="9"/>
  </w:num>
  <w:num w:numId="15">
    <w:abstractNumId w:val="21"/>
  </w:num>
  <w:num w:numId="16">
    <w:abstractNumId w:val="2"/>
  </w:num>
  <w:num w:numId="17">
    <w:abstractNumId w:val="14"/>
  </w:num>
  <w:num w:numId="18">
    <w:abstractNumId w:val="12"/>
  </w:num>
  <w:num w:numId="19">
    <w:abstractNumId w:val="9"/>
  </w:num>
  <w:num w:numId="20">
    <w:abstractNumId w:val="21"/>
  </w:num>
  <w:num w:numId="21">
    <w:abstractNumId w:val="2"/>
  </w:num>
  <w:num w:numId="22">
    <w:abstractNumId w:val="14"/>
  </w:num>
  <w:num w:numId="23">
    <w:abstractNumId w:val="9"/>
  </w:num>
  <w:num w:numId="24">
    <w:abstractNumId w:val="21"/>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18"/>
  </w:num>
  <w:num w:numId="34">
    <w:abstractNumId w:val="22"/>
  </w:num>
  <w:num w:numId="35">
    <w:abstractNumId w:val="6"/>
  </w:num>
  <w:num w:numId="36">
    <w:abstractNumId w:val="17"/>
  </w:num>
  <w:num w:numId="37">
    <w:abstractNumId w:val="19"/>
  </w:num>
  <w:num w:numId="38">
    <w:abstractNumId w:val="0"/>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84C"/>
    <w:rsid w:val="00040E25"/>
    <w:rsid w:val="00042149"/>
    <w:rsid w:val="0004284C"/>
    <w:rsid w:val="000648EA"/>
    <w:rsid w:val="000957C8"/>
    <w:rsid w:val="000B52F2"/>
    <w:rsid w:val="000D0EAE"/>
    <w:rsid w:val="000D5380"/>
    <w:rsid w:val="000D6654"/>
    <w:rsid w:val="000F0264"/>
    <w:rsid w:val="000F2EBF"/>
    <w:rsid w:val="000F5FF6"/>
    <w:rsid w:val="00113FA5"/>
    <w:rsid w:val="001455A0"/>
    <w:rsid w:val="001602A3"/>
    <w:rsid w:val="001863E3"/>
    <w:rsid w:val="001A5161"/>
    <w:rsid w:val="001A60BD"/>
    <w:rsid w:val="001A7824"/>
    <w:rsid w:val="001C00E3"/>
    <w:rsid w:val="0021716D"/>
    <w:rsid w:val="0023736D"/>
    <w:rsid w:val="00257225"/>
    <w:rsid w:val="00275860"/>
    <w:rsid w:val="002F0BEF"/>
    <w:rsid w:val="00310160"/>
    <w:rsid w:val="00341A8C"/>
    <w:rsid w:val="003519E6"/>
    <w:rsid w:val="003B4356"/>
    <w:rsid w:val="003F08A8"/>
    <w:rsid w:val="004250E3"/>
    <w:rsid w:val="00444AA6"/>
    <w:rsid w:val="00472A81"/>
    <w:rsid w:val="004B2C92"/>
    <w:rsid w:val="004D6A3A"/>
    <w:rsid w:val="004F4AD7"/>
    <w:rsid w:val="005449D8"/>
    <w:rsid w:val="00554530"/>
    <w:rsid w:val="00557CD3"/>
    <w:rsid w:val="00571432"/>
    <w:rsid w:val="005732A2"/>
    <w:rsid w:val="005762A5"/>
    <w:rsid w:val="00590BA3"/>
    <w:rsid w:val="00591614"/>
    <w:rsid w:val="005A1A9A"/>
    <w:rsid w:val="005B7AE0"/>
    <w:rsid w:val="005C2FB1"/>
    <w:rsid w:val="005F146F"/>
    <w:rsid w:val="005F71B6"/>
    <w:rsid w:val="00655556"/>
    <w:rsid w:val="00660FD4"/>
    <w:rsid w:val="00672B2C"/>
    <w:rsid w:val="006A4425"/>
    <w:rsid w:val="006B4669"/>
    <w:rsid w:val="006C768B"/>
    <w:rsid w:val="006E3473"/>
    <w:rsid w:val="006F6BF8"/>
    <w:rsid w:val="00707BDF"/>
    <w:rsid w:val="00710727"/>
    <w:rsid w:val="00715F45"/>
    <w:rsid w:val="00731B84"/>
    <w:rsid w:val="00734AE7"/>
    <w:rsid w:val="007B599E"/>
    <w:rsid w:val="007D1A8B"/>
    <w:rsid w:val="007E197F"/>
    <w:rsid w:val="007E3A09"/>
    <w:rsid w:val="007F68C4"/>
    <w:rsid w:val="008153DE"/>
    <w:rsid w:val="00852A10"/>
    <w:rsid w:val="00862634"/>
    <w:rsid w:val="00866C59"/>
    <w:rsid w:val="00877306"/>
    <w:rsid w:val="00887B5C"/>
    <w:rsid w:val="008A6242"/>
    <w:rsid w:val="008B4BC6"/>
    <w:rsid w:val="008E630D"/>
    <w:rsid w:val="00901E57"/>
    <w:rsid w:val="00926E0A"/>
    <w:rsid w:val="00935F0E"/>
    <w:rsid w:val="0095208F"/>
    <w:rsid w:val="00977B3F"/>
    <w:rsid w:val="009814AE"/>
    <w:rsid w:val="00983870"/>
    <w:rsid w:val="00994B89"/>
    <w:rsid w:val="00996BBE"/>
    <w:rsid w:val="009A0C39"/>
    <w:rsid w:val="009D1DD5"/>
    <w:rsid w:val="00A11DDA"/>
    <w:rsid w:val="00A16BED"/>
    <w:rsid w:val="00A26157"/>
    <w:rsid w:val="00A265C3"/>
    <w:rsid w:val="00A43F9A"/>
    <w:rsid w:val="00A543D4"/>
    <w:rsid w:val="00AD0014"/>
    <w:rsid w:val="00AD4CF2"/>
    <w:rsid w:val="00AF0BBA"/>
    <w:rsid w:val="00B03CBA"/>
    <w:rsid w:val="00B2345D"/>
    <w:rsid w:val="00B30468"/>
    <w:rsid w:val="00B639B9"/>
    <w:rsid w:val="00BB2C41"/>
    <w:rsid w:val="00BC55C8"/>
    <w:rsid w:val="00BC5C10"/>
    <w:rsid w:val="00BD31B0"/>
    <w:rsid w:val="00BE2964"/>
    <w:rsid w:val="00C24FBD"/>
    <w:rsid w:val="00C473BA"/>
    <w:rsid w:val="00C611ED"/>
    <w:rsid w:val="00C6490A"/>
    <w:rsid w:val="00C64FE1"/>
    <w:rsid w:val="00C66164"/>
    <w:rsid w:val="00C8345E"/>
    <w:rsid w:val="00CA4C17"/>
    <w:rsid w:val="00CA5F7C"/>
    <w:rsid w:val="00D51067"/>
    <w:rsid w:val="00D516BB"/>
    <w:rsid w:val="00D53A9D"/>
    <w:rsid w:val="00D75657"/>
    <w:rsid w:val="00D924D8"/>
    <w:rsid w:val="00D960AD"/>
    <w:rsid w:val="00DA0E0E"/>
    <w:rsid w:val="00DB0C39"/>
    <w:rsid w:val="00DB262B"/>
    <w:rsid w:val="00DB7679"/>
    <w:rsid w:val="00DC7A92"/>
    <w:rsid w:val="00DF1702"/>
    <w:rsid w:val="00DF4DD8"/>
    <w:rsid w:val="00DF668E"/>
    <w:rsid w:val="00E05DE3"/>
    <w:rsid w:val="00E14D2B"/>
    <w:rsid w:val="00E20DBA"/>
    <w:rsid w:val="00E660D6"/>
    <w:rsid w:val="00E771AB"/>
    <w:rsid w:val="00EA1BFE"/>
    <w:rsid w:val="00EA796F"/>
    <w:rsid w:val="00EB077B"/>
    <w:rsid w:val="00EC50B9"/>
    <w:rsid w:val="00ED26A0"/>
    <w:rsid w:val="00EF0AFA"/>
    <w:rsid w:val="00F04473"/>
    <w:rsid w:val="00F1727A"/>
    <w:rsid w:val="00F34764"/>
    <w:rsid w:val="00F54E3C"/>
    <w:rsid w:val="00F874BD"/>
    <w:rsid w:val="00FA6DD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DB262B"/>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emplate>
  <TotalTime>0</TotalTime>
  <Pages>3</Pages>
  <Words>642</Words>
  <Characters>3665</Characters>
  <Application>Microsoft Office Word</Application>
  <DocSecurity>4</DocSecurity>
  <Lines>30</Lines>
  <Paragraphs>8</Paragraphs>
  <ScaleCrop>false</ScaleCrop>
  <HeadingPairs>
    <vt:vector size="2" baseType="variant">
      <vt:variant>
        <vt:lpstr>العنوان</vt:lpstr>
      </vt:variant>
      <vt:variant>
        <vt:i4>1</vt:i4>
      </vt:variant>
    </vt:vector>
  </HeadingPairs>
  <TitlesOfParts>
    <vt:vector size="1" baseType="lpstr">
      <vt:lpstr>A/HRC/15/L.13</vt:lpstr>
    </vt:vector>
  </TitlesOfParts>
  <Company>CSD</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A/HRC/15/L.13</dc:title>
  <dc:subject>Seddiki</dc:subject>
  <dc:creator>Admieng</dc:creator>
  <cp:keywords/>
  <dc:description/>
  <cp:lastModifiedBy>Admieng</cp:lastModifiedBy>
  <cp:revision>2</cp:revision>
  <cp:lastPrinted>2010-10-13T08:58:00Z</cp:lastPrinted>
  <dcterms:created xsi:type="dcterms:W3CDTF">2010-10-13T08:58:00Z</dcterms:created>
  <dcterms:modified xsi:type="dcterms:W3CDTF">2010-10-13T08:58:00Z</dcterms:modified>
</cp:coreProperties>
</file>