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0000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000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20"/>
              <w:jc w:val="right"/>
            </w:pPr>
            <w:r>
              <w:rPr>
                <w:sz w:val="40"/>
              </w:rPr>
              <w:t>A</w:t>
            </w:r>
            <w:r>
              <w:t>/HRC/RES/15/8</w:t>
            </w:r>
          </w:p>
        </w:tc>
      </w:tr>
      <w:tr w:rsidR="0000000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</w:pPr>
            <w:r>
              <w:t>Distr. general</w:t>
            </w:r>
          </w:p>
          <w:p w:rsidR="00000000" w:rsidRDefault="00000000">
            <w:r>
              <w:t>6 de octubre de 2010</w:t>
            </w:r>
          </w:p>
          <w:p w:rsidR="00000000" w:rsidRDefault="00000000">
            <w:r>
              <w:t>Español</w:t>
            </w:r>
          </w:p>
          <w:p w:rsidR="00000000" w:rsidRDefault="00000000">
            <w:r>
              <w:t>Original: inglés</w:t>
            </w:r>
          </w:p>
        </w:tc>
      </w:tr>
    </w:tbl>
    <w:p w:rsidR="00000000" w:rsidRDefault="0000000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Consejo de Derechos Humanos</w:t>
      </w:r>
    </w:p>
    <w:p w:rsidR="00000000" w:rsidRDefault="00000000">
      <w:pPr>
        <w:rPr>
          <w:b/>
        </w:rPr>
      </w:pPr>
      <w:r>
        <w:rPr>
          <w:b/>
        </w:rPr>
        <w:t>15º período de sesiones</w:t>
      </w:r>
    </w:p>
    <w:p w:rsidR="00000000" w:rsidRDefault="00000000">
      <w:r>
        <w:t>Tema 3 de la agenda</w:t>
      </w:r>
    </w:p>
    <w:p w:rsidR="00000000" w:rsidRDefault="00000000">
      <w:pPr>
        <w:spacing w:after="240" w:line="240" w:lineRule="auto"/>
        <w:rPr>
          <w:b/>
        </w:rPr>
      </w:pPr>
      <w:r>
        <w:rPr>
          <w:b/>
        </w:rPr>
        <w:t>Promoción y protección de todos los derechos humanos,</w:t>
      </w:r>
      <w:r>
        <w:rPr>
          <w:b/>
        </w:rPr>
        <w:br/>
        <w:t>civiles, políticos, económicos, sociales y culturales,</w:t>
      </w:r>
      <w:r>
        <w:rPr>
          <w:b/>
        </w:rPr>
        <w:br/>
        <w:t>incluido el derecho al desarrollo</w:t>
      </w:r>
    </w:p>
    <w:p w:rsidR="00000000" w:rsidRDefault="00000000">
      <w:pPr>
        <w:pStyle w:val="HChG"/>
      </w:pPr>
      <w:r>
        <w:tab/>
      </w:r>
      <w:r>
        <w:tab/>
        <w:t>Resolución aprobada por el Consejo de Derechos</w:t>
      </w:r>
      <w:r>
        <w:br/>
        <w:t>Humanos</w:t>
      </w:r>
      <w:r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00000" w:rsidRDefault="00000000">
      <w:pPr>
        <w:pStyle w:val="H1G"/>
        <w:tabs>
          <w:tab w:val="left" w:pos="1778"/>
        </w:tabs>
      </w:pPr>
      <w:r>
        <w:tab/>
      </w:r>
      <w:r>
        <w:tab/>
        <w:t>15/8.</w:t>
      </w:r>
      <w:r>
        <w:tab/>
        <w:t>La vivienda adecuada como elemento integrante del derecho</w:t>
      </w:r>
      <w:r>
        <w:br/>
      </w:r>
      <w:r>
        <w:tab/>
        <w:t>a un nivel de vida adecuado</w:t>
      </w:r>
    </w:p>
    <w:p w:rsidR="00000000" w:rsidRDefault="00000000">
      <w:pPr>
        <w:pStyle w:val="SingleTxtG"/>
      </w:pPr>
      <w:r>
        <w:rPr>
          <w:i/>
        </w:rPr>
        <w:tab/>
        <w:t>El Consejo de Derechos Humanos</w:t>
      </w:r>
      <w:r>
        <w:t>,</w:t>
      </w:r>
    </w:p>
    <w:p w:rsidR="00000000" w:rsidRDefault="00000000">
      <w:pPr>
        <w:pStyle w:val="SingleTxtG"/>
      </w:pPr>
      <w:r>
        <w:rPr>
          <w:i/>
          <w:iCs/>
        </w:rPr>
        <w:tab/>
        <w:t xml:space="preserve">Reafirmando </w:t>
      </w:r>
      <w:r>
        <w:t xml:space="preserve">todas sus resoluciones anteriores </w:t>
      </w:r>
      <w:r>
        <w:rPr>
          <w:bCs/>
        </w:rPr>
        <w:t xml:space="preserve">así como las aprobadas por la </w:t>
      </w:r>
      <w:r>
        <w:t>Comisión de Derechos Humanos sobre la cuestión de la vivienda adecuada como elemento integrante del derecho a un nivel de vida adecuado, incluida la resolución 6/27 del Consejo, de 14 de diciembre de 2007,</w:t>
      </w:r>
    </w:p>
    <w:p w:rsidR="00000000" w:rsidRDefault="00000000">
      <w:pPr>
        <w:pStyle w:val="SingleTxtG"/>
      </w:pPr>
      <w:r>
        <w:rPr>
          <w:i/>
          <w:iCs/>
        </w:rPr>
        <w:tab/>
        <w:t xml:space="preserve">Reafirmando también </w:t>
      </w:r>
      <w:r>
        <w:t>que los instrumentos internacionales de derechos humanos, incluido el Pacto Internacional de Derechos Económicos, Sociales y Culturales y la Declaración Universal de Derechos Humanos, entrañan para los Estados partes obligaciones y compromisos en materia de acceso a una vivienda adecuada,</w:t>
      </w:r>
    </w:p>
    <w:p w:rsidR="00000000" w:rsidRDefault="00000000">
      <w:pPr>
        <w:pStyle w:val="SingleTxtG"/>
      </w:pPr>
      <w:r>
        <w:rPr>
          <w:i/>
          <w:iCs/>
        </w:rPr>
        <w:tab/>
        <w:t xml:space="preserve">Recordando </w:t>
      </w:r>
      <w:r>
        <w:t>sus resoluciones 5/1 sobre la construcción institucional del Consejo de Derechos Humanos y 5/2 sobre el Código de conducta para los titulares de mandatos de los procedimientos especiales del Consejo de Derechos Humanos, de 18 de junio de 2007, y destacando que los titulares de los mandatos deberán desempeñar sus funciones de conformidad con esas resoluciones y sus anexos,</w:t>
      </w:r>
    </w:p>
    <w:p w:rsidR="00000000" w:rsidRDefault="00000000">
      <w:pPr>
        <w:pStyle w:val="SingleTxtG"/>
        <w:rPr>
          <w:iCs/>
        </w:rPr>
      </w:pPr>
      <w:r>
        <w:rPr>
          <w:i/>
          <w:iCs/>
        </w:rPr>
        <w:tab/>
        <w:t xml:space="preserve">Recordando también </w:t>
      </w:r>
      <w:r>
        <w:rPr>
          <w:iCs/>
        </w:rPr>
        <w:t>los principios y compromisos que en relación con la vivienda adecuada están consagrados en las disposiciones pertinentes de las declaraciones y los programas adoptados por importantes conferencias y cumbres de las Naciones Unidas y por la Asamblea General en períodos extraordinarios de sesiones y en sus reuniones de seguimiento, como la Declaración de Estambul sobre los Asentamientos Humanos y el Programa de Hábitat</w:t>
      </w:r>
      <w:r>
        <w:rPr>
          <w:sz w:val="18"/>
          <w:szCs w:val="18"/>
          <w:vertAlign w:val="superscript"/>
        </w:rPr>
        <w:footnoteReference w:id="2"/>
      </w:r>
      <w:r>
        <w:rPr>
          <w:iCs/>
        </w:rPr>
        <w:t xml:space="preserve"> y la Declaración sobre las ciudades y otros asentamientos humanos en el nuevo milenio adoptada en el vigésimo quinto período extraordinario de sesiones de la Asamblea General y anexa a su resolución S-25/2, de 9 de junio de 2001,</w:t>
      </w:r>
    </w:p>
    <w:p w:rsidR="00000000" w:rsidRDefault="00000000">
      <w:pPr>
        <w:pStyle w:val="SingleTxtG"/>
        <w:rPr>
          <w:i/>
          <w:iCs/>
        </w:rPr>
      </w:pPr>
      <w:r>
        <w:rPr>
          <w:i/>
          <w:iCs/>
        </w:rPr>
        <w:tab/>
        <w:t xml:space="preserve">Preocupado </w:t>
      </w:r>
      <w:r>
        <w:rPr>
          <w:iCs/>
        </w:rPr>
        <w:t>por el hecho de que cualquier deterioro de la situación general de la vivienda afecta de manera desproporcionada a quienes viven en situación de pobreza, las personas con ingresos bajos, las mujeres, los niños, las personas pertenecientes a las minorías y los pueblos indígenas, los migrantes, las personas de edad y las personas con discapacidad,</w:t>
      </w:r>
    </w:p>
    <w:p w:rsidR="00000000" w:rsidRDefault="00000000">
      <w:pPr>
        <w:pStyle w:val="SingleTxtG"/>
        <w:rPr>
          <w:iCs/>
        </w:rPr>
      </w:pPr>
      <w:r>
        <w:rPr>
          <w:i/>
          <w:iCs/>
        </w:rPr>
        <w:tab/>
        <w:t xml:space="preserve">Observando </w:t>
      </w:r>
      <w:r>
        <w:rPr>
          <w:iCs/>
        </w:rPr>
        <w:t>la labor que realizan los órganos de tratados de las Naciones Unidas, en particular el Comité de Derechos Económicos, Sociales y Culturales, para promover los derechos relacionados con la vivienda adecuada, incluidas sus Observaciones generales Nos. 4, 7, 9 y 16,</w:t>
      </w:r>
    </w:p>
    <w:p w:rsidR="00000000" w:rsidRDefault="00000000">
      <w:pPr>
        <w:pStyle w:val="SingleTxtG"/>
      </w:pPr>
      <w:r>
        <w:tab/>
        <w:t>1.</w:t>
      </w:r>
      <w:r>
        <w:tab/>
      </w:r>
      <w:r>
        <w:rPr>
          <w:bCs/>
          <w:i/>
          <w:iCs/>
        </w:rPr>
        <w:t>Reconoce con aprecio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la labor realizada por la</w:t>
      </w:r>
      <w:r>
        <w:rPr>
          <w:b/>
          <w:bCs/>
          <w:i/>
          <w:iCs/>
        </w:rPr>
        <w:t xml:space="preserve"> </w:t>
      </w:r>
      <w:r>
        <w:t>Relatora Especial sobre una vivienda adecuada como elemento integrante del derecho a un nivel de vida adecuado y sobre el derecho de no discriminación a este respecto, incluidas las misiones a los países;</w:t>
      </w:r>
    </w:p>
    <w:p w:rsidR="00000000" w:rsidRDefault="00000000">
      <w:pPr>
        <w:pStyle w:val="SingleTxtG"/>
        <w:rPr>
          <w:i/>
          <w:iCs/>
        </w:rPr>
      </w:pPr>
      <w:r>
        <w:tab/>
        <w:t>2.</w:t>
      </w:r>
      <w:r>
        <w:tab/>
      </w:r>
      <w:r>
        <w:rPr>
          <w:i/>
          <w:iCs/>
        </w:rPr>
        <w:t xml:space="preserve">Decide </w:t>
      </w:r>
      <w:r>
        <w:rPr>
          <w:iCs/>
        </w:rPr>
        <w:t xml:space="preserve">prorrogar por un período de tres años el mandato de la Relatora Especial sobre una vivienda adecuada como elemento integrante del derecho a un nivel de vida adecuado y sobre el derecho de no discriminación a este respecto, para que, entre otras cosas: </w:t>
      </w:r>
    </w:p>
    <w:p w:rsidR="00000000" w:rsidRDefault="00000000">
      <w:pPr>
        <w:pStyle w:val="SingleTxtG"/>
        <w:rPr>
          <w:iCs/>
        </w:rPr>
      </w:pPr>
      <w:r>
        <w:rPr>
          <w:iCs/>
        </w:rPr>
        <w:tab/>
        <w:t>a)</w:t>
      </w:r>
      <w:r>
        <w:rPr>
          <w:iCs/>
        </w:rPr>
        <w:tab/>
        <w:t>Promueva la plena realización del derecho a una vivienda adecuada como elemento integrante del derecho a un nivel de vida adecuado;</w:t>
      </w:r>
    </w:p>
    <w:p w:rsidR="00000000" w:rsidRDefault="00000000">
      <w:pPr>
        <w:pStyle w:val="SingleTxtG"/>
      </w:pPr>
      <w:r>
        <w:tab/>
        <w:t>b)</w:t>
      </w:r>
      <w:r>
        <w:tab/>
        <w:t>Determine las mejores prácticas así como los problemas y obstáculos que se oponen a la plena efectividad del derecho a una vivienda adecuada, y detecte las deficiencias de protección a este respecto;</w:t>
      </w:r>
    </w:p>
    <w:p w:rsidR="00000000" w:rsidRDefault="00000000">
      <w:pPr>
        <w:pStyle w:val="SingleTxtG"/>
      </w:pPr>
      <w:r>
        <w:tab/>
        <w:t>c)</w:t>
      </w:r>
      <w:r>
        <w:tab/>
        <w:t>Haga especial hincapié en las soluciones prácticas en relación con el ejercicio de los derechos relacionados con el mandato;</w:t>
      </w:r>
    </w:p>
    <w:p w:rsidR="00000000" w:rsidRDefault="00000000">
      <w:pPr>
        <w:pStyle w:val="SingleTxtG"/>
      </w:pPr>
      <w:r>
        <w:tab/>
        <w:t>d)</w:t>
      </w:r>
      <w:r>
        <w:tab/>
        <w:t>Aplique una perspectiva de género, en particular mediante la identificación de los obstáculos específicos de género que dificultan el ejercicio del derecho a una vivienda adecuada;</w:t>
      </w:r>
    </w:p>
    <w:p w:rsidR="00000000" w:rsidRDefault="00000000">
      <w:pPr>
        <w:pStyle w:val="SingleTxtG"/>
      </w:pPr>
      <w:r>
        <w:tab/>
        <w:t>e)</w:t>
      </w:r>
      <w:r>
        <w:tab/>
        <w:t>Preste especial atención a las necesidades de las personas en situaciones vulnerables, así como a las de quienes pertenecen a grupos marginados;</w:t>
      </w:r>
    </w:p>
    <w:p w:rsidR="00000000" w:rsidRDefault="00000000">
      <w:pPr>
        <w:pStyle w:val="SingleTxtG"/>
      </w:pPr>
      <w:r>
        <w:tab/>
        <w:t>f)</w:t>
      </w:r>
      <w:r>
        <w:tab/>
        <w:t>Facilite el suministro de asistencia técnica, en particular mediante la colaboración con las partes interesadas pertinentes;</w:t>
      </w:r>
    </w:p>
    <w:p w:rsidR="00000000" w:rsidRDefault="00000000">
      <w:pPr>
        <w:pStyle w:val="SingleTxtG"/>
      </w:pPr>
      <w:r>
        <w:tab/>
        <w:t>g)</w:t>
      </w:r>
      <w:r>
        <w:tab/>
        <w:t>Trabaje en estrecha cooperación, evitando a la vez toda duplicación innecesaria, con otros procedimientos especiales y órganos subsidiarios del Consejo, los órganos pertinentes de las Naciones Unidas, los órganos de tratados y los mecanismos regionales de derechos humanos;</w:t>
      </w:r>
    </w:p>
    <w:p w:rsidR="00000000" w:rsidRDefault="00000000">
      <w:pPr>
        <w:pStyle w:val="SingleTxtG"/>
      </w:pPr>
      <w:r>
        <w:tab/>
        <w:t>h)</w:t>
      </w:r>
      <w:r>
        <w:tab/>
        <w:t>Presente un informe periódico sobre el cumplimiento de su mandato al Consejo y a la Asamblea General, de conformidad con su programa de trabajo anual;</w:t>
      </w:r>
    </w:p>
    <w:p w:rsidR="00000000" w:rsidRDefault="00000000">
      <w:pPr>
        <w:pStyle w:val="SingleTxtG"/>
      </w:pPr>
      <w:r>
        <w:tab/>
        <w:t>3.</w:t>
      </w:r>
      <w:r>
        <w:tab/>
      </w:r>
      <w:r>
        <w:rPr>
          <w:i/>
          <w:iCs/>
        </w:rPr>
        <w:t xml:space="preserve">Observa </w:t>
      </w:r>
      <w:r>
        <w:t>la labor sobre los Principios básicos y directrices sobre los desalojos y el desplazamiento generados por el desarrollo y la necesidad de seguir trabajando en ellos, en particular celebrando consultas con los Estados y demás partes interesadas;</w:t>
      </w:r>
    </w:p>
    <w:p w:rsidR="00000000" w:rsidRDefault="00000000">
      <w:pPr>
        <w:pStyle w:val="SingleTxtG"/>
      </w:pPr>
      <w:r>
        <w:tab/>
        <w:t>4.</w:t>
      </w:r>
      <w:r>
        <w:tab/>
      </w:r>
      <w:r>
        <w:rPr>
          <w:i/>
          <w:iCs/>
        </w:rPr>
        <w:t xml:space="preserve">Pide </w:t>
      </w:r>
      <w:r>
        <w:t>al Secretario General y a la Alta Comisionada de las Naciones Unidas para los Derechos Humanos que proporcionen toda la asistencia que sea necesaria a la Relatora Especial para el desempeño eficaz de su mandato;</w:t>
      </w:r>
    </w:p>
    <w:p w:rsidR="00000000" w:rsidRDefault="00000000">
      <w:pPr>
        <w:pStyle w:val="SingleTxtG"/>
      </w:pPr>
      <w:r>
        <w:tab/>
        <w:t>5.</w:t>
      </w:r>
      <w:r>
        <w:tab/>
      </w:r>
      <w:r>
        <w:rPr>
          <w:i/>
          <w:iCs/>
        </w:rPr>
        <w:t xml:space="preserve">Observa con aprecio </w:t>
      </w:r>
      <w:r>
        <w:t xml:space="preserve">la cooperación brindada a la Relatora Especial por distintos interlocutores y exhorta a los Estados a que: </w:t>
      </w:r>
    </w:p>
    <w:p w:rsidR="00000000" w:rsidRDefault="00000000">
      <w:pPr>
        <w:pStyle w:val="SingleTxtG"/>
      </w:pPr>
      <w:r>
        <w:tab/>
        <w:t>a)</w:t>
      </w:r>
      <w:r>
        <w:tab/>
        <w:t>Continúen cooperando con la Relatora Especial en el cumplimiento de su mandato y respondan favorablemente a sus solicitudes de información y de visita;</w:t>
      </w:r>
    </w:p>
    <w:p w:rsidR="00000000" w:rsidRDefault="00000000">
      <w:pPr>
        <w:pStyle w:val="SingleTxtG"/>
      </w:pPr>
      <w:r>
        <w:tab/>
        <w:t>b)</w:t>
      </w:r>
      <w:r>
        <w:tab/>
        <w:t>Entablen un diálogo constructivo con la Relatora Especial sobre el seguimiento y la puesta en práctica de sus recomendaciones;</w:t>
      </w:r>
    </w:p>
    <w:p w:rsidR="00000000" w:rsidRDefault="00000000">
      <w:pPr>
        <w:pStyle w:val="SingleTxtG"/>
      </w:pPr>
      <w:r>
        <w:tab/>
        <w:t>6.</w:t>
      </w:r>
      <w:r>
        <w:tab/>
      </w:r>
      <w:r>
        <w:rPr>
          <w:i/>
          <w:iCs/>
        </w:rPr>
        <w:t xml:space="preserve">Decide </w:t>
      </w:r>
      <w:r>
        <w:t xml:space="preserve">seguir examinando esta cuestión en relación con el mismo tema de la agenda. </w:t>
      </w:r>
    </w:p>
    <w:p w:rsidR="00000000" w:rsidRDefault="00000000">
      <w:pPr>
        <w:pStyle w:val="SingleTxtG"/>
        <w:jc w:val="right"/>
        <w:rPr>
          <w:i/>
        </w:rPr>
      </w:pPr>
      <w:r>
        <w:rPr>
          <w:i/>
        </w:rPr>
        <w:t>31ª sesión</w:t>
      </w:r>
      <w:r>
        <w:rPr>
          <w:i/>
        </w:rPr>
        <w:br/>
        <w:t>30 de septiembre de 2010</w:t>
      </w:r>
    </w:p>
    <w:p w:rsidR="00000000" w:rsidRDefault="00000000">
      <w:pPr>
        <w:pStyle w:val="SingleTxtG"/>
        <w:spacing w:after="240"/>
      </w:pPr>
      <w:r>
        <w:t>[Aprobada sin votación.]</w:t>
      </w:r>
    </w:p>
    <w:p w:rsidR="00000000" w:rsidRDefault="00000000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/>
    <w:p w:rsidR="00000000" w:rsidRDefault="00000000"/>
    <w:p w:rsidR="00000000" w:rsidRDefault="00000000"/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  <w:r>
      <w:t>GE.10-16629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  <w:rPr>
        <w:b/>
        <w:sz w:val="18"/>
      </w:rPr>
    </w:pPr>
    <w:r>
      <w:t>GE.10-16629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sz w:val="20"/>
      </w:rPr>
      <w:t>GE.10-16629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 xml:space="preserve">  (S)    121010    151010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0000" w:rsidRDefault="00000000">
      <w:r>
        <w:continuationSeparator/>
      </w:r>
    </w:p>
  </w:footnote>
  <w:footnote w:id="1">
    <w:p w:rsidR="00000000" w:rsidRDefault="00000000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  <w:vertAlign w:val="baseline"/>
        </w:rPr>
        <w:t>*</w:t>
      </w:r>
      <w:r>
        <w:tab/>
        <w:t>Las resoluciones y decisiones aprobadas por el Consejo de Derechos Humanos se publicarán en el informe del Consejo sobre su 15º período de sesiones (A/HRC/15/60), cap. I.</w:t>
      </w:r>
    </w:p>
  </w:footnote>
  <w:footnote w:id="2">
    <w:p w:rsidR="00000000" w:rsidRDefault="00000000">
      <w:pPr>
        <w:pStyle w:val="FootnoteText"/>
        <w:rPr>
          <w:szCs w:val="18"/>
        </w:rPr>
      </w:pPr>
      <w:r>
        <w:rPr>
          <w:sz w:val="22"/>
        </w:rPr>
        <w:tab/>
      </w:r>
      <w:r>
        <w:rPr>
          <w:vertAlign w:val="superscript"/>
        </w:rPr>
        <w:footnoteRef/>
      </w:r>
      <w:r>
        <w:tab/>
        <w:t>A/CONF.165/14.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A/HRC/RES/15/8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jc w:val="right"/>
    </w:pPr>
    <w:r>
      <w:t>A/HRC/RES/15/8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Pr>
      <w:sz w:val="16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character" w:styleId="HTMLAcronym">
    <w:name w:val="HTML Acronym"/>
    <w:basedOn w:val="DefaultParagraphFont"/>
    <w:semiHidden/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Closing">
    <w:name w:val="Closing"/>
    <w:basedOn w:val="Normal"/>
    <w:semiHidden/>
    <w:pPr>
      <w:ind w:left="4252"/>
    </w:p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character" w:styleId="HTMLDefinition">
    <w:name w:val="HTML Definition"/>
    <w:semiHidden/>
    <w:rPr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</w:style>
  <w:style w:type="character" w:styleId="Emphasis">
    <w:name w:val="Emphasis"/>
    <w:qFormat/>
    <w:rPr>
      <w:i/>
      <w:iCs/>
    </w:r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ListBullet">
    <w:name w:val="List Bullet"/>
    <w:basedOn w:val="Normal"/>
    <w:semiHidden/>
    <w:pPr>
      <w:numPr>
        <w:numId w:val="11"/>
      </w:numPr>
    </w:pPr>
  </w:style>
  <w:style w:type="paragraph" w:styleId="ListBullet2">
    <w:name w:val="List Bullet 2"/>
    <w:basedOn w:val="Normal"/>
    <w:semiHidden/>
    <w:pPr>
      <w:numPr>
        <w:numId w:val="12"/>
      </w:numPr>
    </w:pPr>
  </w:style>
  <w:style w:type="paragraph" w:styleId="ListBullet3">
    <w:name w:val="List Bullet 3"/>
    <w:basedOn w:val="Normal"/>
    <w:semiHidden/>
    <w:pPr>
      <w:numPr>
        <w:numId w:val="13"/>
      </w:numPr>
    </w:pPr>
  </w:style>
  <w:style w:type="paragraph" w:styleId="ListBullet4">
    <w:name w:val="List Bullet 4"/>
    <w:basedOn w:val="Normal"/>
    <w:semiHidden/>
    <w:pPr>
      <w:numPr>
        <w:numId w:val="14"/>
      </w:numPr>
    </w:pPr>
  </w:style>
  <w:style w:type="paragraph" w:styleId="ListBullet5">
    <w:name w:val="List Bullet 5"/>
    <w:basedOn w:val="Normal"/>
    <w:semiHidden/>
    <w:pPr>
      <w:numPr>
        <w:numId w:val="15"/>
      </w:numPr>
    </w:p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Pr>
      <w:sz w:val="24"/>
      <w:szCs w:val="24"/>
    </w:rPr>
  </w:style>
  <w:style w:type="character" w:styleId="LineNumber">
    <w:name w:val="line number"/>
    <w:basedOn w:val="DefaultParagraphFont"/>
    <w:semiHidden/>
  </w:style>
  <w:style w:type="character" w:styleId="PageNumber">
    <w:name w:val="page number"/>
    <w:aliases w:val="7_G"/>
    <w:rPr>
      <w:b/>
      <w:sz w:val="18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Salutation">
    <w:name w:val="Salutation"/>
    <w:basedOn w:val="Normal"/>
    <w:next w:val="Normal"/>
    <w:semiHidden/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NormalIndent">
    <w:name w:val="Normal Indent"/>
    <w:basedOn w:val="Normal"/>
    <w:semiHidden/>
    <w:pPr>
      <w:ind w:left="567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EndnoteText">
    <w:name w:val="endnote text"/>
    <w:aliases w:val="2_G"/>
    <w:basedOn w:val="FootnoteText"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Pr>
      <w:i/>
      <w:iCs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3</Pages>
  <Words>883</Words>
  <Characters>4858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A/HRC/RES/15/8   10-16629</vt:lpstr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A/HRC/RES/15/8   10-16629</dc:title>
  <dc:subject>Final</dc:subject>
  <dc:creator>Juan Carlos Korol</dc:creator>
  <cp:keywords/>
  <dc:description/>
  <cp:lastModifiedBy>Admieng</cp:lastModifiedBy>
  <cp:revision>2</cp:revision>
  <cp:lastPrinted>2008-01-15T08:58:00Z</cp:lastPrinted>
  <dcterms:created xsi:type="dcterms:W3CDTF">2010-10-15T15:27:00Z</dcterms:created>
  <dcterms:modified xsi:type="dcterms:W3CDTF">2010-10-15T15:27:00Z</dcterms:modified>
</cp:coreProperties>
</file>