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BA5E8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0C37CE" w:rsidP="00F4215E">
            <w:pPr>
              <w:bidi w:val="0"/>
              <w:spacing w:after="20"/>
              <w:jc w:val="left"/>
              <w:rPr>
                <w:szCs w:val="20"/>
              </w:rPr>
            </w:pPr>
            <w:r w:rsidRPr="000C37CE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/HRC/RES/35/6</w:t>
            </w:r>
          </w:p>
        </w:tc>
      </w:tr>
      <w:tr w:rsidR="006B3E27" w:rsidRPr="00ED7442" w:rsidTr="00BA5E8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A1E85C" wp14:editId="4D5BD67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1773DB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F4215E" w:rsidP="00F4215E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F4215E" w:rsidRDefault="007C51C7" w:rsidP="00F4215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10 July </w:t>
            </w:r>
            <w:r w:rsidR="00F4215E">
              <w:rPr>
                <w:szCs w:val="20"/>
              </w:rPr>
              <w:t>2017</w:t>
            </w:r>
          </w:p>
          <w:p w:rsidR="00F4215E" w:rsidRDefault="00F4215E" w:rsidP="00F4215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F4215E" w:rsidRPr="003E159A" w:rsidRDefault="00F4215E" w:rsidP="00F4215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F4215E" w:rsidRDefault="001773DB" w:rsidP="0054762C">
      <w:pPr>
        <w:spacing w:before="120" w:line="380" w:lineRule="exact"/>
        <w:jc w:val="left"/>
        <w:rPr>
          <w:b/>
          <w:bCs/>
          <w:sz w:val="36"/>
          <w:szCs w:val="36"/>
          <w:rtl/>
        </w:rPr>
      </w:pPr>
      <w:r w:rsidRPr="001773DB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F4215E" w:rsidRPr="002C66EC" w:rsidRDefault="00F4215E" w:rsidP="00F4215E">
      <w:pPr>
        <w:spacing w:line="380" w:lineRule="exact"/>
        <w:textDirection w:val="tbRlV"/>
        <w:rPr>
          <w:b/>
          <w:bCs/>
          <w:sz w:val="32"/>
          <w:rtl/>
          <w:lang w:eastAsia="zh-TW"/>
        </w:rPr>
      </w:pPr>
      <w:r w:rsidRPr="002C66EC">
        <w:rPr>
          <w:b/>
          <w:bCs/>
          <w:rtl/>
          <w:lang w:eastAsia="zh-TW"/>
        </w:rPr>
        <w:t>الدورة</w:t>
      </w:r>
      <w:r>
        <w:rPr>
          <w:b/>
          <w:bCs/>
          <w:rtl/>
          <w:lang w:eastAsia="zh-TW"/>
        </w:rPr>
        <w:t xml:space="preserve"> </w:t>
      </w:r>
      <w:r w:rsidRPr="002C66EC">
        <w:rPr>
          <w:b/>
          <w:bCs/>
          <w:rtl/>
          <w:lang w:eastAsia="zh-TW"/>
        </w:rPr>
        <w:t>الخامسة</w:t>
      </w:r>
      <w:r>
        <w:rPr>
          <w:b/>
          <w:bCs/>
          <w:rtl/>
          <w:lang w:eastAsia="zh-TW"/>
        </w:rPr>
        <w:t xml:space="preserve"> </w:t>
      </w:r>
      <w:r w:rsidRPr="002C66EC">
        <w:rPr>
          <w:b/>
          <w:bCs/>
          <w:rtl/>
          <w:lang w:eastAsia="zh-TW"/>
        </w:rPr>
        <w:t>والثلاثون</w:t>
      </w:r>
    </w:p>
    <w:p w:rsidR="00F4215E" w:rsidRPr="002C66EC" w:rsidRDefault="00F4215E" w:rsidP="00F4215E">
      <w:pPr>
        <w:spacing w:line="380" w:lineRule="exact"/>
        <w:textDirection w:val="tbRlV"/>
        <w:rPr>
          <w:sz w:val="32"/>
          <w:rtl/>
          <w:lang w:eastAsia="zh-TW"/>
        </w:rPr>
      </w:pPr>
      <w:r w:rsidRPr="002C66EC">
        <w:rPr>
          <w:rtl/>
          <w:lang w:eastAsia="zh-TW"/>
        </w:rPr>
        <w:t>6</w:t>
      </w:r>
      <w:r>
        <w:rPr>
          <w:rFonts w:hint="cs"/>
          <w:rtl/>
          <w:lang w:eastAsia="zh-TW"/>
        </w:rPr>
        <w:t>-</w:t>
      </w:r>
      <w:r w:rsidRPr="002C66EC">
        <w:rPr>
          <w:rtl/>
          <w:lang w:eastAsia="zh-TW"/>
        </w:rPr>
        <w:t>٢٣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حزيران/يونيه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٢٠١٧</w:t>
      </w:r>
    </w:p>
    <w:p w:rsidR="00F4215E" w:rsidRPr="002C66EC" w:rsidRDefault="00F4215E" w:rsidP="00F4215E">
      <w:pPr>
        <w:spacing w:line="380" w:lineRule="exact"/>
        <w:textDirection w:val="tbRlV"/>
        <w:rPr>
          <w:sz w:val="32"/>
          <w:rtl/>
          <w:lang w:eastAsia="zh-TW" w:bidi="ar-DZ"/>
        </w:rPr>
      </w:pPr>
      <w:r w:rsidRPr="002C66EC">
        <w:rPr>
          <w:rtl/>
          <w:lang w:eastAsia="zh-TW"/>
        </w:rPr>
        <w:t>البند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٣</w:t>
      </w:r>
      <w:r>
        <w:rPr>
          <w:sz w:val="32"/>
          <w:rtl/>
          <w:lang w:eastAsia="zh-TW" w:bidi="ar-DZ"/>
        </w:rPr>
        <w:t xml:space="preserve"> </w:t>
      </w:r>
      <w:r w:rsidRPr="002C66EC">
        <w:rPr>
          <w:sz w:val="32"/>
          <w:rtl/>
          <w:lang w:eastAsia="zh-TW" w:bidi="ar-DZ"/>
        </w:rPr>
        <w:t>من</w:t>
      </w:r>
      <w:r>
        <w:rPr>
          <w:sz w:val="32"/>
          <w:rtl/>
          <w:lang w:eastAsia="zh-TW" w:bidi="ar-DZ"/>
        </w:rPr>
        <w:t xml:space="preserve"> </w:t>
      </w:r>
      <w:r w:rsidRPr="002C66EC">
        <w:rPr>
          <w:sz w:val="32"/>
          <w:rtl/>
          <w:lang w:eastAsia="zh-TW" w:bidi="ar-DZ"/>
        </w:rPr>
        <w:t>جدول</w:t>
      </w:r>
      <w:r>
        <w:rPr>
          <w:sz w:val="32"/>
          <w:rtl/>
          <w:lang w:eastAsia="zh-TW" w:bidi="ar-DZ"/>
        </w:rPr>
        <w:t xml:space="preserve"> </w:t>
      </w:r>
      <w:r w:rsidRPr="002C66EC">
        <w:rPr>
          <w:sz w:val="32"/>
          <w:rtl/>
          <w:lang w:eastAsia="zh-TW" w:bidi="ar-DZ"/>
        </w:rPr>
        <w:t>الأعمال</w:t>
      </w:r>
    </w:p>
    <w:p w:rsidR="00F4215E" w:rsidRPr="002C66EC" w:rsidRDefault="00F4215E" w:rsidP="009605A1">
      <w:pPr>
        <w:pStyle w:val="HChGA"/>
        <w:ind w:left="0" w:right="0" w:firstLine="0"/>
        <w:jc w:val="center"/>
        <w:rPr>
          <w:sz w:val="32"/>
          <w:rtl/>
        </w:rPr>
      </w:pPr>
      <w:r w:rsidRPr="002C66EC">
        <w:rPr>
          <w:rFonts w:hint="eastAsia"/>
          <w:rtl/>
        </w:rPr>
        <w:t>قرار</w:t>
      </w:r>
      <w:r w:rsidR="007C51C7">
        <w:rPr>
          <w:rFonts w:hint="cs"/>
          <w:rtl/>
        </w:rPr>
        <w:t xml:space="preserve"> </w:t>
      </w:r>
      <w:r>
        <w:rPr>
          <w:rFonts w:hint="cs"/>
          <w:rtl/>
        </w:rPr>
        <w:t>اعتمده مجلس حقوق الإنسان في 22 حزيران/يونيه 2017</w:t>
      </w:r>
    </w:p>
    <w:p w:rsidR="00F4215E" w:rsidRPr="002C66EC" w:rsidRDefault="00F4215E" w:rsidP="00B62702">
      <w:pPr>
        <w:pStyle w:val="H1GA"/>
        <w:tabs>
          <w:tab w:val="clear" w:pos="1021"/>
          <w:tab w:val="left" w:pos="2551"/>
        </w:tabs>
        <w:ind w:left="0" w:right="0" w:firstLine="0"/>
        <w:jc w:val="center"/>
        <w:rPr>
          <w:sz w:val="32"/>
          <w:rtl/>
          <w:lang w:eastAsia="zh-TW"/>
        </w:rPr>
      </w:pPr>
      <w:r w:rsidRPr="002C66EC">
        <w:rPr>
          <w:rtl/>
          <w:lang w:eastAsia="zh-TW"/>
        </w:rPr>
        <w:t>٣٥/</w:t>
      </w:r>
      <w:r>
        <w:rPr>
          <w:rFonts w:hint="cs"/>
          <w:rtl/>
          <w:lang w:eastAsia="zh-TW"/>
        </w:rPr>
        <w:t>6</w:t>
      </w:r>
      <w:r w:rsidR="007C51C7">
        <w:rPr>
          <w:rFonts w:hint="cs"/>
          <w:rtl/>
          <w:lang w:eastAsia="zh-TW"/>
        </w:rPr>
        <w:t>-</w:t>
      </w:r>
      <w:r w:rsidR="00B62702">
        <w:rPr>
          <w:rFonts w:hint="cs"/>
          <w:rtl/>
          <w:lang w:eastAsia="zh-TW"/>
        </w:rPr>
        <w:t xml:space="preserve">  </w:t>
      </w:r>
      <w:r w:rsidRPr="002C66EC">
        <w:rPr>
          <w:rtl/>
          <w:lang w:eastAsia="zh-TW"/>
        </w:rPr>
        <w:t>المقرر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</w:p>
    <w:p w:rsidR="00F4215E" w:rsidRPr="007C51C7" w:rsidRDefault="00F4215E" w:rsidP="007C51C7">
      <w:pPr>
        <w:pStyle w:val="SingleTxtGA"/>
        <w:rPr>
          <w:i/>
          <w:iCs/>
          <w:sz w:val="32"/>
          <w:rtl/>
          <w:lang w:eastAsia="zh-TW"/>
        </w:rPr>
      </w:pPr>
      <w:r w:rsidRPr="007C51C7">
        <w:rPr>
          <w:i/>
          <w:iCs/>
          <w:rtl/>
          <w:lang w:eastAsia="zh-TW"/>
        </w:rPr>
        <w:tab/>
      </w:r>
      <w:r w:rsidRPr="007C51C7">
        <w:rPr>
          <w:rFonts w:hint="eastAsia"/>
          <w:i/>
          <w:iCs/>
          <w:rtl/>
          <w:lang w:eastAsia="zh-TW"/>
        </w:rPr>
        <w:t>إن</w:t>
      </w:r>
      <w:r w:rsidRPr="007C51C7">
        <w:rPr>
          <w:i/>
          <w:iCs/>
          <w:rtl/>
          <w:lang w:eastAsia="zh-TW"/>
        </w:rPr>
        <w:t xml:space="preserve"> </w:t>
      </w:r>
      <w:r w:rsidRPr="007C51C7">
        <w:rPr>
          <w:rFonts w:hint="eastAsia"/>
          <w:i/>
          <w:iCs/>
          <w:rtl/>
          <w:lang w:eastAsia="zh-TW"/>
        </w:rPr>
        <w:t>مجلس</w:t>
      </w:r>
      <w:r w:rsidRPr="007C51C7">
        <w:rPr>
          <w:i/>
          <w:iCs/>
          <w:rtl/>
          <w:lang w:eastAsia="zh-TW"/>
        </w:rPr>
        <w:t xml:space="preserve"> </w:t>
      </w:r>
      <w:r w:rsidRPr="007C51C7">
        <w:rPr>
          <w:rFonts w:hint="eastAsia"/>
          <w:i/>
          <w:iCs/>
          <w:rtl/>
          <w:lang w:eastAsia="zh-TW"/>
        </w:rPr>
        <w:t>حقوق</w:t>
      </w:r>
      <w:r w:rsidRPr="007C51C7">
        <w:rPr>
          <w:i/>
          <w:iCs/>
          <w:rtl/>
          <w:lang w:eastAsia="zh-TW"/>
        </w:rPr>
        <w:t xml:space="preserve"> </w:t>
      </w:r>
      <w:r w:rsidRPr="007C51C7">
        <w:rPr>
          <w:rFonts w:hint="eastAsia"/>
          <w:i/>
          <w:iCs/>
          <w:rtl/>
          <w:lang w:eastAsia="zh-TW"/>
        </w:rPr>
        <w:t>الإنسان</w:t>
      </w:r>
      <w:r w:rsidRPr="007C51C7">
        <w:rPr>
          <w:i/>
          <w:iCs/>
          <w:rtl/>
          <w:lang w:eastAsia="zh-TW"/>
        </w:rPr>
        <w:t>،</w:t>
      </w:r>
    </w:p>
    <w:p w:rsidR="00F4215E" w:rsidRPr="006E1700" w:rsidRDefault="00F4215E" w:rsidP="007C51C7">
      <w:pPr>
        <w:pStyle w:val="SingleTxtGA"/>
        <w:rPr>
          <w:sz w:val="32"/>
          <w:rtl/>
          <w:lang w:eastAsia="zh-TW"/>
        </w:rPr>
      </w:pPr>
      <w:r w:rsidRPr="006E1700">
        <w:rPr>
          <w:rtl/>
          <w:lang w:eastAsia="zh-TW"/>
        </w:rPr>
        <w:tab/>
      </w:r>
      <w:r w:rsidRPr="006E1700">
        <w:rPr>
          <w:rFonts w:hint="eastAsia"/>
          <w:i/>
          <w:iCs/>
          <w:rtl/>
          <w:lang w:eastAsia="zh-TW"/>
        </w:rPr>
        <w:t>إذ</w:t>
      </w:r>
      <w:r w:rsidRPr="006E1700">
        <w:rPr>
          <w:i/>
          <w:iCs/>
          <w:rtl/>
          <w:lang w:eastAsia="zh-TW"/>
        </w:rPr>
        <w:t xml:space="preserve"> </w:t>
      </w:r>
      <w:r w:rsidRPr="006E1700">
        <w:rPr>
          <w:rFonts w:hint="eastAsia"/>
          <w:i/>
          <w:iCs/>
          <w:rtl/>
          <w:lang w:eastAsia="zh-TW"/>
        </w:rPr>
        <w:t>يسترشد</w:t>
      </w:r>
      <w:r w:rsidRPr="006E1700">
        <w:rPr>
          <w:rtl/>
          <w:lang w:eastAsia="zh-TW"/>
        </w:rPr>
        <w:t xml:space="preserve"> بمقاصد ميثاق الأمم المتحدة ومبادئه، وإذ يسترشد أيضاً بالإعلان العالمي لحقوق الإنسان واتفاقية حقوق الأشخاص ذوي الإعاقة وغيرهما من صكوك حقوق الإنسان ذات الصلة،</w:t>
      </w:r>
    </w:p>
    <w:p w:rsidR="00F4215E" w:rsidRPr="002C66EC" w:rsidRDefault="00F4215E" w:rsidP="007C51C7">
      <w:pPr>
        <w:pStyle w:val="SingleTxtGA"/>
        <w:rPr>
          <w:rtl/>
          <w:lang w:eastAsia="zh-TW"/>
        </w:rPr>
      </w:pPr>
      <w:r w:rsidRPr="002C66EC">
        <w:rPr>
          <w:rtl/>
          <w:lang w:eastAsia="zh-TW"/>
        </w:rPr>
        <w:tab/>
      </w:r>
      <w:r w:rsidRPr="002C66EC">
        <w:rPr>
          <w:rFonts w:ascii="Traditional Arabic" w:hAnsi="Traditional Arabic" w:hint="cs"/>
          <w:i/>
          <w:iCs/>
          <w:rtl/>
          <w:lang w:eastAsia="zh-TW"/>
        </w:rPr>
        <w:t>وإذ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ascii="Traditional Arabic" w:hAnsi="Traditional Arabic" w:hint="cs"/>
          <w:i/>
          <w:iCs/>
          <w:rtl/>
          <w:lang w:eastAsia="zh-TW"/>
        </w:rPr>
        <w:t>يشير</w:t>
      </w:r>
      <w:r>
        <w:rPr>
          <w:rtl/>
          <w:lang w:eastAsia="zh-TW"/>
        </w:rPr>
        <w:t xml:space="preserve"> </w:t>
      </w:r>
      <w:r w:rsidRPr="002C66EC">
        <w:rPr>
          <w:rFonts w:ascii="Traditional Arabic" w:hAnsi="Traditional Arabic" w:hint="cs"/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Fonts w:ascii="Traditional Arabic" w:hAnsi="Traditional Arabic" w:hint="cs"/>
          <w:rtl/>
          <w:lang w:eastAsia="zh-TW"/>
        </w:rPr>
        <w:t>الطابع</w:t>
      </w:r>
      <w:r>
        <w:rPr>
          <w:rtl/>
          <w:lang w:eastAsia="zh-TW"/>
        </w:rPr>
        <w:t xml:space="preserve"> </w:t>
      </w:r>
      <w:r w:rsidRPr="002C66EC">
        <w:rPr>
          <w:rFonts w:ascii="Traditional Arabic" w:hAnsi="Traditional Arabic" w:hint="cs"/>
          <w:rtl/>
          <w:lang w:eastAsia="zh-TW"/>
        </w:rPr>
        <w:t>العالمي</w:t>
      </w:r>
      <w:r>
        <w:rPr>
          <w:rtl/>
          <w:lang w:eastAsia="zh-TW"/>
        </w:rPr>
        <w:t xml:space="preserve"> </w:t>
      </w:r>
      <w:r w:rsidRPr="002C66EC">
        <w:rPr>
          <w:rFonts w:ascii="Traditional Arabic" w:hAnsi="Traditional Arabic" w:hint="cs"/>
          <w:rtl/>
          <w:lang w:eastAsia="zh-TW"/>
        </w:rPr>
        <w:t>لجميع</w:t>
      </w:r>
      <w:r>
        <w:rPr>
          <w:rtl/>
          <w:lang w:eastAsia="zh-TW"/>
        </w:rPr>
        <w:t xml:space="preserve"> </w:t>
      </w:r>
      <w:r w:rsidRPr="002C66EC">
        <w:rPr>
          <w:rFonts w:ascii="Traditional Arabic" w:hAnsi="Traditional Arabic" w:hint="cs"/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Fonts w:ascii="Traditional Arabic" w:hAnsi="Traditional Arabic" w:hint="cs"/>
          <w:rtl/>
          <w:lang w:eastAsia="zh-TW"/>
        </w:rPr>
        <w:t>الإنس</w:t>
      </w:r>
      <w:r w:rsidRPr="002C66EC">
        <w:rPr>
          <w:rtl/>
          <w:lang w:eastAsia="zh-TW"/>
        </w:rPr>
        <w:t>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والحريات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الأساسية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عدم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قابليتها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للتجزئة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وترابطها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وتشابكها،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وضرورة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ضمان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تمتع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تمتعاً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كاملاً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وحرياتهم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دون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تمييز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نوع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كا</w:t>
      </w:r>
      <w:bookmarkStart w:id="0" w:name="_GoBack"/>
      <w:bookmarkEnd w:id="0"/>
      <w:r w:rsidRPr="002C66EC">
        <w:rPr>
          <w:rtl/>
          <w:lang w:eastAsia="zh-TW"/>
        </w:rPr>
        <w:t>ن،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وإذ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يساوره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قلق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بالغ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زالوا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يواجهون،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أنحاء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العالم،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حواجز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تعترض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مشاركتهم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كأعضاء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المجتمع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قدم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المساواة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الآخرين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ويتعرضون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لانتهاكات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وإذ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يعي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ضرورة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إيلاء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التصدي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لهذه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التحديات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مزيداً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الاهتمام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والالتزام،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وإذ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يشير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القرارات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السابقة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اعتمدتها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الجمعية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العامة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ولجنة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ومجلس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الإعاقة،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i/>
          <w:iCs/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وإذ</w:t>
      </w:r>
      <w:r>
        <w:rPr>
          <w:i/>
          <w:iCs/>
          <w:rtl/>
          <w:lang w:eastAsia="zh-TW"/>
        </w:rPr>
        <w:t xml:space="preserve"> </w:t>
      </w:r>
      <w:r w:rsidRPr="002C66EC">
        <w:rPr>
          <w:i/>
          <w:iCs/>
          <w:rtl/>
          <w:lang w:eastAsia="zh-TW"/>
        </w:rPr>
        <w:t>يشير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أيضاً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قراريه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5/1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بناء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مؤسسات</w:t>
      </w:r>
      <w:r>
        <w:rPr>
          <w:rtl/>
          <w:lang w:eastAsia="zh-TW"/>
        </w:rPr>
        <w:t xml:space="preserve"> </w:t>
      </w:r>
      <w:r w:rsidRPr="002C66EC">
        <w:rPr>
          <w:rtl/>
        </w:rPr>
        <w:t>مجلس</w:t>
      </w:r>
      <w:r>
        <w:rPr>
          <w:rtl/>
        </w:rPr>
        <w:t xml:space="preserve"> </w:t>
      </w:r>
      <w:r w:rsidRPr="002C66EC">
        <w:rPr>
          <w:rtl/>
        </w:rPr>
        <w:t>حقوق</w:t>
      </w:r>
      <w:r>
        <w:rPr>
          <w:rtl/>
        </w:rPr>
        <w:t xml:space="preserve"> </w:t>
      </w:r>
      <w:r w:rsidRPr="002C66EC">
        <w:rPr>
          <w:rtl/>
        </w:rPr>
        <w:t>الإنسان</w:t>
      </w:r>
      <w:r>
        <w:rPr>
          <w:rtl/>
        </w:rPr>
        <w:t xml:space="preserve"> </w:t>
      </w:r>
      <w:r w:rsidRPr="002C66EC">
        <w:rPr>
          <w:rtl/>
          <w:lang w:eastAsia="zh-TW"/>
        </w:rPr>
        <w:t>و5/2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مدونة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قواعد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السلوك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للمكلفين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بولايات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إطار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الإجراءات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للمجلس،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المؤرخين</w:t>
      </w:r>
      <w:r>
        <w:rPr>
          <w:rFonts w:hint="cs"/>
          <w:rtl/>
          <w:lang w:eastAsia="zh-TW"/>
        </w:rPr>
        <w:t> </w:t>
      </w:r>
      <w:r w:rsidRPr="002C66EC">
        <w:rPr>
          <w:rtl/>
          <w:lang w:eastAsia="zh-TW"/>
        </w:rPr>
        <w:t>18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حزيران/يونيه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2007،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وإذ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يشدد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المكلف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بالولاية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يجب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يؤدي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مهامه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وفقاً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لهذين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القرارين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ومرفق</w:t>
      </w:r>
      <w:r>
        <w:rPr>
          <w:rFonts w:hint="cs"/>
          <w:rtl/>
          <w:lang w:eastAsia="zh-TW"/>
        </w:rPr>
        <w:t>يهما</w:t>
      </w:r>
      <w:r w:rsidRPr="002C66EC">
        <w:rPr>
          <w:rtl/>
          <w:lang w:eastAsia="zh-TW"/>
        </w:rPr>
        <w:t>،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i/>
          <w:iCs/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وإذ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يشير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كذلك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قراره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26/20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المؤرخ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27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حزيران/يونيه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2014،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lastRenderedPageBreak/>
        <w:tab/>
        <w:t>١-</w:t>
      </w:r>
      <w:r w:rsidRPr="002C66EC"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يؤكد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من</w:t>
      </w:r>
      <w:r>
        <w:rPr>
          <w:i/>
          <w:iCs/>
          <w:rtl/>
          <w:lang w:eastAsia="zh-TW"/>
        </w:rPr>
        <w:t xml:space="preserve"> </w:t>
      </w:r>
      <w:r w:rsidRPr="002C66EC">
        <w:rPr>
          <w:rFonts w:hint="eastAsia"/>
          <w:i/>
          <w:iCs/>
          <w:rtl/>
          <w:lang w:eastAsia="zh-TW"/>
        </w:rPr>
        <w:t>جديد</w:t>
      </w:r>
      <w:r>
        <w:rPr>
          <w:rtl/>
          <w:lang w:eastAsia="zh-TW"/>
        </w:rPr>
        <w:t xml:space="preserve"> </w:t>
      </w:r>
      <w:r w:rsidRPr="002C66EC">
        <w:rPr>
          <w:rtl/>
        </w:rPr>
        <w:t>الالتزام</w:t>
      </w:r>
      <w:r>
        <w:rPr>
          <w:rtl/>
        </w:rPr>
        <w:t xml:space="preserve"> </w:t>
      </w:r>
      <w:r w:rsidRPr="002C66EC">
        <w:rPr>
          <w:rtl/>
        </w:rPr>
        <w:t>الذي</w:t>
      </w:r>
      <w:r>
        <w:rPr>
          <w:rtl/>
        </w:rPr>
        <w:t xml:space="preserve"> </w:t>
      </w:r>
      <w:r w:rsidRPr="002C66EC">
        <w:rPr>
          <w:rtl/>
        </w:rPr>
        <w:t>يقع</w:t>
      </w:r>
      <w:r>
        <w:rPr>
          <w:rtl/>
        </w:rPr>
        <w:t xml:space="preserve"> </w:t>
      </w:r>
      <w:r w:rsidRPr="002C66EC">
        <w:rPr>
          <w:rtl/>
        </w:rPr>
        <w:t>على</w:t>
      </w:r>
      <w:r>
        <w:rPr>
          <w:rtl/>
        </w:rPr>
        <w:t xml:space="preserve"> </w:t>
      </w:r>
      <w:r w:rsidRPr="002C66EC">
        <w:rPr>
          <w:rtl/>
        </w:rPr>
        <w:t>عاتق</w:t>
      </w:r>
      <w:r>
        <w:rPr>
          <w:rtl/>
        </w:rPr>
        <w:t xml:space="preserve"> </w:t>
      </w:r>
      <w:r w:rsidRPr="002C66EC">
        <w:rPr>
          <w:rtl/>
        </w:rPr>
        <w:t>الدول</w:t>
      </w:r>
      <w:r>
        <w:rPr>
          <w:rtl/>
        </w:rPr>
        <w:t xml:space="preserve"> </w:t>
      </w:r>
      <w:r w:rsidRPr="002C66EC">
        <w:rPr>
          <w:rtl/>
          <w:lang w:eastAsia="zh-TW"/>
        </w:rPr>
        <w:t>باتخاذ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التدابير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المناسبة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للقضاء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ضد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وتعزيز</w:t>
      </w:r>
      <w:r>
        <w:rPr>
          <w:rtl/>
          <w:lang w:eastAsia="zh-TW"/>
        </w:rPr>
        <w:t xml:space="preserve"> </w:t>
      </w:r>
      <w:r w:rsidRPr="002C66EC">
        <w:rPr>
          <w:rtl/>
        </w:rPr>
        <w:t>حقوقهم</w:t>
      </w:r>
      <w:r>
        <w:rPr>
          <w:rtl/>
        </w:rPr>
        <w:t xml:space="preserve"> </w:t>
      </w:r>
      <w:r w:rsidRPr="002C66EC">
        <w:rPr>
          <w:rtl/>
        </w:rPr>
        <w:t>الإنسانية</w:t>
      </w:r>
      <w:r>
        <w:rPr>
          <w:rtl/>
        </w:rPr>
        <w:t xml:space="preserve"> </w:t>
      </w:r>
      <w:r w:rsidRPr="002C66EC">
        <w:rPr>
          <w:rtl/>
        </w:rPr>
        <w:t>وحمايتها</w:t>
      </w:r>
      <w:r>
        <w:rPr>
          <w:rtl/>
        </w:rPr>
        <w:t xml:space="preserve"> </w:t>
      </w:r>
      <w:r w:rsidRPr="002C66EC">
        <w:rPr>
          <w:rtl/>
        </w:rPr>
        <w:t>واحترامها</w:t>
      </w:r>
      <w:r w:rsidRPr="002C66EC">
        <w:rPr>
          <w:rtl/>
          <w:lang w:eastAsia="zh-TW"/>
        </w:rPr>
        <w:t>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٢-</w:t>
      </w:r>
      <w:r w:rsidRPr="002C66EC"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يرحب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بعمل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المقررة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٣-</w:t>
      </w:r>
      <w:r w:rsidRPr="002C66EC"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يقرر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تمديد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ولاية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المقررة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لفترة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ثلاث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سنوات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إضافية،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تسند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إليها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الولاية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التالية: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(أ)</w:t>
      </w:r>
      <w:r w:rsidRPr="002C66EC">
        <w:rPr>
          <w:rtl/>
          <w:lang w:eastAsia="zh-TW"/>
        </w:rPr>
        <w:tab/>
        <w:t>إقامة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حوار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منتظم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الدول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والجهات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الأخرى،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وكالات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الأمم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المتحدة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وبرامجها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وصناديقها،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والآليات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الإقليمية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والمؤسسات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الوطنية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وأطر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الرصد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المستقلة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الوطنية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المعينة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بموجب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الفقرة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2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المادة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33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اتفاقية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ذوو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والمنظمات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الممثلة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لهم،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وغير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منظمات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المجتمع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المدني،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والتشاور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الدول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وهذه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الجهات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أجل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تحديد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وتبادل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وتعزيز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الممارسات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الجيدة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المتصلة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بإعمال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وبمشاركتهم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المجتمع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قدم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المساواة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الآخرين؛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  <w:t>(ب)</w:t>
      </w:r>
      <w:r w:rsidRPr="002C66EC">
        <w:rPr>
          <w:rtl/>
          <w:lang w:eastAsia="zh-TW"/>
        </w:rPr>
        <w:tab/>
        <w:t>جمع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المعلومات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والرسائل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وطلبها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وتلقيها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الدول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وغيرها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المصادر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الصلة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وتبادلها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يشمل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والمنظمات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الممثلة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وغير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منظمات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المجتمع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المدني،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يتصل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بانتهاكات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  <w:t>(ج)</w:t>
      </w:r>
      <w:r w:rsidRPr="002C66EC">
        <w:rPr>
          <w:rtl/>
          <w:lang w:eastAsia="zh-TW"/>
        </w:rPr>
        <w:tab/>
        <w:t>تقديم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توصيات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ملموسة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بشأن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كيفية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زيادة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تعزيز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وحمايتها،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القضاء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والعنف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والاستبعاد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الاجتماعي،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وكيفية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المساهمة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تحقيق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الأهداف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الإنمائية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المتفق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عليها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دولياً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يتعلق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Fonts w:hint="cs"/>
          <w:rtl/>
          <w:lang w:eastAsia="zh-TW"/>
        </w:rPr>
        <w:t> 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الأهداف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الإنمائية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للألفية،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وأنشطة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البيانات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الصلة،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وكيفية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تعزيز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التنمية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تشمل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وتتيح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إمكانية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الاستفادة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وكيفية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تعزيز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دورهم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كعناصر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فاعلة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التنمية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ومستفيدين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سواء؛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  <w:t>(د)</w:t>
      </w:r>
      <w:r w:rsidRPr="002C66EC">
        <w:rPr>
          <w:rtl/>
          <w:lang w:eastAsia="zh-TW"/>
        </w:rPr>
        <w:tab/>
        <w:t>تنظيم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وتيسير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ودعم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تقديم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الخدمات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الاستشارية،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والمساعدة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التقنية،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والمساعدة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بناء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القدرات،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والتعاون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الدولي،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لدعم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الجهود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الوطنية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الرامية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إعمال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إعمالاً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فعالاً؛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  <w:t>(ه‍)</w:t>
      </w:r>
      <w:r w:rsidRPr="002C66EC">
        <w:rPr>
          <w:rtl/>
          <w:lang w:eastAsia="zh-TW"/>
        </w:rPr>
        <w:tab/>
        <w:t>التوعية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ومكافحة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الوصم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والقوالب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النمطية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وأوجه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التحيز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والفصل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الممارسات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الضارة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تعوق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فرصهم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التمتع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كاملة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والمشاركة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المجتمع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قدم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المساواة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الآخرين،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وتعزيز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الوعي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بمساهماتهم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الإيجابية،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وتعريف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بحقوقهم؛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  <w:t>(و)</w:t>
      </w:r>
      <w:r w:rsidRPr="002C66EC">
        <w:rPr>
          <w:rtl/>
          <w:lang w:eastAsia="zh-TW"/>
        </w:rPr>
        <w:tab/>
      </w:r>
      <w:r w:rsidRPr="002C66EC">
        <w:rPr>
          <w:rFonts w:hint="eastAsia"/>
          <w:rtl/>
          <w:lang w:eastAsia="zh-TW"/>
        </w:rPr>
        <w:t>العمل</w:t>
      </w:r>
      <w:r>
        <w:rPr>
          <w:rtl/>
          <w:lang w:eastAsia="zh-TW"/>
        </w:rPr>
        <w:t xml:space="preserve"> </w:t>
      </w:r>
      <w:r w:rsidRPr="002C66EC">
        <w:rPr>
          <w:rFonts w:hint="eastAsia"/>
          <w:rtl/>
          <w:lang w:eastAsia="zh-TW"/>
        </w:rPr>
        <w:t>الوثيق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الإجراءات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وغيرها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آليات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التابعة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لمجلس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وهيئات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المعاهدات،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ولا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سيما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وغيرها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وكالات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الأمم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المتحدة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وبرامجها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وصناديقها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شراكة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الأمم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المتحدة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لتعزيز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 w:rsidRPr="003B67F9">
        <w:rPr>
          <w:rFonts w:ascii="Segoe UI" w:hAnsi="Segoe UI" w:cs="Segoe UI" w:hint="cs"/>
          <w:szCs w:val="20"/>
          <w:rtl/>
          <w:lang w:bidi="ar"/>
        </w:rPr>
        <w:t xml:space="preserve"> </w:t>
      </w:r>
      <w:r w:rsidRPr="000E4A10">
        <w:rPr>
          <w:rFonts w:hint="eastAsia"/>
          <w:rtl/>
          <w:lang w:eastAsia="zh-TW"/>
        </w:rPr>
        <w:t>والمبعوث</w:t>
      </w:r>
      <w:r w:rsidRPr="000E4A10">
        <w:rPr>
          <w:rtl/>
          <w:lang w:eastAsia="zh-TW"/>
        </w:rPr>
        <w:t xml:space="preserve"> </w:t>
      </w:r>
      <w:r w:rsidRPr="000E4A10">
        <w:rPr>
          <w:rFonts w:hint="eastAsia"/>
          <w:rtl/>
          <w:lang w:eastAsia="zh-TW"/>
        </w:rPr>
        <w:t>الخاص</w:t>
      </w:r>
      <w:r w:rsidRPr="000E4A10">
        <w:rPr>
          <w:rtl/>
          <w:lang w:eastAsia="zh-TW"/>
        </w:rPr>
        <w:t xml:space="preserve"> </w:t>
      </w:r>
      <w:r w:rsidRPr="000E4A10">
        <w:rPr>
          <w:rFonts w:hint="eastAsia"/>
          <w:rtl/>
          <w:lang w:eastAsia="zh-TW"/>
        </w:rPr>
        <w:t>للأمين</w:t>
      </w:r>
      <w:r w:rsidRPr="000E4A10">
        <w:rPr>
          <w:rtl/>
          <w:lang w:eastAsia="zh-TW"/>
        </w:rPr>
        <w:t xml:space="preserve"> </w:t>
      </w:r>
      <w:r w:rsidRPr="000E4A10">
        <w:rPr>
          <w:rFonts w:hint="eastAsia"/>
          <w:rtl/>
          <w:lang w:eastAsia="zh-TW"/>
        </w:rPr>
        <w:t>العام</w:t>
      </w:r>
      <w:r w:rsidRPr="000E4A10">
        <w:rPr>
          <w:rtl/>
          <w:lang w:eastAsia="zh-TW"/>
        </w:rPr>
        <w:t xml:space="preserve"> </w:t>
      </w:r>
      <w:r w:rsidRPr="000E4A10">
        <w:rPr>
          <w:rFonts w:hint="eastAsia"/>
          <w:rtl/>
          <w:lang w:eastAsia="zh-TW"/>
        </w:rPr>
        <w:t>المعني</w:t>
      </w:r>
      <w:r w:rsidRPr="000E4A10">
        <w:rPr>
          <w:rtl/>
          <w:lang w:eastAsia="zh-TW"/>
        </w:rPr>
        <w:t xml:space="preserve"> </w:t>
      </w:r>
      <w:r w:rsidRPr="000E4A10">
        <w:rPr>
          <w:rFonts w:hint="eastAsia"/>
          <w:rtl/>
          <w:lang w:eastAsia="zh-TW"/>
        </w:rPr>
        <w:t>بالإعاقة</w:t>
      </w:r>
      <w:r w:rsidRPr="000E4A10">
        <w:rPr>
          <w:rtl/>
          <w:lang w:eastAsia="zh-TW"/>
        </w:rPr>
        <w:t xml:space="preserve"> </w:t>
      </w:r>
      <w:r w:rsidRPr="000E4A10">
        <w:rPr>
          <w:rFonts w:hint="eastAsia"/>
          <w:rtl/>
          <w:lang w:eastAsia="zh-TW"/>
        </w:rPr>
        <w:t>وإمكانية</w:t>
      </w:r>
      <w:r w:rsidRPr="000E4A10">
        <w:rPr>
          <w:rtl/>
          <w:lang w:eastAsia="zh-TW"/>
        </w:rPr>
        <w:t xml:space="preserve"> </w:t>
      </w:r>
      <w:r w:rsidRPr="000E4A10">
        <w:rPr>
          <w:rFonts w:hint="eastAsia"/>
          <w:rtl/>
          <w:lang w:eastAsia="zh-TW"/>
        </w:rPr>
        <w:t>الوصول</w:t>
      </w:r>
      <w:r w:rsidRPr="002C66EC">
        <w:rPr>
          <w:rtl/>
          <w:lang w:eastAsia="zh-TW"/>
        </w:rPr>
        <w:t>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بغرض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تفادي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ازدواجية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العمل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غير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الضرورية،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Fonts w:hint="cs"/>
          <w:rtl/>
          <w:lang w:eastAsia="zh-TW"/>
        </w:rPr>
        <w:t> 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يتعلق</w:t>
      </w:r>
      <w:r>
        <w:rPr>
          <w:rtl/>
          <w:lang w:eastAsia="zh-TW"/>
        </w:rPr>
        <w:t xml:space="preserve"> </w:t>
      </w:r>
      <w:proofErr w:type="spellStart"/>
      <w:r>
        <w:rPr>
          <w:rFonts w:hint="cs"/>
          <w:rtl/>
          <w:lang w:eastAsia="zh-TW"/>
        </w:rPr>
        <w:t>ب</w:t>
      </w:r>
      <w:r w:rsidRPr="002C66EC">
        <w:rPr>
          <w:rtl/>
          <w:lang w:eastAsia="zh-TW"/>
        </w:rPr>
        <w:t>ا</w:t>
      </w:r>
      <w:proofErr w:type="spellEnd"/>
      <w:r w:rsidRPr="002C66EC">
        <w:rPr>
          <w:rtl/>
          <w:lang w:val="ru-RU" w:eastAsia="zh-TW" w:bidi="ar-DZ"/>
        </w:rPr>
        <w:t>لمراسلات</w:t>
      </w:r>
      <w:r w:rsidRPr="002C66EC">
        <w:rPr>
          <w:rtl/>
          <w:lang w:eastAsia="zh-TW"/>
        </w:rPr>
        <w:t>؛</w:t>
      </w:r>
    </w:p>
    <w:p w:rsidR="00F4215E" w:rsidRPr="001772E9" w:rsidRDefault="00F4215E" w:rsidP="007C51C7">
      <w:pPr>
        <w:pStyle w:val="SingleTxtGA"/>
        <w:rPr>
          <w:sz w:val="32"/>
          <w:rtl/>
          <w:lang w:eastAsia="zh-TW"/>
        </w:rPr>
      </w:pPr>
      <w:r w:rsidRPr="001772E9">
        <w:rPr>
          <w:rtl/>
          <w:lang w:eastAsia="zh-TW"/>
        </w:rPr>
        <w:lastRenderedPageBreak/>
        <w:tab/>
        <w:t>(ز)</w:t>
      </w:r>
      <w:r w:rsidRPr="001772E9">
        <w:rPr>
          <w:rtl/>
          <w:lang w:eastAsia="zh-TW"/>
        </w:rPr>
        <w:tab/>
      </w:r>
      <w:r w:rsidRPr="001772E9">
        <w:rPr>
          <w:rFonts w:hint="eastAsia"/>
          <w:rtl/>
          <w:lang w:eastAsia="zh-TW"/>
        </w:rPr>
        <w:t>التعاون</w:t>
      </w:r>
      <w:r w:rsidRPr="001772E9">
        <w:rPr>
          <w:rtl/>
          <w:lang w:eastAsia="zh-TW"/>
        </w:rPr>
        <w:t xml:space="preserve"> </w:t>
      </w:r>
      <w:r w:rsidRPr="001772E9">
        <w:rPr>
          <w:rFonts w:hint="eastAsia"/>
          <w:rtl/>
          <w:lang w:eastAsia="zh-TW"/>
        </w:rPr>
        <w:t>الوثيق</w:t>
      </w:r>
      <w:r w:rsidRPr="001772E9">
        <w:rPr>
          <w:rtl/>
          <w:lang w:eastAsia="zh-TW"/>
        </w:rPr>
        <w:t xml:space="preserve"> مع مؤتمر الدول الأطراف في اتفاقية حقوق الأشخاص ذوي</w:t>
      </w:r>
      <w:r>
        <w:rPr>
          <w:rFonts w:hint="cs"/>
          <w:rtl/>
          <w:lang w:eastAsia="zh-TW"/>
        </w:rPr>
        <w:t> </w:t>
      </w:r>
      <w:r w:rsidRPr="001772E9">
        <w:rPr>
          <w:rtl/>
          <w:lang w:eastAsia="zh-TW"/>
        </w:rPr>
        <w:t>الإعاقة ولجنة التنمية الاجتماعية، بطرق منها المشاركة في دوراتهما السنوية، بناء على طلب هذه المشاركة؛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  <w:t>(ح)</w:t>
      </w:r>
      <w:r w:rsidRPr="002C66EC">
        <w:rPr>
          <w:rtl/>
          <w:lang w:eastAsia="zh-TW"/>
        </w:rPr>
        <w:tab/>
        <w:t>إدماج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منظور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جنساني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الأعمال</w:t>
      </w:r>
      <w:r>
        <w:rPr>
          <w:rtl/>
          <w:lang w:eastAsia="zh-TW"/>
        </w:rPr>
        <w:t xml:space="preserve"> </w:t>
      </w:r>
      <w:proofErr w:type="spellStart"/>
      <w:r w:rsidRPr="002C66EC">
        <w:rPr>
          <w:rtl/>
          <w:lang w:eastAsia="zh-TW"/>
        </w:rPr>
        <w:t>المضطلع</w:t>
      </w:r>
      <w:proofErr w:type="spellEnd"/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إطار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الولاية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والتصدي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لأشكال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التمييز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المتعددة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والمتقاطعة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والجسيمة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يتعرض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ذوو</w:t>
      </w:r>
      <w:r>
        <w:rPr>
          <w:rtl/>
          <w:lang w:eastAsia="zh-TW"/>
        </w:rPr>
        <w:t xml:space="preserve"> الإعاقة</w:t>
      </w:r>
      <w:r>
        <w:rPr>
          <w:rFonts w:hint="cs"/>
          <w:rtl/>
          <w:lang w:eastAsia="zh-TW"/>
        </w:rPr>
        <w:t>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 w:rsidRPr="002C66EC">
        <w:rPr>
          <w:rtl/>
          <w:lang w:eastAsia="zh-TW"/>
        </w:rPr>
        <w:tab/>
        <w:t>(ط)</w:t>
      </w:r>
      <w:r w:rsidRPr="002C66EC">
        <w:rPr>
          <w:rtl/>
          <w:lang w:eastAsia="zh-TW"/>
        </w:rPr>
        <w:tab/>
        <w:t>تقديم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تقارير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سنوية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مجلس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ابتداءً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دورته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السابعة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والثلاثين،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الجمعية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العامة،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ابتداءً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دورتها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الثانية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والسبعين،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أشكال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يسهل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الاطلاع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عليها،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تقارير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بطريقة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بريل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للمكفوفين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وبصيغ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تسهل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قراءتها،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والترجمة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الشفوية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بلغة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الإشارة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الدولية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والشروح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النصية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أثناء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عرض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التقارير،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وفقا</w:t>
      </w:r>
      <w:r>
        <w:rPr>
          <w:rFonts w:hint="cs"/>
          <w:rtl/>
          <w:lang w:eastAsia="zh-TW"/>
        </w:rPr>
        <w:t>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لبرنامج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عمل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كل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منهما؛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٤-</w:t>
      </w:r>
      <w:r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يهيب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الدول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تتعاون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المقررة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الاضطلاع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بولايتها،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بطرق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منها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تقديم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المعلومات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الضرورية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المطلوبة،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تنظر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جدياً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الاستجابة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لطلباتها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زيارةَ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بلدانها،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تنظر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الاستنتاجات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يخلص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إليها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المكلف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بالولاية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تقاريره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اتخاذ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تدابير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المتابعة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المناسبة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فضلاً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تنفيذ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التوصيات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المقدمة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التقارير؛</w:t>
      </w:r>
    </w:p>
    <w:p w:rsidR="00F4215E" w:rsidRPr="002C66EC" w:rsidRDefault="00F4215E" w:rsidP="007C51C7">
      <w:pPr>
        <w:pStyle w:val="SingleTxtGA"/>
        <w:rPr>
          <w:sz w:val="32"/>
          <w:rtl/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٥-</w:t>
      </w:r>
      <w:r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يشجع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الجهات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وكالات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الأمم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المتحدة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وبرامجها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وصناديقها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والآليات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الإقليمية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والمؤسسات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الوطنية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وأطر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الرصد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المستقلة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الوطنية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والقطاع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والمانحون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والوكالات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الإنمائية،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تتعاون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بالكامل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مع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المقررة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لمساعدة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المكلف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بالولاية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الاضطلاع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بها؛</w:t>
      </w:r>
    </w:p>
    <w:p w:rsidR="00F4215E" w:rsidRPr="002C66EC" w:rsidRDefault="00F4215E" w:rsidP="007C51C7">
      <w:pPr>
        <w:pStyle w:val="SingleTxtGA"/>
        <w:rPr>
          <w:bCs/>
          <w:sz w:val="32"/>
          <w:rtl/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٦-</w:t>
      </w:r>
      <w:r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يهيب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بالدول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تصدق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اتفاقية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وبروتوكولها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الاختياري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أو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تنضم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إليهما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بعد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تنظر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القيام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بذلك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سبيل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الأولوية؛</w:t>
      </w:r>
    </w:p>
    <w:p w:rsidR="00F4215E" w:rsidRDefault="00F4215E" w:rsidP="007C51C7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٧-</w:t>
      </w:r>
      <w:r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يطلب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الأمين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العام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أن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يعرض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تقارير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المقررة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اللجنة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المعنية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الأشخاص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ذوي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الإعاقة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ومؤتمر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الدول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الأطراف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ولجنة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التنمية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الاجتماعية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للاطلاع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عليها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وتفادي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ازدواجية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العمل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غير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الضرورية؛</w:t>
      </w:r>
    </w:p>
    <w:p w:rsidR="00F4215E" w:rsidRDefault="00F4215E" w:rsidP="007C51C7">
      <w:pPr>
        <w:pStyle w:val="SingleTxtGA"/>
        <w:rPr>
          <w:lang w:eastAsia="zh-TW"/>
        </w:rPr>
      </w:pPr>
      <w:r>
        <w:rPr>
          <w:rtl/>
          <w:lang w:eastAsia="zh-TW"/>
        </w:rPr>
        <w:tab/>
      </w:r>
      <w:r w:rsidRPr="002C66EC">
        <w:rPr>
          <w:rtl/>
          <w:lang w:eastAsia="zh-TW"/>
        </w:rPr>
        <w:t>٨-</w:t>
      </w:r>
      <w:r>
        <w:rPr>
          <w:rtl/>
          <w:lang w:eastAsia="zh-TW"/>
        </w:rPr>
        <w:tab/>
      </w:r>
      <w:r w:rsidRPr="002C66EC">
        <w:rPr>
          <w:rFonts w:hint="eastAsia"/>
          <w:i/>
          <w:iCs/>
          <w:rtl/>
          <w:lang w:eastAsia="zh-TW"/>
        </w:rPr>
        <w:t>يطلب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إلى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الأمين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العام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ومفوض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الأمم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المتحدة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السامي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لحقوق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الإنسان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تزويد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المقررة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الخاصة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بجميع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الموارد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البشرية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والتقنية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والمالية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اللازمة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لكي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تضطلع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بولايتها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على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نحو</w:t>
      </w:r>
      <w:r>
        <w:rPr>
          <w:rtl/>
          <w:lang w:eastAsia="zh-TW"/>
        </w:rPr>
        <w:t xml:space="preserve"> </w:t>
      </w:r>
      <w:r w:rsidRPr="002C66EC">
        <w:rPr>
          <w:rtl/>
          <w:lang w:eastAsia="zh-TW"/>
        </w:rPr>
        <w:t>فعال.</w:t>
      </w:r>
    </w:p>
    <w:p w:rsidR="00F4215E" w:rsidRPr="00F4215E" w:rsidRDefault="00F4215E" w:rsidP="00F4215E">
      <w:pPr>
        <w:pStyle w:val="SingleTxtGA"/>
        <w:bidi w:val="0"/>
        <w:spacing w:after="0"/>
        <w:rPr>
          <w:i/>
          <w:iCs/>
        </w:rPr>
      </w:pPr>
      <w:r w:rsidRPr="00F4215E">
        <w:rPr>
          <w:i/>
          <w:iCs/>
          <w:rtl/>
        </w:rPr>
        <w:t>الجلسة 34</w:t>
      </w:r>
    </w:p>
    <w:p w:rsidR="00F4215E" w:rsidRPr="00F4215E" w:rsidRDefault="00F4215E" w:rsidP="00F4215E">
      <w:pPr>
        <w:pStyle w:val="SingleTxtGA"/>
        <w:bidi w:val="0"/>
        <w:rPr>
          <w:i/>
          <w:iCs/>
          <w:rtl/>
        </w:rPr>
      </w:pPr>
      <w:r w:rsidRPr="00F4215E">
        <w:rPr>
          <w:i/>
          <w:iCs/>
          <w:rtl/>
        </w:rPr>
        <w:t>22 حزيران/يونيه 2017</w:t>
      </w:r>
    </w:p>
    <w:p w:rsidR="00F4215E" w:rsidRDefault="00F4215E" w:rsidP="00F4215E">
      <w:pPr>
        <w:pStyle w:val="SingleTxtGA"/>
        <w:rPr>
          <w:rtl/>
        </w:rPr>
      </w:pPr>
      <w:r>
        <w:rPr>
          <w:rFonts w:ascii="Traditional Arabic" w:hAnsi="Traditional Arabic"/>
          <w:rtl/>
        </w:rPr>
        <w:t>[</w:t>
      </w:r>
      <w:r>
        <w:rPr>
          <w:rtl/>
        </w:rPr>
        <w:t>اعتُمد دون تصويت</w:t>
      </w:r>
      <w:r>
        <w:rPr>
          <w:rFonts w:ascii="Traditional Arabic" w:hAnsi="Traditional Arabic" w:hint="cs"/>
          <w:rtl/>
        </w:rPr>
        <w:t>.</w:t>
      </w:r>
      <w:r>
        <w:rPr>
          <w:rFonts w:ascii="Traditional Arabic" w:hAnsi="Traditional Arabic"/>
          <w:rtl/>
        </w:rPr>
        <w:t>]</w:t>
      </w:r>
    </w:p>
    <w:p w:rsidR="00F4215E" w:rsidRPr="002C66EC" w:rsidRDefault="00F4215E" w:rsidP="00F4215E">
      <w:pPr>
        <w:spacing w:before="120"/>
        <w:jc w:val="center"/>
        <w:rPr>
          <w:rFonts w:eastAsia="SimSun"/>
          <w:u w:val="single"/>
          <w:lang w:val="fr-CH"/>
        </w:rPr>
      </w:pPr>
      <w:r>
        <w:rPr>
          <w:rFonts w:eastAsia="SimSun"/>
          <w:u w:val="single"/>
          <w:rtl/>
          <w:lang w:val="fr-CH"/>
        </w:rPr>
        <w:tab/>
      </w:r>
      <w:r>
        <w:rPr>
          <w:rFonts w:eastAsia="SimSun"/>
          <w:u w:val="single"/>
          <w:rtl/>
          <w:lang w:val="fr-CH"/>
        </w:rPr>
        <w:tab/>
      </w:r>
      <w:r>
        <w:rPr>
          <w:rFonts w:eastAsia="SimSun"/>
          <w:u w:val="single"/>
          <w:rtl/>
          <w:lang w:val="fr-CH"/>
        </w:rPr>
        <w:tab/>
      </w:r>
    </w:p>
    <w:sectPr w:rsidR="00F4215E" w:rsidRPr="002C66EC" w:rsidSect="000C37C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C9" w:rsidRPr="002901D9" w:rsidRDefault="002B7BC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B7BC9" w:rsidRDefault="002B7BC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E" w:rsidRPr="00F4215E" w:rsidRDefault="00F4215E" w:rsidP="00F4215E">
    <w:pPr>
      <w:pStyle w:val="Footer"/>
      <w:tabs>
        <w:tab w:val="right" w:pos="9598"/>
      </w:tabs>
      <w:rPr>
        <w:sz w:val="17"/>
      </w:rPr>
    </w:pPr>
    <w:r>
      <w:rPr>
        <w:sz w:val="17"/>
      </w:rPr>
      <w:t>GE.17-11503</w:t>
    </w:r>
    <w:r>
      <w:rPr>
        <w:sz w:val="17"/>
      </w:rPr>
      <w:tab/>
    </w:r>
    <w:r w:rsidRPr="00F4215E">
      <w:rPr>
        <w:b/>
        <w:sz w:val="18"/>
      </w:rPr>
      <w:fldChar w:fldCharType="begin"/>
    </w:r>
    <w:r w:rsidRPr="00F4215E">
      <w:rPr>
        <w:b/>
        <w:sz w:val="18"/>
      </w:rPr>
      <w:instrText xml:space="preserve"> PAGE  \* MERGEFORMAT </w:instrText>
    </w:r>
    <w:r w:rsidRPr="00F4215E">
      <w:rPr>
        <w:b/>
        <w:sz w:val="18"/>
      </w:rPr>
      <w:fldChar w:fldCharType="separate"/>
    </w:r>
    <w:r w:rsidR="008C501A">
      <w:rPr>
        <w:b/>
        <w:noProof/>
        <w:sz w:val="18"/>
      </w:rPr>
      <w:t>2</w:t>
    </w:r>
    <w:r w:rsidRPr="00F4215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F4215E" w:rsidRDefault="00F4215E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F4215E">
      <w:rPr>
        <w:b/>
        <w:sz w:val="18"/>
        <w:lang w:val="en-US"/>
      </w:rPr>
      <w:fldChar w:fldCharType="begin"/>
    </w:r>
    <w:r w:rsidRPr="00F4215E">
      <w:rPr>
        <w:b/>
        <w:sz w:val="18"/>
        <w:lang w:val="en-US"/>
      </w:rPr>
      <w:instrText xml:space="preserve"> PAGE  \* MERGEFORMAT </w:instrText>
    </w:r>
    <w:r w:rsidRPr="00F4215E">
      <w:rPr>
        <w:b/>
        <w:sz w:val="18"/>
        <w:lang w:val="en-US"/>
      </w:rPr>
      <w:fldChar w:fldCharType="separate"/>
    </w:r>
    <w:r w:rsidR="008C501A">
      <w:rPr>
        <w:b/>
        <w:noProof/>
        <w:sz w:val="18"/>
        <w:lang w:val="en-US"/>
      </w:rPr>
      <w:t>3</w:t>
    </w:r>
    <w:r w:rsidRPr="00F4215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GE.17-11503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0C37CE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GE.17-11503</w:t>
    </w:r>
    <w:r w:rsidR="00FD4BC9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3B4013A3" wp14:editId="243E316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0C37CE" w:rsidRPr="000C37CE" w:rsidRDefault="000C37CE" w:rsidP="000C37CE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C9" w:rsidRPr="0054762C" w:rsidRDefault="002B7BC9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B7BC9" w:rsidRDefault="002B7BC9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E" w:rsidRPr="00F4215E" w:rsidRDefault="00F4215E" w:rsidP="00F4215E">
    <w:pPr>
      <w:pStyle w:val="Header"/>
      <w:jc w:val="right"/>
    </w:pPr>
    <w:r w:rsidRPr="00F4215E">
      <w:t>A/HRC/RES/35/6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CE" w:rsidRPr="00F4215E" w:rsidRDefault="00F4215E" w:rsidP="00F4215E">
    <w:pPr>
      <w:pStyle w:val="Header"/>
      <w:jc w:val="left"/>
    </w:pPr>
    <w:r w:rsidRPr="00F4215E">
      <w:t>A/HRC/RES/35/6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7BC9"/>
    <w:rsid w:val="000076D5"/>
    <w:rsid w:val="00043663"/>
    <w:rsid w:val="000505CF"/>
    <w:rsid w:val="000C37CE"/>
    <w:rsid w:val="000D701C"/>
    <w:rsid w:val="000E2A71"/>
    <w:rsid w:val="000E524A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2B7BC9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7C51C7"/>
    <w:rsid w:val="007E5984"/>
    <w:rsid w:val="00852A9A"/>
    <w:rsid w:val="00871544"/>
    <w:rsid w:val="008930DB"/>
    <w:rsid w:val="00895D16"/>
    <w:rsid w:val="008C501A"/>
    <w:rsid w:val="008F49E1"/>
    <w:rsid w:val="0090370F"/>
    <w:rsid w:val="009269D2"/>
    <w:rsid w:val="00942135"/>
    <w:rsid w:val="009521B0"/>
    <w:rsid w:val="009605A1"/>
    <w:rsid w:val="009A7E9F"/>
    <w:rsid w:val="009E5018"/>
    <w:rsid w:val="00A12B37"/>
    <w:rsid w:val="00A22902"/>
    <w:rsid w:val="00A50EC0"/>
    <w:rsid w:val="00A74331"/>
    <w:rsid w:val="00AB6758"/>
    <w:rsid w:val="00B13763"/>
    <w:rsid w:val="00B22197"/>
    <w:rsid w:val="00B477A4"/>
    <w:rsid w:val="00B54045"/>
    <w:rsid w:val="00B62702"/>
    <w:rsid w:val="00BA5E8B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F1EE5"/>
    <w:rsid w:val="00F4215E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F4215E"/>
    <w:pPr>
      <w:suppressAutoHyphens/>
      <w:bidi w:val="0"/>
      <w:spacing w:after="120"/>
      <w:ind w:left="1134" w:right="1134"/>
      <w:jc w:val="both"/>
    </w:pPr>
    <w:rPr>
      <w:lang w:val="en-GB"/>
    </w:rPr>
  </w:style>
  <w:style w:type="paragraph" w:customStyle="1" w:styleId="H1G">
    <w:name w:val="_ H_1_G"/>
    <w:basedOn w:val="Normal"/>
    <w:next w:val="Normal"/>
    <w:link w:val="H1GChar"/>
    <w:rsid w:val="00F4215E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F4215E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hint="cs"/>
      <w:b/>
      <w:lang w:val="en-GB"/>
    </w:rPr>
  </w:style>
  <w:style w:type="character" w:customStyle="1" w:styleId="SingleTxtGChar">
    <w:name w:val="_ Single Txt_G Char"/>
    <w:link w:val="SingleTxtG"/>
    <w:rsid w:val="00F4215E"/>
    <w:rPr>
      <w:rFonts w:ascii="Times New Roman" w:hAnsi="Times New Roman" w:cs="Traditional Arabic"/>
      <w:sz w:val="20"/>
      <w:szCs w:val="30"/>
      <w:lang w:val="en-GB"/>
    </w:rPr>
  </w:style>
  <w:style w:type="character" w:customStyle="1" w:styleId="H1GChar">
    <w:name w:val="_ H_1_G Char"/>
    <w:link w:val="H1G"/>
    <w:rsid w:val="00F4215E"/>
    <w:rPr>
      <w:rFonts w:ascii="Times New Roman" w:hAnsi="Times New Roman" w:cs="Traditional Arabic"/>
      <w:b/>
      <w:sz w:val="24"/>
      <w:szCs w:val="3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F4215E"/>
    <w:pPr>
      <w:suppressAutoHyphens/>
      <w:bidi w:val="0"/>
      <w:spacing w:after="120"/>
      <w:ind w:left="1134" w:right="1134"/>
      <w:jc w:val="both"/>
    </w:pPr>
    <w:rPr>
      <w:lang w:val="en-GB"/>
    </w:rPr>
  </w:style>
  <w:style w:type="paragraph" w:customStyle="1" w:styleId="H1G">
    <w:name w:val="_ H_1_G"/>
    <w:basedOn w:val="Normal"/>
    <w:next w:val="Normal"/>
    <w:link w:val="H1GChar"/>
    <w:rsid w:val="00F4215E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F4215E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hint="cs"/>
      <w:b/>
      <w:lang w:val="en-GB"/>
    </w:rPr>
  </w:style>
  <w:style w:type="character" w:customStyle="1" w:styleId="SingleTxtGChar">
    <w:name w:val="_ Single Txt_G Char"/>
    <w:link w:val="SingleTxtG"/>
    <w:rsid w:val="00F4215E"/>
    <w:rPr>
      <w:rFonts w:ascii="Times New Roman" w:hAnsi="Times New Roman" w:cs="Traditional Arabic"/>
      <w:sz w:val="20"/>
      <w:szCs w:val="30"/>
      <w:lang w:val="en-GB"/>
    </w:rPr>
  </w:style>
  <w:style w:type="character" w:customStyle="1" w:styleId="H1GChar">
    <w:name w:val="_ H_1_G Char"/>
    <w:link w:val="H1G"/>
    <w:rsid w:val="00F4215E"/>
    <w:rPr>
      <w:rFonts w:ascii="Times New Roman" w:hAnsi="Times New Roman" w:cs="Traditional Arabic"/>
      <w:b/>
      <w:sz w:val="24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9EB6-E84A-4F3F-9930-16E345D5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A/HRC/RES/35/6</vt:lpstr>
    </vt:vector>
  </TitlesOfParts>
  <Company>DCM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A/HRC/RES/35/6</dc:title>
  <dc:subject>GE.1711503</dc:subject>
  <dc:creator>IHRZ-MBOU</dc:creator>
  <cp:keywords>ODS No.1718651</cp:keywords>
  <dc:description>Distr.: General_x000d_
10 July 2017_x000d_
Original: English</dc:description>
  <cp:lastModifiedBy>Tpsara</cp:lastModifiedBy>
  <cp:revision>2</cp:revision>
  <cp:lastPrinted>2017-08-04T09:17:00Z</cp:lastPrinted>
  <dcterms:created xsi:type="dcterms:W3CDTF">2017-08-04T10:55:00Z</dcterms:created>
  <dcterms:modified xsi:type="dcterms:W3CDTF">2017-08-04T10:55:00Z</dcterms:modified>
  <cp:category>Final</cp:category>
</cp:coreProperties>
</file>