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A573BD" w:rsidRDefault="00A573BD" w:rsidP="000E62AA">
            <w:pPr>
              <w:spacing w:line="240" w:lineRule="atLeast"/>
              <w:jc w:val="right"/>
              <w:rPr>
                <w:sz w:val="20"/>
                <w:szCs w:val="21"/>
              </w:rPr>
            </w:pPr>
            <w:r w:rsidRPr="00A573BD">
              <w:rPr>
                <w:sz w:val="40"/>
                <w:szCs w:val="21"/>
              </w:rPr>
              <w:t>A</w:t>
            </w:r>
            <w:r>
              <w:rPr>
                <w:sz w:val="20"/>
                <w:szCs w:val="21"/>
              </w:rPr>
              <w:t>/HRC/RES/35/6</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A573BD" w:rsidRPr="00A573BD">
              <w:rPr>
                <w:sz w:val="20"/>
              </w:rPr>
              <w:t>General</w:t>
            </w:r>
          </w:p>
          <w:p w:rsidR="00A1364C" w:rsidRPr="00F124C6" w:rsidRDefault="00A573BD" w:rsidP="000E62AA">
            <w:pPr>
              <w:spacing w:line="240" w:lineRule="atLeast"/>
              <w:rPr>
                <w:sz w:val="20"/>
              </w:rPr>
            </w:pPr>
            <w:r>
              <w:rPr>
                <w:sz w:val="20"/>
              </w:rPr>
              <w:t xml:space="preserve">10 </w:t>
            </w:r>
            <w:r w:rsidRPr="00A573BD">
              <w:rPr>
                <w:sz w:val="20"/>
              </w:rPr>
              <w:t>July</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A573BD" w:rsidRDefault="00A573BD" w:rsidP="00A573BD">
      <w:pPr>
        <w:spacing w:before="120"/>
        <w:rPr>
          <w:rFonts w:eastAsia="黑体"/>
          <w:sz w:val="24"/>
          <w:szCs w:val="24"/>
          <w:lang w:val="fr-CH"/>
        </w:rPr>
      </w:pPr>
      <w:r>
        <w:rPr>
          <w:rFonts w:eastAsia="黑体" w:hint="eastAsia"/>
          <w:sz w:val="24"/>
          <w:szCs w:val="24"/>
          <w:lang w:val="fr-CH"/>
        </w:rPr>
        <w:t>人权理事会</w:t>
      </w:r>
    </w:p>
    <w:p w:rsidR="00A573BD" w:rsidRPr="00E31449" w:rsidRDefault="00A573BD" w:rsidP="00A573BD">
      <w:pPr>
        <w:rPr>
          <w:rFonts w:eastAsia="黑体"/>
          <w:szCs w:val="21"/>
          <w:lang w:val="fr-CH"/>
        </w:rPr>
      </w:pPr>
      <w:r w:rsidRPr="00E31449">
        <w:rPr>
          <w:rFonts w:eastAsia="黑体" w:hint="eastAsia"/>
          <w:szCs w:val="21"/>
          <w:lang w:val="fr-CH"/>
        </w:rPr>
        <w:t>第三十五届会议</w:t>
      </w:r>
    </w:p>
    <w:p w:rsidR="00A573BD" w:rsidRPr="00E31449" w:rsidRDefault="00A573BD" w:rsidP="00A573BD">
      <w:pPr>
        <w:rPr>
          <w:szCs w:val="21"/>
          <w:lang w:val="fr-CH"/>
        </w:rPr>
      </w:pPr>
      <w:r>
        <w:rPr>
          <w:rFonts w:hint="eastAsia"/>
          <w:szCs w:val="21"/>
          <w:lang w:val="fr-CH"/>
        </w:rPr>
        <w:t>2</w:t>
      </w:r>
      <w:r w:rsidRPr="00E31449">
        <w:rPr>
          <w:rFonts w:hint="eastAsia"/>
          <w:szCs w:val="21"/>
          <w:lang w:val="fr-CH"/>
        </w:rPr>
        <w:t>0</w:t>
      </w:r>
      <w:r>
        <w:rPr>
          <w:rFonts w:hint="eastAsia"/>
          <w:szCs w:val="21"/>
          <w:lang w:val="fr-CH"/>
        </w:rPr>
        <w:t>17</w:t>
      </w:r>
      <w:r w:rsidRPr="00E31449">
        <w:rPr>
          <w:rFonts w:hint="eastAsia"/>
          <w:szCs w:val="21"/>
          <w:lang w:val="fr-CH"/>
        </w:rPr>
        <w:t>年</w:t>
      </w:r>
      <w:r>
        <w:rPr>
          <w:rFonts w:hint="eastAsia"/>
          <w:szCs w:val="21"/>
          <w:lang w:val="fr-CH"/>
        </w:rPr>
        <w:t>6</w:t>
      </w:r>
      <w:r w:rsidRPr="00E31449">
        <w:rPr>
          <w:rFonts w:hint="eastAsia"/>
          <w:szCs w:val="21"/>
          <w:lang w:val="fr-CH"/>
        </w:rPr>
        <w:t>月</w:t>
      </w:r>
      <w:r>
        <w:rPr>
          <w:rFonts w:hint="eastAsia"/>
          <w:szCs w:val="21"/>
          <w:lang w:val="fr-CH"/>
        </w:rPr>
        <w:t>6</w:t>
      </w:r>
      <w:r w:rsidRPr="00E31449">
        <w:rPr>
          <w:rFonts w:hint="eastAsia"/>
          <w:szCs w:val="21"/>
          <w:lang w:val="fr-CH"/>
        </w:rPr>
        <w:t>日至</w:t>
      </w:r>
      <w:r>
        <w:rPr>
          <w:rFonts w:hint="eastAsia"/>
          <w:szCs w:val="21"/>
          <w:lang w:val="fr-CH"/>
        </w:rPr>
        <w:t>23</w:t>
      </w:r>
      <w:r w:rsidRPr="00E31449">
        <w:rPr>
          <w:rFonts w:hint="eastAsia"/>
          <w:szCs w:val="21"/>
          <w:lang w:val="fr-CH"/>
        </w:rPr>
        <w:t>日</w:t>
      </w:r>
    </w:p>
    <w:p w:rsidR="00A573BD" w:rsidRDefault="00A573BD" w:rsidP="00A573BD">
      <w:r w:rsidRPr="00E31449">
        <w:rPr>
          <w:rFonts w:hint="eastAsia"/>
          <w:szCs w:val="21"/>
          <w:lang w:val="fr-CH"/>
        </w:rPr>
        <w:t>议程项目</w:t>
      </w:r>
      <w:r>
        <w:rPr>
          <w:rFonts w:hint="eastAsia"/>
          <w:szCs w:val="21"/>
          <w:lang w:val="fr-CH"/>
        </w:rPr>
        <w:t>3</w:t>
      </w:r>
    </w:p>
    <w:p w:rsidR="00A573BD" w:rsidRDefault="00A573BD" w:rsidP="00DB75CC">
      <w:pPr>
        <w:pStyle w:val="HChGC"/>
        <w:ind w:left="0" w:right="0" w:firstLine="0"/>
        <w:jc w:val="center"/>
      </w:pPr>
      <w:r>
        <w:rPr>
          <w:rFonts w:hint="eastAsia"/>
        </w:rPr>
        <w:t>人权理事会</w:t>
      </w:r>
      <w:r>
        <w:t>2017</w:t>
      </w:r>
      <w:r>
        <w:t>年</w:t>
      </w:r>
      <w:r>
        <w:t>6</w:t>
      </w:r>
      <w:r>
        <w:t>月</w:t>
      </w:r>
      <w:r>
        <w:t>22</w:t>
      </w:r>
      <w:r>
        <w:t>日</w:t>
      </w:r>
      <w:r>
        <w:rPr>
          <w:rFonts w:hint="eastAsia"/>
        </w:rPr>
        <w:t>通过的决议</w:t>
      </w:r>
    </w:p>
    <w:p w:rsidR="00A573BD" w:rsidRPr="007A45D3" w:rsidRDefault="00DB75CC" w:rsidP="00DB75CC">
      <w:pPr>
        <w:pStyle w:val="H1GC"/>
        <w:tabs>
          <w:tab w:val="left" w:pos="1843"/>
        </w:tabs>
      </w:pPr>
      <w:r>
        <w:tab/>
      </w:r>
      <w:r>
        <w:tab/>
      </w:r>
      <w:r w:rsidR="00A573BD">
        <w:t>35/6.</w:t>
      </w:r>
      <w:r w:rsidR="00A573BD">
        <w:tab/>
      </w:r>
      <w:r w:rsidR="00A573BD" w:rsidRPr="00C16A03">
        <w:rPr>
          <w:rFonts w:hint="eastAsia"/>
          <w:lang w:val="fr-CH"/>
        </w:rPr>
        <w:t>残疾人权利问题特别报告员</w:t>
      </w:r>
    </w:p>
    <w:p w:rsidR="00A573BD" w:rsidRPr="004F5B33" w:rsidRDefault="00A573BD" w:rsidP="00DB75CC">
      <w:pPr>
        <w:pStyle w:val="SingleTxtGC"/>
        <w:rPr>
          <w:rFonts w:ascii="Time New Roman" w:eastAsia="楷体" w:hAnsi="Time New Roman" w:hint="eastAsia"/>
          <w:szCs w:val="21"/>
          <w:lang w:val="fr-CH"/>
        </w:rPr>
      </w:pPr>
      <w:r w:rsidRPr="004F5B33">
        <w:rPr>
          <w:rFonts w:hint="eastAsia"/>
          <w:szCs w:val="21"/>
          <w:lang w:val="fr-CH"/>
        </w:rPr>
        <w:tab/>
      </w:r>
      <w:r w:rsidRPr="004F5B33">
        <w:rPr>
          <w:rFonts w:ascii="Time New Roman" w:eastAsia="楷体" w:hAnsi="Time New Roman" w:hint="eastAsia"/>
          <w:szCs w:val="21"/>
          <w:lang w:val="fr-CH"/>
        </w:rPr>
        <w:t>人权理事会，</w:t>
      </w:r>
    </w:p>
    <w:p w:rsidR="00A573BD" w:rsidRPr="004F5B33" w:rsidRDefault="00A573BD" w:rsidP="00DB75CC">
      <w:pPr>
        <w:pStyle w:val="SingleTxtGC"/>
        <w:rPr>
          <w:szCs w:val="21"/>
          <w:lang w:val="fr-CH"/>
        </w:rPr>
      </w:pPr>
      <w:r w:rsidRPr="004F5B33">
        <w:rPr>
          <w:rFonts w:hint="eastAsia"/>
          <w:szCs w:val="21"/>
          <w:lang w:val="fr-CH"/>
        </w:rPr>
        <w:tab/>
      </w:r>
      <w:r w:rsidRPr="004F5B33">
        <w:rPr>
          <w:rFonts w:ascii="Time New Roman" w:eastAsia="楷体" w:hAnsi="Time New Roman" w:hint="eastAsia"/>
          <w:szCs w:val="21"/>
          <w:lang w:val="fr-CH"/>
        </w:rPr>
        <w:t>遵循</w:t>
      </w:r>
      <w:r w:rsidRPr="004F5B33">
        <w:rPr>
          <w:rFonts w:hint="eastAsia"/>
          <w:szCs w:val="21"/>
          <w:lang w:val="fr-CH"/>
        </w:rPr>
        <w:t>《联合国宪章》的宗旨和原则，又遵循《世界人权宣言》、《残疾人权利公约》和其他有关人权文书，</w:t>
      </w:r>
    </w:p>
    <w:p w:rsidR="00A573BD" w:rsidRPr="004F5B33" w:rsidRDefault="00A573BD" w:rsidP="00DB75CC">
      <w:pPr>
        <w:pStyle w:val="SingleTxtGC"/>
        <w:rPr>
          <w:szCs w:val="21"/>
          <w:lang w:val="fr-CH"/>
        </w:rPr>
      </w:pPr>
      <w:r w:rsidRPr="004F5B33">
        <w:rPr>
          <w:rFonts w:ascii="Time New Roman" w:eastAsia="楷体" w:hAnsi="Time New Roman"/>
          <w:szCs w:val="21"/>
          <w:lang w:val="fr-CH"/>
        </w:rPr>
        <w:tab/>
      </w:r>
      <w:r w:rsidRPr="004F5B33">
        <w:rPr>
          <w:rFonts w:ascii="Time New Roman" w:eastAsia="楷体" w:hAnsi="Time New Roman" w:hint="eastAsia"/>
          <w:szCs w:val="21"/>
          <w:lang w:val="fr-CH"/>
        </w:rPr>
        <w:t>回顾</w:t>
      </w:r>
      <w:r w:rsidRPr="004F5B33">
        <w:rPr>
          <w:rFonts w:hint="eastAsia"/>
          <w:szCs w:val="21"/>
          <w:lang w:val="fr-CH"/>
        </w:rPr>
        <w:t>所有人权和基本自由都是普遍、不可分割、相互依存和相互关联的，必须保证残疾人不受任何种类的歧视，充分享有他们的权利和自由，</w:t>
      </w:r>
    </w:p>
    <w:p w:rsidR="00A573BD" w:rsidRPr="004F5B33" w:rsidRDefault="00A573BD" w:rsidP="00DB75CC">
      <w:pPr>
        <w:pStyle w:val="SingleTxtGC"/>
        <w:rPr>
          <w:szCs w:val="21"/>
          <w:lang w:val="fr-CH"/>
        </w:rPr>
      </w:pPr>
      <w:r w:rsidRPr="004F5B33">
        <w:rPr>
          <w:rFonts w:hint="eastAsia"/>
          <w:szCs w:val="21"/>
          <w:lang w:val="fr-CH"/>
        </w:rPr>
        <w:tab/>
      </w:r>
      <w:r w:rsidRPr="004F5B33">
        <w:rPr>
          <w:rFonts w:ascii="Time New Roman" w:eastAsia="楷体" w:hAnsi="Time New Roman" w:hint="eastAsia"/>
          <w:szCs w:val="21"/>
          <w:lang w:val="fr-CH"/>
        </w:rPr>
        <w:t>深感关切的是</w:t>
      </w:r>
      <w:r w:rsidRPr="004F5B33">
        <w:rPr>
          <w:rFonts w:hint="eastAsia"/>
          <w:szCs w:val="21"/>
          <w:lang w:val="fr-CH"/>
        </w:rPr>
        <w:t>，在世界各地，残疾人在作为平等社会成员参与各项事务方面继续面临障碍，他们的人权继续受到侵犯，意识到必须加强重视和承诺以应对这些挑战，</w:t>
      </w:r>
    </w:p>
    <w:p w:rsidR="00A573BD" w:rsidRPr="004F5B33" w:rsidRDefault="00A573BD" w:rsidP="00DB75CC">
      <w:pPr>
        <w:pStyle w:val="SingleTxtGC"/>
        <w:rPr>
          <w:szCs w:val="21"/>
          <w:lang w:val="fr-CH"/>
        </w:rPr>
      </w:pPr>
      <w:r w:rsidRPr="004F5B33">
        <w:rPr>
          <w:rFonts w:ascii="Time New Roman" w:eastAsia="楷体" w:hAnsi="Time New Roman"/>
          <w:szCs w:val="21"/>
          <w:lang w:val="fr-CH"/>
        </w:rPr>
        <w:tab/>
      </w:r>
      <w:r w:rsidRPr="004F5B33">
        <w:rPr>
          <w:rFonts w:ascii="Time New Roman" w:eastAsia="楷体" w:hAnsi="Time New Roman" w:hint="eastAsia"/>
          <w:szCs w:val="21"/>
          <w:lang w:val="fr-CH"/>
        </w:rPr>
        <w:t>回顾</w:t>
      </w:r>
      <w:r w:rsidRPr="004F5B33">
        <w:rPr>
          <w:rFonts w:hint="eastAsia"/>
          <w:szCs w:val="21"/>
          <w:lang w:val="fr-CH"/>
        </w:rPr>
        <w:t>大会、人权委员会和人权理事会以往通过的所有关于残疾人权利的决议，</w:t>
      </w:r>
    </w:p>
    <w:p w:rsidR="00A573BD" w:rsidRPr="004F5B33" w:rsidRDefault="00A573BD" w:rsidP="00DB75CC">
      <w:pPr>
        <w:pStyle w:val="SingleTxtGC"/>
        <w:rPr>
          <w:szCs w:val="21"/>
          <w:lang w:val="fr-CH"/>
        </w:rPr>
      </w:pPr>
      <w:r w:rsidRPr="004F5B33">
        <w:rPr>
          <w:rFonts w:ascii="Time New Roman" w:eastAsia="楷体" w:hAnsi="Time New Roman"/>
          <w:szCs w:val="21"/>
          <w:lang w:val="fr-CH"/>
        </w:rPr>
        <w:tab/>
      </w:r>
      <w:r w:rsidRPr="004F5B33">
        <w:rPr>
          <w:rFonts w:ascii="Time New Roman" w:eastAsia="楷体" w:hAnsi="Time New Roman" w:hint="eastAsia"/>
          <w:szCs w:val="21"/>
          <w:lang w:val="fr-CH"/>
        </w:rPr>
        <w:t>又回顾</w:t>
      </w:r>
      <w:r w:rsidRPr="004F5B33">
        <w:rPr>
          <w:rFonts w:hint="eastAsia"/>
          <w:szCs w:val="21"/>
          <w:lang w:val="fr-CH"/>
        </w:rPr>
        <w:t>理事会</w:t>
      </w:r>
      <w:r w:rsidRPr="004F5B33">
        <w:rPr>
          <w:rFonts w:hint="eastAsia"/>
          <w:szCs w:val="21"/>
          <w:lang w:val="fr-CH"/>
        </w:rPr>
        <w:t>2007</w:t>
      </w:r>
      <w:r w:rsidRPr="004F5B33">
        <w:rPr>
          <w:rFonts w:hint="eastAsia"/>
          <w:szCs w:val="21"/>
          <w:lang w:val="fr-CH"/>
        </w:rPr>
        <w:t>年</w:t>
      </w:r>
      <w:r w:rsidRPr="004F5B33">
        <w:rPr>
          <w:rFonts w:hint="eastAsia"/>
          <w:szCs w:val="21"/>
          <w:lang w:val="fr-CH"/>
        </w:rPr>
        <w:t>6</w:t>
      </w:r>
      <w:r w:rsidRPr="004F5B33">
        <w:rPr>
          <w:rFonts w:hint="eastAsia"/>
          <w:szCs w:val="21"/>
          <w:lang w:val="fr-CH"/>
        </w:rPr>
        <w:t>月</w:t>
      </w:r>
      <w:r w:rsidRPr="004F5B33">
        <w:rPr>
          <w:rFonts w:hint="eastAsia"/>
          <w:szCs w:val="21"/>
          <w:lang w:val="fr-CH"/>
        </w:rPr>
        <w:t>18</w:t>
      </w:r>
      <w:r w:rsidRPr="004F5B33">
        <w:rPr>
          <w:rFonts w:hint="eastAsia"/>
          <w:szCs w:val="21"/>
          <w:lang w:val="fr-CH"/>
        </w:rPr>
        <w:t>日关于人权理事会体制建设的第</w:t>
      </w:r>
      <w:r w:rsidRPr="004F5B33">
        <w:rPr>
          <w:rFonts w:hint="eastAsia"/>
          <w:szCs w:val="21"/>
          <w:lang w:val="fr-CH"/>
        </w:rPr>
        <w:t>5/1</w:t>
      </w:r>
      <w:r w:rsidRPr="004F5B33">
        <w:rPr>
          <w:rFonts w:hint="eastAsia"/>
          <w:szCs w:val="21"/>
          <w:lang w:val="fr-CH"/>
        </w:rPr>
        <w:t>号决议和关于理事会特别程序任务负责人行为守则的第</w:t>
      </w:r>
      <w:r w:rsidRPr="004F5B33">
        <w:rPr>
          <w:rFonts w:hint="eastAsia"/>
          <w:szCs w:val="21"/>
          <w:lang w:val="fr-CH"/>
        </w:rPr>
        <w:t>5/2</w:t>
      </w:r>
      <w:r w:rsidRPr="004F5B33">
        <w:rPr>
          <w:rFonts w:hint="eastAsia"/>
          <w:szCs w:val="21"/>
          <w:lang w:val="fr-CH"/>
        </w:rPr>
        <w:t>号决议，强调任务负责人应根据这两项决议及其附件履行职责，</w:t>
      </w:r>
    </w:p>
    <w:p w:rsidR="00A573BD" w:rsidRPr="004F5B33" w:rsidRDefault="00A573BD" w:rsidP="00DB75CC">
      <w:pPr>
        <w:pStyle w:val="SingleTxtGC"/>
        <w:rPr>
          <w:szCs w:val="21"/>
          <w:lang w:val="fr-CH"/>
        </w:rPr>
      </w:pPr>
      <w:r w:rsidRPr="004F5B33">
        <w:rPr>
          <w:rFonts w:hint="eastAsia"/>
          <w:szCs w:val="21"/>
          <w:lang w:val="fr-CH"/>
        </w:rPr>
        <w:tab/>
      </w:r>
      <w:r w:rsidRPr="004F5B33">
        <w:rPr>
          <w:rFonts w:ascii="Time New Roman" w:eastAsia="楷体" w:hAnsi="Time New Roman" w:hint="eastAsia"/>
          <w:szCs w:val="21"/>
          <w:lang w:val="fr-CH"/>
        </w:rPr>
        <w:t>还回顾</w:t>
      </w:r>
      <w:r w:rsidRPr="004F5B33">
        <w:rPr>
          <w:rFonts w:hint="eastAsia"/>
          <w:szCs w:val="21"/>
          <w:lang w:val="fr-CH"/>
        </w:rPr>
        <w:t>理事会</w:t>
      </w:r>
      <w:r w:rsidRPr="004F5B33">
        <w:rPr>
          <w:rFonts w:hint="eastAsia"/>
          <w:szCs w:val="21"/>
          <w:lang w:val="fr-CH"/>
        </w:rPr>
        <w:t>2014</w:t>
      </w:r>
      <w:r w:rsidRPr="004F5B33">
        <w:rPr>
          <w:rFonts w:hint="eastAsia"/>
          <w:szCs w:val="21"/>
          <w:lang w:val="fr-CH"/>
        </w:rPr>
        <w:t>年</w:t>
      </w:r>
      <w:r w:rsidRPr="004F5B33">
        <w:rPr>
          <w:rFonts w:hint="eastAsia"/>
          <w:szCs w:val="21"/>
          <w:lang w:val="fr-CH"/>
        </w:rPr>
        <w:t>6</w:t>
      </w:r>
      <w:r w:rsidRPr="004F5B33">
        <w:rPr>
          <w:rFonts w:hint="eastAsia"/>
          <w:szCs w:val="21"/>
          <w:lang w:val="fr-CH"/>
        </w:rPr>
        <w:t>月</w:t>
      </w:r>
      <w:r w:rsidRPr="004F5B33">
        <w:rPr>
          <w:rFonts w:hint="eastAsia"/>
          <w:szCs w:val="21"/>
          <w:lang w:val="fr-CH"/>
        </w:rPr>
        <w:t>27</w:t>
      </w:r>
      <w:r w:rsidRPr="004F5B33">
        <w:rPr>
          <w:rFonts w:hint="eastAsia"/>
          <w:szCs w:val="21"/>
          <w:lang w:val="fr-CH"/>
        </w:rPr>
        <w:t>日第</w:t>
      </w:r>
      <w:r w:rsidRPr="004F5B33">
        <w:rPr>
          <w:rFonts w:hint="eastAsia"/>
          <w:szCs w:val="21"/>
          <w:lang w:val="fr-CH"/>
        </w:rPr>
        <w:t>26/20</w:t>
      </w:r>
      <w:r w:rsidRPr="004F5B33">
        <w:rPr>
          <w:rFonts w:hint="eastAsia"/>
          <w:szCs w:val="21"/>
          <w:lang w:val="fr-CH"/>
        </w:rPr>
        <w:t>号决议，</w:t>
      </w:r>
    </w:p>
    <w:p w:rsidR="00A573BD" w:rsidRPr="004F5B33" w:rsidRDefault="00A573BD" w:rsidP="00DB75CC">
      <w:pPr>
        <w:pStyle w:val="SingleTxtGC"/>
        <w:rPr>
          <w:szCs w:val="21"/>
          <w:lang w:val="fr-CH"/>
        </w:rPr>
      </w:pPr>
      <w:r w:rsidRPr="004F5B33">
        <w:rPr>
          <w:rFonts w:hint="eastAsia"/>
          <w:szCs w:val="21"/>
          <w:lang w:val="fr-CH"/>
        </w:rPr>
        <w:tab/>
        <w:t>1.</w:t>
      </w:r>
      <w:r w:rsidRPr="004F5B33">
        <w:rPr>
          <w:szCs w:val="21"/>
          <w:lang w:val="fr-CH"/>
        </w:rPr>
        <w:t xml:space="preserve">  </w:t>
      </w:r>
      <w:r w:rsidRPr="004F5B33">
        <w:rPr>
          <w:rFonts w:ascii="Time New Roman" w:eastAsia="楷体" w:hAnsi="Time New Roman" w:hint="eastAsia"/>
          <w:szCs w:val="21"/>
          <w:lang w:val="fr-CH"/>
        </w:rPr>
        <w:t>重申</w:t>
      </w:r>
      <w:r w:rsidRPr="004F5B33">
        <w:rPr>
          <w:rFonts w:hint="eastAsia"/>
          <w:szCs w:val="21"/>
          <w:lang w:val="fr-CH"/>
        </w:rPr>
        <w:t>各国有义务采取一切适当措施，消除对残疾人的歧视，促进、保护和尊重他们的人权；</w:t>
      </w:r>
    </w:p>
    <w:p w:rsidR="00A573BD" w:rsidRPr="004F5B33" w:rsidRDefault="00A573BD" w:rsidP="00DB75CC">
      <w:pPr>
        <w:pStyle w:val="SingleTxtGC"/>
        <w:rPr>
          <w:szCs w:val="21"/>
          <w:lang w:val="fr-CH"/>
        </w:rPr>
      </w:pPr>
      <w:r w:rsidRPr="004F5B33">
        <w:rPr>
          <w:rFonts w:hint="eastAsia"/>
          <w:szCs w:val="21"/>
          <w:lang w:val="fr-CH"/>
        </w:rPr>
        <w:tab/>
        <w:t>2.</w:t>
      </w:r>
      <w:r w:rsidRPr="004F5B33">
        <w:rPr>
          <w:szCs w:val="21"/>
          <w:lang w:val="fr-CH"/>
        </w:rPr>
        <w:t xml:space="preserve">  </w:t>
      </w:r>
      <w:r w:rsidRPr="004F5B33">
        <w:rPr>
          <w:rFonts w:ascii="Time New Roman" w:eastAsia="楷体" w:hAnsi="Time New Roman" w:hint="eastAsia"/>
          <w:szCs w:val="21"/>
          <w:lang w:val="fr-CH"/>
        </w:rPr>
        <w:t>欢迎</w:t>
      </w:r>
      <w:r w:rsidRPr="004F5B33">
        <w:rPr>
          <w:rFonts w:hint="eastAsia"/>
          <w:szCs w:val="21"/>
          <w:lang w:val="fr-CH"/>
        </w:rPr>
        <w:t>残疾人权利问题特别报告员的工作；</w:t>
      </w:r>
    </w:p>
    <w:p w:rsidR="00A573BD" w:rsidRPr="004F5B33" w:rsidRDefault="00A573BD" w:rsidP="00DB75CC">
      <w:pPr>
        <w:pStyle w:val="SingleTxtGC"/>
        <w:rPr>
          <w:szCs w:val="21"/>
          <w:lang w:val="fr-CH"/>
        </w:rPr>
      </w:pPr>
      <w:r w:rsidRPr="004F5B33">
        <w:rPr>
          <w:rFonts w:hint="eastAsia"/>
          <w:szCs w:val="21"/>
          <w:lang w:val="fr-CH"/>
        </w:rPr>
        <w:tab/>
        <w:t>3.</w:t>
      </w:r>
      <w:r w:rsidRPr="004F5B33">
        <w:rPr>
          <w:szCs w:val="21"/>
          <w:lang w:val="fr-CH"/>
        </w:rPr>
        <w:t xml:space="preserve">  </w:t>
      </w:r>
      <w:r w:rsidRPr="004F5B33">
        <w:rPr>
          <w:rFonts w:ascii="Time New Roman" w:eastAsia="楷体" w:hAnsi="Time New Roman" w:hint="eastAsia"/>
          <w:szCs w:val="21"/>
          <w:lang w:val="fr-CH"/>
        </w:rPr>
        <w:t>决定</w:t>
      </w:r>
      <w:r w:rsidRPr="004F5B33">
        <w:rPr>
          <w:rFonts w:hint="eastAsia"/>
          <w:szCs w:val="21"/>
          <w:lang w:val="fr-CH"/>
        </w:rPr>
        <w:t>将残疾人权利问题特别报告员的任务再延长三年，任务如下：</w:t>
      </w:r>
    </w:p>
    <w:p w:rsidR="00A573BD" w:rsidRPr="004F5B33" w:rsidRDefault="00A573BD" w:rsidP="00C677D4">
      <w:pPr>
        <w:pStyle w:val="SingleTxtGC"/>
        <w:pageBreakBefore/>
        <w:numPr>
          <w:ilvl w:val="0"/>
          <w:numId w:val="8"/>
        </w:numPr>
        <w:tabs>
          <w:tab w:val="clear" w:pos="2426"/>
          <w:tab w:val="left" w:pos="2427"/>
        </w:tabs>
        <w:rPr>
          <w:szCs w:val="21"/>
          <w:lang w:val="fr-CH"/>
        </w:rPr>
      </w:pPr>
      <w:r w:rsidRPr="004F5B33">
        <w:rPr>
          <w:rFonts w:hint="eastAsia"/>
          <w:szCs w:val="21"/>
          <w:lang w:val="fr-CH"/>
        </w:rPr>
        <w:lastRenderedPageBreak/>
        <w:t>与各国和其他相关利益攸关方，包括联合国各机构、计</w:t>
      </w:r>
      <w:r w:rsidRPr="004F5B33">
        <w:rPr>
          <w:rFonts w:hint="eastAsia"/>
          <w:szCs w:val="21"/>
          <w:lang w:val="fr-CH"/>
        </w:rPr>
        <w:t>(</w:t>
      </w:r>
      <w:r w:rsidRPr="004F5B33">
        <w:rPr>
          <w:rFonts w:hint="eastAsia"/>
          <w:szCs w:val="21"/>
          <w:lang w:val="fr-CH"/>
        </w:rPr>
        <w:t>规</w:t>
      </w:r>
      <w:r w:rsidRPr="004F5B33">
        <w:rPr>
          <w:rFonts w:hint="eastAsia"/>
          <w:szCs w:val="21"/>
          <w:lang w:val="fr-CH"/>
        </w:rPr>
        <w:t>)</w:t>
      </w:r>
      <w:r w:rsidRPr="004F5B33">
        <w:rPr>
          <w:rFonts w:hint="eastAsia"/>
          <w:szCs w:val="21"/>
          <w:lang w:val="fr-CH"/>
        </w:rPr>
        <w:t>划署和基金</w:t>
      </w:r>
      <w:r w:rsidRPr="004F5B33">
        <w:rPr>
          <w:rFonts w:hint="eastAsia"/>
          <w:szCs w:val="21"/>
          <w:lang w:val="fr-CH"/>
        </w:rPr>
        <w:t>(</w:t>
      </w:r>
      <w:r w:rsidRPr="004F5B33">
        <w:rPr>
          <w:rFonts w:hint="eastAsia"/>
          <w:szCs w:val="21"/>
          <w:lang w:val="fr-CH"/>
        </w:rPr>
        <w:t>会</w:t>
      </w:r>
      <w:r w:rsidRPr="004F5B33">
        <w:rPr>
          <w:rFonts w:hint="eastAsia"/>
          <w:szCs w:val="21"/>
          <w:lang w:val="fr-CH"/>
        </w:rPr>
        <w:t>)</w:t>
      </w:r>
      <w:r w:rsidRPr="004F5B33">
        <w:rPr>
          <w:rFonts w:hint="eastAsia"/>
          <w:szCs w:val="21"/>
          <w:lang w:val="fr-CH"/>
        </w:rPr>
        <w:t>、区域人权机制、国家人权机构、根据《残疾人权利公约》第三十三条第二款指定的独立的国家监测框架、残疾人及代表残疾人的组织以及其他民间社会组织，定期开展对话并进行协商，确定、交流和推广有关实现残疾人权利和他们作为平等社会成员参与各项事务方面的良好做法；</w:t>
      </w:r>
    </w:p>
    <w:p w:rsidR="00A573BD" w:rsidRPr="004F5B33" w:rsidRDefault="00A573BD" w:rsidP="00A573BD">
      <w:pPr>
        <w:pStyle w:val="SingleTxtGC"/>
        <w:numPr>
          <w:ilvl w:val="0"/>
          <w:numId w:val="8"/>
        </w:numPr>
        <w:tabs>
          <w:tab w:val="clear" w:pos="2426"/>
          <w:tab w:val="left" w:pos="2427"/>
        </w:tabs>
        <w:rPr>
          <w:szCs w:val="21"/>
          <w:lang w:val="fr-CH"/>
        </w:rPr>
      </w:pPr>
      <w:r w:rsidRPr="004F5B33">
        <w:rPr>
          <w:rFonts w:hint="eastAsia"/>
          <w:szCs w:val="21"/>
          <w:lang w:val="fr-CH"/>
        </w:rPr>
        <w:t>从各国和其他相关来源，包括从残疾人及代表残疾人的组织以及其他民间社会组织，搜集、征求、接收和交换关于侵犯残疾人权利事例的资料和来文；</w:t>
      </w:r>
    </w:p>
    <w:p w:rsidR="00A573BD" w:rsidRPr="004F5B33" w:rsidRDefault="00A573BD" w:rsidP="00A573BD">
      <w:pPr>
        <w:pStyle w:val="SingleTxtGC"/>
        <w:numPr>
          <w:ilvl w:val="0"/>
          <w:numId w:val="8"/>
        </w:numPr>
        <w:tabs>
          <w:tab w:val="clear" w:pos="2426"/>
          <w:tab w:val="left" w:pos="2427"/>
        </w:tabs>
        <w:rPr>
          <w:szCs w:val="21"/>
          <w:lang w:val="fr-CH"/>
        </w:rPr>
      </w:pPr>
      <w:r w:rsidRPr="004F5B33">
        <w:rPr>
          <w:rFonts w:hint="eastAsia"/>
          <w:szCs w:val="21"/>
          <w:lang w:val="fr-CH"/>
        </w:rPr>
        <w:t>就以下问题提出具体建议：如何更好地促进和保护残疾人的权利，包括如何消除歧视、暴力和社会排斥；如何促进实现可持续发展目标中国际商定的残疾人发展目标并为相关的数据收集努力作出贡献；如何促进包容并惠及残疾人的发展；以及如何促进残疾人作为发</w:t>
      </w:r>
      <w:bookmarkStart w:id="0" w:name="_GoBack"/>
      <w:bookmarkEnd w:id="0"/>
      <w:r w:rsidRPr="004F5B33">
        <w:rPr>
          <w:rFonts w:hint="eastAsia"/>
          <w:szCs w:val="21"/>
          <w:lang w:val="fr-CH"/>
        </w:rPr>
        <w:t>展的推动者和受益者的双重作用；</w:t>
      </w:r>
    </w:p>
    <w:p w:rsidR="00A573BD" w:rsidRPr="004F5B33" w:rsidRDefault="00A573BD" w:rsidP="00A573BD">
      <w:pPr>
        <w:pStyle w:val="SingleTxtGC"/>
        <w:numPr>
          <w:ilvl w:val="0"/>
          <w:numId w:val="8"/>
        </w:numPr>
        <w:tabs>
          <w:tab w:val="clear" w:pos="2426"/>
          <w:tab w:val="left" w:pos="2427"/>
        </w:tabs>
        <w:rPr>
          <w:szCs w:val="21"/>
          <w:lang w:val="fr-CH"/>
        </w:rPr>
      </w:pPr>
      <w:r w:rsidRPr="004F5B33">
        <w:rPr>
          <w:rFonts w:hint="eastAsia"/>
          <w:szCs w:val="21"/>
          <w:lang w:val="fr-CH"/>
        </w:rPr>
        <w:t>开展、促进和支持提供咨询服务、技术援助、能力建设和国际合作，以支持各国切实实现残疾人权利的努力；</w:t>
      </w:r>
    </w:p>
    <w:p w:rsidR="00A573BD" w:rsidRPr="004F5B33" w:rsidRDefault="00A573BD" w:rsidP="00A573BD">
      <w:pPr>
        <w:pStyle w:val="SingleTxtGC"/>
        <w:numPr>
          <w:ilvl w:val="0"/>
          <w:numId w:val="8"/>
        </w:numPr>
        <w:tabs>
          <w:tab w:val="clear" w:pos="2426"/>
          <w:tab w:val="left" w:pos="2427"/>
        </w:tabs>
        <w:rPr>
          <w:szCs w:val="21"/>
          <w:lang w:val="fr-CH"/>
        </w:rPr>
      </w:pPr>
      <w:r w:rsidRPr="004F5B33">
        <w:rPr>
          <w:rFonts w:hint="eastAsia"/>
          <w:szCs w:val="21"/>
          <w:lang w:val="fr-CH"/>
        </w:rPr>
        <w:t>提高对残疾人权利的认识，消除污名、陈规定型观念、偏见、隔离和一切妨碍残疾人充分享有人权及与他人平等参与社会的有害习俗，并提高对残疾人积极贡献的认识，并让残疾人了解自己的权利；</w:t>
      </w:r>
    </w:p>
    <w:p w:rsidR="00A573BD" w:rsidRPr="004F5B33" w:rsidRDefault="00A573BD" w:rsidP="00A573BD">
      <w:pPr>
        <w:pStyle w:val="SingleTxtGC"/>
        <w:numPr>
          <w:ilvl w:val="0"/>
          <w:numId w:val="8"/>
        </w:numPr>
        <w:rPr>
          <w:szCs w:val="21"/>
          <w:lang w:val="fr-CH"/>
        </w:rPr>
      </w:pPr>
      <w:r w:rsidRPr="004F5B33">
        <w:rPr>
          <w:rFonts w:hint="eastAsia"/>
          <w:szCs w:val="21"/>
          <w:lang w:val="fr-CH"/>
        </w:rPr>
        <w:t>与人权理事会的特别程序和其他人权机制、各条约机构</w:t>
      </w:r>
      <w:r w:rsidRPr="004F5B33">
        <w:rPr>
          <w:rFonts w:hint="eastAsia"/>
          <w:szCs w:val="21"/>
          <w:lang w:val="fr-CH"/>
        </w:rPr>
        <w:t>(</w:t>
      </w:r>
      <w:r w:rsidRPr="004F5B33">
        <w:rPr>
          <w:rFonts w:hint="eastAsia"/>
          <w:szCs w:val="21"/>
          <w:lang w:val="fr-CH"/>
        </w:rPr>
        <w:t>尤其是残疾人权利委员会</w:t>
      </w:r>
      <w:r w:rsidRPr="004F5B33">
        <w:rPr>
          <w:rFonts w:hint="eastAsia"/>
          <w:szCs w:val="21"/>
          <w:lang w:val="fr-CH"/>
        </w:rPr>
        <w:t>)</w:t>
      </w:r>
      <w:r w:rsidRPr="004F5B33">
        <w:rPr>
          <w:rFonts w:hint="eastAsia"/>
          <w:szCs w:val="21"/>
          <w:lang w:val="fr-CH"/>
        </w:rPr>
        <w:t>、其他相关联合国机构、计</w:t>
      </w:r>
      <w:r w:rsidRPr="004F5B33">
        <w:rPr>
          <w:rFonts w:hint="eastAsia"/>
          <w:szCs w:val="21"/>
          <w:lang w:val="fr-CH"/>
        </w:rPr>
        <w:t>(</w:t>
      </w:r>
      <w:r w:rsidRPr="004F5B33">
        <w:rPr>
          <w:rFonts w:hint="eastAsia"/>
          <w:szCs w:val="21"/>
          <w:lang w:val="fr-CH"/>
        </w:rPr>
        <w:t>规</w:t>
      </w:r>
      <w:r w:rsidRPr="004F5B33">
        <w:rPr>
          <w:rFonts w:hint="eastAsia"/>
          <w:szCs w:val="21"/>
          <w:lang w:val="fr-CH"/>
        </w:rPr>
        <w:t>)</w:t>
      </w:r>
      <w:r w:rsidRPr="004F5B33">
        <w:rPr>
          <w:rFonts w:hint="eastAsia"/>
          <w:szCs w:val="21"/>
          <w:lang w:val="fr-CH"/>
        </w:rPr>
        <w:t>划署和基金</w:t>
      </w:r>
      <w:r w:rsidRPr="004F5B33">
        <w:rPr>
          <w:rFonts w:hint="eastAsia"/>
          <w:szCs w:val="21"/>
          <w:lang w:val="fr-CH"/>
        </w:rPr>
        <w:t>(</w:t>
      </w:r>
      <w:r w:rsidRPr="004F5B33">
        <w:rPr>
          <w:rFonts w:hint="eastAsia"/>
          <w:szCs w:val="21"/>
          <w:lang w:val="fr-CH"/>
        </w:rPr>
        <w:t>会</w:t>
      </w:r>
      <w:r w:rsidRPr="004F5B33">
        <w:rPr>
          <w:rFonts w:hint="eastAsia"/>
          <w:szCs w:val="21"/>
          <w:lang w:val="fr-CH"/>
        </w:rPr>
        <w:t>)(</w:t>
      </w:r>
      <w:r w:rsidRPr="004F5B33">
        <w:rPr>
          <w:rFonts w:hint="eastAsia"/>
          <w:szCs w:val="21"/>
          <w:lang w:val="fr-CH"/>
        </w:rPr>
        <w:t>包括联合国促进残疾人权利合作伙伴关系</w:t>
      </w:r>
      <w:r w:rsidRPr="004F5B33">
        <w:rPr>
          <w:rFonts w:hint="eastAsia"/>
          <w:szCs w:val="21"/>
          <w:lang w:val="fr-CH"/>
        </w:rPr>
        <w:t>)</w:t>
      </w:r>
      <w:r w:rsidRPr="004F5B33">
        <w:rPr>
          <w:rFonts w:hint="eastAsia"/>
          <w:szCs w:val="21"/>
          <w:lang w:val="fr-CH"/>
        </w:rPr>
        <w:t>及残疾和无障碍环境问题秘书长特使密切合作，以期避免不必要的工作重叠，包括来文方面的工作重叠；</w:t>
      </w:r>
    </w:p>
    <w:p w:rsidR="00A573BD" w:rsidRPr="004F5B33" w:rsidRDefault="00A573BD" w:rsidP="00A573BD">
      <w:pPr>
        <w:pStyle w:val="SingleTxtGC"/>
        <w:numPr>
          <w:ilvl w:val="0"/>
          <w:numId w:val="8"/>
        </w:numPr>
        <w:tabs>
          <w:tab w:val="clear" w:pos="2426"/>
          <w:tab w:val="left" w:pos="2427"/>
        </w:tabs>
        <w:rPr>
          <w:szCs w:val="21"/>
          <w:lang w:val="fr-CH"/>
        </w:rPr>
      </w:pPr>
      <w:r w:rsidRPr="004F5B33">
        <w:rPr>
          <w:rFonts w:hint="eastAsia"/>
          <w:szCs w:val="21"/>
          <w:lang w:val="fr-CH"/>
        </w:rPr>
        <w:t>与《残疾人权利公约》缔约国会议和社会发展委员会密切合作，包括应邀参加它们的年会；</w:t>
      </w:r>
    </w:p>
    <w:p w:rsidR="00A573BD" w:rsidRPr="004F5B33" w:rsidRDefault="00A573BD" w:rsidP="00A573BD">
      <w:pPr>
        <w:pStyle w:val="SingleTxtGC"/>
        <w:numPr>
          <w:ilvl w:val="0"/>
          <w:numId w:val="8"/>
        </w:numPr>
        <w:tabs>
          <w:tab w:val="clear" w:pos="2426"/>
          <w:tab w:val="left" w:pos="2427"/>
        </w:tabs>
        <w:rPr>
          <w:szCs w:val="21"/>
          <w:lang w:val="fr-CH"/>
        </w:rPr>
      </w:pPr>
      <w:r w:rsidRPr="004F5B33">
        <w:rPr>
          <w:rFonts w:hint="eastAsia"/>
          <w:szCs w:val="21"/>
          <w:lang w:val="fr-CH"/>
        </w:rPr>
        <w:t>在开展工作履行任务的整个过程中纳入性别平等观，处理残疾人面临的多种形式、相互交织和情节恶劣的歧视；</w:t>
      </w:r>
    </w:p>
    <w:p w:rsidR="00A573BD" w:rsidRPr="004F5B33" w:rsidRDefault="00A573BD" w:rsidP="00A573BD">
      <w:pPr>
        <w:pStyle w:val="SingleTxtGC"/>
        <w:numPr>
          <w:ilvl w:val="0"/>
          <w:numId w:val="8"/>
        </w:numPr>
        <w:tabs>
          <w:tab w:val="clear" w:pos="2426"/>
          <w:tab w:val="left" w:pos="2427"/>
        </w:tabs>
        <w:rPr>
          <w:szCs w:val="21"/>
          <w:lang w:val="fr-CH"/>
        </w:rPr>
      </w:pPr>
      <w:r w:rsidRPr="004F5B33">
        <w:rPr>
          <w:rFonts w:hint="eastAsia"/>
          <w:szCs w:val="21"/>
          <w:lang w:val="fr-CH"/>
        </w:rPr>
        <w:t>从人权理事会第三十七届会议和大会第七十二届会议开始，每年向人权理事会和大会进行报告，报告应采取无障碍的形式，包括提交盲文和易读格式的报告并在介绍报告期间提供国际手语翻译和隐藏式字幕，报告还应遵照人权理事会和大会各自的工作方案；</w:t>
      </w:r>
    </w:p>
    <w:p w:rsidR="00A573BD" w:rsidRPr="004F5B33" w:rsidRDefault="00A573BD" w:rsidP="00C677D4">
      <w:pPr>
        <w:pStyle w:val="SingleTxtGC"/>
        <w:rPr>
          <w:szCs w:val="21"/>
          <w:lang w:val="fr-CH"/>
        </w:rPr>
      </w:pPr>
      <w:r w:rsidRPr="004F5B33">
        <w:rPr>
          <w:rFonts w:hint="eastAsia"/>
          <w:szCs w:val="21"/>
          <w:lang w:val="fr-CH"/>
        </w:rPr>
        <w:tab/>
        <w:t>4.</w:t>
      </w:r>
      <w:r w:rsidRPr="004F5B33">
        <w:rPr>
          <w:szCs w:val="21"/>
          <w:lang w:val="fr-CH"/>
        </w:rPr>
        <w:t xml:space="preserve">  </w:t>
      </w:r>
      <w:r w:rsidRPr="004F5B33">
        <w:rPr>
          <w:rFonts w:ascii="Time New Roman" w:eastAsia="楷体" w:hAnsi="Time New Roman" w:hint="eastAsia"/>
          <w:szCs w:val="21"/>
          <w:lang w:val="fr-CH"/>
        </w:rPr>
        <w:t>吁请</w:t>
      </w:r>
      <w:r w:rsidRPr="004F5B33">
        <w:rPr>
          <w:rFonts w:hint="eastAsia"/>
          <w:szCs w:val="21"/>
          <w:lang w:val="fr-CH"/>
        </w:rPr>
        <w:t>各国在特别报告员履行任务的过程中与之合作，包括为此提供特别报告员要求的一切必要资料、认真考虑答应特别报告员提出的访问本国的请求，并审议各项结论和考虑采取适当的后续行动，以及考虑落实该任务负责人在报告中提出的建议；</w:t>
      </w:r>
    </w:p>
    <w:p w:rsidR="00A573BD" w:rsidRPr="004F5B33" w:rsidRDefault="00A573BD" w:rsidP="00C677D4">
      <w:pPr>
        <w:pStyle w:val="SingleTxtGC"/>
        <w:rPr>
          <w:szCs w:val="21"/>
          <w:lang w:val="fr-CH"/>
        </w:rPr>
      </w:pPr>
      <w:r w:rsidRPr="004F5B33">
        <w:rPr>
          <w:rFonts w:hint="eastAsia"/>
          <w:szCs w:val="21"/>
          <w:lang w:val="fr-CH"/>
        </w:rPr>
        <w:tab/>
        <w:t>5.</w:t>
      </w:r>
      <w:r w:rsidRPr="004F5B33">
        <w:rPr>
          <w:szCs w:val="21"/>
          <w:lang w:val="fr-CH"/>
        </w:rPr>
        <w:t xml:space="preserve">  </w:t>
      </w:r>
      <w:r w:rsidRPr="004F5B33">
        <w:rPr>
          <w:rFonts w:ascii="Time New Roman" w:eastAsia="楷体" w:hAnsi="Time New Roman" w:hint="eastAsia"/>
          <w:szCs w:val="21"/>
          <w:lang w:val="fr-CH"/>
        </w:rPr>
        <w:t>鼓励</w:t>
      </w:r>
      <w:r w:rsidRPr="004F5B33">
        <w:rPr>
          <w:rFonts w:hint="eastAsia"/>
          <w:szCs w:val="21"/>
          <w:lang w:val="fr-CH"/>
        </w:rPr>
        <w:t>所有相关利益攸关方，包括联合国各机构、计</w:t>
      </w:r>
      <w:r w:rsidRPr="004F5B33">
        <w:rPr>
          <w:rFonts w:hint="eastAsia"/>
          <w:szCs w:val="21"/>
          <w:lang w:val="fr-CH"/>
        </w:rPr>
        <w:t>(</w:t>
      </w:r>
      <w:r w:rsidRPr="004F5B33">
        <w:rPr>
          <w:rFonts w:hint="eastAsia"/>
          <w:szCs w:val="21"/>
          <w:lang w:val="fr-CH"/>
        </w:rPr>
        <w:t>规</w:t>
      </w:r>
      <w:r w:rsidRPr="004F5B33">
        <w:rPr>
          <w:rFonts w:hint="eastAsia"/>
          <w:szCs w:val="21"/>
          <w:lang w:val="fr-CH"/>
        </w:rPr>
        <w:t>)</w:t>
      </w:r>
      <w:r w:rsidRPr="004F5B33">
        <w:rPr>
          <w:rFonts w:hint="eastAsia"/>
          <w:szCs w:val="21"/>
          <w:lang w:val="fr-CH"/>
        </w:rPr>
        <w:t>划署和基金</w:t>
      </w:r>
      <w:r w:rsidRPr="004F5B33">
        <w:rPr>
          <w:rFonts w:hint="eastAsia"/>
          <w:szCs w:val="21"/>
          <w:lang w:val="fr-CH"/>
        </w:rPr>
        <w:t>(</w:t>
      </w:r>
      <w:r w:rsidRPr="004F5B33">
        <w:rPr>
          <w:rFonts w:hint="eastAsia"/>
          <w:szCs w:val="21"/>
          <w:lang w:val="fr-CH"/>
        </w:rPr>
        <w:t>会</w:t>
      </w:r>
      <w:r w:rsidRPr="004F5B33">
        <w:rPr>
          <w:rFonts w:hint="eastAsia"/>
          <w:szCs w:val="21"/>
          <w:lang w:val="fr-CH"/>
        </w:rPr>
        <w:t>)</w:t>
      </w:r>
      <w:r w:rsidRPr="004F5B33">
        <w:rPr>
          <w:rFonts w:hint="eastAsia"/>
          <w:szCs w:val="21"/>
          <w:lang w:val="fr-CH"/>
        </w:rPr>
        <w:t>、区域人权机制、国家人权机构、独立的国家监测框架、私营部门、捐助方和发展机构与特别报告员充分合作，以便该任务负责人履行任务；</w:t>
      </w:r>
    </w:p>
    <w:p w:rsidR="00A573BD" w:rsidRPr="004F5B33" w:rsidRDefault="00A573BD" w:rsidP="00C677D4">
      <w:pPr>
        <w:pStyle w:val="SingleTxtGC"/>
        <w:rPr>
          <w:szCs w:val="21"/>
          <w:lang w:val="fr-CH"/>
        </w:rPr>
      </w:pPr>
      <w:r w:rsidRPr="004F5B33">
        <w:rPr>
          <w:rFonts w:hint="eastAsia"/>
          <w:szCs w:val="21"/>
          <w:lang w:val="fr-CH"/>
        </w:rPr>
        <w:tab/>
        <w:t>6.</w:t>
      </w:r>
      <w:r w:rsidRPr="004F5B33">
        <w:rPr>
          <w:szCs w:val="21"/>
          <w:lang w:val="fr-CH"/>
        </w:rPr>
        <w:t xml:space="preserve">  </w:t>
      </w:r>
      <w:r w:rsidRPr="004F5B33">
        <w:rPr>
          <w:rFonts w:ascii="Time New Roman" w:eastAsia="楷体" w:hAnsi="Time New Roman" w:hint="eastAsia"/>
          <w:szCs w:val="21"/>
          <w:lang w:val="fr-CH"/>
        </w:rPr>
        <w:t>吁请</w:t>
      </w:r>
      <w:r w:rsidRPr="004F5B33">
        <w:rPr>
          <w:rFonts w:hint="eastAsia"/>
          <w:szCs w:val="21"/>
          <w:lang w:val="fr-CH"/>
        </w:rPr>
        <w:t>尚未批准或加入《残疾人权利公约》及其《任择议定书》的国家优先考虑批准或加入这些文书；</w:t>
      </w:r>
    </w:p>
    <w:p w:rsidR="00201D26" w:rsidRPr="004F5B33" w:rsidRDefault="00201D26">
      <w:pPr>
        <w:overflowPunct/>
        <w:adjustRightInd/>
        <w:snapToGrid/>
        <w:spacing w:line="240" w:lineRule="auto"/>
        <w:rPr>
          <w:szCs w:val="21"/>
          <w:lang w:val="fr-CH"/>
        </w:rPr>
      </w:pPr>
      <w:r w:rsidRPr="004F5B33">
        <w:rPr>
          <w:szCs w:val="21"/>
          <w:lang w:val="fr-CH"/>
        </w:rPr>
        <w:br w:type="page"/>
      </w:r>
    </w:p>
    <w:p w:rsidR="00A573BD" w:rsidRPr="004F5B33" w:rsidRDefault="00A573BD" w:rsidP="00C677D4">
      <w:pPr>
        <w:pStyle w:val="SingleTxtGC"/>
        <w:rPr>
          <w:szCs w:val="21"/>
          <w:lang w:val="fr-CH"/>
        </w:rPr>
      </w:pPr>
      <w:r w:rsidRPr="004F5B33">
        <w:rPr>
          <w:rFonts w:hint="eastAsia"/>
          <w:szCs w:val="21"/>
          <w:lang w:val="fr-CH"/>
        </w:rPr>
        <w:tab/>
        <w:t>7.</w:t>
      </w:r>
      <w:r w:rsidRPr="004F5B33">
        <w:rPr>
          <w:szCs w:val="21"/>
          <w:lang w:val="fr-CH"/>
        </w:rPr>
        <w:t xml:space="preserve">  </w:t>
      </w:r>
      <w:r w:rsidRPr="004F5B33">
        <w:rPr>
          <w:rFonts w:ascii="Time New Roman" w:eastAsia="楷体" w:hAnsi="Time New Roman" w:hint="eastAsia"/>
          <w:szCs w:val="21"/>
          <w:lang w:val="fr-CH"/>
        </w:rPr>
        <w:t>请</w:t>
      </w:r>
      <w:r w:rsidRPr="004F5B33">
        <w:rPr>
          <w:rFonts w:hint="eastAsia"/>
          <w:szCs w:val="21"/>
          <w:lang w:val="fr-CH"/>
        </w:rPr>
        <w:t>秘书长将特别报告员的报告提请残疾人权利委员会、缔约国会议和社会发展委员会注意，供其参考，以避免不必要的工作重叠；</w:t>
      </w:r>
    </w:p>
    <w:p w:rsidR="00A573BD" w:rsidRPr="004F5B33" w:rsidRDefault="00A573BD" w:rsidP="00C677D4">
      <w:pPr>
        <w:pStyle w:val="SingleTxtGC"/>
        <w:rPr>
          <w:szCs w:val="21"/>
        </w:rPr>
      </w:pPr>
      <w:r w:rsidRPr="004F5B33">
        <w:rPr>
          <w:rFonts w:hint="eastAsia"/>
          <w:szCs w:val="21"/>
          <w:lang w:val="fr-CH"/>
        </w:rPr>
        <w:tab/>
        <w:t>8.</w:t>
      </w:r>
      <w:r w:rsidRPr="004F5B33">
        <w:rPr>
          <w:szCs w:val="21"/>
          <w:lang w:val="fr-CH"/>
        </w:rPr>
        <w:t xml:space="preserve">  </w:t>
      </w:r>
      <w:r w:rsidRPr="004F5B33">
        <w:rPr>
          <w:rFonts w:ascii="Time New Roman" w:eastAsia="楷体" w:hAnsi="Time New Roman" w:hint="eastAsia"/>
          <w:szCs w:val="21"/>
          <w:lang w:val="fr-CH"/>
        </w:rPr>
        <w:t>请</w:t>
      </w:r>
      <w:r w:rsidRPr="004F5B33">
        <w:rPr>
          <w:rFonts w:hint="eastAsia"/>
          <w:szCs w:val="21"/>
          <w:lang w:val="fr-CH"/>
        </w:rPr>
        <w:t>秘书长和联合国人权事务高级专员向特别报告员提供切实履行任务所需的一切人力、技术和财政资源。</w:t>
      </w:r>
    </w:p>
    <w:p w:rsidR="00A573BD" w:rsidRPr="004F5B33" w:rsidRDefault="00A573BD" w:rsidP="00A573BD">
      <w:pPr>
        <w:pStyle w:val="SingleTxtG"/>
        <w:ind w:firstLine="567"/>
        <w:jc w:val="right"/>
        <w:rPr>
          <w:i/>
          <w:sz w:val="21"/>
          <w:szCs w:val="21"/>
          <w:lang w:eastAsia="zh-CN"/>
        </w:rPr>
      </w:pPr>
      <w:r w:rsidRPr="004F5B33">
        <w:rPr>
          <w:rFonts w:eastAsia="楷体"/>
          <w:iCs/>
          <w:sz w:val="21"/>
          <w:szCs w:val="21"/>
          <w:lang w:eastAsia="zh-CN"/>
        </w:rPr>
        <w:t>2017</w:t>
      </w:r>
      <w:r w:rsidRPr="004F5B33">
        <w:rPr>
          <w:rFonts w:eastAsia="楷体"/>
          <w:iCs/>
          <w:sz w:val="21"/>
          <w:szCs w:val="21"/>
          <w:lang w:eastAsia="zh-CN"/>
        </w:rPr>
        <w:t>年</w:t>
      </w:r>
      <w:r w:rsidRPr="004F5B33">
        <w:rPr>
          <w:rFonts w:eastAsia="楷体"/>
          <w:iCs/>
          <w:sz w:val="21"/>
          <w:szCs w:val="21"/>
          <w:lang w:eastAsia="zh-CN"/>
        </w:rPr>
        <w:t>6</w:t>
      </w:r>
      <w:r w:rsidRPr="004F5B33">
        <w:rPr>
          <w:rFonts w:eastAsia="楷体"/>
          <w:iCs/>
          <w:sz w:val="21"/>
          <w:szCs w:val="21"/>
          <w:lang w:eastAsia="zh-CN"/>
        </w:rPr>
        <w:t>月</w:t>
      </w:r>
      <w:r w:rsidRPr="004F5B33">
        <w:rPr>
          <w:rFonts w:eastAsia="楷体"/>
          <w:iCs/>
          <w:sz w:val="21"/>
          <w:szCs w:val="21"/>
          <w:lang w:eastAsia="zh-CN"/>
        </w:rPr>
        <w:t>22</w:t>
      </w:r>
      <w:r w:rsidRPr="004F5B33">
        <w:rPr>
          <w:rFonts w:eastAsia="楷体"/>
          <w:iCs/>
          <w:sz w:val="21"/>
          <w:szCs w:val="21"/>
          <w:lang w:eastAsia="zh-CN"/>
        </w:rPr>
        <w:t>日</w:t>
      </w:r>
      <w:r w:rsidRPr="004F5B33">
        <w:rPr>
          <w:rFonts w:eastAsia="楷体"/>
          <w:iCs/>
          <w:sz w:val="21"/>
          <w:szCs w:val="21"/>
          <w:lang w:eastAsia="zh-CN"/>
        </w:rPr>
        <w:br/>
      </w:r>
      <w:r w:rsidRPr="004F5B33">
        <w:rPr>
          <w:rFonts w:eastAsia="楷体" w:hint="eastAsia"/>
          <w:iCs/>
          <w:sz w:val="21"/>
          <w:szCs w:val="21"/>
          <w:lang w:eastAsia="zh-CN"/>
        </w:rPr>
        <w:t>第</w:t>
      </w:r>
      <w:r w:rsidRPr="004F5B33">
        <w:rPr>
          <w:rFonts w:eastAsia="楷体"/>
          <w:iCs/>
          <w:sz w:val="21"/>
          <w:szCs w:val="21"/>
          <w:lang w:eastAsia="zh-CN"/>
        </w:rPr>
        <w:t>3</w:t>
      </w:r>
      <w:r w:rsidRPr="004F5B33">
        <w:rPr>
          <w:rFonts w:eastAsia="楷体" w:hint="eastAsia"/>
          <w:iCs/>
          <w:sz w:val="21"/>
          <w:szCs w:val="21"/>
          <w:lang w:eastAsia="zh-CN"/>
        </w:rPr>
        <w:t>4</w:t>
      </w:r>
      <w:r w:rsidRPr="004F5B33">
        <w:rPr>
          <w:rFonts w:eastAsia="楷体" w:hint="eastAsia"/>
          <w:iCs/>
          <w:sz w:val="21"/>
          <w:szCs w:val="21"/>
          <w:lang w:eastAsia="zh-CN"/>
        </w:rPr>
        <w:t>次会议</w:t>
      </w:r>
    </w:p>
    <w:p w:rsidR="00A573BD" w:rsidRPr="004F5B33" w:rsidRDefault="00A573BD" w:rsidP="00A573BD">
      <w:pPr>
        <w:pStyle w:val="SingleTxtG"/>
        <w:jc w:val="left"/>
        <w:rPr>
          <w:iCs/>
          <w:sz w:val="21"/>
          <w:szCs w:val="21"/>
        </w:rPr>
      </w:pPr>
      <w:r w:rsidRPr="004F5B33">
        <w:rPr>
          <w:sz w:val="21"/>
          <w:szCs w:val="21"/>
          <w:lang w:eastAsia="zh-CN"/>
        </w:rPr>
        <w:t>[</w:t>
      </w:r>
      <w:r w:rsidRPr="004F5B33">
        <w:rPr>
          <w:rFonts w:hint="eastAsia"/>
          <w:sz w:val="21"/>
          <w:szCs w:val="21"/>
          <w:lang w:eastAsia="zh-CN"/>
        </w:rPr>
        <w:t>未经表决获得通过。</w:t>
      </w:r>
      <w:r w:rsidRPr="004F5B33">
        <w:rPr>
          <w:sz w:val="21"/>
          <w:szCs w:val="21"/>
        </w:rPr>
        <w:t>]</w:t>
      </w:r>
    </w:p>
    <w:p w:rsidR="00A573BD" w:rsidRPr="004F5B33" w:rsidRDefault="00A573BD" w:rsidP="00A573BD">
      <w:pPr>
        <w:pStyle w:val="SingleTxtG"/>
        <w:spacing w:before="240" w:after="0"/>
        <w:jc w:val="center"/>
        <w:rPr>
          <w:sz w:val="21"/>
          <w:szCs w:val="21"/>
          <w:u w:val="single"/>
        </w:rPr>
      </w:pPr>
      <w:r w:rsidRPr="004F5B33">
        <w:rPr>
          <w:sz w:val="21"/>
          <w:szCs w:val="21"/>
          <w:u w:val="single"/>
          <w:lang w:eastAsia="ar-SA"/>
        </w:rPr>
        <w:tab/>
      </w:r>
      <w:r w:rsidRPr="004F5B33">
        <w:rPr>
          <w:sz w:val="21"/>
          <w:szCs w:val="21"/>
          <w:u w:val="single"/>
          <w:lang w:eastAsia="ar-SA"/>
        </w:rPr>
        <w:tab/>
      </w:r>
      <w:r w:rsidRPr="004F5B33">
        <w:rPr>
          <w:sz w:val="21"/>
          <w:szCs w:val="21"/>
          <w:u w:val="single"/>
          <w:lang w:eastAsia="ar-SA"/>
        </w:rPr>
        <w:tab/>
      </w:r>
    </w:p>
    <w:p w:rsidR="00A573BD" w:rsidRPr="004F5B33" w:rsidRDefault="00A573BD" w:rsidP="00BF6D17">
      <w:pPr>
        <w:rPr>
          <w:szCs w:val="21"/>
        </w:rPr>
      </w:pPr>
    </w:p>
    <w:sectPr w:rsidR="00A573BD" w:rsidRPr="004F5B33"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09" w:rsidRPr="000D319F" w:rsidRDefault="003F4109" w:rsidP="000D319F">
      <w:pPr>
        <w:pStyle w:val="af0"/>
        <w:spacing w:after="240"/>
        <w:ind w:left="907"/>
        <w:rPr>
          <w:rFonts w:asciiTheme="majorBidi" w:eastAsia="宋体" w:hAnsiTheme="majorBidi" w:cstheme="majorBidi"/>
          <w:sz w:val="21"/>
          <w:szCs w:val="21"/>
          <w:lang w:val="en-US"/>
        </w:rPr>
      </w:pPr>
    </w:p>
    <w:p w:rsidR="003F4109" w:rsidRPr="000D319F" w:rsidRDefault="003F410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F4109" w:rsidRPr="000D319F" w:rsidRDefault="003F4109" w:rsidP="000D319F">
      <w:pPr>
        <w:pStyle w:val="af0"/>
      </w:pPr>
    </w:p>
  </w:endnote>
  <w:endnote w:type="continuationNotice" w:id="1">
    <w:p w:rsidR="003F4109" w:rsidRDefault="003F41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BD" w:rsidRPr="00A573BD" w:rsidRDefault="00A573BD" w:rsidP="00A573BD">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233FC">
      <w:rPr>
        <w:rStyle w:val="af2"/>
        <w:noProof/>
      </w:rPr>
      <w:t>2</w:t>
    </w:r>
    <w:r>
      <w:rPr>
        <w:rStyle w:val="af2"/>
      </w:rPr>
      <w:fldChar w:fldCharType="end"/>
    </w:r>
    <w:r>
      <w:rPr>
        <w:rStyle w:val="af2"/>
      </w:rPr>
      <w:tab/>
    </w:r>
    <w:r w:rsidRPr="00A573BD">
      <w:rPr>
        <w:rStyle w:val="af2"/>
        <w:b w:val="0"/>
        <w:snapToGrid w:val="0"/>
        <w:sz w:val="16"/>
      </w:rPr>
      <w:t>GE.17-11503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BD" w:rsidRPr="00A573BD" w:rsidRDefault="00A573BD" w:rsidP="00A573BD">
    <w:pPr>
      <w:pStyle w:val="af0"/>
      <w:tabs>
        <w:tab w:val="right" w:pos="9638"/>
      </w:tabs>
      <w:rPr>
        <w:rStyle w:val="af2"/>
      </w:rPr>
    </w:pPr>
    <w:r>
      <w:t>GE.17-11503</w:t>
    </w:r>
    <w:r>
      <w:tab/>
    </w:r>
    <w:r>
      <w:rPr>
        <w:rStyle w:val="af2"/>
      </w:rPr>
      <w:fldChar w:fldCharType="begin"/>
    </w:r>
    <w:r>
      <w:rPr>
        <w:rStyle w:val="af2"/>
      </w:rPr>
      <w:instrText xml:space="preserve"> PAGE  \* MERGEFORMAT </w:instrText>
    </w:r>
    <w:r>
      <w:rPr>
        <w:rStyle w:val="af2"/>
      </w:rPr>
      <w:fldChar w:fldCharType="separate"/>
    </w:r>
    <w:r w:rsidR="00C233FC">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A573BD" w:rsidP="00487939">
    <w:pPr>
      <w:pStyle w:val="af0"/>
      <w:tabs>
        <w:tab w:val="left" w:pos="1701"/>
        <w:tab w:val="left" w:pos="2552"/>
        <w:tab w:val="left" w:pos="8448"/>
      </w:tabs>
      <w:spacing w:before="360"/>
      <w:rPr>
        <w:rFonts w:eastAsiaTheme="minorEastAsia"/>
        <w:b/>
        <w:sz w:val="21"/>
        <w:lang w:eastAsia="zh-CN"/>
      </w:rPr>
    </w:pPr>
    <w:r>
      <w:rPr>
        <w:sz w:val="20"/>
        <w:lang w:eastAsia="zh-CN"/>
      </w:rPr>
      <w:t>GE.17-11503</w:t>
    </w:r>
    <w:r w:rsidR="00731A42" w:rsidRPr="00EE277A">
      <w:rPr>
        <w:sz w:val="20"/>
        <w:lang w:eastAsia="zh-CN"/>
      </w:rPr>
      <w:t xml:space="preserve"> (C)</w:t>
    </w:r>
    <w:r w:rsidR="008B4347">
      <w:rPr>
        <w:sz w:val="20"/>
        <w:lang w:eastAsia="zh-CN"/>
      </w:rPr>
      <w:tab/>
    </w:r>
    <w:r>
      <w:rPr>
        <w:sz w:val="20"/>
        <w:lang w:eastAsia="zh-CN"/>
      </w:rPr>
      <w:t>1707</w:t>
    </w:r>
    <w:r w:rsidR="008B4347">
      <w:rPr>
        <w:sz w:val="20"/>
        <w:lang w:eastAsia="zh-CN"/>
      </w:rPr>
      <w:t>1</w:t>
    </w:r>
    <w:r w:rsidR="005C00B0">
      <w:rPr>
        <w:rFonts w:eastAsiaTheme="minorEastAsia"/>
        <w:sz w:val="20"/>
        <w:lang w:eastAsia="zh-CN"/>
      </w:rPr>
      <w:t>7</w:t>
    </w:r>
    <w:r w:rsidR="00731A42">
      <w:rPr>
        <w:sz w:val="20"/>
        <w:lang w:eastAsia="zh-CN"/>
      </w:rPr>
      <w:tab/>
    </w:r>
    <w:r>
      <w:rPr>
        <w:sz w:val="20"/>
        <w:lang w:eastAsia="zh-CN"/>
      </w:rPr>
      <w:t>0708</w:t>
    </w:r>
    <w:r w:rsidR="00731A42">
      <w:rPr>
        <w:sz w:val="20"/>
        <w:lang w:eastAsia="zh-CN"/>
      </w:rPr>
      <w:t>1</w:t>
    </w:r>
    <w:r w:rsidR="005C00B0">
      <w:rPr>
        <w:rFonts w:eastAsiaTheme="minorEastAsia"/>
        <w:sz w:val="20"/>
        <w:lang w:eastAsia="zh-CN"/>
      </w:rPr>
      <w:t>7</w:t>
    </w:r>
  </w:p>
  <w:p w:rsidR="00056632" w:rsidRPr="00487939" w:rsidRDefault="00A573BD"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09" w:rsidRPr="000157B1" w:rsidRDefault="003F4109"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3F4109" w:rsidRPr="000157B1" w:rsidRDefault="003F4109"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3F4109" w:rsidRDefault="003F41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A573BD" w:rsidP="00A573BD">
    <w:pPr>
      <w:pStyle w:val="af3"/>
    </w:pPr>
    <w:r>
      <w:t>A/HRC/RES/35/6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A573BD" w:rsidP="00A573BD">
    <w:pPr>
      <w:pStyle w:val="af3"/>
      <w:jc w:val="right"/>
    </w:pPr>
    <w:r>
      <w:t>A/HRC/RES/35/6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A62FAA"/>
    <w:multiLevelType w:val="hybridMultilevel"/>
    <w:tmpl w:val="7E2E38EC"/>
    <w:lvl w:ilvl="0" w:tplc="88B4D6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isplayBackgroundShape/>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09"/>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1D2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3F4109"/>
    <w:rsid w:val="00427F63"/>
    <w:rsid w:val="00474C6B"/>
    <w:rsid w:val="004C4A0A"/>
    <w:rsid w:val="004F5B33"/>
    <w:rsid w:val="00557D9A"/>
    <w:rsid w:val="00560F14"/>
    <w:rsid w:val="005C00B0"/>
    <w:rsid w:val="005E01D9"/>
    <w:rsid w:val="005E3084"/>
    <w:rsid w:val="005E403A"/>
    <w:rsid w:val="00680656"/>
    <w:rsid w:val="006B1119"/>
    <w:rsid w:val="006B7A8F"/>
    <w:rsid w:val="006C65D8"/>
    <w:rsid w:val="006E3E46"/>
    <w:rsid w:val="006E41E9"/>
    <w:rsid w:val="006E71B1"/>
    <w:rsid w:val="00705D89"/>
    <w:rsid w:val="00731A42"/>
    <w:rsid w:val="00767E69"/>
    <w:rsid w:val="0077079A"/>
    <w:rsid w:val="007A5599"/>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573BD"/>
    <w:rsid w:val="00A84072"/>
    <w:rsid w:val="00A84DF2"/>
    <w:rsid w:val="00A87B40"/>
    <w:rsid w:val="00B06F4A"/>
    <w:rsid w:val="00B16570"/>
    <w:rsid w:val="00B423E7"/>
    <w:rsid w:val="00B53320"/>
    <w:rsid w:val="00BC6522"/>
    <w:rsid w:val="00BF6D17"/>
    <w:rsid w:val="00C121D5"/>
    <w:rsid w:val="00C17349"/>
    <w:rsid w:val="00C233FC"/>
    <w:rsid w:val="00C351AA"/>
    <w:rsid w:val="00C677D4"/>
    <w:rsid w:val="00C7253F"/>
    <w:rsid w:val="00C7577A"/>
    <w:rsid w:val="00C760F9"/>
    <w:rsid w:val="00D26A05"/>
    <w:rsid w:val="00D45C65"/>
    <w:rsid w:val="00D67E3B"/>
    <w:rsid w:val="00D85827"/>
    <w:rsid w:val="00D93FA6"/>
    <w:rsid w:val="00D97B98"/>
    <w:rsid w:val="00DB75CC"/>
    <w:rsid w:val="00DC671F"/>
    <w:rsid w:val="00DE4DA7"/>
    <w:rsid w:val="00E33B38"/>
    <w:rsid w:val="00E47FE5"/>
    <w:rsid w:val="00E574AF"/>
    <w:rsid w:val="00E845B2"/>
    <w:rsid w:val="00F00D09"/>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360908"/>
  <w15:docId w15:val="{BF73972D-2EF2-4C56-B438-567BE2E8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2B3AC7"/>
    <w:pPr>
      <w:keepLines/>
      <w:tabs>
        <w:tab w:val="right" w:pos="1021"/>
      </w:tabs>
      <w:spacing w:after="120" w:line="240" w:lineRule="exact"/>
      <w:ind w:left="1134" w:right="1134" w:hanging="1134"/>
    </w:pPr>
    <w:rPr>
      <w:sz w:val="18"/>
    </w:rPr>
  </w:style>
  <w:style w:type="character" w:customStyle="1" w:styleId="a7">
    <w:name w:val="脚注文本 字符"/>
    <w:basedOn w:val="a0"/>
    <w:link w:val="a6"/>
    <w:rsid w:val="002B3AC7"/>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A573BD"/>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A573BD"/>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A573BD"/>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SingleTxtGChar">
    <w:name w:val="_ Single Txt_G Char"/>
    <w:link w:val="SingleTxtG"/>
    <w:rsid w:val="00A573BD"/>
    <w:rPr>
      <w:lang w:val="en-GB" w:eastAsia="en-US"/>
    </w:rPr>
  </w:style>
  <w:style w:type="character" w:customStyle="1" w:styleId="H1GChar">
    <w:name w:val="_ H_1_G Char"/>
    <w:link w:val="H1G"/>
    <w:rsid w:val="00A573BD"/>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983D-B16A-47F7-B7AA-B47EA05B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1681</Words>
  <Characters>1793</Characters>
  <Application>Microsoft Office Word</Application>
  <DocSecurity>0</DocSecurity>
  <Lines>81</Lines>
  <Paragraphs>39</Paragraphs>
  <ScaleCrop>false</ScaleCrop>
  <Company>DCM</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1711503</dc:title>
  <dc:subject>A/HRC/RES/35/6</dc:subject>
  <dc:creator>yang</dc:creator>
  <cp:keywords/>
  <dc:description/>
  <cp:lastModifiedBy>Xiaoqing YANG</cp:lastModifiedBy>
  <cp:revision>2</cp:revision>
  <cp:lastPrinted>2017-08-07T12:19:00Z</cp:lastPrinted>
  <dcterms:created xsi:type="dcterms:W3CDTF">2017-08-07T14:49:00Z</dcterms:created>
  <dcterms:modified xsi:type="dcterms:W3CDTF">2017-08-07T14:49:00Z</dcterms:modified>
</cp:coreProperties>
</file>