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95F6B" w:rsidP="00695F6B">
            <w:pPr>
              <w:bidi w:val="0"/>
              <w:spacing w:after="20"/>
              <w:jc w:val="left"/>
              <w:rPr>
                <w:szCs w:val="20"/>
              </w:rPr>
            </w:pPr>
            <w:r w:rsidRPr="00695F6B">
              <w:rPr>
                <w:sz w:val="40"/>
                <w:szCs w:val="20"/>
              </w:rPr>
              <w:t>A</w:t>
            </w:r>
            <w:r>
              <w:rPr>
                <w:szCs w:val="20"/>
              </w:rPr>
              <w:t>/HRC/</w:t>
            </w:r>
            <w:r w:rsidR="00B06B46">
              <w:rPr>
                <w:szCs w:val="20"/>
              </w:rPr>
              <w:t>RES/</w:t>
            </w:r>
            <w:r>
              <w:rPr>
                <w:szCs w:val="20"/>
              </w:rPr>
              <w:t>14/</w:t>
            </w:r>
            <w:r w:rsidR="008673B0">
              <w:rPr>
                <w:szCs w:val="20"/>
              </w:rPr>
              <w:t>6</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695F6B" w:rsidRDefault="00695F6B" w:rsidP="00B06B46">
            <w:pPr>
              <w:bidi w:val="0"/>
              <w:spacing w:before="240"/>
              <w:jc w:val="left"/>
            </w:pPr>
            <w:r>
              <w:t xml:space="preserve">Distr.: </w:t>
            </w:r>
            <w:r w:rsidR="00B06B46">
              <w:t>General</w:t>
            </w:r>
          </w:p>
          <w:p w:rsidR="00695F6B" w:rsidRDefault="00B06B46" w:rsidP="00695F6B">
            <w:pPr>
              <w:bidi w:val="0"/>
              <w:jc w:val="left"/>
            </w:pPr>
            <w:r>
              <w:t>23</w:t>
            </w:r>
            <w:r w:rsidR="00695F6B">
              <w:t xml:space="preserve"> June 2010</w:t>
            </w:r>
          </w:p>
          <w:p w:rsidR="00695F6B" w:rsidRDefault="00695F6B" w:rsidP="00695F6B">
            <w:pPr>
              <w:bidi w:val="0"/>
              <w:jc w:val="left"/>
            </w:pPr>
            <w:r>
              <w:t>Arabic</w:t>
            </w:r>
          </w:p>
          <w:p w:rsidR="00257225" w:rsidRPr="008B4BC6" w:rsidRDefault="00695F6B" w:rsidP="00695F6B">
            <w:pPr>
              <w:bidi w:val="0"/>
              <w:jc w:val="left"/>
            </w:pPr>
            <w:r>
              <w:t>Original: English</w:t>
            </w:r>
          </w:p>
        </w:tc>
      </w:tr>
    </w:tbl>
    <w:p w:rsidR="00695F6B" w:rsidRPr="00833BFF" w:rsidRDefault="00695F6B" w:rsidP="00695F6B">
      <w:pPr>
        <w:spacing w:before="120" w:line="380" w:lineRule="exact"/>
        <w:rPr>
          <w:rFonts w:hint="cs"/>
          <w:b/>
          <w:bCs/>
          <w:sz w:val="36"/>
          <w:szCs w:val="36"/>
          <w:rtl/>
        </w:rPr>
      </w:pPr>
      <w:r w:rsidRPr="00833BFF">
        <w:rPr>
          <w:b/>
          <w:bCs/>
          <w:noProof/>
          <w:sz w:val="36"/>
          <w:szCs w:val="36"/>
          <w:rtl/>
        </w:rPr>
        <w:t>مجلس حقوق الإنسان</w:t>
      </w:r>
    </w:p>
    <w:p w:rsidR="00695F6B" w:rsidRPr="00833BFF" w:rsidRDefault="00695F6B" w:rsidP="00D30BE5">
      <w:pPr>
        <w:spacing w:line="380" w:lineRule="exact"/>
        <w:rPr>
          <w:rFonts w:hint="cs"/>
          <w:b/>
          <w:bCs/>
          <w:rtl/>
        </w:rPr>
      </w:pPr>
      <w:r w:rsidRPr="00833BFF">
        <w:rPr>
          <w:b/>
          <w:bCs/>
          <w:noProof/>
          <w:rtl/>
        </w:rPr>
        <w:t xml:space="preserve">الدورة </w:t>
      </w:r>
      <w:r w:rsidR="00D30BE5">
        <w:rPr>
          <w:rFonts w:hint="cs"/>
          <w:b/>
          <w:bCs/>
          <w:noProof/>
          <w:rtl/>
        </w:rPr>
        <w:t>الرابعة</w:t>
      </w:r>
      <w:r w:rsidRPr="00833BFF">
        <w:rPr>
          <w:b/>
          <w:bCs/>
          <w:noProof/>
          <w:rtl/>
        </w:rPr>
        <w:t xml:space="preserve"> عشرة</w:t>
      </w:r>
    </w:p>
    <w:p w:rsidR="00695F6B" w:rsidRDefault="00695F6B" w:rsidP="00D30BE5">
      <w:pPr>
        <w:spacing w:line="380" w:lineRule="exact"/>
        <w:rPr>
          <w:rFonts w:hint="cs"/>
          <w:noProof/>
          <w:rtl/>
        </w:rPr>
      </w:pPr>
      <w:r>
        <w:rPr>
          <w:noProof/>
          <w:rtl/>
        </w:rPr>
        <w:t xml:space="preserve">البند </w:t>
      </w:r>
      <w:r w:rsidR="00D30BE5">
        <w:rPr>
          <w:rFonts w:hint="cs"/>
          <w:noProof/>
          <w:rtl/>
        </w:rPr>
        <w:t>3</w:t>
      </w:r>
      <w:r>
        <w:rPr>
          <w:noProof/>
          <w:rtl/>
        </w:rPr>
        <w:t xml:space="preserve"> من جدول الأعمال</w:t>
      </w:r>
    </w:p>
    <w:p w:rsidR="001A4B74" w:rsidRPr="008A4BB2" w:rsidRDefault="001A4B74" w:rsidP="001A4B74">
      <w:pPr>
        <w:spacing w:line="380" w:lineRule="exact"/>
        <w:rPr>
          <w:rFonts w:hint="cs"/>
          <w:b/>
          <w:bCs/>
          <w:rtl/>
        </w:rPr>
      </w:pPr>
      <w:r w:rsidRPr="008A4BB2">
        <w:rPr>
          <w:rFonts w:hint="cs"/>
          <w:b/>
          <w:bCs/>
          <w:rtl/>
        </w:rPr>
        <w:t>تعزيز وحماية جميع حقوق الإنسان</w:t>
      </w:r>
      <w:r>
        <w:rPr>
          <w:rFonts w:hint="cs"/>
          <w:b/>
          <w:bCs/>
          <w:rtl/>
        </w:rPr>
        <w:t>،</w:t>
      </w:r>
      <w:r w:rsidRPr="008A4BB2">
        <w:rPr>
          <w:rFonts w:hint="cs"/>
          <w:b/>
          <w:bCs/>
          <w:rtl/>
        </w:rPr>
        <w:t xml:space="preserve"> المدنية والسياسية والاقتصادية </w:t>
      </w:r>
    </w:p>
    <w:p w:rsidR="001A4B74" w:rsidRPr="008A4BB2" w:rsidRDefault="001A4B74" w:rsidP="00437ADD">
      <w:pPr>
        <w:spacing w:after="120" w:line="380" w:lineRule="exact"/>
        <w:rPr>
          <w:rFonts w:hint="cs"/>
          <w:b/>
          <w:bCs/>
          <w:rtl/>
        </w:rPr>
      </w:pPr>
      <w:r w:rsidRPr="008A4BB2">
        <w:rPr>
          <w:rFonts w:hint="cs"/>
          <w:b/>
          <w:bCs/>
          <w:rtl/>
        </w:rPr>
        <w:t>والاجتماعية والثقافية، بما في ذلك الحق في التنمية</w:t>
      </w:r>
    </w:p>
    <w:p w:rsidR="003163E3" w:rsidRPr="003163E3" w:rsidRDefault="00B06B46" w:rsidP="00B06B46">
      <w:pPr>
        <w:pStyle w:val="HChGA"/>
        <w:rPr>
          <w:rFonts w:hint="cs"/>
          <w:rtl/>
        </w:rPr>
      </w:pPr>
      <w:r>
        <w:rPr>
          <w:rFonts w:hint="cs"/>
          <w:rtl/>
        </w:rPr>
        <w:tab/>
      </w:r>
      <w:r>
        <w:rPr>
          <w:rFonts w:hint="cs"/>
          <w:rtl/>
        </w:rPr>
        <w:tab/>
        <w:t>قرار اعتمده مجلس حقوق الإنسان</w:t>
      </w:r>
      <w:r w:rsidRPr="00264C8D">
        <w:rPr>
          <w:rStyle w:val="FootnoteReference"/>
          <w:sz w:val="20"/>
          <w:vertAlign w:val="baseline"/>
          <w:rtl/>
        </w:rPr>
        <w:footnoteReference w:customMarkFollows="1" w:id="1"/>
        <w:t>*</w:t>
      </w:r>
    </w:p>
    <w:p w:rsidR="00B06B46" w:rsidRDefault="0089621F" w:rsidP="00B06B46">
      <w:pPr>
        <w:pStyle w:val="HChGA"/>
        <w:spacing w:after="0"/>
        <w:rPr>
          <w:rFonts w:hint="cs"/>
          <w:rtl/>
        </w:rPr>
      </w:pPr>
      <w:r w:rsidRPr="0089621F">
        <w:rPr>
          <w:rFonts w:hint="cs"/>
          <w:rtl/>
        </w:rPr>
        <w:tab/>
      </w:r>
      <w:r w:rsidRPr="0089621F">
        <w:rPr>
          <w:rFonts w:hint="cs"/>
          <w:rtl/>
        </w:rPr>
        <w:tab/>
        <w:t>14/</w:t>
      </w:r>
      <w:r w:rsidR="00B06B46">
        <w:rPr>
          <w:rFonts w:hint="cs"/>
          <w:rtl/>
        </w:rPr>
        <w:t>6</w:t>
      </w:r>
    </w:p>
    <w:p w:rsidR="0089621F" w:rsidRPr="0089621F" w:rsidRDefault="00B06B46" w:rsidP="00B06B46">
      <w:pPr>
        <w:pStyle w:val="HChGA"/>
        <w:spacing w:before="0"/>
        <w:rPr>
          <w:rFonts w:hint="cs"/>
          <w:rtl/>
        </w:rPr>
      </w:pPr>
      <w:r>
        <w:rPr>
          <w:rFonts w:hint="cs"/>
          <w:rtl/>
        </w:rPr>
        <w:tab/>
      </w:r>
      <w:r>
        <w:rPr>
          <w:rFonts w:hint="cs"/>
          <w:rtl/>
        </w:rPr>
        <w:tab/>
      </w:r>
      <w:r w:rsidR="0089621F" w:rsidRPr="0089621F">
        <w:rPr>
          <w:rFonts w:hint="cs"/>
          <w:rtl/>
        </w:rPr>
        <w:t>ولاية المقرر الخاص المعني بحقوق الإنسان للمشردين داخلياً</w:t>
      </w:r>
    </w:p>
    <w:p w:rsidR="0089621F" w:rsidRPr="00437ADD" w:rsidRDefault="0089621F" w:rsidP="006061FF">
      <w:pPr>
        <w:pStyle w:val="SingleTxtGA"/>
        <w:rPr>
          <w:rFonts w:hint="cs"/>
          <w:i/>
          <w:iCs/>
          <w:rtl/>
          <w:lang w:val="fr-CH"/>
        </w:rPr>
      </w:pPr>
      <w:r w:rsidRPr="00437ADD">
        <w:rPr>
          <w:rFonts w:hint="cs"/>
          <w:i/>
          <w:iCs/>
          <w:rtl/>
          <w:lang w:val="fr-CH"/>
        </w:rPr>
        <w:tab/>
        <w:t>إن مجلس حقوق الإنسان،</w:t>
      </w:r>
    </w:p>
    <w:p w:rsidR="0089621F" w:rsidRPr="00FC4BFF" w:rsidRDefault="0089621F" w:rsidP="006061FF">
      <w:pPr>
        <w:pStyle w:val="SingleTxtGA"/>
        <w:rPr>
          <w:rFonts w:hint="cs"/>
          <w:spacing w:val="-4"/>
          <w:rtl/>
        </w:rPr>
      </w:pPr>
      <w:r w:rsidRPr="00FC4BFF">
        <w:rPr>
          <w:rFonts w:hint="cs"/>
          <w:bCs/>
          <w:spacing w:val="-4"/>
          <w:rtl/>
        </w:rPr>
        <w:tab/>
      </w:r>
      <w:r w:rsidRPr="00FC4BFF">
        <w:rPr>
          <w:rFonts w:hint="cs"/>
          <w:i/>
          <w:iCs/>
          <w:spacing w:val="-4"/>
          <w:rtl/>
        </w:rPr>
        <w:t>إذ يشير</w:t>
      </w:r>
      <w:r w:rsidRPr="00FC4BFF">
        <w:rPr>
          <w:rFonts w:hint="cs"/>
          <w:spacing w:val="-4"/>
          <w:rtl/>
        </w:rPr>
        <w:t xml:space="preserve"> إلى جميع القرارات السابقة التي اعتمدتها الجمعية العامة ولجنة حقوق الإنسان ومجلس حقوق الإنسان</w:t>
      </w:r>
      <w:r w:rsidR="00FC4BFF" w:rsidRPr="00FC4BFF">
        <w:rPr>
          <w:rFonts w:hint="cs"/>
          <w:spacing w:val="-4"/>
          <w:rtl/>
        </w:rPr>
        <w:t xml:space="preserve"> بشأن المشردين داخلياً</w:t>
      </w:r>
      <w:r w:rsidRPr="00FC4BFF">
        <w:rPr>
          <w:rFonts w:hint="cs"/>
          <w:spacing w:val="-4"/>
          <w:rtl/>
        </w:rPr>
        <w:t xml:space="preserve">، بما فيها قرار الجمعية العامة 64/162 المؤرخ 18 كانون الأول/ديسمبر 2009 وقرار المجلس 6/32 المؤرخ 14 كانون الأول/ديسمبر 2007، </w:t>
      </w:r>
    </w:p>
    <w:p w:rsidR="0089621F" w:rsidRPr="00FF2CA0" w:rsidRDefault="0089621F" w:rsidP="006061FF">
      <w:pPr>
        <w:pStyle w:val="SingleTxtGA"/>
        <w:rPr>
          <w:rFonts w:hint="cs"/>
          <w:rtl/>
        </w:rPr>
      </w:pPr>
      <w:r w:rsidRPr="00FF2CA0">
        <w:rPr>
          <w:rFonts w:hint="cs"/>
          <w:rtl/>
        </w:rPr>
        <w:tab/>
      </w:r>
      <w:r w:rsidRPr="00441DE1">
        <w:rPr>
          <w:rFonts w:hint="cs"/>
          <w:i/>
          <w:iCs/>
          <w:rtl/>
        </w:rPr>
        <w:t>وإذ يشير</w:t>
      </w:r>
      <w:r>
        <w:rPr>
          <w:rFonts w:hint="cs"/>
          <w:rtl/>
        </w:rPr>
        <w:t xml:space="preserve"> أيضاً إلى </w:t>
      </w:r>
      <w:r w:rsidRPr="00FF2CA0">
        <w:rPr>
          <w:rFonts w:hint="cs"/>
          <w:rtl/>
        </w:rPr>
        <w:t xml:space="preserve">قرار الجمعية العامة </w:t>
      </w:r>
      <w:r>
        <w:rPr>
          <w:rFonts w:hint="cs"/>
          <w:rtl/>
        </w:rPr>
        <w:t>46</w:t>
      </w:r>
      <w:r w:rsidRPr="00FF2CA0">
        <w:rPr>
          <w:rFonts w:hint="cs"/>
          <w:rtl/>
        </w:rPr>
        <w:t>/1</w:t>
      </w:r>
      <w:r>
        <w:rPr>
          <w:rFonts w:hint="cs"/>
          <w:rtl/>
        </w:rPr>
        <w:t>82</w:t>
      </w:r>
      <w:r w:rsidRPr="00FF2CA0">
        <w:rPr>
          <w:rFonts w:hint="cs"/>
          <w:rtl/>
        </w:rPr>
        <w:t xml:space="preserve"> المؤرخ </w:t>
      </w:r>
      <w:r>
        <w:rPr>
          <w:rFonts w:hint="cs"/>
          <w:rtl/>
        </w:rPr>
        <w:t xml:space="preserve">19 كانون الأول/ديسمبر 1991 بشأن تعزيز تنسيق المساعدة الإنسانية التي تقدمها الأمم </w:t>
      </w:r>
      <w:r w:rsidRPr="00FF2CA0">
        <w:rPr>
          <w:rFonts w:hint="cs"/>
          <w:rtl/>
        </w:rPr>
        <w:t xml:space="preserve">المتحدة </w:t>
      </w:r>
      <w:r>
        <w:rPr>
          <w:rFonts w:hint="cs"/>
          <w:rtl/>
        </w:rPr>
        <w:t xml:space="preserve">في حالات الطوارئ والمبادئ التوجيهية المرفقة به، </w:t>
      </w:r>
    </w:p>
    <w:p w:rsidR="0089621F" w:rsidRDefault="0089621F" w:rsidP="003163E3">
      <w:pPr>
        <w:pStyle w:val="SingleTxtGA"/>
        <w:spacing w:line="360" w:lineRule="exact"/>
        <w:rPr>
          <w:rFonts w:hint="cs"/>
          <w:rtl/>
        </w:rPr>
      </w:pPr>
      <w:r w:rsidRPr="00FF2CA0">
        <w:rPr>
          <w:rFonts w:hint="cs"/>
          <w:rtl/>
        </w:rPr>
        <w:tab/>
      </w:r>
      <w:r w:rsidRPr="00441DE1">
        <w:rPr>
          <w:rFonts w:hint="cs"/>
          <w:i/>
          <w:iCs/>
          <w:rtl/>
        </w:rPr>
        <w:t>و</w:t>
      </w:r>
      <w:r>
        <w:rPr>
          <w:rFonts w:hint="cs"/>
          <w:i/>
          <w:iCs/>
          <w:rtl/>
        </w:rPr>
        <w:t>إذ يشير</w:t>
      </w:r>
      <w:r w:rsidRPr="00FF2CA0">
        <w:rPr>
          <w:rFonts w:hint="cs"/>
          <w:rtl/>
        </w:rPr>
        <w:t xml:space="preserve"> </w:t>
      </w:r>
      <w:r>
        <w:rPr>
          <w:rFonts w:hint="cs"/>
          <w:rtl/>
        </w:rPr>
        <w:t xml:space="preserve">كذلك إلى قراري المجلس 5/1 بشأن بناء مؤسسات مجلس حقوق الإنسان التابع للأمم المتحدة، </w:t>
      </w:r>
      <w:r w:rsidR="00FC4BFF">
        <w:rPr>
          <w:rFonts w:hint="cs"/>
          <w:rtl/>
        </w:rPr>
        <w:t>و</w:t>
      </w:r>
      <w:r>
        <w:rPr>
          <w:rFonts w:hint="cs"/>
          <w:rtl/>
        </w:rPr>
        <w:t>5/2 بشأن مدونة قواعد السلوك للمكلفين بولايات في إطار الإجراءات الخاصة للمجلس المؤرخين 18 حزيران/يونيه 2007، وإذ يؤكد أن على المكلف بالولاية أن يؤدي واجباته وفقاً لهذين القرارين ومرفق</w:t>
      </w:r>
      <w:r w:rsidR="00FC4BFF">
        <w:rPr>
          <w:rFonts w:hint="cs"/>
          <w:rtl/>
        </w:rPr>
        <w:t>ي</w:t>
      </w:r>
      <w:r>
        <w:rPr>
          <w:rFonts w:hint="cs"/>
          <w:rtl/>
        </w:rPr>
        <w:t xml:space="preserve">هما، </w:t>
      </w:r>
    </w:p>
    <w:p w:rsidR="0089621F" w:rsidRPr="000E289F" w:rsidRDefault="0089621F" w:rsidP="00437ADD">
      <w:pPr>
        <w:pStyle w:val="SingleTxtGA"/>
        <w:rPr>
          <w:rFonts w:hint="cs"/>
          <w:rtl/>
          <w:lang w:val="fr-CH"/>
        </w:rPr>
      </w:pPr>
      <w:r>
        <w:rPr>
          <w:rFonts w:hint="cs"/>
          <w:rtl/>
          <w:lang w:val="fr-CH"/>
        </w:rPr>
        <w:tab/>
      </w:r>
      <w:r>
        <w:rPr>
          <w:rFonts w:hint="cs"/>
          <w:i/>
          <w:iCs/>
          <w:rtl/>
          <w:lang w:val="fr-CH"/>
        </w:rPr>
        <w:t>وإذ يشدد</w:t>
      </w:r>
      <w:r>
        <w:rPr>
          <w:rFonts w:hint="cs"/>
          <w:rtl/>
          <w:lang w:val="fr-CH"/>
        </w:rPr>
        <w:t xml:space="preserve"> على أن الدول مسؤولة مسؤولية رئيسية عن توفير الحماية والمساعدة للمشردين داخلياً الخاضعين لولايتها وعن معالجة الأسباب الج</w:t>
      </w:r>
      <w:r w:rsidR="00437ADD">
        <w:rPr>
          <w:rFonts w:hint="cs"/>
          <w:rtl/>
          <w:lang w:val="fr-CH"/>
        </w:rPr>
        <w:t>ذ</w:t>
      </w:r>
      <w:r>
        <w:rPr>
          <w:rFonts w:hint="cs"/>
          <w:rtl/>
          <w:lang w:val="fr-CH"/>
        </w:rPr>
        <w:t>رية لمشكلة التشرد بالتعاون المناسب مع المجتمع الدولي،</w:t>
      </w:r>
    </w:p>
    <w:p w:rsidR="0089621F" w:rsidRPr="000E289F" w:rsidRDefault="0089621F" w:rsidP="00FC4BFF">
      <w:pPr>
        <w:pStyle w:val="SingleTxtGA"/>
        <w:rPr>
          <w:rFonts w:hint="cs"/>
          <w:rtl/>
          <w:lang w:val="fr-CH"/>
        </w:rPr>
      </w:pPr>
      <w:r>
        <w:rPr>
          <w:rFonts w:hint="cs"/>
          <w:rtl/>
          <w:lang w:val="fr-CH"/>
        </w:rPr>
        <w:tab/>
      </w:r>
      <w:r>
        <w:rPr>
          <w:rFonts w:hint="cs"/>
          <w:i/>
          <w:iCs/>
          <w:rtl/>
          <w:lang w:val="fr-CH"/>
        </w:rPr>
        <w:t>وإذ يرحب</w:t>
      </w:r>
      <w:r>
        <w:rPr>
          <w:rFonts w:hint="cs"/>
          <w:rtl/>
          <w:lang w:val="fr-CH"/>
        </w:rPr>
        <w:t xml:space="preserve"> باعتماد اتفاقية الاتحاد الأفريقي </w:t>
      </w:r>
      <w:r w:rsidR="00FC4BFF">
        <w:rPr>
          <w:rFonts w:hint="cs"/>
          <w:rtl/>
          <w:lang w:val="fr-CH"/>
        </w:rPr>
        <w:t xml:space="preserve">لحماية ومساعدة </w:t>
      </w:r>
      <w:r>
        <w:rPr>
          <w:rFonts w:hint="cs"/>
          <w:rtl/>
          <w:lang w:val="fr-CH"/>
        </w:rPr>
        <w:t>المشردين داخلياً في أفريقيا في 22 تشرين الأول/أكتوبر 2009، وهو الأمر الذي يشكل خطوة هامة نحو تعزيز الإطار المعياري الوطني والإقليمي لحماية المشردين داخلياً ومساعدتهم،</w:t>
      </w:r>
    </w:p>
    <w:p w:rsidR="0089621F" w:rsidRPr="000E289F" w:rsidRDefault="0089621F" w:rsidP="00FC4BFF">
      <w:pPr>
        <w:pStyle w:val="SingleTxtGA"/>
        <w:rPr>
          <w:rFonts w:hint="cs"/>
          <w:rtl/>
          <w:lang w:val="fr-CH"/>
        </w:rPr>
      </w:pPr>
      <w:r>
        <w:rPr>
          <w:rFonts w:hint="cs"/>
          <w:rtl/>
          <w:lang w:val="fr-CH"/>
        </w:rPr>
        <w:tab/>
        <w:t>1-</w:t>
      </w:r>
      <w:r>
        <w:rPr>
          <w:rFonts w:hint="cs"/>
          <w:rtl/>
          <w:lang w:val="fr-CH"/>
        </w:rPr>
        <w:tab/>
      </w:r>
      <w:r>
        <w:rPr>
          <w:rFonts w:hint="cs"/>
          <w:i/>
          <w:iCs/>
          <w:rtl/>
          <w:lang w:val="fr-CH"/>
        </w:rPr>
        <w:t xml:space="preserve">يثني </w:t>
      </w:r>
      <w:r>
        <w:rPr>
          <w:rFonts w:hint="cs"/>
          <w:rtl/>
          <w:lang w:val="fr-CH"/>
        </w:rPr>
        <w:t>على ممثل الأمين العام المعني بحقوق الإنسان للمشردين داخلياً لما</w:t>
      </w:r>
      <w:r w:rsidR="00FC4BFF">
        <w:rPr>
          <w:rFonts w:hint="eastAsia"/>
          <w:rtl/>
          <w:lang w:val="fr-CH"/>
        </w:rPr>
        <w:t> </w:t>
      </w:r>
      <w:r>
        <w:rPr>
          <w:rFonts w:hint="cs"/>
          <w:rtl/>
          <w:lang w:val="fr-CH"/>
        </w:rPr>
        <w:t>اضطلع به من أنشطة حتى</w:t>
      </w:r>
      <w:r w:rsidR="00FC4BFF">
        <w:rPr>
          <w:rFonts w:hint="cs"/>
          <w:rtl/>
          <w:lang w:val="fr-CH"/>
        </w:rPr>
        <w:t xml:space="preserve"> الآن</w:t>
      </w:r>
      <w:r>
        <w:rPr>
          <w:rFonts w:hint="cs"/>
          <w:rtl/>
          <w:lang w:val="fr-CH"/>
        </w:rPr>
        <w:t xml:space="preserve">، وللدور الحفاز الذي قام به في </w:t>
      </w:r>
      <w:r w:rsidR="00FC4BFF">
        <w:rPr>
          <w:rFonts w:hint="cs"/>
          <w:rtl/>
          <w:lang w:val="fr-CH"/>
        </w:rPr>
        <w:t xml:space="preserve">زيادة </w:t>
      </w:r>
      <w:r>
        <w:rPr>
          <w:rFonts w:hint="cs"/>
          <w:rtl/>
          <w:lang w:val="fr-CH"/>
        </w:rPr>
        <w:t xml:space="preserve">الوعي بمحنة المشردين داخلياً ولجهوده المستمرة لتلبية احتياجاتهم الإنمائية وغيرها من الاحتياجات المحددة، بطرق منها تعميم مراعاة حقوق الإنسان للمشردين داخلياً في جميع </w:t>
      </w:r>
      <w:r w:rsidR="00FC4BFF">
        <w:rPr>
          <w:rFonts w:hint="cs"/>
          <w:rtl/>
          <w:lang w:val="fr-CH"/>
        </w:rPr>
        <w:t xml:space="preserve">الجهات ذات الصلة في </w:t>
      </w:r>
      <w:r>
        <w:rPr>
          <w:rFonts w:hint="cs"/>
          <w:rtl/>
          <w:lang w:val="fr-CH"/>
        </w:rPr>
        <w:t>منظومة الأمم المتحدة؛</w:t>
      </w:r>
    </w:p>
    <w:p w:rsidR="0089621F" w:rsidRPr="000E289F" w:rsidRDefault="0089621F" w:rsidP="0089621F">
      <w:pPr>
        <w:pStyle w:val="SingleTxtGA"/>
        <w:rPr>
          <w:rFonts w:hint="cs"/>
          <w:rtl/>
        </w:rPr>
      </w:pPr>
      <w:r>
        <w:rPr>
          <w:rFonts w:hint="cs"/>
          <w:rtl/>
          <w:lang w:val="fr-CH"/>
        </w:rPr>
        <w:tab/>
        <w:t>2-</w:t>
      </w:r>
      <w:r>
        <w:rPr>
          <w:rFonts w:hint="cs"/>
          <w:rtl/>
          <w:lang w:val="fr-CH"/>
        </w:rPr>
        <w:tab/>
      </w:r>
      <w:r>
        <w:rPr>
          <w:rFonts w:hint="cs"/>
          <w:i/>
          <w:iCs/>
          <w:rtl/>
          <w:lang w:val="fr-CH"/>
        </w:rPr>
        <w:t>يحيط علماً</w:t>
      </w:r>
      <w:r>
        <w:rPr>
          <w:rFonts w:hint="cs"/>
          <w:rtl/>
          <w:lang w:val="fr-CH"/>
        </w:rPr>
        <w:t xml:space="preserve"> بتقرير ممثل الأمين العام المعني بحقوق الإنسان للمشردين داخلياً</w:t>
      </w:r>
      <w:r w:rsidR="00FC4BFF">
        <w:rPr>
          <w:rFonts w:hint="cs"/>
          <w:rtl/>
          <w:lang w:val="fr-CH"/>
        </w:rPr>
        <w:t>،</w:t>
      </w:r>
      <w:r>
        <w:rPr>
          <w:rFonts w:hint="cs"/>
          <w:rtl/>
          <w:lang w:val="fr-CH"/>
        </w:rPr>
        <w:t xml:space="preserve"> المقدم إلى المجلس في دورته الثالثة عشرة </w:t>
      </w:r>
      <w:r>
        <w:t>(A/HRC/13/21)</w:t>
      </w:r>
      <w:r>
        <w:rPr>
          <w:rFonts w:hint="cs"/>
          <w:rtl/>
        </w:rPr>
        <w:t xml:space="preserve">؛ </w:t>
      </w:r>
    </w:p>
    <w:p w:rsidR="0089621F" w:rsidRPr="000E289F" w:rsidRDefault="0089621F" w:rsidP="00FC4BFF">
      <w:pPr>
        <w:pStyle w:val="SingleTxtGA"/>
        <w:rPr>
          <w:rFonts w:hint="cs"/>
          <w:rtl/>
          <w:lang w:val="fr-CH"/>
        </w:rPr>
      </w:pPr>
      <w:r>
        <w:rPr>
          <w:rFonts w:hint="cs"/>
          <w:rtl/>
          <w:lang w:val="fr-CH"/>
        </w:rPr>
        <w:tab/>
        <w:t>3-</w:t>
      </w:r>
      <w:r>
        <w:rPr>
          <w:rFonts w:hint="cs"/>
          <w:rtl/>
          <w:lang w:val="fr-CH"/>
        </w:rPr>
        <w:tab/>
      </w:r>
      <w:r>
        <w:rPr>
          <w:rFonts w:hint="cs"/>
          <w:i/>
          <w:iCs/>
          <w:rtl/>
          <w:lang w:val="fr-CH"/>
        </w:rPr>
        <w:t>يعرب عن تقديره</w:t>
      </w:r>
      <w:r>
        <w:rPr>
          <w:rFonts w:hint="cs"/>
          <w:rtl/>
          <w:lang w:val="fr-CH"/>
        </w:rPr>
        <w:t xml:space="preserve"> لممثل الأمين العام لعمله المتعلق بطرح حلول عملية لتحديات التشرد الداخلي ويشجع جميع العناصر الفاعلة </w:t>
      </w:r>
      <w:r w:rsidR="00FC4BFF">
        <w:rPr>
          <w:rFonts w:hint="cs"/>
          <w:rtl/>
          <w:lang w:val="fr-CH"/>
        </w:rPr>
        <w:t xml:space="preserve">ذات الصلة </w:t>
      </w:r>
      <w:r>
        <w:rPr>
          <w:rFonts w:hint="cs"/>
          <w:rtl/>
          <w:lang w:val="fr-CH"/>
        </w:rPr>
        <w:t>على الاستفادة منه، بحسب الاقتضاء، عند التخطيط لبرامج دعم الحلول الدائمة وتنفيذ هذه البرامج؛</w:t>
      </w:r>
    </w:p>
    <w:p w:rsidR="0089621F" w:rsidRPr="00FC4BFF" w:rsidRDefault="0089621F" w:rsidP="00FC4BFF">
      <w:pPr>
        <w:pStyle w:val="SingleTxtGA"/>
        <w:rPr>
          <w:rFonts w:hint="cs"/>
          <w:rtl/>
          <w:lang w:val="fr-CH"/>
        </w:rPr>
      </w:pPr>
      <w:r w:rsidRPr="00FC4BFF">
        <w:rPr>
          <w:rFonts w:hint="cs"/>
          <w:rtl/>
          <w:lang w:val="fr-CH"/>
        </w:rPr>
        <w:tab/>
        <w:t>4-</w:t>
      </w:r>
      <w:r w:rsidRPr="00FC4BFF">
        <w:rPr>
          <w:rFonts w:hint="cs"/>
          <w:rtl/>
          <w:lang w:val="fr-CH"/>
        </w:rPr>
        <w:tab/>
      </w:r>
      <w:r w:rsidRPr="00FC4BFF">
        <w:rPr>
          <w:rFonts w:hint="cs"/>
          <w:i/>
          <w:iCs/>
          <w:rtl/>
          <w:lang w:val="fr-CH"/>
        </w:rPr>
        <w:t>يعرب عن تقديره أيضاً</w:t>
      </w:r>
      <w:r w:rsidRPr="00FC4BFF">
        <w:rPr>
          <w:rFonts w:hint="cs"/>
          <w:rtl/>
          <w:lang w:val="fr-CH"/>
        </w:rPr>
        <w:t xml:space="preserve"> للحكومات والمنظمات الحكومية الدولية والمنظمات غير الحكومية التي قدمت الحماية والمساعدة إلى المشردين داخلياً ودعمت عمل ممثل الأمين</w:t>
      </w:r>
      <w:r w:rsidR="00FC4BFF">
        <w:rPr>
          <w:rFonts w:hint="eastAsia"/>
          <w:rtl/>
          <w:lang w:val="fr-CH"/>
        </w:rPr>
        <w:t> </w:t>
      </w:r>
      <w:r w:rsidRPr="00FC4BFF">
        <w:rPr>
          <w:rFonts w:hint="cs"/>
          <w:rtl/>
          <w:lang w:val="fr-CH"/>
        </w:rPr>
        <w:t>العام؛</w:t>
      </w:r>
    </w:p>
    <w:p w:rsidR="0089621F" w:rsidRPr="00FC4BFF" w:rsidRDefault="0089621F" w:rsidP="000C31BD">
      <w:pPr>
        <w:pStyle w:val="SingleTxtGA"/>
        <w:rPr>
          <w:rFonts w:hint="cs"/>
          <w:spacing w:val="-2"/>
          <w:rtl/>
          <w:lang w:val="fr-CH"/>
        </w:rPr>
      </w:pPr>
      <w:r w:rsidRPr="00FC4BFF">
        <w:rPr>
          <w:rFonts w:hint="cs"/>
          <w:spacing w:val="-2"/>
          <w:rtl/>
          <w:lang w:val="fr-CH"/>
        </w:rPr>
        <w:tab/>
        <w:t>5-</w:t>
      </w:r>
      <w:r w:rsidRPr="00FC4BFF">
        <w:rPr>
          <w:rFonts w:hint="cs"/>
          <w:spacing w:val="-2"/>
          <w:rtl/>
          <w:lang w:val="fr-CH"/>
        </w:rPr>
        <w:tab/>
      </w:r>
      <w:r w:rsidRPr="00FC4BFF">
        <w:rPr>
          <w:rFonts w:hint="cs"/>
          <w:i/>
          <w:iCs/>
          <w:spacing w:val="-2"/>
          <w:rtl/>
          <w:lang w:val="fr-CH"/>
        </w:rPr>
        <w:t>يعرب عن قلقه</w:t>
      </w:r>
      <w:r w:rsidRPr="00FC4BFF">
        <w:rPr>
          <w:rFonts w:hint="cs"/>
          <w:spacing w:val="-2"/>
          <w:rtl/>
          <w:lang w:val="fr-CH"/>
        </w:rPr>
        <w:t xml:space="preserve"> إزاء المشاكل </w:t>
      </w:r>
      <w:r w:rsidR="00FC4BFF" w:rsidRPr="00FC4BFF">
        <w:rPr>
          <w:rFonts w:hint="cs"/>
          <w:spacing w:val="-2"/>
          <w:rtl/>
          <w:lang w:val="fr-CH"/>
        </w:rPr>
        <w:t xml:space="preserve">المستمرة </w:t>
      </w:r>
      <w:r w:rsidRPr="00FC4BFF">
        <w:rPr>
          <w:rFonts w:hint="cs"/>
          <w:spacing w:val="-2"/>
          <w:rtl/>
          <w:lang w:val="fr-CH"/>
        </w:rPr>
        <w:t>التي تواجهها أعداد كبيرة من المشردين داخلياً في جميع أنحا</w:t>
      </w:r>
      <w:r w:rsidR="00437ADD">
        <w:rPr>
          <w:rFonts w:hint="cs"/>
          <w:spacing w:val="-2"/>
          <w:rtl/>
          <w:lang w:val="fr-CH"/>
        </w:rPr>
        <w:t>ء العالم، وبخاصة خطر الفقر المدق</w:t>
      </w:r>
      <w:r w:rsidRPr="00FC4BFF">
        <w:rPr>
          <w:rFonts w:hint="cs"/>
          <w:spacing w:val="-2"/>
          <w:rtl/>
          <w:lang w:val="fr-CH"/>
        </w:rPr>
        <w:t>ع والاستبعاد الاجتماعي - الاقتصادي</w:t>
      </w:r>
      <w:r w:rsidR="00FC4BFF" w:rsidRPr="00FC4BFF">
        <w:rPr>
          <w:rFonts w:hint="cs"/>
          <w:spacing w:val="-2"/>
          <w:rtl/>
          <w:lang w:val="fr-CH"/>
        </w:rPr>
        <w:t>،</w:t>
      </w:r>
      <w:r w:rsidRPr="00FC4BFF">
        <w:rPr>
          <w:rFonts w:hint="cs"/>
          <w:spacing w:val="-2"/>
          <w:rtl/>
          <w:lang w:val="fr-CH"/>
        </w:rPr>
        <w:t xml:space="preserve"> و</w:t>
      </w:r>
      <w:r w:rsidR="00FC4BFF" w:rsidRPr="00FC4BFF">
        <w:rPr>
          <w:rFonts w:hint="cs"/>
          <w:spacing w:val="-2"/>
          <w:rtl/>
          <w:lang w:val="fr-CH"/>
        </w:rPr>
        <w:t xml:space="preserve">إزاء </w:t>
      </w:r>
      <w:r w:rsidR="00437ADD">
        <w:rPr>
          <w:rFonts w:hint="cs"/>
          <w:spacing w:val="-2"/>
          <w:rtl/>
          <w:lang w:val="fr-CH"/>
        </w:rPr>
        <w:t xml:space="preserve">فرص </w:t>
      </w:r>
      <w:r w:rsidR="00FC4BFF" w:rsidRPr="00FC4BFF">
        <w:rPr>
          <w:rFonts w:hint="cs"/>
          <w:spacing w:val="-2"/>
          <w:rtl/>
          <w:lang w:val="fr-CH"/>
        </w:rPr>
        <w:t xml:space="preserve">المشردين </w:t>
      </w:r>
      <w:r w:rsidRPr="00FC4BFF">
        <w:rPr>
          <w:rFonts w:hint="cs"/>
          <w:spacing w:val="-2"/>
          <w:rtl/>
          <w:lang w:val="fr-CH"/>
        </w:rPr>
        <w:t>المحدودة في الحصول على المساعدة الإنسانية، وتعرضهم لانتهاكات حقوق الإنسان والصعوبات الناجمة عن وضعهم الخاص، مثل نقص الأغذية أو الأدوية أو</w:t>
      </w:r>
      <w:r w:rsidR="000C31BD">
        <w:rPr>
          <w:rFonts w:hint="eastAsia"/>
          <w:spacing w:val="-2"/>
          <w:rtl/>
          <w:lang w:val="fr-CH"/>
        </w:rPr>
        <w:t> </w:t>
      </w:r>
      <w:r w:rsidRPr="00FC4BFF">
        <w:rPr>
          <w:rFonts w:hint="cs"/>
          <w:spacing w:val="-2"/>
          <w:rtl/>
          <w:lang w:val="fr-CH"/>
        </w:rPr>
        <w:t>المأوى والقضايا المرتبطة بذلك في أثناء إعادة إدماجهم، بما في</w:t>
      </w:r>
      <w:r w:rsidR="00FC4BFF" w:rsidRPr="00FC4BFF">
        <w:rPr>
          <w:rFonts w:hint="cs"/>
          <w:spacing w:val="-2"/>
          <w:rtl/>
          <w:lang w:val="fr-CH"/>
        </w:rPr>
        <w:t>ها</w:t>
      </w:r>
      <w:r w:rsidRPr="00FC4BFF">
        <w:rPr>
          <w:rFonts w:hint="cs"/>
          <w:spacing w:val="-2"/>
          <w:rtl/>
          <w:lang w:val="fr-CH"/>
        </w:rPr>
        <w:t xml:space="preserve"> </w:t>
      </w:r>
      <w:r w:rsidR="00FC4BFF" w:rsidRPr="00FC4BFF">
        <w:rPr>
          <w:rFonts w:hint="cs"/>
          <w:spacing w:val="-2"/>
          <w:rtl/>
          <w:lang w:val="fr-CH"/>
        </w:rPr>
        <w:t xml:space="preserve">الحاجة إلى </w:t>
      </w:r>
      <w:r w:rsidRPr="00FC4BFF">
        <w:rPr>
          <w:rFonts w:hint="cs"/>
          <w:spacing w:val="-2"/>
          <w:rtl/>
          <w:lang w:val="fr-CH"/>
        </w:rPr>
        <w:t>رد ممتلكاتهم أو</w:t>
      </w:r>
      <w:r w:rsidR="000C31BD">
        <w:rPr>
          <w:rFonts w:hint="eastAsia"/>
          <w:spacing w:val="-2"/>
          <w:rtl/>
          <w:lang w:val="fr-CH"/>
        </w:rPr>
        <w:t> </w:t>
      </w:r>
      <w:r w:rsidRPr="00FC4BFF">
        <w:rPr>
          <w:rFonts w:hint="cs"/>
          <w:spacing w:val="-2"/>
          <w:rtl/>
          <w:lang w:val="fr-CH"/>
        </w:rPr>
        <w:t xml:space="preserve">تعويضهم عنها، عند الاقتضاء؛ </w:t>
      </w:r>
    </w:p>
    <w:p w:rsidR="0089621F" w:rsidRPr="002D4A6B" w:rsidRDefault="0089621F" w:rsidP="00FC4BFF">
      <w:pPr>
        <w:pStyle w:val="SingleTxtGA"/>
        <w:rPr>
          <w:rFonts w:hint="cs"/>
          <w:rtl/>
          <w:lang w:val="fr-CH"/>
        </w:rPr>
      </w:pPr>
      <w:r>
        <w:rPr>
          <w:rFonts w:hint="cs"/>
          <w:rtl/>
          <w:lang w:val="fr-CH"/>
        </w:rPr>
        <w:tab/>
        <w:t>6-</w:t>
      </w:r>
      <w:r>
        <w:rPr>
          <w:rFonts w:hint="cs"/>
          <w:rtl/>
          <w:lang w:val="fr-CH"/>
        </w:rPr>
        <w:tab/>
      </w:r>
      <w:r>
        <w:rPr>
          <w:rFonts w:hint="cs"/>
          <w:i/>
          <w:iCs/>
          <w:rtl/>
          <w:lang w:val="fr-CH"/>
        </w:rPr>
        <w:t xml:space="preserve">يعرب أيضاً عن قلقه </w:t>
      </w:r>
      <w:r>
        <w:rPr>
          <w:rFonts w:hint="cs"/>
          <w:rtl/>
          <w:lang w:val="fr-CH"/>
        </w:rPr>
        <w:t xml:space="preserve">إزاء مشكلة التشرد الذي طال أمده ويعترف بالحاجة إلى </w:t>
      </w:r>
      <w:r w:rsidR="00FC4BFF">
        <w:rPr>
          <w:rFonts w:hint="cs"/>
          <w:rtl/>
          <w:lang w:val="fr-CH"/>
        </w:rPr>
        <w:t>إيجاد</w:t>
      </w:r>
      <w:r>
        <w:rPr>
          <w:rFonts w:hint="cs"/>
          <w:rtl/>
          <w:lang w:val="fr-CH"/>
        </w:rPr>
        <w:t xml:space="preserve"> حلول دائمة؛</w:t>
      </w:r>
    </w:p>
    <w:p w:rsidR="0089621F" w:rsidRPr="002D4A6B" w:rsidRDefault="0089621F" w:rsidP="00066FE9">
      <w:pPr>
        <w:pStyle w:val="SingleTxtGA"/>
        <w:rPr>
          <w:rFonts w:hint="cs"/>
          <w:rtl/>
          <w:lang w:val="fr-CH"/>
        </w:rPr>
      </w:pPr>
      <w:r>
        <w:rPr>
          <w:rFonts w:hint="cs"/>
          <w:rtl/>
          <w:lang w:val="fr-CH"/>
        </w:rPr>
        <w:tab/>
        <w:t>7-</w:t>
      </w:r>
      <w:r>
        <w:rPr>
          <w:rFonts w:hint="cs"/>
          <w:rtl/>
          <w:lang w:val="fr-CH"/>
        </w:rPr>
        <w:tab/>
      </w:r>
      <w:r>
        <w:rPr>
          <w:rFonts w:hint="cs"/>
          <w:i/>
          <w:iCs/>
          <w:rtl/>
          <w:lang w:val="fr-CH"/>
        </w:rPr>
        <w:t>يعرب عن القلق</w:t>
      </w:r>
      <w:r>
        <w:rPr>
          <w:rFonts w:hint="cs"/>
          <w:rtl/>
          <w:lang w:val="fr-CH"/>
        </w:rPr>
        <w:t xml:space="preserve"> بوجه خاص إزاء المشاكل الخطيرة التي يواجهها العديد من النساء والأطفال المشردين داخلياً، بما فيها تعرضهم للعنف وإساءة المعاملة</w:t>
      </w:r>
      <w:r w:rsidR="00FC4BFF">
        <w:rPr>
          <w:rFonts w:hint="cs"/>
          <w:rtl/>
          <w:lang w:val="fr-CH"/>
        </w:rPr>
        <w:t xml:space="preserve"> والاستغلال الجنسي</w:t>
      </w:r>
      <w:r>
        <w:rPr>
          <w:rFonts w:hint="cs"/>
          <w:rtl/>
          <w:lang w:val="fr-CH"/>
        </w:rPr>
        <w:t xml:space="preserve"> والاستغلال في العمل والاتجار بالأشخاص والتجنيد الإجباري والخطف، ويشير إلى ضرورة الاستمرار في إيلاء </w:t>
      </w:r>
      <w:r w:rsidR="00FC4BFF">
        <w:rPr>
          <w:rFonts w:hint="cs"/>
          <w:rtl/>
          <w:lang w:val="fr-CH"/>
        </w:rPr>
        <w:t xml:space="preserve">اهتمام </w:t>
      </w:r>
      <w:r>
        <w:rPr>
          <w:rFonts w:hint="cs"/>
          <w:rtl/>
          <w:lang w:val="fr-CH"/>
        </w:rPr>
        <w:t>أكثر منهجية وعمقاً لاحتياجاتهم الخاصة في مجالات المساعدة والحماية والتنمي</w:t>
      </w:r>
      <w:r w:rsidR="00FC4BFF">
        <w:rPr>
          <w:rFonts w:hint="cs"/>
          <w:rtl/>
          <w:lang w:val="fr-CH"/>
        </w:rPr>
        <w:t>ة، علاوة على الاحتياجات الخاصة ل</w:t>
      </w:r>
      <w:r>
        <w:rPr>
          <w:rFonts w:hint="cs"/>
          <w:rtl/>
          <w:lang w:val="fr-CH"/>
        </w:rPr>
        <w:t xml:space="preserve">فئات أخرى مثل المسنين والأشخاص ذوي الإعاقة والأفراد الذين تعرضوا لصدمات شديدة من </w:t>
      </w:r>
      <w:r w:rsidR="00066FE9">
        <w:rPr>
          <w:rFonts w:hint="cs"/>
          <w:rtl/>
          <w:lang w:val="fr-CH"/>
        </w:rPr>
        <w:t xml:space="preserve">جراء </w:t>
      </w:r>
      <w:r>
        <w:rPr>
          <w:rFonts w:hint="cs"/>
          <w:rtl/>
          <w:lang w:val="fr-CH"/>
        </w:rPr>
        <w:t>التشرد، مع مراعاة قرارات الجمعية العامة ذات الصلة؛</w:t>
      </w:r>
    </w:p>
    <w:p w:rsidR="0089621F" w:rsidRPr="002D4A6B" w:rsidRDefault="0089621F" w:rsidP="00066FE9">
      <w:pPr>
        <w:pStyle w:val="SingleTxtGA"/>
        <w:rPr>
          <w:rFonts w:hint="cs"/>
          <w:rtl/>
          <w:lang w:val="fr-CH"/>
        </w:rPr>
      </w:pPr>
      <w:r>
        <w:rPr>
          <w:rFonts w:hint="cs"/>
          <w:rtl/>
          <w:lang w:val="fr-CH"/>
        </w:rPr>
        <w:tab/>
        <w:t>8-</w:t>
      </w:r>
      <w:r>
        <w:rPr>
          <w:rFonts w:hint="cs"/>
          <w:rtl/>
          <w:lang w:val="fr-CH"/>
        </w:rPr>
        <w:tab/>
      </w:r>
      <w:r>
        <w:rPr>
          <w:rFonts w:hint="cs"/>
          <w:i/>
          <w:iCs/>
          <w:rtl/>
          <w:lang w:val="fr-CH"/>
        </w:rPr>
        <w:t>يعرب عن قلقه</w:t>
      </w:r>
      <w:r>
        <w:rPr>
          <w:rFonts w:hint="cs"/>
          <w:rtl/>
          <w:lang w:val="fr-CH"/>
        </w:rPr>
        <w:t xml:space="preserve"> إزاء التشرد الداخلي الناجم عن الكوارث الطبيعية </w:t>
      </w:r>
      <w:r w:rsidR="00066FE9">
        <w:rPr>
          <w:rFonts w:hint="cs"/>
          <w:rtl/>
          <w:lang w:val="fr-CH"/>
        </w:rPr>
        <w:t>الذي يتفاقم</w:t>
      </w:r>
      <w:r>
        <w:rPr>
          <w:rFonts w:hint="cs"/>
          <w:rtl/>
          <w:lang w:val="fr-CH"/>
        </w:rPr>
        <w:t xml:space="preserve"> بسبب الآثار المتوقعة لتغير المناخ وبسبب الفقر، ويقر بضرورة اتباع نهج قائم على حقوق الإنسان في مجال الإنذار المبكر، والتخطيط للطوارئ المرتبطة بالكوارث، وإدارة الكوارث وتخيف حدتها، بالإضافة إلى بذل الجهود للتوصل إلى حلول دائمة؛</w:t>
      </w:r>
    </w:p>
    <w:p w:rsidR="0089621F" w:rsidRPr="002D4A6B" w:rsidRDefault="0089621F" w:rsidP="00066FE9">
      <w:pPr>
        <w:pStyle w:val="SingleTxtGA"/>
        <w:rPr>
          <w:rFonts w:hint="cs"/>
          <w:rtl/>
          <w:lang w:val="fr-CH"/>
        </w:rPr>
      </w:pPr>
      <w:r>
        <w:rPr>
          <w:rFonts w:hint="cs"/>
          <w:rtl/>
          <w:lang w:val="fr-CH"/>
        </w:rPr>
        <w:tab/>
        <w:t>9-</w:t>
      </w:r>
      <w:r>
        <w:rPr>
          <w:rFonts w:hint="cs"/>
          <w:rtl/>
          <w:lang w:val="fr-CH"/>
        </w:rPr>
        <w:tab/>
      </w:r>
      <w:r>
        <w:rPr>
          <w:rFonts w:hint="cs"/>
          <w:i/>
          <w:iCs/>
          <w:rtl/>
          <w:lang w:val="fr-CH"/>
        </w:rPr>
        <w:t>يقر</w:t>
      </w:r>
      <w:r>
        <w:rPr>
          <w:rFonts w:hint="cs"/>
          <w:rtl/>
          <w:lang w:val="fr-CH"/>
        </w:rPr>
        <w:t xml:space="preserve"> بالمبادئ التوجيهية المتعلقة بالتشرد الداخلي بوصفها إطاراً دولياً مهماً لحماية المشردين داخلياً، ويشجع الدول الأعضاء والوكالات الإنسانية على مواصلة العمل معاً في </w:t>
      </w:r>
      <w:r w:rsidR="00066FE9">
        <w:rPr>
          <w:rFonts w:hint="cs"/>
          <w:rtl/>
          <w:lang w:val="fr-CH"/>
        </w:rPr>
        <w:t xml:space="preserve">إطار المساعي </w:t>
      </w:r>
      <w:r>
        <w:rPr>
          <w:rFonts w:hint="cs"/>
          <w:rtl/>
          <w:lang w:val="fr-CH"/>
        </w:rPr>
        <w:t>الرامية إلى الاستجابة على نحو يمكن التنبؤ به بدرجة أكبر لاحتياجات المشردين داخلياً، ويدعو في هذا الصدد إلى تقديم الدعم الدولي، عند طلبه، لجهود الدول في مجال بناء القدرات؛</w:t>
      </w:r>
    </w:p>
    <w:p w:rsidR="0089621F" w:rsidRPr="002D4A6B" w:rsidRDefault="0089621F" w:rsidP="003163E3">
      <w:pPr>
        <w:pStyle w:val="SingleTxtGA"/>
        <w:rPr>
          <w:rFonts w:hint="cs"/>
          <w:rtl/>
          <w:lang w:val="fr-CH"/>
        </w:rPr>
      </w:pPr>
      <w:r>
        <w:rPr>
          <w:rFonts w:hint="cs"/>
          <w:rtl/>
          <w:lang w:val="fr-CH"/>
        </w:rPr>
        <w:tab/>
        <w:t>10-</w:t>
      </w:r>
      <w:r>
        <w:rPr>
          <w:rFonts w:hint="cs"/>
          <w:rtl/>
          <w:lang w:val="fr-CH"/>
        </w:rPr>
        <w:tab/>
      </w:r>
      <w:r>
        <w:rPr>
          <w:rFonts w:hint="cs"/>
          <w:i/>
          <w:iCs/>
          <w:rtl/>
          <w:lang w:val="fr-CH"/>
        </w:rPr>
        <w:t>يهيب</w:t>
      </w:r>
      <w:r w:rsidR="00066FE9">
        <w:rPr>
          <w:rFonts w:hint="cs"/>
          <w:rtl/>
          <w:lang w:val="fr-CH"/>
        </w:rPr>
        <w:t xml:space="preserve"> بالدول أن تقدم حلولاً دائمة وي</w:t>
      </w:r>
      <w:r>
        <w:rPr>
          <w:rFonts w:hint="cs"/>
          <w:rtl/>
          <w:lang w:val="fr-CH"/>
        </w:rPr>
        <w:t>شجع على تعزيز التعاون الدولي، بوسائل منها توفير الموارد والخبرات لمساعدة البلدان المتضررة، ولا سيما البلدان النامية، في</w:t>
      </w:r>
      <w:r w:rsidR="003163E3">
        <w:rPr>
          <w:rFonts w:hint="eastAsia"/>
          <w:rtl/>
          <w:lang w:val="fr-CH"/>
        </w:rPr>
        <w:t> </w:t>
      </w:r>
      <w:r>
        <w:rPr>
          <w:rFonts w:hint="cs"/>
          <w:rtl/>
          <w:lang w:val="fr-CH"/>
        </w:rPr>
        <w:t xml:space="preserve">جهودها وسياساتها الوطنية المتصلة </w:t>
      </w:r>
      <w:r w:rsidR="00066FE9">
        <w:rPr>
          <w:rFonts w:hint="cs"/>
          <w:rtl/>
          <w:lang w:val="fr-CH"/>
        </w:rPr>
        <w:t>بتوفير</w:t>
      </w:r>
      <w:r>
        <w:rPr>
          <w:rFonts w:hint="cs"/>
          <w:rtl/>
          <w:lang w:val="fr-CH"/>
        </w:rPr>
        <w:t xml:space="preserve"> المساعدة </w:t>
      </w:r>
      <w:r w:rsidR="00066FE9">
        <w:rPr>
          <w:rFonts w:hint="cs"/>
          <w:rtl/>
          <w:lang w:val="fr-CH"/>
        </w:rPr>
        <w:t>و</w:t>
      </w:r>
      <w:r>
        <w:rPr>
          <w:rFonts w:hint="cs"/>
          <w:rtl/>
          <w:lang w:val="fr-CH"/>
        </w:rPr>
        <w:t>الحماية والتأهيل للمشردين داخلياً؛</w:t>
      </w:r>
    </w:p>
    <w:p w:rsidR="0089621F" w:rsidRPr="002D4A6B" w:rsidRDefault="0089621F" w:rsidP="0089621F">
      <w:pPr>
        <w:pStyle w:val="SingleTxtGA"/>
        <w:rPr>
          <w:rFonts w:hint="cs"/>
          <w:rtl/>
          <w:lang w:val="fr-CH"/>
        </w:rPr>
      </w:pPr>
      <w:r>
        <w:rPr>
          <w:rFonts w:hint="cs"/>
          <w:rtl/>
          <w:lang w:val="fr-CH"/>
        </w:rPr>
        <w:tab/>
        <w:t>11-</w:t>
      </w:r>
      <w:r>
        <w:rPr>
          <w:rFonts w:hint="cs"/>
          <w:rtl/>
          <w:lang w:val="fr-CH"/>
        </w:rPr>
        <w:tab/>
      </w:r>
      <w:r>
        <w:rPr>
          <w:rFonts w:hint="cs"/>
          <w:i/>
          <w:iCs/>
          <w:rtl/>
          <w:lang w:val="fr-CH"/>
        </w:rPr>
        <w:t>يقرر</w:t>
      </w:r>
      <w:r>
        <w:rPr>
          <w:rFonts w:hint="cs"/>
          <w:rtl/>
          <w:lang w:val="fr-CH"/>
        </w:rPr>
        <w:t xml:space="preserve"> تمديد ولاية الإجراء الخاص المعني بحقوق الإنسان للمشردين داخلياً باعتباره مقرراً خاصاً لفترة ثلاث سنوات للقيام بما يلي:</w:t>
      </w:r>
    </w:p>
    <w:p w:rsidR="0089621F" w:rsidRDefault="0089621F" w:rsidP="00066FE9">
      <w:pPr>
        <w:pStyle w:val="SingleTxtGA"/>
        <w:rPr>
          <w:rFonts w:hint="cs"/>
          <w:rtl/>
          <w:lang w:val="fr-CH"/>
        </w:rPr>
      </w:pPr>
      <w:r>
        <w:rPr>
          <w:rFonts w:hint="cs"/>
          <w:rtl/>
          <w:lang w:val="fr-CH"/>
        </w:rPr>
        <w:tab/>
        <w:t>(أ)</w:t>
      </w:r>
      <w:r>
        <w:rPr>
          <w:rFonts w:hint="cs"/>
          <w:rtl/>
          <w:lang w:val="fr-CH"/>
        </w:rPr>
        <w:tab/>
        <w:t xml:space="preserve">معالجة مشكلة التشرد الداخلي المعقدة، وبخاصة عن طريق إدماج حقوق الإنسان للمشردين داخلياً في أنشطة جميع الجهات </w:t>
      </w:r>
      <w:r w:rsidR="00066FE9">
        <w:rPr>
          <w:rFonts w:hint="cs"/>
          <w:rtl/>
          <w:lang w:val="fr-CH"/>
        </w:rPr>
        <w:t>ذات الصلة</w:t>
      </w:r>
      <w:r>
        <w:rPr>
          <w:rFonts w:hint="cs"/>
          <w:rtl/>
          <w:lang w:val="fr-CH"/>
        </w:rPr>
        <w:t xml:space="preserve"> في منظومة الأمم المتحدة؛</w:t>
      </w:r>
    </w:p>
    <w:p w:rsidR="0089621F" w:rsidRDefault="0089621F" w:rsidP="00066FE9">
      <w:pPr>
        <w:pStyle w:val="SingleTxtGA"/>
        <w:rPr>
          <w:rFonts w:hint="cs"/>
          <w:rtl/>
          <w:lang w:val="fr-CH"/>
        </w:rPr>
      </w:pPr>
      <w:r>
        <w:rPr>
          <w:rFonts w:hint="cs"/>
          <w:rtl/>
          <w:lang w:val="fr-CH"/>
        </w:rPr>
        <w:tab/>
        <w:t>(ب)</w:t>
      </w:r>
      <w:r>
        <w:rPr>
          <w:rFonts w:hint="cs"/>
          <w:rtl/>
          <w:lang w:val="fr-CH"/>
        </w:rPr>
        <w:tab/>
        <w:t xml:space="preserve">العمل على تعزيز الاستجابة الدولية للمشكلة المعقدة المتمثلة في حالات التشرد الداخلي والمشاركة في الدعوة والعمل الدوليين المنسقين لتحسين حماية حقوق الإنسان للمشردين داخلياً واحترامها، مع مواصلة وتعزيز الحوار مع الحكومات والمنظمات غير الحكومية </w:t>
      </w:r>
      <w:r w:rsidR="00066FE9">
        <w:rPr>
          <w:rFonts w:hint="cs"/>
          <w:rtl/>
          <w:lang w:val="fr-CH"/>
        </w:rPr>
        <w:t>والعناصر</w:t>
      </w:r>
      <w:r>
        <w:rPr>
          <w:rFonts w:hint="cs"/>
          <w:rtl/>
          <w:lang w:val="fr-CH"/>
        </w:rPr>
        <w:t xml:space="preserve"> الفاعلة الأخرى ذات الصلة؛</w:t>
      </w:r>
    </w:p>
    <w:p w:rsidR="0089621F" w:rsidRPr="002D4A6B" w:rsidRDefault="0089621F" w:rsidP="00066FE9">
      <w:pPr>
        <w:pStyle w:val="SingleTxtGA"/>
        <w:rPr>
          <w:rFonts w:hint="cs"/>
          <w:rtl/>
          <w:lang w:val="fr-CH"/>
        </w:rPr>
      </w:pPr>
      <w:r>
        <w:rPr>
          <w:rFonts w:hint="cs"/>
          <w:rtl/>
          <w:lang w:val="fr-CH"/>
        </w:rPr>
        <w:tab/>
        <w:t>12-</w:t>
      </w:r>
      <w:r>
        <w:rPr>
          <w:rFonts w:hint="cs"/>
          <w:rtl/>
          <w:lang w:val="fr-CH"/>
        </w:rPr>
        <w:tab/>
      </w:r>
      <w:r>
        <w:rPr>
          <w:rFonts w:hint="cs"/>
          <w:i/>
          <w:iCs/>
          <w:rtl/>
          <w:lang w:val="fr-CH"/>
        </w:rPr>
        <w:t>يطلب</w:t>
      </w:r>
      <w:r>
        <w:rPr>
          <w:rFonts w:hint="cs"/>
          <w:rtl/>
          <w:lang w:val="fr-CH"/>
        </w:rPr>
        <w:t xml:space="preserve"> إلى المقرر الخاص المعني بحقوق الإنسان للمشردين داخلياً، عند </w:t>
      </w:r>
      <w:r w:rsidR="00066FE9">
        <w:rPr>
          <w:rFonts w:hint="cs"/>
          <w:rtl/>
          <w:lang w:val="fr-CH"/>
        </w:rPr>
        <w:t>تنفيذه ل</w:t>
      </w:r>
      <w:r>
        <w:rPr>
          <w:rFonts w:hint="cs"/>
          <w:rtl/>
          <w:lang w:val="fr-CH"/>
        </w:rPr>
        <w:t>ولايته:</w:t>
      </w:r>
    </w:p>
    <w:p w:rsidR="0089621F" w:rsidRDefault="0089621F" w:rsidP="003163E3">
      <w:pPr>
        <w:pStyle w:val="SingleTxtGA"/>
        <w:rPr>
          <w:rFonts w:hint="cs"/>
          <w:rtl/>
          <w:lang w:val="fr-CH"/>
        </w:rPr>
      </w:pPr>
      <w:r>
        <w:rPr>
          <w:rFonts w:hint="cs"/>
          <w:rtl/>
          <w:lang w:val="fr-CH"/>
        </w:rPr>
        <w:tab/>
        <w:t>(أ)</w:t>
      </w:r>
      <w:r>
        <w:rPr>
          <w:rFonts w:hint="cs"/>
          <w:rtl/>
          <w:lang w:val="fr-CH"/>
        </w:rPr>
        <w:tab/>
        <w:t>أن يواصل، عن طريق الحوار المستمر مع الحكومات وجميع المنظمات الحكومية الدولية والمنظمات غير الحكومية المعنية، تحليل أسباب التشرد</w:t>
      </w:r>
      <w:r w:rsidR="00066FE9">
        <w:rPr>
          <w:rFonts w:hint="cs"/>
          <w:rtl/>
          <w:lang w:val="fr-CH"/>
        </w:rPr>
        <w:t xml:space="preserve"> الداخلي</w:t>
      </w:r>
      <w:r>
        <w:rPr>
          <w:rFonts w:hint="cs"/>
          <w:rtl/>
          <w:lang w:val="fr-CH"/>
        </w:rPr>
        <w:t>، واحتياجات</w:t>
      </w:r>
      <w:r w:rsidR="00066FE9">
        <w:rPr>
          <w:rFonts w:hint="eastAsia"/>
          <w:rtl/>
          <w:lang w:val="fr-CH"/>
        </w:rPr>
        <w:t> </w:t>
      </w:r>
      <w:r>
        <w:rPr>
          <w:rFonts w:hint="cs"/>
          <w:rtl/>
          <w:lang w:val="fr-CH"/>
        </w:rPr>
        <w:t>المشردين وحقوقهم الإنسانية، وتدابير الوقاية وسبل تعزيز حماية المشردين داخلياً ومساعدتهم وإيجاد حلول دائمة لهم، مع مراعاة الحالات المحددة والمعلومات ذات الصلة، بما</w:t>
      </w:r>
      <w:r w:rsidR="00066FE9">
        <w:rPr>
          <w:rFonts w:hint="eastAsia"/>
          <w:rtl/>
          <w:lang w:val="fr-CH"/>
        </w:rPr>
        <w:t> </w:t>
      </w:r>
      <w:r>
        <w:rPr>
          <w:rFonts w:hint="cs"/>
          <w:rtl/>
          <w:lang w:val="fr-CH"/>
        </w:rPr>
        <w:t>في</w:t>
      </w:r>
      <w:r w:rsidR="00066FE9">
        <w:rPr>
          <w:rFonts w:hint="cs"/>
          <w:rtl/>
          <w:lang w:val="fr-CH"/>
        </w:rPr>
        <w:t>ها</w:t>
      </w:r>
      <w:r>
        <w:rPr>
          <w:rFonts w:hint="cs"/>
          <w:rtl/>
          <w:lang w:val="fr-CH"/>
        </w:rPr>
        <w:t xml:space="preserve"> بصفة خاصة البيانات والإحصاءات الوطنية، وأن يدرج المعلومات المتعلقة بذلك في</w:t>
      </w:r>
      <w:r w:rsidR="003163E3">
        <w:rPr>
          <w:rFonts w:hint="eastAsia"/>
          <w:rtl/>
          <w:lang w:val="fr-CH"/>
        </w:rPr>
        <w:t> </w:t>
      </w:r>
      <w:r>
        <w:rPr>
          <w:rFonts w:hint="cs"/>
          <w:rtl/>
          <w:lang w:val="fr-CH"/>
        </w:rPr>
        <w:t>التقارير التي يقدمها إلى المجلس؛</w:t>
      </w:r>
    </w:p>
    <w:p w:rsidR="0089621F" w:rsidRDefault="0089621F" w:rsidP="003163E3">
      <w:pPr>
        <w:pStyle w:val="SingleTxtGA"/>
        <w:spacing w:line="360" w:lineRule="exact"/>
        <w:rPr>
          <w:rFonts w:hint="cs"/>
          <w:rtl/>
          <w:lang w:val="fr-CH"/>
        </w:rPr>
      </w:pPr>
      <w:r>
        <w:rPr>
          <w:rFonts w:hint="cs"/>
          <w:rtl/>
          <w:lang w:val="fr-CH"/>
        </w:rPr>
        <w:tab/>
        <w:t>(ب)</w:t>
      </w:r>
      <w:r>
        <w:rPr>
          <w:rFonts w:hint="cs"/>
          <w:rtl/>
          <w:lang w:val="fr-CH"/>
        </w:rPr>
        <w:tab/>
        <w:t>أن يواصل، عن طريق الحوار المستمر مع الحكومات وجميع المنظمات الحكومية الدولية والمنظمات غير الحكومية المعنية، جهوده الرامية إلى</w:t>
      </w:r>
      <w:r w:rsidR="00066FE9">
        <w:rPr>
          <w:rFonts w:hint="cs"/>
          <w:rtl/>
          <w:lang w:val="fr-CH"/>
        </w:rPr>
        <w:t xml:space="preserve"> تشجيع</w:t>
      </w:r>
      <w:r>
        <w:rPr>
          <w:rFonts w:hint="cs"/>
          <w:rtl/>
          <w:lang w:val="fr-CH"/>
        </w:rPr>
        <w:t xml:space="preserve"> وضع استراتيجيات شاملة وتدابير دعم تركِّز على منع التشرُّد وعلى تحسين الحماية والمساعدة و</w:t>
      </w:r>
      <w:r w:rsidR="00066FE9">
        <w:rPr>
          <w:rFonts w:hint="cs"/>
          <w:rtl/>
          <w:lang w:val="fr-CH"/>
        </w:rPr>
        <w:t>ال</w:t>
      </w:r>
      <w:r>
        <w:rPr>
          <w:rFonts w:hint="cs"/>
          <w:rtl/>
          <w:lang w:val="fr-CH"/>
        </w:rPr>
        <w:t xml:space="preserve">حلول </w:t>
      </w:r>
      <w:r w:rsidR="00066FE9">
        <w:rPr>
          <w:rFonts w:hint="cs"/>
          <w:rtl/>
          <w:lang w:val="fr-CH"/>
        </w:rPr>
        <w:t>ال</w:t>
      </w:r>
      <w:r>
        <w:rPr>
          <w:rFonts w:hint="cs"/>
          <w:rtl/>
          <w:lang w:val="fr-CH"/>
        </w:rPr>
        <w:t xml:space="preserve">دائمة </w:t>
      </w:r>
      <w:r w:rsidR="00066FE9">
        <w:rPr>
          <w:rFonts w:hint="cs"/>
          <w:rtl/>
          <w:lang w:val="fr-CH"/>
        </w:rPr>
        <w:t xml:space="preserve">المقدمة </w:t>
      </w:r>
      <w:r>
        <w:rPr>
          <w:rFonts w:hint="cs"/>
          <w:rtl/>
          <w:lang w:val="fr-CH"/>
        </w:rPr>
        <w:t xml:space="preserve">للمشردين داخلياً، واضعاً في اعتباره المسؤولية الرئيسية </w:t>
      </w:r>
      <w:r w:rsidR="00066FE9">
        <w:rPr>
          <w:rFonts w:hint="cs"/>
          <w:rtl/>
          <w:lang w:val="fr-CH"/>
        </w:rPr>
        <w:t>التي تقع على عاتق ا</w:t>
      </w:r>
      <w:r>
        <w:rPr>
          <w:rFonts w:hint="cs"/>
          <w:rtl/>
          <w:lang w:val="fr-CH"/>
        </w:rPr>
        <w:t>لدول في نطاق ولايتها في هذا الصدد؛</w:t>
      </w:r>
    </w:p>
    <w:p w:rsidR="0089621F" w:rsidRDefault="0089621F" w:rsidP="003163E3">
      <w:pPr>
        <w:pStyle w:val="SingleTxtGA"/>
        <w:spacing w:line="360" w:lineRule="exact"/>
        <w:rPr>
          <w:rFonts w:hint="cs"/>
          <w:rtl/>
          <w:lang w:val="fr-CH"/>
        </w:rPr>
      </w:pPr>
      <w:r>
        <w:rPr>
          <w:rFonts w:hint="cs"/>
          <w:rtl/>
          <w:lang w:val="fr-CH"/>
        </w:rPr>
        <w:tab/>
        <w:t>(ج)</w:t>
      </w:r>
      <w:r>
        <w:rPr>
          <w:rFonts w:hint="cs"/>
          <w:rtl/>
          <w:lang w:val="fr-CH"/>
        </w:rPr>
        <w:tab/>
        <w:t xml:space="preserve">أن يواصل استخدام المبادئ التوجيهية المتعلقة بالتشرُّد الداخلي في حواره مع الحكومات والمنظمات الحكومية الدولية والمنظمات غير الحكومية وغيرها من </w:t>
      </w:r>
      <w:r w:rsidR="00066FE9">
        <w:rPr>
          <w:rFonts w:hint="cs"/>
          <w:rtl/>
          <w:lang w:val="fr-CH"/>
        </w:rPr>
        <w:t xml:space="preserve">العناصر </w:t>
      </w:r>
      <w:r>
        <w:rPr>
          <w:rFonts w:hint="cs"/>
          <w:rtl/>
          <w:lang w:val="fr-CH"/>
        </w:rPr>
        <w:t xml:space="preserve">الفاعلة </w:t>
      </w:r>
      <w:r w:rsidR="00066FE9">
        <w:rPr>
          <w:rFonts w:hint="cs"/>
          <w:rtl/>
          <w:lang w:val="fr-CH"/>
        </w:rPr>
        <w:t>ذات الصلة</w:t>
      </w:r>
      <w:r>
        <w:rPr>
          <w:rFonts w:hint="cs"/>
          <w:rtl/>
          <w:lang w:val="fr-CH"/>
        </w:rPr>
        <w:t xml:space="preserve">، وأن يواصل جهوده </w:t>
      </w:r>
      <w:r w:rsidR="00066FE9">
        <w:rPr>
          <w:rFonts w:hint="cs"/>
          <w:rtl/>
          <w:lang w:val="fr-CH"/>
        </w:rPr>
        <w:t xml:space="preserve">من أجل </w:t>
      </w:r>
      <w:r>
        <w:rPr>
          <w:rFonts w:hint="cs"/>
          <w:rtl/>
          <w:lang w:val="fr-CH"/>
        </w:rPr>
        <w:t>زيادة نشر المبادئ التوج</w:t>
      </w:r>
      <w:r w:rsidR="00066FE9">
        <w:rPr>
          <w:rFonts w:hint="cs"/>
          <w:rtl/>
          <w:lang w:val="fr-CH"/>
        </w:rPr>
        <w:t>يهية والترويج لها وتطبيقها و</w:t>
      </w:r>
      <w:r>
        <w:rPr>
          <w:rFonts w:hint="cs"/>
          <w:rtl/>
          <w:lang w:val="fr-CH"/>
        </w:rPr>
        <w:t xml:space="preserve">دعم الجهود الرامية إلى </w:t>
      </w:r>
      <w:r w:rsidR="00066FE9">
        <w:rPr>
          <w:rFonts w:hint="cs"/>
          <w:rtl/>
          <w:lang w:val="fr-CH"/>
        </w:rPr>
        <w:t xml:space="preserve">تشجيع </w:t>
      </w:r>
      <w:r>
        <w:rPr>
          <w:rFonts w:hint="cs"/>
          <w:rtl/>
          <w:lang w:val="fr-CH"/>
        </w:rPr>
        <w:t>بناء القدرات واستخدام المبادئ التوجيهية، بالإضافة إلى وضع التشريعات والسياسات المحلية؛</w:t>
      </w:r>
    </w:p>
    <w:p w:rsidR="0089621F" w:rsidRDefault="0089621F" w:rsidP="003163E3">
      <w:pPr>
        <w:pStyle w:val="SingleTxtGA"/>
        <w:spacing w:line="360" w:lineRule="exact"/>
        <w:rPr>
          <w:rFonts w:hint="cs"/>
          <w:rtl/>
          <w:lang w:val="fr-CH"/>
        </w:rPr>
      </w:pPr>
      <w:r>
        <w:rPr>
          <w:rFonts w:hint="cs"/>
          <w:rtl/>
          <w:lang w:val="fr-CH"/>
        </w:rPr>
        <w:tab/>
        <w:t>(د)</w:t>
      </w:r>
      <w:r>
        <w:rPr>
          <w:rFonts w:hint="cs"/>
          <w:rtl/>
          <w:lang w:val="fr-CH"/>
        </w:rPr>
        <w:tab/>
        <w:t xml:space="preserve">أن يُدخِل منظوراً جنسانياً في جميع أعمال الولاية وأن يولي اعتباراً خاصاً لحقوق الإنسان للنساء والأطفال المشردين داخلياً ولغيرهم من الفئات ذات الاحتياجات الخاصة، مثل المسنين والأشخاص ذوي الإعاقة </w:t>
      </w:r>
      <w:r w:rsidR="00066FE9">
        <w:rPr>
          <w:rFonts w:hint="cs"/>
          <w:rtl/>
          <w:lang w:val="fr-CH"/>
        </w:rPr>
        <w:t>والأفراد</w:t>
      </w:r>
      <w:r>
        <w:rPr>
          <w:rFonts w:hint="cs"/>
          <w:rtl/>
          <w:lang w:val="fr-CH"/>
        </w:rPr>
        <w:t xml:space="preserve"> الذين تعرضوا لصدمات </w:t>
      </w:r>
      <w:r w:rsidR="00066FE9">
        <w:rPr>
          <w:rFonts w:hint="cs"/>
          <w:rtl/>
          <w:lang w:val="fr-CH"/>
        </w:rPr>
        <w:t>شديدة</w:t>
      </w:r>
      <w:r>
        <w:rPr>
          <w:rFonts w:hint="cs"/>
          <w:rtl/>
          <w:lang w:val="fr-CH"/>
        </w:rPr>
        <w:t xml:space="preserve"> من جراء التشرد الداخلي، وللاحتياجات الخاصة لهذه الفئات من المساعدة والحماية والتنمية؛</w:t>
      </w:r>
    </w:p>
    <w:p w:rsidR="0089621F" w:rsidRDefault="0089621F" w:rsidP="003163E3">
      <w:pPr>
        <w:pStyle w:val="SingleTxtGA"/>
        <w:spacing w:line="360" w:lineRule="exact"/>
        <w:rPr>
          <w:rFonts w:hint="cs"/>
          <w:rtl/>
          <w:lang w:val="fr-CH"/>
        </w:rPr>
      </w:pPr>
      <w:r>
        <w:rPr>
          <w:rFonts w:hint="cs"/>
          <w:rtl/>
          <w:lang w:val="fr-CH"/>
        </w:rPr>
        <w:tab/>
        <w:t>(ﻫ)</w:t>
      </w:r>
      <w:r>
        <w:rPr>
          <w:rFonts w:hint="cs"/>
          <w:rtl/>
          <w:lang w:val="fr-CH"/>
        </w:rPr>
        <w:tab/>
        <w:t>أن يواصل جهوده الرامية إلى تشجيع النظر، عند الاقتضاء، في حقوق الإنسان للمشردين داخلياً واحتياجاتهم الخاصة من الحماية والمساعدة في سياق عمليات السلام واتفاقات السلام وعمليات إعادة الإدماج وإعادة التأهيل؛</w:t>
      </w:r>
    </w:p>
    <w:p w:rsidR="0089621F" w:rsidRDefault="0089621F" w:rsidP="003163E3">
      <w:pPr>
        <w:pStyle w:val="SingleTxtGA"/>
        <w:spacing w:line="360" w:lineRule="exact"/>
        <w:rPr>
          <w:rFonts w:hint="cs"/>
          <w:rtl/>
          <w:lang w:val="fr-CH"/>
        </w:rPr>
      </w:pPr>
      <w:r>
        <w:rPr>
          <w:rFonts w:hint="cs"/>
          <w:rtl/>
          <w:lang w:val="fr-CH"/>
        </w:rPr>
        <w:tab/>
        <w:t>(و)</w:t>
      </w:r>
      <w:r>
        <w:rPr>
          <w:rFonts w:hint="cs"/>
          <w:rtl/>
          <w:lang w:val="fr-CH"/>
        </w:rPr>
        <w:tab/>
        <w:t>أن يواصل الاهتمام بدور المجتمع الدولي في مساعدة الدول المتضررة، بناء على طلبها، في تلبية احتياجات المشردين داخلياً من الحماية والمساعدة، بما في ذلك مساعدتها في تنفيذ الاستراتيجيات الوطنية وأن يُدخِل في أنشطة الدعوة التي يقوم بها اهتماماً بتعبئة الموارد الكافية للاستجابة لاحتياجات البلدان المتضررة؛</w:t>
      </w:r>
    </w:p>
    <w:p w:rsidR="0089621F" w:rsidRDefault="0089621F" w:rsidP="003163E3">
      <w:pPr>
        <w:pStyle w:val="SingleTxtGA"/>
        <w:spacing w:line="360" w:lineRule="exact"/>
        <w:rPr>
          <w:rFonts w:hint="cs"/>
          <w:rtl/>
          <w:lang w:val="fr-CH"/>
        </w:rPr>
      </w:pPr>
      <w:r>
        <w:rPr>
          <w:rFonts w:hint="cs"/>
          <w:rtl/>
          <w:lang w:val="fr-CH"/>
        </w:rPr>
        <w:tab/>
        <w:t>(ز)</w:t>
      </w:r>
      <w:r>
        <w:rPr>
          <w:rFonts w:hint="cs"/>
          <w:rtl/>
          <w:lang w:val="fr-CH"/>
        </w:rPr>
        <w:tab/>
        <w:t>أن يواصل، عن طريق الحوار المستمر مع الحكومات والمنظمات الحكومية الدولية والمنظمات غير الحكومية المعنية، جهوده الرامية إلى تعزيز حماية حقوق الإنسان للمشردين داخلياً في سياق الكوارث الطبيعية؛</w:t>
      </w:r>
    </w:p>
    <w:p w:rsidR="0089621F" w:rsidRDefault="0089621F" w:rsidP="003163E3">
      <w:pPr>
        <w:pStyle w:val="SingleTxtGA"/>
        <w:spacing w:line="360" w:lineRule="exact"/>
        <w:rPr>
          <w:rFonts w:hint="cs"/>
          <w:rtl/>
          <w:lang w:val="fr-CH"/>
        </w:rPr>
      </w:pPr>
      <w:r>
        <w:rPr>
          <w:rFonts w:hint="cs"/>
          <w:rtl/>
          <w:lang w:val="fr-CH"/>
        </w:rPr>
        <w:tab/>
        <w:t>(ح)</w:t>
      </w:r>
      <w:r>
        <w:rPr>
          <w:rFonts w:hint="cs"/>
          <w:rtl/>
          <w:lang w:val="fr-CH"/>
        </w:rPr>
        <w:tab/>
        <w:t xml:space="preserve">أن يستمر في تعزيز التعاون الذي نشأ بين ممثل الأمين العام والأمم المتحدة، بما في ذلك </w:t>
      </w:r>
      <w:r w:rsidR="00CE1DAA">
        <w:rPr>
          <w:rFonts w:hint="cs"/>
          <w:rtl/>
          <w:lang w:val="fr-CH"/>
        </w:rPr>
        <w:t xml:space="preserve">التعاون </w:t>
      </w:r>
      <w:r>
        <w:rPr>
          <w:rFonts w:hint="cs"/>
          <w:rtl/>
          <w:lang w:val="fr-CH"/>
        </w:rPr>
        <w:t>في إطار لجنة بناء السلام، والمنظمات الدولية والإقليمية الأخرى، وبخاصة مشاركته في عمل اللجنة الدائمة المشتركة بين الوكالات وهيئاتها الفرعية</w:t>
      </w:r>
      <w:r w:rsidR="003163E3">
        <w:rPr>
          <w:rFonts w:hint="cs"/>
          <w:rtl/>
          <w:lang w:val="fr-CH"/>
        </w:rPr>
        <w:t>.</w:t>
      </w:r>
    </w:p>
    <w:p w:rsidR="0089621F" w:rsidRDefault="0089621F" w:rsidP="003163E3">
      <w:pPr>
        <w:pStyle w:val="SingleTxtGA"/>
        <w:spacing w:line="360" w:lineRule="exact"/>
        <w:rPr>
          <w:rFonts w:hint="cs"/>
          <w:rtl/>
          <w:lang w:val="fr-CH"/>
        </w:rPr>
      </w:pPr>
      <w:r>
        <w:rPr>
          <w:rFonts w:hint="cs"/>
          <w:rtl/>
          <w:lang w:val="fr-CH"/>
        </w:rPr>
        <w:tab/>
        <w:t>13-</w:t>
      </w:r>
      <w:r>
        <w:rPr>
          <w:rFonts w:hint="cs"/>
          <w:rtl/>
          <w:lang w:val="fr-CH"/>
        </w:rPr>
        <w:tab/>
      </w:r>
      <w:r>
        <w:rPr>
          <w:rFonts w:hint="cs"/>
          <w:i/>
          <w:iCs/>
          <w:rtl/>
          <w:lang w:val="fr-CH"/>
        </w:rPr>
        <w:t>يشجِّع بقوة</w:t>
      </w:r>
      <w:r>
        <w:rPr>
          <w:rFonts w:hint="cs"/>
          <w:rtl/>
          <w:lang w:val="fr-CH"/>
        </w:rPr>
        <w:t xml:space="preserve"> جميع الحكومات، ولا سيما حكومات البلدان التي توجد فيها حالات تشرد داخلي، على أن تُيسِّر أنشطة الأمم المتحدة الرامية إلى تلبية احتياجات المشردين داخلياً من الحماية والمساعدة والتنمية، وأن تستجيب لطلبات المقرر الخاص المتعلقة بالقيام بزيارات والحصول على المعلومات، ويحث الحكومات والهيئات ذات الصلة في منظومة الأمم المتحدة على أن تقوم على المستوى القطري أيضاً بمتابعة تنفيذ توصيات المكلف بالولاية متابعة فعالة بحسب الاقتضاء</w:t>
      </w:r>
      <w:r w:rsidR="00CE1DAA">
        <w:rPr>
          <w:rFonts w:hint="cs"/>
          <w:rtl/>
          <w:lang w:val="fr-CH"/>
        </w:rPr>
        <w:t>،</w:t>
      </w:r>
      <w:r>
        <w:rPr>
          <w:rFonts w:hint="cs"/>
          <w:rtl/>
          <w:lang w:val="fr-CH"/>
        </w:rPr>
        <w:t xml:space="preserve"> وإتاحة المعلومات بشأن التدابير المتخذة في هذا الصدد؛</w:t>
      </w:r>
    </w:p>
    <w:p w:rsidR="0089621F" w:rsidRDefault="0089621F" w:rsidP="0089621F">
      <w:pPr>
        <w:pStyle w:val="SingleTxtGA"/>
        <w:rPr>
          <w:rFonts w:hint="cs"/>
          <w:rtl/>
          <w:lang w:val="fr-CH"/>
        </w:rPr>
      </w:pPr>
      <w:r>
        <w:rPr>
          <w:rFonts w:hint="cs"/>
          <w:rtl/>
          <w:lang w:val="fr-CH"/>
        </w:rPr>
        <w:tab/>
        <w:t>14-</w:t>
      </w:r>
      <w:r>
        <w:rPr>
          <w:rFonts w:hint="cs"/>
          <w:rtl/>
          <w:lang w:val="fr-CH"/>
        </w:rPr>
        <w:tab/>
      </w:r>
      <w:r>
        <w:rPr>
          <w:rFonts w:hint="cs"/>
          <w:i/>
          <w:iCs/>
          <w:rtl/>
          <w:lang w:val="fr-CH"/>
        </w:rPr>
        <w:t>يشجع</w:t>
      </w:r>
      <w:r>
        <w:rPr>
          <w:rFonts w:hint="cs"/>
          <w:rtl/>
          <w:lang w:val="fr-CH"/>
        </w:rPr>
        <w:t xml:space="preserve"> الأمم المتحدة، بما في ذلك وكالاتها المتخصصة، والمنظمات الحكومية الدولية الإقليمية، والمكلفين بالولايات، والمؤسسات المهتمة والخبراء المستقلين المهتمين، والمنظمات غير الحكومية على إقامة حوار وتعاون منتظمين مع المقرر الخاص في أداء ولايته؛</w:t>
      </w:r>
    </w:p>
    <w:p w:rsidR="0089621F" w:rsidRDefault="0089621F" w:rsidP="00282B90">
      <w:pPr>
        <w:pStyle w:val="SingleTxtGA"/>
        <w:rPr>
          <w:rFonts w:hint="cs"/>
          <w:rtl/>
          <w:lang w:val="fr-CH"/>
        </w:rPr>
      </w:pPr>
      <w:r>
        <w:rPr>
          <w:rFonts w:hint="cs"/>
          <w:rtl/>
          <w:lang w:val="fr-CH"/>
        </w:rPr>
        <w:tab/>
        <w:t>15-</w:t>
      </w:r>
      <w:r>
        <w:rPr>
          <w:rFonts w:hint="cs"/>
          <w:rtl/>
          <w:lang w:val="fr-CH"/>
        </w:rPr>
        <w:tab/>
      </w:r>
      <w:r>
        <w:rPr>
          <w:rFonts w:hint="cs"/>
          <w:i/>
          <w:iCs/>
          <w:rtl/>
          <w:lang w:val="fr-CH"/>
        </w:rPr>
        <w:t>يشجع</w:t>
      </w:r>
      <w:r>
        <w:rPr>
          <w:rFonts w:hint="cs"/>
          <w:rtl/>
          <w:lang w:val="fr-CH"/>
        </w:rPr>
        <w:t xml:space="preserve"> جميع منظمات الأمم المتحدة ذات الصلة ومنظمات تقديم المساعدة الإنسانية ومنظمات حقوق الإنسان والمنظمات الإنمائية على تعزيز التعاون والتنسيق فيما</w:t>
      </w:r>
      <w:r w:rsidR="00282B90">
        <w:rPr>
          <w:rFonts w:hint="eastAsia"/>
          <w:rtl/>
          <w:lang w:val="fr-CH"/>
        </w:rPr>
        <w:t> </w:t>
      </w:r>
      <w:r>
        <w:rPr>
          <w:rFonts w:hint="cs"/>
          <w:rtl/>
          <w:lang w:val="fr-CH"/>
        </w:rPr>
        <w:t>بينها عن طريق اللجنة الدائمة المشتركة بين الوكالات وأفرقة الأمم المتحدة القطرية في البلدان التي تشهد حالات من التشرد الداخلي، وعلى تقديم كل ما يمكن من أوجه المساعدة والدعم للمقرر الخاص، ويطلب استمرار مشاركة المقرر الخاص في أعمال اللجنة الدائمة المشتركة بين الوكالات وهيئاتها الفرعية؛</w:t>
      </w:r>
    </w:p>
    <w:p w:rsidR="0089621F" w:rsidRDefault="0089621F" w:rsidP="00CE1DAA">
      <w:pPr>
        <w:pStyle w:val="SingleTxtGA"/>
        <w:rPr>
          <w:rFonts w:hint="cs"/>
          <w:rtl/>
          <w:lang w:val="fr-CH"/>
        </w:rPr>
      </w:pPr>
      <w:r>
        <w:rPr>
          <w:rFonts w:hint="cs"/>
          <w:rtl/>
          <w:lang w:val="fr-CH"/>
        </w:rPr>
        <w:tab/>
        <w:t>16-</w:t>
      </w:r>
      <w:r>
        <w:rPr>
          <w:rFonts w:hint="cs"/>
          <w:rtl/>
          <w:lang w:val="fr-CH"/>
        </w:rPr>
        <w:tab/>
      </w:r>
      <w:r>
        <w:rPr>
          <w:rFonts w:hint="cs"/>
          <w:i/>
          <w:iCs/>
          <w:rtl/>
          <w:lang w:val="fr-CH"/>
        </w:rPr>
        <w:t>يطلب</w:t>
      </w:r>
      <w:r>
        <w:rPr>
          <w:rFonts w:hint="cs"/>
          <w:rtl/>
          <w:lang w:val="fr-CH"/>
        </w:rPr>
        <w:t xml:space="preserve"> إلى الأمين العام ومفوضية الأمم المتحدة السامية لحقوق الإنسان أن يوفِّرا للمقرر الخاص كل ما يلزم من مساعدة وموظفين </w:t>
      </w:r>
      <w:r w:rsidR="00CE1DAA">
        <w:rPr>
          <w:rFonts w:hint="cs"/>
          <w:rtl/>
          <w:lang w:val="fr-CH"/>
        </w:rPr>
        <w:t xml:space="preserve">لتنفيذ </w:t>
      </w:r>
      <w:r>
        <w:rPr>
          <w:rFonts w:hint="cs"/>
          <w:rtl/>
          <w:lang w:val="fr-CH"/>
        </w:rPr>
        <w:t xml:space="preserve">ولايته </w:t>
      </w:r>
      <w:r w:rsidR="00CE1DAA">
        <w:rPr>
          <w:rFonts w:hint="cs"/>
          <w:rtl/>
          <w:lang w:val="fr-CH"/>
        </w:rPr>
        <w:t xml:space="preserve">على نحو فعال </w:t>
      </w:r>
      <w:r>
        <w:rPr>
          <w:rFonts w:hint="cs"/>
          <w:rtl/>
          <w:lang w:val="fr-CH"/>
        </w:rPr>
        <w:t>وأن يكفلا عمل الآلية بالتعاون الوثيق مع منسق الإغاثة في حالات الطوارئ وبدعم مستمر من مكتب تنسيق الشؤون الإنسانية ومفوضية الأمم المتحدة السامية لشؤون اللاجئين؛</w:t>
      </w:r>
    </w:p>
    <w:p w:rsidR="0089621F" w:rsidRDefault="0089621F" w:rsidP="0089621F">
      <w:pPr>
        <w:pStyle w:val="SingleTxtGA"/>
        <w:rPr>
          <w:rFonts w:hint="cs"/>
          <w:sz w:val="30"/>
          <w:rtl/>
          <w:lang w:val="fr-CH"/>
        </w:rPr>
      </w:pPr>
      <w:r w:rsidRPr="001870C2">
        <w:rPr>
          <w:rFonts w:hint="cs"/>
          <w:sz w:val="30"/>
          <w:rtl/>
          <w:lang w:val="fr-CH"/>
        </w:rPr>
        <w:tab/>
        <w:t>17-</w:t>
      </w:r>
      <w:r w:rsidRPr="001870C2">
        <w:rPr>
          <w:rFonts w:hint="cs"/>
          <w:sz w:val="30"/>
          <w:rtl/>
          <w:lang w:val="fr-CH"/>
        </w:rPr>
        <w:tab/>
      </w:r>
      <w:r w:rsidRPr="001870C2">
        <w:rPr>
          <w:rFonts w:hint="cs"/>
          <w:i/>
          <w:iCs/>
          <w:sz w:val="30"/>
          <w:rtl/>
          <w:lang w:val="fr-CH"/>
        </w:rPr>
        <w:t>يدعو</w:t>
      </w:r>
      <w:r w:rsidRPr="001870C2">
        <w:rPr>
          <w:rFonts w:hint="cs"/>
          <w:sz w:val="30"/>
          <w:rtl/>
          <w:lang w:val="fr-CH"/>
        </w:rPr>
        <w:t xml:space="preserve"> المقرر الخاص إلى أن يواصل تقديم التقارير السنوية بشأن تنفيذ ولايته إلى المجلس والجمعية العامة، على أن تتضمن هذه التقارير اقتراحات وتوصيات </w:t>
      </w:r>
      <w:r>
        <w:rPr>
          <w:rFonts w:hint="cs"/>
          <w:sz w:val="30"/>
          <w:rtl/>
          <w:lang w:val="fr-CH"/>
        </w:rPr>
        <w:t>بشأن حقوق الإنسان للمشردين داخلياً، بما في ذلك اقتراحات وتوصيات بشأن تأثير التدابير المتخذة على المستوى المشترك بين الوكالات؛</w:t>
      </w:r>
    </w:p>
    <w:p w:rsidR="0089621F" w:rsidRDefault="0089621F" w:rsidP="0089621F">
      <w:pPr>
        <w:pStyle w:val="SingleTxtGA"/>
        <w:rPr>
          <w:rFonts w:hint="cs"/>
          <w:sz w:val="30"/>
          <w:rtl/>
          <w:lang w:val="fr-CH"/>
        </w:rPr>
      </w:pPr>
      <w:r>
        <w:rPr>
          <w:rFonts w:hint="cs"/>
          <w:sz w:val="30"/>
          <w:rtl/>
          <w:lang w:val="fr-CH"/>
        </w:rPr>
        <w:tab/>
        <w:t>18-</w:t>
      </w:r>
      <w:r>
        <w:rPr>
          <w:rFonts w:hint="cs"/>
          <w:sz w:val="30"/>
          <w:rtl/>
          <w:lang w:val="fr-CH"/>
        </w:rPr>
        <w:tab/>
      </w:r>
      <w:r>
        <w:rPr>
          <w:rFonts w:hint="cs"/>
          <w:i/>
          <w:iCs/>
          <w:sz w:val="30"/>
          <w:rtl/>
          <w:lang w:val="fr-CH"/>
        </w:rPr>
        <w:t>يقرر</w:t>
      </w:r>
      <w:r>
        <w:rPr>
          <w:rFonts w:hint="cs"/>
          <w:sz w:val="30"/>
          <w:rtl/>
          <w:lang w:val="fr-CH"/>
        </w:rPr>
        <w:t xml:space="preserve"> مواصلة النظر في مسألة حقوق الإنسان للمشردين داخلياً وفقاً لبرنامج عمله السنوي.</w:t>
      </w:r>
    </w:p>
    <w:p w:rsidR="00B06B46" w:rsidRPr="005D089D" w:rsidRDefault="00B06B46" w:rsidP="00B06B46">
      <w:pPr>
        <w:pStyle w:val="SingleTxtGA"/>
        <w:spacing w:before="120" w:after="0"/>
        <w:jc w:val="right"/>
        <w:rPr>
          <w:rFonts w:hint="cs"/>
          <w:i/>
          <w:iCs/>
          <w:rtl/>
        </w:rPr>
      </w:pPr>
      <w:r w:rsidRPr="005D089D">
        <w:rPr>
          <w:rFonts w:hint="cs"/>
          <w:i/>
          <w:iCs/>
          <w:rtl/>
        </w:rPr>
        <w:t>الجلسة الرابعة والثلاثون</w:t>
      </w:r>
    </w:p>
    <w:p w:rsidR="00B06B46" w:rsidRPr="005D089D" w:rsidRDefault="00B06B46" w:rsidP="00B06B46">
      <w:pPr>
        <w:pStyle w:val="SingleTxtGA"/>
        <w:spacing w:after="0"/>
        <w:jc w:val="right"/>
        <w:rPr>
          <w:rFonts w:hint="cs"/>
          <w:i/>
          <w:iCs/>
          <w:rtl/>
        </w:rPr>
      </w:pPr>
      <w:r w:rsidRPr="005D089D">
        <w:rPr>
          <w:rFonts w:hint="cs"/>
          <w:i/>
          <w:iCs/>
          <w:rtl/>
        </w:rPr>
        <w:t>17 حزيران/يونيه</w:t>
      </w:r>
      <w:r w:rsidRPr="005D089D">
        <w:rPr>
          <w:rFonts w:hint="cs"/>
          <w:i/>
          <w:iCs/>
          <w:sz w:val="30"/>
          <w:rtl/>
        </w:rPr>
        <w:t xml:space="preserve"> </w:t>
      </w:r>
      <w:r w:rsidRPr="005D089D">
        <w:rPr>
          <w:rFonts w:hint="cs"/>
          <w:i/>
          <w:iCs/>
          <w:rtl/>
        </w:rPr>
        <w:t>2010</w:t>
      </w:r>
    </w:p>
    <w:p w:rsidR="00B06B46" w:rsidRDefault="00B06B46" w:rsidP="00B06B46">
      <w:pPr>
        <w:pStyle w:val="SingleTxtGA"/>
        <w:jc w:val="right"/>
        <w:rPr>
          <w:rFonts w:hint="cs"/>
          <w:sz w:val="30"/>
          <w:rtl/>
          <w:lang w:val="fr-CH"/>
        </w:rPr>
      </w:pPr>
      <w:r w:rsidRPr="00B06B46">
        <w:rPr>
          <w:rFonts w:hint="cs"/>
          <w:rtl/>
        </w:rPr>
        <w:t>[</w:t>
      </w:r>
      <w:r>
        <w:rPr>
          <w:rFonts w:hint="cs"/>
          <w:sz w:val="30"/>
          <w:rtl/>
          <w:lang w:val="fr-CH"/>
        </w:rPr>
        <w:t>اعتُمد بدون تصويت.</w:t>
      </w:r>
      <w:r w:rsidRPr="00B06B46">
        <w:rPr>
          <w:rFonts w:hint="cs"/>
          <w:sz w:val="26"/>
          <w:szCs w:val="26"/>
          <w:rtl/>
          <w:lang w:val="fr-CH"/>
        </w:rPr>
        <w:t>]</w:t>
      </w:r>
    </w:p>
    <w:p w:rsidR="003D77EE" w:rsidRPr="003D77EE" w:rsidRDefault="003D77EE" w:rsidP="003D77EE">
      <w:pPr>
        <w:pStyle w:val="SingleTxtGA"/>
        <w:jc w:val="center"/>
        <w:rPr>
          <w:rFonts w:hint="cs"/>
          <w:u w:val="single"/>
          <w:rtl/>
        </w:rPr>
      </w:pPr>
      <w:r>
        <w:rPr>
          <w:rFonts w:hint="cs"/>
          <w:u w:val="single"/>
          <w:rtl/>
        </w:rPr>
        <w:tab/>
      </w:r>
      <w:r>
        <w:rPr>
          <w:rFonts w:hint="cs"/>
          <w:u w:val="single"/>
          <w:rtl/>
        </w:rPr>
        <w:tab/>
      </w:r>
      <w:r>
        <w:rPr>
          <w:rFonts w:hint="cs"/>
          <w:u w:val="single"/>
          <w:rtl/>
        </w:rPr>
        <w:tab/>
      </w:r>
    </w:p>
    <w:sectPr w:rsidR="003D77EE" w:rsidRPr="003D77EE" w:rsidSect="00695F6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B3" w:rsidRPr="00FE6865" w:rsidRDefault="003904B3" w:rsidP="00FE6865">
      <w:pPr>
        <w:pStyle w:val="Footer"/>
      </w:pPr>
    </w:p>
  </w:endnote>
  <w:endnote w:type="continuationSeparator" w:id="0">
    <w:p w:rsidR="003904B3" w:rsidRDefault="0039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4A" w:rsidRPr="00695F6B" w:rsidRDefault="00CD544A" w:rsidP="00680777">
    <w:pPr>
      <w:pStyle w:val="Footer"/>
      <w:tabs>
        <w:tab w:val="right" w:pos="9598"/>
      </w:tabs>
    </w:pPr>
    <w:r>
      <w:t>GE.10-14567</w:t>
    </w:r>
    <w:r>
      <w:tab/>
    </w:r>
    <w:r w:rsidRPr="00695F6B">
      <w:rPr>
        <w:b/>
        <w:sz w:val="18"/>
      </w:rPr>
      <w:fldChar w:fldCharType="begin"/>
    </w:r>
    <w:r w:rsidRPr="00695F6B">
      <w:rPr>
        <w:b/>
        <w:sz w:val="18"/>
      </w:rPr>
      <w:instrText xml:space="preserve"> PAGE  \* MERGEFORMAT </w:instrText>
    </w:r>
    <w:r w:rsidRPr="00695F6B">
      <w:rPr>
        <w:b/>
        <w:sz w:val="18"/>
      </w:rPr>
      <w:fldChar w:fldCharType="separate"/>
    </w:r>
    <w:r w:rsidR="00AC230F">
      <w:rPr>
        <w:b/>
        <w:noProof/>
        <w:sz w:val="18"/>
      </w:rPr>
      <w:t>2</w:t>
    </w:r>
    <w:r w:rsidRPr="00695F6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4A" w:rsidRPr="00695F6B" w:rsidRDefault="00CD544A" w:rsidP="00680777">
    <w:pPr>
      <w:pStyle w:val="Footer"/>
      <w:tabs>
        <w:tab w:val="right" w:pos="9598"/>
      </w:tabs>
      <w:rPr>
        <w:b/>
        <w:sz w:val="18"/>
      </w:rPr>
    </w:pPr>
    <w:r w:rsidRPr="00695F6B">
      <w:rPr>
        <w:b/>
        <w:sz w:val="18"/>
      </w:rPr>
      <w:fldChar w:fldCharType="begin"/>
    </w:r>
    <w:r w:rsidRPr="00695F6B">
      <w:rPr>
        <w:b/>
        <w:sz w:val="18"/>
      </w:rPr>
      <w:instrText xml:space="preserve"> PAGE  \* MERGEFORMAT </w:instrText>
    </w:r>
    <w:r w:rsidRPr="00695F6B">
      <w:rPr>
        <w:b/>
        <w:sz w:val="18"/>
      </w:rPr>
      <w:fldChar w:fldCharType="separate"/>
    </w:r>
    <w:r w:rsidR="00AC230F">
      <w:rPr>
        <w:b/>
        <w:noProof/>
        <w:sz w:val="18"/>
      </w:rPr>
      <w:t>5</w:t>
    </w:r>
    <w:r w:rsidRPr="00695F6B">
      <w:rPr>
        <w:b/>
        <w:sz w:val="18"/>
      </w:rPr>
      <w:fldChar w:fldCharType="end"/>
    </w:r>
    <w:r>
      <w:rPr>
        <w:b/>
        <w:sz w:val="18"/>
      </w:rPr>
      <w:tab/>
    </w:r>
    <w:r>
      <w:t>GE.10-14567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4A" w:rsidRDefault="00CD544A" w:rsidP="00680777">
    <w:pPr>
      <w:pStyle w:val="Footer"/>
      <w:jc w:val="right"/>
    </w:pPr>
    <w:r>
      <w:rPr>
        <w:sz w:val="20"/>
      </w:rPr>
      <w:t>(A)   GE.10-14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567    240610    240610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B3" w:rsidRDefault="003904B3" w:rsidP="009A0C39">
      <w:pPr>
        <w:spacing w:after="80" w:line="200" w:lineRule="atLeast"/>
        <w:ind w:left="680"/>
      </w:pPr>
      <w:r w:rsidRPr="00C10C26">
        <w:rPr>
          <w:sz w:val="16"/>
          <w:rtl/>
        </w:rPr>
        <w:t>__________</w:t>
      </w:r>
    </w:p>
  </w:footnote>
  <w:footnote w:type="continuationSeparator" w:id="0">
    <w:p w:rsidR="003904B3" w:rsidRDefault="003904B3" w:rsidP="00444AA6">
      <w:pPr>
        <w:pStyle w:val="Footer"/>
        <w:bidi/>
        <w:spacing w:after="80" w:line="200" w:lineRule="exact"/>
        <w:ind w:left="680"/>
      </w:pPr>
      <w:r>
        <w:rPr>
          <w:rFonts w:hint="cs"/>
          <w:rtl/>
        </w:rPr>
        <w:t>__________</w:t>
      </w:r>
    </w:p>
  </w:footnote>
  <w:footnote w:id="1">
    <w:p w:rsidR="00CD544A" w:rsidRPr="00264C8D" w:rsidRDefault="00CD544A" w:rsidP="00B06B46">
      <w:pPr>
        <w:pStyle w:val="footnoteText0"/>
        <w:rPr>
          <w:rFonts w:hint="cs"/>
          <w:rtl/>
        </w:rPr>
      </w:pPr>
      <w:r>
        <w:rPr>
          <w:rtl/>
        </w:rPr>
        <w:tab/>
      </w:r>
      <w:r w:rsidRPr="00264C8D">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الرابعة عشرة (</w:t>
      </w:r>
      <w:r>
        <w:t>A/HRC/14/37</w:t>
      </w:r>
      <w:r>
        <w:rPr>
          <w:rFonts w:hint="cs"/>
          <w:rtl/>
        </w:rPr>
        <w:t>)، الفصل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4A" w:rsidRPr="00695F6B" w:rsidRDefault="00CD544A" w:rsidP="00680777">
    <w:pPr>
      <w:pStyle w:val="Header"/>
      <w:jc w:val="right"/>
    </w:pPr>
    <w:r w:rsidRPr="00695F6B">
      <w:t>A/HRC/</w:t>
    </w:r>
    <w:r>
      <w:t>RES/</w:t>
    </w:r>
    <w:r w:rsidRPr="00695F6B">
      <w:t>14/</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4A" w:rsidRPr="00680777" w:rsidRDefault="00CD544A" w:rsidP="00680777">
    <w:pPr>
      <w:pStyle w:val="Header"/>
    </w:pPr>
    <w:r w:rsidRPr="00695F6B">
      <w:t>A/HRC/</w:t>
    </w:r>
    <w:r>
      <w:t>RES/</w:t>
    </w:r>
    <w:r w:rsidRPr="00695F6B">
      <w:t>14/</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97177B"/>
    <w:multiLevelType w:val="hybridMultilevel"/>
    <w:tmpl w:val="B2FE4D92"/>
    <w:lvl w:ilvl="0" w:tplc="AE2ECAB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3"/>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7"/>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28D"/>
    <w:rsid w:val="00005908"/>
    <w:rsid w:val="000275D5"/>
    <w:rsid w:val="00032F88"/>
    <w:rsid w:val="00040E25"/>
    <w:rsid w:val="00042149"/>
    <w:rsid w:val="000648EA"/>
    <w:rsid w:val="00065C35"/>
    <w:rsid w:val="00066FE9"/>
    <w:rsid w:val="0008601F"/>
    <w:rsid w:val="000957C8"/>
    <w:rsid w:val="000B52F2"/>
    <w:rsid w:val="000C31BD"/>
    <w:rsid w:val="000D0EAE"/>
    <w:rsid w:val="000D5380"/>
    <w:rsid w:val="000D6654"/>
    <w:rsid w:val="000F0150"/>
    <w:rsid w:val="000F0264"/>
    <w:rsid w:val="000F2EBF"/>
    <w:rsid w:val="000F5FF6"/>
    <w:rsid w:val="00104EB7"/>
    <w:rsid w:val="00113FA5"/>
    <w:rsid w:val="0012337C"/>
    <w:rsid w:val="001455A0"/>
    <w:rsid w:val="001476BB"/>
    <w:rsid w:val="001602A3"/>
    <w:rsid w:val="00193E86"/>
    <w:rsid w:val="001A384E"/>
    <w:rsid w:val="001A4B74"/>
    <w:rsid w:val="001A5161"/>
    <w:rsid w:val="001A60BD"/>
    <w:rsid w:val="001C7A3A"/>
    <w:rsid w:val="0023736D"/>
    <w:rsid w:val="00257225"/>
    <w:rsid w:val="00270E54"/>
    <w:rsid w:val="00275860"/>
    <w:rsid w:val="00275D7F"/>
    <w:rsid w:val="00282B90"/>
    <w:rsid w:val="002A0210"/>
    <w:rsid w:val="002E0712"/>
    <w:rsid w:val="002E64F9"/>
    <w:rsid w:val="002E7ED0"/>
    <w:rsid w:val="00305789"/>
    <w:rsid w:val="00310160"/>
    <w:rsid w:val="003163E3"/>
    <w:rsid w:val="00341A8C"/>
    <w:rsid w:val="00342756"/>
    <w:rsid w:val="003519E6"/>
    <w:rsid w:val="0035433D"/>
    <w:rsid w:val="003565B4"/>
    <w:rsid w:val="00383605"/>
    <w:rsid w:val="003904B3"/>
    <w:rsid w:val="003A1A00"/>
    <w:rsid w:val="003B1FFF"/>
    <w:rsid w:val="003B4356"/>
    <w:rsid w:val="003D77EE"/>
    <w:rsid w:val="003F08A8"/>
    <w:rsid w:val="00401B51"/>
    <w:rsid w:val="00415F79"/>
    <w:rsid w:val="004250E3"/>
    <w:rsid w:val="00437ADD"/>
    <w:rsid w:val="00444AA6"/>
    <w:rsid w:val="0046479B"/>
    <w:rsid w:val="00472A81"/>
    <w:rsid w:val="004B2C92"/>
    <w:rsid w:val="004B5263"/>
    <w:rsid w:val="004D6A3A"/>
    <w:rsid w:val="004F4AD7"/>
    <w:rsid w:val="004F6A3F"/>
    <w:rsid w:val="004F704E"/>
    <w:rsid w:val="0051230A"/>
    <w:rsid w:val="0051402B"/>
    <w:rsid w:val="005449D8"/>
    <w:rsid w:val="00546BF9"/>
    <w:rsid w:val="00557CD3"/>
    <w:rsid w:val="00571432"/>
    <w:rsid w:val="005732A2"/>
    <w:rsid w:val="00573503"/>
    <w:rsid w:val="005762A5"/>
    <w:rsid w:val="00590BA3"/>
    <w:rsid w:val="005A1A9A"/>
    <w:rsid w:val="005B268C"/>
    <w:rsid w:val="005B3FE2"/>
    <w:rsid w:val="005B7AE0"/>
    <w:rsid w:val="005D74F2"/>
    <w:rsid w:val="005E72F6"/>
    <w:rsid w:val="005F146F"/>
    <w:rsid w:val="005F71B6"/>
    <w:rsid w:val="006061FF"/>
    <w:rsid w:val="00645012"/>
    <w:rsid w:val="00660FD4"/>
    <w:rsid w:val="00680777"/>
    <w:rsid w:val="00693F3F"/>
    <w:rsid w:val="00695F6B"/>
    <w:rsid w:val="006A4425"/>
    <w:rsid w:val="006B4669"/>
    <w:rsid w:val="006C768B"/>
    <w:rsid w:val="006E3473"/>
    <w:rsid w:val="006E3A4C"/>
    <w:rsid w:val="006F6BF8"/>
    <w:rsid w:val="00701DFC"/>
    <w:rsid w:val="00707BDF"/>
    <w:rsid w:val="00710727"/>
    <w:rsid w:val="00715F45"/>
    <w:rsid w:val="00730362"/>
    <w:rsid w:val="00731B84"/>
    <w:rsid w:val="00734AE7"/>
    <w:rsid w:val="00774D91"/>
    <w:rsid w:val="007B599E"/>
    <w:rsid w:val="007E197F"/>
    <w:rsid w:val="007F68C4"/>
    <w:rsid w:val="008153DE"/>
    <w:rsid w:val="00816B74"/>
    <w:rsid w:val="0082373C"/>
    <w:rsid w:val="00852A10"/>
    <w:rsid w:val="00862634"/>
    <w:rsid w:val="00866C59"/>
    <w:rsid w:val="008673B0"/>
    <w:rsid w:val="00877306"/>
    <w:rsid w:val="00887B5C"/>
    <w:rsid w:val="0089621F"/>
    <w:rsid w:val="008A6242"/>
    <w:rsid w:val="008B12E9"/>
    <w:rsid w:val="008B4BC6"/>
    <w:rsid w:val="00901E57"/>
    <w:rsid w:val="00935F0E"/>
    <w:rsid w:val="0095208F"/>
    <w:rsid w:val="009730A2"/>
    <w:rsid w:val="00977B3F"/>
    <w:rsid w:val="009814AE"/>
    <w:rsid w:val="00983870"/>
    <w:rsid w:val="00986A97"/>
    <w:rsid w:val="00994B89"/>
    <w:rsid w:val="00996BBE"/>
    <w:rsid w:val="009A0C39"/>
    <w:rsid w:val="009C303F"/>
    <w:rsid w:val="009D1DD5"/>
    <w:rsid w:val="00A11DDA"/>
    <w:rsid w:val="00A26157"/>
    <w:rsid w:val="00A265C3"/>
    <w:rsid w:val="00A31F9C"/>
    <w:rsid w:val="00A43F9A"/>
    <w:rsid w:val="00A543D4"/>
    <w:rsid w:val="00A926B6"/>
    <w:rsid w:val="00AC230F"/>
    <w:rsid w:val="00AD0014"/>
    <w:rsid w:val="00AD4CF2"/>
    <w:rsid w:val="00AD58CA"/>
    <w:rsid w:val="00AE7621"/>
    <w:rsid w:val="00AF0BBA"/>
    <w:rsid w:val="00B06B46"/>
    <w:rsid w:val="00B2528D"/>
    <w:rsid w:val="00B30468"/>
    <w:rsid w:val="00B56B40"/>
    <w:rsid w:val="00B639B9"/>
    <w:rsid w:val="00BB2C41"/>
    <w:rsid w:val="00BC55C8"/>
    <w:rsid w:val="00BC5C10"/>
    <w:rsid w:val="00BD75C8"/>
    <w:rsid w:val="00BE2964"/>
    <w:rsid w:val="00C24FBD"/>
    <w:rsid w:val="00C4055F"/>
    <w:rsid w:val="00C417DD"/>
    <w:rsid w:val="00C4452A"/>
    <w:rsid w:val="00C473BA"/>
    <w:rsid w:val="00C611ED"/>
    <w:rsid w:val="00C617EC"/>
    <w:rsid w:val="00C6490A"/>
    <w:rsid w:val="00C64FE1"/>
    <w:rsid w:val="00C66164"/>
    <w:rsid w:val="00C713C2"/>
    <w:rsid w:val="00C8345E"/>
    <w:rsid w:val="00CA4C17"/>
    <w:rsid w:val="00CA5F7C"/>
    <w:rsid w:val="00CD01CA"/>
    <w:rsid w:val="00CD544A"/>
    <w:rsid w:val="00CE1DAA"/>
    <w:rsid w:val="00CF5C24"/>
    <w:rsid w:val="00D01FFE"/>
    <w:rsid w:val="00D30BE5"/>
    <w:rsid w:val="00D51067"/>
    <w:rsid w:val="00D75657"/>
    <w:rsid w:val="00D960AD"/>
    <w:rsid w:val="00DA0E0E"/>
    <w:rsid w:val="00DB0C39"/>
    <w:rsid w:val="00DB7679"/>
    <w:rsid w:val="00DC7186"/>
    <w:rsid w:val="00DD418B"/>
    <w:rsid w:val="00DF1702"/>
    <w:rsid w:val="00DF4DD8"/>
    <w:rsid w:val="00DF668E"/>
    <w:rsid w:val="00E057DF"/>
    <w:rsid w:val="00E05DE3"/>
    <w:rsid w:val="00E14D2B"/>
    <w:rsid w:val="00E20DBA"/>
    <w:rsid w:val="00E42174"/>
    <w:rsid w:val="00E54DDB"/>
    <w:rsid w:val="00E660D6"/>
    <w:rsid w:val="00E771AB"/>
    <w:rsid w:val="00EA49E1"/>
    <w:rsid w:val="00EA796F"/>
    <w:rsid w:val="00EB077B"/>
    <w:rsid w:val="00EC50B9"/>
    <w:rsid w:val="00ED25FC"/>
    <w:rsid w:val="00ED26A0"/>
    <w:rsid w:val="00F04473"/>
    <w:rsid w:val="00F1727A"/>
    <w:rsid w:val="00F34764"/>
    <w:rsid w:val="00F40CE6"/>
    <w:rsid w:val="00F4158B"/>
    <w:rsid w:val="00F54E3C"/>
    <w:rsid w:val="00F5659B"/>
    <w:rsid w:val="00F638BD"/>
    <w:rsid w:val="00F654E4"/>
    <w:rsid w:val="00F735B2"/>
    <w:rsid w:val="00F874BD"/>
    <w:rsid w:val="00FA6DD0"/>
    <w:rsid w:val="00FC4BFF"/>
    <w:rsid w:val="00FE55A3"/>
    <w:rsid w:val="00FE6865"/>
    <w:rsid w:val="00FF43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Artic1-">
    <w:name w:val="Artic_1-"/>
    <w:basedOn w:val="Normal"/>
    <w:rsid w:val="00D30BE5"/>
    <w:pPr>
      <w:numPr>
        <w:numId w:val="40"/>
      </w:numPr>
      <w:spacing w:line="240" w:lineRule="auto"/>
      <w:jc w:val="both"/>
    </w:pPr>
    <w:rPr>
      <w:spacing w:val="6"/>
      <w:kern w:val="16"/>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1</Pages>
  <Words>1513</Words>
  <Characters>7797</Characters>
  <Application>Microsoft Office Word</Application>
  <DocSecurity>4</DocSecurity>
  <Lines>132</Lines>
  <Paragraphs>29</Paragraphs>
  <ScaleCrop>false</ScaleCrop>
  <HeadingPairs>
    <vt:vector size="2" baseType="variant">
      <vt:variant>
        <vt:lpstr>العنوان</vt:lpstr>
      </vt:variant>
      <vt:variant>
        <vt:i4>1</vt:i4>
      </vt:variant>
    </vt:vector>
  </HeadingPairs>
  <TitlesOfParts>
    <vt:vector size="1" baseType="lpstr">
      <vt:lpstr>A/HRC/RES/14/6</vt:lpstr>
    </vt:vector>
  </TitlesOfParts>
  <Company>CSD</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A/HRC/RES/14/6</dc:title>
  <dc:subject>SEDDIKI</dc:subject>
  <dc:creator>BALAN</dc:creator>
  <cp:keywords/>
  <dc:description>Edit</dc:description>
  <cp:lastModifiedBy>Admieng</cp:lastModifiedBy>
  <cp:revision>3</cp:revision>
  <cp:lastPrinted>2010-06-15T14:53:00Z</cp:lastPrinted>
  <dcterms:created xsi:type="dcterms:W3CDTF">2010-06-24T15:25:00Z</dcterms:created>
  <dcterms:modified xsi:type="dcterms:W3CDTF">2010-06-24T16:03:00Z</dcterms:modified>
</cp:coreProperties>
</file>