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1C503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58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1C503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587C" w:rsidP="0080587C">
            <w:pPr>
              <w:jc w:val="right"/>
            </w:pPr>
            <w:r w:rsidRPr="0080587C">
              <w:rPr>
                <w:sz w:val="40"/>
              </w:rPr>
              <w:t>A</w:t>
            </w:r>
            <w:r>
              <w:t>/HRC/RES/35/2</w:t>
            </w:r>
          </w:p>
        </w:tc>
      </w:tr>
      <w:tr w:rsidR="002D5AAC" w:rsidRPr="00C96A56" w:rsidTr="001C503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C503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CE1E9F" wp14:editId="427981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1C503C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587C" w:rsidP="001C503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587C" w:rsidRDefault="0080587C" w:rsidP="008058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80587C" w:rsidRDefault="0080587C" w:rsidP="008058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587C" w:rsidRPr="00245734" w:rsidRDefault="0080587C" w:rsidP="008058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80587C" w:rsidRDefault="00DF71B9" w:rsidP="00481AF7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0587C" w:rsidRPr="0080587C" w:rsidRDefault="0080587C" w:rsidP="0080587C">
      <w:pPr>
        <w:rPr>
          <w:b/>
        </w:rPr>
      </w:pPr>
      <w:r w:rsidRPr="0080587C">
        <w:rPr>
          <w:b/>
          <w:bCs/>
        </w:rPr>
        <w:t>Тридцать пятая сессия</w:t>
      </w:r>
    </w:p>
    <w:p w:rsidR="0080587C" w:rsidRPr="0080587C" w:rsidRDefault="0080587C" w:rsidP="0080587C">
      <w:r>
        <w:t>6</w:t>
      </w:r>
      <w:r w:rsidRPr="0080587C">
        <w:t>–23 июня 2017 года</w:t>
      </w:r>
    </w:p>
    <w:p w:rsidR="0080587C" w:rsidRPr="0080587C" w:rsidRDefault="0080587C" w:rsidP="0080587C">
      <w:r w:rsidRPr="0080587C">
        <w:t>Пункт 3 повестки дня</w:t>
      </w:r>
    </w:p>
    <w:p w:rsidR="0080587C" w:rsidRPr="0080587C" w:rsidRDefault="0080587C" w:rsidP="0080587C">
      <w:pPr>
        <w:pStyle w:val="HChGR"/>
        <w:ind w:firstLine="0"/>
        <w:jc w:val="center"/>
      </w:pPr>
      <w:r w:rsidRPr="0080587C">
        <w:t>Резолюция, прин</w:t>
      </w:r>
      <w:r>
        <w:t>ятая Советом по правам человека</w:t>
      </w:r>
      <w:r w:rsidRPr="0080587C">
        <w:br/>
        <w:t>22 июня 2017 года</w:t>
      </w:r>
    </w:p>
    <w:p w:rsidR="0080587C" w:rsidRPr="0080587C" w:rsidRDefault="0080587C" w:rsidP="0080587C">
      <w:pPr>
        <w:pStyle w:val="H1GR"/>
        <w:tabs>
          <w:tab w:val="clear" w:pos="851"/>
          <w:tab w:val="left" w:pos="1456"/>
        </w:tabs>
        <w:ind w:left="1814" w:hanging="680"/>
      </w:pPr>
      <w:r w:rsidRPr="0080587C">
        <w:rPr>
          <w:bCs/>
        </w:rPr>
        <w:t>35/2.</w:t>
      </w:r>
      <w:r w:rsidRPr="0080587C">
        <w:tab/>
        <w:t>Право на образование: последующие действия в связи</w:t>
      </w:r>
      <w:r w:rsidRPr="0080587C">
        <w:br/>
        <w:t>с резолюцией 8/4 Совета по правам человека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Совет по правам человека</w:t>
      </w:r>
      <w:r w:rsidRPr="00EB55A7">
        <w:rPr>
          <w:i/>
        </w:rPr>
        <w:t>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 xml:space="preserve">вновь подтверждая </w:t>
      </w:r>
      <w:r w:rsidRPr="0080587C">
        <w:t>свою резолюцию 8/4 от 18 июня 2008 года и ссыл</w:t>
      </w:r>
      <w:r w:rsidRPr="0080587C">
        <w:t>а</w:t>
      </w:r>
      <w:r w:rsidRPr="0080587C">
        <w:t>ясь на все другие резолюции Совета по правам человека о праве на образов</w:t>
      </w:r>
      <w:r w:rsidRPr="0080587C">
        <w:t>а</w:t>
      </w:r>
      <w:r w:rsidRPr="0080587C">
        <w:t xml:space="preserve">ние, самой последней из которых является резолюция 32/22 </w:t>
      </w:r>
      <w:proofErr w:type="gramStart"/>
      <w:r w:rsidRPr="0080587C">
        <w:t>o</w:t>
      </w:r>
      <w:proofErr w:type="gramEnd"/>
      <w:r w:rsidRPr="0080587C">
        <w:t>т 1 июля 2016 г</w:t>
      </w:r>
      <w:r w:rsidRPr="0080587C">
        <w:t>о</w:t>
      </w:r>
      <w:r w:rsidRPr="0080587C">
        <w:t>да, а также резолюции, принятые по данной теме Комиссией по правам челов</w:t>
      </w:r>
      <w:r w:rsidRPr="0080587C">
        <w:t>е</w:t>
      </w:r>
      <w:r w:rsidRPr="0080587C">
        <w:t>ка,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вновь подтверждая также</w:t>
      </w:r>
      <w:r w:rsidRPr="0080587C">
        <w:t xml:space="preserve"> право каждого человека на образование, к</w:t>
      </w:r>
      <w:r w:rsidRPr="0080587C">
        <w:t>о</w:t>
      </w:r>
      <w:r w:rsidRPr="0080587C">
        <w:t>торое закреплено, в частности, во Всеобщей декларации прав человека, Ме</w:t>
      </w:r>
      <w:r w:rsidRPr="0080587C">
        <w:t>ж</w:t>
      </w:r>
      <w:r w:rsidRPr="0080587C">
        <w:t>дународном пакте об экономических, социальных и культурных правах, Ко</w:t>
      </w:r>
      <w:r w:rsidRPr="0080587C">
        <w:t>н</w:t>
      </w:r>
      <w:r w:rsidRPr="0080587C">
        <w:t>венции о правах ребенка, Конвенции о ликвидации всех форм дискриминации в отношении женщин, Международной конвенции о ликвидации всех форм рас</w:t>
      </w:r>
      <w:r w:rsidRPr="0080587C">
        <w:t>о</w:t>
      </w:r>
      <w:r w:rsidRPr="0080587C">
        <w:t>вой дискриминации, Международной конвенции о защите прав всех трудящи</w:t>
      </w:r>
      <w:r w:rsidRPr="0080587C">
        <w:t>х</w:t>
      </w:r>
      <w:r w:rsidRPr="0080587C">
        <w:t>ся-мигрантов и членов их семей, Конвенции о правах инвалидов и Конвенции Организации Объединенных Наций по вопросам образования, науки и культуры о борьбе с дискриминацией в области образования, а также в других соотве</w:t>
      </w:r>
      <w:r w:rsidRPr="0080587C">
        <w:t>т</w:t>
      </w:r>
      <w:r w:rsidRPr="0080587C">
        <w:t>ствующих международных договорах,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принимая во внимание</w:t>
      </w:r>
      <w:r w:rsidRPr="0080587C">
        <w:t xml:space="preserve"> Декларацию Организации Объединенных Наций об образовании и подготовке в области прав человека и Всемирную программу образования в области прав человека,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приветствуя прогресс</w:t>
      </w:r>
      <w:r w:rsidRPr="0080587C">
        <w:t xml:space="preserve"> в достижении целей программы «Образование для всех» и связанных с ними целей в области устойчивого развития и признавая при этом необходимость активизировать усилия по завершению выполнения оставшихся задач, связанных с целями развития, сформулированными в Декл</w:t>
      </w:r>
      <w:r w:rsidRPr="0080587C">
        <w:t>а</w:t>
      </w:r>
      <w:r w:rsidRPr="0080587C">
        <w:t>рации тысячелетия,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напоминая</w:t>
      </w:r>
      <w:r w:rsidRPr="0080587C">
        <w:t xml:space="preserve"> об Инчхонской декларации «Образование 2030: обеспечение всеобщего инклюзивного и справедливого качественного образования и обуч</w:t>
      </w:r>
      <w:r w:rsidRPr="0080587C">
        <w:t>е</w:t>
      </w:r>
      <w:r w:rsidRPr="0080587C">
        <w:t>ния на протяжении всей жизни», принятой на Всемирном форуме по вопросам образования 2015 года, который состоялся в Инчхоне, Республика Корея,</w:t>
      </w:r>
    </w:p>
    <w:p w:rsidR="0080587C" w:rsidRPr="0080587C" w:rsidRDefault="0080587C" w:rsidP="0080587C">
      <w:pPr>
        <w:pStyle w:val="SingleTxtGR"/>
      </w:pPr>
      <w:r w:rsidRPr="0080587C">
        <w:lastRenderedPageBreak/>
        <w:tab/>
      </w:r>
      <w:r w:rsidRPr="0080587C">
        <w:rPr>
          <w:i/>
        </w:rPr>
        <w:t>приветствуя</w:t>
      </w:r>
      <w:r w:rsidRPr="0080587C">
        <w:t xml:space="preserve"> принятие Генеральной Ассамблеей Повестки дня в области устойчивого развития на период до 2030 года</w:t>
      </w:r>
      <w:r w:rsidRPr="004A7FCF">
        <w:rPr>
          <w:sz w:val="18"/>
          <w:vertAlign w:val="superscript"/>
        </w:rPr>
        <w:footnoteReference w:id="1"/>
      </w:r>
      <w:r w:rsidRPr="0080587C">
        <w:t>, в которую была, в частности, включена Цель в области устойчивого развития, связанная с обеспечением вс</w:t>
      </w:r>
      <w:r w:rsidRPr="0080587C">
        <w:t>е</w:t>
      </w:r>
      <w:r w:rsidRPr="0080587C">
        <w:t>охватного и справедливого качественного образования и поощрением возмо</w:t>
      </w:r>
      <w:r w:rsidRPr="0080587C">
        <w:t>ж</w:t>
      </w:r>
      <w:r w:rsidRPr="0080587C">
        <w:t>ности обучения на протяжении всей жизни для всех,</w:t>
      </w:r>
      <w:bookmarkStart w:id="0" w:name="_Ref485233604"/>
      <w:bookmarkEnd w:id="0"/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вновь подтверждая</w:t>
      </w:r>
      <w:r w:rsidRPr="0080587C">
        <w:t xml:space="preserve"> приверженность укреплению средств осуществления в соответствии с Аддис-Абебской программой действий третьей Междунаро</w:t>
      </w:r>
      <w:r w:rsidRPr="0080587C">
        <w:t>д</w:t>
      </w:r>
      <w:r w:rsidRPr="0080587C">
        <w:t>ной конференции по финансированию развития</w:t>
      </w:r>
      <w:r w:rsidRPr="004A7FCF">
        <w:rPr>
          <w:sz w:val="18"/>
          <w:vertAlign w:val="superscript"/>
        </w:rPr>
        <w:footnoteReference w:id="2"/>
      </w:r>
      <w:r w:rsidRPr="0080587C">
        <w:t xml:space="preserve"> для обеспечения полного д</w:t>
      </w:r>
      <w:r w:rsidRPr="0080587C">
        <w:t>о</w:t>
      </w:r>
      <w:r w:rsidRPr="0080587C">
        <w:t>стижения целей в области устойчивого развития и в этой связи приветствуя принятие Рамочной программы действий в области образования на период до 2030 года, которая направлена на мобилизацию всех стран и партнеров и обе</w:t>
      </w:r>
      <w:r w:rsidRPr="0080587C">
        <w:t>с</w:t>
      </w:r>
      <w:r w:rsidRPr="0080587C">
        <w:t>печивает руководство для достижения Цели 4, касающейся образования, и ее задач,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решительно осуждая</w:t>
      </w:r>
      <w:r w:rsidRPr="0080587C">
        <w:t xml:space="preserve"> непрекращающиеся нападения на учащихся, пр</w:t>
      </w:r>
      <w:r w:rsidRPr="0080587C">
        <w:t>е</w:t>
      </w:r>
      <w:r w:rsidRPr="0080587C">
        <w:t>подавателей, школы и университеты, которые затрудняют реализацию права на образование и наносят серьезный и длительный вред отдельным лицам и общ</w:t>
      </w:r>
      <w:r w:rsidRPr="0080587C">
        <w:t>е</w:t>
      </w:r>
      <w:r w:rsidRPr="0080587C">
        <w:t>ствам,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признавая</w:t>
      </w:r>
      <w:r w:rsidRPr="0080587C">
        <w:t>, что изменение климата, стихийные бедствия, конфликты и кризисы оказывают негативное воздействие на полную реализацию права на образование, что значительная часть не охваченного школьным образованием населения проживает в затронутых конфликтами районах и что кризисы, нас</w:t>
      </w:r>
      <w:r w:rsidRPr="0080587C">
        <w:t>и</w:t>
      </w:r>
      <w:r w:rsidRPr="0080587C">
        <w:t>лие и нападения на образовательные учреждения, стихийные бедствия и панд</w:t>
      </w:r>
      <w:r w:rsidRPr="0080587C">
        <w:t>е</w:t>
      </w:r>
      <w:r w:rsidRPr="0080587C">
        <w:t>мии продолжают подрывать просвещение и развитие во всем мире, как было отмечено в Инчхонской декларации,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признавая также</w:t>
      </w:r>
      <w:r w:rsidRPr="0080587C">
        <w:t>, что девочки составляют непропорционально большую долю среди детей, не посещающих школу, а женщины составляют непропорц</w:t>
      </w:r>
      <w:r w:rsidRPr="0080587C">
        <w:t>и</w:t>
      </w:r>
      <w:r w:rsidRPr="0080587C">
        <w:t>онально большую долю среди неграмотных взрослых ввиду, среди прочего, культурных или религиозных причин, заключения брака в раннем возрасте и беременности или по экономическим причинам, когда об</w:t>
      </w:r>
      <w:bookmarkStart w:id="1" w:name="_GoBack"/>
      <w:bookmarkEnd w:id="1"/>
      <w:r w:rsidRPr="0080587C">
        <w:t>разование не является бесплатным,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вновь заявляя</w:t>
      </w:r>
      <w:r w:rsidRPr="0080587C">
        <w:t xml:space="preserve"> о роли, которую играет доступ к новым информационно-коммуникационным технологиям, включая Интернет, в плане содействия реал</w:t>
      </w:r>
      <w:r w:rsidRPr="0080587C">
        <w:t>и</w:t>
      </w:r>
      <w:r w:rsidRPr="0080587C">
        <w:t>зации права на образование и поощрения инклюзивного качественного образ</w:t>
      </w:r>
      <w:r w:rsidRPr="0080587C">
        <w:t>о</w:t>
      </w:r>
      <w:r w:rsidRPr="0080587C">
        <w:t>вания,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 xml:space="preserve">приветствуя </w:t>
      </w:r>
      <w:r w:rsidRPr="0080587C">
        <w:t>предпринятые шаги по осуществлению права на образов</w:t>
      </w:r>
      <w:r w:rsidRPr="0080587C">
        <w:t>а</w:t>
      </w:r>
      <w:r w:rsidRPr="0080587C">
        <w:t>ние, такие как принятие соответствующего законодательства, вынесение соо</w:t>
      </w:r>
      <w:r w:rsidRPr="0080587C">
        <w:t>т</w:t>
      </w:r>
      <w:r w:rsidRPr="0080587C">
        <w:t>ветствующих судебных решений национальными судами, разработка наци</w:t>
      </w:r>
      <w:r w:rsidRPr="0080587C">
        <w:t>о</w:t>
      </w:r>
      <w:r w:rsidRPr="0080587C">
        <w:t>нальных показателей и обеспечение возможности защиты этого права при нео</w:t>
      </w:r>
      <w:r w:rsidRPr="0080587C">
        <w:t>б</w:t>
      </w:r>
      <w:r w:rsidRPr="0080587C">
        <w:t>ходимости в судебном порядке, а также сознавая ту роль, которую процедуры представления сообщений могут играть в содействии возможности защиты пр</w:t>
      </w:r>
      <w:r w:rsidRPr="0080587C">
        <w:t>а</w:t>
      </w:r>
      <w:r w:rsidRPr="0080587C">
        <w:t>ва на образование в судебном порядке,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ссылаясь</w:t>
      </w:r>
      <w:r w:rsidRPr="0080587C">
        <w:t xml:space="preserve"> на свои резолюции 5/1 об институциональном строительстве Совета по правам человека и 5/2 о Кодексе поведения мандатариев специал</w:t>
      </w:r>
      <w:r w:rsidRPr="0080587C">
        <w:t>ь</w:t>
      </w:r>
      <w:r w:rsidRPr="0080587C">
        <w:t>ных процедур Совета от 18 июня 2007 года и подчеркивая, что мандатарий и</w:t>
      </w:r>
      <w:r w:rsidRPr="0080587C">
        <w:t>с</w:t>
      </w:r>
      <w:r w:rsidRPr="0080587C">
        <w:t>полняет свои обязанности в соответствии с этими резолюциями и приложени</w:t>
      </w:r>
      <w:r w:rsidRPr="0080587C">
        <w:t>я</w:t>
      </w:r>
      <w:r w:rsidRPr="0080587C">
        <w:t>ми к ним,</w:t>
      </w:r>
    </w:p>
    <w:p w:rsidR="0080587C" w:rsidRPr="0080587C" w:rsidRDefault="0080587C" w:rsidP="0080587C">
      <w:pPr>
        <w:pStyle w:val="SingleTxtGR"/>
      </w:pPr>
      <w:r w:rsidRPr="0080587C">
        <w:tab/>
        <w:t>1.</w:t>
      </w:r>
      <w:r w:rsidRPr="0080587C">
        <w:tab/>
      </w:r>
      <w:r w:rsidRPr="0080587C">
        <w:rPr>
          <w:i/>
        </w:rPr>
        <w:t>призывает</w:t>
      </w:r>
      <w:r w:rsidRPr="0080587C">
        <w:t xml:space="preserve"> все государства принять все меры по осуществлению резолюций Совета по правам человека о праве на образование с целью обесп</w:t>
      </w:r>
      <w:r w:rsidRPr="0080587C">
        <w:t>е</w:t>
      </w:r>
      <w:r w:rsidRPr="0080587C">
        <w:t>чения полной реализации этого права для всех;</w:t>
      </w:r>
    </w:p>
    <w:p w:rsidR="0080587C" w:rsidRPr="0080587C" w:rsidRDefault="0080587C" w:rsidP="0080587C">
      <w:pPr>
        <w:pStyle w:val="SingleTxtGR"/>
      </w:pPr>
      <w:r w:rsidRPr="0080587C">
        <w:tab/>
        <w:t>2.</w:t>
      </w:r>
      <w:r w:rsidRPr="0080587C">
        <w:tab/>
      </w:r>
      <w:r w:rsidRPr="0080587C">
        <w:rPr>
          <w:i/>
        </w:rPr>
        <w:t>настоятельно призывает</w:t>
      </w:r>
      <w:r w:rsidRPr="0080587C">
        <w:t xml:space="preserve"> все государства в полной мере обеспеч</w:t>
      </w:r>
      <w:r w:rsidRPr="0080587C">
        <w:t>и</w:t>
      </w:r>
      <w:r w:rsidRPr="0080587C">
        <w:t>вать право на образование путем, среди прочего, выполнения своих обяз</w:t>
      </w:r>
      <w:r w:rsidRPr="0080587C">
        <w:t>а</w:t>
      </w:r>
      <w:r w:rsidRPr="0080587C">
        <w:lastRenderedPageBreak/>
        <w:t>тельств в отношении соблюдения, защиты и осуществления права на образов</w:t>
      </w:r>
      <w:r w:rsidRPr="0080587C">
        <w:t>а</w:t>
      </w:r>
      <w:r w:rsidRPr="0080587C">
        <w:t>ние всеми надлежащими способами, в том числе путем принятия таких мер, как: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а</w:t>
      </w:r>
      <w:r w:rsidRPr="0080587C">
        <w:t>)</w:t>
      </w:r>
      <w:r w:rsidRPr="0080587C">
        <w:tab/>
        <w:t>обеспечение наличия, доступности, качества и равенства в области образования, включая механизмы и программы неформального образования,</w:t>
      </w:r>
      <w:r w:rsidRPr="0080587C">
        <w:br/>
        <w:t>и в этой связи обеспечение доступа к образованию для взрослых;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b</w:t>
      </w:r>
      <w:r w:rsidRPr="0080587C">
        <w:t>)</w:t>
      </w:r>
      <w:r w:rsidRPr="0080587C">
        <w:tab/>
        <w:t>создание на уровне политики условий, благоприятствующих, в с</w:t>
      </w:r>
      <w:r w:rsidRPr="0080587C">
        <w:t>о</w:t>
      </w:r>
      <w:r w:rsidRPr="0080587C">
        <w:t>ответствующих случаях, признанию, аттестации и сертификации знаний, нав</w:t>
      </w:r>
      <w:r w:rsidRPr="0080587C">
        <w:t>ы</w:t>
      </w:r>
      <w:r w:rsidRPr="0080587C">
        <w:t>ков и компетенций, приобретенных в рамках неформального и информального обучения, с тем чтобы такое обучение признавалось и использовалось в сист</w:t>
      </w:r>
      <w:r w:rsidRPr="0080587C">
        <w:t>е</w:t>
      </w:r>
      <w:r w:rsidRPr="0080587C">
        <w:t>ме формального образования и на рынке труда;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c</w:t>
      </w:r>
      <w:r w:rsidRPr="0080587C">
        <w:t>)</w:t>
      </w:r>
      <w:r w:rsidRPr="0080587C">
        <w:tab/>
        <w:t>обеспечение возможности неформального и информального обуч</w:t>
      </w:r>
      <w:r w:rsidRPr="0080587C">
        <w:t>е</w:t>
      </w:r>
      <w:r w:rsidRPr="0080587C">
        <w:t>ния в контексте планов реагирования на чрезвычайные ситуации в целях обе</w:t>
      </w:r>
      <w:r w:rsidRPr="0080587C">
        <w:t>с</w:t>
      </w:r>
      <w:r w:rsidRPr="0080587C">
        <w:t>печения непрерывности процесса образования;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d</w:t>
      </w:r>
      <w:r w:rsidRPr="0080587C">
        <w:t>)</w:t>
      </w:r>
      <w:r w:rsidRPr="0080587C">
        <w:tab/>
        <w:t>оценка качества образования, включая механизмы и программы неформального образования, в том числе посредством проведения независимых оценок, и принятие надлежащих корректирующих или иных мер для устран</w:t>
      </w:r>
      <w:r w:rsidRPr="0080587C">
        <w:t>е</w:t>
      </w:r>
      <w:r w:rsidRPr="0080587C">
        <w:t>ния стратегий или видов практики, которые препятствуют осуществлению пр</w:t>
      </w:r>
      <w:r w:rsidRPr="0080587C">
        <w:t>а</w:t>
      </w:r>
      <w:r w:rsidRPr="0080587C">
        <w:t>ва на образование, путем, в частности, взаимодействия с существующими национальными правозащитными механизмами, парламентариями и гражда</w:t>
      </w:r>
      <w:r w:rsidRPr="0080587C">
        <w:t>н</w:t>
      </w:r>
      <w:r w:rsidRPr="0080587C">
        <w:t>ским обществом;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e</w:t>
      </w:r>
      <w:r w:rsidRPr="0080587C">
        <w:t>)</w:t>
      </w:r>
      <w:r w:rsidRPr="0080587C">
        <w:tab/>
        <w:t>создание нормативно-правовой базы для образовательных учр</w:t>
      </w:r>
      <w:r w:rsidRPr="0080587C">
        <w:t>е</w:t>
      </w:r>
      <w:r w:rsidRPr="0080587C">
        <w:t>ждений, в том числе действующих самостоятельно или в партнерстве с гос</w:t>
      </w:r>
      <w:r w:rsidRPr="0080587C">
        <w:t>у</w:t>
      </w:r>
      <w:r w:rsidRPr="0080587C">
        <w:t>дарствами, на основе международных обязательств в области прав человека, к</w:t>
      </w:r>
      <w:r w:rsidRPr="0080587C">
        <w:t>о</w:t>
      </w:r>
      <w:r w:rsidRPr="0080587C">
        <w:t>торая устанавливает, в частности, минимальные нормы и стандарты в области создания и функционирования образовательных услуг, устраняет любые нег</w:t>
      </w:r>
      <w:r w:rsidRPr="0080587C">
        <w:t>а</w:t>
      </w:r>
      <w:r w:rsidRPr="0080587C">
        <w:t>тивные последствия коммерциализации образования и расширяет доступ к надлежащим средствам правовой защиты и возмещению ущерба жертвам нарушений права на образование;</w:t>
      </w:r>
    </w:p>
    <w:p w:rsidR="0080587C" w:rsidRPr="0080587C" w:rsidRDefault="0080587C" w:rsidP="0080587C">
      <w:pPr>
        <w:pStyle w:val="SingleTxtGR"/>
      </w:pPr>
      <w:r w:rsidRPr="0080587C">
        <w:tab/>
        <w:t>3.</w:t>
      </w:r>
      <w:r w:rsidRPr="0080587C">
        <w:tab/>
      </w:r>
      <w:r w:rsidRPr="0080587C">
        <w:rPr>
          <w:i/>
        </w:rPr>
        <w:t>настоятельно призывает также</w:t>
      </w:r>
      <w:r w:rsidRPr="0080587C">
        <w:t xml:space="preserve"> все государства расширять во</w:t>
      </w:r>
      <w:r w:rsidRPr="0080587C">
        <w:t>з</w:t>
      </w:r>
      <w:r w:rsidRPr="0080587C">
        <w:t>можности в области образования для всех без какой-либо дискриминации, в том числе путем осуществления специальных программ для устранения нераве</w:t>
      </w:r>
      <w:r w:rsidRPr="0080587C">
        <w:t>н</w:t>
      </w:r>
      <w:r w:rsidRPr="0080587C">
        <w:t>ства и дискриминации в отношении женщин и девочек в сфере образования, признавая важность инвестиций в систем</w:t>
      </w:r>
      <w:r w:rsidR="00C96A56">
        <w:t>у государственного образования,</w:t>
      </w:r>
      <w:r w:rsidR="00C96A56" w:rsidRPr="00C96A56">
        <w:br/>
      </w:r>
      <w:r w:rsidRPr="0080587C">
        <w:t>в максимальных пределах имеющихся ресурсов; наращивать и совершенств</w:t>
      </w:r>
      <w:r w:rsidRPr="0080587C">
        <w:t>о</w:t>
      </w:r>
      <w:r w:rsidRPr="0080587C">
        <w:t>вать внутреннее и внешнее финансирование на цели образования, как это по</w:t>
      </w:r>
      <w:r w:rsidRPr="0080587C">
        <w:t>д</w:t>
      </w:r>
      <w:r w:rsidRPr="0080587C">
        <w:t>тверждено в Инчхонской декларации «Образование 2030: обеспечение все</w:t>
      </w:r>
      <w:r w:rsidRPr="0080587C">
        <w:t>о</w:t>
      </w:r>
      <w:r w:rsidRPr="0080587C">
        <w:t>хватного и справедливого качественного образования и обучения на протяж</w:t>
      </w:r>
      <w:r w:rsidRPr="0080587C">
        <w:t>е</w:t>
      </w:r>
      <w:r w:rsidRPr="0080587C">
        <w:t xml:space="preserve">нии всей жизни» и Рамочной программе действий по образованию на период до 2030 года; </w:t>
      </w:r>
      <w:proofErr w:type="gramStart"/>
      <w:r w:rsidRPr="0080587C">
        <w:t>обеспечивать соответствие стратегий и программ в области образ</w:t>
      </w:r>
      <w:r w:rsidRPr="0080587C">
        <w:t>о</w:t>
      </w:r>
      <w:r w:rsidRPr="0080587C">
        <w:t>вания правозащитным стандартам и принципам, включая стандарты и принц</w:t>
      </w:r>
      <w:r w:rsidRPr="0080587C">
        <w:t>и</w:t>
      </w:r>
      <w:r w:rsidRPr="0080587C">
        <w:t>пы, изложенные во Всеобщей декларации прав человека и соответствующих международных договорах о правах человека; и укреплять взаимодействие со всеми соответствующими заинтересованными сторонами, в том числе общин</w:t>
      </w:r>
      <w:r w:rsidRPr="0080587C">
        <w:t>а</w:t>
      </w:r>
      <w:r w:rsidRPr="0080587C">
        <w:t>ми, местными субъектами и гражданским обществом, в целях содействия обр</w:t>
      </w:r>
      <w:r w:rsidRPr="0080587C">
        <w:t>а</w:t>
      </w:r>
      <w:r w:rsidRPr="0080587C">
        <w:t>зованию как общественному благу;</w:t>
      </w:r>
      <w:proofErr w:type="gramEnd"/>
    </w:p>
    <w:p w:rsidR="0080587C" w:rsidRPr="0080587C" w:rsidRDefault="0080587C" w:rsidP="0080587C">
      <w:pPr>
        <w:pStyle w:val="SingleTxtGR"/>
      </w:pPr>
      <w:r w:rsidRPr="0080587C">
        <w:tab/>
        <w:t>4.</w:t>
      </w:r>
      <w:r w:rsidRPr="0080587C">
        <w:tab/>
      </w:r>
      <w:r w:rsidRPr="0080587C">
        <w:rPr>
          <w:i/>
        </w:rPr>
        <w:t>настоятельно призывает далее</w:t>
      </w:r>
      <w:r w:rsidRPr="0080587C">
        <w:t xml:space="preserve"> все государства регулировать и контролировать деятельность образовательных учреждений и привлекать к о</w:t>
      </w:r>
      <w:r w:rsidRPr="0080587C">
        <w:t>т</w:t>
      </w:r>
      <w:r w:rsidRPr="0080587C">
        <w:t>ветственности тех из них, практика которых негативно влияет на осуществл</w:t>
      </w:r>
      <w:r w:rsidRPr="0080587C">
        <w:t>е</w:t>
      </w:r>
      <w:r w:rsidRPr="0080587C">
        <w:t xml:space="preserve">ние </w:t>
      </w:r>
      <w:proofErr w:type="gramStart"/>
      <w:r w:rsidRPr="0080587C">
        <w:t>права</w:t>
      </w:r>
      <w:proofErr w:type="gramEnd"/>
      <w:r w:rsidRPr="0080587C">
        <w:t xml:space="preserve"> на образование, и оказывать поддержку исследованиям и информац</w:t>
      </w:r>
      <w:r w:rsidRPr="0080587C">
        <w:t>и</w:t>
      </w:r>
      <w:r w:rsidRPr="0080587C">
        <w:t>онно-просветительским мероприятиям, направленным на улучшение поним</w:t>
      </w:r>
      <w:r w:rsidRPr="0080587C">
        <w:t>а</w:t>
      </w:r>
      <w:r w:rsidRPr="0080587C">
        <w:t>ния широкомасштабного воздействия, оказываемого коммерциализацией обр</w:t>
      </w:r>
      <w:r w:rsidRPr="0080587C">
        <w:t>а</w:t>
      </w:r>
      <w:r w:rsidRPr="0080587C">
        <w:t>зования на осуществление права на образование;</w:t>
      </w:r>
    </w:p>
    <w:p w:rsidR="0080587C" w:rsidRPr="0080587C" w:rsidRDefault="0080587C" w:rsidP="0080587C">
      <w:pPr>
        <w:pStyle w:val="SingleTxtGR"/>
        <w:pageBreakBefore/>
      </w:pPr>
      <w:r w:rsidRPr="0080587C">
        <w:tab/>
        <w:t>5.</w:t>
      </w:r>
      <w:r w:rsidRPr="0080587C">
        <w:tab/>
      </w:r>
      <w:r w:rsidRPr="0080587C">
        <w:rPr>
          <w:i/>
        </w:rPr>
        <w:t>призывает</w:t>
      </w:r>
      <w:r w:rsidRPr="0080587C">
        <w:t xml:space="preserve"> государства поощрять профессионально-техническое образование и профессиональную подготовку, а также ученичество путем ос</w:t>
      </w:r>
      <w:r w:rsidRPr="0080587C">
        <w:t>у</w:t>
      </w:r>
      <w:r w:rsidRPr="0080587C">
        <w:t>ществления соответствующих политики и программ в качестве средства реал</w:t>
      </w:r>
      <w:r w:rsidRPr="0080587C">
        <w:t>и</w:t>
      </w:r>
      <w:r w:rsidRPr="0080587C">
        <w:t>зации права на образование;</w:t>
      </w:r>
    </w:p>
    <w:p w:rsidR="0080587C" w:rsidRPr="0080587C" w:rsidRDefault="0080587C" w:rsidP="0080587C">
      <w:pPr>
        <w:pStyle w:val="SingleTxtGR"/>
      </w:pPr>
      <w:r w:rsidRPr="0080587C">
        <w:tab/>
        <w:t>6.</w:t>
      </w:r>
      <w:r w:rsidRPr="0080587C">
        <w:tab/>
      </w:r>
      <w:r w:rsidRPr="0080587C">
        <w:rPr>
          <w:i/>
        </w:rPr>
        <w:t>приветствует</w:t>
      </w:r>
      <w:r w:rsidRPr="0080587C">
        <w:t>: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а</w:t>
      </w:r>
      <w:r w:rsidRPr="0080587C">
        <w:t>)</w:t>
      </w:r>
      <w:r w:rsidRPr="0080587C">
        <w:tab/>
        <w:t>работу Специального докладчика по вопросу о праве на образов</w:t>
      </w:r>
      <w:r w:rsidRPr="0080587C">
        <w:t>а</w:t>
      </w:r>
      <w:r w:rsidRPr="0080587C">
        <w:t>ние и принимает к сведению ее последний доклад, посвященный вопросу о р</w:t>
      </w:r>
      <w:r w:rsidRPr="0080587C">
        <w:t>е</w:t>
      </w:r>
      <w:r w:rsidRPr="0080587C">
        <w:t>ализации права на  образование через неформальное образование</w:t>
      </w:r>
      <w:r w:rsidRPr="004A7FCF">
        <w:rPr>
          <w:sz w:val="18"/>
          <w:vertAlign w:val="superscript"/>
        </w:rPr>
        <w:footnoteReference w:id="3"/>
      </w:r>
      <w:r w:rsidRPr="0080587C">
        <w:t>;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b</w:t>
      </w:r>
      <w:r w:rsidRPr="0080587C">
        <w:t>)</w:t>
      </w:r>
      <w:r w:rsidRPr="0080587C">
        <w:tab/>
        <w:t>работу договорных органов и специальных процедур Совета по правам человека по поощрению права на образование, а также работу, прод</w:t>
      </w:r>
      <w:r w:rsidRPr="0080587C">
        <w:t>е</w:t>
      </w:r>
      <w:r w:rsidRPr="0080587C">
        <w:t>ланную Управлением Верховного комиссара Организации Объединенных Наций по правам человека в целях поощрения права на образование на уровне стран, регионов и штаб-квартир;</w:t>
      </w:r>
    </w:p>
    <w:p w:rsidR="0080587C" w:rsidRPr="0080587C" w:rsidRDefault="0080587C" w:rsidP="0080587C">
      <w:pPr>
        <w:pStyle w:val="SingleTxtGR"/>
      </w:pPr>
      <w:r w:rsidRPr="0080587C">
        <w:tab/>
      </w:r>
      <w:r w:rsidRPr="0080587C">
        <w:rPr>
          <w:i/>
        </w:rPr>
        <w:t>c</w:t>
      </w:r>
      <w:r w:rsidRPr="0080587C">
        <w:t>)</w:t>
      </w:r>
      <w:r w:rsidRPr="0080587C">
        <w:tab/>
        <w:t>вклад Детского фонда Организации Объединенных Наций, Орган</w:t>
      </w:r>
      <w:r w:rsidRPr="0080587C">
        <w:t>и</w:t>
      </w:r>
      <w:r w:rsidRPr="0080587C">
        <w:t>зации Объединенных Наций по вопросам образования, науки и культуры, во</w:t>
      </w:r>
      <w:r w:rsidRPr="0080587C">
        <w:t>з</w:t>
      </w:r>
      <w:r w:rsidRPr="0080587C">
        <w:t xml:space="preserve">главляющей работу по достижению Цели 4 </w:t>
      </w:r>
      <w:r w:rsidR="00C96A56">
        <w:t>в области устойчивого развития,</w:t>
      </w:r>
      <w:r w:rsidR="00C96A56" w:rsidRPr="00C96A56">
        <w:br/>
      </w:r>
      <w:r w:rsidRPr="0080587C">
        <w:t>и других соответствующих органов в достижение целей программы «Образов</w:t>
      </w:r>
      <w:r w:rsidRPr="0080587C">
        <w:t>а</w:t>
      </w:r>
      <w:r w:rsidRPr="0080587C">
        <w:t>ние для всех» и связанных с образованием целей в области устойчивого разв</w:t>
      </w:r>
      <w:r w:rsidRPr="0080587C">
        <w:t>и</w:t>
      </w:r>
      <w:r w:rsidRPr="0080587C">
        <w:t>тия;</w:t>
      </w:r>
    </w:p>
    <w:p w:rsidR="0080587C" w:rsidRPr="0080587C" w:rsidRDefault="0080587C" w:rsidP="0080587C">
      <w:pPr>
        <w:pStyle w:val="SingleTxtGR"/>
      </w:pPr>
      <w:r w:rsidRPr="0080587C">
        <w:tab/>
        <w:t>7.</w:t>
      </w:r>
      <w:r w:rsidRPr="0080587C">
        <w:tab/>
      </w:r>
      <w:r w:rsidRPr="0080587C">
        <w:rPr>
          <w:i/>
        </w:rPr>
        <w:t>призывает</w:t>
      </w:r>
      <w:r w:rsidRPr="0080587C">
        <w:t xml:space="preserve"> государства осуществлять Повестку дня в области устойчивого развития на период до 2030 года</w:t>
      </w:r>
      <w:proofErr w:type="gramStart"/>
      <w:r w:rsidRPr="0080587C">
        <w:rPr>
          <w:vertAlign w:val="superscript"/>
        </w:rPr>
        <w:t>1</w:t>
      </w:r>
      <w:proofErr w:type="gramEnd"/>
      <w:r w:rsidRPr="0080587C">
        <w:t>, включая Цель 4 в области устойчивого развития, с тем чтобы обеспечить всеохватное и справедливое к</w:t>
      </w:r>
      <w:r w:rsidRPr="0080587C">
        <w:t>а</w:t>
      </w:r>
      <w:r w:rsidRPr="0080587C">
        <w:t>чественное образование и поощрять возможности обучения на протяжении всей жизни для всех;</w:t>
      </w:r>
    </w:p>
    <w:p w:rsidR="0080587C" w:rsidRPr="0080587C" w:rsidRDefault="0080587C" w:rsidP="0080587C">
      <w:pPr>
        <w:pStyle w:val="SingleTxtGR"/>
      </w:pPr>
      <w:r w:rsidRPr="0080587C">
        <w:tab/>
        <w:t>8.</w:t>
      </w:r>
      <w:r w:rsidRPr="0080587C">
        <w:tab/>
      </w:r>
      <w:r w:rsidRPr="0080587C">
        <w:rPr>
          <w:i/>
        </w:rPr>
        <w:t>постановляет</w:t>
      </w:r>
      <w:r w:rsidRPr="0080587C">
        <w:t xml:space="preserve"> продлить мандат Специального докладчика по в</w:t>
      </w:r>
      <w:r w:rsidRPr="0080587C">
        <w:t>о</w:t>
      </w:r>
      <w:r w:rsidRPr="0080587C">
        <w:t>просу о праве на образование на трехлетний период;</w:t>
      </w:r>
    </w:p>
    <w:p w:rsidR="0080587C" w:rsidRPr="0080587C" w:rsidRDefault="0080587C" w:rsidP="0080587C">
      <w:pPr>
        <w:pStyle w:val="SingleTxtGR"/>
      </w:pPr>
      <w:r w:rsidRPr="0080587C">
        <w:tab/>
        <w:t>9.</w:t>
      </w:r>
      <w:r w:rsidRPr="0080587C">
        <w:tab/>
      </w:r>
      <w:r w:rsidRPr="0080587C">
        <w:rPr>
          <w:i/>
        </w:rPr>
        <w:t>просит</w:t>
      </w:r>
      <w:r w:rsidRPr="0080587C">
        <w:t xml:space="preserve"> Специального докладчика в полной мере учитывать при осуществлении ее мандата все положения резолюций Совета по правам челов</w:t>
      </w:r>
      <w:r w:rsidRPr="0080587C">
        <w:t>е</w:t>
      </w:r>
      <w:r w:rsidRPr="0080587C">
        <w:t>ка по вопросу о праве на образование и учитывать гендерную проблематику в ее работе;</w:t>
      </w:r>
    </w:p>
    <w:p w:rsidR="0080587C" w:rsidRPr="0080587C" w:rsidRDefault="0080587C" w:rsidP="0080587C">
      <w:pPr>
        <w:pStyle w:val="SingleTxtGR"/>
      </w:pPr>
      <w:r w:rsidRPr="0080587C">
        <w:tab/>
        <w:t>10.</w:t>
      </w:r>
      <w:r w:rsidRPr="0080587C">
        <w:tab/>
      </w:r>
      <w:r w:rsidRPr="0080587C">
        <w:rPr>
          <w:i/>
        </w:rPr>
        <w:t>просит</w:t>
      </w:r>
      <w:r w:rsidRPr="0080587C">
        <w:t xml:space="preserve"> все государства продолжать сотрудничать со Специальным докладчиком, с </w:t>
      </w:r>
      <w:proofErr w:type="gramStart"/>
      <w:r w:rsidRPr="0080587C">
        <w:t>тем</w:t>
      </w:r>
      <w:proofErr w:type="gramEnd"/>
      <w:r w:rsidRPr="0080587C">
        <w:t xml:space="preserve"> чтобы содействовать в выполнении ее задач в процессе осуществления ее мандата и положительно реагировать на ее просьбы о пред</w:t>
      </w:r>
      <w:r w:rsidRPr="0080587C">
        <w:t>о</w:t>
      </w:r>
      <w:r w:rsidRPr="0080587C">
        <w:t>ставлении информации и организации поездок;</w:t>
      </w:r>
    </w:p>
    <w:p w:rsidR="0080587C" w:rsidRPr="0080587C" w:rsidRDefault="0080587C" w:rsidP="0080587C">
      <w:pPr>
        <w:pStyle w:val="SingleTxtGR"/>
      </w:pPr>
      <w:r w:rsidRPr="0080587C">
        <w:tab/>
        <w:t>11.</w:t>
      </w:r>
      <w:r w:rsidRPr="0080587C">
        <w:tab/>
      </w:r>
      <w:r w:rsidRPr="0080587C">
        <w:rPr>
          <w:i/>
        </w:rPr>
        <w:t>просит</w:t>
      </w:r>
      <w:r w:rsidRPr="0080587C">
        <w:t xml:space="preserve"> Генерального секретаря и Верховного комиссара Организ</w:t>
      </w:r>
      <w:r w:rsidRPr="0080587C">
        <w:t>а</w:t>
      </w:r>
      <w:r w:rsidRPr="0080587C">
        <w:t>ции Объединенных Наций по правам человека предоставлять все людские и финансовые ресурсы, необходимые для эффективного осуществления мандата Специального докладчика;</w:t>
      </w:r>
    </w:p>
    <w:p w:rsidR="0080587C" w:rsidRPr="0080587C" w:rsidRDefault="0080587C" w:rsidP="0080587C">
      <w:pPr>
        <w:pStyle w:val="SingleTxtGR"/>
      </w:pPr>
      <w:r w:rsidRPr="0080587C">
        <w:tab/>
      </w:r>
      <w:proofErr w:type="gramStart"/>
      <w:r w:rsidRPr="0080587C">
        <w:t>12.</w:t>
      </w:r>
      <w:r w:rsidRPr="0080587C">
        <w:tab/>
      </w:r>
      <w:r w:rsidRPr="0080587C">
        <w:rPr>
          <w:i/>
        </w:rPr>
        <w:t>вновь подтверждает</w:t>
      </w:r>
      <w:r w:rsidRPr="0080587C">
        <w:t xml:space="preserve"> обязательства и обязанности в индивидуал</w:t>
      </w:r>
      <w:r w:rsidRPr="0080587C">
        <w:t>ь</w:t>
      </w:r>
      <w:r w:rsidRPr="0080587C">
        <w:t>ном порядке и в рамках международной помощи и сотрудничества, в частности в экономической и технической областях, принимать в максимальных пределах имеющихся ресурсов меры к тому, чтобы обеспечить постепенно полную ре</w:t>
      </w:r>
      <w:r w:rsidRPr="0080587C">
        <w:t>а</w:t>
      </w:r>
      <w:r w:rsidRPr="0080587C">
        <w:t xml:space="preserve">лизацию права на образование всеми </w:t>
      </w:r>
      <w:r w:rsidR="00C96A56">
        <w:t>надлежащими способами, включая,</w:t>
      </w:r>
      <w:r w:rsidR="00C96A56" w:rsidRPr="00C96A56">
        <w:br/>
      </w:r>
      <w:r w:rsidRPr="0080587C">
        <w:t>в частности, принятие законодательных мер;</w:t>
      </w:r>
      <w:proofErr w:type="gramEnd"/>
    </w:p>
    <w:p w:rsidR="0080587C" w:rsidRPr="0080587C" w:rsidRDefault="0080587C" w:rsidP="0080587C">
      <w:pPr>
        <w:pStyle w:val="SingleTxtGR"/>
      </w:pPr>
      <w:r w:rsidRPr="0080587C">
        <w:tab/>
        <w:t>13.</w:t>
      </w:r>
      <w:r w:rsidRPr="0080587C">
        <w:tab/>
      </w:r>
      <w:r w:rsidRPr="0080587C">
        <w:rPr>
          <w:i/>
        </w:rPr>
        <w:t>призывает</w:t>
      </w:r>
      <w:r w:rsidRPr="0080587C">
        <w:t xml:space="preserve"> государства принимать все необходимые меры, включая выделение достаточных бюджетных средств, для обеспечения инклюзивного, равноправного и недискриминационного качественного образования и поощр</w:t>
      </w:r>
      <w:r w:rsidRPr="0080587C">
        <w:t>е</w:t>
      </w:r>
      <w:r w:rsidRPr="0080587C">
        <w:t>ния возможностей обучения для всех людей, уделяя особое внимание девочкам, маргинализированным детям, престарелым, инвалидам и лицам с низким уро</w:t>
      </w:r>
      <w:r w:rsidRPr="0080587C">
        <w:t>в</w:t>
      </w:r>
      <w:r w:rsidRPr="0080587C">
        <w:t>нем квалификации;</w:t>
      </w:r>
    </w:p>
    <w:p w:rsidR="0080587C" w:rsidRPr="0080587C" w:rsidRDefault="0080587C" w:rsidP="0080587C">
      <w:pPr>
        <w:pStyle w:val="SingleTxtGR"/>
      </w:pPr>
      <w:r w:rsidRPr="0080587C">
        <w:tab/>
        <w:t>14.</w:t>
      </w:r>
      <w:r w:rsidRPr="0080587C">
        <w:tab/>
      </w:r>
      <w:r w:rsidRPr="0080587C">
        <w:rPr>
          <w:i/>
        </w:rPr>
        <w:t>подчеркивает</w:t>
      </w:r>
      <w:r w:rsidRPr="0080587C">
        <w:t xml:space="preserve"> важность международного сотрудничества, включая обмен информацией о передовой практике, и технического сотрудничества, наращивания потенциала, финансовой помощи и передачи технологий на вз</w:t>
      </w:r>
      <w:r w:rsidRPr="0080587C">
        <w:t>а</w:t>
      </w:r>
      <w:r w:rsidRPr="0080587C">
        <w:t>имно согласованных условиях в деле реализации права на образование,</w:t>
      </w:r>
      <w:r w:rsidRPr="0080587C">
        <w:br/>
        <w:t>в том числе путем использования информационно-коммуникационных технол</w:t>
      </w:r>
      <w:r w:rsidRPr="0080587C">
        <w:t>о</w:t>
      </w:r>
      <w:r w:rsidRPr="0080587C">
        <w:t>гий;</w:t>
      </w:r>
    </w:p>
    <w:p w:rsidR="0080587C" w:rsidRPr="0080587C" w:rsidRDefault="0080587C" w:rsidP="0080587C">
      <w:pPr>
        <w:pStyle w:val="SingleTxtGR"/>
      </w:pPr>
      <w:r w:rsidRPr="0080587C">
        <w:tab/>
        <w:t>15.</w:t>
      </w:r>
      <w:r w:rsidRPr="0080587C">
        <w:tab/>
      </w:r>
      <w:r w:rsidRPr="0080587C">
        <w:rPr>
          <w:i/>
        </w:rPr>
        <w:t>призывает</w:t>
      </w:r>
      <w:r w:rsidRPr="0080587C">
        <w:t xml:space="preserve"> государства продолжать прилагать усилия с целью укрепления защиты дошкольных учреждений, школ и университетов от напад</w:t>
      </w:r>
      <w:r w:rsidRPr="0080587C">
        <w:t>е</w:t>
      </w:r>
      <w:r w:rsidRPr="0080587C">
        <w:t>ний и рекомендует прилагать усилия по обеспечению безопасных, инклюзи</w:t>
      </w:r>
      <w:r w:rsidRPr="0080587C">
        <w:t>в</w:t>
      </w:r>
      <w:r w:rsidRPr="0080587C">
        <w:t>ных и благоприятных для учебы условий и качественного всеобщего образов</w:t>
      </w:r>
      <w:r w:rsidRPr="0080587C">
        <w:t>а</w:t>
      </w:r>
      <w:r w:rsidRPr="0080587C">
        <w:t>ния в надлежащие сроки, в том числе высшего образования в условиях чрезв</w:t>
      </w:r>
      <w:r w:rsidRPr="0080587C">
        <w:t>ы</w:t>
      </w:r>
      <w:r w:rsidRPr="0080587C">
        <w:t>чайных гуманитарных ситуаций и конфликтов;</w:t>
      </w:r>
    </w:p>
    <w:p w:rsidR="0080587C" w:rsidRPr="0080587C" w:rsidRDefault="0080587C" w:rsidP="0080587C">
      <w:pPr>
        <w:pStyle w:val="SingleTxtGR"/>
      </w:pPr>
      <w:r w:rsidRPr="0080587C">
        <w:tab/>
        <w:t>16.</w:t>
      </w:r>
      <w:r w:rsidRPr="0080587C">
        <w:tab/>
      </w:r>
      <w:r w:rsidRPr="0080587C">
        <w:rPr>
          <w:i/>
        </w:rPr>
        <w:t>рекомендует</w:t>
      </w:r>
      <w:r w:rsidRPr="0080587C">
        <w:t xml:space="preserve"> всем государствам измерять прогресс в деле реализ</w:t>
      </w:r>
      <w:r w:rsidRPr="0080587C">
        <w:t>а</w:t>
      </w:r>
      <w:r w:rsidRPr="0080587C">
        <w:t>ции права на образование, например путем разработки национальных показат</w:t>
      </w:r>
      <w:r w:rsidRPr="0080587C">
        <w:t>е</w:t>
      </w:r>
      <w:r w:rsidRPr="0080587C">
        <w:t>лей как важного инструмента реализации права на образование, выработки п</w:t>
      </w:r>
      <w:r w:rsidRPr="0080587C">
        <w:t>о</w:t>
      </w:r>
      <w:r w:rsidRPr="0080587C">
        <w:t>литики, оценки воздействия и обеспечения прозрачности;</w:t>
      </w:r>
    </w:p>
    <w:p w:rsidR="0080587C" w:rsidRPr="0080587C" w:rsidRDefault="0080587C" w:rsidP="0080587C">
      <w:pPr>
        <w:pStyle w:val="SingleTxtGR"/>
      </w:pPr>
      <w:r w:rsidRPr="0080587C">
        <w:tab/>
        <w:t>17.</w:t>
      </w:r>
      <w:r w:rsidRPr="0080587C">
        <w:tab/>
      </w:r>
      <w:r w:rsidRPr="0080587C">
        <w:rPr>
          <w:i/>
        </w:rPr>
        <w:t>призывает</w:t>
      </w:r>
      <w:r w:rsidRPr="0080587C">
        <w:t xml:space="preserve"> государства активизировать усилия, направленные на ликвидацию гендерной дискриминации и всех форм насилия, включая травлю детей, в школах и других учебных заведениях, таких как гендерно обусловле</w:t>
      </w:r>
      <w:r w:rsidRPr="0080587C">
        <w:t>н</w:t>
      </w:r>
      <w:r w:rsidRPr="0080587C">
        <w:t>ное насилие в школах, и обеспечить достижение гендерного равенства и реал</w:t>
      </w:r>
      <w:r w:rsidRPr="0080587C">
        <w:t>и</w:t>
      </w:r>
      <w:r w:rsidRPr="0080587C">
        <w:t>зацию права на образование для всех;</w:t>
      </w:r>
    </w:p>
    <w:p w:rsidR="0080587C" w:rsidRPr="0080587C" w:rsidRDefault="0080587C" w:rsidP="0080587C">
      <w:pPr>
        <w:pStyle w:val="SingleTxtGR"/>
      </w:pPr>
      <w:r w:rsidRPr="0080587C">
        <w:tab/>
        <w:t>18.</w:t>
      </w:r>
      <w:r w:rsidRPr="0080587C">
        <w:tab/>
      </w:r>
      <w:r w:rsidRPr="0080587C">
        <w:rPr>
          <w:i/>
        </w:rPr>
        <w:t>рекомендует</w:t>
      </w:r>
      <w:r w:rsidRPr="0080587C">
        <w:t xml:space="preserve"> государствам рассматривать возможность защиты в судебном порядке при определении оптимального способа придания юридич</w:t>
      </w:r>
      <w:r w:rsidRPr="0080587C">
        <w:t>е</w:t>
      </w:r>
      <w:r w:rsidRPr="0080587C">
        <w:t>ской силы праву на образование в системе внутреннего права;</w:t>
      </w:r>
    </w:p>
    <w:p w:rsidR="0080587C" w:rsidRPr="0080587C" w:rsidRDefault="0080587C" w:rsidP="0080587C">
      <w:pPr>
        <w:pStyle w:val="SingleTxtGR"/>
      </w:pPr>
      <w:r w:rsidRPr="0080587C">
        <w:tab/>
      </w:r>
      <w:proofErr w:type="gramStart"/>
      <w:r w:rsidRPr="0080587C">
        <w:t>19.</w:t>
      </w:r>
      <w:r w:rsidRPr="0080587C">
        <w:tab/>
      </w:r>
      <w:r w:rsidRPr="0080587C">
        <w:rPr>
          <w:i/>
        </w:rPr>
        <w:t>признает</w:t>
      </w:r>
      <w:r w:rsidRPr="0080587C">
        <w:t xml:space="preserve"> роль, которую процедуры представления сообщений м</w:t>
      </w:r>
      <w:r w:rsidRPr="0080587C">
        <w:t>о</w:t>
      </w:r>
      <w:r w:rsidRPr="0080587C">
        <w:t>гут играть в содействии возможности защиты права на образование в судебном порядке, и в этой связи призывает все государства, которые еще не подписали и не ратифицировали Факультативный протокол к Международному пакту об экономических, социальных и культурных правах, рассмотреть возможность сделать это в первоочередном порядке;</w:t>
      </w:r>
      <w:proofErr w:type="gramEnd"/>
    </w:p>
    <w:p w:rsidR="0080587C" w:rsidRPr="0080587C" w:rsidRDefault="0080587C" w:rsidP="0080587C">
      <w:pPr>
        <w:pStyle w:val="SingleTxtGR"/>
      </w:pPr>
      <w:r w:rsidRPr="0080587C">
        <w:tab/>
      </w:r>
      <w:proofErr w:type="gramStart"/>
      <w:r w:rsidRPr="0080587C">
        <w:t>20.</w:t>
      </w:r>
      <w:r w:rsidRPr="0080587C">
        <w:tab/>
      </w:r>
      <w:r w:rsidRPr="0080587C">
        <w:rPr>
          <w:i/>
        </w:rPr>
        <w:t>рекомендует</w:t>
      </w:r>
      <w:r w:rsidRPr="0080587C">
        <w:t xml:space="preserve"> Верховному комиссару, договорным органам, спец</w:t>
      </w:r>
      <w:r w:rsidRPr="0080587C">
        <w:t>и</w:t>
      </w:r>
      <w:r w:rsidRPr="0080587C">
        <w:t>альным процедурам Совета по правам человека и другим соответствующим о</w:t>
      </w:r>
      <w:r w:rsidRPr="0080587C">
        <w:t>р</w:t>
      </w:r>
      <w:r w:rsidRPr="0080587C">
        <w:t>ганам и механизмам, специализированным учреждениям, фондам и программам Организации Объединенных Наций в рамках их соответствующих мандатов продолжать предпринимать усилия по поощрению полной реализации права на образование во всем мире и укреплению их</w:t>
      </w:r>
      <w:r w:rsidR="00C96A56">
        <w:t xml:space="preserve"> сотрудничества в этой области,</w:t>
      </w:r>
      <w:r w:rsidR="00C96A56" w:rsidRPr="00C96A56">
        <w:br/>
      </w:r>
      <w:r w:rsidRPr="0080587C">
        <w:t>в том числе путем увеличения технической помощи правительствам;</w:t>
      </w:r>
      <w:proofErr w:type="gramEnd"/>
    </w:p>
    <w:p w:rsidR="0080587C" w:rsidRPr="0080587C" w:rsidRDefault="0080587C" w:rsidP="0080587C">
      <w:pPr>
        <w:pStyle w:val="SingleTxtGR"/>
      </w:pPr>
      <w:r w:rsidRPr="0080587C">
        <w:tab/>
        <w:t>21.</w:t>
      </w:r>
      <w:r w:rsidRPr="0080587C">
        <w:tab/>
      </w:r>
      <w:r w:rsidRPr="0080587C">
        <w:rPr>
          <w:i/>
        </w:rPr>
        <w:t>высоко оценивает</w:t>
      </w:r>
      <w:r w:rsidRPr="0080587C">
        <w:t xml:space="preserve"> вклад национальных правозащитных учрежд</w:t>
      </w:r>
      <w:r w:rsidRPr="0080587C">
        <w:t>е</w:t>
      </w:r>
      <w:r w:rsidRPr="0080587C">
        <w:t>ний, гражданского общества, включая неправите</w:t>
      </w:r>
      <w:r w:rsidR="00C96A56">
        <w:t>льственные организации,</w:t>
      </w:r>
      <w:r w:rsidR="00C96A56" w:rsidRPr="00C96A56">
        <w:br/>
      </w:r>
      <w:r w:rsidRPr="0080587C">
        <w:t>и парламентариев в реализацию права на образование, в том числе путем с</w:t>
      </w:r>
      <w:r w:rsidRPr="0080587C">
        <w:t>о</w:t>
      </w:r>
      <w:r w:rsidRPr="0080587C">
        <w:t>трудничества со Специальным докладчиком;</w:t>
      </w:r>
    </w:p>
    <w:p w:rsidR="0080587C" w:rsidRPr="0080587C" w:rsidRDefault="0080587C" w:rsidP="0080587C">
      <w:pPr>
        <w:pStyle w:val="SingleTxtGR"/>
      </w:pPr>
      <w:r w:rsidRPr="0080587C">
        <w:tab/>
        <w:t>22.</w:t>
      </w:r>
      <w:r w:rsidRPr="0080587C">
        <w:tab/>
      </w:r>
      <w:r w:rsidRPr="0080587C">
        <w:rPr>
          <w:i/>
        </w:rPr>
        <w:t>постановляет</w:t>
      </w:r>
      <w:r w:rsidRPr="0080587C">
        <w:t xml:space="preserve"> продолжать заниматься этим вопросом.</w:t>
      </w:r>
    </w:p>
    <w:p w:rsidR="0080587C" w:rsidRPr="0080587C" w:rsidRDefault="0080587C" w:rsidP="0080587C">
      <w:pPr>
        <w:pStyle w:val="SingleTxtGR"/>
        <w:jc w:val="right"/>
        <w:rPr>
          <w:i/>
          <w:iCs/>
        </w:rPr>
      </w:pPr>
      <w:r w:rsidRPr="0080587C">
        <w:rPr>
          <w:i/>
          <w:iCs/>
        </w:rPr>
        <w:t>34-е заседание</w:t>
      </w:r>
      <w:r w:rsidRPr="0080587C">
        <w:rPr>
          <w:i/>
          <w:iCs/>
        </w:rPr>
        <w:br/>
        <w:t>22 июня 2017 года</w:t>
      </w:r>
    </w:p>
    <w:p w:rsidR="0080587C" w:rsidRPr="0080587C" w:rsidRDefault="0080587C" w:rsidP="0080587C">
      <w:pPr>
        <w:pStyle w:val="SingleTxtGR"/>
      </w:pPr>
      <w:r w:rsidRPr="0080587C">
        <w:t>[</w:t>
      </w:r>
      <w:proofErr w:type="gramStart"/>
      <w:r w:rsidRPr="0080587C">
        <w:t>Принята</w:t>
      </w:r>
      <w:proofErr w:type="gramEnd"/>
      <w:r w:rsidRPr="0080587C">
        <w:t xml:space="preserve"> без голосования</w:t>
      </w:r>
      <w:r>
        <w:t>.</w:t>
      </w:r>
      <w:r w:rsidRPr="0080587C">
        <w:t>]</w:t>
      </w:r>
    </w:p>
    <w:p w:rsidR="00F12933" w:rsidRPr="0080587C" w:rsidRDefault="0080587C" w:rsidP="0080587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2933" w:rsidRPr="0080587C" w:rsidSect="008058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88" w:rsidRPr="00A312BC" w:rsidRDefault="00260488" w:rsidP="00A312BC"/>
  </w:endnote>
  <w:endnote w:type="continuationSeparator" w:id="0">
    <w:p w:rsidR="00260488" w:rsidRPr="00A312BC" w:rsidRDefault="002604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7C" w:rsidRPr="0080587C" w:rsidRDefault="0080587C">
    <w:pPr>
      <w:pStyle w:val="a8"/>
    </w:pPr>
    <w:r w:rsidRPr="0080587C">
      <w:rPr>
        <w:b/>
        <w:sz w:val="18"/>
      </w:rPr>
      <w:fldChar w:fldCharType="begin"/>
    </w:r>
    <w:r w:rsidRPr="0080587C">
      <w:rPr>
        <w:b/>
        <w:sz w:val="18"/>
      </w:rPr>
      <w:instrText xml:space="preserve"> PAGE  \* MERGEFORMAT </w:instrText>
    </w:r>
    <w:r w:rsidRPr="0080587C">
      <w:rPr>
        <w:b/>
        <w:sz w:val="18"/>
      </w:rPr>
      <w:fldChar w:fldCharType="separate"/>
    </w:r>
    <w:r w:rsidR="0081287F">
      <w:rPr>
        <w:b/>
        <w:noProof/>
        <w:sz w:val="18"/>
      </w:rPr>
      <w:t>2</w:t>
    </w:r>
    <w:r w:rsidRPr="0080587C">
      <w:rPr>
        <w:b/>
        <w:sz w:val="18"/>
      </w:rPr>
      <w:fldChar w:fldCharType="end"/>
    </w:r>
    <w:r>
      <w:rPr>
        <w:b/>
        <w:sz w:val="18"/>
      </w:rPr>
      <w:tab/>
    </w:r>
    <w:r>
      <w:t>GE.17-11517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7C" w:rsidRPr="0080587C" w:rsidRDefault="0080587C" w:rsidP="0080587C">
    <w:pPr>
      <w:pStyle w:val="a8"/>
      <w:tabs>
        <w:tab w:val="clear" w:pos="9639"/>
        <w:tab w:val="right" w:pos="9638"/>
      </w:tabs>
      <w:rPr>
        <w:b/>
        <w:sz w:val="18"/>
      </w:rPr>
    </w:pPr>
    <w:r>
      <w:t>GE.17-11517</w:t>
    </w:r>
    <w:r>
      <w:tab/>
    </w:r>
    <w:r w:rsidRPr="0080587C">
      <w:rPr>
        <w:b/>
        <w:sz w:val="18"/>
      </w:rPr>
      <w:fldChar w:fldCharType="begin"/>
    </w:r>
    <w:r w:rsidRPr="0080587C">
      <w:rPr>
        <w:b/>
        <w:sz w:val="18"/>
      </w:rPr>
      <w:instrText xml:space="preserve"> PAGE  \* MERGEFORMAT </w:instrText>
    </w:r>
    <w:r w:rsidRPr="0080587C">
      <w:rPr>
        <w:b/>
        <w:sz w:val="18"/>
      </w:rPr>
      <w:fldChar w:fldCharType="separate"/>
    </w:r>
    <w:r w:rsidR="0081287F">
      <w:rPr>
        <w:b/>
        <w:noProof/>
        <w:sz w:val="18"/>
      </w:rPr>
      <w:t>3</w:t>
    </w:r>
    <w:r w:rsidRPr="008058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0587C" w:rsidRDefault="0080587C" w:rsidP="0080587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E037F02" wp14:editId="572C35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17-11517  (R)</w:t>
    </w:r>
    <w:r>
      <w:rPr>
        <w:lang w:val="en-US"/>
      </w:rPr>
      <w:t xml:space="preserve">  130717  130717</w:t>
    </w:r>
    <w:r>
      <w:br/>
    </w:r>
    <w:r w:rsidRPr="0080587C">
      <w:rPr>
        <w:rFonts w:ascii="C39T30Lfz" w:hAnsi="C39T30Lfz"/>
        <w:spacing w:val="0"/>
        <w:w w:val="100"/>
        <w:sz w:val="56"/>
      </w:rPr>
      <w:t></w:t>
    </w:r>
    <w:r w:rsidRPr="0080587C">
      <w:rPr>
        <w:rFonts w:ascii="C39T30Lfz" w:hAnsi="C39T30Lfz"/>
        <w:spacing w:val="0"/>
        <w:w w:val="100"/>
        <w:sz w:val="56"/>
      </w:rPr>
      <w:t></w:t>
    </w:r>
    <w:r w:rsidRPr="0080587C">
      <w:rPr>
        <w:rFonts w:ascii="C39T30Lfz" w:hAnsi="C39T30Lfz"/>
        <w:spacing w:val="0"/>
        <w:w w:val="100"/>
        <w:sz w:val="56"/>
      </w:rPr>
      <w:t></w:t>
    </w:r>
    <w:r w:rsidRPr="0080587C">
      <w:rPr>
        <w:rFonts w:ascii="C39T30Lfz" w:hAnsi="C39T30Lfz"/>
        <w:spacing w:val="0"/>
        <w:w w:val="100"/>
        <w:sz w:val="56"/>
      </w:rPr>
      <w:t></w:t>
    </w:r>
    <w:r w:rsidRPr="0080587C">
      <w:rPr>
        <w:rFonts w:ascii="C39T30Lfz" w:hAnsi="C39T30Lfz"/>
        <w:spacing w:val="0"/>
        <w:w w:val="100"/>
        <w:sz w:val="56"/>
      </w:rPr>
      <w:t></w:t>
    </w:r>
    <w:r w:rsidRPr="0080587C">
      <w:rPr>
        <w:rFonts w:ascii="C39T30Lfz" w:hAnsi="C39T30Lfz"/>
        <w:spacing w:val="0"/>
        <w:w w:val="100"/>
        <w:sz w:val="56"/>
      </w:rPr>
      <w:t></w:t>
    </w:r>
    <w:r w:rsidRPr="0080587C">
      <w:rPr>
        <w:rFonts w:ascii="C39T30Lfz" w:hAnsi="C39T30Lfz"/>
        <w:spacing w:val="0"/>
        <w:w w:val="100"/>
        <w:sz w:val="56"/>
      </w:rPr>
      <w:t></w:t>
    </w:r>
    <w:r w:rsidRPr="0080587C">
      <w:rPr>
        <w:rFonts w:ascii="C39T30Lfz" w:hAnsi="C39T30Lfz"/>
        <w:spacing w:val="0"/>
        <w:w w:val="100"/>
        <w:sz w:val="56"/>
      </w:rPr>
      <w:t></w:t>
    </w:r>
    <w:r w:rsidRPr="0080587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A/HRC/RES/35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5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88" w:rsidRPr="001075E9" w:rsidRDefault="002604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0488" w:rsidRDefault="002604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0587C" w:rsidRPr="00F002E8" w:rsidRDefault="0080587C" w:rsidP="0080587C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Резолюция 70/1 Генеральной Ассамблеи.</w:t>
      </w:r>
    </w:p>
  </w:footnote>
  <w:footnote w:id="2">
    <w:p w:rsidR="0080587C" w:rsidRPr="00F002E8" w:rsidRDefault="0080587C" w:rsidP="0080587C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Резолюция 69/313 Генеральной Ассамблеи, приложение.</w:t>
      </w:r>
    </w:p>
  </w:footnote>
  <w:footnote w:id="3">
    <w:p w:rsidR="0080587C" w:rsidRPr="00BB65B1" w:rsidRDefault="0080587C" w:rsidP="0080587C">
      <w:pPr>
        <w:pStyle w:val="ad"/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A/HRC/35/24.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7C" w:rsidRPr="0080587C" w:rsidRDefault="00AA4B0D">
    <w:pPr>
      <w:pStyle w:val="a5"/>
    </w:pPr>
    <w:fldSimple w:instr=" TITLE  \* MERGEFORMAT ">
      <w:r w:rsidR="0081287F">
        <w:t>A/HRC/RES/35/2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7C" w:rsidRPr="0080587C" w:rsidRDefault="00AA4B0D" w:rsidP="0080587C">
    <w:pPr>
      <w:pStyle w:val="a5"/>
      <w:jc w:val="right"/>
    </w:pPr>
    <w:fldSimple w:instr=" TITLE  \* MERGEFORMAT ">
      <w:r w:rsidR="0081287F">
        <w:t>A/HRC/RES/35/2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16"/>
  </w:num>
  <w:num w:numId="20">
    <w:abstractNumId w:val="12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8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80183"/>
    <w:rsid w:val="0018024D"/>
    <w:rsid w:val="0018649F"/>
    <w:rsid w:val="00190C89"/>
    <w:rsid w:val="00196389"/>
    <w:rsid w:val="001B3EF6"/>
    <w:rsid w:val="001C503C"/>
    <w:rsid w:val="001C7A89"/>
    <w:rsid w:val="00245734"/>
    <w:rsid w:val="00260488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FED"/>
    <w:rsid w:val="00381C24"/>
    <w:rsid w:val="003958D0"/>
    <w:rsid w:val="003B00E5"/>
    <w:rsid w:val="003F7576"/>
    <w:rsid w:val="0040448D"/>
    <w:rsid w:val="00407B78"/>
    <w:rsid w:val="00407C6E"/>
    <w:rsid w:val="00424203"/>
    <w:rsid w:val="00452493"/>
    <w:rsid w:val="00454E07"/>
    <w:rsid w:val="00472C5C"/>
    <w:rsid w:val="00481AF7"/>
    <w:rsid w:val="004A7FCF"/>
    <w:rsid w:val="004F5E2B"/>
    <w:rsid w:val="0050108D"/>
    <w:rsid w:val="00513081"/>
    <w:rsid w:val="00517901"/>
    <w:rsid w:val="00526683"/>
    <w:rsid w:val="005709E0"/>
    <w:rsid w:val="00572E19"/>
    <w:rsid w:val="00593FAC"/>
    <w:rsid w:val="005961C8"/>
    <w:rsid w:val="005D3991"/>
    <w:rsid w:val="005D6E72"/>
    <w:rsid w:val="005D7914"/>
    <w:rsid w:val="005E2B41"/>
    <w:rsid w:val="005F0B42"/>
    <w:rsid w:val="00605EA7"/>
    <w:rsid w:val="00681A10"/>
    <w:rsid w:val="006A1ED8"/>
    <w:rsid w:val="006B6BF8"/>
    <w:rsid w:val="006C2031"/>
    <w:rsid w:val="006D461A"/>
    <w:rsid w:val="006F19F1"/>
    <w:rsid w:val="006F35EE"/>
    <w:rsid w:val="007021FF"/>
    <w:rsid w:val="00712895"/>
    <w:rsid w:val="00757357"/>
    <w:rsid w:val="0080587C"/>
    <w:rsid w:val="0081287F"/>
    <w:rsid w:val="00825F8D"/>
    <w:rsid w:val="00834B71"/>
    <w:rsid w:val="0086445C"/>
    <w:rsid w:val="00894693"/>
    <w:rsid w:val="008A08D7"/>
    <w:rsid w:val="008A1DC8"/>
    <w:rsid w:val="008B6909"/>
    <w:rsid w:val="008F19E2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A4B0D"/>
    <w:rsid w:val="00AB4B51"/>
    <w:rsid w:val="00AF4C09"/>
    <w:rsid w:val="00AF5B81"/>
    <w:rsid w:val="00AF79DB"/>
    <w:rsid w:val="00B10CC7"/>
    <w:rsid w:val="00B539E7"/>
    <w:rsid w:val="00B62458"/>
    <w:rsid w:val="00BB1C63"/>
    <w:rsid w:val="00BC18B2"/>
    <w:rsid w:val="00BD33EE"/>
    <w:rsid w:val="00BE3A57"/>
    <w:rsid w:val="00C03765"/>
    <w:rsid w:val="00C06E60"/>
    <w:rsid w:val="00C106D6"/>
    <w:rsid w:val="00C21584"/>
    <w:rsid w:val="00C60F0C"/>
    <w:rsid w:val="00C805C9"/>
    <w:rsid w:val="00C92939"/>
    <w:rsid w:val="00C96A56"/>
    <w:rsid w:val="00CA1679"/>
    <w:rsid w:val="00CB151C"/>
    <w:rsid w:val="00CE5A1A"/>
    <w:rsid w:val="00CF55F6"/>
    <w:rsid w:val="00CF572E"/>
    <w:rsid w:val="00D0440E"/>
    <w:rsid w:val="00D33D63"/>
    <w:rsid w:val="00D86A33"/>
    <w:rsid w:val="00D90028"/>
    <w:rsid w:val="00D90138"/>
    <w:rsid w:val="00DF71B9"/>
    <w:rsid w:val="00E73F76"/>
    <w:rsid w:val="00EA2C9F"/>
    <w:rsid w:val="00EB55A7"/>
    <w:rsid w:val="00ED0BDA"/>
    <w:rsid w:val="00EF1360"/>
    <w:rsid w:val="00EF3220"/>
    <w:rsid w:val="00F129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06E6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6A3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06E6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06E6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06E6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06E6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06E6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06E60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06E60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06E60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06E6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06E6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06E6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06E6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06E6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06E6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06E6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06E6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06E6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12933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06E6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06E6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06E60"/>
  </w:style>
  <w:style w:type="character" w:customStyle="1" w:styleId="af0">
    <w:name w:val="Текст концевой сноски Знак"/>
    <w:aliases w:val="2_GR Знак"/>
    <w:basedOn w:val="a0"/>
    <w:link w:val="af"/>
    <w:rsid w:val="00C06E6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06E6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C06E60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C06E6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06E6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6A3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06E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06E6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06E6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06E6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06E6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06E6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06E60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06E60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06E60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06E6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06E6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06E6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06E6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06E6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06E6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06E6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06E6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06E6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12933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06E6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06E6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06E60"/>
  </w:style>
  <w:style w:type="character" w:customStyle="1" w:styleId="af0">
    <w:name w:val="Текст концевой сноски Знак"/>
    <w:aliases w:val="2_GR Знак"/>
    <w:basedOn w:val="a0"/>
    <w:link w:val="af"/>
    <w:rsid w:val="00C06E6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06E6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C06E60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C06E6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2</TotalTime>
  <Pages>5</Pages>
  <Words>2166</Words>
  <Characters>12351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A/HRC/RES/35/2</vt:lpstr>
      <vt:lpstr>A/</vt:lpstr>
    </vt:vector>
  </TitlesOfParts>
  <Company>DCM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A/HRC/RES/35/2</dc:title>
  <dc:subject/>
  <dc:creator>Kisseleva</dc:creator>
  <cp:keywords/>
  <cp:lastModifiedBy>Kisseleva</cp:lastModifiedBy>
  <cp:revision>4</cp:revision>
  <cp:lastPrinted>2017-07-13T14:29:00Z</cp:lastPrinted>
  <dcterms:created xsi:type="dcterms:W3CDTF">2017-07-13T14:27:00Z</dcterms:created>
  <dcterms:modified xsi:type="dcterms:W3CDTF">2017-07-13T14:30:00Z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