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E6B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6B02" w:rsidP="00BE6B02">
            <w:pPr>
              <w:jc w:val="right"/>
            </w:pPr>
            <w:r w:rsidRPr="00BE6B02">
              <w:rPr>
                <w:sz w:val="40"/>
              </w:rPr>
              <w:t>A</w:t>
            </w:r>
            <w:r>
              <w:t>/HRC/RES/42/37</w:t>
            </w:r>
          </w:p>
        </w:tc>
      </w:tr>
      <w:tr w:rsidR="002D5AAC" w:rsidRPr="00BE6B02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E6B0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E6B02" w:rsidRDefault="00BE6B02" w:rsidP="00BE6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October 2019</w:t>
            </w:r>
          </w:p>
          <w:p w:rsidR="00BE6B02" w:rsidRDefault="00BE6B02" w:rsidP="00BE6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E6B02" w:rsidRPr="00E71476" w:rsidRDefault="00BE6B02" w:rsidP="00BE6B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E6B02" w:rsidRPr="00BE6B0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B0692" w:rsidRPr="00BE6B02" w:rsidRDefault="00BE6B02" w:rsidP="002E5067">
      <w:r>
        <w:rPr>
          <w:b/>
          <w:bCs/>
        </w:rPr>
        <w:t>Сорок вторая сессия</w:t>
      </w:r>
      <w:r>
        <w:rPr>
          <w:b/>
          <w:bCs/>
        </w:rPr>
        <w:br/>
      </w:r>
      <w:r>
        <w:t>9–27 сентября 2019 года</w:t>
      </w:r>
      <w:r>
        <w:br/>
        <w:t>Пункт 10 повестки дня</w:t>
      </w:r>
    </w:p>
    <w:p w:rsidR="00BE6B02" w:rsidRPr="00D01E4E" w:rsidRDefault="00BE6B02" w:rsidP="00BE6B02">
      <w:pPr>
        <w:pStyle w:val="HChG"/>
      </w:pPr>
      <w:r>
        <w:tab/>
      </w:r>
      <w:r>
        <w:tab/>
      </w:r>
      <w:r w:rsidRPr="004776DD">
        <w:t>Резолюция, принятая Советом по правам человека</w:t>
      </w:r>
      <w:r w:rsidRPr="004776DD">
        <w:br/>
      </w:r>
      <w:r w:rsidRPr="004776DD">
        <w:tab/>
        <w:t>2</w:t>
      </w:r>
      <w:r w:rsidRPr="0052262B">
        <w:t>7</w:t>
      </w:r>
      <w:r w:rsidRPr="004776DD">
        <w:t xml:space="preserve"> сентября 2019 года</w:t>
      </w:r>
    </w:p>
    <w:p w:rsidR="00BE6B02" w:rsidRPr="00CE0D00" w:rsidRDefault="00BE6B02" w:rsidP="00BE6B02">
      <w:pPr>
        <w:pStyle w:val="H1G"/>
      </w:pPr>
      <w:r>
        <w:tab/>
      </w:r>
      <w:r w:rsidRPr="00CE0D00">
        <w:t>42/</w:t>
      </w:r>
      <w:r w:rsidRPr="009E0206">
        <w:t>37</w:t>
      </w:r>
      <w:r w:rsidRPr="005426E6">
        <w:t>.</w:t>
      </w:r>
      <w:r w:rsidRPr="00CE0D00">
        <w:tab/>
        <w:t>Консультативные услуги и техническая помощь</w:t>
      </w:r>
      <w:r>
        <w:br/>
      </w:r>
      <w:r w:rsidRPr="00CE0D00">
        <w:t>для Камбоджи</w:t>
      </w:r>
    </w:p>
    <w:p w:rsidR="00BE6B02" w:rsidRPr="00BE6B02" w:rsidRDefault="00BE6B02" w:rsidP="00BE6B02">
      <w:pPr>
        <w:pStyle w:val="SingleTxtG"/>
        <w:rPr>
          <w:i/>
        </w:rPr>
      </w:pPr>
      <w:r w:rsidRPr="00BE6B02">
        <w:rPr>
          <w:i/>
        </w:rPr>
        <w:tab/>
      </w:r>
      <w:r w:rsidRPr="00BE6B02">
        <w:rPr>
          <w:i/>
        </w:rPr>
        <w:tab/>
        <w:t>Совет по правам человека,</w:t>
      </w:r>
    </w:p>
    <w:p w:rsidR="00BE6B02" w:rsidRPr="00080BF1" w:rsidRDefault="00BE6B02" w:rsidP="00BE6B02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, что все государства-члены обязаны поощрять и защищать права человека и основные свободы, </w:t>
      </w:r>
      <w:proofErr w:type="spellStart"/>
      <w:r>
        <w:t>закрепл</w:t>
      </w:r>
      <w:proofErr w:type="spellEnd"/>
      <w:r>
        <w:rPr>
          <w:lang w:val="en-US"/>
        </w:rPr>
        <w:t>e</w:t>
      </w:r>
      <w:proofErr w:type="spellStart"/>
      <w:r>
        <w:t>нные</w:t>
      </w:r>
      <w:proofErr w:type="spellEnd"/>
      <w:r>
        <w:t xml:space="preserve"> в Уставе Организации Объединенных Наций и подтвержденные во Всеобщей декларации прав человека,</w:t>
      </w:r>
      <w:r>
        <w:br/>
        <w:t>и согласно своим соответствующим обязательствам по Международным пактам о правах человека и другим применимым договорам по правам человека,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ссылаясь</w:t>
      </w:r>
      <w:r>
        <w:t xml:space="preserve"> на резолюцию 60/251 Генеральной Ассамблеи от 15 марта 2006 года,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ссылаясь также</w:t>
      </w:r>
      <w:r>
        <w:t xml:space="preserve"> на резолюции 5/1 и 5/2 Совета по правам человека от 18 июня 2007 года и подчеркивая, что мандатарии специальных процедур должны исполнять свои обязанности в соответствии с этими резолюциями и приложениями к ним,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ссылаясь далее</w:t>
      </w:r>
      <w:r>
        <w:t xml:space="preserve"> на резолюцию 36/32 Совета по правам человека от 29 сентября 2017 года и на другие соответствующие резолюции,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принимая во внимание</w:t>
      </w:r>
      <w:r>
        <w:t xml:space="preserve"> доклад Генерального секретаря о роли и достижениях Управления Верховного комиссара Организации Объединенных Наций по правам человека по оказанию помощи правительству и народу Камбоджи в деле поощрения и защиты прав человека</w:t>
      </w:r>
      <w:r>
        <w:rPr>
          <w:rStyle w:val="aa"/>
        </w:rPr>
        <w:footnoteReference w:id="1"/>
      </w:r>
      <w:r>
        <w:t>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признавая</w:t>
      </w:r>
      <w:r>
        <w:t>, что трагическая история Камбоджи требует принятия особых мер для обеспечения защиты прав человека и недопущения возврата к политике и практике прошлого, как это предусмотрено в Соглашении о всеобъемлющем политическом урегулировании камбоджийского конфликта, подписанном в Париже 23 октября</w:t>
      </w:r>
      <w:r w:rsidRPr="00BE6B02">
        <w:t xml:space="preserve"> </w:t>
      </w:r>
      <w:r>
        <w:t>1991</w:t>
      </w:r>
      <w:r>
        <w:rPr>
          <w:lang w:val="en-US"/>
        </w:rPr>
        <w:t> </w:t>
      </w:r>
      <w:r>
        <w:t>года,</w:t>
      </w:r>
    </w:p>
    <w:p w:rsidR="00BE6B02" w:rsidRPr="00080BF1" w:rsidRDefault="00BE6B02" w:rsidP="00BE6B02">
      <w:pPr>
        <w:pStyle w:val="SingleTxtG"/>
        <w:ind w:firstLine="567"/>
      </w:pPr>
      <w:r>
        <w:tab/>
      </w:r>
      <w:r>
        <w:rPr>
          <w:i/>
          <w:iCs/>
        </w:rPr>
        <w:t>отмечая</w:t>
      </w:r>
      <w:r>
        <w:t xml:space="preserve"> новые изменения в Камбодже, особенно достижения и улучшения в экономической и культурной сферах за последние годы благодаря ее соответствующим национальным планам, стратегиям и программам,</w:t>
      </w:r>
    </w:p>
    <w:p w:rsidR="00BE6B02" w:rsidRPr="00080BF1" w:rsidRDefault="00BE6B02" w:rsidP="00BE6B02">
      <w:pPr>
        <w:pStyle w:val="SingleTxtG"/>
        <w:ind w:firstLine="567"/>
        <w:rPr>
          <w:i/>
        </w:rPr>
      </w:pPr>
      <w:r>
        <w:rPr>
          <w:i/>
          <w:iCs/>
        </w:rPr>
        <w:t>отмечая также</w:t>
      </w:r>
      <w:r>
        <w:t xml:space="preserve"> усилия, приложенные правительством Камбоджи для восстановления страны и поощрения прав, свобод и достоинства людей при </w:t>
      </w:r>
      <w:r>
        <w:lastRenderedPageBreak/>
        <w:t>поддержании мира, стабильности, социального благополучия и общественного порядка, а также для содействия развитию и повышению каче</w:t>
      </w:r>
      <w:r>
        <w:t>ства жизни населения, и </w:t>
      </w:r>
      <w:r>
        <w:t>подчеркивая в этой связи важность уважения, поощрения и защиты прав человека,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1.</w:t>
      </w:r>
      <w:r>
        <w:tab/>
      </w:r>
      <w:r>
        <w:rPr>
          <w:i/>
          <w:iCs/>
        </w:rPr>
        <w:t>подтверждает</w:t>
      </w:r>
      <w:r>
        <w:t xml:space="preserve"> важность Чрезвычайных палат в судах Камбоджи, выступающих в качестве независимого и беспристрастного органа, и считает, что они внесут значительный вклад в искоренение безнаказанности и обеспечение верховенства права, в частности используя свой потенциал в качестве образцового судебного органа Камбоджи;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2.</w:t>
      </w:r>
      <w:r>
        <w:tab/>
      </w:r>
      <w:r>
        <w:rPr>
          <w:i/>
          <w:iCs/>
        </w:rPr>
        <w:t>приветствует</w:t>
      </w:r>
      <w:r>
        <w:t xml:space="preserve"> прогресс, достигнутый в работе Чрезвычайных палат</w:t>
      </w:r>
      <w:r w:rsidRPr="009352F2">
        <w:t xml:space="preserve"> </w:t>
      </w:r>
      <w:r>
        <w:t xml:space="preserve">в судах Камбоджи, включая вынесение Судебной палатой решения по делу 002/02 против бывших старших руководителей Демократической Кампучии </w:t>
      </w:r>
      <w:proofErr w:type="spellStart"/>
      <w:r>
        <w:t>Нуона</w:t>
      </w:r>
      <w:proofErr w:type="spellEnd"/>
      <w:r>
        <w:t xml:space="preserve"> </w:t>
      </w:r>
      <w:proofErr w:type="spellStart"/>
      <w:r>
        <w:t>Чеа</w:t>
      </w:r>
      <w:proofErr w:type="spellEnd"/>
      <w:r>
        <w:t xml:space="preserve"> и </w:t>
      </w:r>
      <w:proofErr w:type="spellStart"/>
      <w:r>
        <w:t>Кхиеу</w:t>
      </w:r>
      <w:proofErr w:type="spellEnd"/>
      <w:r>
        <w:t xml:space="preserve"> </w:t>
      </w:r>
      <w:proofErr w:type="spellStart"/>
      <w:r>
        <w:t>Самфана</w:t>
      </w:r>
      <w:proofErr w:type="spellEnd"/>
      <w:r>
        <w:t>, которые 16 ноября 2018 года были приговорены к пожизненному заключению за геноцид и другие преступления, и поддерживает позицию правительства Камбоджи и Организации Объединенных Наций в поддержку сохранения этого трибунала для справедливого, эффективного и оперативного выполнения им своего мандата с учетом все более преклонного возраста и слабого здоровья обвиняемых, а также давно назревшей необходимости обеспечения торжества справедливости для народа Камбоджи;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3.</w:t>
      </w:r>
      <w:r>
        <w:tab/>
      </w:r>
      <w:r>
        <w:rPr>
          <w:i/>
          <w:iCs/>
        </w:rPr>
        <w:t>выражает сохраняющуюся обеспокоенность</w:t>
      </w:r>
      <w:r>
        <w:t xml:space="preserve"> финансовым положением Чрезвычайных палат, настоятельно призывает правительство Камбоджи взаимодействовать с Организацией Объединенных Наций и государствами, предоставляющими помощь, для обеспечения самых высоких стандартов организации работы Чрезвычайных палат, подчеркивает необходимость предоставления правительством и международным сообществом всей соответствующей помощи Чрезвычайным палатам, а также подчеркивает важность эффективного и устойчивого управления финансовыми ресурсами со стороны Чрезвычайных палат;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4.</w:t>
      </w:r>
      <w:r>
        <w:tab/>
      </w:r>
      <w:r>
        <w:rPr>
          <w:i/>
          <w:iCs/>
        </w:rPr>
        <w:t>призывает</w:t>
      </w:r>
      <w:r>
        <w:t xml:space="preserve"> правительство Камбоджи обеспечивать передачу знаний судебными должностными лицами Чрезвычайных палат и обмен передовым опытом;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5.</w:t>
      </w:r>
      <w:r>
        <w:tab/>
      </w:r>
      <w:r>
        <w:rPr>
          <w:i/>
          <w:iCs/>
        </w:rPr>
        <w:t>приветствует</w:t>
      </w:r>
      <w:r>
        <w:t xml:space="preserve"> позитивное участие правительства Камбоджи в третьем цикле универсального периодического обзора и принятие им к исполнению большинства вынесенных в связи с ним рекомендаций, а также прогресс, достигнутый до настоящего времени в деле их выполнения;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6.</w:t>
      </w:r>
      <w:r>
        <w:tab/>
      </w:r>
      <w:r>
        <w:rPr>
          <w:i/>
          <w:iCs/>
        </w:rPr>
        <w:t>приветствует также</w:t>
      </w:r>
      <w:r>
        <w:t xml:space="preserve"> доклады Специального докладчика по вопросу о положении в области прав человека в Камбодже</w:t>
      </w:r>
      <w:r>
        <w:rPr>
          <w:rStyle w:val="aa"/>
          <w:iCs/>
        </w:rPr>
        <w:footnoteReference w:id="2"/>
      </w:r>
      <w:r>
        <w:t xml:space="preserve"> и содержащиеся в них рекомендации и предлагает правительству Камбоджи взаимодействовать со Специальным докладчиком в поиске наилуч</w:t>
      </w:r>
      <w:r>
        <w:t>ш</w:t>
      </w:r>
      <w:r>
        <w:t>их путей их осуществления;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7.</w:t>
      </w:r>
      <w:r>
        <w:tab/>
      </w:r>
      <w:r>
        <w:rPr>
          <w:i/>
          <w:iCs/>
        </w:rPr>
        <w:t>приветствует далее</w:t>
      </w:r>
      <w:r>
        <w:t xml:space="preserve"> заключение в октябре 2018 года нового меморандума о взаимопонимании в отношении осуществления программы технического сотрудничества в области прав человека между правительством Камбоджи и местным отделением Управления Верховного комиссара Организации Объединенных Наций по правам человека в Пномпене, предусматривающего продление мандата этого отделения еще на два года, принимает к сведению необходимость дальнейшего проведения тесных и уважительных консультаций между правительством Камбоджи и Специальным докладчиком в целях дальнейшего улучшения положения в области прав человека в стране, а также необходимость продолжения технического сотрудничества между Управлением Верховного комиссара и правительством и рекомендует Специальному докладчику и местному отделению Управления в Пномпене продолжать обмен информацией в целях содействия эффективному осуществлению ими своих мандатов, памятуя об их независимости;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8.</w:t>
      </w:r>
      <w:r>
        <w:tab/>
      </w:r>
      <w:r>
        <w:rPr>
          <w:i/>
          <w:iCs/>
        </w:rPr>
        <w:t>высоко оценивает</w:t>
      </w:r>
      <w:r>
        <w:t xml:space="preserve"> позитивное сотрудничество между правительством Камбоджи и Управлением Верховного комиссара, особенно в деле защиты земельных прав коренных народов, рекомендует укреплять сотрудничество между </w:t>
      </w:r>
      <w:r>
        <w:lastRenderedPageBreak/>
        <w:t>правительством и Управлением Верховного комиссара, как указано в меморандуме о взаимопонимании между правительством и местным отделением Управления в Пномпене, и призывает правительство выполнить рекомендации Специального докладчика, принимая во внимание национальный контекст Камбоджи;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9.</w:t>
      </w:r>
      <w:r>
        <w:tab/>
      </w:r>
      <w:r>
        <w:rPr>
          <w:i/>
          <w:iCs/>
        </w:rPr>
        <w:t>отмечает</w:t>
      </w:r>
      <w:r>
        <w:t xml:space="preserve"> принятие правительством Камбоджи Целей в области устойчивого развития Камбоджи и представление добровольного национального обзора за 2019 год на политическом форуме высокого уровня по устойчивому развитию в июле 2019 года и рекомендует правительству предпринимать при поддержке международного сообщества усилия по достижению целей в области устойчивого развития Камбоджи и провести реформу системы управления путем включения четких задач и показателей по цели 16 в области устойчивого развития;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10.</w:t>
      </w:r>
      <w:r>
        <w:tab/>
      </w:r>
      <w:r>
        <w:rPr>
          <w:i/>
          <w:iCs/>
        </w:rPr>
        <w:t>подтверждает</w:t>
      </w:r>
      <w:r>
        <w:t xml:space="preserve"> необходимость того, чтобы правительство Камбоджи активизировало свои усилия в деле укрепления и соблюдения верховенства права,</w:t>
      </w:r>
      <w:r>
        <w:br/>
        <w:t xml:space="preserve">в том числе путем принятия, пересмотра и </w:t>
      </w:r>
      <w:proofErr w:type="gramStart"/>
      <w:r>
        <w:t>дальнейшего осуществления важнейших законов и кодексов для построения демократического общества</w:t>
      </w:r>
      <w:proofErr w:type="gramEnd"/>
      <w:r>
        <w:t xml:space="preserve"> и независимой судебной власти;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11.</w:t>
      </w:r>
      <w:r>
        <w:tab/>
      </w:r>
      <w:r w:rsidRPr="005E19D2">
        <w:rPr>
          <w:i/>
          <w:iCs/>
        </w:rPr>
        <w:t>отмечает</w:t>
      </w:r>
      <w:r>
        <w:t xml:space="preserve"> планы по расширению центров судебных услуг, созданию региональных апелляционных судов и увеличению бюджетных ассигнований на юридическую помощь в рамках усилий правительства Камбоджи по улучшению доступа к судебным органам и рекомендует правительству оперативно принять основные направления оказания юридической помощи в целях обеспечения доступа к правосудию для всех;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12.</w:t>
      </w:r>
      <w:r>
        <w:tab/>
      </w:r>
      <w:r>
        <w:rPr>
          <w:i/>
          <w:iCs/>
        </w:rPr>
        <w:t>отмечает также</w:t>
      </w:r>
      <w:r>
        <w:t xml:space="preserve"> усилия правительства Камбоджи и достигнутый им прогресс в деле поощрения правовой реформы под руководством Совета по правовой и судебной реформе, включая обеспечение применения таких базовых законов,</w:t>
      </w:r>
      <w:r>
        <w:br/>
        <w:t>как гражданский процессуальный кодекс, гражданский кодекс, уголовно-процессуальный кодекс и уголовный кодекс;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13.</w:t>
      </w:r>
      <w:r>
        <w:tab/>
      </w:r>
      <w:r>
        <w:rPr>
          <w:i/>
          <w:iCs/>
        </w:rPr>
        <w:t>отмечает далее</w:t>
      </w:r>
      <w:r>
        <w:t xml:space="preserve"> осуществление трех основных законов о судебной власти, а именно </w:t>
      </w:r>
      <w:r w:rsidRPr="00CE0D00">
        <w:t>–</w:t>
      </w:r>
      <w:r>
        <w:t xml:space="preserve"> Закона о статусе судей и прокуроров, Закона об организации и функционировании судов и поправки к Закону об организации и работе Верховного совета магистратуры, и настоятельно призывает правительство Камбоджи продолжать усилия по проведению судебной реформы, в том числе путем справедливого, эффективного и </w:t>
      </w:r>
      <w:proofErr w:type="spellStart"/>
      <w:r>
        <w:t>транспарентного</w:t>
      </w:r>
      <w:proofErr w:type="spellEnd"/>
      <w:r>
        <w:t xml:space="preserve"> применения этих законов;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14.</w:t>
      </w:r>
      <w:r>
        <w:tab/>
      </w:r>
      <w:r>
        <w:rPr>
          <w:i/>
          <w:iCs/>
        </w:rPr>
        <w:t>подчеркивает</w:t>
      </w:r>
      <w:r>
        <w:t xml:space="preserve"> необходимость того, чтобы правительство Камбоджи продолжало наращивать свои усилия по безотлагательному проведению расследований и судебному преследованию в соответствии с надлежащими процессуальными гарантиями и своими обязательствами по международным договорам по правам человека всех лиц, совершивших серьезные преступления, включая нарушения прав человека, выражает глубокую обеспокоенность в связи с убийством известного политолога 10 июля 2016 года и сообщениями о том, что это оказало негативное воздействие на гражданское общество и выражение независимых мнений в Камбодже, призывает власти Камбоджи проводить всестороннее и </w:t>
      </w:r>
      <w:proofErr w:type="spellStart"/>
      <w:r>
        <w:t>транспарентное</w:t>
      </w:r>
      <w:proofErr w:type="spellEnd"/>
      <w:r>
        <w:t xml:space="preserve"> расследование таких случаев и подчеркивает важность полного независимого судебного процесса в судах Камбоджи;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15.</w:t>
      </w:r>
      <w:r>
        <w:tab/>
      </w:r>
      <w:r>
        <w:rPr>
          <w:i/>
          <w:iCs/>
        </w:rPr>
        <w:t>отмечает</w:t>
      </w:r>
      <w:r>
        <w:t xml:space="preserve"> усилия, прилагаемые правительством Камбоджи по борьбе с коррупцией, и рекомендует обеспечить применение уголовного кодекса и антикоррупционного законодательства, а также рекомендует правительству продолжать другие такие усилия, в том числе в рамках деятельности Управления по борьбе с коррупцией;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16.</w:t>
      </w:r>
      <w:r>
        <w:tab/>
      </w:r>
      <w:r>
        <w:rPr>
          <w:i/>
          <w:iCs/>
        </w:rPr>
        <w:t>приветствует</w:t>
      </w:r>
      <w:r>
        <w:t xml:space="preserve"> усилия, прилагаемые правительством Камбоджи по борьбе с такими преступлениями, как торговля людьми, эксплуатация труда, а также сексуальная эксплуатация женщин и детей, и настоятельно призывает правительство прилагать совместно с международным сообществом дальнейшие усилия в этом направлении в целях борьбы с сохраняющимися ключевыми проблемами в этой области;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lastRenderedPageBreak/>
        <w:t>17.</w:t>
      </w:r>
      <w:r>
        <w:tab/>
      </w:r>
      <w:r>
        <w:rPr>
          <w:i/>
          <w:iCs/>
        </w:rPr>
        <w:t>принимает к сведению</w:t>
      </w:r>
      <w:r>
        <w:t xml:space="preserve"> недавние выводы относительно гендерных проблем в Камбодже и рекомендует правительству Камбоджи активизировать предпринимаемые им усилия по решению гендерных проблем, в том числе путем обеспечения эффективного соблюдения действующих законов и подзаконных актов;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18.</w:t>
      </w:r>
      <w:r>
        <w:tab/>
      </w:r>
      <w:r>
        <w:rPr>
          <w:i/>
          <w:iCs/>
        </w:rPr>
        <w:t>рекомендует</w:t>
      </w:r>
      <w:r>
        <w:t xml:space="preserve"> правительству Камбоджи продолжать осуществление своей пятилетней стратегии обеспечения гендерного равенства и содействовать расширению экономических и социально-политических прав и возможностей женщин, включая их участие в процессах принятия решений, и расширению экономических выгод для женщин, в том числе посредством улучшения условий труда, социальной защиты и трудовых норм;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19.</w:t>
      </w:r>
      <w:r>
        <w:tab/>
      </w:r>
      <w:r>
        <w:rPr>
          <w:i/>
          <w:iCs/>
        </w:rPr>
        <w:t>рекомендует также</w:t>
      </w:r>
      <w:r>
        <w:t xml:space="preserve"> в этой связи правительству Камбоджи более эффективно следить за выполнением Закона о земле 2001 года и прилагать постоянные усилия по содействию приобретению женщинами и уязвимыми группами населения земельной собственности и прав;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20.</w:t>
      </w:r>
      <w:r>
        <w:tab/>
      </w:r>
      <w:r>
        <w:rPr>
          <w:i/>
          <w:iCs/>
        </w:rPr>
        <w:t>отмечает</w:t>
      </w:r>
      <w:r>
        <w:t xml:space="preserve"> усилия, прилагаемые правительством Камбоджи с целью решения земельных проблем путем, в частности, осуществления соответствующих законов и подзаконных актов, включая мораторий на предоставление земли в аренду в коммерческих целях и систематическую регистрацию земель, выражает обеспокоенность в связи с сохраняющимися проблемами в этой области и настоятельно призывает правительство продолжать и активизировать свои усилия в целях их справедливого и оперативного решения на беспристрастной и гласной основе с учетом прав и фактических последствий для всех соответствующих сторон и согласно соответствующим законам и подзаконным актам, включая Закон о земле, Закон об экспроприации, Циркулярное письмо по вопросу о легализации незаконных временных построек в городах и городских районах и Национальную политику в области жилья, а также посредством укрепления потенциала и повышения эффективности таких соответствующих учреждений, как Национальный орган по урегулированию земельных споров и кадастровые комитеты национального, провинциального и районного уровней;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21.</w:t>
      </w:r>
      <w:r>
        <w:tab/>
      </w:r>
      <w:r>
        <w:rPr>
          <w:i/>
          <w:iCs/>
        </w:rPr>
        <w:t>отмечает также</w:t>
      </w:r>
      <w:r>
        <w:t xml:space="preserve"> обещания, данные правительством Камбоджи,</w:t>
      </w:r>
      <w:r>
        <w:br/>
        <w:t>и достигнутый им прогресс в осуществлении его обязательств по международным договорам и конвенциям о правах человека, стороной которых является Камбоджа,</w:t>
      </w:r>
      <w:r>
        <w:br/>
        <w:t>и настоятельно призывает правительство продолжать предпринимать шаги для выполнения своих обязательств по этим договорам и конвенциям и с этой целью укреплять сотрудничество с учреждениями Организации Объединенных Наций, включая Управление Верховного комиссара, посредством расширения диалога и организации совместных мероприятий;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22.</w:t>
      </w:r>
      <w:r>
        <w:tab/>
      </w:r>
      <w:r>
        <w:rPr>
          <w:i/>
          <w:iCs/>
        </w:rPr>
        <w:t>отмечает далее</w:t>
      </w:r>
      <w:r>
        <w:t xml:space="preserve"> приверженность правительства Камбоджи созданию национального правозащитного учреждения и настоятельно призывает к тому, чтобы это было сделано в соответствии с принципами, касающимися статуса национальных учреждений, занимающихся поощрением и защитой прав человека (Парижские принципы), и после проведения надлежащих консультаций с соответствующими заинтересованными сторонами;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23.</w:t>
      </w:r>
      <w:r>
        <w:tab/>
      </w:r>
      <w:r>
        <w:rPr>
          <w:i/>
          <w:iCs/>
        </w:rPr>
        <w:t>приветствует</w:t>
      </w:r>
      <w:r>
        <w:t xml:space="preserve"> усилия, прилагаемые Камбоджийским комитетом по правам человека, особенно в деле реагирования на поступающие от населения жалобы;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24.</w:t>
      </w:r>
      <w:r>
        <w:tab/>
      </w:r>
      <w:r>
        <w:rPr>
          <w:i/>
          <w:iCs/>
        </w:rPr>
        <w:t>приветствует также</w:t>
      </w:r>
      <w:r>
        <w:t xml:space="preserve"> усилия, прилагаемые правительством Камбоджи, и достигнутый им прогресс в содействии проведению реформы, направленной на децентрализацию и </w:t>
      </w:r>
      <w:proofErr w:type="spellStart"/>
      <w:r>
        <w:t>деконцентрацию</w:t>
      </w:r>
      <w:proofErr w:type="spellEnd"/>
      <w:r>
        <w:t>, в целях обеспечения демократического развития посредством укрепления субнациональных и низовых институтов;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25.</w:t>
      </w:r>
      <w:r>
        <w:tab/>
      </w:r>
      <w:r>
        <w:rPr>
          <w:i/>
          <w:iCs/>
        </w:rPr>
        <w:t>выражает серьезную обеспокоенность</w:t>
      </w:r>
      <w:r>
        <w:t xml:space="preserve"> в связи с ухудшением гражданской и политической обстановки в Камбодже, вызванным негативным воздействием судебных преследований и других действий против членов политических партий, гражданского общества и</w:t>
      </w:r>
      <w:r w:rsidR="008435FF">
        <w:t xml:space="preserve"> средств массовой информации, в </w:t>
      </w:r>
      <w:r>
        <w:t xml:space="preserve">особенности помещением под постоянный судебный надзор бывшего лидера политической оппозиции Кем </w:t>
      </w:r>
      <w:proofErr w:type="spellStart"/>
      <w:r>
        <w:t>Сокха</w:t>
      </w:r>
      <w:proofErr w:type="spellEnd"/>
      <w:r>
        <w:t xml:space="preserve"> и роспуском бывшей оппозиционной партии, и</w:t>
      </w:r>
      <w:r w:rsidR="008435FF">
        <w:t> </w:t>
      </w:r>
      <w:r>
        <w:t>призывает все стороны, в частности правящую партию, к сотрудничеству в целях снижения напряженности и укрепления доверия путем восстановления диалога с соответствующими заинтересованными сторонами в стране и призывает правител</w:t>
      </w:r>
      <w:bookmarkStart w:id="0" w:name="_GoBack"/>
      <w:bookmarkEnd w:id="0"/>
      <w:r>
        <w:t>ьство Камбоджи гарантировать, в частности, право на свободу выражения мнений и свободу ассоциации и собраний и взять на себя ответственность за реагирование на соответствующие случаи;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26.</w:t>
      </w:r>
      <w:r>
        <w:tab/>
      </w:r>
      <w:r>
        <w:rPr>
          <w:i/>
          <w:iCs/>
        </w:rPr>
        <w:t>принимает во внимание</w:t>
      </w:r>
      <w:r>
        <w:t xml:space="preserve"> выводы и рекомендации, содержащиеся в докладах Специального докладчика</w:t>
      </w:r>
      <w:r>
        <w:rPr>
          <w:rStyle w:val="aa"/>
          <w:iCs/>
        </w:rPr>
        <w:footnoteReference w:id="3"/>
      </w:r>
      <w:r>
        <w:t>, и заявление, с которым она выступила в мае</w:t>
      </w:r>
      <w:r>
        <w:br/>
        <w:t xml:space="preserve">2019 года, с призывом к освобождению Кем </w:t>
      </w:r>
      <w:proofErr w:type="spellStart"/>
      <w:r>
        <w:t>Сокха</w:t>
      </w:r>
      <w:proofErr w:type="spellEnd"/>
      <w:r>
        <w:t xml:space="preserve"> и оперативному завершению расследования его дела, принимает к сведению, что девять членов бывшей оппозиционной партии получили право на занятие политической деятельностью на основании поправок к закону о политических партиях в январе 2019 года,</w:t>
      </w:r>
      <w:r>
        <w:br/>
        <w:t>настоятельно рекомендует правительству Камбоджи обеспечивать политические права для всех, прилагать дальнейшие усилия для решения проблемы запрета на политическую деятельность видных деятелей оппозиционной партии и расширять демократическое пространство для политических активистов, гражданского общества и средств массовой информации, включая членов оппозиционных партий, активно, мирно, ответственно и открыто участвовать в инклюзивной политической дискуссии и настоятельно рекомендует всем сторонам уделять приоритетное внимание национальному примирению, миру и стабильности;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27.</w:t>
      </w:r>
      <w:r>
        <w:tab/>
      </w:r>
      <w:r>
        <w:rPr>
          <w:i/>
          <w:iCs/>
        </w:rPr>
        <w:t>выражает обеспокоенность</w:t>
      </w:r>
      <w:r>
        <w:t xml:space="preserve"> по поводу сохраняющихся ограничений на деятельность гражданского общества и политических партий и негативных последствий Закона об ассоциациях и неправительственных организациях и поправок к Закону о политических партиях</w:t>
      </w:r>
      <w:r w:rsidRPr="00FE2415">
        <w:t xml:space="preserve"> </w:t>
      </w:r>
      <w:r>
        <w:t>от 28 февраля и 10 июля 2017 года и настоятельно призывает правительство Камбоджи прилагать дальнейшие усилия по обеспечению прав на свободу выражения мнений, мирных собраний и ассоциации и обеспечению условий, способствующих осуществлению политической деятельности всеми политическими партиями в соответствии с демократическими принципами и принципом верховенства права;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28.</w:t>
      </w:r>
      <w:r>
        <w:tab/>
      </w:r>
      <w:r>
        <w:rPr>
          <w:i/>
          <w:iCs/>
        </w:rPr>
        <w:t>принимает к сведению</w:t>
      </w:r>
      <w:r>
        <w:t xml:space="preserve"> выводы и рекомендации Специального докладчика в ее докладе</w:t>
      </w:r>
      <w:r>
        <w:rPr>
          <w:rStyle w:val="aa"/>
          <w:iCs/>
        </w:rPr>
        <w:footnoteReference w:id="4"/>
      </w:r>
      <w:r>
        <w:t xml:space="preserve"> в отношении порядка проведения и результатов национальных выборов в 2018 году и, принимая к сведению высокую явку на выборах, выражает сожаление по поводу большого количества недействительных бюллетеней и настоятельно призывает правительство Камбоджи в полной мере уважать, защищать и поощрять гражданские и политические права всех камбоджийцев, с тем чтобы последовательно поощрять процесс государственного строительства при поддержке широких слоев камбоджийцев;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29.</w:t>
      </w:r>
      <w:r>
        <w:tab/>
      </w:r>
      <w:r>
        <w:rPr>
          <w:i/>
          <w:iCs/>
        </w:rPr>
        <w:t>с обеспокоенностью отмечает</w:t>
      </w:r>
      <w:r>
        <w:t>, что принятые в 2017 году поправки к Закону о политических партиях способны привести к произвольному ограничению деятельности политических партий, рекомендует всем заинтересованным сторонам содействовать мирному демократическому процессу в соответствии с принципами верховенства права и приверженности системе плюралистической либеральной демократии в соответствии с Конституцией и с этой целью призывает правительство Камбоджи обеспечивать защиту парламентского иммунитета и свободу занятия политической деятельностью;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30.</w:t>
      </w:r>
      <w:r>
        <w:tab/>
      </w:r>
      <w:r>
        <w:rPr>
          <w:i/>
          <w:iCs/>
        </w:rPr>
        <w:t>настоятельно призывает</w:t>
      </w:r>
      <w:r>
        <w:t xml:space="preserve"> правительство Камбоджи принимать надлежащие меры к тому, чтобы поощрять гражданское общество, включая независимые профсоюзы и средства массовой информации, и создавать возможности для того, чтобы они играли конструктивную роль в консолидации демократического развития в Камбодже, в том числе путем поддержки и поощрения их деятельности и содействия обеспечению равного доступа к средствам массовой информации для всех сторон;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lastRenderedPageBreak/>
        <w:t>31.</w:t>
      </w:r>
      <w:r>
        <w:tab/>
      </w:r>
      <w:r>
        <w:rPr>
          <w:i/>
          <w:iCs/>
        </w:rPr>
        <w:t>отмечает</w:t>
      </w:r>
      <w:r>
        <w:t xml:space="preserve"> широкое присутствие более 5 000 субъектов, действующих в составе ассоциаций и неправительственных организаций, настоятельно призывает правительство Камбоджи продолжать учитывать интересы и проблемы всех заинтересованных сторон при принятии и/или осуществлении различных законов и мер, способных повлиять на деятельность организаций гражданского общества,</w:t>
      </w:r>
      <w:r>
        <w:br/>
        <w:t>в частности путем пересмотра Закона об ассоциациях и неправительственных организациях, в целях формирования активного гражданского общества, а также защиты и обеспечения свободы слова, ассоциации и мирных собраний в соответствии с Конституцией и Международным пактом о гражданских и политических правах;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32.</w:t>
      </w:r>
      <w:r>
        <w:tab/>
      </w:r>
      <w:r>
        <w:rPr>
          <w:i/>
          <w:iCs/>
        </w:rPr>
        <w:t>отмечает также</w:t>
      </w:r>
      <w:r>
        <w:t xml:space="preserve"> усилия правительства Камбоджи по выстраиванию отношений с гражданским обществом, такие как новое распоряжение Министерства внутренних дел от 31 октября 2018 года в адрес субнациональных органов власти, напоминая ему о том, что неправительственные организации имеют полную свободу осуществлять свою деятельность в соответствии с законодательством Камбоджи, и относительно проведения дважды в год диалога между правительством и организациями гражданского общества, а также распоряжение от 27 ноября</w:t>
      </w:r>
      <w:r>
        <w:br/>
        <w:t>2018 года об отмене требования относительно трехдневного предварительного уведомления, и призывает правительство прилагать дальнейшие усилия для улучшения отношений с гражданским обществом на субнациональном уровне;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33.</w:t>
      </w:r>
      <w:r>
        <w:tab/>
      </w:r>
      <w:r>
        <w:rPr>
          <w:i/>
          <w:iCs/>
        </w:rPr>
        <w:t>выражает обеспокоенность</w:t>
      </w:r>
      <w:r>
        <w:t xml:space="preserve"> по поводу сообщений о том, что многие люди в целом опасаются публично выражать свои мнения из страха ареста и слежки,</w:t>
      </w:r>
      <w:r>
        <w:br/>
        <w:t xml:space="preserve">и по поводу ограниченного числа мирных собраний и демонстраций, разрешаемых в соответствии с Законом о мирных демонстрациях, и рекомендует правительству Камбоджи продолжать принимать меры по поощрению прав и достоинства всех камбоджийцев путем защиты гражданских и политических прав, включая право на свободу мнений и их свободное выражение, в соответствии с историческим контекстом Камбоджи и с этой целью </w:t>
      </w:r>
      <w:r w:rsidRPr="00160AF9">
        <w:t>обеспечи</w:t>
      </w:r>
      <w:r>
        <w:t>ва</w:t>
      </w:r>
      <w:r w:rsidRPr="00160AF9">
        <w:t xml:space="preserve">ть, чтобы </w:t>
      </w:r>
      <w:r>
        <w:t>все</w:t>
      </w:r>
      <w:r w:rsidRPr="00160AF9">
        <w:t xml:space="preserve"> законы толковались и применялись осмотрительно</w:t>
      </w:r>
      <w:r>
        <w:t xml:space="preserve"> в интересах поощрения экономических, социальных и культурных прав в соответствии с принципом верховенства права;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34.</w:t>
      </w:r>
      <w:r>
        <w:tab/>
      </w:r>
      <w:r>
        <w:rPr>
          <w:i/>
          <w:iCs/>
        </w:rPr>
        <w:t>предлагает</w:t>
      </w:r>
      <w:r>
        <w:t xml:space="preserve"> Генеральному секретарю, учреждениям системы Организации Объединенных Наций, имеющим свои представительства в Камбодже,</w:t>
      </w:r>
      <w:r>
        <w:br/>
        <w:t>а также международному сообществу, включая гражданское общество, и далее взаимодействовать с правительством Камбоджи в деле укрепления демократии и обеспечения защиты и поощрения прав человека всех людей в Камбодже, в том числе путем предоставления помощи, в частности, в следующих областях: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ab/>
        <w:t>а)</w:t>
      </w:r>
      <w:r>
        <w:tab/>
        <w:t>разработка законов и оказание помощи в деле создания независимого национального правозащитного учреждения;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ab/>
        <w:t>b)</w:t>
      </w:r>
      <w:r>
        <w:tab/>
        <w:t>создание потенциала в целях укрепления правовых институтов, в том числе путем повышения качества подготовки и расширения независимости судей, прокуроров, адвокатов и других судебных работников, с использованием опыта камбоджийских граждан, работающих в Чрезвычайных палатах в судах Камбоджи;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ab/>
        <w:t>c)</w:t>
      </w:r>
      <w:r>
        <w:tab/>
        <w:t>создание потенциала в целях укрепления национальных учреждений, занимающихся проведением уголовных расследований и правоприменительной деятельностью, а также предоставление необходимого для этих целей оборудования;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ab/>
        <w:t>d)</w:t>
      </w:r>
      <w:r>
        <w:tab/>
        <w:t>осуществление рекомендаций, принятых к исполнению в рамках процесса универсального периодического обзора;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ab/>
        <w:t>e)</w:t>
      </w:r>
      <w:r>
        <w:tab/>
        <w:t>оказание помощи в оценке прогресса в решении вопросов в области прав человека;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t>35.</w:t>
      </w:r>
      <w:r>
        <w:tab/>
      </w:r>
      <w:r>
        <w:rPr>
          <w:i/>
          <w:iCs/>
        </w:rPr>
        <w:t>постановляет</w:t>
      </w:r>
      <w:r>
        <w:t xml:space="preserve"> продлить на два года мандат Специального докладчика по вопросу о положении в области прав человека в Камбодже и просит Специального докладчика представить доклады об осуществлении ее мандата Совету по правам человека на его сорок пятой и сорок восьмой сессиях, а также конструктивно взаимодействовать с правительством Камбоджи в целях дальнейшего улучшения положения в области прав человека в этой стране;</w:t>
      </w:r>
    </w:p>
    <w:p w:rsidR="00BE6B02" w:rsidRPr="00080BF1" w:rsidRDefault="00BE6B02" w:rsidP="00BE6B02">
      <w:pPr>
        <w:pStyle w:val="SingleTxtG"/>
        <w:ind w:firstLine="567"/>
        <w:rPr>
          <w:iCs/>
        </w:rPr>
      </w:pPr>
      <w:r>
        <w:lastRenderedPageBreak/>
        <w:t>36.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представить Совету по правам человека на его сорок пятой и сорок восьмой сессиях доклады о роли и достижениях Управления Верховного комиссара в оказании помощи правительству и народу Камбодж</w:t>
      </w:r>
      <w:r w:rsidR="008435FF">
        <w:t>и</w:t>
      </w:r>
      <w:r>
        <w:t xml:space="preserve"> в деле поощрения и защиты прав человека;</w:t>
      </w:r>
    </w:p>
    <w:p w:rsidR="00BE6B02" w:rsidRDefault="00BE6B02" w:rsidP="00BE6B02">
      <w:pPr>
        <w:pStyle w:val="SingleTxtG"/>
        <w:ind w:firstLine="567"/>
      </w:pPr>
      <w:r>
        <w:t>37.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вопроса о положении в области прав человека в Камбодже на своей сорок восьмой сессии.</w:t>
      </w:r>
    </w:p>
    <w:p w:rsidR="00BE6B02" w:rsidRPr="00B274D0" w:rsidRDefault="00BE6B02" w:rsidP="00BE6B02">
      <w:pPr>
        <w:pStyle w:val="SingleTxtG"/>
        <w:jc w:val="right"/>
        <w:rPr>
          <w:i/>
          <w:iCs/>
        </w:rPr>
      </w:pPr>
      <w:r w:rsidRPr="00052BDF">
        <w:rPr>
          <w:i/>
          <w:iCs/>
        </w:rPr>
        <w:t>42</w:t>
      </w:r>
      <w:r w:rsidRPr="00B274D0">
        <w:rPr>
          <w:i/>
          <w:iCs/>
        </w:rPr>
        <w:t>-е заседание</w:t>
      </w:r>
      <w:r>
        <w:rPr>
          <w:i/>
          <w:iCs/>
        </w:rPr>
        <w:br/>
      </w:r>
      <w:r w:rsidRPr="00B274D0">
        <w:rPr>
          <w:i/>
          <w:iCs/>
        </w:rPr>
        <w:t>2</w:t>
      </w:r>
      <w:r w:rsidRPr="00052BDF">
        <w:rPr>
          <w:i/>
          <w:iCs/>
        </w:rPr>
        <w:t>7</w:t>
      </w:r>
      <w:r>
        <w:rPr>
          <w:i/>
          <w:iCs/>
        </w:rPr>
        <w:t xml:space="preserve"> сентября</w:t>
      </w:r>
      <w:r w:rsidRPr="00B274D0">
        <w:rPr>
          <w:i/>
          <w:iCs/>
        </w:rPr>
        <w:t xml:space="preserve"> 2019 года</w:t>
      </w:r>
    </w:p>
    <w:p w:rsidR="00BE6B02" w:rsidRDefault="00BE6B02" w:rsidP="00BE6B02">
      <w:pPr>
        <w:pStyle w:val="SingleTxtG"/>
      </w:pPr>
      <w:r w:rsidRPr="00B274D0">
        <w:t>[</w:t>
      </w:r>
      <w:r w:rsidRPr="00DE6257">
        <w:t>Принята без голосования.</w:t>
      </w:r>
      <w:r w:rsidRPr="00B274D0">
        <w:t>]</w:t>
      </w:r>
    </w:p>
    <w:p w:rsidR="00BE6B02" w:rsidRPr="00BE6B02" w:rsidRDefault="00BE6B02" w:rsidP="00BE6B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6B02" w:rsidRPr="00BE6B02" w:rsidSect="00BE6B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74" w:rsidRPr="00A312BC" w:rsidRDefault="00103074" w:rsidP="00A312BC"/>
  </w:endnote>
  <w:endnote w:type="continuationSeparator" w:id="0">
    <w:p w:rsidR="00103074" w:rsidRPr="00A312BC" w:rsidRDefault="001030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2" w:rsidRPr="00BE6B02" w:rsidRDefault="00BE6B02">
    <w:pPr>
      <w:pStyle w:val="a8"/>
    </w:pPr>
    <w:r w:rsidRPr="00BE6B02">
      <w:rPr>
        <w:b/>
        <w:sz w:val="18"/>
      </w:rPr>
      <w:fldChar w:fldCharType="begin"/>
    </w:r>
    <w:r w:rsidRPr="00BE6B02">
      <w:rPr>
        <w:b/>
        <w:sz w:val="18"/>
      </w:rPr>
      <w:instrText xml:space="preserve"> PAGE  \* MERGEFORMAT </w:instrText>
    </w:r>
    <w:r w:rsidRPr="00BE6B02">
      <w:rPr>
        <w:b/>
        <w:sz w:val="18"/>
      </w:rPr>
      <w:fldChar w:fldCharType="separate"/>
    </w:r>
    <w:r w:rsidR="00967DF3">
      <w:rPr>
        <w:b/>
        <w:noProof/>
        <w:sz w:val="18"/>
      </w:rPr>
      <w:t>6</w:t>
    </w:r>
    <w:r w:rsidRPr="00BE6B02">
      <w:rPr>
        <w:b/>
        <w:sz w:val="18"/>
      </w:rPr>
      <w:fldChar w:fldCharType="end"/>
    </w:r>
    <w:r>
      <w:rPr>
        <w:b/>
        <w:sz w:val="18"/>
      </w:rPr>
      <w:tab/>
    </w:r>
    <w:r>
      <w:t>GE.19-17284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2" w:rsidRPr="00BE6B02" w:rsidRDefault="00BE6B02" w:rsidP="00BE6B02">
    <w:pPr>
      <w:pStyle w:val="a8"/>
      <w:tabs>
        <w:tab w:val="clear" w:pos="9639"/>
        <w:tab w:val="right" w:pos="9638"/>
      </w:tabs>
      <w:rPr>
        <w:b/>
        <w:sz w:val="18"/>
      </w:rPr>
    </w:pPr>
    <w:r>
      <w:t>GE.19-17284</w:t>
    </w:r>
    <w:r>
      <w:tab/>
    </w:r>
    <w:r w:rsidRPr="00BE6B02">
      <w:rPr>
        <w:b/>
        <w:sz w:val="18"/>
      </w:rPr>
      <w:fldChar w:fldCharType="begin"/>
    </w:r>
    <w:r w:rsidRPr="00BE6B02">
      <w:rPr>
        <w:b/>
        <w:sz w:val="18"/>
      </w:rPr>
      <w:instrText xml:space="preserve"> PAGE  \* MERGEFORMAT </w:instrText>
    </w:r>
    <w:r w:rsidRPr="00BE6B02">
      <w:rPr>
        <w:b/>
        <w:sz w:val="18"/>
      </w:rPr>
      <w:fldChar w:fldCharType="separate"/>
    </w:r>
    <w:r w:rsidR="00967DF3">
      <w:rPr>
        <w:b/>
        <w:noProof/>
        <w:sz w:val="18"/>
      </w:rPr>
      <w:t>7</w:t>
    </w:r>
    <w:r w:rsidRPr="00BE6B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E6B02" w:rsidRDefault="00BE6B02" w:rsidP="00BE6B0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17284  (</w:t>
    </w:r>
    <w:proofErr w:type="gramEnd"/>
    <w:r>
      <w:t>R)  171019  181019</w:t>
    </w:r>
    <w:r>
      <w:br/>
    </w:r>
    <w:r w:rsidRPr="00BE6B02">
      <w:rPr>
        <w:rFonts w:ascii="C39T30Lfz" w:hAnsi="C39T30Lfz"/>
        <w:kern w:val="14"/>
        <w:sz w:val="56"/>
      </w:rPr>
      <w:t></w:t>
    </w:r>
    <w:r w:rsidRPr="00BE6B02">
      <w:rPr>
        <w:rFonts w:ascii="C39T30Lfz" w:hAnsi="C39T30Lfz"/>
        <w:kern w:val="14"/>
        <w:sz w:val="56"/>
      </w:rPr>
      <w:t></w:t>
    </w:r>
    <w:r w:rsidRPr="00BE6B02">
      <w:rPr>
        <w:rFonts w:ascii="C39T30Lfz" w:hAnsi="C39T30Lfz"/>
        <w:kern w:val="14"/>
        <w:sz w:val="56"/>
      </w:rPr>
      <w:t></w:t>
    </w:r>
    <w:r w:rsidRPr="00BE6B02">
      <w:rPr>
        <w:rFonts w:ascii="C39T30Lfz" w:hAnsi="C39T30Lfz"/>
        <w:kern w:val="14"/>
        <w:sz w:val="56"/>
      </w:rPr>
      <w:t></w:t>
    </w:r>
    <w:r w:rsidRPr="00BE6B02">
      <w:rPr>
        <w:rFonts w:ascii="C39T30Lfz" w:hAnsi="C39T30Lfz"/>
        <w:kern w:val="14"/>
        <w:sz w:val="56"/>
      </w:rPr>
      <w:t></w:t>
    </w:r>
    <w:r w:rsidRPr="00BE6B02">
      <w:rPr>
        <w:rFonts w:ascii="C39T30Lfz" w:hAnsi="C39T30Lfz"/>
        <w:kern w:val="14"/>
        <w:sz w:val="56"/>
      </w:rPr>
      <w:t></w:t>
    </w:r>
    <w:r w:rsidRPr="00BE6B02">
      <w:rPr>
        <w:rFonts w:ascii="C39T30Lfz" w:hAnsi="C39T30Lfz"/>
        <w:kern w:val="14"/>
        <w:sz w:val="56"/>
      </w:rPr>
      <w:t></w:t>
    </w:r>
    <w:r w:rsidRPr="00BE6B02">
      <w:rPr>
        <w:rFonts w:ascii="C39T30Lfz" w:hAnsi="C39T30Lfz"/>
        <w:kern w:val="14"/>
        <w:sz w:val="56"/>
      </w:rPr>
      <w:t></w:t>
    </w:r>
    <w:r w:rsidRPr="00BE6B0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74" w:rsidRPr="001075E9" w:rsidRDefault="001030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3074" w:rsidRDefault="001030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E6B02" w:rsidRPr="00CE0D00" w:rsidRDefault="00BE6B02" w:rsidP="00BE6B02">
      <w:pPr>
        <w:pStyle w:val="ad"/>
        <w:widowControl w:val="0"/>
        <w:tabs>
          <w:tab w:val="clear" w:pos="1021"/>
          <w:tab w:val="right" w:pos="1020"/>
        </w:tabs>
        <w:spacing w:after="240"/>
        <w:rPr>
          <w:lang w:val="en-US"/>
        </w:rPr>
      </w:pPr>
      <w:r>
        <w:tab/>
      </w:r>
      <w:r>
        <w:rPr>
          <w:rStyle w:val="aa"/>
        </w:rPr>
        <w:footnoteRef/>
      </w:r>
      <w:r w:rsidRPr="00080BF1">
        <w:rPr>
          <w:lang w:val="en-US"/>
        </w:rPr>
        <w:tab/>
        <w:t>A/HRC/42/31.</w:t>
      </w:r>
    </w:p>
  </w:footnote>
  <w:footnote w:id="2">
    <w:p w:rsidR="00BE6B02" w:rsidRPr="00CE0D00" w:rsidRDefault="00BE6B02" w:rsidP="00BE6B02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080BF1">
        <w:rPr>
          <w:lang w:val="en-US"/>
        </w:rPr>
        <w:tab/>
      </w:r>
      <w:r>
        <w:rPr>
          <w:rStyle w:val="aa"/>
        </w:rPr>
        <w:footnoteRef/>
      </w:r>
      <w:r w:rsidRPr="00080BF1">
        <w:rPr>
          <w:lang w:val="en-US"/>
        </w:rPr>
        <w:tab/>
        <w:t xml:space="preserve">A/HRC/39/73 </w:t>
      </w:r>
      <w:r>
        <w:t>и</w:t>
      </w:r>
      <w:r w:rsidRPr="00080BF1">
        <w:rPr>
          <w:lang w:val="en-US"/>
        </w:rPr>
        <w:t xml:space="preserve"> Add.1, A/HRC/42/60 </w:t>
      </w:r>
      <w:r>
        <w:t>и</w:t>
      </w:r>
      <w:r w:rsidRPr="00080BF1">
        <w:rPr>
          <w:lang w:val="en-US"/>
        </w:rPr>
        <w:t xml:space="preserve"> Add.1.</w:t>
      </w:r>
    </w:p>
  </w:footnote>
  <w:footnote w:id="3">
    <w:p w:rsidR="00BE6B02" w:rsidRPr="00CE0D00" w:rsidRDefault="00BE6B02" w:rsidP="00BE6B02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080BF1">
        <w:rPr>
          <w:lang w:val="en-US"/>
        </w:rPr>
        <w:tab/>
      </w:r>
      <w:r>
        <w:rPr>
          <w:rStyle w:val="aa"/>
        </w:rPr>
        <w:footnoteRef/>
      </w:r>
      <w:r w:rsidRPr="00080BF1">
        <w:rPr>
          <w:lang w:val="en-US"/>
        </w:rPr>
        <w:tab/>
        <w:t xml:space="preserve">A/HRC/39/73/Add.1 </w:t>
      </w:r>
      <w:r>
        <w:t>и</w:t>
      </w:r>
      <w:r w:rsidRPr="00080BF1">
        <w:rPr>
          <w:lang w:val="en-US"/>
        </w:rPr>
        <w:t xml:space="preserve"> A/HRC/42/60.</w:t>
      </w:r>
    </w:p>
  </w:footnote>
  <w:footnote w:id="4">
    <w:p w:rsidR="00BE6B02" w:rsidRDefault="00BE6B02" w:rsidP="00BE6B02">
      <w:pPr>
        <w:pStyle w:val="ad"/>
        <w:widowControl w:val="0"/>
        <w:tabs>
          <w:tab w:val="clear" w:pos="1021"/>
          <w:tab w:val="right" w:pos="1020"/>
        </w:tabs>
      </w:pPr>
      <w:r w:rsidRPr="00080BF1">
        <w:rPr>
          <w:lang w:val="en-US"/>
        </w:rPr>
        <w:tab/>
      </w:r>
      <w:r>
        <w:rPr>
          <w:rStyle w:val="aa"/>
        </w:rPr>
        <w:footnoteRef/>
      </w:r>
      <w:r>
        <w:tab/>
        <w:t>A/HRC/39/73/Add.1.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2" w:rsidRPr="00BE6B02" w:rsidRDefault="00BE6B02">
    <w:pPr>
      <w:pStyle w:val="a5"/>
    </w:pPr>
    <w:fldSimple w:instr=" TITLE  \* MERGEFORMAT ">
      <w:r w:rsidR="00967DF3">
        <w:t>A/HRC/RES/42/37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2" w:rsidRPr="00BE6B02" w:rsidRDefault="00BE6B02" w:rsidP="00BE6B02">
    <w:pPr>
      <w:pStyle w:val="a5"/>
      <w:jc w:val="right"/>
    </w:pPr>
    <w:fldSimple w:instr=" TITLE  \* MERGEFORMAT ">
      <w:r w:rsidR="00967DF3">
        <w:t>A/HRC/RES/42/37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4"/>
    <w:rsid w:val="00033EE1"/>
    <w:rsid w:val="00040272"/>
    <w:rsid w:val="00041EA6"/>
    <w:rsid w:val="00042B72"/>
    <w:rsid w:val="000558BD"/>
    <w:rsid w:val="000842B4"/>
    <w:rsid w:val="000B1658"/>
    <w:rsid w:val="000B57E7"/>
    <w:rsid w:val="000B6373"/>
    <w:rsid w:val="000F09DF"/>
    <w:rsid w:val="000F61B2"/>
    <w:rsid w:val="00103074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435FF"/>
    <w:rsid w:val="0086445C"/>
    <w:rsid w:val="00865660"/>
    <w:rsid w:val="00874821"/>
    <w:rsid w:val="00894693"/>
    <w:rsid w:val="008A08D7"/>
    <w:rsid w:val="008B6909"/>
    <w:rsid w:val="008D261C"/>
    <w:rsid w:val="00906890"/>
    <w:rsid w:val="00907F52"/>
    <w:rsid w:val="00911BE4"/>
    <w:rsid w:val="009275CF"/>
    <w:rsid w:val="00936A21"/>
    <w:rsid w:val="00951972"/>
    <w:rsid w:val="009604DF"/>
    <w:rsid w:val="009608F3"/>
    <w:rsid w:val="009675B6"/>
    <w:rsid w:val="00967DF3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BE6B02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C9FBF"/>
  <w15:docId w15:val="{B5882D1B-1021-4C3F-9280-9FA26C5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7</Pages>
  <Words>2627</Words>
  <Characters>18432</Characters>
  <Application>Microsoft Office Word</Application>
  <DocSecurity>0</DocSecurity>
  <Lines>322</Lines>
  <Paragraphs>64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A/HRC/RES/42/37</vt:lpstr>
      <vt:lpstr>A/</vt:lpstr>
      <vt:lpstr>A/</vt:lpstr>
      <vt:lpstr>A/</vt:lpstr>
    </vt:vector>
  </TitlesOfParts>
  <Company>DCM</Company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A/HRC/RES/42/37</dc:title>
  <dc:subject/>
  <dc:creator>Marina KOROTKOVA</dc:creator>
  <cp:keywords/>
  <cp:lastModifiedBy>Marina Korotkova</cp:lastModifiedBy>
  <cp:revision>3</cp:revision>
  <cp:lastPrinted>2019-10-18T09:29:00Z</cp:lastPrinted>
  <dcterms:created xsi:type="dcterms:W3CDTF">2019-10-18T09:29:00Z</dcterms:created>
  <dcterms:modified xsi:type="dcterms:W3CDTF">2019-10-18T09:30:00Z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