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2B2EA1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2B2E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B2EA1" w:rsidP="002B2EA1">
            <w:pPr>
              <w:jc w:val="right"/>
            </w:pPr>
            <w:r w:rsidRPr="002B2EA1">
              <w:rPr>
                <w:sz w:val="40"/>
              </w:rPr>
              <w:t>A</w:t>
            </w:r>
            <w:r>
              <w:t>/</w:t>
            </w:r>
            <w:proofErr w:type="spellStart"/>
            <w:r>
              <w:t>HRC</w:t>
            </w:r>
            <w:proofErr w:type="spellEnd"/>
            <w:r>
              <w:t>/RES/35/9</w:t>
            </w:r>
          </w:p>
        </w:tc>
      </w:tr>
      <w:tr w:rsidR="002D5AAC" w:rsidTr="002B2EA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B2EA1" w:rsidP="0008244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general</w:t>
            </w:r>
          </w:p>
          <w:p w:rsidR="002B2EA1" w:rsidRDefault="002B2EA1" w:rsidP="002B2EA1">
            <w:pPr>
              <w:spacing w:line="240" w:lineRule="exact"/>
            </w:pPr>
            <w:r>
              <w:t>12 de julio de 2017</w:t>
            </w:r>
          </w:p>
          <w:p w:rsidR="002B2EA1" w:rsidRDefault="002B2EA1" w:rsidP="002B2EA1">
            <w:pPr>
              <w:spacing w:line="240" w:lineRule="exact"/>
            </w:pPr>
            <w:r>
              <w:t>Español</w:t>
            </w:r>
          </w:p>
          <w:p w:rsidR="002B2EA1" w:rsidRDefault="002B2EA1" w:rsidP="002B2EA1">
            <w:pPr>
              <w:spacing w:line="240" w:lineRule="exact"/>
            </w:pPr>
            <w:r>
              <w:t>Original: inglés</w:t>
            </w:r>
          </w:p>
        </w:tc>
      </w:tr>
    </w:tbl>
    <w:p w:rsidR="002B2EA1" w:rsidRPr="002B2EA1" w:rsidRDefault="002B2EA1" w:rsidP="002B2EA1">
      <w:pPr>
        <w:spacing w:before="120"/>
        <w:rPr>
          <w:b/>
          <w:sz w:val="24"/>
        </w:rPr>
      </w:pPr>
      <w:r w:rsidRPr="002B2EA1">
        <w:rPr>
          <w:b/>
          <w:sz w:val="24"/>
        </w:rPr>
        <w:t>Consejo de Derechos Humanos</w:t>
      </w:r>
    </w:p>
    <w:p w:rsidR="002B2EA1" w:rsidRPr="002B2EA1" w:rsidRDefault="002B2EA1" w:rsidP="002B2EA1">
      <w:pPr>
        <w:rPr>
          <w:b/>
        </w:rPr>
      </w:pPr>
      <w:r w:rsidRPr="002B2EA1">
        <w:rPr>
          <w:b/>
        </w:rPr>
        <w:t>35º período de sesiones</w:t>
      </w:r>
    </w:p>
    <w:p w:rsidR="002B2EA1" w:rsidRPr="002B2EA1" w:rsidRDefault="002B2EA1" w:rsidP="002B2EA1">
      <w:r w:rsidRPr="002B2EA1">
        <w:t>6 a 23 de junio de 2017</w:t>
      </w:r>
    </w:p>
    <w:p w:rsidR="002B2EA1" w:rsidRPr="002B2EA1" w:rsidRDefault="002B2EA1" w:rsidP="002B2EA1">
      <w:r w:rsidRPr="002B2EA1">
        <w:t>Tema 3 de la agenda</w:t>
      </w:r>
    </w:p>
    <w:p w:rsidR="002B2EA1" w:rsidRPr="002B2EA1" w:rsidRDefault="002B2EA1" w:rsidP="002B2EA1">
      <w:pPr>
        <w:pStyle w:val="HChG"/>
        <w:ind w:left="0" w:right="0" w:firstLine="0"/>
        <w:jc w:val="center"/>
        <w:rPr>
          <w:lang w:val="es-AR"/>
        </w:rPr>
      </w:pPr>
      <w:r w:rsidRPr="002B2EA1">
        <w:rPr>
          <w:lang w:val="es-AR"/>
        </w:rPr>
        <w:t>Resolución aprobada por</w:t>
      </w:r>
      <w:r>
        <w:rPr>
          <w:lang w:val="es-AR"/>
        </w:rPr>
        <w:t xml:space="preserve"> el Consejo de Derechos Humanos</w:t>
      </w:r>
      <w:r>
        <w:rPr>
          <w:lang w:val="es-AR"/>
        </w:rPr>
        <w:br/>
      </w:r>
      <w:r w:rsidRPr="002B2EA1">
        <w:rPr>
          <w:lang w:val="es-AR"/>
        </w:rPr>
        <w:t>el 22 de junio de 2017</w:t>
      </w:r>
    </w:p>
    <w:p w:rsidR="002B2EA1" w:rsidRPr="002B2EA1" w:rsidRDefault="002B2EA1" w:rsidP="00756886">
      <w:pPr>
        <w:pStyle w:val="H1G"/>
        <w:tabs>
          <w:tab w:val="left" w:pos="1843"/>
        </w:tabs>
      </w:pPr>
      <w:r>
        <w:rPr>
          <w:lang w:val="es-AR"/>
        </w:rPr>
        <w:tab/>
      </w:r>
      <w:r w:rsidRPr="002B2EA1">
        <w:rPr>
          <w:lang w:val="es-AR"/>
        </w:rPr>
        <w:tab/>
      </w:r>
      <w:r w:rsidRPr="002B2EA1">
        <w:t>35/9</w:t>
      </w:r>
      <w:r>
        <w:t>.</w:t>
      </w:r>
      <w:r w:rsidRPr="002B2EA1">
        <w:rPr>
          <w:cs/>
        </w:rPr>
        <w:tab/>
      </w:r>
      <w:r w:rsidRPr="002B2EA1">
        <w:t xml:space="preserve">Eliminación de la discriminación contra las personas </w:t>
      </w:r>
      <w:r w:rsidRPr="002B2EA1">
        <w:br/>
      </w:r>
      <w:r w:rsidRPr="002B2EA1">
        <w:tab/>
        <w:t>afectadas por la lepra y sus familiares</w:t>
      </w:r>
    </w:p>
    <w:p w:rsidR="002B2EA1" w:rsidRPr="002B2EA1" w:rsidRDefault="002B2EA1" w:rsidP="002B2EA1">
      <w:pPr>
        <w:pStyle w:val="SingleTxtG"/>
      </w:pPr>
      <w:r>
        <w:rPr>
          <w:i/>
        </w:rPr>
        <w:tab/>
      </w:r>
      <w:r w:rsidRPr="002B2EA1">
        <w:rPr>
          <w:i/>
        </w:rPr>
        <w:t>El Consejo de Derechos Humanos</w:t>
      </w:r>
      <w:r w:rsidRPr="002B2EA1">
        <w:t>,</w:t>
      </w:r>
    </w:p>
    <w:p w:rsidR="002B2EA1" w:rsidRPr="002B2EA1" w:rsidRDefault="002B2EA1" w:rsidP="002B2EA1">
      <w:pPr>
        <w:pStyle w:val="SingleTxtG"/>
      </w:pPr>
      <w:r>
        <w:rPr>
          <w:i/>
        </w:rPr>
        <w:tab/>
      </w:r>
      <w:r w:rsidRPr="002B2EA1">
        <w:rPr>
          <w:i/>
        </w:rPr>
        <w:t>Guiado</w:t>
      </w:r>
      <w:r w:rsidRPr="002B2EA1">
        <w:t xml:space="preserve"> por los propósitos, principios y disposiciones de la Carta de las Naciones Unidas,</w:t>
      </w:r>
    </w:p>
    <w:p w:rsidR="002B2EA1" w:rsidRPr="002B2EA1" w:rsidRDefault="002B2EA1" w:rsidP="002B2EA1">
      <w:pPr>
        <w:pStyle w:val="SingleTxtG"/>
      </w:pPr>
      <w:r>
        <w:rPr>
          <w:i/>
        </w:rPr>
        <w:tab/>
      </w:r>
      <w:r w:rsidRPr="002B2EA1">
        <w:rPr>
          <w:i/>
        </w:rPr>
        <w:t>Guiado también</w:t>
      </w:r>
      <w:r w:rsidRPr="002B2EA1">
        <w:t xml:space="preserve"> por la Declaración Universal de Derechos Humanos, y recordando los instrumentos internacionales de derechos humanos pertinentes, como el Pacto Internacional de Derechos Económicos, Sociales y Culturales, el Pacto Internacional de Derechos Civiles y Políticos, la Convención sobre los Derechos de las Personas con Discapacidad, la Convención sobre la Eliminación de Todas las Formas de Discriminación contra la Mujer y la Convención sobre los Derechos del Niño,</w:t>
      </w:r>
    </w:p>
    <w:p w:rsidR="002B2EA1" w:rsidRPr="002B2EA1" w:rsidRDefault="002B2EA1" w:rsidP="002B2EA1">
      <w:pPr>
        <w:pStyle w:val="SingleTxtG"/>
      </w:pPr>
      <w:r w:rsidRPr="002B2EA1">
        <w:rPr>
          <w:i/>
        </w:rPr>
        <w:tab/>
        <w:t>Recordando</w:t>
      </w:r>
      <w:r w:rsidRPr="002B2EA1">
        <w:t xml:space="preserve"> sus resoluciones 5/1, sobre la construcción institucional del Consejo de Derechos Humanos, y 5/2, sobre el Código de Conducta para los Titulares de Mandatos de los Procedimientos Especiales del Consejo, de 18 de junio de 2007, y destacando que los titulares de mandatos desempeñarán sus funciones de conformidad con esas resoluciones y anexos,</w:t>
      </w:r>
    </w:p>
    <w:p w:rsidR="002B2EA1" w:rsidRPr="002B2EA1" w:rsidRDefault="002B2EA1" w:rsidP="002B2EA1">
      <w:pPr>
        <w:pStyle w:val="SingleTxtG"/>
      </w:pPr>
      <w:r>
        <w:rPr>
          <w:i/>
        </w:rPr>
        <w:tab/>
      </w:r>
      <w:r w:rsidRPr="002B2EA1">
        <w:rPr>
          <w:i/>
        </w:rPr>
        <w:t>Recordando también</w:t>
      </w:r>
      <w:r w:rsidRPr="002B2EA1">
        <w:t xml:space="preserve"> sus resoluciones 8/13, de 18 de junio de 2008, 12/7, de 1 de octubre de 2009, 15/10, de 30 de septiembre de 2010, y 29/5, de 2 de julio de 2015, y la resolución 65/215 de la Asamblea General, de 21 de diciembre de 2010,</w:t>
      </w:r>
    </w:p>
    <w:p w:rsidR="002B2EA1" w:rsidRPr="002B2EA1" w:rsidRDefault="002B2EA1" w:rsidP="002B2EA1">
      <w:pPr>
        <w:pStyle w:val="SingleTxtG"/>
      </w:pPr>
      <w:r>
        <w:rPr>
          <w:i/>
        </w:rPr>
        <w:tab/>
      </w:r>
      <w:r w:rsidRPr="002B2EA1">
        <w:rPr>
          <w:i/>
        </w:rPr>
        <w:t>Recordando además</w:t>
      </w:r>
      <w:r w:rsidRPr="002B2EA1">
        <w:t xml:space="preserve"> la universalidad, indivisibilidad, interdependencia e interrelación de todos los derechos humanos y libertades fundamentales,</w:t>
      </w:r>
    </w:p>
    <w:p w:rsidR="002B2EA1" w:rsidRPr="002B2EA1" w:rsidRDefault="002B2EA1" w:rsidP="002B2EA1">
      <w:pPr>
        <w:pStyle w:val="SingleTxtG"/>
      </w:pPr>
      <w:r>
        <w:rPr>
          <w:i/>
        </w:rPr>
        <w:tab/>
      </w:r>
      <w:r w:rsidRPr="002B2EA1">
        <w:rPr>
          <w:i/>
        </w:rPr>
        <w:t>Acogiendo con beneplácito</w:t>
      </w:r>
      <w:r w:rsidRPr="002B2EA1">
        <w:t xml:space="preserve"> la Estrategia Mundial para la Lepra 2016</w:t>
      </w:r>
      <w:r w:rsidRPr="002B2EA1">
        <w:rPr>
          <w:cs/>
        </w:rPr>
        <w:t>-</w:t>
      </w:r>
      <w:r w:rsidRPr="002B2EA1">
        <w:t>2020 de la Organización Mundial de la Salud, y compartiendo la aspiración común de acelerar la acción hacia un mundo sin lepra,</w:t>
      </w:r>
    </w:p>
    <w:p w:rsidR="002B2EA1" w:rsidRPr="002B2EA1" w:rsidRDefault="002B2EA1" w:rsidP="002B2EA1">
      <w:pPr>
        <w:pStyle w:val="SingleTxtG"/>
        <w:rPr>
          <w:i/>
        </w:rPr>
      </w:pPr>
      <w:r>
        <w:rPr>
          <w:i/>
        </w:rPr>
        <w:tab/>
      </w:r>
      <w:r w:rsidRPr="002B2EA1">
        <w:rPr>
          <w:i/>
        </w:rPr>
        <w:t>Recordando</w:t>
      </w:r>
      <w:r w:rsidRPr="002B2EA1">
        <w:t xml:space="preserve"> que la lepra tiene cura y que los derechos humanos de las personas con lepra podrían protegerse mejor si el tratamiento que puede prevenir la discapacidad se recibiera en las primeras etapas de la enfermedad,</w:t>
      </w:r>
    </w:p>
    <w:p w:rsidR="002B2EA1" w:rsidRPr="002B2EA1" w:rsidRDefault="002B2EA1" w:rsidP="002B2EA1">
      <w:pPr>
        <w:pStyle w:val="SingleTxtG"/>
      </w:pPr>
      <w:r>
        <w:rPr>
          <w:i/>
        </w:rPr>
        <w:tab/>
      </w:r>
      <w:r w:rsidRPr="002B2EA1">
        <w:rPr>
          <w:i/>
        </w:rPr>
        <w:t>Profundamente preocupado</w:t>
      </w:r>
      <w:r w:rsidRPr="002B2EA1">
        <w:t xml:space="preserve"> por el hecho de que, en diversas partes del mundo, las personas afectadas por la lepra y sus familiares han encontrado y siguen encontrando barreras para participar en la sociedad en igualdad de condiciones con los demás, como </w:t>
      </w:r>
      <w:r w:rsidRPr="002B2EA1">
        <w:lastRenderedPageBreak/>
        <w:t>aislamiento, discriminación y violaciones y vulneraciones de sus derechos humanos, y consciente de que es necesario prestar mayor atención a esos problemas,</w:t>
      </w:r>
    </w:p>
    <w:p w:rsidR="002B2EA1" w:rsidRPr="002B2EA1" w:rsidRDefault="002B2EA1" w:rsidP="002B2EA1">
      <w:pPr>
        <w:pStyle w:val="SingleTxtG"/>
      </w:pPr>
      <w:r>
        <w:rPr>
          <w:i/>
        </w:rPr>
        <w:tab/>
      </w:r>
      <w:r w:rsidRPr="002B2EA1">
        <w:rPr>
          <w:i/>
        </w:rPr>
        <w:t>Reafirmando</w:t>
      </w:r>
      <w:r w:rsidRPr="002B2EA1">
        <w:t xml:space="preserve"> que las personas afectadas por la lepra y sus familiares, incluidas las mujeres y los niños, deben ser tratados con dignidad y tienen derecho al goce de todos los derechos humanos y libertades fundamentales reconocidos en el derecho internacional consuetudinario, los convenios pertinentes y las constituciones y legislaciones nacionales,</w:t>
      </w:r>
    </w:p>
    <w:p w:rsidR="002B2EA1" w:rsidRPr="002B2EA1" w:rsidRDefault="002B2EA1" w:rsidP="002B2EA1">
      <w:pPr>
        <w:pStyle w:val="SingleTxtG"/>
      </w:pPr>
      <w:r>
        <w:rPr>
          <w:i/>
        </w:rPr>
        <w:tab/>
      </w:r>
      <w:r w:rsidRPr="002B2EA1">
        <w:rPr>
          <w:i/>
        </w:rPr>
        <w:t>Reconociendo</w:t>
      </w:r>
      <w:r w:rsidRPr="002B2EA1">
        <w:t xml:space="preserve"> que las personas afectadas por la lepra y sus familiares siguen encontrándose con múltiples formas de prejuicios y discriminación debido a una información y un conocimiento erróneo de la enfermedad en todo el mundo,</w:t>
      </w:r>
    </w:p>
    <w:p w:rsidR="002B2EA1" w:rsidRPr="002B2EA1" w:rsidRDefault="002B2EA1" w:rsidP="002B2EA1">
      <w:pPr>
        <w:pStyle w:val="SingleTxtG"/>
      </w:pPr>
      <w:r>
        <w:rPr>
          <w:i/>
        </w:rPr>
        <w:tab/>
      </w:r>
      <w:r w:rsidRPr="002B2EA1">
        <w:rPr>
          <w:i/>
        </w:rPr>
        <w:t>Reconociendo también</w:t>
      </w:r>
      <w:r w:rsidRPr="002B2EA1">
        <w:t xml:space="preserve"> que es necesario prestar atención específica a la lucha contra todas las formas de discriminación de las personas afectadas por la lepra y sus familiares,</w:t>
      </w:r>
    </w:p>
    <w:p w:rsidR="002B2EA1" w:rsidRPr="002B2EA1" w:rsidRDefault="002B2EA1" w:rsidP="002B2EA1">
      <w:pPr>
        <w:pStyle w:val="SingleTxtG"/>
      </w:pPr>
      <w:r>
        <w:rPr>
          <w:i/>
        </w:rPr>
        <w:tab/>
      </w:r>
      <w:r w:rsidRPr="002B2EA1">
        <w:rPr>
          <w:i/>
        </w:rPr>
        <w:t>Teniendo presente</w:t>
      </w:r>
      <w:r w:rsidRPr="002B2EA1">
        <w:t xml:space="preserve"> la necesidad de intensificar los esfuerzos para acabar con todas las formas de prejuicios y discriminación contra las personas afectadas por la lepra y sus familiares y de promover en todo el mundo políticas que faciliten su inclusión,</w:t>
      </w:r>
    </w:p>
    <w:p w:rsidR="002B2EA1" w:rsidRPr="002B2EA1" w:rsidRDefault="002B2EA1" w:rsidP="002B2EA1">
      <w:pPr>
        <w:pStyle w:val="SingleTxtG"/>
      </w:pPr>
      <w:r>
        <w:rPr>
          <w:i/>
        </w:rPr>
        <w:tab/>
      </w:r>
      <w:r w:rsidRPr="002B2EA1">
        <w:rPr>
          <w:i/>
        </w:rPr>
        <w:t>Destacando la importancia</w:t>
      </w:r>
      <w:r w:rsidRPr="002B2EA1">
        <w:t xml:space="preserve"> de que se apliquen los principios y directrices para la eliminación de la discriminación de las personas afectadas por la lepra y sus familiares, presentados por el Comité Asesor en 2010</w:t>
      </w:r>
      <w:bookmarkStart w:id="1" w:name="_Ref485570367"/>
      <w:r w:rsidRPr="002B2EA1">
        <w:rPr>
          <w:sz w:val="18"/>
          <w:vertAlign w:val="superscript"/>
        </w:rPr>
        <w:footnoteReference w:id="1"/>
      </w:r>
      <w:bookmarkEnd w:id="1"/>
      <w:r w:rsidRPr="002B2EA1">
        <w:t>, y de que en las resoluciones 15/10 del Consejo y 65/215 de la Asamblea General se alentó a los Gobiernos, los órganos, organismos especializados, fondos y programas pertinentes de las Naciones Unidas, otras organizaciones intergubernamentales y las instituciones nacionales de derechos humanos a tenerlos debidamente en cuenta,</w:t>
      </w:r>
    </w:p>
    <w:p w:rsidR="002B2EA1" w:rsidRPr="002B2EA1" w:rsidRDefault="002B2EA1" w:rsidP="002B2EA1">
      <w:pPr>
        <w:pStyle w:val="SingleTxtG"/>
      </w:pPr>
      <w:r>
        <w:rPr>
          <w:i/>
        </w:rPr>
        <w:tab/>
      </w:r>
      <w:r w:rsidRPr="002B2EA1">
        <w:rPr>
          <w:i/>
        </w:rPr>
        <w:t>Acogiendo con beneplácito</w:t>
      </w:r>
      <w:r w:rsidRPr="002B2EA1">
        <w:t xml:space="preserve"> el informe final del Comité Asesor, presentado de conformidad con la resolución 29/5 del Consejo y las recomendaciones en él contenidas</w:t>
      </w:r>
      <w:r w:rsidR="00756886">
        <w:rPr>
          <w:rStyle w:val="Refdenotaalpie"/>
        </w:rPr>
        <w:footnoteReference w:id="2"/>
      </w:r>
      <w:r w:rsidRPr="002B2EA1">
        <w:t>,</w:t>
      </w:r>
    </w:p>
    <w:p w:rsidR="002B2EA1" w:rsidRPr="002B2EA1" w:rsidRDefault="002B2EA1" w:rsidP="002B2EA1">
      <w:pPr>
        <w:pStyle w:val="SingleTxtG"/>
      </w:pPr>
      <w:r>
        <w:tab/>
      </w:r>
      <w:r w:rsidRPr="002B2EA1">
        <w:t>1.</w:t>
      </w:r>
      <w:r w:rsidRPr="002B2EA1">
        <w:tab/>
      </w:r>
      <w:r w:rsidRPr="002B2EA1">
        <w:rPr>
          <w:i/>
        </w:rPr>
        <w:t>Decide</w:t>
      </w:r>
      <w:r w:rsidRPr="002B2EA1">
        <w:t xml:space="preserve"> nombrar, por un período de tres años, un Relator Especial sobre la eliminación de la discriminación contra las personas afectadas por la lepra y sus familiares, con el siguiente mandato: </w:t>
      </w:r>
    </w:p>
    <w:p w:rsidR="002B2EA1" w:rsidRPr="002B2EA1" w:rsidRDefault="002B2EA1" w:rsidP="002B2EA1">
      <w:pPr>
        <w:pStyle w:val="SingleTxtG"/>
      </w:pPr>
      <w:r>
        <w:tab/>
      </w:r>
      <w:r w:rsidRPr="002B2EA1">
        <w:t>a)</w:t>
      </w:r>
      <w:r w:rsidRPr="002B2EA1">
        <w:tab/>
        <w:t xml:space="preserve">Hacer un seguimiento e informar sobre los avances realizados y las medidas adoptadas por los Estados en lo relativo a la eficaz aplicación de los principios y directrices para la eliminación de la discriminación de las personas afectadas por la lepra y sus </w:t>
      </w:r>
      <w:proofErr w:type="spellStart"/>
      <w:r w:rsidRPr="002B2EA1">
        <w:t>familiares</w:t>
      </w:r>
      <w:r w:rsidRPr="002B2EA1">
        <w:rPr>
          <w:sz w:val="18"/>
          <w:vertAlign w:val="superscript"/>
        </w:rPr>
        <w:fldChar w:fldCharType="begin"/>
      </w:r>
      <w:r w:rsidRPr="002B2EA1">
        <w:rPr>
          <w:sz w:val="18"/>
          <w:vertAlign w:val="superscript"/>
        </w:rPr>
        <w:instrText xml:space="preserve"> NOTEREF _Ref485570367 \h  \* MERGEFORMAT </w:instrText>
      </w:r>
      <w:r w:rsidRPr="002B2EA1">
        <w:rPr>
          <w:sz w:val="18"/>
          <w:vertAlign w:val="superscript"/>
        </w:rPr>
      </w:r>
      <w:r w:rsidRPr="002B2EA1">
        <w:rPr>
          <w:sz w:val="18"/>
          <w:vertAlign w:val="superscript"/>
        </w:rPr>
        <w:fldChar w:fldCharType="separate"/>
      </w:r>
      <w:r w:rsidR="00574929">
        <w:rPr>
          <w:sz w:val="18"/>
          <w:vertAlign w:val="superscript"/>
        </w:rPr>
        <w:t>1</w:t>
      </w:r>
      <w:proofErr w:type="spellEnd"/>
      <w:r w:rsidRPr="002B2EA1">
        <w:rPr>
          <w:sz w:val="18"/>
        </w:rPr>
        <w:fldChar w:fldCharType="end"/>
      </w:r>
      <w:r w:rsidRPr="002B2EA1">
        <w:t xml:space="preserve"> con miras a hacer efectivo el goce de los derechos humanos de las personas afectadas por la lepra y sus familiares en todas las regiones del mundo, y formular recomendaciones al Consejo de Derechos Humanos a este respecto;</w:t>
      </w:r>
    </w:p>
    <w:p w:rsidR="002B2EA1" w:rsidRPr="002B2EA1" w:rsidRDefault="002B2EA1" w:rsidP="002B2EA1">
      <w:pPr>
        <w:pStyle w:val="SingleTxtG"/>
      </w:pPr>
      <w:r>
        <w:tab/>
      </w:r>
      <w:r w:rsidRPr="002B2EA1">
        <w:t>b)</w:t>
      </w:r>
      <w:r w:rsidRPr="002B2EA1">
        <w:tab/>
        <w:t>Entablar un diálogo y celebrar consultas con los Estados y otros interesados pertinentes, incluidos los órganos, organismos especializados, fondos y programas de las Naciones Unidas, en particular la Organización Mundial de la Salud, otras organizaciones intergubernamentales, los mecanismos regionales de derechos humanos, las instituciones nacionales de derechos humanos y las organizaciones no gubernamentales, con el fin de determinar, intercambiar y promover buenas prácticas para hacer efectivos los derechos de las personas afectadas por la lepra y sus familiares y para velar por su participación en la sociedad en igualdad de condiciones con los demás, con miras a lograr un mundo sin lepra;</w:t>
      </w:r>
    </w:p>
    <w:p w:rsidR="002B2EA1" w:rsidRPr="002B2EA1" w:rsidRDefault="002B2EA1" w:rsidP="002B2EA1">
      <w:pPr>
        <w:pStyle w:val="SingleTxtG"/>
      </w:pPr>
      <w:r>
        <w:tab/>
      </w:r>
      <w:r w:rsidRPr="002B2EA1">
        <w:t>c)</w:t>
      </w:r>
      <w:r w:rsidRPr="002B2EA1">
        <w:tab/>
        <w:t>Sensibilizar acerca de los derechos de las personas afectadas por la lepra y sus familiares y luchar contra los estigmas, prejuicios, y prácticas y creencias tradicionales nocivas que socavan el goce de sus derechos humanos y libertades fundamentales y su participación en la sociedad en igualdad de condiciones con los demás;</w:t>
      </w:r>
    </w:p>
    <w:p w:rsidR="002B2EA1" w:rsidRPr="002B2EA1" w:rsidRDefault="002B2EA1" w:rsidP="002B2EA1">
      <w:pPr>
        <w:pStyle w:val="SingleTxtG"/>
      </w:pPr>
      <w:r>
        <w:tab/>
      </w:r>
      <w:r w:rsidRPr="002B2EA1">
        <w:t>d)</w:t>
      </w:r>
      <w:r w:rsidRPr="002B2EA1">
        <w:tab/>
        <w:t>Informar anualmente al Consejo de Derec</w:t>
      </w:r>
      <w:r>
        <w:t xml:space="preserve">hos Humanos, a partir de su </w:t>
      </w:r>
      <w:r w:rsidRPr="002B2EA1">
        <w:t>38º período de sesiones;</w:t>
      </w:r>
    </w:p>
    <w:p w:rsidR="002B2EA1" w:rsidRPr="002B2EA1" w:rsidRDefault="002B2EA1" w:rsidP="002B2EA1">
      <w:pPr>
        <w:pStyle w:val="SingleTxtG"/>
      </w:pPr>
      <w:r>
        <w:tab/>
      </w:r>
      <w:r w:rsidRPr="002B2EA1">
        <w:t>2.</w:t>
      </w:r>
      <w:r w:rsidRPr="002B2EA1">
        <w:tab/>
      </w:r>
      <w:r w:rsidRPr="002B2EA1">
        <w:rPr>
          <w:i/>
        </w:rPr>
        <w:t>Exhorta</w:t>
      </w:r>
      <w:r w:rsidRPr="002B2EA1">
        <w:t xml:space="preserve"> a los Estados a que cooperen con el Relator Especial en el desempeño de su mandato, entre otras cosas proporcionándole toda la información que solicite, y a que consideren seriamente la posibilidad de dar una respuesta favorable a las </w:t>
      </w:r>
      <w:r w:rsidRPr="002B2EA1">
        <w:lastRenderedPageBreak/>
        <w:t>solicitudes del Relator Especial para visitar sus países y de aplicar las recomendaciones formuladas por el titular del mandato en sus informes;</w:t>
      </w:r>
    </w:p>
    <w:p w:rsidR="002B2EA1" w:rsidRPr="002B2EA1" w:rsidRDefault="002B2EA1" w:rsidP="002B2EA1">
      <w:pPr>
        <w:pStyle w:val="SingleTxtG"/>
      </w:pPr>
      <w:r>
        <w:tab/>
      </w:r>
      <w:r w:rsidRPr="002B2EA1">
        <w:t>3.</w:t>
      </w:r>
      <w:r w:rsidRPr="002B2EA1">
        <w:rPr>
          <w:i/>
        </w:rPr>
        <w:tab/>
        <w:t>Alienta</w:t>
      </w:r>
      <w:r w:rsidRPr="002B2EA1">
        <w:t xml:space="preserve"> a todas las partes interesadas pertinentes, incluidos los órganos, organismos especializados, fondos y programas de las Naciones Unidas, otras organizaciones internacionales, los mecanismos regionales de derechos humanos, las instituciones nacionales de derechos humanos y las organizaciones no gubernamentales, a que cooperen plenamente con el Relator Especial para que pueda cumplir su mandato;</w:t>
      </w:r>
    </w:p>
    <w:p w:rsidR="002B2EA1" w:rsidRPr="002B2EA1" w:rsidRDefault="002B2EA1" w:rsidP="002B2EA1">
      <w:pPr>
        <w:pStyle w:val="SingleTxtG"/>
      </w:pPr>
      <w:r>
        <w:tab/>
      </w:r>
      <w:r w:rsidRPr="002B2EA1">
        <w:t>4.</w:t>
      </w:r>
      <w:r w:rsidRPr="002B2EA1">
        <w:tab/>
      </w:r>
      <w:r w:rsidRPr="002B2EA1">
        <w:rPr>
          <w:i/>
        </w:rPr>
        <w:t>Solicita</w:t>
      </w:r>
      <w:r w:rsidRPr="002B2EA1">
        <w:t xml:space="preserve"> al Secretario General y al Alto Comisionado de las Naciones Unidas para los Derechos Humanos que otorguen al Relator Especial todos los recursos humanos, técnicos y financieros necesarios para el efectivo cumplimiento de su mandato;</w:t>
      </w:r>
    </w:p>
    <w:p w:rsidR="002B2EA1" w:rsidRPr="002B2EA1" w:rsidRDefault="002B2EA1" w:rsidP="002B2EA1">
      <w:pPr>
        <w:pStyle w:val="SingleTxtG"/>
      </w:pPr>
      <w:r>
        <w:tab/>
      </w:r>
      <w:r w:rsidRPr="002B2EA1">
        <w:t>5.</w:t>
      </w:r>
      <w:r w:rsidRPr="002B2EA1">
        <w:tab/>
      </w:r>
      <w:r w:rsidRPr="002B2EA1">
        <w:rPr>
          <w:i/>
        </w:rPr>
        <w:t>Alienta</w:t>
      </w:r>
      <w:r w:rsidRPr="002B2EA1">
        <w:t xml:space="preserve"> al Alto Comisionado y al Relator Especial a que, en colaboración con los Estados y las organizaciones internacionales competentes, como la Organización Mundial de la Salud, así como las organizaciones no gubernamentales pertinentes, organicen seminarios sobre la discriminación relacionada con la lepra, en fechas y lugares apropiados, para difundir ampliamente los principios y directrices y profundizar su comprensión entre los Estados y otras partes interesadas, velando por que en esos seminarios haya una importante participación de p</w:t>
      </w:r>
      <w:r>
        <w:t>ersonas afectadas por la lepra;</w:t>
      </w:r>
    </w:p>
    <w:p w:rsidR="002B2EA1" w:rsidRPr="002B2EA1" w:rsidRDefault="002B2EA1" w:rsidP="002B2EA1">
      <w:pPr>
        <w:pStyle w:val="SingleTxtG"/>
      </w:pPr>
      <w:r>
        <w:tab/>
      </w:r>
      <w:r w:rsidRPr="002B2EA1">
        <w:t>6.</w:t>
      </w:r>
      <w:r w:rsidRPr="002B2EA1">
        <w:tab/>
      </w:r>
      <w:r w:rsidRPr="002B2EA1">
        <w:rPr>
          <w:i/>
        </w:rPr>
        <w:t>Alienta</w:t>
      </w:r>
      <w:r w:rsidRPr="002B2EA1">
        <w:t xml:space="preserve"> a los Estados y a todas las partes interesadas pertinentes, incluidos los órganos, organismos especializados, fondos y programas de las Naciones Unidas, como la Organización Mundial de la Salud, los procedimientos especiales, otras organizaciones internacionales, los mecanismos regionales de derechos humanos, las instituciones nacionales de derechos humanos y las organizaciones no gubernamentales, a que participen activamente en los seminarios;</w:t>
      </w:r>
    </w:p>
    <w:p w:rsidR="002B2EA1" w:rsidRPr="002B2EA1" w:rsidRDefault="002B2EA1" w:rsidP="002B2EA1">
      <w:pPr>
        <w:pStyle w:val="SingleTxtG"/>
      </w:pPr>
      <w:r>
        <w:tab/>
      </w:r>
      <w:r w:rsidRPr="002B2EA1">
        <w:t>7.</w:t>
      </w:r>
      <w:r w:rsidRPr="002B2EA1">
        <w:tab/>
      </w:r>
      <w:r w:rsidRPr="002B2EA1">
        <w:rPr>
          <w:i/>
        </w:rPr>
        <w:t>Decide</w:t>
      </w:r>
      <w:r w:rsidRPr="002B2EA1">
        <w:t xml:space="preserve"> seguir ocupándose de la cuestión.</w:t>
      </w:r>
    </w:p>
    <w:p w:rsidR="002B2EA1" w:rsidRDefault="002B2EA1" w:rsidP="002B2EA1">
      <w:pPr>
        <w:pStyle w:val="SingleTxtG"/>
        <w:spacing w:after="0"/>
        <w:jc w:val="right"/>
        <w:rPr>
          <w:i/>
          <w:lang w:val="es-AR"/>
        </w:rPr>
      </w:pPr>
      <w:r w:rsidRPr="002B2EA1">
        <w:rPr>
          <w:i/>
          <w:lang w:val="es-AR"/>
        </w:rPr>
        <w:t>34</w:t>
      </w:r>
      <w:r w:rsidRPr="00DF0D8E">
        <w:rPr>
          <w:i/>
        </w:rPr>
        <w:t>ª</w:t>
      </w:r>
      <w:r w:rsidRPr="002B2EA1">
        <w:rPr>
          <w:i/>
          <w:lang w:val="es-AR"/>
        </w:rPr>
        <w:t xml:space="preserve"> sesión</w:t>
      </w:r>
    </w:p>
    <w:p w:rsidR="002B2EA1" w:rsidRPr="002B2EA1" w:rsidRDefault="002B2EA1" w:rsidP="002B2EA1">
      <w:pPr>
        <w:pStyle w:val="SingleTxtG"/>
        <w:jc w:val="right"/>
        <w:rPr>
          <w:i/>
          <w:lang w:val="es-AR"/>
        </w:rPr>
      </w:pPr>
      <w:r w:rsidRPr="002B2EA1">
        <w:rPr>
          <w:i/>
          <w:lang w:val="es-AR"/>
        </w:rPr>
        <w:t>22 de junio de 2017</w:t>
      </w:r>
    </w:p>
    <w:p w:rsidR="002B2EA1" w:rsidRPr="002B2EA1" w:rsidRDefault="002B2EA1" w:rsidP="002B2EA1">
      <w:pPr>
        <w:pStyle w:val="SingleTxtG"/>
      </w:pPr>
      <w:r w:rsidRPr="002B2EA1">
        <w:t>[Aprobada sin votación.]</w:t>
      </w:r>
    </w:p>
    <w:p w:rsidR="002B2EA1" w:rsidRPr="002B2EA1" w:rsidRDefault="002B2EA1" w:rsidP="002B2EA1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2EA1" w:rsidRPr="002B2EA1" w:rsidSect="002B2E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EE" w:rsidRPr="00A312BC" w:rsidRDefault="005F55EE" w:rsidP="00A312BC">
      <w:pPr>
        <w:pStyle w:val="Piedepgina"/>
      </w:pPr>
    </w:p>
  </w:endnote>
  <w:endnote w:type="continuationSeparator" w:id="0">
    <w:p w:rsidR="005F55EE" w:rsidRPr="00A312BC" w:rsidRDefault="005F55EE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A1" w:rsidRPr="002B2EA1" w:rsidRDefault="002B2EA1" w:rsidP="002B2EA1">
    <w:pPr>
      <w:pStyle w:val="Piedepgina"/>
      <w:tabs>
        <w:tab w:val="right" w:pos="9638"/>
      </w:tabs>
    </w:pPr>
    <w:r w:rsidRPr="002B2EA1">
      <w:rPr>
        <w:b/>
        <w:sz w:val="18"/>
      </w:rPr>
      <w:fldChar w:fldCharType="begin"/>
    </w:r>
    <w:r w:rsidRPr="002B2EA1">
      <w:rPr>
        <w:b/>
        <w:sz w:val="18"/>
      </w:rPr>
      <w:instrText xml:space="preserve"> PAGE  \* MERGEFORMAT </w:instrText>
    </w:r>
    <w:r w:rsidRPr="002B2EA1">
      <w:rPr>
        <w:b/>
        <w:sz w:val="18"/>
      </w:rPr>
      <w:fldChar w:fldCharType="separate"/>
    </w:r>
    <w:r w:rsidR="00574929">
      <w:rPr>
        <w:b/>
        <w:noProof/>
        <w:sz w:val="18"/>
      </w:rPr>
      <w:t>2</w:t>
    </w:r>
    <w:r w:rsidRPr="002B2EA1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GE.17</w:t>
    </w:r>
    <w:proofErr w:type="spellEnd"/>
    <w:r>
      <w:t>-11417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A1" w:rsidRPr="002B2EA1" w:rsidRDefault="002B2EA1" w:rsidP="002B2EA1">
    <w:pPr>
      <w:pStyle w:val="Piedepgina"/>
      <w:tabs>
        <w:tab w:val="right" w:pos="9638"/>
      </w:tabs>
      <w:rPr>
        <w:b/>
        <w:sz w:val="18"/>
      </w:rPr>
    </w:pPr>
    <w:proofErr w:type="spellStart"/>
    <w:r>
      <w:t>GE.17</w:t>
    </w:r>
    <w:proofErr w:type="spellEnd"/>
    <w:r>
      <w:t>-11417</w:t>
    </w:r>
    <w:r>
      <w:tab/>
    </w:r>
    <w:r w:rsidRPr="002B2EA1">
      <w:rPr>
        <w:b/>
        <w:sz w:val="18"/>
      </w:rPr>
      <w:fldChar w:fldCharType="begin"/>
    </w:r>
    <w:r w:rsidRPr="002B2EA1">
      <w:rPr>
        <w:b/>
        <w:sz w:val="18"/>
      </w:rPr>
      <w:instrText xml:space="preserve"> PAGE  \* MERGEFORMAT </w:instrText>
    </w:r>
    <w:r w:rsidRPr="002B2EA1">
      <w:rPr>
        <w:b/>
        <w:sz w:val="18"/>
      </w:rPr>
      <w:fldChar w:fldCharType="separate"/>
    </w:r>
    <w:r w:rsidR="00574929">
      <w:rPr>
        <w:b/>
        <w:noProof/>
        <w:sz w:val="18"/>
      </w:rPr>
      <w:t>3</w:t>
    </w:r>
    <w:r w:rsidRPr="002B2EA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B2EA1" w:rsidRDefault="002B2EA1" w:rsidP="002B2EA1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57728" behindDoc="0" locked="1" layoutInCell="1" allowOverlap="1" wp14:anchorId="62575643" wp14:editId="4B95260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</w:t>
    </w:r>
    <w:proofErr w:type="spellEnd"/>
    <w:r>
      <w:rPr>
        <w:sz w:val="20"/>
      </w:rPr>
      <w:t>-11417  (S)    130717    2</w:t>
    </w:r>
    <w:r w:rsidR="0042736A">
      <w:rPr>
        <w:sz w:val="20"/>
      </w:rPr>
      <w:t>1</w:t>
    </w:r>
    <w:r>
      <w:rPr>
        <w:sz w:val="20"/>
      </w:rPr>
      <w:t>0717</w:t>
    </w:r>
    <w:r>
      <w:rPr>
        <w:sz w:val="20"/>
      </w:rPr>
      <w:br/>
    </w:r>
    <w:r w:rsidRPr="002B2EA1">
      <w:rPr>
        <w:rFonts w:ascii="C39T30Lfz" w:hAnsi="C39T30Lfz"/>
        <w:sz w:val="56"/>
      </w:rPr>
      <w:t></w:t>
    </w:r>
    <w:r w:rsidRPr="002B2EA1">
      <w:rPr>
        <w:rFonts w:ascii="C39T30Lfz" w:hAnsi="C39T30Lfz"/>
        <w:sz w:val="56"/>
      </w:rPr>
      <w:t></w:t>
    </w:r>
    <w:r w:rsidRPr="002B2EA1">
      <w:rPr>
        <w:rFonts w:ascii="C39T30Lfz" w:hAnsi="C39T30Lfz"/>
        <w:sz w:val="56"/>
      </w:rPr>
      <w:t></w:t>
    </w:r>
    <w:r w:rsidRPr="002B2EA1">
      <w:rPr>
        <w:rFonts w:ascii="C39T30Lfz" w:hAnsi="C39T30Lfz"/>
        <w:sz w:val="56"/>
      </w:rPr>
      <w:t></w:t>
    </w:r>
    <w:r w:rsidRPr="002B2EA1">
      <w:rPr>
        <w:rFonts w:ascii="C39T30Lfz" w:hAnsi="C39T30Lfz"/>
        <w:sz w:val="56"/>
      </w:rPr>
      <w:t></w:t>
    </w:r>
    <w:r w:rsidRPr="002B2EA1">
      <w:rPr>
        <w:rFonts w:ascii="C39T30Lfz" w:hAnsi="C39T30Lfz"/>
        <w:sz w:val="56"/>
      </w:rPr>
      <w:t></w:t>
    </w:r>
    <w:r w:rsidRPr="002B2EA1">
      <w:rPr>
        <w:rFonts w:ascii="C39T30Lfz" w:hAnsi="C39T30Lfz"/>
        <w:sz w:val="56"/>
      </w:rPr>
      <w:t></w:t>
    </w:r>
    <w:r w:rsidRPr="002B2EA1">
      <w:rPr>
        <w:rFonts w:ascii="C39T30Lfz" w:hAnsi="C39T30Lfz"/>
        <w:sz w:val="56"/>
      </w:rPr>
      <w:t></w:t>
    </w:r>
    <w:r w:rsidRPr="002B2EA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A/HRC/RES/35/9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35/9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EE" w:rsidRPr="001075E9" w:rsidRDefault="005F55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F55EE" w:rsidRDefault="005F55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B2EA1" w:rsidRPr="00DF0D8E" w:rsidRDefault="002B2EA1" w:rsidP="002B2EA1">
      <w:pPr>
        <w:pStyle w:val="Textonotapie"/>
        <w:rPr>
          <w:lang w:val="en-US"/>
        </w:rPr>
      </w:pPr>
      <w:r w:rsidRPr="00E01005">
        <w:tab/>
      </w:r>
      <w:r w:rsidRPr="00E01005">
        <w:rPr>
          <w:rStyle w:val="Refdenotaalpie"/>
        </w:rPr>
        <w:footnoteRef/>
      </w:r>
      <w:r w:rsidRPr="00DF0D8E">
        <w:rPr>
          <w:lang w:val="en-US"/>
        </w:rPr>
        <w:tab/>
        <w:t>A/</w:t>
      </w:r>
      <w:proofErr w:type="spellStart"/>
      <w:r w:rsidRPr="00DF0D8E">
        <w:rPr>
          <w:lang w:val="en-US"/>
        </w:rPr>
        <w:t>HRC</w:t>
      </w:r>
      <w:proofErr w:type="spellEnd"/>
      <w:r w:rsidRPr="00DF0D8E">
        <w:rPr>
          <w:lang w:val="en-US"/>
        </w:rPr>
        <w:t xml:space="preserve">/15/30, </w:t>
      </w:r>
      <w:proofErr w:type="spellStart"/>
      <w:r w:rsidRPr="00DF0D8E">
        <w:rPr>
          <w:lang w:val="en-US"/>
        </w:rPr>
        <w:t>anexo</w:t>
      </w:r>
      <w:proofErr w:type="spellEnd"/>
      <w:r w:rsidRPr="00DF0D8E">
        <w:rPr>
          <w:lang w:val="en-US"/>
        </w:rPr>
        <w:t>.</w:t>
      </w:r>
    </w:p>
  </w:footnote>
  <w:footnote w:id="2">
    <w:p w:rsidR="00756886" w:rsidRPr="00DF0D8E" w:rsidRDefault="00756886">
      <w:pPr>
        <w:pStyle w:val="Textonotapie"/>
        <w:rPr>
          <w:lang w:val="en-US"/>
        </w:rPr>
      </w:pPr>
      <w:r w:rsidRPr="00DF0D8E">
        <w:rPr>
          <w:lang w:val="en-US"/>
        </w:rPr>
        <w:tab/>
      </w:r>
      <w:r>
        <w:rPr>
          <w:rStyle w:val="Refdenotaalpie"/>
        </w:rPr>
        <w:footnoteRef/>
      </w:r>
      <w:r w:rsidRPr="00DF0D8E">
        <w:rPr>
          <w:lang w:val="en-US"/>
        </w:rPr>
        <w:tab/>
        <w:t>A/</w:t>
      </w:r>
      <w:proofErr w:type="spellStart"/>
      <w:r w:rsidRPr="00DF0D8E">
        <w:rPr>
          <w:lang w:val="en-US"/>
        </w:rPr>
        <w:t>HRC</w:t>
      </w:r>
      <w:proofErr w:type="spellEnd"/>
      <w:r w:rsidRPr="00DF0D8E">
        <w:rPr>
          <w:lang w:val="en-US"/>
        </w:rPr>
        <w:t>/35/38.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A1" w:rsidRPr="002B2EA1" w:rsidRDefault="0042736A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 w:rsidR="00574929">
      <w:t>A/</w:t>
    </w:r>
    <w:proofErr w:type="spellStart"/>
    <w:r w:rsidR="00574929">
      <w:t>HRC</w:t>
    </w:r>
    <w:proofErr w:type="spellEnd"/>
    <w:r w:rsidR="00574929">
      <w:t>/RES/35/9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A1" w:rsidRPr="002B2EA1" w:rsidRDefault="0042736A" w:rsidP="002B2EA1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74929">
      <w:t>A/</w:t>
    </w:r>
    <w:proofErr w:type="spellStart"/>
    <w:r w:rsidR="00574929">
      <w:t>HRC</w:t>
    </w:r>
    <w:proofErr w:type="spellEnd"/>
    <w:r w:rsidR="00574929">
      <w:t>/RES/35/9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6A" w:rsidRDefault="00427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EE"/>
    <w:rsid w:val="00033EE1"/>
    <w:rsid w:val="00042B72"/>
    <w:rsid w:val="000558BD"/>
    <w:rsid w:val="0008244E"/>
    <w:rsid w:val="000A4437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B2EA1"/>
    <w:rsid w:val="002C0E18"/>
    <w:rsid w:val="002D5AAC"/>
    <w:rsid w:val="002E5067"/>
    <w:rsid w:val="002F405F"/>
    <w:rsid w:val="002F7EEC"/>
    <w:rsid w:val="00301299"/>
    <w:rsid w:val="00306911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2736A"/>
    <w:rsid w:val="00452493"/>
    <w:rsid w:val="00454E07"/>
    <w:rsid w:val="00472C5C"/>
    <w:rsid w:val="0050108D"/>
    <w:rsid w:val="00513081"/>
    <w:rsid w:val="00517901"/>
    <w:rsid w:val="00526683"/>
    <w:rsid w:val="005709E0"/>
    <w:rsid w:val="00572E19"/>
    <w:rsid w:val="00574929"/>
    <w:rsid w:val="005961C8"/>
    <w:rsid w:val="005D7914"/>
    <w:rsid w:val="005E2B41"/>
    <w:rsid w:val="005F0B42"/>
    <w:rsid w:val="005F55EE"/>
    <w:rsid w:val="0064046F"/>
    <w:rsid w:val="00681A10"/>
    <w:rsid w:val="006A1ED8"/>
    <w:rsid w:val="006C2031"/>
    <w:rsid w:val="006D461A"/>
    <w:rsid w:val="006F35EE"/>
    <w:rsid w:val="007021FF"/>
    <w:rsid w:val="00712895"/>
    <w:rsid w:val="00756886"/>
    <w:rsid w:val="00757357"/>
    <w:rsid w:val="00825F8D"/>
    <w:rsid w:val="00834B71"/>
    <w:rsid w:val="00845563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312BC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D0C97"/>
    <w:rsid w:val="00CE5A1A"/>
    <w:rsid w:val="00CF55F6"/>
    <w:rsid w:val="00D33D63"/>
    <w:rsid w:val="00D90138"/>
    <w:rsid w:val="00DF0D8E"/>
    <w:rsid w:val="00E73F76"/>
    <w:rsid w:val="00EA2C9F"/>
    <w:rsid w:val="00EA5F97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1589F61-432C-4CE2-9368-66E6FBF4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qFormat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qFormat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DAA3-A140-4E36-9C8A-51525AB7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3</Pages>
  <Words>1284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</vt:lpstr>
    </vt:vector>
  </TitlesOfParts>
  <Company>DCM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A/HRC/RES/35/9</dc:title>
  <dc:subject/>
  <dc:creator>Angel Angel MORENO TORRES</dc:creator>
  <cp:keywords/>
  <cp:lastModifiedBy>Generic TPSSPA1</cp:lastModifiedBy>
  <cp:revision>3</cp:revision>
  <cp:lastPrinted>2017-07-21T13:22:00Z</cp:lastPrinted>
  <dcterms:created xsi:type="dcterms:W3CDTF">2017-07-21T13:22:00Z</dcterms:created>
  <dcterms:modified xsi:type="dcterms:W3CDTF">2017-07-21T13:22:00Z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