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982"/>
        <w:gridCol w:w="1861"/>
        <w:gridCol w:w="4522"/>
      </w:tblGrid>
      <w:tr w:rsidR="00AD0014" w:rsidRPr="00DB7679" w:rsidTr="00A11DDA">
        <w:trPr>
          <w:trHeight w:hRule="exact" w:val="851"/>
        </w:trPr>
        <w:tc>
          <w:tcPr>
            <w:tcW w:w="1274" w:type="dxa"/>
            <w:tcBorders>
              <w:bottom w:val="single" w:sz="4" w:space="0" w:color="auto"/>
            </w:tcBorders>
          </w:tcPr>
          <w:p w:rsidR="00AD0014" w:rsidRPr="00983870"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BF4911" w:rsidP="00BF4911">
            <w:pPr>
              <w:bidi w:val="0"/>
              <w:spacing w:after="20"/>
              <w:jc w:val="left"/>
              <w:rPr>
                <w:szCs w:val="20"/>
              </w:rPr>
            </w:pPr>
            <w:r w:rsidRPr="00BF4911">
              <w:rPr>
                <w:sz w:val="40"/>
                <w:szCs w:val="20"/>
              </w:rPr>
              <w:t>A</w:t>
            </w:r>
            <w:r>
              <w:rPr>
                <w:szCs w:val="20"/>
              </w:rPr>
              <w:t>/HRC/RES/23/21</w:t>
            </w:r>
          </w:p>
        </w:tc>
      </w:tr>
      <w:tr w:rsidR="00257225" w:rsidRPr="00DB7679" w:rsidTr="007B599E">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3843" w:type="dxa"/>
            <w:gridSpan w:val="2"/>
            <w:tcBorders>
              <w:top w:val="single" w:sz="4" w:space="0" w:color="auto"/>
              <w:bottom w:val="single" w:sz="12" w:space="0" w:color="auto"/>
            </w:tcBorders>
          </w:tcPr>
          <w:p w:rsidR="00257225" w:rsidRPr="00DB7679" w:rsidRDefault="00257225" w:rsidP="00BC55C8">
            <w:pPr>
              <w:spacing w:before="120" w:line="640" w:lineRule="exact"/>
              <w:rPr>
                <w:rFonts w:hint="cs"/>
                <w:b/>
                <w:bCs/>
                <w:szCs w:val="60"/>
              </w:rPr>
            </w:pPr>
            <w:r w:rsidRPr="00DB7679">
              <w:rPr>
                <w:rFonts w:hint="cs"/>
                <w:b/>
                <w:bCs/>
                <w:szCs w:val="60"/>
                <w:rtl/>
              </w:rPr>
              <w:t>الجمعية العامة</w:t>
            </w:r>
          </w:p>
        </w:tc>
        <w:tc>
          <w:tcPr>
            <w:tcW w:w="4522" w:type="dxa"/>
            <w:tcBorders>
              <w:top w:val="single" w:sz="4" w:space="0" w:color="auto"/>
              <w:bottom w:val="single" w:sz="12" w:space="0" w:color="auto"/>
            </w:tcBorders>
          </w:tcPr>
          <w:p w:rsidR="00BF4911" w:rsidRDefault="00BF4911" w:rsidP="00BF4911">
            <w:pPr>
              <w:bidi w:val="0"/>
              <w:spacing w:before="240"/>
              <w:jc w:val="left"/>
            </w:pPr>
            <w:r>
              <w:t>Distr.: General</w:t>
            </w:r>
          </w:p>
          <w:p w:rsidR="00BF4911" w:rsidRDefault="00BF4911" w:rsidP="00BF4911">
            <w:pPr>
              <w:bidi w:val="0"/>
              <w:jc w:val="left"/>
            </w:pPr>
            <w:r>
              <w:t>25 June 2013</w:t>
            </w:r>
          </w:p>
          <w:p w:rsidR="00BF4911" w:rsidRDefault="00BF4911" w:rsidP="00BF4911">
            <w:pPr>
              <w:bidi w:val="0"/>
              <w:jc w:val="left"/>
            </w:pPr>
            <w:r>
              <w:t>Arabic</w:t>
            </w:r>
          </w:p>
          <w:p w:rsidR="00257225" w:rsidRPr="008B4BC6" w:rsidRDefault="00BF4911" w:rsidP="00BF4911">
            <w:pPr>
              <w:bidi w:val="0"/>
              <w:jc w:val="left"/>
            </w:pPr>
            <w:r>
              <w:t>Original: English</w:t>
            </w:r>
          </w:p>
        </w:tc>
      </w:tr>
    </w:tbl>
    <w:p w:rsidR="00BF4911" w:rsidRPr="00C879AE" w:rsidRDefault="00BF4911" w:rsidP="00BF4911">
      <w:pPr>
        <w:spacing w:before="120" w:line="380" w:lineRule="exact"/>
        <w:rPr>
          <w:rFonts w:hint="cs"/>
          <w:b/>
          <w:bCs/>
          <w:sz w:val="36"/>
          <w:szCs w:val="36"/>
          <w:rtl/>
        </w:rPr>
      </w:pPr>
      <w:r w:rsidRPr="00C879AE">
        <w:rPr>
          <w:rFonts w:hint="cs"/>
          <w:b/>
          <w:bCs/>
          <w:sz w:val="36"/>
          <w:szCs w:val="36"/>
          <w:rtl/>
        </w:rPr>
        <w:t>مجلس حقوق الإنسان</w:t>
      </w:r>
    </w:p>
    <w:p w:rsidR="00BF4911" w:rsidRPr="00C879AE" w:rsidRDefault="00BF4911" w:rsidP="00BF4911">
      <w:pPr>
        <w:spacing w:line="380" w:lineRule="exact"/>
        <w:rPr>
          <w:rFonts w:hint="cs"/>
          <w:b/>
          <w:bCs/>
          <w:rtl/>
        </w:rPr>
      </w:pPr>
      <w:r w:rsidRPr="00C879AE">
        <w:rPr>
          <w:rFonts w:hint="cs"/>
          <w:b/>
          <w:bCs/>
          <w:rtl/>
        </w:rPr>
        <w:t xml:space="preserve">الدورة </w:t>
      </w:r>
      <w:r>
        <w:rPr>
          <w:rFonts w:hint="cs"/>
          <w:b/>
          <w:bCs/>
          <w:rtl/>
        </w:rPr>
        <w:t>الثالثة والعشرون</w:t>
      </w:r>
    </w:p>
    <w:p w:rsidR="00BF4911" w:rsidRPr="005F41DD" w:rsidRDefault="00BF4911" w:rsidP="00BF4911">
      <w:pPr>
        <w:spacing w:line="380" w:lineRule="exact"/>
        <w:rPr>
          <w:rFonts w:hint="cs"/>
          <w:sz w:val="32"/>
          <w:szCs w:val="32"/>
          <w:rtl/>
          <w:lang w:val="fr-CH"/>
        </w:rPr>
      </w:pPr>
      <w:r w:rsidRPr="005F41DD">
        <w:rPr>
          <w:rFonts w:hint="cs"/>
          <w:sz w:val="32"/>
          <w:szCs w:val="32"/>
          <w:rtl/>
          <w:lang w:val="fr-CH"/>
        </w:rPr>
        <w:t xml:space="preserve">البند </w:t>
      </w:r>
      <w:r>
        <w:rPr>
          <w:rFonts w:hint="cs"/>
          <w:sz w:val="32"/>
          <w:szCs w:val="32"/>
          <w:rtl/>
          <w:lang w:val="fr-CH"/>
        </w:rPr>
        <w:t>4</w:t>
      </w:r>
      <w:r w:rsidRPr="005F41DD">
        <w:rPr>
          <w:rFonts w:hint="cs"/>
          <w:sz w:val="32"/>
          <w:szCs w:val="32"/>
          <w:rtl/>
          <w:lang w:val="fr-CH"/>
        </w:rPr>
        <w:t xml:space="preserve"> من جدول الأعمال</w:t>
      </w:r>
    </w:p>
    <w:p w:rsidR="00BF4911" w:rsidRDefault="00BF4911" w:rsidP="00BF4911">
      <w:pPr>
        <w:spacing w:after="180" w:line="380" w:lineRule="exact"/>
        <w:jc w:val="left"/>
        <w:rPr>
          <w:rFonts w:hint="cs"/>
          <w:b/>
          <w:bCs/>
          <w:sz w:val="32"/>
          <w:szCs w:val="32"/>
          <w:rtl/>
          <w:lang w:val="fr-CH"/>
        </w:rPr>
      </w:pPr>
      <w:r>
        <w:rPr>
          <w:rFonts w:hint="cs"/>
          <w:b/>
          <w:bCs/>
          <w:sz w:val="32"/>
          <w:szCs w:val="32"/>
          <w:rtl/>
          <w:lang w:val="fr-CH"/>
        </w:rPr>
        <w:t xml:space="preserve">حالات حقوق الإنسان التي تتطلب اهتمام المجلس </w:t>
      </w:r>
      <w:proofErr w:type="spellStart"/>
      <w:r>
        <w:rPr>
          <w:rFonts w:hint="cs"/>
          <w:b/>
          <w:bCs/>
          <w:sz w:val="32"/>
          <w:szCs w:val="32"/>
          <w:rtl/>
          <w:lang w:val="fr-CH"/>
        </w:rPr>
        <w:t>بها</w:t>
      </w:r>
      <w:proofErr w:type="spellEnd"/>
    </w:p>
    <w:p w:rsidR="00BF4911" w:rsidRPr="007012B4" w:rsidRDefault="00BF4911" w:rsidP="000E0426">
      <w:pPr>
        <w:pStyle w:val="HChGA"/>
        <w:rPr>
          <w:rFonts w:hint="cs"/>
          <w:rtl/>
          <w:lang w:val="fr-CH"/>
        </w:rPr>
      </w:pPr>
      <w:r>
        <w:rPr>
          <w:rFonts w:hint="cs"/>
          <w:rtl/>
          <w:lang w:val="fr-CH"/>
        </w:rPr>
        <w:tab/>
      </w:r>
      <w:r>
        <w:rPr>
          <w:rFonts w:hint="cs"/>
          <w:rtl/>
          <w:lang w:val="fr-CH"/>
        </w:rPr>
        <w:tab/>
        <w:t xml:space="preserve"> قرار اعتمده مجلس حقوق الإنسان</w:t>
      </w:r>
      <w:r w:rsidRPr="002C0517">
        <w:rPr>
          <w:rStyle w:val="FootnoteReference"/>
          <w:sz w:val="20"/>
          <w:vertAlign w:val="baseline"/>
          <w:rtl/>
          <w:lang w:val="fr-CH"/>
        </w:rPr>
        <w:footnoteReference w:customMarkFollows="1" w:id="1"/>
        <w:t>*</w:t>
      </w:r>
    </w:p>
    <w:p w:rsidR="00BF4911" w:rsidRPr="00BF00FA" w:rsidRDefault="00BF4911" w:rsidP="000E0426">
      <w:pPr>
        <w:pStyle w:val="HChGA"/>
        <w:rPr>
          <w:rFonts w:hint="cs"/>
          <w:rtl/>
        </w:rPr>
      </w:pPr>
      <w:r>
        <w:rPr>
          <w:rFonts w:hint="cs"/>
          <w:rtl/>
        </w:rPr>
        <w:tab/>
      </w:r>
      <w:r>
        <w:rPr>
          <w:rFonts w:hint="cs"/>
          <w:rtl/>
        </w:rPr>
        <w:tab/>
        <w:t>23</w:t>
      </w:r>
      <w:r w:rsidRPr="00BF00FA">
        <w:rPr>
          <w:rFonts w:hint="cs"/>
          <w:rtl/>
        </w:rPr>
        <w:t>/</w:t>
      </w:r>
      <w:r>
        <w:rPr>
          <w:rFonts w:hint="cs"/>
          <w:rtl/>
        </w:rPr>
        <w:t>21</w:t>
      </w:r>
      <w:r w:rsidRPr="00BF00FA">
        <w:rPr>
          <w:rtl/>
        </w:rPr>
        <w:br/>
      </w:r>
      <w:r>
        <w:rPr>
          <w:rFonts w:hint="cs"/>
          <w:rtl/>
        </w:rPr>
        <w:t>حالة حقوق الإنسان في إريتريا</w:t>
      </w:r>
    </w:p>
    <w:p w:rsidR="00BF4911" w:rsidRPr="00007581" w:rsidRDefault="00BF4911" w:rsidP="00BF4911">
      <w:pPr>
        <w:pStyle w:val="SingleTxtGA"/>
        <w:rPr>
          <w:i/>
          <w:iCs/>
          <w:rtl/>
        </w:rPr>
      </w:pPr>
      <w:r w:rsidRPr="00007581">
        <w:rPr>
          <w:rFonts w:hint="cs"/>
          <w:rtl/>
          <w:lang w:val="fr-CH"/>
        </w:rPr>
        <w:tab/>
      </w:r>
      <w:r w:rsidRPr="00007581">
        <w:rPr>
          <w:i/>
          <w:iCs/>
          <w:rtl/>
        </w:rPr>
        <w:t>إن مجلس حقوق الإنسان،</w:t>
      </w:r>
    </w:p>
    <w:p w:rsidR="00BF4911" w:rsidRPr="00007581" w:rsidRDefault="00BF4911" w:rsidP="000E0426">
      <w:pPr>
        <w:pStyle w:val="SingleTxtGA"/>
        <w:rPr>
          <w:rFonts w:hint="cs"/>
          <w:i/>
          <w:rtl/>
        </w:rPr>
      </w:pPr>
      <w:r w:rsidRPr="00007581">
        <w:rPr>
          <w:rFonts w:hint="cs"/>
          <w:b/>
          <w:iCs/>
          <w:rtl/>
        </w:rPr>
        <w:tab/>
      </w:r>
      <w:r w:rsidRPr="00007581">
        <w:rPr>
          <w:rFonts w:hint="cs"/>
          <w:i/>
          <w:iCs/>
          <w:rtl/>
          <w:lang w:val="fr-CH"/>
        </w:rPr>
        <w:t>إذ يسترشد</w:t>
      </w:r>
      <w:r w:rsidRPr="00007581">
        <w:rPr>
          <w:rFonts w:hint="cs"/>
          <w:rtl/>
          <w:lang w:val="fr-CH"/>
        </w:rPr>
        <w:t xml:space="preserve"> بميثاق الأمم المتحدة والإعلان العالمي لحقوق الإنسان والعهدين الدوليين الخاصين بحقوق الإنسان وغير ذلك من صكوك حقوق الإنسان</w:t>
      </w:r>
      <w:r w:rsidRPr="00007581">
        <w:rPr>
          <w:rFonts w:hint="cs"/>
          <w:i/>
          <w:rtl/>
        </w:rPr>
        <w:t xml:space="preserve"> </w:t>
      </w:r>
      <w:r w:rsidR="00503848">
        <w:rPr>
          <w:rFonts w:hint="cs"/>
          <w:i/>
          <w:rtl/>
        </w:rPr>
        <w:t xml:space="preserve">الدولية </w:t>
      </w:r>
      <w:r w:rsidRPr="00007581">
        <w:rPr>
          <w:rFonts w:hint="cs"/>
          <w:i/>
          <w:rtl/>
        </w:rPr>
        <w:t>ذات</w:t>
      </w:r>
      <w:r>
        <w:rPr>
          <w:rFonts w:hint="eastAsia"/>
          <w:i/>
          <w:rtl/>
        </w:rPr>
        <w:t> </w:t>
      </w:r>
      <w:r w:rsidRPr="00007581">
        <w:rPr>
          <w:rFonts w:hint="cs"/>
          <w:i/>
          <w:rtl/>
        </w:rPr>
        <w:t>الصلة</w:t>
      </w:r>
      <w:r w:rsidRPr="00007581">
        <w:rPr>
          <w:i/>
          <w:rtl/>
        </w:rPr>
        <w:t>،</w:t>
      </w:r>
    </w:p>
    <w:p w:rsidR="00BF4911" w:rsidRPr="00007581" w:rsidRDefault="00BF4911" w:rsidP="00503848">
      <w:pPr>
        <w:pStyle w:val="SingleTxtGA"/>
        <w:rPr>
          <w:rFonts w:hint="cs"/>
          <w:rtl/>
        </w:rPr>
      </w:pPr>
      <w:r w:rsidRPr="00503848">
        <w:rPr>
          <w:rFonts w:hint="cs"/>
          <w:iCs/>
          <w:rtl/>
        </w:rPr>
        <w:tab/>
        <w:t xml:space="preserve">وإذ </w:t>
      </w:r>
      <w:r w:rsidRPr="00503848">
        <w:rPr>
          <w:rFonts w:hint="cs"/>
          <w:i/>
          <w:iCs/>
          <w:rtl/>
        </w:rPr>
        <w:t>يشير</w:t>
      </w:r>
      <w:r w:rsidR="00503848" w:rsidRPr="00503848">
        <w:rPr>
          <w:rFonts w:hint="cs"/>
          <w:rtl/>
        </w:rPr>
        <w:t xml:space="preserve"> إلى </w:t>
      </w:r>
      <w:r w:rsidRPr="00503848">
        <w:rPr>
          <w:rFonts w:hint="cs"/>
          <w:rtl/>
        </w:rPr>
        <w:t xml:space="preserve">قرار </w:t>
      </w:r>
      <w:r w:rsidR="00503848" w:rsidRPr="00503848">
        <w:rPr>
          <w:rFonts w:hint="cs"/>
          <w:rtl/>
        </w:rPr>
        <w:t>اللجنة الأفريقية لحقوق الإنسان والشعوب، ٩١ ومقرريها</w:t>
      </w:r>
      <w:r w:rsidR="00503848">
        <w:rPr>
          <w:rFonts w:hint="eastAsia"/>
          <w:rtl/>
        </w:rPr>
        <w:t> </w:t>
      </w:r>
      <w:r w:rsidRPr="00007581">
        <w:rPr>
          <w:rtl/>
        </w:rPr>
        <w:t>٢٥٠/٢٠٠٢ و٢٧٥/٢٠٠٣</w:t>
      </w:r>
      <w:r w:rsidR="00503848">
        <w:rPr>
          <w:rFonts w:hint="cs"/>
          <w:rtl/>
        </w:rPr>
        <w:t>،</w:t>
      </w:r>
    </w:p>
    <w:p w:rsidR="00BF4911" w:rsidRPr="00007581" w:rsidRDefault="00BF4911" w:rsidP="00BF4911">
      <w:pPr>
        <w:pStyle w:val="SingleTxtGA"/>
        <w:rPr>
          <w:rFonts w:hint="cs"/>
          <w:rtl/>
          <w:lang/>
        </w:rPr>
      </w:pPr>
      <w:r w:rsidRPr="00007581">
        <w:rPr>
          <w:rFonts w:hint="cs"/>
          <w:iCs/>
          <w:rtl/>
        </w:rPr>
        <w:tab/>
        <w:t>وإذ يشير أيضاً</w:t>
      </w:r>
      <w:r w:rsidRPr="00007581">
        <w:rPr>
          <w:rFonts w:hint="cs"/>
          <w:rtl/>
        </w:rPr>
        <w:t xml:space="preserve"> إلى قراري مجلس حقوق الإنسان ٥/١ المتعلق ببناء مؤسسات المجلس، و٥/٢ </w:t>
      </w:r>
      <w:r w:rsidRPr="00007581">
        <w:rPr>
          <w:rFonts w:hint="cs"/>
          <w:rtl/>
          <w:lang/>
        </w:rPr>
        <w:t xml:space="preserve">المتعلق بمدونة قواعد السلوك للمكلفين بولايات في إطار الإجراءات الخاصة للمجلس، المؤرخين ١٨ حزيران/يونيه ٢٠٠٧، وإذ يشدد على </w:t>
      </w:r>
      <w:r w:rsidR="00503848">
        <w:rPr>
          <w:rFonts w:hint="cs"/>
          <w:rtl/>
          <w:lang/>
        </w:rPr>
        <w:t xml:space="preserve">ضرورة </w:t>
      </w:r>
      <w:r w:rsidRPr="00007581">
        <w:rPr>
          <w:rFonts w:hint="cs"/>
          <w:rtl/>
          <w:lang/>
        </w:rPr>
        <w:t>أن يؤدي المكلف بالولاية واجباته وفقاً لهذين القرارين ومرفقيهما،</w:t>
      </w:r>
    </w:p>
    <w:p w:rsidR="00BF4911" w:rsidRPr="00007581" w:rsidRDefault="00BF4911" w:rsidP="00BF4911">
      <w:pPr>
        <w:pStyle w:val="SingleTxtGA"/>
        <w:rPr>
          <w:rFonts w:hint="cs"/>
          <w:rtl/>
        </w:rPr>
      </w:pPr>
      <w:r w:rsidRPr="00007581">
        <w:rPr>
          <w:rFonts w:hint="cs"/>
          <w:i/>
          <w:iCs/>
          <w:rtl/>
        </w:rPr>
        <w:tab/>
        <w:t>وإذ يشير كذلك</w:t>
      </w:r>
      <w:r w:rsidRPr="00007581">
        <w:rPr>
          <w:rFonts w:hint="cs"/>
          <w:rtl/>
        </w:rPr>
        <w:t xml:space="preserve"> إلى قرار مجلس حقوق الإنسان 20/20 المؤرخ 6 تموز/ يوليه</w:t>
      </w:r>
      <w:r w:rsidRPr="00007581">
        <w:rPr>
          <w:rFonts w:hint="eastAsia"/>
          <w:rtl/>
        </w:rPr>
        <w:t> </w:t>
      </w:r>
      <w:r w:rsidRPr="00007581">
        <w:rPr>
          <w:rFonts w:hint="cs"/>
          <w:rtl/>
        </w:rPr>
        <w:t>2012، الذي أنشأ فيه المجلس ولاية المقرر الخاص المعني بحالة حقوق الإنسان في</w:t>
      </w:r>
      <w:r>
        <w:rPr>
          <w:rFonts w:hint="eastAsia"/>
          <w:rtl/>
        </w:rPr>
        <w:t> </w:t>
      </w:r>
      <w:r w:rsidR="00A6167F">
        <w:rPr>
          <w:rFonts w:hint="cs"/>
          <w:rtl/>
        </w:rPr>
        <w:t>إريتريا،</w:t>
      </w:r>
    </w:p>
    <w:p w:rsidR="00BF4911" w:rsidRPr="00007581" w:rsidRDefault="00BF4911" w:rsidP="00BF4911">
      <w:pPr>
        <w:pStyle w:val="SingleTxtGA"/>
        <w:rPr>
          <w:rFonts w:hint="cs"/>
          <w:rtl/>
        </w:rPr>
      </w:pPr>
      <w:r w:rsidRPr="00007581">
        <w:rPr>
          <w:rFonts w:hint="cs"/>
          <w:i/>
          <w:iCs/>
          <w:rtl/>
        </w:rPr>
        <w:tab/>
        <w:t>وإذ يشير</w:t>
      </w:r>
      <w:r w:rsidRPr="00007581">
        <w:rPr>
          <w:rFonts w:hint="cs"/>
          <w:rtl/>
        </w:rPr>
        <w:t xml:space="preserve"> إلى قرار مجلس حقوق الإنسان 21/1 المؤرخ 26 أيلول/سبتمبر 2012، الذي قرر فيه المجلس</w:t>
      </w:r>
      <w:r w:rsidRPr="00007581">
        <w:rPr>
          <w:rFonts w:hint="cs"/>
          <w:i/>
          <w:iCs/>
          <w:rtl/>
        </w:rPr>
        <w:t xml:space="preserve"> </w:t>
      </w:r>
      <w:r w:rsidRPr="00007581">
        <w:rPr>
          <w:rFonts w:hint="cs"/>
          <w:kern w:val="16"/>
          <w:rtl/>
        </w:rPr>
        <w:t>أن الوثائق التي ينظر فيها في إطار إجراء تقديم الشكاوى المتعلقة بحالة حقوق الإنسان في إريتريا ينبغي ألا تعتبر بعد ذلك وثائق سرية، باستثناء أسماء أفراد معينين لم</w:t>
      </w:r>
      <w:r w:rsidRPr="00007581">
        <w:rPr>
          <w:rFonts w:hint="eastAsia"/>
          <w:kern w:val="16"/>
          <w:rtl/>
        </w:rPr>
        <w:t> </w:t>
      </w:r>
      <w:r w:rsidRPr="00007581">
        <w:rPr>
          <w:rFonts w:hint="cs"/>
          <w:kern w:val="16"/>
          <w:rtl/>
        </w:rPr>
        <w:t>يوافقوا على ذكر أسمائهم أو أية معلومات أخرى تتعلق بهويتهم، ودعا فيه المقررة الخاصة المعنية بحالة حقوق الإنسان في إريتريا إلى مواصلة التحقيق في الادعاءات الواردة في الشكاوى المقدمة وإلى تقديم تقرير عن ذلك إلى مجلس حقوق الإنسان في دورته الثالثة والعشرين</w:t>
      </w:r>
      <w:r w:rsidRPr="00007581">
        <w:rPr>
          <w:rFonts w:hint="cs"/>
          <w:rtl/>
        </w:rPr>
        <w:t>،</w:t>
      </w:r>
      <w:r w:rsidRPr="00007581">
        <w:rPr>
          <w:rFonts w:hint="cs"/>
          <w:i/>
          <w:iCs/>
          <w:rtl/>
        </w:rPr>
        <w:t xml:space="preserve"> </w:t>
      </w:r>
    </w:p>
    <w:p w:rsidR="00BF4911" w:rsidRPr="00007581" w:rsidRDefault="00BF4911" w:rsidP="00503848">
      <w:pPr>
        <w:pStyle w:val="SingleTxtGA"/>
        <w:rPr>
          <w:rFonts w:hint="cs"/>
          <w:rtl/>
        </w:rPr>
      </w:pPr>
      <w:r w:rsidRPr="00007581">
        <w:rPr>
          <w:rFonts w:hint="cs"/>
          <w:i/>
          <w:iCs/>
          <w:rtl/>
        </w:rPr>
        <w:tab/>
        <w:t>وإذ يعرب عن قلقه ال</w:t>
      </w:r>
      <w:r w:rsidR="00503848">
        <w:rPr>
          <w:rFonts w:hint="cs"/>
          <w:i/>
          <w:iCs/>
          <w:rtl/>
        </w:rPr>
        <w:t xml:space="preserve">بالغ </w:t>
      </w:r>
      <w:r w:rsidRPr="00007581">
        <w:rPr>
          <w:rFonts w:hint="cs"/>
          <w:rtl/>
        </w:rPr>
        <w:t xml:space="preserve">إزاء استمرار التقارير التي تفيد </w:t>
      </w:r>
      <w:r w:rsidR="00503848">
        <w:rPr>
          <w:rFonts w:hint="cs"/>
          <w:rtl/>
        </w:rPr>
        <w:t xml:space="preserve">بارتكاب </w:t>
      </w:r>
      <w:r w:rsidRPr="00007581">
        <w:rPr>
          <w:rFonts w:hint="cs"/>
          <w:rtl/>
        </w:rPr>
        <w:t>السلطات الإريترية انتهاكات جسيمة لحقوق الإنسان في حق شعبها ومواطنيها، بما يشمل انتهاك الحقوق المدنية والسياسية، وكذلك الحقوق الاقتصادية والاجتماعية والثقافية، وإزاء العدد الهائل من المدنيين الفارين من إريتريا نتيجة لتلك الانتهاكات،</w:t>
      </w:r>
    </w:p>
    <w:p w:rsidR="00BF4911" w:rsidRPr="00007581" w:rsidRDefault="00BF4911" w:rsidP="00503848">
      <w:pPr>
        <w:pStyle w:val="SingleTxtGA"/>
        <w:rPr>
          <w:rFonts w:hint="cs"/>
          <w:rtl/>
        </w:rPr>
      </w:pPr>
      <w:r w:rsidRPr="00007581">
        <w:rPr>
          <w:rFonts w:hint="cs"/>
          <w:i/>
          <w:iCs/>
          <w:rtl/>
        </w:rPr>
        <w:tab/>
        <w:t>وإذ ي</w:t>
      </w:r>
      <w:r w:rsidR="00503848">
        <w:rPr>
          <w:rFonts w:hint="cs"/>
          <w:i/>
          <w:iCs/>
          <w:rtl/>
        </w:rPr>
        <w:t xml:space="preserve">عرب عن قلقه الشديد </w:t>
      </w:r>
      <w:r w:rsidRPr="00007581">
        <w:rPr>
          <w:rFonts w:hint="cs"/>
          <w:rtl/>
        </w:rPr>
        <w:t xml:space="preserve">إزاء الممارسة </w:t>
      </w:r>
      <w:r w:rsidR="00503848">
        <w:rPr>
          <w:rFonts w:hint="cs"/>
          <w:rtl/>
        </w:rPr>
        <w:t xml:space="preserve">التي تقوم على التزام الأطفال بقضاء سنة تعليمهم </w:t>
      </w:r>
      <w:r w:rsidRPr="00007581">
        <w:rPr>
          <w:rFonts w:hint="cs"/>
          <w:rtl/>
        </w:rPr>
        <w:t>المدرسي الأخيرة في معسكر تدريب،</w:t>
      </w:r>
    </w:p>
    <w:p w:rsidR="00BF4911" w:rsidRPr="00007581" w:rsidRDefault="00BF4911" w:rsidP="00503848">
      <w:pPr>
        <w:pStyle w:val="SingleTxtGA"/>
        <w:rPr>
          <w:rFonts w:hint="cs"/>
          <w:rtl/>
        </w:rPr>
      </w:pPr>
      <w:r w:rsidRPr="00007581">
        <w:rPr>
          <w:rFonts w:hint="cs"/>
          <w:i/>
          <w:iCs/>
          <w:rtl/>
        </w:rPr>
        <w:tab/>
        <w:t>وإذ يعرب عن قلقه</w:t>
      </w:r>
      <w:r w:rsidR="00503848">
        <w:rPr>
          <w:rFonts w:hint="cs"/>
          <w:i/>
          <w:iCs/>
          <w:rtl/>
        </w:rPr>
        <w:t xml:space="preserve"> الشديد </w:t>
      </w:r>
      <w:r w:rsidRPr="00007581">
        <w:rPr>
          <w:rFonts w:hint="cs"/>
          <w:i/>
          <w:iCs/>
          <w:rtl/>
        </w:rPr>
        <w:t>أيضاً</w:t>
      </w:r>
      <w:r w:rsidRPr="00007581">
        <w:rPr>
          <w:rFonts w:hint="cs"/>
          <w:rtl/>
        </w:rPr>
        <w:t xml:space="preserve"> إزاء </w:t>
      </w:r>
      <w:r w:rsidR="00503848">
        <w:rPr>
          <w:rFonts w:hint="cs"/>
          <w:rtl/>
        </w:rPr>
        <w:t xml:space="preserve">شيوع اللجوء إلى </w:t>
      </w:r>
      <w:r w:rsidRPr="00007581">
        <w:rPr>
          <w:rFonts w:hint="cs"/>
          <w:rtl/>
        </w:rPr>
        <w:t xml:space="preserve">التجنيد في الخدمة الوطنية </w:t>
      </w:r>
      <w:r w:rsidR="00503848">
        <w:rPr>
          <w:rFonts w:hint="cs"/>
          <w:rtl/>
        </w:rPr>
        <w:t xml:space="preserve">لأجل غير محدد، </w:t>
      </w:r>
      <w:r w:rsidRPr="00007581">
        <w:rPr>
          <w:rFonts w:hint="cs"/>
          <w:rtl/>
        </w:rPr>
        <w:t>وهو نظام يشكل عملاً جبرياً،</w:t>
      </w:r>
      <w:r w:rsidR="00503848">
        <w:rPr>
          <w:rFonts w:hint="cs"/>
          <w:rtl/>
        </w:rPr>
        <w:t xml:space="preserve"> وإزاء تجنيد الأطفال دون سن 18 عاماً تجنيداً </w:t>
      </w:r>
      <w:proofErr w:type="spellStart"/>
      <w:r w:rsidR="00503848">
        <w:rPr>
          <w:rFonts w:hint="cs"/>
          <w:rtl/>
        </w:rPr>
        <w:t>قسرياً</w:t>
      </w:r>
      <w:proofErr w:type="spellEnd"/>
      <w:r w:rsidR="00503848">
        <w:rPr>
          <w:rFonts w:hint="cs"/>
          <w:rtl/>
        </w:rPr>
        <w:t xml:space="preserve"> في الخدمة العسكرية، </w:t>
      </w:r>
    </w:p>
    <w:p w:rsidR="00BF4911" w:rsidRPr="00007581" w:rsidRDefault="00BF4911" w:rsidP="00503848">
      <w:pPr>
        <w:pStyle w:val="SingleTxtGA"/>
        <w:rPr>
          <w:rFonts w:hint="cs"/>
          <w:rtl/>
        </w:rPr>
      </w:pPr>
      <w:r w:rsidRPr="00007581">
        <w:rPr>
          <w:rFonts w:hint="cs"/>
          <w:i/>
          <w:iCs/>
          <w:rtl/>
        </w:rPr>
        <w:tab/>
        <w:t xml:space="preserve">وإذ يعرب عن قلقه </w:t>
      </w:r>
      <w:r w:rsidR="00503848">
        <w:rPr>
          <w:rFonts w:hint="cs"/>
          <w:i/>
          <w:iCs/>
          <w:rtl/>
        </w:rPr>
        <w:t xml:space="preserve">الشديد </w:t>
      </w:r>
      <w:r w:rsidRPr="00007581">
        <w:rPr>
          <w:rFonts w:hint="cs"/>
          <w:i/>
          <w:iCs/>
          <w:rtl/>
        </w:rPr>
        <w:t xml:space="preserve">كذلك </w:t>
      </w:r>
      <w:r w:rsidRPr="00007581">
        <w:rPr>
          <w:rFonts w:hint="cs"/>
          <w:rtl/>
        </w:rPr>
        <w:t xml:space="preserve">إزاء </w:t>
      </w:r>
      <w:r w:rsidR="00503848">
        <w:rPr>
          <w:rFonts w:hint="cs"/>
          <w:rtl/>
        </w:rPr>
        <w:t xml:space="preserve">المعلومات التي تشير إلى </w:t>
      </w:r>
      <w:r w:rsidRPr="00007581">
        <w:rPr>
          <w:rFonts w:hint="cs"/>
          <w:rtl/>
        </w:rPr>
        <w:t xml:space="preserve">استخدام العمل الجبري، </w:t>
      </w:r>
      <w:r w:rsidR="00503848">
        <w:rPr>
          <w:rFonts w:hint="cs"/>
          <w:rtl/>
        </w:rPr>
        <w:t xml:space="preserve">بما في ذلك </w:t>
      </w:r>
      <w:r w:rsidRPr="00007581">
        <w:rPr>
          <w:rFonts w:hint="cs"/>
          <w:rtl/>
        </w:rPr>
        <w:t>استخدام المجندين والقصر في صناعة التعدين،</w:t>
      </w:r>
    </w:p>
    <w:p w:rsidR="00BF4911" w:rsidRPr="00007581" w:rsidRDefault="00BF4911" w:rsidP="00BF4911">
      <w:pPr>
        <w:pStyle w:val="SingleTxtGA"/>
        <w:rPr>
          <w:rFonts w:hint="cs"/>
          <w:rtl/>
        </w:rPr>
      </w:pPr>
      <w:r w:rsidRPr="00007581">
        <w:rPr>
          <w:rFonts w:hint="cs"/>
          <w:i/>
          <w:iCs/>
          <w:rtl/>
        </w:rPr>
        <w:tab/>
      </w:r>
      <w:r w:rsidRPr="00007581">
        <w:rPr>
          <w:rFonts w:hint="cs"/>
          <w:iCs/>
          <w:rtl/>
        </w:rPr>
        <w:t>وإذ يؤكد من جديد</w:t>
      </w:r>
      <w:r w:rsidRPr="00007581">
        <w:rPr>
          <w:rFonts w:hint="cs"/>
          <w:rtl/>
        </w:rPr>
        <w:t xml:space="preserve"> أن لكل فرد، رجلاً كان أو امرأة، الحق في مغادرة أي بلد، بما</w:t>
      </w:r>
      <w:r w:rsidRPr="00007581">
        <w:rPr>
          <w:rFonts w:hint="eastAsia"/>
          <w:rtl/>
        </w:rPr>
        <w:t> </w:t>
      </w:r>
      <w:r w:rsidRPr="00007581">
        <w:rPr>
          <w:rFonts w:hint="cs"/>
          <w:rtl/>
        </w:rPr>
        <w:t>في ذلك بلده</w:t>
      </w:r>
      <w:r w:rsidR="000E0426">
        <w:rPr>
          <w:rFonts w:hint="cs"/>
          <w:rtl/>
        </w:rPr>
        <w:t>،</w:t>
      </w:r>
      <w:r w:rsidRPr="00007581">
        <w:rPr>
          <w:rFonts w:hint="cs"/>
          <w:rtl/>
        </w:rPr>
        <w:t xml:space="preserve"> والعودة إلى بلده،</w:t>
      </w:r>
    </w:p>
    <w:p w:rsidR="00BF4911" w:rsidRDefault="00BF4911" w:rsidP="00503848">
      <w:pPr>
        <w:pStyle w:val="SingleTxtGA"/>
        <w:rPr>
          <w:rFonts w:hint="cs"/>
          <w:i/>
          <w:rtl/>
        </w:rPr>
      </w:pPr>
      <w:r w:rsidRPr="00007581">
        <w:rPr>
          <w:rFonts w:hint="cs"/>
          <w:iCs/>
          <w:rtl/>
        </w:rPr>
        <w:tab/>
        <w:t>وإذ يحيط علماً</w:t>
      </w:r>
      <w:r w:rsidRPr="00007581">
        <w:rPr>
          <w:rFonts w:hint="cs"/>
          <w:i/>
          <w:rtl/>
        </w:rPr>
        <w:t xml:space="preserve"> بمشاركة إريتريا في </w:t>
      </w:r>
      <w:r w:rsidR="00503848">
        <w:rPr>
          <w:rFonts w:hint="cs"/>
          <w:i/>
          <w:rtl/>
        </w:rPr>
        <w:t>الجولة الأولى للاستعراض الدوري الشامل</w:t>
      </w:r>
      <w:r w:rsidRPr="00007581">
        <w:rPr>
          <w:rFonts w:hint="cs"/>
          <w:i/>
          <w:rtl/>
        </w:rPr>
        <w:t>،</w:t>
      </w:r>
    </w:p>
    <w:p w:rsidR="00503848" w:rsidRPr="000E0426" w:rsidRDefault="00503848" w:rsidP="003756D2">
      <w:pPr>
        <w:pStyle w:val="SingleTxtGA"/>
        <w:rPr>
          <w:rFonts w:hint="cs"/>
          <w:i/>
          <w:spacing w:val="-2"/>
          <w:rtl/>
        </w:rPr>
      </w:pPr>
      <w:r>
        <w:rPr>
          <w:rFonts w:hint="cs"/>
          <w:i/>
          <w:rtl/>
        </w:rPr>
        <w:tab/>
        <w:t xml:space="preserve">وإذ يحيط </w:t>
      </w:r>
      <w:r w:rsidRPr="000E0426">
        <w:rPr>
          <w:rFonts w:hint="cs"/>
          <w:iCs/>
          <w:rtl/>
        </w:rPr>
        <w:t>علماً أيضاً</w:t>
      </w:r>
      <w:r>
        <w:rPr>
          <w:rFonts w:hint="cs"/>
          <w:i/>
          <w:rtl/>
        </w:rPr>
        <w:t xml:space="preserve"> بالجهود التي تبذلها إر</w:t>
      </w:r>
      <w:r w:rsidR="003756D2">
        <w:rPr>
          <w:rFonts w:hint="cs"/>
          <w:i/>
          <w:rtl/>
        </w:rPr>
        <w:t>يت</w:t>
      </w:r>
      <w:r>
        <w:rPr>
          <w:rFonts w:hint="cs"/>
          <w:i/>
          <w:rtl/>
        </w:rPr>
        <w:t>ريا لتح</w:t>
      </w:r>
      <w:r w:rsidR="0009671C">
        <w:rPr>
          <w:rFonts w:hint="cs"/>
          <w:i/>
          <w:rtl/>
        </w:rPr>
        <w:t xml:space="preserve">قيق الأهداف الإنمائية للألفية </w:t>
      </w:r>
      <w:r w:rsidR="0009671C" w:rsidRPr="000E0426">
        <w:rPr>
          <w:rFonts w:hint="cs"/>
          <w:i/>
          <w:spacing w:val="-2"/>
          <w:rtl/>
        </w:rPr>
        <w:t xml:space="preserve">وتعزيز المساواة بين الجنسين والتقدم في مواجهة تشويه الأعضاء التناسلية الأنثوية، وإذ يشدد في الوقت ذاته على أن تحقيق تغييرات اجتماعية مستدامة مرتبط بتهيئة بيئة سياسية وقانونية مواتية، </w:t>
      </w:r>
    </w:p>
    <w:p w:rsidR="00BF4911" w:rsidRDefault="00BF4911" w:rsidP="0009671C">
      <w:pPr>
        <w:pStyle w:val="SingleTxtGA"/>
        <w:rPr>
          <w:rFonts w:hint="cs"/>
          <w:rtl/>
        </w:rPr>
      </w:pPr>
      <w:r w:rsidRPr="00007581">
        <w:rPr>
          <w:rFonts w:hint="cs"/>
          <w:iCs/>
          <w:rtl/>
        </w:rPr>
        <w:tab/>
        <w:t xml:space="preserve">وإذ </w:t>
      </w:r>
      <w:r w:rsidRPr="00007581">
        <w:rPr>
          <w:rFonts w:hint="cs"/>
          <w:i/>
          <w:iCs/>
          <w:rtl/>
        </w:rPr>
        <w:t>يشير</w:t>
      </w:r>
      <w:r w:rsidRPr="00007581">
        <w:rPr>
          <w:rFonts w:hint="cs"/>
          <w:rtl/>
        </w:rPr>
        <w:t xml:space="preserve"> إلى الميثاق والإعلان العالمي لحقوق الإنسان وإعلان وبرنامج عمل </w:t>
      </w:r>
      <w:proofErr w:type="spellStart"/>
      <w:r w:rsidRPr="00007581">
        <w:rPr>
          <w:rFonts w:hint="cs"/>
          <w:rtl/>
        </w:rPr>
        <w:t>فيينا</w:t>
      </w:r>
      <w:proofErr w:type="spellEnd"/>
      <w:r w:rsidRPr="00007581">
        <w:rPr>
          <w:rFonts w:hint="cs"/>
          <w:rtl/>
        </w:rPr>
        <w:t xml:space="preserve"> والمعاهدات الدولية لحقوق الإنسان التي </w:t>
      </w:r>
      <w:r w:rsidR="0009671C">
        <w:rPr>
          <w:rFonts w:hint="cs"/>
          <w:rtl/>
        </w:rPr>
        <w:t xml:space="preserve">دخلت الدول أطرافاً </w:t>
      </w:r>
      <w:r w:rsidRPr="00007581">
        <w:rPr>
          <w:rFonts w:hint="cs"/>
          <w:rtl/>
        </w:rPr>
        <w:t xml:space="preserve">فيها، </w:t>
      </w:r>
    </w:p>
    <w:p w:rsidR="0009671C" w:rsidRPr="0009671C" w:rsidRDefault="0009671C" w:rsidP="000E0426">
      <w:pPr>
        <w:pStyle w:val="SingleTxtGA"/>
        <w:rPr>
          <w:rFonts w:hint="cs"/>
          <w:rtl/>
        </w:rPr>
      </w:pPr>
      <w:r w:rsidRPr="0009671C">
        <w:rPr>
          <w:rFonts w:hint="cs"/>
          <w:i/>
          <w:iCs/>
          <w:rtl/>
        </w:rPr>
        <w:tab/>
        <w:t xml:space="preserve">وإذ يشير أيضاً </w:t>
      </w:r>
      <w:r>
        <w:rPr>
          <w:rFonts w:hint="cs"/>
          <w:rtl/>
        </w:rPr>
        <w:t>إلى التزامات إريتريا بموجب الميثاق الأفريقي لحقوق الإنسان والشعوب والميثاق الأفريقي بشأن حقوق ورفاه الطفل،</w:t>
      </w:r>
    </w:p>
    <w:p w:rsidR="00BF4911" w:rsidRPr="00007581" w:rsidRDefault="00BF4911" w:rsidP="0009671C">
      <w:pPr>
        <w:pStyle w:val="SingleTxtGA"/>
        <w:rPr>
          <w:rFonts w:hint="cs"/>
          <w:i/>
          <w:rtl/>
        </w:rPr>
      </w:pPr>
      <w:r w:rsidRPr="00007581">
        <w:rPr>
          <w:rFonts w:hint="cs"/>
          <w:iCs/>
          <w:rtl/>
        </w:rPr>
        <w:tab/>
        <w:t xml:space="preserve">وإذ يعرب عن قلقه </w:t>
      </w:r>
      <w:r w:rsidRPr="00007581">
        <w:rPr>
          <w:rFonts w:hint="cs"/>
          <w:i/>
          <w:rtl/>
        </w:rPr>
        <w:t xml:space="preserve">إزاء </w:t>
      </w:r>
      <w:r w:rsidR="0009671C">
        <w:rPr>
          <w:rFonts w:hint="cs"/>
          <w:i/>
          <w:rtl/>
        </w:rPr>
        <w:t xml:space="preserve">عدم تعاون </w:t>
      </w:r>
      <w:r w:rsidRPr="00007581">
        <w:rPr>
          <w:rFonts w:hint="cs"/>
          <w:i/>
          <w:rtl/>
        </w:rPr>
        <w:t>حكومة إريتريا مع المقررة الخاصة المعنية بحالة حقوق الإنسان في إريتريا،</w:t>
      </w:r>
    </w:p>
    <w:p w:rsidR="0009671C" w:rsidRPr="0009671C" w:rsidRDefault="0009671C" w:rsidP="00BF4911">
      <w:pPr>
        <w:pStyle w:val="SingleTxtGA"/>
        <w:rPr>
          <w:rFonts w:hint="cs"/>
          <w:rtl/>
        </w:rPr>
      </w:pPr>
      <w:r>
        <w:rPr>
          <w:rFonts w:hint="cs"/>
          <w:rtl/>
        </w:rPr>
        <w:tab/>
        <w:t>1-</w:t>
      </w:r>
      <w:r>
        <w:rPr>
          <w:rFonts w:hint="cs"/>
          <w:rtl/>
        </w:rPr>
        <w:tab/>
      </w:r>
      <w:r>
        <w:rPr>
          <w:rFonts w:hint="cs"/>
          <w:i/>
          <w:iCs/>
          <w:rtl/>
        </w:rPr>
        <w:t xml:space="preserve">يرحب </w:t>
      </w:r>
      <w:r>
        <w:rPr>
          <w:rFonts w:hint="cs"/>
          <w:rtl/>
        </w:rPr>
        <w:t>بتقرير المقررة الخاصة المعنية بحالة حقوق الإنسان في إريتريا</w:t>
      </w:r>
      <w:r>
        <w:rPr>
          <w:vertAlign w:val="superscript"/>
          <w:rtl/>
        </w:rPr>
        <w:t>(</w:t>
      </w:r>
      <w:r>
        <w:rPr>
          <w:rStyle w:val="FootnoteReference"/>
          <w:rtl/>
        </w:rPr>
        <w:footnoteReference w:id="2"/>
      </w:r>
      <w:r>
        <w:rPr>
          <w:vertAlign w:val="superscript"/>
          <w:rtl/>
        </w:rPr>
        <w:t>)</w:t>
      </w:r>
      <w:r>
        <w:rPr>
          <w:rFonts w:hint="cs"/>
          <w:rtl/>
        </w:rPr>
        <w:t>؛</w:t>
      </w:r>
    </w:p>
    <w:p w:rsidR="00BF4911" w:rsidRPr="00007581" w:rsidRDefault="0009671C" w:rsidP="0009671C">
      <w:pPr>
        <w:pStyle w:val="SingleTxtGA"/>
        <w:rPr>
          <w:rFonts w:hint="cs"/>
          <w:rtl/>
        </w:rPr>
      </w:pPr>
      <w:r>
        <w:rPr>
          <w:rFonts w:hint="cs"/>
          <w:rtl/>
        </w:rPr>
        <w:tab/>
        <w:t>2</w:t>
      </w:r>
      <w:r w:rsidR="00BF4911" w:rsidRPr="00007581">
        <w:rPr>
          <w:rFonts w:hint="cs"/>
          <w:rtl/>
        </w:rPr>
        <w:t>-</w:t>
      </w:r>
      <w:r w:rsidR="00BF4911" w:rsidRPr="00007581">
        <w:rPr>
          <w:rFonts w:hint="cs"/>
          <w:rtl/>
        </w:rPr>
        <w:tab/>
      </w:r>
      <w:r w:rsidR="00BF4911" w:rsidRPr="00007581">
        <w:rPr>
          <w:rFonts w:hint="cs"/>
          <w:iCs/>
          <w:rtl/>
        </w:rPr>
        <w:t>يدين بشدة</w:t>
      </w:r>
      <w:r w:rsidR="00BF4911" w:rsidRPr="00007581">
        <w:rPr>
          <w:rFonts w:hint="cs"/>
          <w:rtl/>
        </w:rPr>
        <w:t xml:space="preserve"> ما يلي:</w:t>
      </w:r>
    </w:p>
    <w:p w:rsidR="00BF4911" w:rsidRPr="00007581" w:rsidRDefault="00BF4911" w:rsidP="0009671C">
      <w:pPr>
        <w:pStyle w:val="SingleTxtGA"/>
        <w:rPr>
          <w:rFonts w:hint="cs"/>
          <w:rtl/>
        </w:rPr>
      </w:pPr>
      <w:r w:rsidRPr="00007581">
        <w:rPr>
          <w:rFonts w:hint="cs"/>
          <w:rtl/>
        </w:rPr>
        <w:tab/>
        <w:t>(أ)</w:t>
      </w:r>
      <w:r w:rsidRPr="00007581">
        <w:rPr>
          <w:rFonts w:hint="cs"/>
          <w:rtl/>
        </w:rPr>
        <w:tab/>
        <w:t xml:space="preserve">استمرار الانتهاكات الواسعة النطاق والمنهجية لحقوق الإنسان والحريات الأساسية التي ترتكبها السلطات الإريترية، بما في ذلك حالات </w:t>
      </w:r>
      <w:r w:rsidRPr="00007581">
        <w:rPr>
          <w:rFonts w:hint="cs"/>
          <w:rtl/>
          <w:lang/>
        </w:rPr>
        <w:t xml:space="preserve">الإعدام </w:t>
      </w:r>
      <w:r w:rsidR="0009671C">
        <w:rPr>
          <w:rFonts w:hint="cs"/>
          <w:rtl/>
          <w:lang/>
        </w:rPr>
        <w:t>التعسفي و</w:t>
      </w:r>
      <w:r w:rsidRPr="00007581">
        <w:rPr>
          <w:rFonts w:hint="cs"/>
          <w:rtl/>
          <w:lang/>
        </w:rPr>
        <w:t>خارج القضاء،</w:t>
      </w:r>
      <w:r w:rsidRPr="00007581">
        <w:rPr>
          <w:rFonts w:hint="cs"/>
          <w:rtl/>
        </w:rPr>
        <w:t xml:space="preserve"> والاختفاء </w:t>
      </w:r>
      <w:proofErr w:type="spellStart"/>
      <w:r w:rsidRPr="00007581">
        <w:rPr>
          <w:rFonts w:hint="cs"/>
          <w:rtl/>
        </w:rPr>
        <w:t>القسري</w:t>
      </w:r>
      <w:proofErr w:type="spellEnd"/>
      <w:r w:rsidRPr="00007581">
        <w:rPr>
          <w:rFonts w:hint="cs"/>
          <w:rtl/>
        </w:rPr>
        <w:t>، واستخدام التعذيب والاحتجاز التعسفي و</w:t>
      </w:r>
      <w:r w:rsidR="0009671C">
        <w:rPr>
          <w:rFonts w:hint="cs"/>
          <w:rtl/>
        </w:rPr>
        <w:t xml:space="preserve">بمعزل عن العالم الخارجي </w:t>
      </w:r>
      <w:r w:rsidRPr="00007581">
        <w:rPr>
          <w:rFonts w:hint="cs"/>
          <w:rtl/>
        </w:rPr>
        <w:t>دون اللجوء إلى العدالة، والاحتجاز في ظروف لا إنسانية ومهينة؛</w:t>
      </w:r>
    </w:p>
    <w:p w:rsidR="00BF4911" w:rsidRPr="00007581" w:rsidRDefault="00BF4911" w:rsidP="00BF4911">
      <w:pPr>
        <w:pStyle w:val="SingleTxtGA"/>
        <w:rPr>
          <w:rFonts w:hint="cs"/>
          <w:rtl/>
        </w:rPr>
      </w:pPr>
      <w:r w:rsidRPr="00007581">
        <w:rPr>
          <w:rFonts w:hint="cs"/>
          <w:rtl/>
        </w:rPr>
        <w:tab/>
        <w:t>(ب)</w:t>
      </w:r>
      <w:r w:rsidRPr="00007581">
        <w:rPr>
          <w:rFonts w:hint="cs"/>
          <w:rtl/>
        </w:rPr>
        <w:tab/>
        <w:t>القيود الصارمة المفروضة على حرية الرأي والتعبير وحرية الإعلام وحرية الفكر والوجدان والدين وحرية التجمّع السلمي وتكوين الجمعيات، بما في ذلك احتجاز الصحفيين والمدافعين عن حقوق الإنسـان والجهات الفاعلة السياسية والزعماء الدينيين وأتباع الديانات في إريتريا؛</w:t>
      </w:r>
    </w:p>
    <w:p w:rsidR="00BF4911" w:rsidRPr="00007581" w:rsidRDefault="00BF4911" w:rsidP="0009671C">
      <w:pPr>
        <w:pStyle w:val="SingleTxtGA"/>
        <w:rPr>
          <w:rFonts w:hint="cs"/>
          <w:rtl/>
          <w:lang w:bidi="ar-SY"/>
        </w:rPr>
      </w:pPr>
      <w:r w:rsidRPr="00007581">
        <w:rPr>
          <w:rFonts w:hint="cs"/>
          <w:rtl/>
          <w:lang w:bidi="ar-SY"/>
        </w:rPr>
        <w:tab/>
        <w:t>(ج)</w:t>
      </w:r>
      <w:r w:rsidRPr="00007581">
        <w:rPr>
          <w:rFonts w:hint="cs"/>
          <w:rtl/>
          <w:lang w:bidi="ar-SY"/>
        </w:rPr>
        <w:tab/>
        <w:t xml:space="preserve">تجنيد المواطنين قسراً </w:t>
      </w:r>
      <w:r w:rsidR="0009671C">
        <w:rPr>
          <w:rFonts w:hint="cs"/>
          <w:rtl/>
          <w:lang w:bidi="ar-SY"/>
        </w:rPr>
        <w:t xml:space="preserve">لفترات </w:t>
      </w:r>
      <w:r w:rsidRPr="00007581">
        <w:rPr>
          <w:rFonts w:hint="cs"/>
          <w:rtl/>
          <w:lang w:bidi="ar-SY"/>
        </w:rPr>
        <w:t>غير محددة في الخدمة الوطنية، وهو نظام ي</w:t>
      </w:r>
      <w:r w:rsidR="0009671C">
        <w:rPr>
          <w:rFonts w:hint="cs"/>
          <w:rtl/>
          <w:lang w:bidi="ar-SY"/>
        </w:rPr>
        <w:t xml:space="preserve">عادل العمل الجبري والممارسة التي تقوم على إلزام جميع الأطفال بقضاء </w:t>
      </w:r>
      <w:r w:rsidRPr="00007581">
        <w:rPr>
          <w:rFonts w:hint="cs"/>
          <w:rtl/>
          <w:lang w:bidi="ar-SY"/>
        </w:rPr>
        <w:t xml:space="preserve">سنة تعليمهم المدرسي الأخيرة في معسكر تدريب، فضلاً عن تخويف </w:t>
      </w:r>
      <w:r w:rsidR="0009671C">
        <w:rPr>
          <w:rFonts w:hint="cs"/>
          <w:rtl/>
          <w:lang w:bidi="ar-SY"/>
        </w:rPr>
        <w:t xml:space="preserve">واحتجاز </w:t>
      </w:r>
      <w:r w:rsidRPr="00007581">
        <w:rPr>
          <w:rFonts w:hint="cs"/>
          <w:rtl/>
          <w:lang w:bidi="ar-SY"/>
        </w:rPr>
        <w:t xml:space="preserve">أفراد أسر الأشخاص المشتبه في </w:t>
      </w:r>
      <w:r w:rsidR="0009671C">
        <w:rPr>
          <w:rFonts w:hint="cs"/>
          <w:rtl/>
          <w:lang w:bidi="ar-SY"/>
        </w:rPr>
        <w:t xml:space="preserve">تهربهم من الخدمة الوطنية </w:t>
      </w:r>
      <w:r w:rsidRPr="00007581">
        <w:rPr>
          <w:rFonts w:hint="cs"/>
          <w:rtl/>
          <w:lang w:bidi="ar-SY"/>
        </w:rPr>
        <w:t>في إريتريا؛</w:t>
      </w:r>
    </w:p>
    <w:p w:rsidR="00BF4911" w:rsidRDefault="00BF4911" w:rsidP="0009671C">
      <w:pPr>
        <w:pStyle w:val="SingleTxtGA"/>
        <w:rPr>
          <w:rFonts w:hint="cs"/>
          <w:rtl/>
          <w:lang w:bidi="ar-SY"/>
        </w:rPr>
      </w:pPr>
      <w:r w:rsidRPr="00007581">
        <w:rPr>
          <w:rFonts w:hint="cs"/>
          <w:rtl/>
          <w:lang w:bidi="ar-SY"/>
        </w:rPr>
        <w:tab/>
        <w:t>(د)</w:t>
      </w:r>
      <w:r w:rsidRPr="00007581">
        <w:rPr>
          <w:rFonts w:hint="cs"/>
          <w:rtl/>
          <w:lang w:bidi="ar-SY"/>
        </w:rPr>
        <w:tab/>
        <w:t xml:space="preserve">القيود الصارمة المفروضة على حرية التنقل، بما في ذلك الاحتجاز التعسفي للأفراد الذين يُقبض عليهم وهم يحاولون الفرار من البلد أو يُشتبه في أنهم </w:t>
      </w:r>
      <w:r w:rsidR="0009671C">
        <w:rPr>
          <w:rFonts w:hint="cs"/>
          <w:rtl/>
          <w:lang w:bidi="ar-SY"/>
        </w:rPr>
        <w:t xml:space="preserve">ينوون </w:t>
      </w:r>
      <w:r w:rsidRPr="00007581">
        <w:rPr>
          <w:rFonts w:hint="cs"/>
          <w:rtl/>
          <w:lang w:bidi="ar-SY"/>
        </w:rPr>
        <w:t>ذلك؛</w:t>
      </w:r>
    </w:p>
    <w:p w:rsidR="0009671C" w:rsidRPr="00007581" w:rsidRDefault="0009671C" w:rsidP="0009671C">
      <w:pPr>
        <w:pStyle w:val="SingleTxtGA"/>
        <w:rPr>
          <w:rFonts w:hint="cs"/>
          <w:rtl/>
          <w:lang w:bidi="ar-SY"/>
        </w:rPr>
      </w:pPr>
      <w:r>
        <w:rPr>
          <w:rFonts w:hint="cs"/>
          <w:rtl/>
          <w:lang w:bidi="ar-SY"/>
        </w:rPr>
        <w:tab/>
        <w:t>(</w:t>
      </w:r>
      <w:r w:rsidRPr="0009671C">
        <w:rPr>
          <w:rFonts w:hint="cs"/>
          <w:sz w:val="30"/>
          <w:rtl/>
          <w:lang w:bidi="ar-SY"/>
        </w:rPr>
        <w:t>ﻫ</w:t>
      </w:r>
      <w:r>
        <w:rPr>
          <w:rFonts w:hint="cs"/>
          <w:rtl/>
          <w:lang w:bidi="ar-SY"/>
        </w:rPr>
        <w:t>)</w:t>
      </w:r>
      <w:r>
        <w:rPr>
          <w:rFonts w:hint="cs"/>
          <w:rtl/>
          <w:lang w:bidi="ar-SY"/>
        </w:rPr>
        <w:tab/>
        <w:t xml:space="preserve">انتهاكات حقوق الطفل، ومنها على سبيل المثال لا الحصر التجنيد العسكري </w:t>
      </w:r>
      <w:proofErr w:type="spellStart"/>
      <w:r>
        <w:rPr>
          <w:rFonts w:hint="cs"/>
          <w:rtl/>
          <w:lang w:bidi="ar-SY"/>
        </w:rPr>
        <w:t>القسري</w:t>
      </w:r>
      <w:proofErr w:type="spellEnd"/>
      <w:r>
        <w:rPr>
          <w:rFonts w:hint="cs"/>
          <w:rtl/>
          <w:lang w:bidi="ar-SY"/>
        </w:rPr>
        <w:t xml:space="preserve"> وللأطفال؛</w:t>
      </w:r>
    </w:p>
    <w:p w:rsidR="00BF4911" w:rsidRPr="00007581" w:rsidRDefault="0009671C" w:rsidP="0009671C">
      <w:pPr>
        <w:pStyle w:val="SingleTxtGA"/>
        <w:rPr>
          <w:rFonts w:hint="cs"/>
          <w:rtl/>
          <w:lang w:bidi="ar-SY"/>
        </w:rPr>
      </w:pPr>
      <w:r>
        <w:rPr>
          <w:rFonts w:hint="cs"/>
          <w:rtl/>
          <w:lang w:bidi="ar-SY"/>
        </w:rPr>
        <w:tab/>
        <w:t>(و</w:t>
      </w:r>
      <w:r w:rsidR="00BF4911" w:rsidRPr="00007581">
        <w:rPr>
          <w:rFonts w:hint="cs"/>
          <w:rtl/>
          <w:lang w:bidi="ar-SY"/>
        </w:rPr>
        <w:t>)</w:t>
      </w:r>
      <w:r w:rsidR="00BF4911" w:rsidRPr="00007581">
        <w:rPr>
          <w:rFonts w:hint="cs"/>
          <w:rtl/>
          <w:lang w:bidi="ar-SY"/>
        </w:rPr>
        <w:tab/>
      </w:r>
      <w:r>
        <w:rPr>
          <w:rFonts w:hint="cs"/>
          <w:rtl/>
          <w:lang w:bidi="ar-SY"/>
        </w:rPr>
        <w:t xml:space="preserve">شيوع </w:t>
      </w:r>
      <w:r w:rsidR="00BF4911" w:rsidRPr="00007581">
        <w:rPr>
          <w:rFonts w:hint="cs"/>
          <w:rtl/>
          <w:lang w:bidi="ar-SY"/>
        </w:rPr>
        <w:t>استخدام التعذيب وغيره من ضروب المعاملة أو العقوبة القاسية أو</w:t>
      </w:r>
      <w:r w:rsidR="00BF4911" w:rsidRPr="00007581">
        <w:rPr>
          <w:rFonts w:hint="eastAsia"/>
          <w:rtl/>
          <w:lang w:bidi="ar-SY"/>
        </w:rPr>
        <w:t> </w:t>
      </w:r>
      <w:proofErr w:type="spellStart"/>
      <w:r w:rsidR="00BF4911" w:rsidRPr="00007581">
        <w:rPr>
          <w:rFonts w:hint="cs"/>
          <w:rtl/>
          <w:lang w:bidi="ar-SY"/>
        </w:rPr>
        <w:t>اللاإنسانية</w:t>
      </w:r>
      <w:proofErr w:type="spellEnd"/>
      <w:r w:rsidR="00BF4911" w:rsidRPr="00007581">
        <w:rPr>
          <w:rFonts w:hint="cs"/>
          <w:rtl/>
          <w:lang w:bidi="ar-SY"/>
        </w:rPr>
        <w:t xml:space="preserve"> أو المهينة واستخدام أماكن احتجاز </w:t>
      </w:r>
      <w:r>
        <w:rPr>
          <w:rFonts w:hint="cs"/>
          <w:rtl/>
          <w:lang w:bidi="ar-SY"/>
        </w:rPr>
        <w:t xml:space="preserve">غير مطابقة للمعايير الدولية إلى حد بعيد، </w:t>
      </w:r>
      <w:r w:rsidR="00BF4911" w:rsidRPr="00007581">
        <w:rPr>
          <w:rFonts w:hint="cs"/>
          <w:rtl/>
          <w:lang w:bidi="ar-SY"/>
        </w:rPr>
        <w:t xml:space="preserve">بما في ذلك الزنزانات الموجودة تحت </w:t>
      </w:r>
      <w:r w:rsidR="005F429A">
        <w:rPr>
          <w:rFonts w:hint="cs"/>
          <w:rtl/>
          <w:lang w:bidi="ar-SY"/>
        </w:rPr>
        <w:t xml:space="preserve">سطح </w:t>
      </w:r>
      <w:r w:rsidR="00BF4911" w:rsidRPr="00007581">
        <w:rPr>
          <w:rFonts w:hint="cs"/>
          <w:rtl/>
          <w:lang w:bidi="ar-SY"/>
        </w:rPr>
        <w:t>الأرض وحاويات الشحن المعدنية؛</w:t>
      </w:r>
    </w:p>
    <w:p w:rsidR="00BF4911" w:rsidRPr="00007581" w:rsidRDefault="00BF4911" w:rsidP="00810F67">
      <w:pPr>
        <w:pStyle w:val="SingleTxtGA"/>
        <w:rPr>
          <w:rFonts w:hint="cs"/>
          <w:rtl/>
          <w:lang w:bidi="ar-SY"/>
        </w:rPr>
      </w:pPr>
      <w:r w:rsidRPr="00007581">
        <w:rPr>
          <w:rFonts w:hint="cs"/>
          <w:rtl/>
          <w:lang w:bidi="ar-SY"/>
        </w:rPr>
        <w:tab/>
        <w:t>(</w:t>
      </w:r>
      <w:r w:rsidR="00810F67">
        <w:rPr>
          <w:rFonts w:hint="cs"/>
          <w:rtl/>
          <w:lang w:bidi="ar-SY"/>
        </w:rPr>
        <w:t>ز</w:t>
      </w:r>
      <w:r w:rsidRPr="00007581">
        <w:rPr>
          <w:rFonts w:hint="cs"/>
          <w:rtl/>
          <w:lang w:bidi="ar-SY"/>
        </w:rPr>
        <w:t>)</w:t>
      </w:r>
      <w:r w:rsidRPr="00007581">
        <w:rPr>
          <w:rFonts w:hint="cs"/>
          <w:rtl/>
          <w:lang w:bidi="ar-SY"/>
        </w:rPr>
        <w:tab/>
        <w:t>اللجوء إلى "إطلاق النار بقصد القتل" على الحدود الإريترية لإيقاف المواطنين الإريتريين الذين يسعون إلى الفرار من بلدهم؛</w:t>
      </w:r>
    </w:p>
    <w:p w:rsidR="00BF4911" w:rsidRPr="00007581" w:rsidRDefault="00BF4911" w:rsidP="00810F67">
      <w:pPr>
        <w:pStyle w:val="SingleTxtGA"/>
        <w:rPr>
          <w:rFonts w:hint="cs"/>
          <w:rtl/>
          <w:lang w:bidi="ar-SY"/>
        </w:rPr>
      </w:pPr>
      <w:r w:rsidRPr="00007581">
        <w:rPr>
          <w:rFonts w:hint="cs"/>
          <w:rtl/>
          <w:lang w:bidi="ar-SY"/>
        </w:rPr>
        <w:tab/>
        <w:t>(</w:t>
      </w:r>
      <w:r w:rsidR="00810F67">
        <w:rPr>
          <w:rFonts w:hint="cs"/>
          <w:rtl/>
          <w:lang w:bidi="ar-SY"/>
        </w:rPr>
        <w:t>ح</w:t>
      </w:r>
      <w:r w:rsidRPr="00007581">
        <w:rPr>
          <w:rFonts w:hint="cs"/>
          <w:rtl/>
          <w:lang w:bidi="ar-SY"/>
        </w:rPr>
        <w:t>)</w:t>
      </w:r>
      <w:r w:rsidRPr="00007581">
        <w:rPr>
          <w:rFonts w:hint="cs"/>
          <w:rtl/>
          <w:lang w:bidi="ar-SY"/>
        </w:rPr>
        <w:tab/>
        <w:t xml:space="preserve">أي انتهاك </w:t>
      </w:r>
      <w:r w:rsidR="00810F67">
        <w:rPr>
          <w:rFonts w:hint="cs"/>
          <w:rtl/>
          <w:lang w:bidi="ar-SY"/>
        </w:rPr>
        <w:t>ترتكبه حكومة إريتريا ل</w:t>
      </w:r>
      <w:r w:rsidRPr="00007581">
        <w:rPr>
          <w:rFonts w:hint="cs"/>
          <w:rtl/>
          <w:lang w:bidi="ar-SY"/>
        </w:rPr>
        <w:t>التزاماتها الدولية في مجال حقوق الإنسان فيما يتصل بجمع الضرائب من رعاياها في الخارج؛</w:t>
      </w:r>
    </w:p>
    <w:p w:rsidR="00BF4911" w:rsidRPr="00007581" w:rsidRDefault="00810F67" w:rsidP="00BF4911">
      <w:pPr>
        <w:pStyle w:val="SingleTxtGA"/>
        <w:rPr>
          <w:rFonts w:hint="cs"/>
          <w:rtl/>
          <w:lang w:bidi="ar-SY"/>
        </w:rPr>
      </w:pPr>
      <w:r>
        <w:rPr>
          <w:rFonts w:hint="cs"/>
          <w:rtl/>
          <w:lang w:bidi="ar-SY"/>
        </w:rPr>
        <w:tab/>
        <w:t>(ط</w:t>
      </w:r>
      <w:r w:rsidR="00BF4911" w:rsidRPr="00007581">
        <w:rPr>
          <w:rFonts w:hint="cs"/>
          <w:rtl/>
          <w:lang w:bidi="ar-SY"/>
        </w:rPr>
        <w:t>)</w:t>
      </w:r>
      <w:r w:rsidR="00BF4911" w:rsidRPr="00007581">
        <w:rPr>
          <w:rFonts w:hint="cs"/>
          <w:rtl/>
          <w:lang w:bidi="ar-SY"/>
        </w:rPr>
        <w:tab/>
        <w:t>عدم تعاون إريتريا مع الآليات الدولية والإقليمية لحقوق الإنسان؛</w:t>
      </w:r>
    </w:p>
    <w:p w:rsidR="00BF4911" w:rsidRPr="00007581" w:rsidRDefault="00BF4911" w:rsidP="00810F67">
      <w:pPr>
        <w:pStyle w:val="SingleTxtGA"/>
        <w:rPr>
          <w:rFonts w:hint="cs"/>
          <w:rtl/>
          <w:lang w:bidi="ar-SY"/>
        </w:rPr>
      </w:pPr>
      <w:r w:rsidRPr="00007581">
        <w:rPr>
          <w:rFonts w:hint="cs"/>
          <w:rtl/>
          <w:lang w:bidi="ar-SY"/>
        </w:rPr>
        <w:tab/>
      </w:r>
      <w:r w:rsidR="00810F67">
        <w:rPr>
          <w:rFonts w:hint="cs"/>
          <w:rtl/>
          <w:lang w:bidi="ar-SY"/>
        </w:rPr>
        <w:t>3</w:t>
      </w:r>
      <w:r w:rsidRPr="00007581">
        <w:rPr>
          <w:rFonts w:hint="cs"/>
          <w:rtl/>
          <w:lang w:bidi="ar-SY"/>
        </w:rPr>
        <w:t>-</w:t>
      </w:r>
      <w:r w:rsidRPr="00007581">
        <w:rPr>
          <w:rFonts w:hint="cs"/>
          <w:rtl/>
          <w:lang w:bidi="ar-SY"/>
        </w:rPr>
        <w:tab/>
      </w:r>
      <w:proofErr w:type="spellStart"/>
      <w:r w:rsidR="00810F67" w:rsidRPr="00810F67">
        <w:rPr>
          <w:rFonts w:hint="cs"/>
          <w:i/>
          <w:iCs/>
          <w:rtl/>
          <w:lang w:bidi="ar-SY"/>
        </w:rPr>
        <w:t>يهيب</w:t>
      </w:r>
      <w:proofErr w:type="spellEnd"/>
      <w:r w:rsidR="00810F67">
        <w:rPr>
          <w:rFonts w:hint="cs"/>
          <w:rtl/>
          <w:lang w:bidi="ar-SY"/>
        </w:rPr>
        <w:t xml:space="preserve"> ب</w:t>
      </w:r>
      <w:r w:rsidRPr="00007581">
        <w:rPr>
          <w:rFonts w:hint="cs"/>
          <w:rtl/>
          <w:lang w:bidi="ar-SY"/>
        </w:rPr>
        <w:t xml:space="preserve">حكومة إريتريا </w:t>
      </w:r>
      <w:r w:rsidR="00810F67">
        <w:rPr>
          <w:rFonts w:hint="cs"/>
          <w:rtl/>
          <w:lang w:bidi="ar-SY"/>
        </w:rPr>
        <w:t xml:space="preserve">أن تقوم </w:t>
      </w:r>
      <w:r w:rsidRPr="00007581">
        <w:rPr>
          <w:rFonts w:hint="cs"/>
          <w:rtl/>
          <w:lang w:bidi="ar-SY"/>
        </w:rPr>
        <w:t>بما يلي دون تأخير:</w:t>
      </w:r>
    </w:p>
    <w:p w:rsidR="00BF4911" w:rsidRPr="00007581" w:rsidRDefault="00BF4911" w:rsidP="00810F67">
      <w:pPr>
        <w:pStyle w:val="SingleTxtGA"/>
        <w:rPr>
          <w:rFonts w:hint="cs"/>
          <w:rtl/>
          <w:lang w:bidi="ar-SY"/>
        </w:rPr>
      </w:pPr>
      <w:r w:rsidRPr="00007581">
        <w:rPr>
          <w:rFonts w:hint="cs"/>
          <w:rtl/>
          <w:lang w:bidi="ar-SY"/>
        </w:rPr>
        <w:tab/>
        <w:t>(أ)</w:t>
      </w:r>
      <w:r w:rsidRPr="00007581">
        <w:rPr>
          <w:rFonts w:hint="cs"/>
          <w:rtl/>
          <w:lang w:bidi="ar-SY"/>
        </w:rPr>
        <w:tab/>
        <w:t>ا</w:t>
      </w:r>
      <w:r w:rsidR="00810F67">
        <w:rPr>
          <w:rFonts w:hint="cs"/>
          <w:rtl/>
          <w:lang w:bidi="ar-SY"/>
        </w:rPr>
        <w:t xml:space="preserve">لكف عن </w:t>
      </w:r>
      <w:r w:rsidRPr="00007581">
        <w:rPr>
          <w:rFonts w:hint="cs"/>
          <w:rtl/>
          <w:lang w:bidi="ar-SY"/>
        </w:rPr>
        <w:t xml:space="preserve">الاحتجاز التعسفي لمواطنيها وإنهاء استخدام التعذيب وغيره من ضروب المعاملة والعقوبة القاسية </w:t>
      </w:r>
      <w:proofErr w:type="spellStart"/>
      <w:r w:rsidRPr="00007581">
        <w:rPr>
          <w:rFonts w:hint="cs"/>
          <w:rtl/>
          <w:lang w:bidi="ar-SY"/>
        </w:rPr>
        <w:t>واللاإنسانية</w:t>
      </w:r>
      <w:proofErr w:type="spellEnd"/>
      <w:r w:rsidRPr="00007581">
        <w:rPr>
          <w:rFonts w:hint="cs"/>
          <w:rtl/>
          <w:lang w:bidi="ar-SY"/>
        </w:rPr>
        <w:t xml:space="preserve"> والمهينة؛</w:t>
      </w:r>
    </w:p>
    <w:p w:rsidR="00BF4911" w:rsidRPr="00007581" w:rsidRDefault="00BF4911" w:rsidP="00810F67">
      <w:pPr>
        <w:pStyle w:val="SingleTxtGA"/>
        <w:rPr>
          <w:rFonts w:hint="cs"/>
          <w:rtl/>
        </w:rPr>
      </w:pPr>
      <w:r w:rsidRPr="00007581">
        <w:rPr>
          <w:rFonts w:hint="cs"/>
          <w:rtl/>
          <w:lang w:bidi="ar-SY"/>
        </w:rPr>
        <w:tab/>
        <w:t>(ب)</w:t>
      </w:r>
      <w:r w:rsidRPr="00007581">
        <w:rPr>
          <w:rFonts w:hint="cs"/>
          <w:rtl/>
          <w:lang w:bidi="ar-SY"/>
        </w:rPr>
        <w:tab/>
        <w:t>تقديم بيان بجميع السجناء السياسيين، بمن فيهم أفراد</w:t>
      </w:r>
      <w:r w:rsidRPr="00007581">
        <w:rPr>
          <w:rFonts w:hint="cs"/>
          <w:rtl/>
        </w:rPr>
        <w:t xml:space="preserve"> مجموعة</w:t>
      </w:r>
      <w:r w:rsidRPr="00007581">
        <w:rPr>
          <w:rFonts w:hint="cs"/>
          <w:rtl/>
          <w:lang w:bidi="ar-SY"/>
        </w:rPr>
        <w:t xml:space="preserve"> </w:t>
      </w:r>
      <w:r w:rsidR="0061689F">
        <w:rPr>
          <w:rFonts w:hint="cs"/>
          <w:rtl/>
          <w:lang w:bidi="ar-SY"/>
        </w:rPr>
        <w:t>"</w:t>
      </w:r>
      <w:r w:rsidRPr="00007581">
        <w:rPr>
          <w:rFonts w:eastAsia="Arial Unicode MS"/>
        </w:rPr>
        <w:t>G-1</w:t>
      </w:r>
      <w:r w:rsidRPr="00007581">
        <w:rPr>
          <w:rFonts w:eastAsia="Arial Unicode MS"/>
          <w:lang w:val="fr-CH"/>
        </w:rPr>
        <w:t>5</w:t>
      </w:r>
      <w:r w:rsidR="0061689F">
        <w:rPr>
          <w:rFonts w:hint="cs"/>
          <w:rtl/>
          <w:lang w:bidi="ar-SY"/>
        </w:rPr>
        <w:t>"</w:t>
      </w:r>
      <w:r w:rsidR="00810F67">
        <w:rPr>
          <w:rFonts w:hint="cs"/>
          <w:rtl/>
          <w:lang w:bidi="ar-SY"/>
        </w:rPr>
        <w:t xml:space="preserve"> والصحفيون، وإطلا</w:t>
      </w:r>
      <w:r w:rsidRPr="00007581">
        <w:rPr>
          <w:rFonts w:hint="cs"/>
          <w:rtl/>
          <w:lang w:bidi="ar-SY"/>
        </w:rPr>
        <w:t>ق سراحهم؛</w:t>
      </w:r>
    </w:p>
    <w:p w:rsidR="00BF4911" w:rsidRPr="00007581" w:rsidRDefault="00BF4911" w:rsidP="0061689F">
      <w:pPr>
        <w:pStyle w:val="SingleTxtGA"/>
        <w:rPr>
          <w:rFonts w:hint="cs"/>
          <w:rtl/>
          <w:lang w:bidi="ar-SY"/>
        </w:rPr>
      </w:pPr>
      <w:r w:rsidRPr="00007581">
        <w:rPr>
          <w:rFonts w:hint="cs"/>
          <w:rtl/>
          <w:lang w:bidi="ar-SY"/>
        </w:rPr>
        <w:tab/>
        <w:t>(ج)</w:t>
      </w:r>
      <w:r w:rsidRPr="00007581">
        <w:rPr>
          <w:rFonts w:hint="cs"/>
          <w:rtl/>
          <w:lang w:bidi="ar-SY"/>
        </w:rPr>
        <w:tab/>
        <w:t xml:space="preserve">ضمان وصول المحتجزين </w:t>
      </w:r>
      <w:r w:rsidR="00810F67">
        <w:rPr>
          <w:rFonts w:hint="cs"/>
          <w:rtl/>
          <w:lang w:bidi="ar-SY"/>
        </w:rPr>
        <w:t>بحرية وإنصاف إ</w:t>
      </w:r>
      <w:r w:rsidRPr="00007581">
        <w:rPr>
          <w:rFonts w:hint="cs"/>
          <w:rtl/>
          <w:lang w:bidi="ar-SY"/>
        </w:rPr>
        <w:t xml:space="preserve">لى نظام قضائي مستقل، وتحسين ظروف السجن، بسبل منها حظر استخدام الزنزانات الموجودة تحت </w:t>
      </w:r>
      <w:r w:rsidR="00810F67">
        <w:rPr>
          <w:rFonts w:hint="cs"/>
          <w:rtl/>
          <w:lang w:bidi="ar-SY"/>
        </w:rPr>
        <w:t xml:space="preserve">سطح </w:t>
      </w:r>
      <w:r w:rsidRPr="00007581">
        <w:rPr>
          <w:rFonts w:hint="cs"/>
          <w:rtl/>
          <w:lang w:bidi="ar-SY"/>
        </w:rPr>
        <w:t xml:space="preserve">الأرض وحاويات الشحن لاحتجاز السجناء وإنهاء استخدام مراكز الاحتجاز السرية </w:t>
      </w:r>
      <w:r w:rsidR="00810F67">
        <w:rPr>
          <w:rFonts w:hint="cs"/>
          <w:rtl/>
          <w:lang w:bidi="ar-SY"/>
        </w:rPr>
        <w:t xml:space="preserve">والمحاكم السرية </w:t>
      </w:r>
      <w:r w:rsidRPr="00007581">
        <w:rPr>
          <w:rFonts w:hint="cs"/>
          <w:rtl/>
          <w:lang w:bidi="ar-SY"/>
        </w:rPr>
        <w:t>وممارسة الاحتجاز</w:t>
      </w:r>
      <w:r w:rsidR="0061689F">
        <w:rPr>
          <w:rFonts w:hint="cs"/>
          <w:rtl/>
          <w:lang w:bidi="ar-SY"/>
        </w:rPr>
        <w:t xml:space="preserve"> بمعزل عن العالم</w:t>
      </w:r>
      <w:r w:rsidR="00810F67">
        <w:rPr>
          <w:rFonts w:hint="cs"/>
          <w:rtl/>
          <w:lang w:bidi="ar-SY"/>
        </w:rPr>
        <w:t xml:space="preserve"> الخارجي، </w:t>
      </w:r>
      <w:r w:rsidRPr="00007581">
        <w:rPr>
          <w:rFonts w:hint="cs"/>
          <w:rtl/>
          <w:lang w:bidi="ar-SY"/>
        </w:rPr>
        <w:t>والسماح للأقارب والمحامين القانونيين والعاملين في مجال الرعاية الطبية والسلطات والمؤسسات الأخرى المختصة والمرخص لها قانوناً بالوصول بصورة منتظمة إلى المحتجزين؛</w:t>
      </w:r>
    </w:p>
    <w:p w:rsidR="00BF4911" w:rsidRPr="00007581" w:rsidRDefault="00BF4911" w:rsidP="00810F67">
      <w:pPr>
        <w:pStyle w:val="SingleTxtGA"/>
        <w:rPr>
          <w:rFonts w:hint="cs"/>
          <w:rtl/>
          <w:lang w:bidi="ar-SY"/>
        </w:rPr>
      </w:pPr>
      <w:r w:rsidRPr="00007581">
        <w:rPr>
          <w:rFonts w:hint="cs"/>
          <w:rtl/>
          <w:lang w:bidi="ar-SY"/>
        </w:rPr>
        <w:tab/>
        <w:t>(د)</w:t>
      </w:r>
      <w:r w:rsidRPr="00007581">
        <w:rPr>
          <w:rFonts w:hint="cs"/>
          <w:rtl/>
          <w:lang w:bidi="ar-SY"/>
        </w:rPr>
        <w:tab/>
        <w:t>وضع حد</w:t>
      </w:r>
      <w:r w:rsidR="00810F67">
        <w:rPr>
          <w:rFonts w:hint="cs"/>
          <w:rtl/>
          <w:lang w:bidi="ar-SY"/>
        </w:rPr>
        <w:t xml:space="preserve"> لنظام </w:t>
      </w:r>
      <w:r w:rsidRPr="00007581">
        <w:rPr>
          <w:rFonts w:hint="cs"/>
          <w:rtl/>
          <w:lang w:bidi="ar-SY"/>
        </w:rPr>
        <w:t xml:space="preserve">الخدمة العسكرية </w:t>
      </w:r>
      <w:r w:rsidR="00810F67">
        <w:rPr>
          <w:rFonts w:hint="cs"/>
          <w:rtl/>
          <w:lang w:bidi="ar-SY"/>
        </w:rPr>
        <w:t xml:space="preserve">لأجل </w:t>
      </w:r>
      <w:r w:rsidRPr="00007581">
        <w:rPr>
          <w:rFonts w:hint="cs"/>
          <w:rtl/>
          <w:lang w:bidi="ar-SY"/>
        </w:rPr>
        <w:t>غير محدد، و</w:t>
      </w:r>
      <w:r w:rsidR="00810F67">
        <w:rPr>
          <w:rFonts w:hint="cs"/>
          <w:rtl/>
          <w:lang w:bidi="ar-SY"/>
        </w:rPr>
        <w:t>اتخاذ التدابير اللازمة ل</w:t>
      </w:r>
      <w:r w:rsidRPr="00007581">
        <w:rPr>
          <w:rFonts w:hint="cs"/>
          <w:rtl/>
          <w:lang w:bidi="ar-SY"/>
        </w:rPr>
        <w:t xml:space="preserve">لاستنكاف الضميري من الخدمة العسكرية، وإنهاء </w:t>
      </w:r>
      <w:r w:rsidRPr="00007581">
        <w:rPr>
          <w:rFonts w:hint="cs"/>
          <w:rtl/>
        </w:rPr>
        <w:t xml:space="preserve">الممارسة </w:t>
      </w:r>
      <w:r w:rsidR="00810F67">
        <w:rPr>
          <w:rFonts w:hint="cs"/>
          <w:rtl/>
        </w:rPr>
        <w:t xml:space="preserve">التي تقوم على إلزام جميع الأطفال بقضاء سنة </w:t>
      </w:r>
      <w:r w:rsidRPr="00007581">
        <w:rPr>
          <w:rFonts w:hint="cs"/>
          <w:rtl/>
        </w:rPr>
        <w:t>تعليمهم المدرسي الأخيرة في معسكر تدريب</w:t>
      </w:r>
      <w:r w:rsidRPr="00007581">
        <w:rPr>
          <w:rFonts w:hint="cs"/>
          <w:rtl/>
          <w:lang w:bidi="ar-SY"/>
        </w:rPr>
        <w:t>؛</w:t>
      </w:r>
    </w:p>
    <w:p w:rsidR="00BF4911" w:rsidRPr="00007581" w:rsidRDefault="00BF4911" w:rsidP="00810F67">
      <w:pPr>
        <w:pStyle w:val="SingleTxtGA"/>
        <w:rPr>
          <w:rFonts w:hint="cs"/>
          <w:rtl/>
          <w:lang w:bidi="ar-SY"/>
        </w:rPr>
      </w:pPr>
      <w:r w:rsidRPr="00007581">
        <w:rPr>
          <w:rFonts w:hint="cs"/>
          <w:rtl/>
          <w:lang w:bidi="ar-SY"/>
        </w:rPr>
        <w:tab/>
        <w:t>(ه‍(</w:t>
      </w:r>
      <w:r w:rsidRPr="00007581">
        <w:rPr>
          <w:rFonts w:hint="cs"/>
          <w:rtl/>
          <w:lang w:bidi="ar-SY"/>
        </w:rPr>
        <w:tab/>
        <w:t>السماح لمنظمات حقوق الإنسان والمنظمات الإنسانية بال</w:t>
      </w:r>
      <w:r w:rsidR="00810F67">
        <w:rPr>
          <w:rFonts w:hint="cs"/>
          <w:rtl/>
          <w:lang w:bidi="ar-SY"/>
        </w:rPr>
        <w:t>عمل في إريتريا دون خوف أو ترهيب، وتيسير التنفيذ الكامل للإطار الاستراتيجي للشراكة والتعاون للفترة</w:t>
      </w:r>
      <w:r w:rsidR="00810F67">
        <w:rPr>
          <w:rFonts w:hint="eastAsia"/>
          <w:rtl/>
          <w:lang w:bidi="ar-SY"/>
        </w:rPr>
        <w:t> </w:t>
      </w:r>
      <w:r w:rsidR="00810F67">
        <w:rPr>
          <w:rFonts w:hint="cs"/>
          <w:rtl/>
          <w:lang w:bidi="ar-SY"/>
        </w:rPr>
        <w:t xml:space="preserve">2013-2016، الذي وقعته حكومة إريتريا والأمم المتحدة في 28 </w:t>
      </w:r>
      <w:r w:rsidR="00810F67" w:rsidRPr="00810F67">
        <w:rPr>
          <w:rFonts w:hint="cs"/>
          <w:sz w:val="30"/>
          <w:rtl/>
          <w:lang w:bidi="ar-SY"/>
        </w:rPr>
        <w:t>كانون الثاني/</w:t>
      </w:r>
      <w:r w:rsidR="00810F67">
        <w:rPr>
          <w:rFonts w:hint="cs"/>
          <w:sz w:val="30"/>
          <w:rtl/>
          <w:lang w:bidi="ar-SY"/>
        </w:rPr>
        <w:t xml:space="preserve"> </w:t>
      </w:r>
      <w:r w:rsidR="00810F67" w:rsidRPr="00810F67">
        <w:rPr>
          <w:rFonts w:hint="cs"/>
          <w:sz w:val="30"/>
          <w:rtl/>
          <w:lang w:bidi="ar-SY"/>
        </w:rPr>
        <w:t xml:space="preserve">يناير </w:t>
      </w:r>
      <w:r w:rsidR="00810F67">
        <w:rPr>
          <w:rFonts w:hint="cs"/>
          <w:rtl/>
          <w:lang w:bidi="ar-SY"/>
        </w:rPr>
        <w:t>2013؛</w:t>
      </w:r>
    </w:p>
    <w:p w:rsidR="00BF4911" w:rsidRPr="00007581" w:rsidRDefault="00BF4911" w:rsidP="00BF4911">
      <w:pPr>
        <w:pStyle w:val="SingleTxtGA"/>
        <w:rPr>
          <w:rFonts w:hint="cs"/>
          <w:rtl/>
          <w:lang w:bidi="ar-SY"/>
        </w:rPr>
      </w:pPr>
      <w:r w:rsidRPr="00007581">
        <w:rPr>
          <w:rFonts w:hint="cs"/>
          <w:rtl/>
          <w:lang w:bidi="ar-SY"/>
        </w:rPr>
        <w:tab/>
        <w:t>(و)</w:t>
      </w:r>
      <w:r w:rsidRPr="00007581">
        <w:rPr>
          <w:rFonts w:hint="cs"/>
          <w:rtl/>
          <w:lang w:bidi="ar-SY"/>
        </w:rPr>
        <w:tab/>
        <w:t>احترام حق كل فرد في حرية التعبير وحريـة الفكـر والوجـدان والدين أو المعتقد و</w:t>
      </w:r>
      <w:r w:rsidR="00810F67">
        <w:rPr>
          <w:rFonts w:hint="cs"/>
          <w:rtl/>
          <w:lang w:bidi="ar-SY"/>
        </w:rPr>
        <w:t xml:space="preserve">الحق في </w:t>
      </w:r>
      <w:r w:rsidRPr="00007581">
        <w:rPr>
          <w:rFonts w:hint="cs"/>
          <w:rtl/>
          <w:lang w:bidi="ar-SY"/>
        </w:rPr>
        <w:t>حرية التجمّع السلمي وتكوين الجمعيات؛</w:t>
      </w:r>
    </w:p>
    <w:p w:rsidR="00BF4911" w:rsidRPr="00007581" w:rsidRDefault="00BF4911" w:rsidP="00BF4911">
      <w:pPr>
        <w:pStyle w:val="SingleTxtGA"/>
        <w:rPr>
          <w:rFonts w:hint="cs"/>
          <w:rtl/>
          <w:lang w:bidi="ar-SY"/>
        </w:rPr>
      </w:pPr>
      <w:r w:rsidRPr="00007581">
        <w:rPr>
          <w:rFonts w:hint="cs"/>
          <w:rtl/>
          <w:lang w:bidi="ar-SY"/>
        </w:rPr>
        <w:tab/>
        <w:t>(ز)</w:t>
      </w:r>
      <w:r w:rsidRPr="00007581">
        <w:rPr>
          <w:rFonts w:hint="cs"/>
          <w:rtl/>
          <w:lang w:bidi="ar-SY"/>
        </w:rPr>
        <w:tab/>
      </w:r>
      <w:r w:rsidR="00810F67">
        <w:rPr>
          <w:rFonts w:hint="cs"/>
          <w:rtl/>
          <w:lang w:bidi="ar-SY"/>
        </w:rPr>
        <w:t xml:space="preserve">تدعيم </w:t>
      </w:r>
      <w:r w:rsidRPr="00007581">
        <w:rPr>
          <w:rFonts w:hint="cs"/>
          <w:rtl/>
          <w:lang w:bidi="ar-SY"/>
        </w:rPr>
        <w:t xml:space="preserve">تعزيز وحماية حقوق المرأة، بطرق منها اتخاذ تدابير </w:t>
      </w:r>
      <w:r w:rsidR="00810F67">
        <w:rPr>
          <w:rFonts w:hint="cs"/>
          <w:rtl/>
          <w:lang w:bidi="ar-SY"/>
        </w:rPr>
        <w:t xml:space="preserve">إضافية </w:t>
      </w:r>
      <w:r w:rsidRPr="00007581">
        <w:rPr>
          <w:rFonts w:hint="cs"/>
          <w:rtl/>
          <w:lang w:bidi="ar-SY"/>
        </w:rPr>
        <w:t>لمكافحة الممارسات الضارة كالزواج المبكر وتشويه الأعضاء التناسلية الأنثوية؛</w:t>
      </w:r>
    </w:p>
    <w:p w:rsidR="00BF4911" w:rsidRPr="00007581" w:rsidRDefault="00BF4911" w:rsidP="00810F67">
      <w:pPr>
        <w:pStyle w:val="SingleTxtGA"/>
        <w:rPr>
          <w:rFonts w:hint="cs"/>
          <w:rtl/>
          <w:lang w:bidi="ar-SY"/>
        </w:rPr>
      </w:pPr>
      <w:r w:rsidRPr="00007581">
        <w:rPr>
          <w:rFonts w:hint="cs"/>
          <w:rtl/>
          <w:lang w:bidi="ar-SY"/>
        </w:rPr>
        <w:tab/>
        <w:t>(ح)</w:t>
      </w:r>
      <w:r w:rsidRPr="00007581">
        <w:rPr>
          <w:rFonts w:hint="cs"/>
          <w:rtl/>
          <w:lang w:bidi="ar-SY"/>
        </w:rPr>
        <w:tab/>
        <w:t xml:space="preserve">تنفيذ التوصيات التي حظيت بالقبول </w:t>
      </w:r>
      <w:r w:rsidR="00810F67">
        <w:rPr>
          <w:rFonts w:hint="cs"/>
          <w:rtl/>
          <w:lang w:bidi="ar-SY"/>
        </w:rPr>
        <w:t xml:space="preserve">أثناء </w:t>
      </w:r>
      <w:r w:rsidRPr="00007581">
        <w:rPr>
          <w:rFonts w:hint="cs"/>
          <w:rtl/>
          <w:lang w:bidi="ar-SY"/>
        </w:rPr>
        <w:t xml:space="preserve">الاستعراض الدوري الشامل المتعلق بإريتريا، وتقديم تقرير عن التقدم المحرز، والتعاون بالكامل مع مجلس حقوق الإنسان والاستعراض الدوري الشامل </w:t>
      </w:r>
      <w:r w:rsidR="00810F67">
        <w:rPr>
          <w:rFonts w:hint="cs"/>
          <w:rtl/>
          <w:lang w:bidi="ar-SY"/>
        </w:rPr>
        <w:t xml:space="preserve">في </w:t>
      </w:r>
      <w:r w:rsidRPr="00007581">
        <w:rPr>
          <w:rFonts w:hint="cs"/>
          <w:rtl/>
          <w:lang w:bidi="ar-SY"/>
        </w:rPr>
        <w:t>جولته الثانية؛</w:t>
      </w:r>
    </w:p>
    <w:p w:rsidR="00BF4911" w:rsidRPr="00007581" w:rsidRDefault="00BF4911" w:rsidP="00810F67">
      <w:pPr>
        <w:pStyle w:val="SingleTxtGA"/>
        <w:rPr>
          <w:rFonts w:hint="cs"/>
          <w:rtl/>
          <w:lang w:bidi="ar-SY"/>
        </w:rPr>
      </w:pPr>
      <w:r w:rsidRPr="00007581">
        <w:rPr>
          <w:rFonts w:hint="cs"/>
          <w:rtl/>
          <w:lang w:bidi="ar-SY"/>
        </w:rPr>
        <w:tab/>
        <w:t>(ط)</w:t>
      </w:r>
      <w:r w:rsidRPr="00007581">
        <w:rPr>
          <w:rFonts w:hint="cs"/>
          <w:rtl/>
          <w:lang w:bidi="ar-SY"/>
        </w:rPr>
        <w:tab/>
        <w:t xml:space="preserve">إنهاء سياسات "الجرم بالتبعية" التي تستهدف أفراد أسر </w:t>
      </w:r>
      <w:r w:rsidR="00810F67">
        <w:rPr>
          <w:rFonts w:hint="cs"/>
          <w:rtl/>
          <w:lang w:bidi="ar-SY"/>
        </w:rPr>
        <w:t xml:space="preserve">المتهربين </w:t>
      </w:r>
      <w:r w:rsidRPr="00007581">
        <w:rPr>
          <w:rFonts w:hint="cs"/>
          <w:rtl/>
          <w:lang w:bidi="ar-SY"/>
        </w:rPr>
        <w:t xml:space="preserve">من الخدمة الوطنية أو </w:t>
      </w:r>
      <w:r w:rsidR="00810F67">
        <w:rPr>
          <w:rFonts w:hint="cs"/>
          <w:rtl/>
          <w:lang w:bidi="ar-SY"/>
        </w:rPr>
        <w:t xml:space="preserve">الساعين </w:t>
      </w:r>
      <w:r w:rsidRPr="00007581">
        <w:rPr>
          <w:rFonts w:hint="cs"/>
          <w:rtl/>
          <w:lang w:bidi="ar-SY"/>
        </w:rPr>
        <w:t>إلى الفرار من إريتريا؛</w:t>
      </w:r>
    </w:p>
    <w:p w:rsidR="00BF4911" w:rsidRPr="00007581" w:rsidRDefault="00BF4911" w:rsidP="00810F67">
      <w:pPr>
        <w:pStyle w:val="SingleTxtGA"/>
        <w:rPr>
          <w:rFonts w:hint="cs"/>
          <w:rtl/>
          <w:lang w:bidi="ar-SY"/>
        </w:rPr>
      </w:pPr>
      <w:r w:rsidRPr="00007581">
        <w:rPr>
          <w:rFonts w:hint="cs"/>
          <w:rtl/>
          <w:lang w:bidi="ar-SY"/>
        </w:rPr>
        <w:tab/>
        <w:t>(ي)</w:t>
      </w:r>
      <w:r w:rsidRPr="00007581">
        <w:rPr>
          <w:rFonts w:hint="cs"/>
          <w:rtl/>
          <w:lang w:bidi="ar-SY"/>
        </w:rPr>
        <w:tab/>
        <w:t>التعاون الكامل مع مفوضية الأمم المتحدة السامية لحقوق الإنسان، وفقاً لالتزاماتها</w:t>
      </w:r>
      <w:r w:rsidR="00810F67">
        <w:rPr>
          <w:rFonts w:hint="cs"/>
          <w:rtl/>
          <w:lang w:bidi="ar-SY"/>
        </w:rPr>
        <w:t xml:space="preserve"> الدولية في مجال حقوق الإنسان، </w:t>
      </w:r>
      <w:r w:rsidRPr="00007581">
        <w:rPr>
          <w:rFonts w:hint="cs"/>
          <w:rtl/>
          <w:lang w:bidi="ar-SY"/>
        </w:rPr>
        <w:t xml:space="preserve">بطرق منها إتاحة إمكانية الدخول لبعثة المفوضية، </w:t>
      </w:r>
      <w:r w:rsidR="00810F67">
        <w:rPr>
          <w:rFonts w:hint="cs"/>
          <w:rtl/>
          <w:lang w:bidi="ar-SY"/>
        </w:rPr>
        <w:t xml:space="preserve">على نحو ما طلبته </w:t>
      </w:r>
      <w:r w:rsidRPr="00007581">
        <w:rPr>
          <w:rFonts w:hint="cs"/>
          <w:rtl/>
          <w:lang w:bidi="ar-SY"/>
        </w:rPr>
        <w:t>المفوضة السامية، ومع هيئات معاهدات حقوق الإنسان وجميع آليات مجلس حقوق الإنسان وجميع الآليات الدولية والإقليمية لحقوق الإنسان؛</w:t>
      </w:r>
    </w:p>
    <w:p w:rsidR="00BF4911" w:rsidRPr="00007581" w:rsidRDefault="00BF4911" w:rsidP="00810F67">
      <w:pPr>
        <w:pStyle w:val="SingleTxtGA"/>
        <w:rPr>
          <w:rFonts w:hint="cs"/>
          <w:rtl/>
          <w:lang w:bidi="ar-SY"/>
        </w:rPr>
      </w:pPr>
      <w:r w:rsidRPr="00007581">
        <w:rPr>
          <w:rFonts w:hint="cs"/>
          <w:rtl/>
          <w:lang w:bidi="ar-SY"/>
        </w:rPr>
        <w:tab/>
        <w:t>(ك)</w:t>
      </w:r>
      <w:r w:rsidRPr="00007581">
        <w:rPr>
          <w:rFonts w:hint="cs"/>
          <w:rtl/>
          <w:lang w:bidi="ar-SY"/>
        </w:rPr>
        <w:tab/>
      </w:r>
      <w:r w:rsidRPr="00007581">
        <w:rPr>
          <w:rFonts w:hint="cs"/>
          <w:rtl/>
        </w:rPr>
        <w:t>موافاة المفوضية السامية بجميع المعلومات ذات الصلة عن هوية جميع المحتجزين والمفقودين في القتال</w:t>
      </w:r>
      <w:r w:rsidR="00810F67">
        <w:rPr>
          <w:rFonts w:hint="cs"/>
          <w:rtl/>
        </w:rPr>
        <w:t xml:space="preserve">، بمن فيهم الصحفيون والمقاتلون الجيبوتيون وعن سلامتهم وحالتهم الصحية وأماكن وجودهم؛ </w:t>
      </w:r>
    </w:p>
    <w:p w:rsidR="00BF4911" w:rsidRPr="00007581" w:rsidRDefault="00BF4911" w:rsidP="00810F67">
      <w:pPr>
        <w:pStyle w:val="SingleTxtGA"/>
        <w:rPr>
          <w:rFonts w:hint="cs"/>
          <w:rtl/>
        </w:rPr>
      </w:pPr>
      <w:r w:rsidRPr="00007581">
        <w:rPr>
          <w:rFonts w:hint="cs"/>
          <w:i/>
          <w:rtl/>
          <w:lang w:bidi="ar-SY"/>
        </w:rPr>
        <w:tab/>
        <w:t>(ل)</w:t>
      </w:r>
      <w:r w:rsidRPr="00007581">
        <w:rPr>
          <w:rFonts w:hint="cs"/>
          <w:iCs/>
          <w:rtl/>
        </w:rPr>
        <w:tab/>
      </w:r>
      <w:r w:rsidRPr="00007581">
        <w:rPr>
          <w:rFonts w:hint="cs"/>
          <w:rtl/>
        </w:rPr>
        <w:t>تنفيذ دستور إريتريا المعتمد في عام ١٩٩٧</w:t>
      </w:r>
      <w:r w:rsidR="0061689F">
        <w:rPr>
          <w:rFonts w:hint="cs"/>
          <w:rtl/>
        </w:rPr>
        <w:t>،</w:t>
      </w:r>
      <w:r w:rsidR="00810F67">
        <w:rPr>
          <w:rFonts w:hint="cs"/>
          <w:rtl/>
        </w:rPr>
        <w:t xml:space="preserve"> تنفيذاً كاملاً، وممارسة السلطة وفقاً لمبادئ سيادة القانون</w:t>
      </w:r>
      <w:r w:rsidRPr="00007581">
        <w:rPr>
          <w:rFonts w:hint="cs"/>
          <w:rtl/>
        </w:rPr>
        <w:t>؛</w:t>
      </w:r>
      <w:r w:rsidRPr="00007581">
        <w:rPr>
          <w:rtl/>
        </w:rPr>
        <w:t xml:space="preserve"> </w:t>
      </w:r>
    </w:p>
    <w:p w:rsidR="00BF4911" w:rsidRPr="00007581" w:rsidRDefault="00BF4911" w:rsidP="00810F67">
      <w:pPr>
        <w:pStyle w:val="SingleTxtGA"/>
        <w:rPr>
          <w:rFonts w:hint="cs"/>
          <w:rtl/>
        </w:rPr>
      </w:pPr>
      <w:r w:rsidRPr="00007581">
        <w:rPr>
          <w:rFonts w:hint="cs"/>
          <w:rtl/>
        </w:rPr>
        <w:tab/>
      </w:r>
      <w:r w:rsidR="00810F67">
        <w:rPr>
          <w:rFonts w:hint="cs"/>
          <w:rtl/>
        </w:rPr>
        <w:t>4</w:t>
      </w:r>
      <w:r w:rsidRPr="00007581">
        <w:rPr>
          <w:rFonts w:hint="cs"/>
          <w:rtl/>
        </w:rPr>
        <w:t>-</w:t>
      </w:r>
      <w:r w:rsidRPr="00007581">
        <w:rPr>
          <w:rFonts w:hint="cs"/>
          <w:rtl/>
        </w:rPr>
        <w:tab/>
      </w:r>
      <w:r w:rsidRPr="00007581">
        <w:rPr>
          <w:rFonts w:hint="cs"/>
          <w:i/>
          <w:iCs/>
          <w:rtl/>
        </w:rPr>
        <w:t>يحث</w:t>
      </w:r>
      <w:r w:rsidRPr="00007581">
        <w:rPr>
          <w:rFonts w:hint="cs"/>
          <w:rtl/>
        </w:rPr>
        <w:t xml:space="preserve"> إريتريا على إتاحة المعلومات المتصلة بالمقاتلين الجيبوتيين المفقودين في القتال منذ الاشتباكات التي وقعت في الفترة من ١٠ إلى ١٢ حزيران/يونيه ٢٠٠٨ ليتحقق المعنيون بالأمر من وجود أسرى حرب جيبوتيين ومن أحوالهم؛</w:t>
      </w:r>
    </w:p>
    <w:p w:rsidR="00BF4911" w:rsidRPr="00007581" w:rsidRDefault="00BF4911" w:rsidP="0061689F">
      <w:pPr>
        <w:pStyle w:val="SingleTxtGA"/>
        <w:rPr>
          <w:rFonts w:hint="cs"/>
          <w:rtl/>
        </w:rPr>
      </w:pPr>
      <w:r w:rsidRPr="00007581">
        <w:rPr>
          <w:rFonts w:hint="cs"/>
          <w:rtl/>
        </w:rPr>
        <w:tab/>
      </w:r>
      <w:r w:rsidR="00810F67">
        <w:rPr>
          <w:rFonts w:hint="cs"/>
          <w:rtl/>
        </w:rPr>
        <w:t>5</w:t>
      </w:r>
      <w:r w:rsidRPr="00007581">
        <w:rPr>
          <w:rFonts w:hint="cs"/>
          <w:rtl/>
        </w:rPr>
        <w:t>-</w:t>
      </w:r>
      <w:r w:rsidRPr="00007581">
        <w:rPr>
          <w:rFonts w:hint="cs"/>
          <w:rtl/>
        </w:rPr>
        <w:tab/>
      </w:r>
      <w:r w:rsidRPr="00007581">
        <w:rPr>
          <w:rFonts w:hint="cs"/>
          <w:i/>
          <w:iCs/>
          <w:rtl/>
        </w:rPr>
        <w:t>يقرر</w:t>
      </w:r>
      <w:r w:rsidRPr="00007581">
        <w:rPr>
          <w:rFonts w:hint="cs"/>
          <w:rtl/>
        </w:rPr>
        <w:t xml:space="preserve"> تمديد ولاية المقررة الخاصة المعنية بحالة حقوق الإنسان في إريتريا سنة واحدة، ويطلب إليها أن تقدم تقريراً إلى مجلس حقوق الإنسان في دورته السادسة</w:t>
      </w:r>
      <w:r>
        <w:rPr>
          <w:rFonts w:hint="eastAsia"/>
          <w:rtl/>
        </w:rPr>
        <w:t> </w:t>
      </w:r>
      <w:r w:rsidR="00810F67">
        <w:rPr>
          <w:rFonts w:hint="cs"/>
          <w:rtl/>
        </w:rPr>
        <w:t>والعشرين وأن تلق</w:t>
      </w:r>
      <w:r w:rsidR="0061689F">
        <w:rPr>
          <w:rFonts w:hint="cs"/>
          <w:rtl/>
        </w:rPr>
        <w:t>ي</w:t>
      </w:r>
      <w:r w:rsidR="00810F67">
        <w:rPr>
          <w:rFonts w:hint="cs"/>
          <w:rtl/>
        </w:rPr>
        <w:t xml:space="preserve"> كلمة أمام الجمعية العامة </w:t>
      </w:r>
      <w:r w:rsidR="00314CBD">
        <w:rPr>
          <w:rFonts w:hint="cs"/>
          <w:rtl/>
        </w:rPr>
        <w:t>وتقي</w:t>
      </w:r>
      <w:r w:rsidR="0061689F">
        <w:rPr>
          <w:rFonts w:hint="cs"/>
          <w:rtl/>
        </w:rPr>
        <w:t>ّ</w:t>
      </w:r>
      <w:r w:rsidR="00314CBD">
        <w:rPr>
          <w:rFonts w:hint="cs"/>
          <w:rtl/>
        </w:rPr>
        <w:t>م حواراً تفاعلياً معها في دورتها الثامنة والستين؛</w:t>
      </w:r>
    </w:p>
    <w:p w:rsidR="00BF4911" w:rsidRDefault="00BF4911" w:rsidP="00314CBD">
      <w:pPr>
        <w:pStyle w:val="SingleTxtGA"/>
        <w:rPr>
          <w:rFonts w:hint="cs"/>
          <w:rtl/>
        </w:rPr>
      </w:pPr>
      <w:r w:rsidRPr="00007581">
        <w:rPr>
          <w:rFonts w:hint="cs"/>
          <w:rtl/>
        </w:rPr>
        <w:tab/>
      </w:r>
      <w:r w:rsidR="00314CBD">
        <w:rPr>
          <w:rFonts w:hint="cs"/>
          <w:rtl/>
        </w:rPr>
        <w:t>6</w:t>
      </w:r>
      <w:r w:rsidRPr="00007581">
        <w:rPr>
          <w:rFonts w:hint="cs"/>
          <w:rtl/>
        </w:rPr>
        <w:t>-</w:t>
      </w:r>
      <w:r w:rsidRPr="00007581">
        <w:rPr>
          <w:rFonts w:hint="cs"/>
          <w:rtl/>
        </w:rPr>
        <w:tab/>
      </w:r>
      <w:proofErr w:type="spellStart"/>
      <w:r w:rsidR="00314CBD">
        <w:rPr>
          <w:rFonts w:hint="cs"/>
          <w:i/>
          <w:iCs/>
          <w:rtl/>
        </w:rPr>
        <w:t>يهيب</w:t>
      </w:r>
      <w:proofErr w:type="spellEnd"/>
      <w:r w:rsidR="00314CBD">
        <w:rPr>
          <w:rFonts w:hint="cs"/>
          <w:i/>
          <w:iCs/>
          <w:rtl/>
        </w:rPr>
        <w:t xml:space="preserve"> </w:t>
      </w:r>
      <w:r w:rsidR="00314CBD">
        <w:rPr>
          <w:rFonts w:hint="cs"/>
          <w:rtl/>
        </w:rPr>
        <w:t>ب</w:t>
      </w:r>
      <w:r w:rsidRPr="00007581">
        <w:rPr>
          <w:rFonts w:hint="cs"/>
          <w:rtl/>
        </w:rPr>
        <w:t xml:space="preserve">حكومة إريتريا </w:t>
      </w:r>
      <w:r w:rsidR="00314CBD">
        <w:rPr>
          <w:rFonts w:hint="cs"/>
          <w:rtl/>
        </w:rPr>
        <w:t xml:space="preserve">أن تتعاون بالكامل </w:t>
      </w:r>
      <w:r w:rsidRPr="00007581">
        <w:rPr>
          <w:rFonts w:hint="cs"/>
          <w:rtl/>
        </w:rPr>
        <w:t>مع المقررة الخاصة، و</w:t>
      </w:r>
      <w:r w:rsidR="00314CBD">
        <w:rPr>
          <w:rFonts w:hint="cs"/>
          <w:rtl/>
        </w:rPr>
        <w:t xml:space="preserve">أن تسمح لها </w:t>
      </w:r>
      <w:r w:rsidRPr="00007581">
        <w:rPr>
          <w:rFonts w:hint="cs"/>
          <w:rtl/>
        </w:rPr>
        <w:t xml:space="preserve">بزيارة البلد </w:t>
      </w:r>
      <w:r w:rsidR="00314CBD">
        <w:rPr>
          <w:rFonts w:hint="cs"/>
          <w:rtl/>
        </w:rPr>
        <w:t xml:space="preserve">وأن تولى </w:t>
      </w:r>
      <w:r w:rsidRPr="00007581">
        <w:rPr>
          <w:rFonts w:hint="cs"/>
          <w:rtl/>
        </w:rPr>
        <w:t>الاعتبار الواجب للتوصيات الواردة في تقريرها الأول و</w:t>
      </w:r>
      <w:r w:rsidR="00314CBD">
        <w:rPr>
          <w:rFonts w:hint="cs"/>
          <w:rtl/>
        </w:rPr>
        <w:t xml:space="preserve">أن تقدم إليها المعلومات </w:t>
      </w:r>
      <w:r w:rsidRPr="00007581">
        <w:rPr>
          <w:rFonts w:hint="cs"/>
          <w:rtl/>
        </w:rPr>
        <w:t>اللازمة للاضطلاع بولايتها، ويؤكد أهمية حصول المقررة الخاصة على دعم جميع الدول ل</w:t>
      </w:r>
      <w:r w:rsidR="00314CBD">
        <w:rPr>
          <w:rFonts w:hint="cs"/>
          <w:rtl/>
        </w:rPr>
        <w:t xml:space="preserve">إنجاز تلك </w:t>
      </w:r>
      <w:r w:rsidRPr="00007581">
        <w:rPr>
          <w:rFonts w:hint="cs"/>
          <w:rtl/>
        </w:rPr>
        <w:t>الولاية؛</w:t>
      </w:r>
    </w:p>
    <w:p w:rsidR="00314CBD" w:rsidRPr="00314CBD" w:rsidRDefault="00314CBD" w:rsidP="00314CBD">
      <w:pPr>
        <w:pStyle w:val="SingleTxtGA"/>
        <w:rPr>
          <w:rFonts w:hint="cs"/>
          <w:rtl/>
        </w:rPr>
      </w:pPr>
      <w:r>
        <w:rPr>
          <w:rFonts w:hint="cs"/>
          <w:rtl/>
        </w:rPr>
        <w:tab/>
        <w:t>7-</w:t>
      </w:r>
      <w:r>
        <w:rPr>
          <w:rFonts w:hint="cs"/>
          <w:rtl/>
        </w:rPr>
        <w:tab/>
      </w:r>
      <w:r>
        <w:rPr>
          <w:rFonts w:hint="cs"/>
          <w:i/>
          <w:iCs/>
          <w:rtl/>
        </w:rPr>
        <w:t>يحث</w:t>
      </w:r>
      <w:r>
        <w:rPr>
          <w:rFonts w:hint="cs"/>
          <w:rtl/>
        </w:rPr>
        <w:t xml:space="preserve"> المجتمع الدولي على التعاون الكامل مع المقررة الخاصة وعلى دعم الجهود الرامية إلى حماية الفارين من إريتريا، وبخاصة العدد المتزايد من الأطفال غير المصحوبين بمرافق؛</w:t>
      </w:r>
    </w:p>
    <w:p w:rsidR="00BF4911" w:rsidRPr="00007581" w:rsidRDefault="00BF4911" w:rsidP="00314CBD">
      <w:pPr>
        <w:pStyle w:val="SingleTxtGA"/>
        <w:rPr>
          <w:rFonts w:hint="cs"/>
          <w:rtl/>
        </w:rPr>
      </w:pPr>
      <w:r w:rsidRPr="00007581">
        <w:rPr>
          <w:rFonts w:hint="cs"/>
          <w:rtl/>
        </w:rPr>
        <w:tab/>
      </w:r>
      <w:r w:rsidR="00314CBD">
        <w:rPr>
          <w:rFonts w:hint="cs"/>
          <w:rtl/>
        </w:rPr>
        <w:t>8</w:t>
      </w:r>
      <w:r w:rsidRPr="00007581">
        <w:rPr>
          <w:rFonts w:hint="cs"/>
          <w:rtl/>
        </w:rPr>
        <w:t>-</w:t>
      </w:r>
      <w:r w:rsidRPr="00007581">
        <w:rPr>
          <w:rFonts w:hint="cs"/>
          <w:rtl/>
        </w:rPr>
        <w:tab/>
      </w:r>
      <w:r w:rsidRPr="00007581">
        <w:rPr>
          <w:rFonts w:hint="cs"/>
          <w:i/>
          <w:iCs/>
          <w:rtl/>
        </w:rPr>
        <w:t>يطلب</w:t>
      </w:r>
      <w:r w:rsidRPr="0061689F">
        <w:rPr>
          <w:rFonts w:hint="cs"/>
          <w:rtl/>
        </w:rPr>
        <w:t xml:space="preserve"> إلى</w:t>
      </w:r>
      <w:r w:rsidRPr="00007581">
        <w:rPr>
          <w:rFonts w:hint="cs"/>
          <w:rtl/>
        </w:rPr>
        <w:t xml:space="preserve"> الأمين العام أن يزوّد المقررة الخاصة بجميع المعلومات والموارد اللازمة للاضطلاع </w:t>
      </w:r>
      <w:r w:rsidR="00314CBD">
        <w:rPr>
          <w:rFonts w:hint="cs"/>
          <w:rtl/>
        </w:rPr>
        <w:t>ب</w:t>
      </w:r>
      <w:r w:rsidRPr="00007581">
        <w:rPr>
          <w:rFonts w:hint="cs"/>
          <w:rtl/>
        </w:rPr>
        <w:t>الولاية؛</w:t>
      </w:r>
    </w:p>
    <w:p w:rsidR="00BF4911" w:rsidRDefault="00BF4911" w:rsidP="00314CBD">
      <w:pPr>
        <w:pStyle w:val="SingleTxtGA"/>
        <w:rPr>
          <w:rFonts w:hint="cs"/>
          <w:rtl/>
        </w:rPr>
      </w:pPr>
      <w:r w:rsidRPr="00007581">
        <w:rPr>
          <w:rFonts w:hint="cs"/>
          <w:rtl/>
        </w:rPr>
        <w:tab/>
      </w:r>
      <w:r w:rsidR="00314CBD">
        <w:rPr>
          <w:rFonts w:hint="cs"/>
          <w:rtl/>
        </w:rPr>
        <w:t>9</w:t>
      </w:r>
      <w:r w:rsidRPr="00007581">
        <w:rPr>
          <w:rFonts w:hint="cs"/>
          <w:rtl/>
        </w:rPr>
        <w:t>-</w:t>
      </w:r>
      <w:r w:rsidRPr="00007581">
        <w:rPr>
          <w:rFonts w:hint="cs"/>
          <w:rtl/>
        </w:rPr>
        <w:tab/>
      </w:r>
      <w:r w:rsidRPr="00007581">
        <w:rPr>
          <w:rFonts w:hint="cs"/>
          <w:i/>
          <w:iCs/>
          <w:rtl/>
        </w:rPr>
        <w:t>يقرر</w:t>
      </w:r>
      <w:r w:rsidRPr="00007581">
        <w:rPr>
          <w:rFonts w:hint="cs"/>
          <w:rtl/>
        </w:rPr>
        <w:t xml:space="preserve"> إبقاء المسألة قيد نظره</w:t>
      </w:r>
      <w:r w:rsidRPr="00007581">
        <w:rPr>
          <w:rFonts w:cs="Times New Roman" w:hint="cs"/>
          <w:rtl/>
        </w:rPr>
        <w:t>.</w:t>
      </w:r>
    </w:p>
    <w:p w:rsidR="00314CBD" w:rsidRPr="00314CBD" w:rsidRDefault="00314CBD" w:rsidP="00715C2E">
      <w:pPr>
        <w:pStyle w:val="SingleTxtGA"/>
        <w:spacing w:after="0"/>
        <w:ind w:firstLine="6091"/>
        <w:rPr>
          <w:i/>
          <w:iCs/>
        </w:rPr>
      </w:pPr>
      <w:r w:rsidRPr="00314CBD">
        <w:rPr>
          <w:rFonts w:hint="cs"/>
          <w:i/>
          <w:iCs/>
          <w:rtl/>
        </w:rPr>
        <w:t>الجلسة 40</w:t>
      </w:r>
    </w:p>
    <w:p w:rsidR="00314CBD" w:rsidRDefault="00314CBD" w:rsidP="00314CBD">
      <w:pPr>
        <w:pStyle w:val="SingleTxtGA"/>
        <w:ind w:firstLine="4991"/>
        <w:rPr>
          <w:rFonts w:hint="cs"/>
          <w:i/>
          <w:iCs/>
          <w:rtl/>
        </w:rPr>
      </w:pPr>
      <w:r w:rsidRPr="00314CBD">
        <w:rPr>
          <w:rFonts w:hint="cs"/>
          <w:i/>
          <w:iCs/>
          <w:rtl/>
        </w:rPr>
        <w:t xml:space="preserve">14 </w:t>
      </w:r>
      <w:r w:rsidRPr="00314CBD">
        <w:rPr>
          <w:rFonts w:hint="cs"/>
          <w:i/>
          <w:iCs/>
          <w:sz w:val="30"/>
          <w:rtl/>
        </w:rPr>
        <w:t xml:space="preserve">حزيران/يونيه </w:t>
      </w:r>
      <w:r w:rsidRPr="00314CBD">
        <w:rPr>
          <w:rFonts w:hint="cs"/>
          <w:i/>
          <w:iCs/>
          <w:rtl/>
        </w:rPr>
        <w:t>2013</w:t>
      </w:r>
    </w:p>
    <w:p w:rsidR="00314CBD" w:rsidRDefault="00314CBD" w:rsidP="00314CBD">
      <w:pPr>
        <w:pStyle w:val="SingleTxtGA"/>
        <w:rPr>
          <w:rFonts w:hint="cs"/>
          <w:rtl/>
        </w:rPr>
      </w:pPr>
      <w:r>
        <w:rPr>
          <w:rFonts w:hint="cs"/>
          <w:rtl/>
        </w:rPr>
        <w:t>[اعت</w:t>
      </w:r>
      <w:r w:rsidR="00715444">
        <w:rPr>
          <w:rFonts w:hint="cs"/>
          <w:rtl/>
        </w:rPr>
        <w:t>ُ</w:t>
      </w:r>
      <w:r>
        <w:rPr>
          <w:rFonts w:hint="cs"/>
          <w:rtl/>
        </w:rPr>
        <w:t>مد دون تصويت.]</w:t>
      </w:r>
    </w:p>
    <w:p w:rsidR="00314CBD" w:rsidRDefault="00314CBD" w:rsidP="00314CBD">
      <w:pPr>
        <w:spacing w:before="120"/>
        <w:jc w:val="center"/>
        <w:rPr>
          <w:rFonts w:hint="cs"/>
          <w:u w:val="single"/>
          <w:rtl/>
        </w:rPr>
      </w:pPr>
      <w:r>
        <w:rPr>
          <w:u w:val="single"/>
          <w:rtl/>
        </w:rPr>
        <w:tab/>
      </w:r>
      <w:r>
        <w:rPr>
          <w:u w:val="single"/>
          <w:rtl/>
        </w:rPr>
        <w:tab/>
      </w:r>
      <w:r>
        <w:rPr>
          <w:u w:val="single"/>
          <w:rtl/>
        </w:rPr>
        <w:tab/>
      </w:r>
    </w:p>
    <w:p w:rsidR="00314CBD" w:rsidRPr="00314CBD" w:rsidRDefault="00314CBD" w:rsidP="00314CBD">
      <w:pPr>
        <w:spacing w:before="120"/>
        <w:jc w:val="center"/>
        <w:rPr>
          <w:rFonts w:hint="cs"/>
          <w:u w:val="single"/>
          <w:rtl/>
        </w:rPr>
      </w:pPr>
    </w:p>
    <w:sectPr w:rsidR="00314CBD" w:rsidRPr="00314CBD" w:rsidSect="00BF4911">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5ED" w:rsidRPr="00FE6865" w:rsidRDefault="00B025ED" w:rsidP="00FE6865">
      <w:pPr>
        <w:pStyle w:val="Footer"/>
      </w:pPr>
    </w:p>
  </w:endnote>
  <w:endnote w:type="continuationSeparator" w:id="0">
    <w:p w:rsidR="00B025ED" w:rsidRDefault="00B025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5ED" w:rsidRPr="00BF4911" w:rsidRDefault="00B025ED" w:rsidP="00BF4911">
    <w:pPr>
      <w:pStyle w:val="Footer"/>
      <w:tabs>
        <w:tab w:val="right" w:pos="9598"/>
      </w:tabs>
    </w:pPr>
    <w:r>
      <w:t>GE.13-15089</w:t>
    </w:r>
    <w:r>
      <w:tab/>
    </w:r>
    <w:r w:rsidRPr="00BF4911">
      <w:rPr>
        <w:b/>
        <w:sz w:val="18"/>
      </w:rPr>
      <w:fldChar w:fldCharType="begin"/>
    </w:r>
    <w:r w:rsidRPr="00BF4911">
      <w:rPr>
        <w:b/>
        <w:sz w:val="18"/>
      </w:rPr>
      <w:instrText xml:space="preserve"> PAGE  \* MERGEFORMAT </w:instrText>
    </w:r>
    <w:r w:rsidRPr="00BF4911">
      <w:rPr>
        <w:b/>
        <w:sz w:val="18"/>
      </w:rPr>
      <w:fldChar w:fldCharType="separate"/>
    </w:r>
    <w:r>
      <w:rPr>
        <w:b/>
        <w:noProof/>
        <w:sz w:val="18"/>
      </w:rPr>
      <w:t>4</w:t>
    </w:r>
    <w:r w:rsidRPr="00BF4911">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5ED" w:rsidRPr="00BF4911" w:rsidRDefault="00B025ED" w:rsidP="00BF4911">
    <w:pPr>
      <w:pStyle w:val="Footer"/>
      <w:tabs>
        <w:tab w:val="right" w:pos="9598"/>
      </w:tabs>
      <w:rPr>
        <w:b/>
        <w:sz w:val="18"/>
      </w:rPr>
    </w:pPr>
    <w:r w:rsidRPr="00BF4911">
      <w:rPr>
        <w:b/>
        <w:sz w:val="18"/>
      </w:rPr>
      <w:fldChar w:fldCharType="begin"/>
    </w:r>
    <w:r w:rsidRPr="00BF4911">
      <w:rPr>
        <w:b/>
        <w:sz w:val="18"/>
      </w:rPr>
      <w:instrText xml:space="preserve"> PAGE  \* MERGEFORMAT </w:instrText>
    </w:r>
    <w:r w:rsidRPr="00BF4911">
      <w:rPr>
        <w:b/>
        <w:sz w:val="18"/>
      </w:rPr>
      <w:fldChar w:fldCharType="separate"/>
    </w:r>
    <w:r>
      <w:rPr>
        <w:b/>
        <w:noProof/>
        <w:sz w:val="18"/>
      </w:rPr>
      <w:t>5</w:t>
    </w:r>
    <w:r w:rsidRPr="00BF4911">
      <w:rPr>
        <w:b/>
        <w:sz w:val="18"/>
      </w:rPr>
      <w:fldChar w:fldCharType="end"/>
    </w:r>
    <w:r>
      <w:rPr>
        <w:b/>
        <w:sz w:val="18"/>
      </w:rPr>
      <w:tab/>
    </w:r>
    <w:r>
      <w:t>GE.13-15089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5ED" w:rsidRDefault="00B025ED" w:rsidP="00BF4911">
    <w:pPr>
      <w:pStyle w:val="Footer"/>
      <w:jc w:val="right"/>
    </w:pPr>
    <w:r>
      <w:rPr>
        <w:sz w:val="20"/>
      </w:rPr>
      <w:t>(A)   GE.13-15089</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743.55pt;width:91.5pt;height:25.5pt;z-index:-1;mso-position-horizontal-relative:page;mso-position-vertical-relative:page" wrapcoords="-177 0 -177 20965 21600 20965 21600 0 -177 0" o:allowincell="f">
          <v:imagedata r:id="rId1" o:title="PleaseRecycleArabic"/>
          <w10:wrap type="tight" anchorx="page" anchory="page"/>
          <w10:anchorlock/>
        </v:shape>
      </w:pict>
    </w:r>
    <w:r>
      <w:rPr>
        <w:sz w:val="20"/>
      </w:rPr>
      <w:t xml:space="preserve">     140813    140813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5ED" w:rsidRDefault="00B025ED" w:rsidP="009A0C39">
      <w:pPr>
        <w:spacing w:after="80" w:line="200" w:lineRule="atLeast"/>
        <w:ind w:left="680"/>
      </w:pPr>
      <w:r w:rsidRPr="00C10C26">
        <w:rPr>
          <w:sz w:val="16"/>
          <w:rtl/>
        </w:rPr>
        <w:t>__________</w:t>
      </w:r>
    </w:p>
  </w:footnote>
  <w:footnote w:type="continuationSeparator" w:id="0">
    <w:p w:rsidR="00B025ED" w:rsidRDefault="00B025ED" w:rsidP="00444AA6">
      <w:pPr>
        <w:pStyle w:val="Footer"/>
        <w:bidi/>
        <w:spacing w:after="80" w:line="200" w:lineRule="exact"/>
        <w:ind w:left="680"/>
      </w:pPr>
      <w:r>
        <w:rPr>
          <w:rFonts w:hint="cs"/>
          <w:rtl/>
        </w:rPr>
        <w:t>__________</w:t>
      </w:r>
    </w:p>
  </w:footnote>
  <w:footnote w:id="1">
    <w:p w:rsidR="00B025ED" w:rsidRPr="002C0517" w:rsidRDefault="00B025ED" w:rsidP="00BF4911">
      <w:pPr>
        <w:pStyle w:val="footnoteText0"/>
        <w:rPr>
          <w:rFonts w:hint="cs"/>
          <w:rtl/>
        </w:rPr>
      </w:pPr>
      <w:r>
        <w:rPr>
          <w:rtl/>
        </w:rPr>
        <w:tab/>
      </w:r>
      <w:r w:rsidRPr="002C0517">
        <w:rPr>
          <w:rStyle w:val="FootnoteReference"/>
          <w:sz w:val="20"/>
          <w:vertAlign w:val="baseline"/>
          <w:rtl/>
        </w:rPr>
        <w:t>*</w:t>
      </w:r>
      <w:r>
        <w:rPr>
          <w:rtl/>
        </w:rPr>
        <w:tab/>
      </w:r>
      <w:r>
        <w:rPr>
          <w:rFonts w:hint="cs"/>
          <w:rtl/>
        </w:rPr>
        <w:t>سترد القرارات والمقررات التي اعتمدها مجلس حقوق الإنسان في تقرير المجلس عن أعمال دورته الثالثة والعشرين (</w:t>
      </w:r>
      <w:r>
        <w:t>A/HRC/23/2</w:t>
      </w:r>
      <w:r>
        <w:rPr>
          <w:rFonts w:hint="cs"/>
          <w:rtl/>
        </w:rPr>
        <w:t>)، الفصل الأول.</w:t>
      </w:r>
    </w:p>
  </w:footnote>
  <w:footnote w:id="2">
    <w:p w:rsidR="00B025ED" w:rsidRDefault="00B025ED" w:rsidP="0009671C">
      <w:pPr>
        <w:pStyle w:val="FootnoteText"/>
        <w:numPr>
          <w:ilvl w:val="0"/>
          <w:numId w:val="40"/>
        </w:numPr>
        <w:tabs>
          <w:tab w:val="clear" w:pos="1295"/>
        </w:tabs>
        <w:spacing w:after="60" w:line="300" w:lineRule="exact"/>
        <w:ind w:left="1247" w:right="1247"/>
        <w:rPr>
          <w:rFonts w:hint="cs"/>
        </w:rPr>
      </w:pPr>
      <w:r>
        <w:rPr>
          <w:sz w:val="18"/>
          <w:szCs w:val="26"/>
        </w:rPr>
        <w:t>A/HRC/23/53</w:t>
      </w:r>
      <w:r>
        <w:rPr>
          <w:rFonts w:hint="cs"/>
          <w:sz w:val="18"/>
          <w:szCs w:val="26"/>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5ED" w:rsidRPr="00BF4911" w:rsidRDefault="00B025ED" w:rsidP="00BF4911">
    <w:pPr>
      <w:pStyle w:val="Header"/>
      <w:jc w:val="right"/>
    </w:pPr>
    <w:r w:rsidRPr="00BF4911">
      <w:t>A/HRC/RES/23/21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5ED" w:rsidRPr="00BF4911" w:rsidRDefault="00B025ED" w:rsidP="00BF4911">
    <w:pPr>
      <w:pStyle w:val="Header"/>
      <w:jc w:val="left"/>
    </w:pPr>
    <w:r w:rsidRPr="00BF4911">
      <w:t>A/HRC/RES/23/21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860C8E"/>
    <w:multiLevelType w:val="hybridMultilevel"/>
    <w:tmpl w:val="1CA423A4"/>
    <w:lvl w:ilvl="0" w:tplc="B218CE54">
      <w:start w:val="1"/>
      <w:numFmt w:val="decimal"/>
      <w:lvlRestart w:val="0"/>
      <w:lvlText w:val="(%1)"/>
      <w:lvlJc w:val="right"/>
      <w:pPr>
        <w:tabs>
          <w:tab w:val="num" w:pos="1295"/>
        </w:tabs>
        <w:ind w:left="1295" w:hanging="227"/>
      </w:pPr>
      <w:rPr>
        <w:rFonts w:ascii="Traditional Arabic" w:hAnsi="Traditional Arabic" w:cs="Traditional Arabic" w:hint="default"/>
        <w:sz w:val="26"/>
        <w:szCs w:val="26"/>
        <w:vertAlign w:val="baseline"/>
      </w:r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4"/>
  </w:num>
  <w:num w:numId="4">
    <w:abstractNumId w:val="12"/>
  </w:num>
  <w:num w:numId="5">
    <w:abstractNumId w:val="9"/>
  </w:num>
  <w:num w:numId="6">
    <w:abstractNumId w:val="21"/>
  </w:num>
  <w:num w:numId="7">
    <w:abstractNumId w:val="11"/>
  </w:num>
  <w:num w:numId="8">
    <w:abstractNumId w:val="10"/>
  </w:num>
  <w:num w:numId="9">
    <w:abstractNumId w:val="13"/>
  </w:num>
  <w:num w:numId="10">
    <w:abstractNumId w:val="20"/>
  </w:num>
  <w:num w:numId="11">
    <w:abstractNumId w:val="1"/>
  </w:num>
  <w:num w:numId="12">
    <w:abstractNumId w:val="14"/>
  </w:num>
  <w:num w:numId="13">
    <w:abstractNumId w:val="12"/>
  </w:num>
  <w:num w:numId="14">
    <w:abstractNumId w:val="9"/>
  </w:num>
  <w:num w:numId="15">
    <w:abstractNumId w:val="21"/>
  </w:num>
  <w:num w:numId="16">
    <w:abstractNumId w:val="1"/>
  </w:num>
  <w:num w:numId="17">
    <w:abstractNumId w:val="14"/>
  </w:num>
  <w:num w:numId="18">
    <w:abstractNumId w:val="12"/>
  </w:num>
  <w:num w:numId="19">
    <w:abstractNumId w:val="9"/>
  </w:num>
  <w:num w:numId="20">
    <w:abstractNumId w:val="21"/>
  </w:num>
  <w:num w:numId="21">
    <w:abstractNumId w:val="1"/>
  </w:num>
  <w:num w:numId="22">
    <w:abstractNumId w:val="14"/>
  </w:num>
  <w:num w:numId="23">
    <w:abstractNumId w:val="9"/>
  </w:num>
  <w:num w:numId="24">
    <w:abstractNumId w:val="21"/>
  </w:num>
  <w:num w:numId="25">
    <w:abstractNumId w:val="14"/>
  </w:num>
  <w:num w:numId="26">
    <w:abstractNumId w:val="1"/>
  </w:num>
  <w:num w:numId="27">
    <w:abstractNumId w:val="3"/>
  </w:num>
  <w:num w:numId="28">
    <w:abstractNumId w:val="2"/>
  </w:num>
  <w:num w:numId="29">
    <w:abstractNumId w:val="16"/>
  </w:num>
  <w:num w:numId="30">
    <w:abstractNumId w:val="5"/>
  </w:num>
  <w:num w:numId="31">
    <w:abstractNumId w:val="8"/>
  </w:num>
  <w:num w:numId="32">
    <w:abstractNumId w:val="15"/>
  </w:num>
  <w:num w:numId="33">
    <w:abstractNumId w:val="18"/>
  </w:num>
  <w:num w:numId="34">
    <w:abstractNumId w:val="22"/>
  </w:num>
  <w:num w:numId="35">
    <w:abstractNumId w:val="6"/>
  </w:num>
  <w:num w:numId="36">
    <w:abstractNumId w:val="17"/>
  </w:num>
  <w:num w:numId="37">
    <w:abstractNumId w:val="19"/>
  </w:num>
  <w:num w:numId="38">
    <w:abstractNumId w:val="0"/>
  </w:num>
  <w:num w:numId="39">
    <w:abstractNumId w:val="7"/>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4" w:dllVersion="512" w:checkStyle="0"/>
  <w:proofState w:spelling="clean"/>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5108"/>
    <w:rsid w:val="00040E25"/>
    <w:rsid w:val="00042149"/>
    <w:rsid w:val="000648EA"/>
    <w:rsid w:val="000957C8"/>
    <w:rsid w:val="0009671C"/>
    <w:rsid w:val="000B52F2"/>
    <w:rsid w:val="000D0EAE"/>
    <w:rsid w:val="000D5380"/>
    <w:rsid w:val="000D6654"/>
    <w:rsid w:val="000E0426"/>
    <w:rsid w:val="000F0264"/>
    <w:rsid w:val="000F2EBF"/>
    <w:rsid w:val="000F5FF6"/>
    <w:rsid w:val="00113FA5"/>
    <w:rsid w:val="001455A0"/>
    <w:rsid w:val="001602A3"/>
    <w:rsid w:val="001A5161"/>
    <w:rsid w:val="001A60BD"/>
    <w:rsid w:val="0023736D"/>
    <w:rsid w:val="00257225"/>
    <w:rsid w:val="00275860"/>
    <w:rsid w:val="00310160"/>
    <w:rsid w:val="00314CBD"/>
    <w:rsid w:val="00341A8C"/>
    <w:rsid w:val="003519E6"/>
    <w:rsid w:val="003756D2"/>
    <w:rsid w:val="00395108"/>
    <w:rsid w:val="003B4356"/>
    <w:rsid w:val="003F08A8"/>
    <w:rsid w:val="004250E3"/>
    <w:rsid w:val="00444AA6"/>
    <w:rsid w:val="00472A81"/>
    <w:rsid w:val="004A7104"/>
    <w:rsid w:val="004B2C92"/>
    <w:rsid w:val="004D6A3A"/>
    <w:rsid w:val="004F4AD7"/>
    <w:rsid w:val="00503848"/>
    <w:rsid w:val="005449D8"/>
    <w:rsid w:val="00557CD3"/>
    <w:rsid w:val="00571432"/>
    <w:rsid w:val="005732A2"/>
    <w:rsid w:val="005762A5"/>
    <w:rsid w:val="00590BA3"/>
    <w:rsid w:val="005A1A9A"/>
    <w:rsid w:val="005B7AE0"/>
    <w:rsid w:val="005F146F"/>
    <w:rsid w:val="005F429A"/>
    <w:rsid w:val="005F71B6"/>
    <w:rsid w:val="0061689F"/>
    <w:rsid w:val="00660FD4"/>
    <w:rsid w:val="006A4425"/>
    <w:rsid w:val="006B4669"/>
    <w:rsid w:val="006C768B"/>
    <w:rsid w:val="006E3473"/>
    <w:rsid w:val="006F6BF8"/>
    <w:rsid w:val="00707BDF"/>
    <w:rsid w:val="00710727"/>
    <w:rsid w:val="00715444"/>
    <w:rsid w:val="00715C2E"/>
    <w:rsid w:val="00715F45"/>
    <w:rsid w:val="00731B84"/>
    <w:rsid w:val="00734AE7"/>
    <w:rsid w:val="00786B69"/>
    <w:rsid w:val="007B599E"/>
    <w:rsid w:val="007E197F"/>
    <w:rsid w:val="007F68C4"/>
    <w:rsid w:val="008027E8"/>
    <w:rsid w:val="00810F67"/>
    <w:rsid w:val="008153DE"/>
    <w:rsid w:val="00852A10"/>
    <w:rsid w:val="00862634"/>
    <w:rsid w:val="00866C59"/>
    <w:rsid w:val="00877306"/>
    <w:rsid w:val="00887B5C"/>
    <w:rsid w:val="008A6242"/>
    <w:rsid w:val="008B4BC6"/>
    <w:rsid w:val="00901E57"/>
    <w:rsid w:val="00935F0E"/>
    <w:rsid w:val="0095208F"/>
    <w:rsid w:val="00977B3F"/>
    <w:rsid w:val="009814AE"/>
    <w:rsid w:val="00983870"/>
    <w:rsid w:val="00994B89"/>
    <w:rsid w:val="00996BBE"/>
    <w:rsid w:val="009A0C39"/>
    <w:rsid w:val="009C04C5"/>
    <w:rsid w:val="009D1DD5"/>
    <w:rsid w:val="009F4F3C"/>
    <w:rsid w:val="00A11DDA"/>
    <w:rsid w:val="00A26157"/>
    <w:rsid w:val="00A265C3"/>
    <w:rsid w:val="00A43F9A"/>
    <w:rsid w:val="00A543D4"/>
    <w:rsid w:val="00A6167F"/>
    <w:rsid w:val="00AD0014"/>
    <w:rsid w:val="00AD4CF2"/>
    <w:rsid w:val="00AF0BBA"/>
    <w:rsid w:val="00B025ED"/>
    <w:rsid w:val="00B30468"/>
    <w:rsid w:val="00B60E70"/>
    <w:rsid w:val="00B639B9"/>
    <w:rsid w:val="00BA2844"/>
    <w:rsid w:val="00BB2C41"/>
    <w:rsid w:val="00BC55C8"/>
    <w:rsid w:val="00BC5C10"/>
    <w:rsid w:val="00BE2964"/>
    <w:rsid w:val="00BF4911"/>
    <w:rsid w:val="00C24FBD"/>
    <w:rsid w:val="00C473BA"/>
    <w:rsid w:val="00C611ED"/>
    <w:rsid w:val="00C6490A"/>
    <w:rsid w:val="00C64FE1"/>
    <w:rsid w:val="00C66164"/>
    <w:rsid w:val="00C8345E"/>
    <w:rsid w:val="00CA4C17"/>
    <w:rsid w:val="00CA5F7C"/>
    <w:rsid w:val="00CE7C87"/>
    <w:rsid w:val="00D06637"/>
    <w:rsid w:val="00D51067"/>
    <w:rsid w:val="00D75657"/>
    <w:rsid w:val="00D960AD"/>
    <w:rsid w:val="00DA0E0E"/>
    <w:rsid w:val="00DB0C39"/>
    <w:rsid w:val="00DB7679"/>
    <w:rsid w:val="00DE3904"/>
    <w:rsid w:val="00DF1702"/>
    <w:rsid w:val="00DF4DD8"/>
    <w:rsid w:val="00DF668E"/>
    <w:rsid w:val="00DF768F"/>
    <w:rsid w:val="00E05DE3"/>
    <w:rsid w:val="00E14D2B"/>
    <w:rsid w:val="00E20DBA"/>
    <w:rsid w:val="00E312A8"/>
    <w:rsid w:val="00E660D6"/>
    <w:rsid w:val="00E771AB"/>
    <w:rsid w:val="00EA796F"/>
    <w:rsid w:val="00EB077B"/>
    <w:rsid w:val="00EC50B9"/>
    <w:rsid w:val="00ED26A0"/>
    <w:rsid w:val="00F04473"/>
    <w:rsid w:val="00F1727A"/>
    <w:rsid w:val="00F34764"/>
    <w:rsid w:val="00F54E3C"/>
    <w:rsid w:val="00F874BD"/>
    <w:rsid w:val="00FA6DD0"/>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CA4C17"/>
    <w:pPr>
      <w:keepNext/>
      <w:keepLines/>
      <w:tabs>
        <w:tab w:val="right" w:pos="1021"/>
      </w:tabs>
      <w:suppressAutoHyphens/>
      <w:spacing w:before="240" w:after="240" w:line="480" w:lineRule="exact"/>
      <w:ind w:left="1247" w:right="1247" w:hanging="1247"/>
    </w:pPr>
    <w:rPr>
      <w:b/>
      <w:bCs/>
      <w:sz w:val="34"/>
      <w:szCs w:val="44"/>
    </w:rPr>
  </w:style>
  <w:style w:type="paragraph" w:customStyle="1" w:styleId="HChGA">
    <w:name w:val="_ H _Ch_GA"/>
    <w:basedOn w:val="Normal"/>
    <w:next w:val="Normal"/>
    <w:rsid w:val="00983870"/>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983870"/>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character" w:customStyle="1" w:styleId="SingleTxtGAChar">
    <w:name w:val="_ Single Txt_GA Char"/>
    <w:basedOn w:val="DefaultParagraphFont"/>
    <w:link w:val="SingleTxtGA"/>
    <w:rsid w:val="00BF4911"/>
    <w:rPr>
      <w:rFonts w:cs="Traditional Arabic"/>
      <w:szCs w:val="30"/>
      <w:lang w:val="en-US" w:eastAsia="en-US" w:bidi="ar-SA"/>
    </w:rPr>
  </w:style>
</w:styles>
</file>

<file path=word/webSettings.xml><?xml version="1.0" encoding="utf-8"?>
<w:webSettings xmlns:r="http://schemas.openxmlformats.org/officeDocument/2006/relationships" xmlns:w="http://schemas.openxmlformats.org/wordprocessingml/2006/main">
  <w:divs>
    <w:div w:id="895505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Template>
  <TotalTime>0</TotalTime>
  <Pages>5</Pages>
  <Words>1219</Words>
  <Characters>6951</Characters>
  <Application>Microsoft Office Outlook</Application>
  <DocSecurity>4</DocSecurity>
  <Lines>57</Lines>
  <Paragraphs>16</Paragraphs>
  <ScaleCrop>false</ScaleCrop>
  <HeadingPairs>
    <vt:vector size="2" baseType="variant">
      <vt:variant>
        <vt:lpstr>العنوان</vt:lpstr>
      </vt:variant>
      <vt:variant>
        <vt:i4>1</vt:i4>
      </vt:variant>
    </vt:vector>
  </HeadingPairs>
  <TitlesOfParts>
    <vt:vector size="1" baseType="lpstr">
      <vt:lpstr>A/HRC/RES/23/21</vt:lpstr>
    </vt:vector>
  </TitlesOfParts>
  <Company>CSD</Company>
  <LinksUpToDate>false</LinksUpToDate>
  <CharactersWithSpaces>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A/HRC/RES/23/21</dc:title>
  <dc:subject>FAHMY</dc:subject>
  <dc:creator>BUHNAM</dc:creator>
  <cp:keywords/>
  <dc:description/>
  <cp:lastModifiedBy>BUHNAM</cp:lastModifiedBy>
  <cp:revision>2</cp:revision>
  <cp:lastPrinted>2013-08-14T07:45:00Z</cp:lastPrinted>
  <dcterms:created xsi:type="dcterms:W3CDTF">2013-08-14T09:39:00Z</dcterms:created>
  <dcterms:modified xsi:type="dcterms:W3CDTF">2013-08-14T09:39:00Z</dcterms:modified>
</cp:coreProperties>
</file>