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A4370E" w:rsidP="00A4370E">
            <w:pPr>
              <w:bidi w:val="0"/>
              <w:spacing w:after="20"/>
              <w:jc w:val="left"/>
              <w:rPr>
                <w:szCs w:val="20"/>
              </w:rPr>
            </w:pPr>
            <w:r w:rsidRPr="00A4370E">
              <w:rPr>
                <w:sz w:val="40"/>
                <w:szCs w:val="20"/>
              </w:rPr>
              <w:t>A</w:t>
            </w:r>
            <w:r>
              <w:rPr>
                <w:szCs w:val="20"/>
              </w:rPr>
              <w:t>/</w:t>
            </w:r>
            <w:proofErr w:type="spellStart"/>
            <w:r>
              <w:rPr>
                <w:szCs w:val="20"/>
              </w:rPr>
              <w:t>HRC</w:t>
            </w:r>
            <w:proofErr w:type="spellEnd"/>
            <w:r>
              <w:rPr>
                <w:szCs w:val="20"/>
              </w:rPr>
              <w:t>/RES/24/20</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A4370E" w:rsidRDefault="00A4370E" w:rsidP="00A4370E">
            <w:pPr>
              <w:bidi w:val="0"/>
              <w:spacing w:before="240"/>
              <w:jc w:val="left"/>
            </w:pPr>
            <w:r>
              <w:t>Distr.: General</w:t>
            </w:r>
          </w:p>
          <w:p w:rsidR="00A4370E" w:rsidRDefault="00A4370E" w:rsidP="00A4370E">
            <w:pPr>
              <w:bidi w:val="0"/>
              <w:jc w:val="left"/>
            </w:pPr>
            <w:r>
              <w:t>8 October 2013</w:t>
            </w:r>
          </w:p>
          <w:p w:rsidR="00A4370E" w:rsidRDefault="00A4370E" w:rsidP="00A4370E">
            <w:pPr>
              <w:bidi w:val="0"/>
              <w:jc w:val="left"/>
            </w:pPr>
            <w:r>
              <w:t>Arabic</w:t>
            </w:r>
          </w:p>
          <w:p w:rsidR="00257225" w:rsidRPr="008B4BC6" w:rsidRDefault="00A4370E" w:rsidP="00A4370E">
            <w:pPr>
              <w:bidi w:val="0"/>
              <w:jc w:val="left"/>
            </w:pPr>
            <w:r>
              <w:t>Original: English</w:t>
            </w:r>
          </w:p>
        </w:tc>
      </w:tr>
    </w:tbl>
    <w:p w:rsidR="00A4370E" w:rsidRPr="003B11F9" w:rsidRDefault="00A4370E" w:rsidP="00A4370E">
      <w:pPr>
        <w:spacing w:before="120" w:line="380" w:lineRule="exact"/>
        <w:rPr>
          <w:rFonts w:hint="cs"/>
          <w:b/>
          <w:bCs/>
          <w:sz w:val="36"/>
          <w:szCs w:val="36"/>
          <w:rtl/>
        </w:rPr>
      </w:pPr>
      <w:r w:rsidRPr="003B11F9">
        <w:rPr>
          <w:rFonts w:hint="cs"/>
          <w:b/>
          <w:bCs/>
          <w:sz w:val="36"/>
          <w:szCs w:val="36"/>
          <w:rtl/>
        </w:rPr>
        <w:t>مجلس حقوق الإنسان</w:t>
      </w:r>
    </w:p>
    <w:p w:rsidR="00A4370E" w:rsidRPr="003B11F9" w:rsidRDefault="00A4370E" w:rsidP="00A4370E">
      <w:pPr>
        <w:spacing w:line="380" w:lineRule="exact"/>
        <w:rPr>
          <w:rFonts w:hint="cs"/>
          <w:b/>
          <w:bCs/>
          <w:rtl/>
        </w:rPr>
      </w:pPr>
      <w:r w:rsidRPr="003B11F9">
        <w:rPr>
          <w:rFonts w:hint="cs"/>
          <w:b/>
          <w:bCs/>
          <w:rtl/>
        </w:rPr>
        <w:t xml:space="preserve">الدورة </w:t>
      </w:r>
      <w:r>
        <w:rPr>
          <w:rFonts w:hint="cs"/>
          <w:b/>
          <w:bCs/>
          <w:rtl/>
        </w:rPr>
        <w:t>الرابعة والعشرون</w:t>
      </w:r>
    </w:p>
    <w:p w:rsidR="00A4370E" w:rsidRDefault="00A4370E" w:rsidP="00A4370E">
      <w:pPr>
        <w:spacing w:line="380" w:lineRule="exact"/>
        <w:rPr>
          <w:rFonts w:hint="cs"/>
          <w:rtl/>
          <w:lang w:val="fr-CH"/>
        </w:rPr>
      </w:pPr>
      <w:r>
        <w:rPr>
          <w:rFonts w:hint="cs"/>
          <w:rtl/>
          <w:lang w:val="fr-CH"/>
        </w:rPr>
        <w:t>البند 3 من جدول الأعمال</w:t>
      </w:r>
    </w:p>
    <w:p w:rsidR="00A4370E" w:rsidRPr="00E705E7" w:rsidRDefault="00A4370E" w:rsidP="00435FF5">
      <w:pPr>
        <w:spacing w:after="240" w:line="380" w:lineRule="exact"/>
        <w:ind w:right="4400"/>
        <w:jc w:val="left"/>
        <w:rPr>
          <w:rFonts w:hint="cs"/>
          <w:b/>
          <w:bCs/>
          <w:sz w:val="22"/>
          <w:szCs w:val="32"/>
          <w:rtl/>
          <w:lang w:val="fr-CH"/>
        </w:rPr>
      </w:pPr>
      <w:r w:rsidRPr="00FB24E8">
        <w:rPr>
          <w:rFonts w:hint="cs"/>
          <w:b/>
          <w:bCs/>
          <w:rtl/>
          <w:lang/>
        </w:rPr>
        <w:t>تعزيز وحماية جميع حقوق الإنسان، المدنية والسياسية والاقتصادية والاجتماعية والثقافية،</w:t>
      </w:r>
      <w:r>
        <w:rPr>
          <w:rFonts w:hint="cs"/>
          <w:b/>
          <w:bCs/>
          <w:rtl/>
          <w:lang/>
        </w:rPr>
        <w:t xml:space="preserve"> </w:t>
      </w:r>
      <w:r w:rsidRPr="00FB24E8">
        <w:rPr>
          <w:rFonts w:hint="cs"/>
          <w:b/>
          <w:bCs/>
          <w:rtl/>
          <w:lang/>
        </w:rPr>
        <w:t>بما في ذلك الحق في التنمية</w:t>
      </w:r>
    </w:p>
    <w:p w:rsidR="00A4370E" w:rsidRPr="00EF6555" w:rsidRDefault="00A4370E" w:rsidP="00A4370E">
      <w:pPr>
        <w:pStyle w:val="HChGA"/>
        <w:rPr>
          <w:rFonts w:hint="cs"/>
          <w:rtl/>
        </w:rPr>
      </w:pPr>
      <w:r>
        <w:rPr>
          <w:rFonts w:hint="cs"/>
          <w:rtl/>
        </w:rPr>
        <w:tab/>
      </w:r>
      <w:r>
        <w:rPr>
          <w:rFonts w:hint="cs"/>
          <w:rtl/>
        </w:rPr>
        <w:tab/>
        <w:t>قرار اعتمده مجلس حقوق الإنسان</w:t>
      </w:r>
      <w:r w:rsidRPr="008975D1">
        <w:rPr>
          <w:rStyle w:val="FootnoteReference"/>
          <w:b/>
          <w:bCs w:val="0"/>
          <w:sz w:val="22"/>
          <w:szCs w:val="30"/>
          <w:vertAlign w:val="baseline"/>
          <w:rtl/>
        </w:rPr>
        <w:footnoteReference w:customMarkFollows="1" w:id="1"/>
        <w:t>*</w:t>
      </w:r>
    </w:p>
    <w:p w:rsidR="00A4370E" w:rsidRDefault="00A4370E" w:rsidP="005C6C03">
      <w:pPr>
        <w:pStyle w:val="HChGA"/>
        <w:rPr>
          <w:rFonts w:hint="cs"/>
          <w:rtl/>
          <w:lang w:eastAsia="ar-SA"/>
        </w:rPr>
      </w:pPr>
      <w:r>
        <w:rPr>
          <w:rFonts w:hint="cs"/>
          <w:rtl/>
          <w:lang w:eastAsia="ar-SA"/>
        </w:rPr>
        <w:tab/>
      </w:r>
      <w:r>
        <w:rPr>
          <w:rFonts w:hint="cs"/>
          <w:rtl/>
          <w:lang w:eastAsia="ar-SA"/>
        </w:rPr>
        <w:tab/>
        <w:t>24/20</w:t>
      </w:r>
      <w:r>
        <w:rPr>
          <w:rtl/>
          <w:lang w:eastAsia="ar-SA"/>
        </w:rPr>
        <w:br/>
      </w:r>
      <w:r>
        <w:rPr>
          <w:rFonts w:hint="cs"/>
          <w:rtl/>
          <w:lang w:eastAsia="ar-SA"/>
        </w:rPr>
        <w:t>حقوق الإنسان للمسنّين</w:t>
      </w:r>
    </w:p>
    <w:p w:rsidR="00A4370E" w:rsidRPr="00560314" w:rsidRDefault="00A4370E" w:rsidP="00A4370E">
      <w:pPr>
        <w:pStyle w:val="SingleTxtGA"/>
        <w:rPr>
          <w:rFonts w:hint="cs"/>
          <w:i/>
          <w:iCs/>
          <w:szCs w:val="20"/>
          <w:rtl/>
        </w:rPr>
      </w:pPr>
      <w:r w:rsidRPr="00560314">
        <w:rPr>
          <w:rFonts w:hint="cs"/>
          <w:i/>
          <w:iCs/>
          <w:rtl/>
          <w:lang w:eastAsia="ar-SA"/>
        </w:rPr>
        <w:tab/>
        <w:t>إنّ مجلس حقوق الإنسان،</w:t>
      </w:r>
    </w:p>
    <w:p w:rsidR="00A4370E" w:rsidRPr="00942FEE" w:rsidRDefault="00A4370E" w:rsidP="00A4370E">
      <w:pPr>
        <w:pStyle w:val="SingleTxtGA"/>
        <w:rPr>
          <w:rFonts w:hint="cs"/>
          <w:rtl/>
          <w:lang/>
        </w:rPr>
      </w:pPr>
      <w:r>
        <w:rPr>
          <w:rFonts w:hint="cs"/>
          <w:rtl/>
          <w:lang/>
        </w:rPr>
        <w:tab/>
      </w:r>
      <w:r w:rsidRPr="00942FEE">
        <w:rPr>
          <w:rFonts w:hint="cs"/>
          <w:i/>
          <w:iCs/>
          <w:rtl/>
          <w:lang/>
        </w:rPr>
        <w:t xml:space="preserve">إذ </w:t>
      </w:r>
      <w:r>
        <w:rPr>
          <w:rFonts w:hint="cs"/>
          <w:i/>
          <w:iCs/>
          <w:rtl/>
          <w:lang/>
        </w:rPr>
        <w:t>ي</w:t>
      </w:r>
      <w:r w:rsidRPr="00942FEE">
        <w:rPr>
          <w:rFonts w:hint="cs"/>
          <w:i/>
          <w:iCs/>
          <w:rtl/>
          <w:lang/>
        </w:rPr>
        <w:t>سترشد</w:t>
      </w:r>
      <w:r>
        <w:rPr>
          <w:rFonts w:hint="cs"/>
          <w:rtl/>
          <w:lang/>
        </w:rPr>
        <w:t xml:space="preserve"> بمقاصد ميثاق الأمم المتحدة ومبادئه،</w:t>
      </w:r>
    </w:p>
    <w:p w:rsidR="00A4370E" w:rsidRPr="00942FEE" w:rsidRDefault="00A4370E" w:rsidP="00A4370E">
      <w:pPr>
        <w:pStyle w:val="SingleTxtGA"/>
        <w:rPr>
          <w:rFonts w:hint="cs"/>
          <w:rtl/>
        </w:rPr>
      </w:pPr>
      <w:r>
        <w:rPr>
          <w:rFonts w:hint="cs"/>
          <w:i/>
          <w:iCs/>
          <w:rtl/>
          <w:lang/>
        </w:rPr>
        <w:tab/>
      </w:r>
      <w:r w:rsidRPr="00942FEE">
        <w:rPr>
          <w:rFonts w:hint="cs"/>
          <w:i/>
          <w:iCs/>
          <w:rtl/>
          <w:lang/>
        </w:rPr>
        <w:t>وإذ يسترشد أيضاً</w:t>
      </w:r>
      <w:r>
        <w:rPr>
          <w:rFonts w:hint="cs"/>
          <w:rtl/>
          <w:lang/>
        </w:rPr>
        <w:t xml:space="preserve"> بالإعلان العالمي لحقوق الإنسان وبالعهد الدولي الخاص بالحقوق الاقتصادية والاجتماعية والثقافية وبالعهد الدولي الخاص بالحقوق المدنية والسياسية وباتفاقية القضاء على جميع أشكال التمييز ضد المرأة وباتفاقية حقوق الأشخاص ذوي الإعاقة وبالصكوك الأخرى المتعلقة بحقوق الإنسان،</w:t>
      </w:r>
      <w:r>
        <w:t> </w:t>
      </w:r>
    </w:p>
    <w:p w:rsidR="00A4370E" w:rsidRDefault="00A4370E" w:rsidP="00A4370E">
      <w:pPr>
        <w:pStyle w:val="SingleTxtGA"/>
        <w:rPr>
          <w:rFonts w:hint="cs"/>
          <w:rtl/>
          <w:lang/>
        </w:rPr>
      </w:pPr>
      <w:r>
        <w:rPr>
          <w:rFonts w:hint="cs"/>
          <w:i/>
          <w:iCs/>
          <w:rtl/>
          <w:lang/>
        </w:rPr>
        <w:tab/>
        <w:t>وإذ يؤكد من جديد</w:t>
      </w:r>
      <w:r>
        <w:rPr>
          <w:rFonts w:hint="cs"/>
          <w:rtl/>
          <w:lang/>
        </w:rPr>
        <w:t xml:space="preserve"> إعلان وبرنامج عمل فيينا،</w:t>
      </w:r>
    </w:p>
    <w:p w:rsidR="00A4370E" w:rsidRDefault="00A4370E" w:rsidP="00A4370E">
      <w:pPr>
        <w:pStyle w:val="SingleTxtGA"/>
        <w:rPr>
          <w:rFonts w:hint="cs"/>
          <w:rtl/>
        </w:rPr>
      </w:pPr>
      <w:r>
        <w:rPr>
          <w:rFonts w:hint="cs"/>
          <w:i/>
          <w:iCs/>
          <w:rtl/>
          <w:lang/>
        </w:rPr>
        <w:tab/>
        <w:t>وإذ يذكِّر</w:t>
      </w:r>
      <w:r w:rsidRPr="00F4463E">
        <w:rPr>
          <w:rFonts w:hint="cs"/>
          <w:rtl/>
          <w:lang/>
        </w:rPr>
        <w:t xml:space="preserve"> </w:t>
      </w:r>
      <w:r>
        <w:rPr>
          <w:rFonts w:hint="cs"/>
          <w:rtl/>
          <w:lang/>
        </w:rPr>
        <w:t>بقرار الجمعية العامة 65/182 المؤرخ 21 كانون الأول/ديسمبر 2010 بشأن متابعة الجمعية العالمية الثانية للشيخوخة، الذي أنشأت الجمعية بموجبه فريقاً عاملاً مفتوح العضوية بهدف تعزيز حماية حقوق الإنسان للمسنين عن طريق النظر في الإطار الدولي القائم لحقوق الإنسان للمسنين وتحديد الثغرات المحتملة وأفضل الطرق لسدها، بسبل منها النظر، حسب الاقتضاء، في جدوى وضع مزيد من الصكوك واتخاذ مزيد من التدابير،</w:t>
      </w:r>
    </w:p>
    <w:p w:rsidR="00A4370E" w:rsidRPr="001C09F8" w:rsidRDefault="00A4370E" w:rsidP="00A4370E">
      <w:pPr>
        <w:pStyle w:val="SingleTxtGA"/>
        <w:rPr>
          <w:rFonts w:hint="cs"/>
          <w:spacing w:val="-4"/>
          <w:rtl/>
          <w:lang/>
        </w:rPr>
      </w:pPr>
      <w:r w:rsidRPr="001C09F8">
        <w:rPr>
          <w:rFonts w:hint="cs"/>
          <w:i/>
          <w:iCs/>
          <w:spacing w:val="-4"/>
          <w:rtl/>
          <w:lang/>
        </w:rPr>
        <w:tab/>
        <w:t>وإذ يذكِّر أيضاً</w:t>
      </w:r>
      <w:r w:rsidRPr="001C09F8">
        <w:rPr>
          <w:rFonts w:hint="cs"/>
          <w:spacing w:val="-4"/>
          <w:rtl/>
          <w:lang/>
        </w:rPr>
        <w:t xml:space="preserve"> بقرار مجلس حقوق الإنسان 21/23 المؤرخ 28 أيلول/سبتمبر 2012 بشأن حقوق الإنسان للمسنين،</w:t>
      </w:r>
    </w:p>
    <w:p w:rsidR="00A4370E" w:rsidRDefault="00A4370E" w:rsidP="00A4370E">
      <w:pPr>
        <w:pStyle w:val="SingleTxtGA"/>
        <w:rPr>
          <w:rFonts w:hint="cs"/>
          <w:rtl/>
          <w:lang/>
        </w:rPr>
      </w:pPr>
      <w:r>
        <w:rPr>
          <w:rFonts w:hint="cs"/>
          <w:i/>
          <w:iCs/>
          <w:rtl/>
          <w:lang/>
        </w:rPr>
        <w:tab/>
        <w:t xml:space="preserve">وإذ ينوه </w:t>
      </w:r>
      <w:r>
        <w:rPr>
          <w:rFonts w:hint="cs"/>
          <w:rtl/>
          <w:lang/>
        </w:rPr>
        <w:t xml:space="preserve">بالعمل الذي يضطلع به الفريق العامل المفتوح العضوية </w:t>
      </w:r>
      <w:r>
        <w:rPr>
          <w:rtl/>
        </w:rPr>
        <w:t>المعني بالشيخوخة</w:t>
      </w:r>
      <w:r>
        <w:rPr>
          <w:rFonts w:hint="cs"/>
          <w:rtl/>
          <w:lang/>
        </w:rPr>
        <w:t xml:space="preserve"> بهدف تعزيز حماية حقوق الإنسان للمسنين،</w:t>
      </w:r>
    </w:p>
    <w:p w:rsidR="00A4370E" w:rsidRDefault="00A4370E" w:rsidP="00A4370E">
      <w:pPr>
        <w:pStyle w:val="SingleTxtGA"/>
        <w:rPr>
          <w:rFonts w:hint="cs"/>
          <w:rtl/>
          <w:lang/>
        </w:rPr>
      </w:pPr>
      <w:r>
        <w:rPr>
          <w:rFonts w:hint="cs"/>
          <w:i/>
          <w:iCs/>
          <w:rtl/>
          <w:lang/>
        </w:rPr>
        <w:tab/>
        <w:t>وإذ يضع في اعتباره</w:t>
      </w:r>
      <w:r>
        <w:rPr>
          <w:rFonts w:hint="cs"/>
          <w:rtl/>
          <w:lang/>
        </w:rPr>
        <w:t xml:space="preserve"> الإعلان السياسي وخطة عمل مدريد الدولية المتعلقة بالشيخوخة لعام 2002، وجميع قرارات الجمعية العامة الأخرى ذات الصلة،</w:t>
      </w:r>
    </w:p>
    <w:p w:rsidR="00A4370E" w:rsidRPr="0072489C" w:rsidRDefault="00A4370E" w:rsidP="00A4370E">
      <w:pPr>
        <w:pStyle w:val="SingleTxtGA"/>
        <w:rPr>
          <w:rFonts w:hint="cs"/>
          <w:rtl/>
          <w:lang w:val="fr-CH"/>
        </w:rPr>
      </w:pPr>
      <w:r>
        <w:rPr>
          <w:rFonts w:hint="cs"/>
          <w:i/>
          <w:iCs/>
          <w:rtl/>
          <w:lang/>
        </w:rPr>
        <w:tab/>
      </w:r>
      <w:r w:rsidRPr="00FC79C6">
        <w:rPr>
          <w:rFonts w:hint="cs"/>
          <w:i/>
          <w:iCs/>
          <w:rtl/>
          <w:lang/>
        </w:rPr>
        <w:t xml:space="preserve">وإذ يحيط علماً مع التقدير </w:t>
      </w:r>
      <w:r w:rsidRPr="0072489C">
        <w:rPr>
          <w:rFonts w:hint="cs"/>
          <w:rtl/>
          <w:lang/>
        </w:rPr>
        <w:t>بتقرير الأمين العام عن متابعة الجمعية العالمية الثانية للشيخوخة</w:t>
      </w:r>
      <w:r w:rsidRPr="0072489C">
        <w:rPr>
          <w:vertAlign w:val="superscript"/>
          <w:rtl/>
          <w:lang/>
        </w:rPr>
        <w:t>(</w:t>
      </w:r>
      <w:r w:rsidRPr="0072489C">
        <w:rPr>
          <w:vertAlign w:val="superscript"/>
          <w:rtl/>
          <w:lang/>
        </w:rPr>
        <w:footnoteReference w:id="2"/>
      </w:r>
      <w:r w:rsidRPr="0072489C">
        <w:rPr>
          <w:vertAlign w:val="superscript"/>
          <w:rtl/>
          <w:lang/>
        </w:rPr>
        <w:t>)</w:t>
      </w:r>
      <w:r w:rsidRPr="0072489C">
        <w:rPr>
          <w:rFonts w:hint="cs"/>
          <w:rtl/>
          <w:lang/>
        </w:rPr>
        <w:t>، وبتقرير مفوضة الأمم المتحدة السامية لحقوق الإنسان بشأن حقوق الإنسان</w:t>
      </w:r>
      <w:r>
        <w:rPr>
          <w:rFonts w:hint="eastAsia"/>
          <w:rtl/>
          <w:lang/>
        </w:rPr>
        <w:t> </w:t>
      </w:r>
      <w:r w:rsidRPr="0072489C">
        <w:rPr>
          <w:rFonts w:hint="cs"/>
          <w:rtl/>
          <w:lang/>
        </w:rPr>
        <w:t>للمسنّين</w:t>
      </w:r>
      <w:r w:rsidRPr="0072489C">
        <w:rPr>
          <w:vertAlign w:val="superscript"/>
          <w:rtl/>
          <w:lang/>
        </w:rPr>
        <w:t>(</w:t>
      </w:r>
      <w:r w:rsidRPr="0072489C">
        <w:rPr>
          <w:vertAlign w:val="superscript"/>
          <w:rtl/>
          <w:lang/>
        </w:rPr>
        <w:footnoteReference w:id="3"/>
      </w:r>
      <w:r w:rsidRPr="0072489C">
        <w:rPr>
          <w:vertAlign w:val="superscript"/>
          <w:rtl/>
          <w:lang/>
        </w:rPr>
        <w:t>)</w:t>
      </w:r>
      <w:r w:rsidRPr="0072489C">
        <w:rPr>
          <w:rFonts w:hint="cs"/>
          <w:rtl/>
          <w:lang/>
        </w:rPr>
        <w:t>،</w:t>
      </w:r>
      <w:r w:rsidRPr="0072489C">
        <w:rPr>
          <w:rFonts w:hint="cs"/>
          <w:rtl/>
          <w:lang w:val="fr-CH"/>
        </w:rPr>
        <w:t xml:space="preserve"> </w:t>
      </w:r>
    </w:p>
    <w:p w:rsidR="00A4370E" w:rsidRDefault="00A4370E" w:rsidP="00A4370E">
      <w:pPr>
        <w:pStyle w:val="SingleTxtGA"/>
        <w:rPr>
          <w:rFonts w:hint="cs"/>
          <w:rtl/>
        </w:rPr>
      </w:pPr>
      <w:r>
        <w:rPr>
          <w:rFonts w:hint="cs"/>
          <w:rtl/>
          <w:lang w:val="fr-CH"/>
        </w:rPr>
        <w:tab/>
      </w:r>
      <w:r>
        <w:rPr>
          <w:rFonts w:hint="cs"/>
          <w:i/>
          <w:iCs/>
          <w:rtl/>
          <w:lang w:val="fr-CH"/>
        </w:rPr>
        <w:t>وإذ يذكِّر</w:t>
      </w:r>
      <w:r>
        <w:rPr>
          <w:rFonts w:hint="cs"/>
          <w:rtl/>
        </w:rPr>
        <w:t xml:space="preserve"> بالتعليق العام رقم 6 الصادر عن اللجنة المعنية بالحقوق الاقتصادية والاجتماعية والثقافية بشأن الحقوق الاقتصادية والاجتماعية والثقافية للمسنّين، فضلاً عن الوثائق الأخرى ذات الصلة الصادرة عن هيئات المعاهدات، </w:t>
      </w:r>
    </w:p>
    <w:p w:rsidR="00A4370E" w:rsidRDefault="00A4370E" w:rsidP="00A4370E">
      <w:pPr>
        <w:pStyle w:val="SingleTxtGA"/>
        <w:rPr>
          <w:rFonts w:hint="cs"/>
          <w:rtl/>
        </w:rPr>
      </w:pPr>
      <w:r>
        <w:rPr>
          <w:rFonts w:hint="cs"/>
          <w:rtl/>
        </w:rPr>
        <w:tab/>
      </w:r>
      <w:r>
        <w:rPr>
          <w:rFonts w:hint="cs"/>
          <w:i/>
          <w:iCs/>
          <w:rtl/>
        </w:rPr>
        <w:t>وإذ يدرك</w:t>
      </w:r>
      <w:r>
        <w:rPr>
          <w:rFonts w:hint="cs"/>
          <w:rtl/>
        </w:rPr>
        <w:t xml:space="preserve"> أن المسنّين يمثلون شريحة كبيرة ومتنامية من السكان، وأن من الضروري إيلاء مزيد من العناية لتحديات حقوق الإنسان التي يواجهونها تحديداً، </w:t>
      </w:r>
    </w:p>
    <w:p w:rsidR="00A4370E" w:rsidRDefault="00A4370E" w:rsidP="00A4370E">
      <w:pPr>
        <w:pStyle w:val="SingleTxtGA"/>
        <w:rPr>
          <w:rFonts w:hint="cs"/>
          <w:rtl/>
        </w:rPr>
      </w:pPr>
      <w:r w:rsidRPr="008A194E">
        <w:rPr>
          <w:rFonts w:hint="cs"/>
          <w:i/>
          <w:iCs/>
          <w:rtl/>
        </w:rPr>
        <w:tab/>
        <w:t xml:space="preserve">وإذ يعرب عن قلقه </w:t>
      </w:r>
      <w:r w:rsidRPr="008A194E">
        <w:rPr>
          <w:rFonts w:hint="cs"/>
          <w:rtl/>
        </w:rPr>
        <w:t>إزاء أشكال</w:t>
      </w:r>
      <w:r>
        <w:rPr>
          <w:rFonts w:hint="cs"/>
          <w:rtl/>
        </w:rPr>
        <w:t xml:space="preserve"> التمييز المتعددة التي قد يتعرض لها المسنون وإزاء ارتفاع حالات الفقر في صفوف هذه الفئة الضعيفة للغاية، وبخاصة لدى المسنّات والأشخاص ذوي الإعاقات، والمنحدرين من أصول أفريقية، والمنتمين إلى الشعوب الأصلية، والمنتمين إلى أقليات قومية أو إثنية، أو دينية ولغوية، وسكان الأرياف والأشخاص الذين يعيشون في الشوارع، واللاجئين وغير ذلك من الفئات، </w:t>
      </w:r>
    </w:p>
    <w:p w:rsidR="00A4370E" w:rsidRPr="00EC4956" w:rsidRDefault="00A4370E" w:rsidP="00A4370E">
      <w:pPr>
        <w:pStyle w:val="SingleTxtGA"/>
        <w:rPr>
          <w:rFonts w:hint="cs"/>
          <w:rtl/>
        </w:rPr>
      </w:pPr>
      <w:r>
        <w:rPr>
          <w:rFonts w:hint="cs"/>
          <w:rtl/>
        </w:rPr>
        <w:tab/>
      </w:r>
      <w:r w:rsidRPr="00EC4956">
        <w:rPr>
          <w:rFonts w:hint="cs"/>
          <w:i/>
          <w:iCs/>
          <w:rtl/>
          <w:lang/>
        </w:rPr>
        <w:t>وإذ يشير</w:t>
      </w:r>
      <w:r>
        <w:rPr>
          <w:rFonts w:hint="cs"/>
          <w:rtl/>
          <w:lang/>
        </w:rPr>
        <w:t xml:space="preserve"> إلى قراري مجلس حقوق الإنسان 5/1 المتعلق ببناء مؤسسات مجلس حقوق الإنسان </w:t>
      </w:r>
      <w:proofErr w:type="spellStart"/>
      <w:r>
        <w:rPr>
          <w:rFonts w:hint="cs"/>
          <w:rtl/>
          <w:lang/>
        </w:rPr>
        <w:t>و5</w:t>
      </w:r>
      <w:proofErr w:type="spellEnd"/>
      <w:r>
        <w:rPr>
          <w:rFonts w:hint="cs"/>
          <w:rtl/>
          <w:lang/>
        </w:rPr>
        <w:t>/2 المتعلق بمدونة قواعد السلوك للمكلفين بولايات في إطار الإجراءات الخاصة للمجلس، المؤرخين 18 حزيران/يونيه 2007، وإذ يشدد على أن يؤدي المكلف بالولاية واجباته وفقاً لهذين القرارين ومرفقاتهما،</w:t>
      </w:r>
      <w:r>
        <w:t> </w:t>
      </w:r>
    </w:p>
    <w:p w:rsidR="00A4370E" w:rsidRDefault="00A4370E" w:rsidP="00A4370E">
      <w:pPr>
        <w:pStyle w:val="SingleTxtGA"/>
        <w:rPr>
          <w:rFonts w:hint="cs"/>
          <w:rtl/>
        </w:rPr>
      </w:pPr>
      <w:r>
        <w:rPr>
          <w:rFonts w:hint="cs"/>
          <w:rtl/>
        </w:rPr>
        <w:tab/>
        <w:t>1-</w:t>
      </w:r>
      <w:r>
        <w:rPr>
          <w:rFonts w:hint="cs"/>
          <w:rtl/>
        </w:rPr>
        <w:tab/>
      </w:r>
      <w:r>
        <w:rPr>
          <w:rFonts w:hint="cs"/>
          <w:i/>
          <w:iCs/>
          <w:rtl/>
        </w:rPr>
        <w:t>يدرك</w:t>
      </w:r>
      <w:r>
        <w:rPr>
          <w:rFonts w:hint="cs"/>
          <w:rtl/>
        </w:rPr>
        <w:t xml:space="preserve"> التحديات المتعلقة بالتمتع بجميع حقوق الإنسان التي يواجهها المسنون في مجالات من قبيل الوقاية والحماية من العنف والإيذاء، والحماية الاجتماعية</w:t>
      </w:r>
      <w:r w:rsidR="00AD19ED">
        <w:rPr>
          <w:rFonts w:hint="cs"/>
          <w:rtl/>
        </w:rPr>
        <w:t>،</w:t>
      </w:r>
      <w:r>
        <w:rPr>
          <w:rFonts w:hint="cs"/>
          <w:rtl/>
        </w:rPr>
        <w:t xml:space="preserve"> والغذاء والسكن والعمل والأهلية القانونية، والوصول إلى العدالة، والدعم الصحي، والرعاية الطويلة الأجل </w:t>
      </w:r>
      <w:proofErr w:type="spellStart"/>
      <w:r>
        <w:rPr>
          <w:rFonts w:hint="cs"/>
          <w:rtl/>
        </w:rPr>
        <w:t>والتسكينية</w:t>
      </w:r>
      <w:proofErr w:type="spellEnd"/>
      <w:r>
        <w:rPr>
          <w:rFonts w:hint="cs"/>
          <w:rtl/>
        </w:rPr>
        <w:t>، وأن هذه التحديات تستلزم تحليلاً متعمقاً وإجراءات للتصدي للثغرات الموجودة في مجال الحماية؛</w:t>
      </w:r>
    </w:p>
    <w:p w:rsidR="00A4370E" w:rsidRPr="008A194E" w:rsidRDefault="00A4370E" w:rsidP="00A4370E">
      <w:pPr>
        <w:pStyle w:val="SingleTxtGA"/>
        <w:rPr>
          <w:rFonts w:hint="cs"/>
          <w:rtl/>
          <w:lang/>
        </w:rPr>
      </w:pPr>
      <w:r>
        <w:rPr>
          <w:rFonts w:hint="cs"/>
          <w:rtl/>
        </w:rPr>
        <w:tab/>
        <w:t>2-</w:t>
      </w:r>
      <w:r>
        <w:rPr>
          <w:rFonts w:hint="cs"/>
          <w:rtl/>
        </w:rPr>
        <w:tab/>
      </w:r>
      <w:r w:rsidRPr="00EC4956">
        <w:rPr>
          <w:rFonts w:hint="cs"/>
          <w:i/>
          <w:iCs/>
          <w:rtl/>
        </w:rPr>
        <w:t>ينوه</w:t>
      </w:r>
      <w:r>
        <w:rPr>
          <w:rFonts w:hint="cs"/>
          <w:rtl/>
        </w:rPr>
        <w:t xml:space="preserve"> بتقرير المفوضية السامية لحقوق الإنسان عن </w:t>
      </w:r>
      <w:r>
        <w:rPr>
          <w:rFonts w:hint="cs"/>
          <w:rtl/>
          <w:lang/>
        </w:rPr>
        <w:t>المشاورة بشأن تعزيز وحماية حقوق الإنسان للمسنّين</w:t>
      </w:r>
      <w:r w:rsidRPr="0072489C">
        <w:rPr>
          <w:vertAlign w:val="superscript"/>
          <w:rtl/>
          <w:lang/>
        </w:rPr>
        <w:t>(</w:t>
      </w:r>
      <w:r w:rsidRPr="0072489C">
        <w:rPr>
          <w:vertAlign w:val="superscript"/>
          <w:rtl/>
          <w:lang/>
        </w:rPr>
        <w:footnoteReference w:id="4"/>
      </w:r>
      <w:r w:rsidRPr="0072489C">
        <w:rPr>
          <w:vertAlign w:val="superscript"/>
          <w:rtl/>
          <w:lang/>
        </w:rPr>
        <w:t>)</w:t>
      </w:r>
      <w:r>
        <w:rPr>
          <w:rFonts w:hint="cs"/>
          <w:rtl/>
          <w:lang/>
        </w:rPr>
        <w:t>، الذي يلخّص المسائل التي نوقشت في هذه المشاورة، بما</w:t>
      </w:r>
      <w:r>
        <w:rPr>
          <w:rFonts w:hint="eastAsia"/>
          <w:rtl/>
          <w:lang/>
        </w:rPr>
        <w:t> </w:t>
      </w:r>
      <w:r>
        <w:rPr>
          <w:rFonts w:hint="cs"/>
          <w:rtl/>
          <w:lang/>
        </w:rPr>
        <w:t>فيها مسائل التمييز على أساس السن، وحصول المسنين على عمل، والخدمات الصحية الملائمة والحماية الاجتماعية، وحماية المسنين من إساءة المعاملة والعنف والإهمال، واستفادتهم من الرعاية الطويلة الأجل، وحالة المساجين المسنين؛</w:t>
      </w:r>
    </w:p>
    <w:p w:rsidR="00A4370E" w:rsidRPr="008A194E" w:rsidRDefault="00A4370E" w:rsidP="00A4370E">
      <w:pPr>
        <w:pStyle w:val="SingleTxtGA"/>
        <w:rPr>
          <w:rFonts w:hint="cs"/>
          <w:rtl/>
        </w:rPr>
      </w:pPr>
      <w:r>
        <w:rPr>
          <w:rFonts w:hint="cs"/>
          <w:rtl/>
        </w:rPr>
        <w:tab/>
        <w:t>3-</w:t>
      </w:r>
      <w:r>
        <w:rPr>
          <w:rFonts w:hint="cs"/>
          <w:rtl/>
        </w:rPr>
        <w:tab/>
      </w:r>
      <w:r>
        <w:rPr>
          <w:rFonts w:hint="cs"/>
          <w:i/>
          <w:iCs/>
          <w:rtl/>
        </w:rPr>
        <w:t xml:space="preserve">يناشد </w:t>
      </w:r>
      <w:r>
        <w:rPr>
          <w:rFonts w:hint="cs"/>
          <w:rtl/>
        </w:rPr>
        <w:t>جميع الدول العمل على تعزيز وضمان تمتع المسنّين بجميع حقوق الإنسان والحريات الأساسية تمتعاً كاملاً، بوسائل منها اتخاذ تدابير للتصدي لما يتعرضون له من تمييز وإهمال وإيذاء وعنف على أساس السن، ومعالجة القضايا المتعلقة بالإدماج الاجتماعي والرعاية الصحية المناسبة، مع مراعاة الأهمية البالغة للأسرة والترابط والتضامن والمعاملة بالمثل فيما بين الأجيال لصالح التنمية الاجتماعية؛</w:t>
      </w:r>
    </w:p>
    <w:p w:rsidR="00A4370E" w:rsidRPr="008A194E" w:rsidRDefault="00A4370E" w:rsidP="00A4370E">
      <w:pPr>
        <w:pStyle w:val="SingleTxtGA"/>
        <w:rPr>
          <w:rFonts w:hint="cs"/>
          <w:rtl/>
        </w:rPr>
      </w:pPr>
      <w:r>
        <w:rPr>
          <w:rFonts w:hint="cs"/>
          <w:rtl/>
        </w:rPr>
        <w:tab/>
        <w:t>4-</w:t>
      </w:r>
      <w:r>
        <w:rPr>
          <w:rFonts w:hint="cs"/>
          <w:rtl/>
        </w:rPr>
        <w:tab/>
      </w:r>
      <w:r w:rsidRPr="0057674A">
        <w:rPr>
          <w:rFonts w:hint="cs"/>
          <w:i/>
          <w:iCs/>
          <w:rtl/>
        </w:rPr>
        <w:t>ي</w:t>
      </w:r>
      <w:r>
        <w:rPr>
          <w:rFonts w:hint="cs"/>
          <w:i/>
          <w:iCs/>
          <w:rtl/>
        </w:rPr>
        <w:t xml:space="preserve">شجّع </w:t>
      </w:r>
      <w:r>
        <w:rPr>
          <w:rFonts w:hint="cs"/>
          <w:rtl/>
        </w:rPr>
        <w:t xml:space="preserve">جميع الدول على تنفيذ سياساتها المتعلقة بالمسنّين عن طريق مشاورات شاملة </w:t>
      </w:r>
      <w:proofErr w:type="spellStart"/>
      <w:r>
        <w:rPr>
          <w:rFonts w:hint="cs"/>
          <w:rtl/>
        </w:rPr>
        <w:t>وتشاركية</w:t>
      </w:r>
      <w:proofErr w:type="spellEnd"/>
      <w:r>
        <w:rPr>
          <w:rFonts w:hint="cs"/>
          <w:rtl/>
        </w:rPr>
        <w:t xml:space="preserve"> مع الجهات المعنية والشركاء في التنمية الاجتماعية من أجل وضع سياسات إنمائية فعالة تتيح امتلاك زمام السياسات الوطنية وبناء توافق في الآراء؛</w:t>
      </w:r>
    </w:p>
    <w:p w:rsidR="00A4370E" w:rsidRDefault="00A4370E" w:rsidP="00A4370E">
      <w:pPr>
        <w:pStyle w:val="SingleTxtGA"/>
        <w:rPr>
          <w:rFonts w:hint="cs"/>
          <w:rtl/>
        </w:rPr>
      </w:pPr>
      <w:r>
        <w:rPr>
          <w:rFonts w:hint="cs"/>
          <w:rtl/>
        </w:rPr>
        <w:tab/>
        <w:t>5-</w:t>
      </w:r>
      <w:r>
        <w:rPr>
          <w:rFonts w:hint="cs"/>
          <w:rtl/>
        </w:rPr>
        <w:tab/>
      </w:r>
      <w:r>
        <w:rPr>
          <w:rFonts w:hint="cs"/>
          <w:i/>
          <w:iCs/>
          <w:rtl/>
        </w:rPr>
        <w:t>يقرر</w:t>
      </w:r>
      <w:r w:rsidRPr="00A4370E">
        <w:rPr>
          <w:rFonts w:hint="cs"/>
          <w:rtl/>
        </w:rPr>
        <w:t xml:space="preserve"> </w:t>
      </w:r>
      <w:r>
        <w:rPr>
          <w:rFonts w:hint="cs"/>
          <w:rtl/>
        </w:rPr>
        <w:t>أن يعين، لمدة ثلاث سنوات، خبيراً مستقلاً معنياً بمسألة تمتع المسنين بجميع حقوق الإنسان، تكون ولايته على النحو التالي:</w:t>
      </w:r>
    </w:p>
    <w:p w:rsidR="00A4370E" w:rsidRPr="001C09F8" w:rsidRDefault="00A4370E" w:rsidP="00A4370E">
      <w:pPr>
        <w:pStyle w:val="SingleTxtGA"/>
        <w:rPr>
          <w:rFonts w:hint="cs"/>
          <w:spacing w:val="-2"/>
          <w:rtl/>
        </w:rPr>
      </w:pPr>
      <w:r w:rsidRPr="001C09F8">
        <w:rPr>
          <w:rFonts w:hint="cs"/>
          <w:spacing w:val="-2"/>
          <w:rtl/>
        </w:rPr>
        <w:tab/>
        <w:t>(أ)</w:t>
      </w:r>
      <w:r w:rsidRPr="001C09F8">
        <w:rPr>
          <w:rFonts w:hint="cs"/>
          <w:spacing w:val="-2"/>
          <w:rtl/>
        </w:rPr>
        <w:tab/>
        <w:t>تقييم مدى تنفيذ الصكوك الدولية القائمة فيما يخص المسنين</w:t>
      </w:r>
      <w:r>
        <w:rPr>
          <w:rFonts w:hint="cs"/>
          <w:spacing w:val="-2"/>
          <w:rtl/>
        </w:rPr>
        <w:t>،</w:t>
      </w:r>
      <w:r w:rsidRPr="001C09F8">
        <w:rPr>
          <w:rFonts w:hint="cs"/>
          <w:spacing w:val="-2"/>
          <w:rtl/>
        </w:rPr>
        <w:t xml:space="preserve"> مع تحديد أفضل الممارسات في مجال </w:t>
      </w:r>
      <w:r>
        <w:rPr>
          <w:rFonts w:hint="cs"/>
          <w:spacing w:val="-2"/>
          <w:rtl/>
        </w:rPr>
        <w:t>تنفيذ القانون القائم المتعلق ب</w:t>
      </w:r>
      <w:r w:rsidRPr="001C09F8">
        <w:rPr>
          <w:rFonts w:hint="cs"/>
          <w:spacing w:val="-2"/>
          <w:rtl/>
        </w:rPr>
        <w:t>تعزيز وحماية حقوق الإنسان للمسنين والثغرات التي تعتري تنفيذ</w:t>
      </w:r>
      <w:r>
        <w:rPr>
          <w:rFonts w:hint="cs"/>
          <w:spacing w:val="-2"/>
          <w:rtl/>
        </w:rPr>
        <w:t xml:space="preserve"> هذا القانون</w:t>
      </w:r>
      <w:r w:rsidRPr="001C09F8">
        <w:rPr>
          <w:rFonts w:hint="cs"/>
          <w:spacing w:val="-2"/>
          <w:rtl/>
        </w:rPr>
        <w:t>؛</w:t>
      </w:r>
    </w:p>
    <w:p w:rsidR="00A4370E" w:rsidRDefault="00A4370E" w:rsidP="00A4370E">
      <w:pPr>
        <w:pStyle w:val="SingleTxtGA"/>
        <w:rPr>
          <w:rFonts w:hint="cs"/>
          <w:rtl/>
        </w:rPr>
      </w:pPr>
      <w:r>
        <w:rPr>
          <w:rFonts w:hint="cs"/>
          <w:rtl/>
        </w:rPr>
        <w:tab/>
        <w:t>(ب)</w:t>
      </w:r>
      <w:r>
        <w:rPr>
          <w:rFonts w:hint="cs"/>
          <w:rtl/>
        </w:rPr>
        <w:tab/>
        <w:t>مراعاة آراء الجهات ذات المصلحة، بما في ذلك الدول و</w:t>
      </w:r>
      <w:r>
        <w:rPr>
          <w:rFonts w:hint="cs"/>
          <w:rtl/>
          <w:lang/>
        </w:rPr>
        <w:t>آليات حقوق الإنسان الإقليمية المعنية والمؤسسات الوطنية لحقوق الإنسان ومنظمات المجتمع المدني والمؤسسات الأكاديمية؛</w:t>
      </w:r>
    </w:p>
    <w:p w:rsidR="00A4370E" w:rsidRDefault="00A4370E" w:rsidP="00A4370E">
      <w:pPr>
        <w:pStyle w:val="SingleTxtGA"/>
        <w:rPr>
          <w:rFonts w:hint="cs"/>
          <w:rtl/>
        </w:rPr>
      </w:pPr>
      <w:r>
        <w:rPr>
          <w:rFonts w:hint="cs"/>
          <w:rtl/>
        </w:rPr>
        <w:tab/>
        <w:t>(ج)</w:t>
      </w:r>
      <w:r>
        <w:rPr>
          <w:rFonts w:hint="cs"/>
          <w:rtl/>
        </w:rPr>
        <w:tab/>
        <w:t>إذكاء الوعي بالتحديات التي تعترض إعمال حقوق الإنسان للمسنين، وضمان حصول المسنين على المعلومات المتعلقة بحقوقهم؛</w:t>
      </w:r>
    </w:p>
    <w:p w:rsidR="00A4370E" w:rsidRDefault="00A4370E" w:rsidP="00A4370E">
      <w:pPr>
        <w:pStyle w:val="SingleTxtGA"/>
        <w:rPr>
          <w:rFonts w:hint="cs"/>
          <w:rtl/>
        </w:rPr>
      </w:pPr>
      <w:r>
        <w:rPr>
          <w:rFonts w:hint="cs"/>
          <w:rtl/>
        </w:rPr>
        <w:tab/>
        <w:t>(د)</w:t>
      </w:r>
      <w:r>
        <w:rPr>
          <w:rFonts w:hint="cs"/>
          <w:rtl/>
        </w:rPr>
        <w:tab/>
        <w:t>العمل بالتعاون مع الدول من أجل تشجيع اعتماد وتنفيذ التدابير الكفيلة بالمساهمة في تعزيز وحماية حقوق الإنسان للمسنين؛</w:t>
      </w:r>
    </w:p>
    <w:p w:rsidR="00A4370E" w:rsidRDefault="00A4370E" w:rsidP="00A4370E">
      <w:pPr>
        <w:pStyle w:val="SingleTxtGA"/>
        <w:rPr>
          <w:rFonts w:hint="cs"/>
          <w:rtl/>
        </w:rPr>
      </w:pPr>
      <w:r>
        <w:rPr>
          <w:rFonts w:hint="cs"/>
          <w:rtl/>
        </w:rPr>
        <w:tab/>
        <w:t>(</w:t>
      </w:r>
      <w:r>
        <w:rPr>
          <w:rFonts w:hint="cs"/>
          <w:rtl/>
          <w:lang/>
        </w:rPr>
        <w:t>ﻫ</w:t>
      </w:r>
      <w:r>
        <w:rPr>
          <w:rFonts w:hint="cs"/>
          <w:rtl/>
        </w:rPr>
        <w:t>)</w:t>
      </w:r>
      <w:r>
        <w:rPr>
          <w:rFonts w:hint="cs"/>
          <w:rtl/>
        </w:rPr>
        <w:tab/>
        <w:t>إدماج المنظور الجنساني ومنظور الإعاقة في عمله وإيلاء اهتمام خاص بالمسنات، والأشخاص ذوي الإعاقات، والمنحدرين من أصل أفريقي، والمنتمين إلى الشعوب الأصلية، والمنتمين إلى أقليات قومية أو إثنية، أو دينية ولغوية، وسكان الأرياف، والأشخاص الذين يعيشون في الشوارع، واللاجئين، وغير ذلك من الفئات؛</w:t>
      </w:r>
    </w:p>
    <w:p w:rsidR="00A4370E" w:rsidRDefault="00A4370E" w:rsidP="00A4370E">
      <w:pPr>
        <w:pStyle w:val="SingleTxtGA"/>
        <w:rPr>
          <w:rFonts w:hint="cs"/>
          <w:rtl/>
          <w:lang/>
        </w:rPr>
      </w:pPr>
      <w:r>
        <w:rPr>
          <w:rFonts w:hint="cs"/>
          <w:rtl/>
        </w:rPr>
        <w:tab/>
        <w:t>(و)</w:t>
      </w:r>
      <w:r>
        <w:rPr>
          <w:rFonts w:hint="cs"/>
          <w:rtl/>
        </w:rPr>
        <w:tab/>
        <w:t xml:space="preserve">تقييم آثار تنفيذ </w:t>
      </w:r>
      <w:r>
        <w:rPr>
          <w:rFonts w:hint="cs"/>
          <w:rtl/>
          <w:lang/>
        </w:rPr>
        <w:t>خطة عمل مدريد الدولية المتعلقة بالشيخوخة على حقوق</w:t>
      </w:r>
      <w:r>
        <w:rPr>
          <w:rFonts w:hint="eastAsia"/>
          <w:rtl/>
          <w:lang/>
        </w:rPr>
        <w:t> </w:t>
      </w:r>
      <w:r>
        <w:rPr>
          <w:rFonts w:hint="cs"/>
          <w:rtl/>
          <w:lang/>
        </w:rPr>
        <w:t>الإنسان؛</w:t>
      </w:r>
    </w:p>
    <w:p w:rsidR="00A4370E" w:rsidRPr="003E5812" w:rsidRDefault="00A4370E" w:rsidP="00A4370E">
      <w:pPr>
        <w:pStyle w:val="SingleTxtGA"/>
        <w:rPr>
          <w:rFonts w:hint="cs"/>
          <w:rtl/>
        </w:rPr>
      </w:pPr>
      <w:r>
        <w:rPr>
          <w:rFonts w:hint="cs"/>
          <w:rtl/>
          <w:lang/>
        </w:rPr>
        <w:tab/>
        <w:t>(ز)</w:t>
      </w:r>
      <w:r>
        <w:rPr>
          <w:rFonts w:hint="cs"/>
          <w:rtl/>
          <w:lang/>
        </w:rPr>
        <w:tab/>
        <w:t xml:space="preserve">العمل بالتنسيق الوثيق مع الفريق العامل المفتوح العضوية </w:t>
      </w:r>
      <w:r>
        <w:rPr>
          <w:rtl/>
        </w:rPr>
        <w:t>المعني بالشيخوخة</w:t>
      </w:r>
      <w:r>
        <w:rPr>
          <w:rFonts w:hint="cs"/>
          <w:rtl/>
        </w:rPr>
        <w:t xml:space="preserve">، وسائر الإجراءات الخاصة والأجهزة الفرعية التابعة لمجلس حقوق الإنسان، وهيئات الأمم المتحدة ذات الصلة وهيئات المعاهدات، مع تفادي الازدواجية </w:t>
      </w:r>
      <w:r>
        <w:rPr>
          <w:rFonts w:hint="cs"/>
          <w:rtl/>
          <w:lang/>
        </w:rPr>
        <w:t>التي لا لزوم لها؛</w:t>
      </w:r>
    </w:p>
    <w:p w:rsidR="00A4370E" w:rsidRDefault="00A4370E" w:rsidP="00A4370E">
      <w:pPr>
        <w:pStyle w:val="SingleTxtGA"/>
        <w:rPr>
          <w:rFonts w:hint="cs"/>
          <w:rtl/>
        </w:rPr>
      </w:pPr>
      <w:r>
        <w:rPr>
          <w:rFonts w:hint="cs"/>
          <w:rtl/>
        </w:rPr>
        <w:tab/>
        <w:t>6-</w:t>
      </w:r>
      <w:r>
        <w:rPr>
          <w:rFonts w:hint="cs"/>
          <w:rtl/>
        </w:rPr>
        <w:tab/>
      </w:r>
      <w:r>
        <w:rPr>
          <w:rFonts w:hint="cs"/>
          <w:i/>
          <w:iCs/>
          <w:rtl/>
        </w:rPr>
        <w:t>يطلب</w:t>
      </w:r>
      <w:r>
        <w:rPr>
          <w:rFonts w:hint="cs"/>
          <w:rtl/>
        </w:rPr>
        <w:t xml:space="preserve"> إلى الخبير المستقل أن يقدم تقريراً سنوياً إلى مجلس حقوق الإنسان وأن يقدم تقريره الأول في الدورة السابعة والعشرين للمجلس بهدف تقديم تقرير شامل في الدورة الثالثة والثلاثين للمجلس؛ </w:t>
      </w:r>
    </w:p>
    <w:p w:rsidR="00A4370E" w:rsidRDefault="00A4370E" w:rsidP="00A4370E">
      <w:pPr>
        <w:pStyle w:val="SingleTxtGA"/>
        <w:rPr>
          <w:rFonts w:hint="cs"/>
          <w:rtl/>
        </w:rPr>
      </w:pPr>
      <w:r>
        <w:rPr>
          <w:rFonts w:hint="cs"/>
          <w:rtl/>
        </w:rPr>
        <w:tab/>
        <w:t>7-</w:t>
      </w:r>
      <w:r>
        <w:rPr>
          <w:rFonts w:hint="cs"/>
          <w:rtl/>
        </w:rPr>
        <w:tab/>
      </w:r>
      <w:r>
        <w:rPr>
          <w:rFonts w:hint="cs"/>
          <w:i/>
          <w:iCs/>
          <w:rtl/>
        </w:rPr>
        <w:t>يطلب</w:t>
      </w:r>
      <w:r>
        <w:rPr>
          <w:rFonts w:hint="cs"/>
          <w:rtl/>
        </w:rPr>
        <w:t xml:space="preserve"> إلى الأمين العام أن يحرص على إطلاع الفريق العامل المفتوح العضوية المعني بالشيخوخة على التقرير الشامل للخبير المستقل المذكور أعلاه، وفقاً للفقرتين</w:t>
      </w:r>
      <w:r>
        <w:rPr>
          <w:rFonts w:hint="eastAsia"/>
          <w:rtl/>
        </w:rPr>
        <w:t> </w:t>
      </w:r>
      <w:r>
        <w:rPr>
          <w:rFonts w:hint="cs"/>
          <w:rtl/>
        </w:rPr>
        <w:t xml:space="preserve">1 </w:t>
      </w:r>
      <w:proofErr w:type="spellStart"/>
      <w:r>
        <w:rPr>
          <w:rFonts w:hint="cs"/>
          <w:rtl/>
        </w:rPr>
        <w:t>و3</w:t>
      </w:r>
      <w:proofErr w:type="spellEnd"/>
      <w:r>
        <w:rPr>
          <w:rFonts w:hint="cs"/>
          <w:rtl/>
        </w:rPr>
        <w:t xml:space="preserve"> من قرار الجمعية العامة 67/139 المؤرخ 20 كانون الأول/ديسمبر 2012؛ </w:t>
      </w:r>
    </w:p>
    <w:p w:rsidR="00A4370E" w:rsidRPr="008A194E" w:rsidRDefault="00A4370E" w:rsidP="00A4370E">
      <w:pPr>
        <w:pStyle w:val="SingleTxtGA"/>
        <w:rPr>
          <w:rFonts w:hint="cs"/>
          <w:rtl/>
        </w:rPr>
      </w:pPr>
      <w:r>
        <w:rPr>
          <w:rFonts w:hint="cs"/>
          <w:rtl/>
        </w:rPr>
        <w:tab/>
        <w:t>8-</w:t>
      </w:r>
      <w:r>
        <w:rPr>
          <w:rFonts w:hint="cs"/>
          <w:rtl/>
        </w:rPr>
        <w:tab/>
      </w:r>
      <w:r>
        <w:rPr>
          <w:rFonts w:hint="cs"/>
          <w:i/>
          <w:iCs/>
          <w:rtl/>
        </w:rPr>
        <w:t>يطلب</w:t>
      </w:r>
      <w:r>
        <w:rPr>
          <w:rFonts w:hint="cs"/>
          <w:rtl/>
        </w:rPr>
        <w:t xml:space="preserve"> إلى جميع الحكومات التعاون مع الخبير المستقل ويدعوها إلى أن تقدم له جميع المعلومات اللازمة ذات الصلة بولايته؛</w:t>
      </w:r>
    </w:p>
    <w:p w:rsidR="00A4370E" w:rsidRDefault="00A4370E" w:rsidP="00A4370E">
      <w:pPr>
        <w:pStyle w:val="SingleTxtGA"/>
        <w:rPr>
          <w:rFonts w:hint="cs"/>
          <w:rtl/>
        </w:rPr>
      </w:pPr>
      <w:r w:rsidRPr="00204FF3">
        <w:rPr>
          <w:rFonts w:hint="cs"/>
          <w:rtl/>
        </w:rPr>
        <w:tab/>
      </w:r>
      <w:r>
        <w:rPr>
          <w:rFonts w:hint="cs"/>
          <w:rtl/>
        </w:rPr>
        <w:t>9</w:t>
      </w:r>
      <w:r w:rsidRPr="00204FF3">
        <w:rPr>
          <w:rFonts w:hint="cs"/>
          <w:rtl/>
        </w:rPr>
        <w:t>-</w:t>
      </w:r>
      <w:r w:rsidRPr="00204FF3">
        <w:rPr>
          <w:rFonts w:hint="cs"/>
          <w:rtl/>
        </w:rPr>
        <w:tab/>
      </w:r>
      <w:r w:rsidRPr="00204FF3">
        <w:rPr>
          <w:rFonts w:hint="cs"/>
          <w:i/>
          <w:iCs/>
          <w:rtl/>
        </w:rPr>
        <w:t>يقرر</w:t>
      </w:r>
      <w:r w:rsidRPr="00204FF3">
        <w:rPr>
          <w:rFonts w:hint="cs"/>
          <w:rtl/>
        </w:rPr>
        <w:t xml:space="preserve"> مواصلة النظر في مسألة حقوق الإنسان للمسنّين في دورته السابعة والعشرين.</w:t>
      </w:r>
    </w:p>
    <w:p w:rsidR="00A4370E" w:rsidRPr="00A4370E" w:rsidRDefault="00A4370E" w:rsidP="00A4370E">
      <w:pPr>
        <w:pStyle w:val="SingleTxtGA"/>
        <w:spacing w:after="0"/>
        <w:jc w:val="right"/>
        <w:rPr>
          <w:rFonts w:hint="cs"/>
          <w:i/>
          <w:iCs/>
          <w:rtl/>
        </w:rPr>
      </w:pPr>
      <w:r w:rsidRPr="00A4370E">
        <w:rPr>
          <w:rFonts w:hint="cs"/>
          <w:i/>
          <w:iCs/>
          <w:rtl/>
        </w:rPr>
        <w:t>الجلسة 35</w:t>
      </w:r>
    </w:p>
    <w:p w:rsidR="00A4370E" w:rsidRPr="00A4370E" w:rsidRDefault="00A4370E" w:rsidP="00A4370E">
      <w:pPr>
        <w:pStyle w:val="SingleTxtGA"/>
        <w:jc w:val="right"/>
        <w:rPr>
          <w:rFonts w:hint="cs"/>
          <w:i/>
          <w:iCs/>
          <w:rtl/>
        </w:rPr>
      </w:pPr>
      <w:r w:rsidRPr="00A4370E">
        <w:rPr>
          <w:rFonts w:hint="cs"/>
          <w:i/>
          <w:iCs/>
          <w:rtl/>
        </w:rPr>
        <w:t xml:space="preserve">27 أيلول/سبتمبر </w:t>
      </w:r>
      <w:r>
        <w:rPr>
          <w:rFonts w:hint="cs"/>
          <w:i/>
          <w:iCs/>
          <w:rtl/>
        </w:rPr>
        <w:t>2013</w:t>
      </w:r>
    </w:p>
    <w:p w:rsidR="00A4370E" w:rsidRPr="00204FF3" w:rsidRDefault="00A4370E" w:rsidP="00A4370E">
      <w:pPr>
        <w:pStyle w:val="SingleTxtGA"/>
        <w:rPr>
          <w:rFonts w:hint="cs"/>
          <w:rtl/>
        </w:rPr>
      </w:pPr>
      <w:r>
        <w:rPr>
          <w:rFonts w:hint="cs"/>
          <w:rtl/>
        </w:rPr>
        <w:t>[أعتُمد بدون تصويت.]</w:t>
      </w:r>
    </w:p>
    <w:p w:rsidR="008B4BC6" w:rsidRPr="00A4370E" w:rsidRDefault="00A4370E" w:rsidP="00A4370E">
      <w:pPr>
        <w:spacing w:before="120"/>
        <w:jc w:val="center"/>
        <w:rPr>
          <w:rFonts w:hint="cs"/>
          <w:u w:val="single"/>
          <w:rtl/>
        </w:rPr>
      </w:pPr>
      <w:r>
        <w:rPr>
          <w:u w:val="single"/>
          <w:rtl/>
        </w:rPr>
        <w:tab/>
      </w:r>
      <w:r>
        <w:rPr>
          <w:u w:val="single"/>
          <w:rtl/>
        </w:rPr>
        <w:tab/>
      </w:r>
      <w:r>
        <w:rPr>
          <w:u w:val="single"/>
          <w:rtl/>
        </w:rPr>
        <w:tab/>
      </w:r>
    </w:p>
    <w:sectPr w:rsidR="008B4BC6" w:rsidRPr="00A4370E" w:rsidSect="00A4370E">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1A" w:rsidRPr="00FE6865" w:rsidRDefault="001B3A1A" w:rsidP="00FE6865">
      <w:pPr>
        <w:pStyle w:val="Footer"/>
      </w:pPr>
    </w:p>
  </w:endnote>
  <w:endnote w:type="continuationSeparator" w:id="0">
    <w:p w:rsidR="001B3A1A" w:rsidRDefault="001B3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1A" w:rsidRPr="00A4370E" w:rsidRDefault="001B3A1A" w:rsidP="00A4370E">
    <w:pPr>
      <w:pStyle w:val="Footer"/>
      <w:tabs>
        <w:tab w:val="right" w:pos="9598"/>
      </w:tabs>
    </w:pPr>
    <w:r>
      <w:t>GE.13-17948</w:t>
    </w:r>
    <w:r>
      <w:tab/>
    </w:r>
    <w:r w:rsidRPr="00A4370E">
      <w:rPr>
        <w:b/>
        <w:sz w:val="18"/>
      </w:rPr>
      <w:fldChar w:fldCharType="begin"/>
    </w:r>
    <w:r w:rsidRPr="00A4370E">
      <w:rPr>
        <w:b/>
        <w:sz w:val="18"/>
      </w:rPr>
      <w:instrText xml:space="preserve"> PAGE  \* MERGEFORMAT </w:instrText>
    </w:r>
    <w:r w:rsidRPr="00A4370E">
      <w:rPr>
        <w:b/>
        <w:sz w:val="18"/>
      </w:rPr>
      <w:fldChar w:fldCharType="separate"/>
    </w:r>
    <w:r>
      <w:rPr>
        <w:b/>
        <w:noProof/>
        <w:sz w:val="18"/>
      </w:rPr>
      <w:t>4</w:t>
    </w:r>
    <w:r w:rsidRPr="00A4370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1A" w:rsidRPr="00A4370E" w:rsidRDefault="001B3A1A" w:rsidP="00A4370E">
    <w:pPr>
      <w:pStyle w:val="Footer"/>
      <w:tabs>
        <w:tab w:val="right" w:pos="9598"/>
      </w:tabs>
      <w:rPr>
        <w:b/>
        <w:sz w:val="18"/>
      </w:rPr>
    </w:pPr>
    <w:r w:rsidRPr="00A4370E">
      <w:rPr>
        <w:b/>
        <w:sz w:val="18"/>
      </w:rPr>
      <w:fldChar w:fldCharType="begin"/>
    </w:r>
    <w:r w:rsidRPr="00A4370E">
      <w:rPr>
        <w:b/>
        <w:sz w:val="18"/>
      </w:rPr>
      <w:instrText xml:space="preserve"> PAGE  \* MERGEFORMAT </w:instrText>
    </w:r>
    <w:r w:rsidRPr="00A4370E">
      <w:rPr>
        <w:b/>
        <w:sz w:val="18"/>
      </w:rPr>
      <w:fldChar w:fldCharType="separate"/>
    </w:r>
    <w:r>
      <w:rPr>
        <w:b/>
        <w:noProof/>
        <w:sz w:val="18"/>
      </w:rPr>
      <w:t>3</w:t>
    </w:r>
    <w:r w:rsidRPr="00A4370E">
      <w:rPr>
        <w:b/>
        <w:sz w:val="18"/>
      </w:rPr>
      <w:fldChar w:fldCharType="end"/>
    </w:r>
    <w:r>
      <w:rPr>
        <w:b/>
        <w:sz w:val="18"/>
      </w:rPr>
      <w:tab/>
    </w:r>
    <w:r>
      <w:t>GE.13-17948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1A" w:rsidRDefault="001B3A1A" w:rsidP="00A4370E">
    <w:pPr>
      <w:pStyle w:val="Footer"/>
      <w:jc w:val="right"/>
    </w:pPr>
    <w:r>
      <w:rPr>
        <w:sz w:val="20"/>
      </w:rPr>
      <w:t>(A)   GE.13-17948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7pt;margin-top:744.3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231013    241013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1A" w:rsidRDefault="001B3A1A" w:rsidP="009A0C39">
      <w:pPr>
        <w:spacing w:after="80" w:line="200" w:lineRule="atLeast"/>
        <w:ind w:left="680"/>
      </w:pPr>
      <w:r w:rsidRPr="00C10C26">
        <w:rPr>
          <w:sz w:val="16"/>
          <w:rtl/>
        </w:rPr>
        <w:t>__________</w:t>
      </w:r>
    </w:p>
  </w:footnote>
  <w:footnote w:type="continuationSeparator" w:id="0">
    <w:p w:rsidR="001B3A1A" w:rsidRDefault="001B3A1A" w:rsidP="00444AA6">
      <w:pPr>
        <w:pStyle w:val="Footer"/>
        <w:bidi/>
        <w:spacing w:after="80" w:line="200" w:lineRule="exact"/>
        <w:ind w:left="680"/>
      </w:pPr>
      <w:r>
        <w:rPr>
          <w:rFonts w:hint="cs"/>
          <w:rtl/>
        </w:rPr>
        <w:t>__________</w:t>
      </w:r>
    </w:p>
  </w:footnote>
  <w:footnote w:id="1">
    <w:p w:rsidR="001B3A1A" w:rsidRPr="008975D1" w:rsidRDefault="001B3A1A" w:rsidP="00A4370E">
      <w:pPr>
        <w:pStyle w:val="footnoteText0"/>
        <w:rPr>
          <w:rFonts w:hint="cs"/>
          <w:rtl/>
        </w:rPr>
      </w:pPr>
      <w:r>
        <w:rPr>
          <w:rtl/>
        </w:rPr>
        <w:tab/>
      </w:r>
      <w:r w:rsidRPr="008975D1">
        <w:rPr>
          <w:rStyle w:val="FootnoteReference"/>
          <w:sz w:val="20"/>
          <w:vertAlign w:val="baseline"/>
          <w:rtl/>
        </w:rPr>
        <w:t>*</w:t>
      </w:r>
      <w:r>
        <w:rPr>
          <w:rtl/>
        </w:rPr>
        <w:tab/>
      </w:r>
      <w:r>
        <w:rPr>
          <w:rFonts w:hint="cs"/>
          <w:rtl/>
        </w:rPr>
        <w:t>سترد القرارات والمقررات التي اعتمدها مجلس حقوق الإنسان في تقرير المجلس عن أعمال دورته الرابعة والعشرين (</w:t>
      </w:r>
      <w:r>
        <w:t>A/HRC/24/2</w:t>
      </w:r>
      <w:r>
        <w:rPr>
          <w:rFonts w:hint="cs"/>
          <w:rtl/>
        </w:rPr>
        <w:t>)، الجزء الأول.</w:t>
      </w:r>
    </w:p>
  </w:footnote>
  <w:footnote w:id="2">
    <w:p w:rsidR="001B3A1A" w:rsidRPr="001745CE" w:rsidRDefault="001B3A1A" w:rsidP="00A4370E">
      <w:pPr>
        <w:pStyle w:val="FootnoteText"/>
        <w:numPr>
          <w:ilvl w:val="0"/>
          <w:numId w:val="40"/>
        </w:numPr>
        <w:tabs>
          <w:tab w:val="clear" w:pos="1299"/>
          <w:tab w:val="left" w:pos="1253"/>
        </w:tabs>
        <w:spacing w:after="60" w:line="300" w:lineRule="exact"/>
        <w:ind w:left="1247" w:right="1247"/>
        <w:rPr>
          <w:rFonts w:hint="cs"/>
          <w:sz w:val="18"/>
          <w:szCs w:val="26"/>
        </w:rPr>
      </w:pPr>
      <w:r w:rsidRPr="001745CE">
        <w:rPr>
          <w:rFonts w:eastAsia="SimSun"/>
          <w:sz w:val="18"/>
          <w:szCs w:val="26"/>
          <w:lang w:eastAsia="ar-SA"/>
        </w:rPr>
        <w:t>A/67/188</w:t>
      </w:r>
      <w:r w:rsidRPr="001745CE">
        <w:rPr>
          <w:rFonts w:eastAsia="SimSun" w:hint="cs"/>
          <w:sz w:val="18"/>
          <w:szCs w:val="26"/>
          <w:rtl/>
          <w:lang w:eastAsia="ar-SA"/>
        </w:rPr>
        <w:t>.</w:t>
      </w:r>
    </w:p>
  </w:footnote>
  <w:footnote w:id="3">
    <w:p w:rsidR="001B3A1A" w:rsidRPr="001745CE" w:rsidRDefault="001B3A1A" w:rsidP="00A4370E">
      <w:pPr>
        <w:pStyle w:val="FootnoteText"/>
        <w:numPr>
          <w:ilvl w:val="0"/>
          <w:numId w:val="40"/>
        </w:numPr>
        <w:tabs>
          <w:tab w:val="clear" w:pos="1299"/>
          <w:tab w:val="left" w:pos="1253"/>
        </w:tabs>
        <w:spacing w:after="60" w:line="300" w:lineRule="exact"/>
        <w:ind w:left="1247" w:right="1247"/>
        <w:rPr>
          <w:rFonts w:eastAsia="SimSun" w:hint="cs"/>
          <w:sz w:val="18"/>
          <w:szCs w:val="26"/>
          <w:lang w:eastAsia="ar-SA"/>
        </w:rPr>
      </w:pPr>
      <w:r w:rsidRPr="001745CE">
        <w:rPr>
          <w:rFonts w:eastAsia="SimSun"/>
          <w:sz w:val="18"/>
          <w:szCs w:val="26"/>
          <w:lang w:eastAsia="ar-SA"/>
        </w:rPr>
        <w:t>E/2012/51</w:t>
      </w:r>
      <w:r w:rsidRPr="001745CE">
        <w:rPr>
          <w:rFonts w:eastAsia="SimSun" w:hint="cs"/>
          <w:sz w:val="18"/>
          <w:szCs w:val="26"/>
          <w:rtl/>
          <w:lang w:eastAsia="ar-SA"/>
        </w:rPr>
        <w:t>.</w:t>
      </w:r>
    </w:p>
  </w:footnote>
  <w:footnote w:id="4">
    <w:p w:rsidR="001B3A1A" w:rsidRPr="00204FF3" w:rsidRDefault="001B3A1A" w:rsidP="00A4370E">
      <w:pPr>
        <w:pStyle w:val="FootnoteText"/>
        <w:numPr>
          <w:ilvl w:val="0"/>
          <w:numId w:val="40"/>
        </w:numPr>
        <w:tabs>
          <w:tab w:val="clear" w:pos="1299"/>
          <w:tab w:val="left" w:pos="1253"/>
        </w:tabs>
        <w:spacing w:after="60" w:line="300" w:lineRule="exact"/>
        <w:ind w:left="1247" w:right="1247"/>
        <w:rPr>
          <w:rFonts w:eastAsia="SimSun" w:hint="cs"/>
          <w:sz w:val="18"/>
          <w:szCs w:val="26"/>
          <w:lang w:eastAsia="ar-SA"/>
        </w:rPr>
      </w:pPr>
      <w:r w:rsidRPr="00204FF3">
        <w:rPr>
          <w:sz w:val="18"/>
          <w:szCs w:val="26"/>
        </w:rPr>
        <w:t>A/HRC/24/25</w:t>
      </w:r>
      <w:r w:rsidRPr="00204FF3">
        <w:rPr>
          <w:rFonts w:eastAsia="SimSun" w:hint="cs"/>
          <w:sz w:val="18"/>
          <w:szCs w:val="26"/>
          <w:rtl/>
          <w:lang w:eastAsia="ar-S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1A" w:rsidRPr="00A4370E" w:rsidRDefault="001B3A1A" w:rsidP="00A4370E">
    <w:pPr>
      <w:pStyle w:val="Header"/>
      <w:jc w:val="right"/>
    </w:pPr>
    <w:r w:rsidRPr="00A4370E">
      <w:t>A/HRC/RES/24/20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1A" w:rsidRPr="00A4370E" w:rsidRDefault="001B3A1A" w:rsidP="00A4370E">
    <w:pPr>
      <w:pStyle w:val="Header"/>
      <w:jc w:val="left"/>
    </w:pPr>
    <w:r w:rsidRPr="00A4370E">
      <w:t>A/HRC/RES/24/20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8EA309C"/>
    <w:multiLevelType w:val="hybridMultilevel"/>
    <w:tmpl w:val="86CE35FA"/>
    <w:lvl w:ilvl="0" w:tplc="505C6C4C">
      <w:start w:val="1"/>
      <w:numFmt w:val="decimal"/>
      <w:lvlRestart w:val="0"/>
      <w:lvlText w:val="(%1)"/>
      <w:lvlJc w:val="right"/>
      <w:pPr>
        <w:tabs>
          <w:tab w:val="num" w:pos="1299"/>
        </w:tabs>
        <w:ind w:left="1299" w:hanging="227"/>
      </w:pPr>
      <w:rPr>
        <w:rFonts w:ascii="Traditional Arabic" w:hAnsi="Traditional Arabic" w:cs="Traditional Arabic" w:hint="cs"/>
        <w:sz w:val="26"/>
        <w:szCs w:val="26"/>
      </w:rPr>
    </w:lvl>
    <w:lvl w:ilvl="1" w:tplc="855218F8">
      <w:start w:val="1"/>
      <w:numFmt w:val="decimal"/>
      <w:lvlRestart w:val="0"/>
      <w:lvlText w:val="(%2)"/>
      <w:lvlJc w:val="right"/>
      <w:pPr>
        <w:tabs>
          <w:tab w:val="num" w:pos="1359"/>
        </w:tabs>
        <w:ind w:left="1359"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438A"/>
    <w:rsid w:val="00040E25"/>
    <w:rsid w:val="00041335"/>
    <w:rsid w:val="00042149"/>
    <w:rsid w:val="000648EA"/>
    <w:rsid w:val="000957C8"/>
    <w:rsid w:val="000B52F2"/>
    <w:rsid w:val="000D0EAE"/>
    <w:rsid w:val="000D5380"/>
    <w:rsid w:val="000D6654"/>
    <w:rsid w:val="000F0264"/>
    <w:rsid w:val="000F2EBF"/>
    <w:rsid w:val="000F5FF6"/>
    <w:rsid w:val="001112AC"/>
    <w:rsid w:val="00113FA5"/>
    <w:rsid w:val="001455A0"/>
    <w:rsid w:val="001602A3"/>
    <w:rsid w:val="001A5161"/>
    <w:rsid w:val="001A60BD"/>
    <w:rsid w:val="001B3A1A"/>
    <w:rsid w:val="0023736D"/>
    <w:rsid w:val="00257225"/>
    <w:rsid w:val="00275860"/>
    <w:rsid w:val="00310160"/>
    <w:rsid w:val="00341A8C"/>
    <w:rsid w:val="003519E6"/>
    <w:rsid w:val="003B4356"/>
    <w:rsid w:val="003F08A8"/>
    <w:rsid w:val="004250E3"/>
    <w:rsid w:val="00435FF5"/>
    <w:rsid w:val="00444AA6"/>
    <w:rsid w:val="00472A81"/>
    <w:rsid w:val="004B2C92"/>
    <w:rsid w:val="004D6A3A"/>
    <w:rsid w:val="004F4AD7"/>
    <w:rsid w:val="005449D8"/>
    <w:rsid w:val="00557CD3"/>
    <w:rsid w:val="00571432"/>
    <w:rsid w:val="005732A2"/>
    <w:rsid w:val="005762A5"/>
    <w:rsid w:val="00590BA3"/>
    <w:rsid w:val="005A1A9A"/>
    <w:rsid w:val="005B7AE0"/>
    <w:rsid w:val="005C6C03"/>
    <w:rsid w:val="005F146F"/>
    <w:rsid w:val="005F71B6"/>
    <w:rsid w:val="00660FD4"/>
    <w:rsid w:val="006A4425"/>
    <w:rsid w:val="006B4669"/>
    <w:rsid w:val="006C768B"/>
    <w:rsid w:val="006E3473"/>
    <w:rsid w:val="006F6BF8"/>
    <w:rsid w:val="00707BDF"/>
    <w:rsid w:val="00710727"/>
    <w:rsid w:val="00715F45"/>
    <w:rsid w:val="00731B84"/>
    <w:rsid w:val="00734AE7"/>
    <w:rsid w:val="00786B69"/>
    <w:rsid w:val="007B599E"/>
    <w:rsid w:val="007E197F"/>
    <w:rsid w:val="007F68C4"/>
    <w:rsid w:val="008153DE"/>
    <w:rsid w:val="00852A10"/>
    <w:rsid w:val="00862634"/>
    <w:rsid w:val="00866C59"/>
    <w:rsid w:val="00877306"/>
    <w:rsid w:val="00887B5C"/>
    <w:rsid w:val="008A6242"/>
    <w:rsid w:val="008B4BC6"/>
    <w:rsid w:val="008E438A"/>
    <w:rsid w:val="00901E57"/>
    <w:rsid w:val="00935F0E"/>
    <w:rsid w:val="0095208F"/>
    <w:rsid w:val="00977B3F"/>
    <w:rsid w:val="009814AE"/>
    <w:rsid w:val="00983870"/>
    <w:rsid w:val="00994B89"/>
    <w:rsid w:val="00996BBE"/>
    <w:rsid w:val="009A0C39"/>
    <w:rsid w:val="009D1DD5"/>
    <w:rsid w:val="00A11DDA"/>
    <w:rsid w:val="00A26157"/>
    <w:rsid w:val="00A265C3"/>
    <w:rsid w:val="00A4370E"/>
    <w:rsid w:val="00A43F9A"/>
    <w:rsid w:val="00A543D4"/>
    <w:rsid w:val="00AD0014"/>
    <w:rsid w:val="00AD19ED"/>
    <w:rsid w:val="00AD4CF2"/>
    <w:rsid w:val="00AF0BBA"/>
    <w:rsid w:val="00B30468"/>
    <w:rsid w:val="00B60E70"/>
    <w:rsid w:val="00B639B9"/>
    <w:rsid w:val="00BB2C41"/>
    <w:rsid w:val="00BC55C8"/>
    <w:rsid w:val="00BC5C10"/>
    <w:rsid w:val="00BE2964"/>
    <w:rsid w:val="00C24FBD"/>
    <w:rsid w:val="00C473BA"/>
    <w:rsid w:val="00C611ED"/>
    <w:rsid w:val="00C6490A"/>
    <w:rsid w:val="00C64FE1"/>
    <w:rsid w:val="00C66164"/>
    <w:rsid w:val="00C8345E"/>
    <w:rsid w:val="00CA4C17"/>
    <w:rsid w:val="00CA5F7C"/>
    <w:rsid w:val="00CE7C87"/>
    <w:rsid w:val="00D06637"/>
    <w:rsid w:val="00D51067"/>
    <w:rsid w:val="00D75657"/>
    <w:rsid w:val="00D960AD"/>
    <w:rsid w:val="00DA0E0E"/>
    <w:rsid w:val="00DB0C39"/>
    <w:rsid w:val="00DB7679"/>
    <w:rsid w:val="00DE3904"/>
    <w:rsid w:val="00DF1702"/>
    <w:rsid w:val="00DF4DD8"/>
    <w:rsid w:val="00DF668E"/>
    <w:rsid w:val="00E05DE3"/>
    <w:rsid w:val="00E14D2B"/>
    <w:rsid w:val="00E20DBA"/>
    <w:rsid w:val="00E660D6"/>
    <w:rsid w:val="00E771AB"/>
    <w:rsid w:val="00EA796F"/>
    <w:rsid w:val="00EB077B"/>
    <w:rsid w:val="00EC50B9"/>
    <w:rsid w:val="00ED26A0"/>
    <w:rsid w:val="00F04473"/>
    <w:rsid w:val="00F1727A"/>
    <w:rsid w:val="00F34764"/>
    <w:rsid w:val="00F54E3C"/>
    <w:rsid w:val="00F874BD"/>
    <w:rsid w:val="00FA6DD0"/>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4</Pages>
  <Words>896</Words>
  <Characters>5113</Characters>
  <Application>Microsoft Office Outlook</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A/HRC/RES/24/20</vt:lpstr>
    </vt:vector>
  </TitlesOfParts>
  <Company>CSD</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A/HRC/RES/24/20</dc:title>
  <dc:subject>ZEDANE</dc:subject>
  <dc:creator>BALAN</dc:creator>
  <cp:keywords/>
  <dc:description/>
  <cp:lastModifiedBy>BALAN</cp:lastModifiedBy>
  <cp:revision>2</cp:revision>
  <cp:lastPrinted>2012-09-28T16:01:00Z</cp:lastPrinted>
  <dcterms:created xsi:type="dcterms:W3CDTF">2013-10-24T07:02:00Z</dcterms:created>
  <dcterms:modified xsi:type="dcterms:W3CDTF">2013-10-24T07:02:00Z</dcterms:modified>
</cp:coreProperties>
</file>