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76"/>
        <w:gridCol w:w="2268"/>
        <w:gridCol w:w="3260"/>
        <w:gridCol w:w="2835"/>
      </w:tblGrid>
      <w:tr w:rsidR="00057BC0" w:rsidRPr="00DB58B5" w:rsidTr="00BA184E">
        <w:trPr>
          <w:trHeight w:hRule="exact" w:val="851"/>
        </w:trPr>
        <w:tc>
          <w:tcPr>
            <w:tcW w:w="1276" w:type="dxa"/>
            <w:tcBorders>
              <w:bottom w:val="single" w:sz="4" w:space="0" w:color="auto"/>
            </w:tcBorders>
          </w:tcPr>
          <w:p w:rsidR="00057BC0" w:rsidRPr="00DB58B5" w:rsidRDefault="00057BC0" w:rsidP="00C717E0"/>
        </w:tc>
        <w:tc>
          <w:tcPr>
            <w:tcW w:w="2268" w:type="dxa"/>
            <w:tcBorders>
              <w:bottom w:val="single" w:sz="4" w:space="0" w:color="auto"/>
            </w:tcBorders>
            <w:vAlign w:val="bottom"/>
          </w:tcPr>
          <w:p w:rsidR="00057BC0" w:rsidRPr="00DB58B5" w:rsidRDefault="00057BC0" w:rsidP="00C717E0">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057BC0" w:rsidRPr="00DB58B5" w:rsidRDefault="00DA3D70" w:rsidP="00DA3D70">
            <w:pPr>
              <w:jc w:val="right"/>
            </w:pPr>
            <w:r w:rsidRPr="00DA3D70">
              <w:rPr>
                <w:sz w:val="40"/>
              </w:rPr>
              <w:t>A</w:t>
            </w:r>
            <w:r>
              <w:t>/HRC/RES/23/15</w:t>
            </w:r>
          </w:p>
        </w:tc>
      </w:tr>
      <w:tr w:rsidR="00057BC0" w:rsidRPr="00DB58B5" w:rsidTr="00C717E0">
        <w:trPr>
          <w:trHeight w:hRule="exact" w:val="2835"/>
        </w:trPr>
        <w:tc>
          <w:tcPr>
            <w:tcW w:w="1276" w:type="dxa"/>
            <w:tcBorders>
              <w:top w:val="single" w:sz="4" w:space="0" w:color="auto"/>
              <w:bottom w:val="single" w:sz="12" w:space="0" w:color="auto"/>
            </w:tcBorders>
          </w:tcPr>
          <w:p w:rsidR="00057BC0" w:rsidRPr="00DB58B5" w:rsidRDefault="00057BC0" w:rsidP="00C717E0">
            <w:pPr>
              <w:spacing w:before="120"/>
              <w:jc w:val="center"/>
            </w:pPr>
            <w:r w:rsidRPr="00DB58B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057BC0" w:rsidRPr="00740562" w:rsidRDefault="00057BC0" w:rsidP="00C717E0">
            <w:pPr>
              <w:spacing w:before="120" w:line="420" w:lineRule="exact"/>
              <w:rPr>
                <w:b/>
                <w:sz w:val="40"/>
                <w:szCs w:val="40"/>
              </w:rPr>
            </w:pPr>
            <w:r w:rsidRPr="00740562">
              <w:rPr>
                <w:b/>
                <w:sz w:val="40"/>
                <w:szCs w:val="40"/>
              </w:rPr>
              <w:t>Assemblée générale</w:t>
            </w:r>
          </w:p>
        </w:tc>
        <w:tc>
          <w:tcPr>
            <w:tcW w:w="2835" w:type="dxa"/>
            <w:tcBorders>
              <w:top w:val="single" w:sz="4" w:space="0" w:color="auto"/>
              <w:bottom w:val="single" w:sz="12" w:space="0" w:color="auto"/>
            </w:tcBorders>
          </w:tcPr>
          <w:p w:rsidR="00DA3D70" w:rsidRDefault="00DA3D70" w:rsidP="00C717E0">
            <w:pPr>
              <w:spacing w:before="240"/>
            </w:pPr>
            <w:r>
              <w:t>Distr. générale</w:t>
            </w:r>
          </w:p>
          <w:p w:rsidR="00DA3D70" w:rsidRDefault="00DA3D70" w:rsidP="00DA3D70">
            <w:pPr>
              <w:spacing w:line="240" w:lineRule="exact"/>
            </w:pPr>
            <w:r>
              <w:t>24 juin 2013</w:t>
            </w:r>
          </w:p>
          <w:p w:rsidR="00DA3D70" w:rsidRDefault="00DA3D70" w:rsidP="00DA3D70">
            <w:pPr>
              <w:spacing w:line="240" w:lineRule="exact"/>
            </w:pPr>
            <w:r>
              <w:t>Français</w:t>
            </w:r>
          </w:p>
          <w:p w:rsidR="00057BC0" w:rsidRPr="00DB58B5" w:rsidRDefault="00DA3D70" w:rsidP="00DA3D70">
            <w:pPr>
              <w:spacing w:line="240" w:lineRule="exact"/>
            </w:pPr>
            <w:r>
              <w:t>Original: anglais</w:t>
            </w:r>
          </w:p>
        </w:tc>
      </w:tr>
    </w:tbl>
    <w:p w:rsidR="00BA184E" w:rsidRPr="00BA184E" w:rsidRDefault="00BA184E" w:rsidP="001B6907">
      <w:pPr>
        <w:spacing w:before="120"/>
        <w:rPr>
          <w:b/>
          <w:sz w:val="24"/>
          <w:szCs w:val="24"/>
        </w:rPr>
      </w:pPr>
      <w:r w:rsidRPr="00BA184E">
        <w:rPr>
          <w:b/>
          <w:sz w:val="24"/>
          <w:szCs w:val="24"/>
        </w:rPr>
        <w:t>Conseil des droits de l</w:t>
      </w:r>
      <w:r w:rsidR="00F62876">
        <w:rPr>
          <w:b/>
          <w:sz w:val="24"/>
          <w:szCs w:val="24"/>
        </w:rPr>
        <w:t>’</w:t>
      </w:r>
      <w:r w:rsidRPr="00BA184E">
        <w:rPr>
          <w:b/>
          <w:sz w:val="24"/>
          <w:szCs w:val="24"/>
        </w:rPr>
        <w:t>homme</w:t>
      </w:r>
    </w:p>
    <w:p w:rsidR="00DA3D70" w:rsidRDefault="00C66758" w:rsidP="00981C83">
      <w:pPr>
        <w:rPr>
          <w:b/>
        </w:rPr>
      </w:pPr>
      <w:r>
        <w:rPr>
          <w:b/>
        </w:rPr>
        <w:t>Vingt-troisième</w:t>
      </w:r>
      <w:r w:rsidR="00DA3D70">
        <w:rPr>
          <w:b/>
        </w:rPr>
        <w:t xml:space="preserve"> session</w:t>
      </w:r>
    </w:p>
    <w:p w:rsidR="00DA3D70" w:rsidRDefault="00C66758" w:rsidP="00981C83">
      <w:r>
        <w:t>Point 4 de l</w:t>
      </w:r>
      <w:r w:rsidR="00F62876">
        <w:t>’</w:t>
      </w:r>
      <w:r>
        <w:t>ordre du jour</w:t>
      </w:r>
    </w:p>
    <w:p w:rsidR="00C66758" w:rsidRDefault="00F62876" w:rsidP="00981C83">
      <w:r w:rsidRPr="00E77BDB">
        <w:rPr>
          <w:b/>
          <w:lang w:val="fr-FR"/>
        </w:rPr>
        <w:t>Situations relatives aux droits de l</w:t>
      </w:r>
      <w:r>
        <w:rPr>
          <w:b/>
          <w:lang w:val="fr-FR"/>
        </w:rPr>
        <w:t>’</w:t>
      </w:r>
      <w:r w:rsidRPr="00E77BDB">
        <w:rPr>
          <w:b/>
          <w:lang w:val="fr-FR"/>
        </w:rPr>
        <w:t>homme</w:t>
      </w:r>
      <w:r>
        <w:rPr>
          <w:b/>
          <w:lang w:val="fr-FR"/>
        </w:rPr>
        <w:br/>
      </w:r>
      <w:r w:rsidRPr="00E77BDB">
        <w:rPr>
          <w:b/>
          <w:lang w:val="fr-FR"/>
        </w:rPr>
        <w:t>qui requièrent l</w:t>
      </w:r>
      <w:r>
        <w:rPr>
          <w:b/>
          <w:lang w:val="fr-FR"/>
        </w:rPr>
        <w:t>’</w:t>
      </w:r>
      <w:r w:rsidRPr="00E77BDB">
        <w:rPr>
          <w:b/>
          <w:lang w:val="fr-FR"/>
        </w:rPr>
        <w:t>attention du Conseil</w:t>
      </w:r>
    </w:p>
    <w:p w:rsidR="00F62876" w:rsidRDefault="00510F97" w:rsidP="00510F97">
      <w:pPr>
        <w:pStyle w:val="H23G"/>
        <w:rPr>
          <w:lang w:val="fr-FR"/>
        </w:rPr>
      </w:pPr>
      <w:r>
        <w:rPr>
          <w:lang w:val="fr-FR"/>
        </w:rPr>
        <w:tab/>
      </w:r>
      <w:r>
        <w:rPr>
          <w:lang w:val="fr-FR"/>
        </w:rPr>
        <w:tab/>
      </w:r>
      <w:r w:rsidR="00F62876">
        <w:rPr>
          <w:lang w:val="fr-FR"/>
        </w:rPr>
        <w:t>Résolution adoptée par le Conseil des droits de l’homme</w:t>
      </w:r>
      <w:r w:rsidRPr="00510F97">
        <w:rPr>
          <w:rStyle w:val="FootnoteReference"/>
          <w:b w:val="0"/>
          <w:sz w:val="20"/>
          <w:vertAlign w:val="baseline"/>
        </w:rPr>
        <w:footnoteReference w:customMarkFollows="1" w:id="2"/>
        <w:t>*</w:t>
      </w:r>
    </w:p>
    <w:p w:rsidR="00F62876" w:rsidRPr="00314B22" w:rsidRDefault="00F62876" w:rsidP="00510F97">
      <w:pPr>
        <w:pStyle w:val="H1G"/>
        <w:rPr>
          <w:lang w:val="fr-FR"/>
        </w:rPr>
      </w:pPr>
      <w:r w:rsidRPr="00314B22">
        <w:rPr>
          <w:lang w:val="fr-FR"/>
        </w:rPr>
        <w:tab/>
      </w:r>
      <w:r w:rsidRPr="00314B22">
        <w:rPr>
          <w:lang w:val="fr-FR"/>
        </w:rPr>
        <w:tab/>
        <w:t>23/</w:t>
      </w:r>
      <w:r w:rsidR="00510F97">
        <w:rPr>
          <w:lang w:val="fr-FR"/>
        </w:rPr>
        <w:t>15</w:t>
      </w:r>
      <w:r>
        <w:rPr>
          <w:lang w:val="fr-FR"/>
        </w:rPr>
        <w:br/>
      </w:r>
      <w:r w:rsidRPr="00314B22">
        <w:rPr>
          <w:lang w:val="fr-FR"/>
        </w:rPr>
        <w:t>Situation des droits de l</w:t>
      </w:r>
      <w:r>
        <w:rPr>
          <w:lang w:val="fr-FR"/>
        </w:rPr>
        <w:t>’</w:t>
      </w:r>
      <w:r w:rsidRPr="00314B22">
        <w:rPr>
          <w:lang w:val="fr-FR"/>
        </w:rPr>
        <w:t>homme au Bélarus</w:t>
      </w:r>
    </w:p>
    <w:p w:rsidR="00F62876" w:rsidRPr="00314B22" w:rsidRDefault="00F62876" w:rsidP="00510F97">
      <w:pPr>
        <w:pStyle w:val="SingleTxtG"/>
        <w:ind w:firstLine="567"/>
        <w:rPr>
          <w:lang w:val="fr-FR"/>
        </w:rPr>
      </w:pPr>
      <w:r w:rsidRPr="00510F97">
        <w:rPr>
          <w:i/>
          <w:lang w:val="fr-FR"/>
        </w:rPr>
        <w:t>Le Conseil des droits de l’homme</w:t>
      </w:r>
      <w:r w:rsidRPr="00314B22">
        <w:rPr>
          <w:lang w:val="fr-FR"/>
        </w:rPr>
        <w:t>,</w:t>
      </w:r>
    </w:p>
    <w:p w:rsidR="00F62876" w:rsidRPr="00314B22" w:rsidRDefault="00F62876" w:rsidP="00510F97">
      <w:pPr>
        <w:pStyle w:val="SingleTxtG"/>
        <w:ind w:firstLine="567"/>
        <w:rPr>
          <w:lang w:val="fr-FR"/>
        </w:rPr>
      </w:pPr>
      <w:r w:rsidRPr="00314B22">
        <w:rPr>
          <w:i/>
          <w:lang w:val="fr-FR"/>
        </w:rPr>
        <w:t>S</w:t>
      </w:r>
      <w:r>
        <w:rPr>
          <w:i/>
          <w:lang w:val="fr-FR"/>
        </w:rPr>
        <w:t>’</w:t>
      </w:r>
      <w:r w:rsidRPr="00314B22">
        <w:rPr>
          <w:i/>
          <w:lang w:val="fr-FR"/>
        </w:rPr>
        <w:t>inspirant</w:t>
      </w:r>
      <w:r w:rsidRPr="00314B22">
        <w:rPr>
          <w:lang w:val="fr-FR"/>
        </w:rPr>
        <w:t xml:space="preserve"> des buts et principes de la Charte des Nations Unies, des dispositions de la Déclaration universelle des droits de l</w:t>
      </w:r>
      <w:r>
        <w:rPr>
          <w:lang w:val="fr-FR"/>
        </w:rPr>
        <w:t>’</w:t>
      </w:r>
      <w:r w:rsidRPr="00314B22">
        <w:rPr>
          <w:lang w:val="fr-FR"/>
        </w:rPr>
        <w:t>homme, des Pactes internationaux relatifs aux droits de l</w:t>
      </w:r>
      <w:r>
        <w:rPr>
          <w:lang w:val="fr-FR"/>
        </w:rPr>
        <w:t>’</w:t>
      </w:r>
      <w:r w:rsidRPr="00314B22">
        <w:rPr>
          <w:lang w:val="fr-FR"/>
        </w:rPr>
        <w:t>homme et des autres instruments applicables relatifs aux droits de l</w:t>
      </w:r>
      <w:r>
        <w:rPr>
          <w:lang w:val="fr-FR"/>
        </w:rPr>
        <w:t>’</w:t>
      </w:r>
      <w:r w:rsidRPr="00314B22">
        <w:rPr>
          <w:lang w:val="fr-FR"/>
        </w:rPr>
        <w:t>homme,</w:t>
      </w:r>
    </w:p>
    <w:p w:rsidR="00F62876" w:rsidRPr="00E97292" w:rsidRDefault="00F62876" w:rsidP="00510F97">
      <w:pPr>
        <w:pStyle w:val="SingleTxtG"/>
        <w:ind w:firstLine="567"/>
        <w:rPr>
          <w:spacing w:val="-4"/>
          <w:lang w:val="fr-FR"/>
        </w:rPr>
      </w:pPr>
      <w:r w:rsidRPr="00E97292">
        <w:rPr>
          <w:i/>
          <w:spacing w:val="-4"/>
          <w:lang w:val="fr-FR"/>
        </w:rPr>
        <w:t>Rappelant</w:t>
      </w:r>
      <w:r w:rsidRPr="00E97292">
        <w:rPr>
          <w:spacing w:val="-4"/>
          <w:lang w:val="fr-FR"/>
        </w:rPr>
        <w:t xml:space="preserve"> toutes les résolutions adoptées par la Commission des droits de l</w:t>
      </w:r>
      <w:r>
        <w:rPr>
          <w:spacing w:val="-4"/>
          <w:lang w:val="fr-FR"/>
        </w:rPr>
        <w:t>’</w:t>
      </w:r>
      <w:r w:rsidRPr="00E97292">
        <w:rPr>
          <w:spacing w:val="-4"/>
          <w:lang w:val="fr-FR"/>
        </w:rPr>
        <w:t>homme, l</w:t>
      </w:r>
      <w:r>
        <w:rPr>
          <w:spacing w:val="-4"/>
          <w:lang w:val="fr-FR"/>
        </w:rPr>
        <w:t>’</w:t>
      </w:r>
      <w:r w:rsidRPr="00E97292">
        <w:rPr>
          <w:spacing w:val="-4"/>
          <w:lang w:val="fr-FR"/>
        </w:rPr>
        <w:t>Assemblée générale et le Conseil des droits de l</w:t>
      </w:r>
      <w:r>
        <w:rPr>
          <w:spacing w:val="-4"/>
          <w:lang w:val="fr-FR"/>
        </w:rPr>
        <w:t>’</w:t>
      </w:r>
      <w:r w:rsidRPr="00E97292">
        <w:rPr>
          <w:spacing w:val="-4"/>
          <w:lang w:val="fr-FR"/>
        </w:rPr>
        <w:t>homme sur la situation des droits de l</w:t>
      </w:r>
      <w:r>
        <w:rPr>
          <w:spacing w:val="-4"/>
          <w:lang w:val="fr-FR"/>
        </w:rPr>
        <w:t>’</w:t>
      </w:r>
      <w:r w:rsidRPr="00E97292">
        <w:rPr>
          <w:spacing w:val="-4"/>
          <w:lang w:val="fr-FR"/>
        </w:rPr>
        <w:t>homme au Bélarus, dont les résolutions 17/24 et 20/13 du Conseil en date, respectivement, des 17 juin 2011 et 5 juillet 2012, et déplorant que le Gouvernement bélarussien n</w:t>
      </w:r>
      <w:r>
        <w:rPr>
          <w:spacing w:val="-4"/>
          <w:lang w:val="fr-FR"/>
        </w:rPr>
        <w:t>’</w:t>
      </w:r>
      <w:r w:rsidRPr="00E97292">
        <w:rPr>
          <w:spacing w:val="-4"/>
          <w:lang w:val="fr-FR"/>
        </w:rPr>
        <w:t>ait pas donné la suite voulue aux recommandations formulées par le Conseil dans les résolutions en question, notamment en refusant de laisser entrer dans le pays le Rapporteur spécial sur la situation des droits de l</w:t>
      </w:r>
      <w:r>
        <w:rPr>
          <w:spacing w:val="-4"/>
          <w:lang w:val="fr-FR"/>
        </w:rPr>
        <w:t>’</w:t>
      </w:r>
      <w:r w:rsidRPr="00E97292">
        <w:rPr>
          <w:spacing w:val="-4"/>
          <w:lang w:val="fr-FR"/>
        </w:rPr>
        <w:t>homme au Bélarus et d</w:t>
      </w:r>
      <w:r>
        <w:rPr>
          <w:spacing w:val="-4"/>
          <w:lang w:val="fr-FR"/>
        </w:rPr>
        <w:t>’</w:t>
      </w:r>
      <w:r w:rsidRPr="00E97292">
        <w:rPr>
          <w:spacing w:val="-4"/>
          <w:lang w:val="fr-FR"/>
        </w:rPr>
        <w:t>autres titulaires de mandat au titre des procédures spéciales,</w:t>
      </w:r>
    </w:p>
    <w:p w:rsidR="00F62876" w:rsidRPr="00314B22" w:rsidRDefault="00F62876" w:rsidP="00510F97">
      <w:pPr>
        <w:pStyle w:val="SingleTxtG"/>
        <w:ind w:firstLine="567"/>
        <w:rPr>
          <w:lang w:val="fr-FR"/>
        </w:rPr>
      </w:pPr>
      <w:r w:rsidRPr="00314B22">
        <w:rPr>
          <w:i/>
          <w:lang w:val="fr-FR"/>
        </w:rPr>
        <w:t>Rappelant</w:t>
      </w:r>
      <w:r>
        <w:rPr>
          <w:i/>
          <w:lang w:val="fr-FR"/>
        </w:rPr>
        <w:t xml:space="preserve"> également</w:t>
      </w:r>
      <w:r w:rsidRPr="00314B22">
        <w:rPr>
          <w:i/>
          <w:lang w:val="fr-FR"/>
        </w:rPr>
        <w:t xml:space="preserve"> </w:t>
      </w:r>
      <w:r w:rsidRPr="00314B22">
        <w:rPr>
          <w:lang w:val="fr-FR"/>
        </w:rPr>
        <w:t>les ré</w:t>
      </w:r>
      <w:r>
        <w:rPr>
          <w:lang w:val="fr-FR"/>
        </w:rPr>
        <w:t>solutions </w:t>
      </w:r>
      <w:r w:rsidRPr="00314B22">
        <w:rPr>
          <w:lang w:val="fr-FR"/>
        </w:rPr>
        <w:t xml:space="preserve">5/1 et 5/2 du Conseil en date du </w:t>
      </w:r>
      <w:r>
        <w:rPr>
          <w:lang w:val="fr-FR"/>
        </w:rPr>
        <w:t>18 </w:t>
      </w:r>
      <w:r w:rsidRPr="00314B22">
        <w:rPr>
          <w:lang w:val="fr-FR"/>
        </w:rPr>
        <w:t>juin 2007,</w:t>
      </w:r>
    </w:p>
    <w:p w:rsidR="00F62876" w:rsidRPr="00314B22" w:rsidRDefault="00F62876" w:rsidP="00510F97">
      <w:pPr>
        <w:pStyle w:val="SingleTxtG"/>
        <w:ind w:firstLine="567"/>
        <w:rPr>
          <w:lang w:val="fr-FR"/>
        </w:rPr>
      </w:pPr>
      <w:r w:rsidRPr="00314B22">
        <w:rPr>
          <w:lang w:val="fr-FR"/>
        </w:rPr>
        <w:t>1.</w:t>
      </w:r>
      <w:r w:rsidRPr="00314B22">
        <w:rPr>
          <w:lang w:val="fr-FR"/>
        </w:rPr>
        <w:tab/>
      </w:r>
      <w:r w:rsidRPr="00314B22">
        <w:rPr>
          <w:i/>
          <w:lang w:val="fr-FR"/>
        </w:rPr>
        <w:t>Accueille avec satisfaction</w:t>
      </w:r>
      <w:r w:rsidRPr="00314B22">
        <w:rPr>
          <w:lang w:val="fr-FR"/>
        </w:rPr>
        <w:t xml:space="preserve"> le rapport du Rapporteur spécial sur la situation des droits de l</w:t>
      </w:r>
      <w:r>
        <w:rPr>
          <w:lang w:val="fr-FR"/>
        </w:rPr>
        <w:t>’</w:t>
      </w:r>
      <w:r w:rsidRPr="00314B22">
        <w:rPr>
          <w:lang w:val="fr-FR"/>
        </w:rPr>
        <w:t>homme au Bélarus</w:t>
      </w:r>
      <w:r w:rsidR="00CA306D">
        <w:rPr>
          <w:rStyle w:val="FootnoteReference"/>
        </w:rPr>
        <w:footnoteReference w:id="3"/>
      </w:r>
      <w:r w:rsidRPr="00314B22">
        <w:rPr>
          <w:lang w:val="fr-FR"/>
        </w:rPr>
        <w:t>;</w:t>
      </w:r>
    </w:p>
    <w:p w:rsidR="00F62876" w:rsidRPr="00314B22" w:rsidRDefault="00F62876" w:rsidP="00510F97">
      <w:pPr>
        <w:pStyle w:val="SingleTxtG"/>
        <w:ind w:firstLine="567"/>
        <w:rPr>
          <w:spacing w:val="-2"/>
          <w:lang w:val="fr-FR"/>
        </w:rPr>
      </w:pPr>
      <w:r w:rsidRPr="00314B22">
        <w:rPr>
          <w:spacing w:val="-2"/>
          <w:lang w:val="fr-FR"/>
        </w:rPr>
        <w:t>2.</w:t>
      </w:r>
      <w:r w:rsidRPr="00314B22">
        <w:rPr>
          <w:spacing w:val="-2"/>
          <w:lang w:val="fr-FR"/>
        </w:rPr>
        <w:tab/>
      </w:r>
      <w:r w:rsidRPr="00314B22">
        <w:rPr>
          <w:i/>
          <w:spacing w:val="-2"/>
          <w:lang w:val="fr-FR"/>
        </w:rPr>
        <w:t xml:space="preserve">Exprime sa profonde préoccupation </w:t>
      </w:r>
      <w:r w:rsidRPr="00314B22">
        <w:rPr>
          <w:spacing w:val="-2"/>
          <w:lang w:val="fr-FR"/>
        </w:rPr>
        <w:t>devant les violations persistantes des droits de l</w:t>
      </w:r>
      <w:r>
        <w:rPr>
          <w:spacing w:val="-2"/>
          <w:lang w:val="fr-FR"/>
        </w:rPr>
        <w:t>’</w:t>
      </w:r>
      <w:r w:rsidRPr="00314B22">
        <w:rPr>
          <w:spacing w:val="-2"/>
          <w:lang w:val="fr-FR"/>
        </w:rPr>
        <w:t>homme au Bélarus, qui sont de nature structurelle et endémique, et devant les restrictions systémiques et systématiques imposées aux droits de l</w:t>
      </w:r>
      <w:r>
        <w:rPr>
          <w:spacing w:val="-2"/>
          <w:lang w:val="fr-FR"/>
        </w:rPr>
        <w:t>’</w:t>
      </w:r>
      <w:r w:rsidRPr="00314B22">
        <w:rPr>
          <w:spacing w:val="-2"/>
          <w:lang w:val="fr-FR"/>
        </w:rPr>
        <w:t>homme, en particulier en ce qui concerne les libertés d</w:t>
      </w:r>
      <w:r>
        <w:rPr>
          <w:spacing w:val="-2"/>
          <w:lang w:val="fr-FR"/>
        </w:rPr>
        <w:t>’</w:t>
      </w:r>
      <w:r w:rsidRPr="00314B22">
        <w:rPr>
          <w:spacing w:val="-2"/>
          <w:lang w:val="fr-FR"/>
        </w:rPr>
        <w:t>association, de réunion, d</w:t>
      </w:r>
      <w:r>
        <w:rPr>
          <w:spacing w:val="-2"/>
          <w:lang w:val="fr-FR"/>
        </w:rPr>
        <w:t>’</w:t>
      </w:r>
      <w:r w:rsidRPr="00314B22">
        <w:rPr>
          <w:spacing w:val="-2"/>
          <w:lang w:val="fr-FR"/>
        </w:rPr>
        <w:t>opinion et d</w:t>
      </w:r>
      <w:r>
        <w:rPr>
          <w:spacing w:val="-2"/>
          <w:lang w:val="fr-FR"/>
        </w:rPr>
        <w:t>’</w:t>
      </w:r>
      <w:r w:rsidRPr="00314B22">
        <w:rPr>
          <w:spacing w:val="-2"/>
          <w:lang w:val="fr-FR"/>
        </w:rPr>
        <w:t>expression, ainsi que les garanties d</w:t>
      </w:r>
      <w:r>
        <w:rPr>
          <w:spacing w:val="-2"/>
          <w:lang w:val="fr-FR"/>
        </w:rPr>
        <w:t>’</w:t>
      </w:r>
      <w:r w:rsidRPr="00314B22">
        <w:rPr>
          <w:spacing w:val="-2"/>
          <w:lang w:val="fr-FR"/>
        </w:rPr>
        <w:t>une procédure régulière et d</w:t>
      </w:r>
      <w:r>
        <w:rPr>
          <w:spacing w:val="-2"/>
          <w:lang w:val="fr-FR"/>
        </w:rPr>
        <w:t>’</w:t>
      </w:r>
      <w:r w:rsidRPr="00314B22">
        <w:rPr>
          <w:spacing w:val="-2"/>
          <w:lang w:val="fr-FR"/>
        </w:rPr>
        <w:t>un procès équitable, et s</w:t>
      </w:r>
      <w:r>
        <w:rPr>
          <w:spacing w:val="-2"/>
          <w:lang w:val="fr-FR"/>
        </w:rPr>
        <w:t>’</w:t>
      </w:r>
      <w:r w:rsidRPr="00314B22">
        <w:rPr>
          <w:spacing w:val="-2"/>
          <w:lang w:val="fr-FR"/>
        </w:rPr>
        <w:t>inquiète tout particulièrement du recours à la torture et aux mauvais</w:t>
      </w:r>
      <w:r w:rsidR="00CA306D">
        <w:rPr>
          <w:spacing w:val="-2"/>
          <w:lang w:val="fr-FR"/>
        </w:rPr>
        <w:t xml:space="preserve"> traitements en garde à vue, de </w:t>
      </w:r>
      <w:r w:rsidRPr="00314B22">
        <w:rPr>
          <w:spacing w:val="-2"/>
          <w:lang w:val="fr-FR"/>
        </w:rPr>
        <w:t>l</w:t>
      </w:r>
      <w:r>
        <w:rPr>
          <w:spacing w:val="-2"/>
          <w:lang w:val="fr-FR"/>
        </w:rPr>
        <w:t>’</w:t>
      </w:r>
      <w:r w:rsidRPr="00314B22">
        <w:rPr>
          <w:spacing w:val="-2"/>
          <w:lang w:val="fr-FR"/>
        </w:rPr>
        <w:t>inertie du Gouvernement face aux cas de disparition forcée d</w:t>
      </w:r>
      <w:r>
        <w:rPr>
          <w:spacing w:val="-2"/>
          <w:lang w:val="fr-FR"/>
        </w:rPr>
        <w:t>’</w:t>
      </w:r>
      <w:r w:rsidR="00CA306D">
        <w:rPr>
          <w:spacing w:val="-2"/>
          <w:lang w:val="fr-FR"/>
        </w:rPr>
        <w:t xml:space="preserve">opposants politiques, des </w:t>
      </w:r>
      <w:r w:rsidRPr="00314B22">
        <w:rPr>
          <w:spacing w:val="-2"/>
          <w:lang w:val="fr-FR"/>
        </w:rPr>
        <w:t>violations des droits du travail assimilables au travail forcé, des importantes lacunes de la législation contre la discrimination, de l</w:t>
      </w:r>
      <w:r>
        <w:rPr>
          <w:spacing w:val="-2"/>
          <w:lang w:val="fr-FR"/>
        </w:rPr>
        <w:t>’</w:t>
      </w:r>
      <w:r w:rsidRPr="00314B22">
        <w:rPr>
          <w:spacing w:val="-2"/>
          <w:lang w:val="fr-FR"/>
        </w:rPr>
        <w:t>impunité dont jouissent les auteurs de violations des droits de l</w:t>
      </w:r>
      <w:r>
        <w:rPr>
          <w:spacing w:val="-2"/>
          <w:lang w:val="fr-FR"/>
        </w:rPr>
        <w:t>’</w:t>
      </w:r>
      <w:r w:rsidRPr="00314B22">
        <w:rPr>
          <w:spacing w:val="-2"/>
          <w:lang w:val="fr-FR"/>
        </w:rPr>
        <w:t>homme et d</w:t>
      </w:r>
      <w:r>
        <w:rPr>
          <w:spacing w:val="-2"/>
          <w:lang w:val="fr-FR"/>
        </w:rPr>
        <w:t>’</w:t>
      </w:r>
      <w:r w:rsidRPr="00314B22">
        <w:rPr>
          <w:spacing w:val="-2"/>
          <w:lang w:val="fr-FR"/>
        </w:rPr>
        <w:t>atteintes à ces droits, du harcèlement des organisations de la société civile, des défenseurs des droits de l</w:t>
      </w:r>
      <w:r>
        <w:rPr>
          <w:spacing w:val="-2"/>
          <w:lang w:val="fr-FR"/>
        </w:rPr>
        <w:t>’</w:t>
      </w:r>
      <w:r w:rsidRPr="00314B22">
        <w:rPr>
          <w:spacing w:val="-2"/>
          <w:lang w:val="fr-FR"/>
        </w:rPr>
        <w:t>homme, des journalistes et des opposants politiques, de la pression exercée sur les avocats de la défense, de la participation insuffisante des partis politiques d</w:t>
      </w:r>
      <w:r>
        <w:rPr>
          <w:spacing w:val="-2"/>
          <w:lang w:val="fr-FR"/>
        </w:rPr>
        <w:t>’</w:t>
      </w:r>
      <w:r w:rsidRPr="00314B22">
        <w:rPr>
          <w:spacing w:val="-2"/>
          <w:lang w:val="fr-FR"/>
        </w:rPr>
        <w:t>opposition au Parlement, et du fait que, de l</w:t>
      </w:r>
      <w:r>
        <w:rPr>
          <w:spacing w:val="-2"/>
          <w:lang w:val="fr-FR"/>
        </w:rPr>
        <w:t>’</w:t>
      </w:r>
      <w:r w:rsidRPr="00314B22">
        <w:rPr>
          <w:spacing w:val="-2"/>
          <w:lang w:val="fr-FR"/>
        </w:rPr>
        <w:t>avis de la plupart des observateurs internationaux, les élections parlementaires du 23 septembre 2012 ne se sont pas déroulées dans le respect des normes élémentaires pour la tenue d</w:t>
      </w:r>
      <w:r>
        <w:rPr>
          <w:spacing w:val="-2"/>
          <w:lang w:val="fr-FR"/>
        </w:rPr>
        <w:t>’</w:t>
      </w:r>
      <w:r w:rsidRPr="00314B22">
        <w:rPr>
          <w:spacing w:val="-2"/>
          <w:lang w:val="fr-FR"/>
        </w:rPr>
        <w:t>élections pluralistes, libres et régulières;</w:t>
      </w:r>
    </w:p>
    <w:p w:rsidR="00F62876" w:rsidRPr="00314B22" w:rsidRDefault="00F62876" w:rsidP="00510F97">
      <w:pPr>
        <w:pStyle w:val="SingleTxtG"/>
        <w:ind w:firstLine="567"/>
        <w:rPr>
          <w:lang w:val="fr-FR"/>
        </w:rPr>
      </w:pPr>
      <w:r w:rsidRPr="00314B22">
        <w:rPr>
          <w:lang w:val="fr-FR"/>
        </w:rPr>
        <w:t>3.</w:t>
      </w:r>
      <w:r w:rsidRPr="00314B22">
        <w:rPr>
          <w:lang w:val="fr-FR"/>
        </w:rPr>
        <w:tab/>
      </w:r>
      <w:r w:rsidRPr="00314B22">
        <w:rPr>
          <w:i/>
          <w:spacing w:val="-2"/>
          <w:lang w:val="fr-FR"/>
        </w:rPr>
        <w:t>Demande</w:t>
      </w:r>
      <w:r w:rsidRPr="00314B22">
        <w:rPr>
          <w:spacing w:val="-2"/>
          <w:lang w:val="fr-FR"/>
        </w:rPr>
        <w:t xml:space="preserve"> au Gouvernement bélarussien de procéder à une révision générale de la législation, des politiques, des stratégies et des pratiques pertinentes pour faire en sorte que les dispositions et les règles qui y figurent soient clairement définies et respectent le droit international des droits de l</w:t>
      </w:r>
      <w:r>
        <w:rPr>
          <w:spacing w:val="-2"/>
          <w:lang w:val="fr-FR"/>
        </w:rPr>
        <w:t>’</w:t>
      </w:r>
      <w:r w:rsidRPr="00314B22">
        <w:rPr>
          <w:spacing w:val="-2"/>
          <w:lang w:val="fr-FR"/>
        </w:rPr>
        <w:t>homme et les obligations qui en découlent, et ne soient pas utilisées pour empêcher ou restreindre indûment l</w:t>
      </w:r>
      <w:r>
        <w:rPr>
          <w:spacing w:val="-2"/>
          <w:lang w:val="fr-FR"/>
        </w:rPr>
        <w:t>’</w:t>
      </w:r>
      <w:r w:rsidRPr="00314B22">
        <w:rPr>
          <w:spacing w:val="-2"/>
          <w:lang w:val="fr-FR"/>
        </w:rPr>
        <w:t>exercice des droits de l</w:t>
      </w:r>
      <w:r>
        <w:rPr>
          <w:spacing w:val="-2"/>
          <w:lang w:val="fr-FR"/>
        </w:rPr>
        <w:t>’</w:t>
      </w:r>
      <w:r w:rsidRPr="00314B22">
        <w:rPr>
          <w:spacing w:val="-2"/>
          <w:lang w:val="fr-FR"/>
        </w:rPr>
        <w:t>homme, y compris les libertés d</w:t>
      </w:r>
      <w:r>
        <w:rPr>
          <w:spacing w:val="-2"/>
          <w:lang w:val="fr-FR"/>
        </w:rPr>
        <w:t>’</w:t>
      </w:r>
      <w:r w:rsidRPr="00314B22">
        <w:rPr>
          <w:spacing w:val="-2"/>
          <w:lang w:val="fr-FR"/>
        </w:rPr>
        <w:t>expression, d</w:t>
      </w:r>
      <w:r>
        <w:rPr>
          <w:spacing w:val="-2"/>
          <w:lang w:val="fr-FR"/>
        </w:rPr>
        <w:t>’</w:t>
      </w:r>
      <w:r w:rsidRPr="00314B22">
        <w:rPr>
          <w:spacing w:val="-2"/>
          <w:lang w:val="fr-FR"/>
        </w:rPr>
        <w:t>association et de réunion pacifique, ou la liberté des médias;</w:t>
      </w:r>
    </w:p>
    <w:p w:rsidR="00F62876" w:rsidRPr="00314B22" w:rsidRDefault="00F62876" w:rsidP="00510F97">
      <w:pPr>
        <w:pStyle w:val="SingleTxtG"/>
        <w:ind w:firstLine="567"/>
        <w:rPr>
          <w:lang w:val="fr-FR"/>
        </w:rPr>
      </w:pPr>
      <w:r w:rsidRPr="00314B22">
        <w:rPr>
          <w:lang w:val="fr-FR"/>
        </w:rPr>
        <w:t>4.</w:t>
      </w:r>
      <w:r w:rsidRPr="00314B22">
        <w:rPr>
          <w:lang w:val="fr-FR"/>
        </w:rPr>
        <w:tab/>
      </w:r>
      <w:r w:rsidRPr="00314B22">
        <w:rPr>
          <w:i/>
          <w:lang w:val="fr-FR"/>
        </w:rPr>
        <w:t>Prend acte</w:t>
      </w:r>
      <w:r w:rsidRPr="00314B22">
        <w:rPr>
          <w:lang w:val="fr-FR"/>
        </w:rPr>
        <w:t xml:space="preserve"> de l</w:t>
      </w:r>
      <w:r>
        <w:rPr>
          <w:lang w:val="fr-FR"/>
        </w:rPr>
        <w:t>’</w:t>
      </w:r>
      <w:r w:rsidRPr="00314B22">
        <w:rPr>
          <w:lang w:val="fr-FR"/>
        </w:rPr>
        <w:t>attention accordée par le Rapporteur spécial à la question de la peine de mort au Bélarus, et prend note du rétablissement du groupe de travail parlementaire sur la peine de mort, qu</w:t>
      </w:r>
      <w:r>
        <w:rPr>
          <w:lang w:val="fr-FR"/>
        </w:rPr>
        <w:t>’</w:t>
      </w:r>
      <w:r w:rsidRPr="00314B22">
        <w:rPr>
          <w:lang w:val="fr-FR"/>
        </w:rPr>
        <w:t>il encourage à accélérer ses travaux;</w:t>
      </w:r>
    </w:p>
    <w:p w:rsidR="00F62876" w:rsidRPr="00314B22" w:rsidRDefault="00F62876" w:rsidP="00510F97">
      <w:pPr>
        <w:pStyle w:val="SingleTxtG"/>
        <w:ind w:firstLine="567"/>
        <w:rPr>
          <w:lang w:val="fr-FR"/>
        </w:rPr>
      </w:pPr>
      <w:r w:rsidRPr="00314B22">
        <w:rPr>
          <w:lang w:val="fr-FR"/>
        </w:rPr>
        <w:t>5.</w:t>
      </w:r>
      <w:r w:rsidRPr="00314B22">
        <w:rPr>
          <w:lang w:val="fr-FR"/>
        </w:rPr>
        <w:tab/>
      </w:r>
      <w:r w:rsidRPr="00314B22">
        <w:rPr>
          <w:i/>
          <w:lang w:val="fr-FR"/>
        </w:rPr>
        <w:t>Demande</w:t>
      </w:r>
      <w:r w:rsidRPr="00314B22">
        <w:rPr>
          <w:lang w:val="fr-FR"/>
        </w:rPr>
        <w:t xml:space="preserve"> au Gouvernement bélarussien d</w:t>
      </w:r>
      <w:r>
        <w:rPr>
          <w:lang w:val="fr-FR"/>
        </w:rPr>
        <w:t>’</w:t>
      </w:r>
      <w:r w:rsidRPr="00314B22">
        <w:rPr>
          <w:lang w:val="fr-FR"/>
        </w:rPr>
        <w:t>engager une réforme générale du secteur de la justice et des barreaux afin de garantir l</w:t>
      </w:r>
      <w:r>
        <w:rPr>
          <w:lang w:val="fr-FR"/>
        </w:rPr>
        <w:t>’</w:t>
      </w:r>
      <w:r w:rsidRPr="00314B22">
        <w:rPr>
          <w:lang w:val="fr-FR"/>
        </w:rPr>
        <w:t>indépendance et l</w:t>
      </w:r>
      <w:r>
        <w:rPr>
          <w:lang w:val="fr-FR"/>
        </w:rPr>
        <w:t>’</w:t>
      </w:r>
      <w:r w:rsidRPr="00314B22">
        <w:rPr>
          <w:lang w:val="fr-FR"/>
        </w:rPr>
        <w:t>impartialité du pouvoir judiciaire, la présomption d</w:t>
      </w:r>
      <w:r>
        <w:rPr>
          <w:lang w:val="fr-FR"/>
        </w:rPr>
        <w:t>’</w:t>
      </w:r>
      <w:r w:rsidRPr="00314B22">
        <w:rPr>
          <w:lang w:val="fr-FR"/>
        </w:rPr>
        <w:t>innocence, le droit à un procès équitable</w:t>
      </w:r>
      <w:r w:rsidR="00471B0C">
        <w:rPr>
          <w:lang w:val="fr-FR"/>
        </w:rPr>
        <w:t xml:space="preserve"> </w:t>
      </w:r>
      <w:r>
        <w:rPr>
          <w:lang w:val="fr-FR"/>
        </w:rPr>
        <w:t>et</w:t>
      </w:r>
      <w:r w:rsidRPr="00314B22">
        <w:rPr>
          <w:lang w:val="fr-FR"/>
        </w:rPr>
        <w:t xml:space="preserve"> le droit de faire examiner par une juridiction supérieure la déclaration de culpabilité et la condamnation, conformément à la loi, et de bénéficier d</w:t>
      </w:r>
      <w:r>
        <w:rPr>
          <w:lang w:val="fr-FR"/>
        </w:rPr>
        <w:t>’</w:t>
      </w:r>
      <w:r w:rsidRPr="00314B22">
        <w:rPr>
          <w:lang w:val="fr-FR"/>
        </w:rPr>
        <w:t>une représentation juridique librement choisie tout au long des procédures, ainsi que la mise à disposition d</w:t>
      </w:r>
      <w:r>
        <w:rPr>
          <w:lang w:val="fr-FR"/>
        </w:rPr>
        <w:t>’</w:t>
      </w:r>
      <w:r w:rsidRPr="00314B22">
        <w:rPr>
          <w:lang w:val="fr-FR"/>
        </w:rPr>
        <w:t>informations sur l</w:t>
      </w:r>
      <w:r>
        <w:rPr>
          <w:lang w:val="fr-FR"/>
        </w:rPr>
        <w:t>’</w:t>
      </w:r>
      <w:r w:rsidRPr="00314B22">
        <w:rPr>
          <w:lang w:val="fr-FR"/>
        </w:rPr>
        <w:t>application de toutes les peines prononcées;</w:t>
      </w:r>
    </w:p>
    <w:p w:rsidR="00F62876" w:rsidRPr="00314B22" w:rsidRDefault="00F62876" w:rsidP="00510F97">
      <w:pPr>
        <w:pStyle w:val="SingleTxtG"/>
        <w:ind w:firstLine="567"/>
        <w:rPr>
          <w:lang w:val="fr-FR"/>
        </w:rPr>
      </w:pPr>
      <w:r w:rsidRPr="00314B22">
        <w:rPr>
          <w:lang w:val="fr-FR"/>
        </w:rPr>
        <w:t>6.</w:t>
      </w:r>
      <w:r w:rsidRPr="00314B22">
        <w:rPr>
          <w:lang w:val="fr-FR"/>
        </w:rPr>
        <w:tab/>
      </w:r>
      <w:r w:rsidRPr="00314B22">
        <w:rPr>
          <w:i/>
          <w:spacing w:val="-4"/>
          <w:lang w:val="fr-FR"/>
        </w:rPr>
        <w:t xml:space="preserve">Engage vivement </w:t>
      </w:r>
      <w:r w:rsidRPr="00314B22">
        <w:rPr>
          <w:spacing w:val="-4"/>
          <w:lang w:val="fr-FR"/>
        </w:rPr>
        <w:t xml:space="preserve">le Gouvernement bélarussien à libérer immédiatement et </w:t>
      </w:r>
      <w:r w:rsidR="00471B0C">
        <w:rPr>
          <w:spacing w:val="-4"/>
          <w:lang w:val="fr-FR"/>
        </w:rPr>
        <w:t>sans conditions</w:t>
      </w:r>
      <w:r w:rsidRPr="00314B22">
        <w:rPr>
          <w:spacing w:val="-4"/>
          <w:lang w:val="fr-FR"/>
        </w:rPr>
        <w:t xml:space="preserve"> tous les prisonniers politiques</w:t>
      </w:r>
      <w:r w:rsidR="002427C1">
        <w:rPr>
          <w:spacing w:val="-4"/>
          <w:lang w:val="fr-FR"/>
        </w:rPr>
        <w:t>,</w:t>
      </w:r>
      <w:r w:rsidR="00471B0C">
        <w:rPr>
          <w:spacing w:val="-4"/>
          <w:lang w:val="fr-FR"/>
        </w:rPr>
        <w:t xml:space="preserve"> et à les réhabiliter</w:t>
      </w:r>
      <w:r w:rsidRPr="00314B22">
        <w:rPr>
          <w:spacing w:val="-4"/>
          <w:lang w:val="fr-FR"/>
        </w:rPr>
        <w:t xml:space="preserve">, </w:t>
      </w:r>
      <w:r w:rsidR="00471B0C">
        <w:rPr>
          <w:spacing w:val="-4"/>
          <w:lang w:val="fr-FR"/>
        </w:rPr>
        <w:t xml:space="preserve">et à réhabiliter également </w:t>
      </w:r>
      <w:r w:rsidRPr="00314B22">
        <w:rPr>
          <w:spacing w:val="-4"/>
          <w:lang w:val="fr-FR"/>
        </w:rPr>
        <w:t>ceux qui ont déjà été libérés, à examiner, au moyen d</w:t>
      </w:r>
      <w:r>
        <w:rPr>
          <w:spacing w:val="-4"/>
          <w:lang w:val="fr-FR"/>
        </w:rPr>
        <w:t>’</w:t>
      </w:r>
      <w:r w:rsidRPr="00314B22">
        <w:rPr>
          <w:spacing w:val="-4"/>
          <w:lang w:val="fr-FR"/>
        </w:rPr>
        <w:t>enquêtes exhaustives, transparentes et crédibles, les informations faisant état d</w:t>
      </w:r>
      <w:r>
        <w:rPr>
          <w:spacing w:val="-4"/>
          <w:lang w:val="fr-FR"/>
        </w:rPr>
        <w:t>’</w:t>
      </w:r>
      <w:r w:rsidRPr="00314B22">
        <w:rPr>
          <w:spacing w:val="-4"/>
          <w:lang w:val="fr-FR"/>
        </w:rPr>
        <w:t>actes de torture et de mauvais traitements infligés par des agents des forces de l</w:t>
      </w:r>
      <w:r>
        <w:rPr>
          <w:spacing w:val="-4"/>
          <w:lang w:val="fr-FR"/>
        </w:rPr>
        <w:t>’</w:t>
      </w:r>
      <w:r w:rsidRPr="00314B22">
        <w:rPr>
          <w:spacing w:val="-4"/>
          <w:lang w:val="fr-FR"/>
        </w:rPr>
        <w:t>ordre, à mettre immédiatement un terme à la détention arbitraire de défenseurs des droits de l</w:t>
      </w:r>
      <w:r>
        <w:rPr>
          <w:spacing w:val="-4"/>
          <w:lang w:val="fr-FR"/>
        </w:rPr>
        <w:t>’</w:t>
      </w:r>
      <w:r w:rsidRPr="00314B22">
        <w:rPr>
          <w:spacing w:val="-4"/>
          <w:lang w:val="fr-FR"/>
        </w:rPr>
        <w:t>homme et d</w:t>
      </w:r>
      <w:r>
        <w:rPr>
          <w:spacing w:val="-4"/>
          <w:lang w:val="fr-FR"/>
        </w:rPr>
        <w:t>’</w:t>
      </w:r>
      <w:r w:rsidRPr="00314B22">
        <w:rPr>
          <w:spacing w:val="-4"/>
          <w:lang w:val="fr-FR"/>
        </w:rPr>
        <w:t>opposants politiques, aux interdictions de voyager arbitraires et aux autres pratiques visant à intimider les représentants de l</w:t>
      </w:r>
      <w:r>
        <w:rPr>
          <w:spacing w:val="-4"/>
          <w:lang w:val="fr-FR"/>
        </w:rPr>
        <w:t>’</w:t>
      </w:r>
      <w:r w:rsidRPr="00314B22">
        <w:rPr>
          <w:spacing w:val="-4"/>
          <w:lang w:val="fr-FR"/>
        </w:rPr>
        <w:t>opposition politique et des médias ainsi que les défenseurs des droits de l</w:t>
      </w:r>
      <w:r>
        <w:rPr>
          <w:spacing w:val="-4"/>
          <w:lang w:val="fr-FR"/>
        </w:rPr>
        <w:t>’</w:t>
      </w:r>
      <w:r w:rsidRPr="00314B22">
        <w:rPr>
          <w:spacing w:val="-4"/>
          <w:lang w:val="fr-FR"/>
        </w:rPr>
        <w:t>homme et les membres de la société civile;</w:t>
      </w:r>
    </w:p>
    <w:p w:rsidR="00F62876" w:rsidRPr="00314B22" w:rsidRDefault="00F62876" w:rsidP="00510F97">
      <w:pPr>
        <w:pStyle w:val="SingleTxtG"/>
        <w:ind w:firstLine="567"/>
        <w:rPr>
          <w:lang w:val="fr-FR"/>
        </w:rPr>
      </w:pPr>
      <w:r w:rsidRPr="00314B22">
        <w:rPr>
          <w:lang w:val="fr-FR"/>
        </w:rPr>
        <w:t>7.</w:t>
      </w:r>
      <w:r w:rsidRPr="00314B22">
        <w:rPr>
          <w:lang w:val="fr-FR"/>
        </w:rPr>
        <w:tab/>
      </w:r>
      <w:r w:rsidRPr="00314B22">
        <w:rPr>
          <w:i/>
          <w:lang w:val="fr-FR"/>
        </w:rPr>
        <w:t>Encourage</w:t>
      </w:r>
      <w:r w:rsidRPr="00314B22">
        <w:rPr>
          <w:lang w:val="fr-FR"/>
        </w:rPr>
        <w:t xml:space="preserve"> le Gouvernement bélarussien à envisager d</w:t>
      </w:r>
      <w:r>
        <w:rPr>
          <w:lang w:val="fr-FR"/>
        </w:rPr>
        <w:t>’</w:t>
      </w:r>
      <w:r w:rsidRPr="00314B22">
        <w:rPr>
          <w:lang w:val="fr-FR"/>
        </w:rPr>
        <w:t>accélérer la mise en œuvre de l</w:t>
      </w:r>
      <w:r>
        <w:rPr>
          <w:lang w:val="fr-FR"/>
        </w:rPr>
        <w:t>’</w:t>
      </w:r>
      <w:r w:rsidRPr="00314B22">
        <w:rPr>
          <w:lang w:val="fr-FR"/>
        </w:rPr>
        <w:t>initiative visant à établir une institution nationale des droits de l</w:t>
      </w:r>
      <w:r>
        <w:rPr>
          <w:lang w:val="fr-FR"/>
        </w:rPr>
        <w:t>’</w:t>
      </w:r>
      <w:r w:rsidRPr="00314B22">
        <w:rPr>
          <w:lang w:val="fr-FR"/>
        </w:rPr>
        <w:t>homme conforme aux Principes de Paris, et à améliorer les progrès vers la réalisation des objectifs du Millénaire pour le développement;</w:t>
      </w:r>
    </w:p>
    <w:p w:rsidR="00F62876" w:rsidRPr="00314B22" w:rsidRDefault="00F62876" w:rsidP="00510F97">
      <w:pPr>
        <w:pStyle w:val="SingleTxtG"/>
        <w:ind w:firstLine="567"/>
        <w:rPr>
          <w:lang w:val="fr-FR"/>
        </w:rPr>
      </w:pPr>
      <w:r w:rsidRPr="00314B22">
        <w:rPr>
          <w:lang w:val="fr-FR"/>
        </w:rPr>
        <w:t>8.</w:t>
      </w:r>
      <w:r w:rsidRPr="00314B22">
        <w:rPr>
          <w:lang w:val="fr-FR"/>
        </w:rPr>
        <w:tab/>
      </w:r>
      <w:r w:rsidRPr="00314B22">
        <w:rPr>
          <w:i/>
          <w:lang w:val="fr-FR"/>
        </w:rPr>
        <w:t>Décide</w:t>
      </w:r>
      <w:r w:rsidRPr="00314B22">
        <w:rPr>
          <w:lang w:val="fr-FR"/>
        </w:rPr>
        <w:t xml:space="preserve"> de prolonger le mandat du Rapporteur spécial sur la situation des droits de l</w:t>
      </w:r>
      <w:r>
        <w:rPr>
          <w:lang w:val="fr-FR"/>
        </w:rPr>
        <w:t>’</w:t>
      </w:r>
      <w:r w:rsidRPr="00314B22">
        <w:rPr>
          <w:lang w:val="fr-FR"/>
        </w:rPr>
        <w:t>homme au Bélarus pour une période d</w:t>
      </w:r>
      <w:r>
        <w:rPr>
          <w:lang w:val="fr-FR"/>
        </w:rPr>
        <w:t>’</w:t>
      </w:r>
      <w:r w:rsidRPr="00314B22">
        <w:rPr>
          <w:lang w:val="fr-FR"/>
        </w:rPr>
        <w:t>un an, et prie le Rapporteur spécial de soumettre un rapport sur la situation des droits de l</w:t>
      </w:r>
      <w:r>
        <w:rPr>
          <w:lang w:val="fr-FR"/>
        </w:rPr>
        <w:t>’</w:t>
      </w:r>
      <w:r w:rsidRPr="00314B22">
        <w:rPr>
          <w:lang w:val="fr-FR"/>
        </w:rPr>
        <w:t xml:space="preserve">homme au Bélarus </w:t>
      </w:r>
      <w:r>
        <w:rPr>
          <w:lang w:val="fr-FR"/>
        </w:rPr>
        <w:t xml:space="preserve">au Conseil, </w:t>
      </w:r>
      <w:r w:rsidRPr="00314B22">
        <w:rPr>
          <w:lang w:val="fr-FR"/>
        </w:rPr>
        <w:t>à sa vingt-sixième session</w:t>
      </w:r>
      <w:r>
        <w:rPr>
          <w:lang w:val="fr-FR"/>
        </w:rPr>
        <w:t>,</w:t>
      </w:r>
      <w:r w:rsidRPr="00314B22">
        <w:rPr>
          <w:lang w:val="fr-FR"/>
        </w:rPr>
        <w:t xml:space="preserve"> et à l</w:t>
      </w:r>
      <w:r>
        <w:rPr>
          <w:lang w:val="fr-FR"/>
        </w:rPr>
        <w:t>’</w:t>
      </w:r>
      <w:r w:rsidRPr="00314B22">
        <w:rPr>
          <w:lang w:val="fr-FR"/>
        </w:rPr>
        <w:t>Assemblée générale</w:t>
      </w:r>
      <w:r>
        <w:rPr>
          <w:lang w:val="fr-FR"/>
        </w:rPr>
        <w:t>,</w:t>
      </w:r>
      <w:r w:rsidRPr="00314B22">
        <w:rPr>
          <w:lang w:val="fr-FR"/>
        </w:rPr>
        <w:t xml:space="preserve"> à sa soixante-neuvième session;</w:t>
      </w:r>
    </w:p>
    <w:p w:rsidR="00F62876" w:rsidRPr="00314B22" w:rsidRDefault="00F62876" w:rsidP="00510F97">
      <w:pPr>
        <w:pStyle w:val="SingleTxtG"/>
        <w:ind w:firstLine="567"/>
        <w:rPr>
          <w:lang w:val="fr-FR"/>
        </w:rPr>
      </w:pPr>
      <w:r w:rsidRPr="00314B22">
        <w:rPr>
          <w:lang w:val="fr-FR"/>
        </w:rPr>
        <w:t>9.</w:t>
      </w:r>
      <w:r w:rsidRPr="00314B22">
        <w:rPr>
          <w:lang w:val="fr-FR"/>
        </w:rPr>
        <w:tab/>
      </w:r>
      <w:r w:rsidRPr="00314B22">
        <w:rPr>
          <w:i/>
          <w:lang w:val="fr-FR"/>
        </w:rPr>
        <w:t xml:space="preserve">Engage </w:t>
      </w:r>
      <w:r w:rsidRPr="00314B22">
        <w:rPr>
          <w:lang w:val="fr-FR"/>
        </w:rPr>
        <w:t>le Gouvernement bélarussien à coopérer pleinement avec le Rapporteur spécial et à l</w:t>
      </w:r>
      <w:r>
        <w:rPr>
          <w:lang w:val="fr-FR"/>
        </w:rPr>
        <w:t>’</w:t>
      </w:r>
      <w:r w:rsidRPr="00314B22">
        <w:rPr>
          <w:lang w:val="fr-FR"/>
        </w:rPr>
        <w:t xml:space="preserve">autoriser à se rendre dans le pays, </w:t>
      </w:r>
      <w:r>
        <w:rPr>
          <w:lang w:val="fr-FR"/>
        </w:rPr>
        <w:t xml:space="preserve">et </w:t>
      </w:r>
      <w:r w:rsidRPr="00314B22">
        <w:rPr>
          <w:lang w:val="fr-FR"/>
        </w:rPr>
        <w:t>à lui donner les informations nécessaires pour faciliter la mise en œuvre de son mandat;</w:t>
      </w:r>
    </w:p>
    <w:p w:rsidR="00F62876" w:rsidRDefault="00F62876" w:rsidP="00510F97">
      <w:pPr>
        <w:pStyle w:val="SingleTxtG"/>
        <w:ind w:firstLine="567"/>
        <w:rPr>
          <w:lang w:val="fr-FR"/>
        </w:rPr>
      </w:pPr>
      <w:r w:rsidRPr="00314B22">
        <w:rPr>
          <w:lang w:val="fr-FR"/>
        </w:rPr>
        <w:t>10.</w:t>
      </w:r>
      <w:r w:rsidRPr="00314B22">
        <w:rPr>
          <w:lang w:val="fr-FR"/>
        </w:rPr>
        <w:tab/>
      </w:r>
      <w:r w:rsidRPr="00314B22">
        <w:rPr>
          <w:i/>
          <w:lang w:val="fr-FR"/>
        </w:rPr>
        <w:t xml:space="preserve">Prie </w:t>
      </w:r>
      <w:r w:rsidRPr="00314B22">
        <w:rPr>
          <w:lang w:val="fr-FR"/>
        </w:rPr>
        <w:t>le Haut-Commissariat des Nations Unies aux droits de l</w:t>
      </w:r>
      <w:r>
        <w:rPr>
          <w:lang w:val="fr-FR"/>
        </w:rPr>
        <w:t>’</w:t>
      </w:r>
      <w:r w:rsidRPr="00314B22">
        <w:rPr>
          <w:lang w:val="fr-FR"/>
        </w:rPr>
        <w:t>homme de fournir au Rapporteur spécial l</w:t>
      </w:r>
      <w:r>
        <w:rPr>
          <w:lang w:val="fr-FR"/>
        </w:rPr>
        <w:t>’</w:t>
      </w:r>
      <w:r w:rsidRPr="00314B22">
        <w:rPr>
          <w:lang w:val="fr-FR"/>
        </w:rPr>
        <w:t>aide et les ressources nécessaires pour lui permettre de s</w:t>
      </w:r>
      <w:r>
        <w:rPr>
          <w:lang w:val="fr-FR"/>
        </w:rPr>
        <w:t>’</w:t>
      </w:r>
      <w:r w:rsidRPr="00314B22">
        <w:rPr>
          <w:lang w:val="fr-FR"/>
        </w:rPr>
        <w:t>acquitter de son mandat.</w:t>
      </w:r>
    </w:p>
    <w:p w:rsidR="00F62876" w:rsidRDefault="00F62876" w:rsidP="00510F97">
      <w:pPr>
        <w:pStyle w:val="SingleTxtG"/>
        <w:jc w:val="right"/>
      </w:pPr>
      <w:r w:rsidRPr="00510F97">
        <w:rPr>
          <w:i/>
          <w:lang w:val="fr-FR"/>
        </w:rPr>
        <w:t>3</w:t>
      </w:r>
      <w:r w:rsidRPr="00510F97">
        <w:rPr>
          <w:i/>
        </w:rPr>
        <w:t>8</w:t>
      </w:r>
      <w:r w:rsidRPr="00510F97">
        <w:rPr>
          <w:i/>
          <w:vertAlign w:val="superscript"/>
        </w:rPr>
        <w:t>e</w:t>
      </w:r>
      <w:r w:rsidRPr="00510F97">
        <w:rPr>
          <w:i/>
        </w:rPr>
        <w:t xml:space="preserve"> séance</w:t>
      </w:r>
      <w:r w:rsidRPr="00152607">
        <w:br/>
      </w:r>
      <w:r w:rsidRPr="00510F97">
        <w:rPr>
          <w:i/>
        </w:rPr>
        <w:t>13 juin 2013</w:t>
      </w:r>
    </w:p>
    <w:p w:rsidR="00F62876" w:rsidRDefault="00F62876" w:rsidP="00510F97">
      <w:pPr>
        <w:pStyle w:val="SingleTxtG"/>
        <w:keepNext/>
        <w:rPr>
          <w:lang w:bidi="hi-IN"/>
        </w:rPr>
      </w:pPr>
      <w:r>
        <w:rPr>
          <w:lang w:bidi="hi-IN"/>
        </w:rPr>
        <w:t>[</w:t>
      </w:r>
      <w:r>
        <w:t>Résolution a</w:t>
      </w:r>
      <w:r w:rsidRPr="00761107">
        <w:t>dopt</w:t>
      </w:r>
      <w:r>
        <w:t>ée à l’issue d’un vote enregistré par 26 voix contre 3, avec 18 abstentions. Les voix se sont réparties comme suit:</w:t>
      </w:r>
    </w:p>
    <w:p w:rsidR="00F62876" w:rsidRDefault="00F62876" w:rsidP="00060105">
      <w:pPr>
        <w:pStyle w:val="SingleTxtG"/>
        <w:spacing w:after="0"/>
        <w:ind w:firstLine="567"/>
        <w:rPr>
          <w:i/>
          <w:lang w:bidi="hi-IN"/>
        </w:rPr>
      </w:pPr>
      <w:r w:rsidRPr="001A3DBF">
        <w:rPr>
          <w:i/>
        </w:rPr>
        <w:t>Ont voté pour</w:t>
      </w:r>
      <w:r>
        <w:t>:</w:t>
      </w:r>
    </w:p>
    <w:p w:rsidR="00F62876" w:rsidRDefault="00471B0C" w:rsidP="00407D4D">
      <w:pPr>
        <w:pStyle w:val="SingleTxtG"/>
        <w:ind w:left="2268"/>
        <w:rPr>
          <w:lang w:bidi="hi-IN"/>
        </w:rPr>
      </w:pPr>
      <w:r>
        <w:rPr>
          <w:lang w:bidi="hi-IN"/>
        </w:rPr>
        <w:t xml:space="preserve">Allemagne, </w:t>
      </w:r>
      <w:r w:rsidR="00F62876">
        <w:rPr>
          <w:lang w:bidi="hi-IN"/>
        </w:rPr>
        <w:t>Argentine, Autriche, Bénin, Botswana, Brésil, Burkina</w:t>
      </w:r>
      <w:r>
        <w:rPr>
          <w:lang w:bidi="hi-IN"/>
        </w:rPr>
        <w:t> </w:t>
      </w:r>
      <w:r w:rsidR="00F62876">
        <w:rPr>
          <w:lang w:bidi="hi-IN"/>
        </w:rPr>
        <w:t xml:space="preserve">Faso, Chili, Congo, Costa Rica, </w:t>
      </w:r>
      <w:r>
        <w:rPr>
          <w:lang w:bidi="hi-IN"/>
        </w:rPr>
        <w:t xml:space="preserve">Espagne, </w:t>
      </w:r>
      <w:r w:rsidR="00F62876">
        <w:rPr>
          <w:lang w:bidi="hi-IN"/>
        </w:rPr>
        <w:t xml:space="preserve">Estonie, </w:t>
      </w:r>
      <w:r>
        <w:rPr>
          <w:lang w:bidi="hi-IN"/>
        </w:rPr>
        <w:t xml:space="preserve">États-Unis d’Amérique, </w:t>
      </w:r>
      <w:r w:rsidR="00F62876">
        <w:rPr>
          <w:lang w:bidi="hi-IN"/>
        </w:rPr>
        <w:t xml:space="preserve">Gabon, Guatemala, Irlande, Italie, Japon, Maldives, Monténégro, Pérou, Pologne, République de Corée, </w:t>
      </w:r>
      <w:r>
        <w:rPr>
          <w:lang w:bidi="hi-IN"/>
        </w:rPr>
        <w:t xml:space="preserve">République tchèque, </w:t>
      </w:r>
      <w:r w:rsidR="00F62876">
        <w:rPr>
          <w:lang w:bidi="hi-IN"/>
        </w:rPr>
        <w:t xml:space="preserve">Roumanie, </w:t>
      </w:r>
      <w:r>
        <w:rPr>
          <w:lang w:bidi="hi-IN"/>
        </w:rPr>
        <w:t>Suisse</w:t>
      </w:r>
      <w:r w:rsidR="00060105">
        <w:rPr>
          <w:lang w:bidi="hi-IN"/>
        </w:rPr>
        <w:t>.</w:t>
      </w:r>
    </w:p>
    <w:p w:rsidR="00F62876" w:rsidRDefault="00F62876" w:rsidP="00060105">
      <w:pPr>
        <w:pStyle w:val="SingleTxtG"/>
        <w:spacing w:before="240" w:after="0"/>
        <w:ind w:firstLine="567"/>
        <w:rPr>
          <w:i/>
          <w:lang w:bidi="hi-IN"/>
        </w:rPr>
      </w:pPr>
      <w:r w:rsidRPr="0023597B">
        <w:rPr>
          <w:i/>
        </w:rPr>
        <w:t>Ont voté contr</w:t>
      </w:r>
      <w:r>
        <w:rPr>
          <w:i/>
        </w:rPr>
        <w:t>e</w:t>
      </w:r>
      <w:r w:rsidRPr="00FF4C02">
        <w:t>:</w:t>
      </w:r>
    </w:p>
    <w:p w:rsidR="00F62876" w:rsidRDefault="00F62876" w:rsidP="00060105">
      <w:pPr>
        <w:pStyle w:val="SingleTxtG"/>
        <w:ind w:left="2268"/>
        <w:rPr>
          <w:lang w:bidi="hi-IN"/>
        </w:rPr>
      </w:pPr>
      <w:r>
        <w:rPr>
          <w:lang w:bidi="hi-IN"/>
        </w:rPr>
        <w:t>Inde, Kazakhstan, Venezuela (République bolivarienne du)</w:t>
      </w:r>
      <w:r w:rsidR="00060105">
        <w:rPr>
          <w:lang w:bidi="hi-IN"/>
        </w:rPr>
        <w:t>.</w:t>
      </w:r>
    </w:p>
    <w:p w:rsidR="00F62876" w:rsidRDefault="00F62876" w:rsidP="00060105">
      <w:pPr>
        <w:pStyle w:val="SingleTxtG"/>
        <w:spacing w:before="240" w:after="0"/>
        <w:ind w:firstLine="567"/>
        <w:rPr>
          <w:i/>
          <w:lang w:bidi="hi-IN"/>
        </w:rPr>
      </w:pPr>
      <w:r w:rsidRPr="0023597B">
        <w:rPr>
          <w:i/>
        </w:rPr>
        <w:t>Se sont abstenus</w:t>
      </w:r>
      <w:r>
        <w:t>:</w:t>
      </w:r>
    </w:p>
    <w:p w:rsidR="00F62876" w:rsidRDefault="00F62876" w:rsidP="00060105">
      <w:pPr>
        <w:pStyle w:val="SingleTxtG"/>
        <w:ind w:left="2268"/>
        <w:rPr>
          <w:lang w:bidi="hi-IN"/>
        </w:rPr>
      </w:pPr>
      <w:r>
        <w:rPr>
          <w:lang w:bidi="hi-IN"/>
        </w:rPr>
        <w:t>Angola, Côte</w:t>
      </w:r>
      <w:r w:rsidR="00471B0C">
        <w:rPr>
          <w:lang w:bidi="hi-IN"/>
        </w:rPr>
        <w:t> </w:t>
      </w:r>
      <w:r>
        <w:rPr>
          <w:lang w:bidi="hi-IN"/>
        </w:rPr>
        <w:t xml:space="preserve">d’Ivoire, </w:t>
      </w:r>
      <w:r w:rsidR="00471B0C">
        <w:rPr>
          <w:lang w:bidi="hi-IN"/>
        </w:rPr>
        <w:t xml:space="preserve">Émirats arabes unis, </w:t>
      </w:r>
      <w:r>
        <w:rPr>
          <w:lang w:bidi="hi-IN"/>
        </w:rPr>
        <w:t xml:space="preserve">Équateur, Éthiopie, Indonésie, Kenya, Koweït, Libye, Malaisie, Mauritanie, </w:t>
      </w:r>
      <w:r w:rsidR="00471B0C">
        <w:rPr>
          <w:lang w:bidi="hi-IN"/>
        </w:rPr>
        <w:t xml:space="preserve">Ouganda, </w:t>
      </w:r>
      <w:r>
        <w:rPr>
          <w:lang w:bidi="hi-IN"/>
        </w:rPr>
        <w:t>Pakistan, Philippines, Qatar, République de Moldova, Sierra</w:t>
      </w:r>
      <w:r w:rsidR="00471B0C">
        <w:rPr>
          <w:lang w:bidi="hi-IN"/>
        </w:rPr>
        <w:t> Leone, Thaïlande</w:t>
      </w:r>
      <w:r>
        <w:rPr>
          <w:lang w:bidi="hi-IN"/>
        </w:rPr>
        <w:t>.]</w:t>
      </w:r>
    </w:p>
    <w:p w:rsidR="00060105" w:rsidRPr="00060105" w:rsidRDefault="00060105" w:rsidP="00060105">
      <w:pPr>
        <w:pStyle w:val="SingleTxtG"/>
        <w:spacing w:before="240" w:after="0"/>
        <w:jc w:val="center"/>
        <w:rPr>
          <w:u w:val="single"/>
          <w:lang w:bidi="hi-IN"/>
        </w:rPr>
      </w:pPr>
      <w:r>
        <w:rPr>
          <w:u w:val="single"/>
          <w:lang w:bidi="hi-IN"/>
        </w:rPr>
        <w:tab/>
      </w:r>
      <w:r>
        <w:rPr>
          <w:u w:val="single"/>
          <w:lang w:bidi="hi-IN"/>
        </w:rPr>
        <w:tab/>
      </w:r>
      <w:r>
        <w:rPr>
          <w:u w:val="single"/>
          <w:lang w:bidi="hi-IN"/>
        </w:rPr>
        <w:tab/>
      </w:r>
    </w:p>
    <w:sectPr w:rsidR="00060105" w:rsidRPr="00060105" w:rsidSect="00DA3D70">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3DCA" w:rsidRDefault="003A3DCA"/>
  </w:endnote>
  <w:endnote w:type="continuationSeparator" w:id="0">
    <w:p w:rsidR="003A3DCA" w:rsidRDefault="003A3DCA"/>
  </w:endnote>
  <w:endnote w:type="continuationNotice" w:id="1">
    <w:p w:rsidR="003A3DCA" w:rsidRPr="00770C75" w:rsidRDefault="003A3DCA" w:rsidP="00770C75">
      <w:pPr>
        <w:spacing w:line="240" w:lineRule="auto"/>
        <w:rPr>
          <w:sz w:val="2"/>
          <w:szCs w:val="2"/>
        </w:rPr>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3D70" w:rsidRPr="00DA3D70" w:rsidRDefault="00DA3D70" w:rsidP="00DA3D70">
    <w:pPr>
      <w:pStyle w:val="Footer"/>
      <w:tabs>
        <w:tab w:val="right" w:pos="9638"/>
      </w:tabs>
    </w:pPr>
    <w:r w:rsidRPr="00DA3D70">
      <w:rPr>
        <w:b/>
        <w:sz w:val="18"/>
      </w:rPr>
      <w:fldChar w:fldCharType="begin"/>
    </w:r>
    <w:r w:rsidRPr="00DA3D70">
      <w:rPr>
        <w:b/>
        <w:sz w:val="18"/>
      </w:rPr>
      <w:instrText xml:space="preserve"> PAGE  \* MERGEFORMAT </w:instrText>
    </w:r>
    <w:r w:rsidRPr="00DA3D70">
      <w:rPr>
        <w:b/>
        <w:sz w:val="18"/>
      </w:rPr>
      <w:fldChar w:fldCharType="separate"/>
    </w:r>
    <w:r w:rsidR="00457D87">
      <w:rPr>
        <w:b/>
        <w:noProof/>
        <w:sz w:val="18"/>
      </w:rPr>
      <w:t>2</w:t>
    </w:r>
    <w:r w:rsidRPr="00DA3D70">
      <w:rPr>
        <w:b/>
        <w:sz w:val="18"/>
      </w:rPr>
      <w:fldChar w:fldCharType="end"/>
    </w:r>
    <w:r>
      <w:rPr>
        <w:b/>
        <w:sz w:val="18"/>
      </w:rPr>
      <w:tab/>
    </w:r>
    <w:r>
      <w:t>GE.13-15064</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3D70" w:rsidRPr="00DA3D70" w:rsidRDefault="00DA3D70" w:rsidP="00DA3D70">
    <w:pPr>
      <w:pStyle w:val="Footer"/>
      <w:tabs>
        <w:tab w:val="right" w:pos="9638"/>
      </w:tabs>
      <w:rPr>
        <w:b/>
        <w:sz w:val="18"/>
      </w:rPr>
    </w:pPr>
    <w:r>
      <w:t>GE.13-15064</w:t>
    </w:r>
    <w:r>
      <w:tab/>
    </w:r>
    <w:r w:rsidRPr="00DA3D70">
      <w:rPr>
        <w:b/>
        <w:sz w:val="18"/>
      </w:rPr>
      <w:fldChar w:fldCharType="begin"/>
    </w:r>
    <w:r w:rsidRPr="00DA3D70">
      <w:rPr>
        <w:b/>
        <w:sz w:val="18"/>
      </w:rPr>
      <w:instrText xml:space="preserve"> PAGE  \* MERGEFORMAT </w:instrText>
    </w:r>
    <w:r w:rsidRPr="00DA3D70">
      <w:rPr>
        <w:b/>
        <w:sz w:val="18"/>
      </w:rPr>
      <w:fldChar w:fldCharType="separate"/>
    </w:r>
    <w:r w:rsidR="00457D87">
      <w:rPr>
        <w:b/>
        <w:noProof/>
        <w:sz w:val="18"/>
      </w:rPr>
      <w:t>3</w:t>
    </w:r>
    <w:r w:rsidRPr="00DA3D70">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1C0E" w:rsidRDefault="00DA3D70">
    <w:pPr>
      <w:pStyle w:val="Footer"/>
    </w:pPr>
    <w:r>
      <w:rPr>
        <w:sz w:val="20"/>
      </w:rPr>
      <w:t>GE.13-15064</w:t>
    </w:r>
    <w:r w:rsidR="00921C0E">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6.9pt;margin-top:-8.5pt;width:86.95pt;height:18.35pt;z-index:1;mso-position-horizontal-relative:text;mso-position-vertical-relative:text">
          <v:imagedata r:id="rId1" o:title="recycle_French"/>
        </v:shape>
      </w:pict>
    </w:r>
    <w:r>
      <w:rPr>
        <w:sz w:val="20"/>
      </w:rPr>
      <w:t xml:space="preserve">  (F)</w:t>
    </w:r>
    <w:r w:rsidR="00CA306D">
      <w:rPr>
        <w:sz w:val="20"/>
      </w:rPr>
      <w:t xml:space="preserve">    260613    280613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3DCA" w:rsidRPr="00D27D5E" w:rsidRDefault="003A3DCA" w:rsidP="00D27D5E">
      <w:pPr>
        <w:tabs>
          <w:tab w:val="right" w:pos="2155"/>
        </w:tabs>
        <w:spacing w:after="80"/>
        <w:ind w:left="680"/>
        <w:rPr>
          <w:u w:val="single"/>
        </w:rPr>
      </w:pPr>
      <w:r>
        <w:rPr>
          <w:u w:val="single"/>
        </w:rPr>
        <w:tab/>
      </w:r>
    </w:p>
  </w:footnote>
  <w:footnote w:type="continuationSeparator" w:id="0">
    <w:p w:rsidR="003A3DCA" w:rsidRPr="001D7014" w:rsidRDefault="003A3DCA" w:rsidP="001D7014">
      <w:pPr>
        <w:tabs>
          <w:tab w:val="right" w:pos="2155"/>
        </w:tabs>
        <w:spacing w:after="80"/>
        <w:ind w:left="680"/>
        <w:rPr>
          <w:u w:val="single"/>
        </w:rPr>
      </w:pPr>
      <w:r w:rsidRPr="001D7014">
        <w:rPr>
          <w:u w:val="single"/>
        </w:rPr>
        <w:tab/>
      </w:r>
    </w:p>
  </w:footnote>
  <w:footnote w:type="continuationNotice" w:id="1">
    <w:p w:rsidR="003A3DCA" w:rsidRPr="00770C75" w:rsidRDefault="003A3DCA" w:rsidP="00770C75">
      <w:pPr>
        <w:spacing w:line="240" w:lineRule="auto"/>
        <w:rPr>
          <w:sz w:val="2"/>
          <w:szCs w:val="2"/>
        </w:rPr>
      </w:pPr>
    </w:p>
  </w:footnote>
  <w:footnote w:id="2">
    <w:p w:rsidR="00510F97" w:rsidRPr="00510F97" w:rsidRDefault="00510F97">
      <w:pPr>
        <w:pStyle w:val="FootnoteText"/>
      </w:pPr>
      <w:r>
        <w:tab/>
      </w:r>
      <w:r w:rsidRPr="00510F97">
        <w:rPr>
          <w:rStyle w:val="FootnoteReference"/>
          <w:sz w:val="20"/>
          <w:vertAlign w:val="baseline"/>
        </w:rPr>
        <w:t>*</w:t>
      </w:r>
      <w:r>
        <w:rPr>
          <w:sz w:val="20"/>
        </w:rPr>
        <w:tab/>
      </w:r>
      <w:r>
        <w:t>Les résolutions et décisions adoptées par le Conseil des droits de l’homme figureront dans le rapport du Conseil sur sa vingt-troisième session (A/HRC/23/2), chap. I.</w:t>
      </w:r>
    </w:p>
  </w:footnote>
  <w:footnote w:id="3">
    <w:p w:rsidR="00CA306D" w:rsidRDefault="00CA306D">
      <w:pPr>
        <w:pStyle w:val="FootnoteText"/>
      </w:pPr>
      <w:r>
        <w:tab/>
      </w:r>
      <w:r>
        <w:rPr>
          <w:rStyle w:val="FootnoteReference"/>
        </w:rPr>
        <w:footnoteRef/>
      </w:r>
      <w:r>
        <w:tab/>
        <w:t>A/HRC/23/52.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3D70" w:rsidRPr="00DA3D70" w:rsidRDefault="00DA3D70">
    <w:pPr>
      <w:pStyle w:val="Header"/>
    </w:pPr>
    <w:r>
      <w:t>A/HRC/RES/23/15</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3D70" w:rsidRPr="00DA3D70" w:rsidRDefault="00DA3D70" w:rsidP="00DA3D70">
    <w:pPr>
      <w:pStyle w:val="Header"/>
      <w:jc w:val="right"/>
    </w:pPr>
    <w:r>
      <w:t>A/HRC/RES/23/15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E008B3E"/>
    <w:lvl w:ilvl="0">
      <w:start w:val="1"/>
      <w:numFmt w:val="decimal"/>
      <w:lvlText w:val="%1."/>
      <w:lvlJc w:val="left"/>
      <w:pPr>
        <w:tabs>
          <w:tab w:val="num" w:pos="1492"/>
        </w:tabs>
        <w:ind w:left="1492" w:hanging="360"/>
      </w:pPr>
    </w:lvl>
  </w:abstractNum>
  <w:abstractNum w:abstractNumId="1">
    <w:nsid w:val="FFFFFF7D"/>
    <w:multiLevelType w:val="singleLevel"/>
    <w:tmpl w:val="8E76BCC6"/>
    <w:lvl w:ilvl="0">
      <w:start w:val="1"/>
      <w:numFmt w:val="decimal"/>
      <w:lvlText w:val="%1."/>
      <w:lvlJc w:val="left"/>
      <w:pPr>
        <w:tabs>
          <w:tab w:val="num" w:pos="1209"/>
        </w:tabs>
        <w:ind w:left="1209" w:hanging="360"/>
      </w:pPr>
    </w:lvl>
  </w:abstractNum>
  <w:abstractNum w:abstractNumId="2">
    <w:nsid w:val="FFFFFF7E"/>
    <w:multiLevelType w:val="singleLevel"/>
    <w:tmpl w:val="E668C5D2"/>
    <w:lvl w:ilvl="0">
      <w:start w:val="1"/>
      <w:numFmt w:val="decimal"/>
      <w:lvlText w:val="%1."/>
      <w:lvlJc w:val="left"/>
      <w:pPr>
        <w:tabs>
          <w:tab w:val="num" w:pos="926"/>
        </w:tabs>
        <w:ind w:left="926" w:hanging="360"/>
      </w:pPr>
    </w:lvl>
  </w:abstractNum>
  <w:abstractNum w:abstractNumId="3">
    <w:nsid w:val="FFFFFF7F"/>
    <w:multiLevelType w:val="singleLevel"/>
    <w:tmpl w:val="7F1CC7F0"/>
    <w:lvl w:ilvl="0">
      <w:start w:val="1"/>
      <w:numFmt w:val="decimal"/>
      <w:lvlText w:val="%1."/>
      <w:lvlJc w:val="left"/>
      <w:pPr>
        <w:tabs>
          <w:tab w:val="num" w:pos="643"/>
        </w:tabs>
        <w:ind w:left="643" w:hanging="360"/>
      </w:pPr>
    </w:lvl>
  </w:abstractNum>
  <w:abstractNum w:abstractNumId="4">
    <w:nsid w:val="FFFFFF80"/>
    <w:multiLevelType w:val="singleLevel"/>
    <w:tmpl w:val="2846598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6E2781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8E8962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34CE2E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CE2545A"/>
    <w:lvl w:ilvl="0">
      <w:start w:val="1"/>
      <w:numFmt w:val="decimal"/>
      <w:lvlText w:val="%1."/>
      <w:lvlJc w:val="left"/>
      <w:pPr>
        <w:tabs>
          <w:tab w:val="num" w:pos="360"/>
        </w:tabs>
        <w:ind w:left="360" w:hanging="360"/>
      </w:pPr>
    </w:lvl>
  </w:abstractNum>
  <w:abstractNum w:abstractNumId="9">
    <w:nsid w:val="FFFFFF89"/>
    <w:multiLevelType w:val="singleLevel"/>
    <w:tmpl w:val="61464678"/>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2B3F49C6"/>
    <w:multiLevelType w:val="singleLevel"/>
    <w:tmpl w:val="720CB540"/>
    <w:lvl w:ilvl="0">
      <w:start w:val="1"/>
      <w:numFmt w:val="lowerRoman"/>
      <w:lvlText w:val="(%1)"/>
      <w:lvlJc w:val="right"/>
      <w:pPr>
        <w:tabs>
          <w:tab w:val="num" w:pos="2160"/>
        </w:tabs>
        <w:ind w:left="2160" w:hanging="516"/>
      </w:pPr>
    </w:lvl>
  </w:abstractNum>
  <w:abstractNum w:abstractNumId="12">
    <w:nsid w:val="2EA77B50"/>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4">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5">
    <w:nsid w:val="695106FB"/>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nsid w:val="7BD73A9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7CF349BD"/>
    <w:multiLevelType w:val="singleLevel"/>
    <w:tmpl w:val="51D4BF5A"/>
    <w:lvl w:ilvl="0">
      <w:start w:val="1"/>
      <w:numFmt w:val="lowerRoman"/>
      <w:lvlText w:val="(%1)"/>
      <w:lvlJc w:val="right"/>
      <w:pPr>
        <w:tabs>
          <w:tab w:val="num" w:pos="1440"/>
        </w:tabs>
        <w:ind w:left="1440" w:hanging="589"/>
      </w:pPr>
      <w:rPr>
        <w:rFonts w:hint="default"/>
      </w:rPr>
    </w:lvl>
  </w:abstractNum>
  <w:num w:numId="1">
    <w:abstractNumId w:val="17"/>
  </w:num>
  <w:num w:numId="2">
    <w:abstractNumId w:val="11"/>
  </w:num>
  <w:num w:numId="3">
    <w:abstractNumId w:val="1"/>
  </w:num>
  <w:num w:numId="4">
    <w:abstractNumId w:val="0"/>
  </w:num>
  <w:num w:numId="5">
    <w:abstractNumId w:val="2"/>
  </w:num>
  <w:num w:numId="6">
    <w:abstractNumId w:val="3"/>
  </w:num>
  <w:num w:numId="7">
    <w:abstractNumId w:val="8"/>
  </w:num>
  <w:num w:numId="8">
    <w:abstractNumId w:val="9"/>
  </w:num>
  <w:num w:numId="9">
    <w:abstractNumId w:val="7"/>
  </w:num>
  <w:num w:numId="10">
    <w:abstractNumId w:val="6"/>
  </w:num>
  <w:num w:numId="11">
    <w:abstractNumId w:val="5"/>
  </w:num>
  <w:num w:numId="12">
    <w:abstractNumId w:val="4"/>
  </w:num>
  <w:num w:numId="13">
    <w:abstractNumId w:val="12"/>
  </w:num>
  <w:num w:numId="14">
    <w:abstractNumId w:val="16"/>
  </w:num>
  <w:num w:numId="15">
    <w:abstractNumId w:val="15"/>
  </w:num>
  <w:num w:numId="16">
    <w:abstractNumId w:val="14"/>
  </w:num>
  <w:num w:numId="17">
    <w:abstractNumId w:val="13"/>
  </w:num>
  <w:num w:numId="18">
    <w:abstractNumId w:val="14"/>
  </w:num>
  <w:num w:numId="19">
    <w:abstractNumId w:val="13"/>
  </w:num>
  <w:num w:numId="20">
    <w:abstractNumId w:val="10"/>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activeWritingStyle w:appName="MSWord" w:lang="en-GB" w:vendorID="64" w:dllVersion="131077" w:nlCheck="1" w:checkStyle="1"/>
  <w:activeWritingStyle w:appName="MSWord" w:lang="fr-CH" w:vendorID="64" w:dllVersion="131078" w:nlCheck="1" w:checkStyle="1"/>
  <w:activeWritingStyle w:appName="MSWord" w:lang="fr-FR" w:vendorID="64" w:dllVersion="131078" w:nlCheck="1" w:checkStyle="1"/>
  <w:attachedTemplate r:id="rId1"/>
  <w:stylePaneFormatFilter w:val="0004"/>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21C0E"/>
    <w:rsid w:val="00016AC5"/>
    <w:rsid w:val="00053654"/>
    <w:rsid w:val="00057BC0"/>
    <w:rsid w:val="00060105"/>
    <w:rsid w:val="000675FE"/>
    <w:rsid w:val="000A63CB"/>
    <w:rsid w:val="000E03D2"/>
    <w:rsid w:val="000F41F2"/>
    <w:rsid w:val="00133B7A"/>
    <w:rsid w:val="001370FA"/>
    <w:rsid w:val="0014763D"/>
    <w:rsid w:val="00153B2E"/>
    <w:rsid w:val="00160540"/>
    <w:rsid w:val="00170BBF"/>
    <w:rsid w:val="00192EEB"/>
    <w:rsid w:val="001A20FB"/>
    <w:rsid w:val="001B6907"/>
    <w:rsid w:val="001C6647"/>
    <w:rsid w:val="001D7014"/>
    <w:rsid w:val="001E3FEB"/>
    <w:rsid w:val="001E409B"/>
    <w:rsid w:val="001E4A02"/>
    <w:rsid w:val="00217DB9"/>
    <w:rsid w:val="002427C1"/>
    <w:rsid w:val="00245F2B"/>
    <w:rsid w:val="002659F1"/>
    <w:rsid w:val="00286F7E"/>
    <w:rsid w:val="00287E79"/>
    <w:rsid w:val="002928F9"/>
    <w:rsid w:val="002A5D07"/>
    <w:rsid w:val="002D6D59"/>
    <w:rsid w:val="002D7A2C"/>
    <w:rsid w:val="003016B7"/>
    <w:rsid w:val="003515AA"/>
    <w:rsid w:val="00374106"/>
    <w:rsid w:val="00375577"/>
    <w:rsid w:val="0037787B"/>
    <w:rsid w:val="003976D5"/>
    <w:rsid w:val="003A3DCA"/>
    <w:rsid w:val="003D3AE8"/>
    <w:rsid w:val="003D6C68"/>
    <w:rsid w:val="00407D4D"/>
    <w:rsid w:val="004159D0"/>
    <w:rsid w:val="00457D87"/>
    <w:rsid w:val="00471B0C"/>
    <w:rsid w:val="00481744"/>
    <w:rsid w:val="004B2F4D"/>
    <w:rsid w:val="00503619"/>
    <w:rsid w:val="00510F97"/>
    <w:rsid w:val="00571F41"/>
    <w:rsid w:val="00594033"/>
    <w:rsid w:val="005D40D4"/>
    <w:rsid w:val="005E5D1F"/>
    <w:rsid w:val="00612D48"/>
    <w:rsid w:val="00616B45"/>
    <w:rsid w:val="006439EC"/>
    <w:rsid w:val="0066166E"/>
    <w:rsid w:val="006739B9"/>
    <w:rsid w:val="006A521F"/>
    <w:rsid w:val="006B4590"/>
    <w:rsid w:val="006C340C"/>
    <w:rsid w:val="006E0516"/>
    <w:rsid w:val="0070347C"/>
    <w:rsid w:val="007170F0"/>
    <w:rsid w:val="00743F9E"/>
    <w:rsid w:val="00757B26"/>
    <w:rsid w:val="007602DF"/>
    <w:rsid w:val="00770C75"/>
    <w:rsid w:val="00774E57"/>
    <w:rsid w:val="00785BA2"/>
    <w:rsid w:val="00786ACC"/>
    <w:rsid w:val="007C2C4F"/>
    <w:rsid w:val="007D30F7"/>
    <w:rsid w:val="007E7740"/>
    <w:rsid w:val="0081197C"/>
    <w:rsid w:val="008353D6"/>
    <w:rsid w:val="00844750"/>
    <w:rsid w:val="0087266B"/>
    <w:rsid w:val="008921DD"/>
    <w:rsid w:val="0089595B"/>
    <w:rsid w:val="008A09C6"/>
    <w:rsid w:val="008D7C08"/>
    <w:rsid w:val="008E7FAE"/>
    <w:rsid w:val="00911BF7"/>
    <w:rsid w:val="00921C0E"/>
    <w:rsid w:val="00977EC8"/>
    <w:rsid w:val="00981C83"/>
    <w:rsid w:val="009B5609"/>
    <w:rsid w:val="009D34DC"/>
    <w:rsid w:val="009D3A8C"/>
    <w:rsid w:val="009E7956"/>
    <w:rsid w:val="009F450E"/>
    <w:rsid w:val="00A2492E"/>
    <w:rsid w:val="00A63BBD"/>
    <w:rsid w:val="00AC47AD"/>
    <w:rsid w:val="00AC7977"/>
    <w:rsid w:val="00AE352C"/>
    <w:rsid w:val="00B305CF"/>
    <w:rsid w:val="00B32E2D"/>
    <w:rsid w:val="00B41432"/>
    <w:rsid w:val="00B61990"/>
    <w:rsid w:val="00B80E45"/>
    <w:rsid w:val="00BA184E"/>
    <w:rsid w:val="00BE28D3"/>
    <w:rsid w:val="00BE3601"/>
    <w:rsid w:val="00BF0556"/>
    <w:rsid w:val="00C261F8"/>
    <w:rsid w:val="00C66758"/>
    <w:rsid w:val="00C717E0"/>
    <w:rsid w:val="00C919A2"/>
    <w:rsid w:val="00CA04BE"/>
    <w:rsid w:val="00CA306D"/>
    <w:rsid w:val="00CD1A71"/>
    <w:rsid w:val="00CD1FBB"/>
    <w:rsid w:val="00CE5AFE"/>
    <w:rsid w:val="00D016B5"/>
    <w:rsid w:val="00D034F1"/>
    <w:rsid w:val="00D037E5"/>
    <w:rsid w:val="00D27D5E"/>
    <w:rsid w:val="00D34CC9"/>
    <w:rsid w:val="00D42E42"/>
    <w:rsid w:val="00DA3D70"/>
    <w:rsid w:val="00DE6D90"/>
    <w:rsid w:val="00DE708E"/>
    <w:rsid w:val="00DF002F"/>
    <w:rsid w:val="00E0244D"/>
    <w:rsid w:val="00E37266"/>
    <w:rsid w:val="00E81E94"/>
    <w:rsid w:val="00E82607"/>
    <w:rsid w:val="00EF327E"/>
    <w:rsid w:val="00F22103"/>
    <w:rsid w:val="00F62876"/>
    <w:rsid w:val="00F71235"/>
    <w:rsid w:val="00F71F90"/>
    <w:rsid w:val="00FA5A79"/>
    <w:rsid w:val="00FB0BFE"/>
    <w:rsid w:val="00FB0DAA"/>
    <w:rsid w:val="00FB4C51"/>
    <w:rsid w:val="00FC652B"/>
    <w:rsid w:val="00FF1DBD"/>
    <w:rsid w:val="00FF4C0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D30F7"/>
    <w:pPr>
      <w:suppressAutoHyphens/>
      <w:spacing w:line="240" w:lineRule="atLeast"/>
    </w:pPr>
    <w:rPr>
      <w:lang w:val="fr-CH"/>
    </w:rPr>
  </w:style>
  <w:style w:type="paragraph" w:styleId="Heading1">
    <w:name w:val="heading 1"/>
    <w:aliases w:val="Table_G"/>
    <w:basedOn w:val="SingleTxtG"/>
    <w:next w:val="SingleTxtG"/>
    <w:qFormat/>
    <w:rsid w:val="00217DB9"/>
    <w:pPr>
      <w:keepNext/>
      <w:keepLines/>
      <w:spacing w:after="0" w:line="240" w:lineRule="auto"/>
      <w:ind w:right="0"/>
      <w:jc w:val="left"/>
      <w:outlineLvl w:val="0"/>
    </w:pPr>
  </w:style>
  <w:style w:type="paragraph" w:styleId="Heading2">
    <w:name w:val="heading 2"/>
    <w:basedOn w:val="Normal"/>
    <w:next w:val="Normal"/>
    <w:qFormat/>
    <w:rsid w:val="007D30F7"/>
    <w:pPr>
      <w:outlineLvl w:val="1"/>
    </w:pPr>
  </w:style>
  <w:style w:type="paragraph" w:styleId="Heading3">
    <w:name w:val="heading 3"/>
    <w:basedOn w:val="Normal"/>
    <w:next w:val="Normal"/>
    <w:qFormat/>
    <w:rsid w:val="007D30F7"/>
    <w:pPr>
      <w:outlineLvl w:val="2"/>
    </w:pPr>
  </w:style>
  <w:style w:type="paragraph" w:styleId="Heading4">
    <w:name w:val="heading 4"/>
    <w:basedOn w:val="Normal"/>
    <w:next w:val="Normal"/>
    <w:qFormat/>
    <w:rsid w:val="007D30F7"/>
    <w:pPr>
      <w:outlineLvl w:val="3"/>
    </w:pPr>
  </w:style>
  <w:style w:type="paragraph" w:styleId="Heading5">
    <w:name w:val="heading 5"/>
    <w:basedOn w:val="Normal"/>
    <w:next w:val="Normal"/>
    <w:qFormat/>
    <w:rsid w:val="007D30F7"/>
    <w:pPr>
      <w:outlineLvl w:val="4"/>
    </w:pPr>
  </w:style>
  <w:style w:type="paragraph" w:styleId="Heading6">
    <w:name w:val="heading 6"/>
    <w:basedOn w:val="Normal"/>
    <w:next w:val="Normal"/>
    <w:qFormat/>
    <w:rsid w:val="007D30F7"/>
    <w:pPr>
      <w:outlineLvl w:val="5"/>
    </w:pPr>
  </w:style>
  <w:style w:type="paragraph" w:styleId="Heading7">
    <w:name w:val="heading 7"/>
    <w:basedOn w:val="Normal"/>
    <w:next w:val="Normal"/>
    <w:qFormat/>
    <w:rsid w:val="007D30F7"/>
    <w:pPr>
      <w:outlineLvl w:val="6"/>
    </w:pPr>
  </w:style>
  <w:style w:type="paragraph" w:styleId="Heading8">
    <w:name w:val="heading 8"/>
    <w:basedOn w:val="Normal"/>
    <w:next w:val="Normal"/>
    <w:qFormat/>
    <w:rsid w:val="007D30F7"/>
    <w:pPr>
      <w:outlineLvl w:val="7"/>
    </w:pPr>
  </w:style>
  <w:style w:type="paragraph" w:styleId="Heading9">
    <w:name w:val="heading 9"/>
    <w:basedOn w:val="Normal"/>
    <w:next w:val="Normal"/>
    <w:qFormat/>
    <w:rsid w:val="007D30F7"/>
    <w:pPr>
      <w:outlineLvl w:val="8"/>
    </w:pPr>
  </w:style>
  <w:style w:type="character" w:default="1" w:styleId="DefaultParagraphFont">
    <w:name w:val="Default Paragraph Font"/>
    <w:semiHidden/>
    <w:rsid w:val="007D30F7"/>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7D30F7"/>
  </w:style>
  <w:style w:type="paragraph" w:customStyle="1" w:styleId="HMG">
    <w:name w:val="_ H __M_G"/>
    <w:basedOn w:val="Normal"/>
    <w:next w:val="Normal"/>
    <w:rsid w:val="007D30F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D30F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D30F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D30F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D30F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D30F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D30F7"/>
    <w:pPr>
      <w:spacing w:after="120"/>
      <w:ind w:left="1134" w:right="1134"/>
      <w:jc w:val="both"/>
    </w:pPr>
  </w:style>
  <w:style w:type="paragraph" w:customStyle="1" w:styleId="SLG">
    <w:name w:val="__S_L_G"/>
    <w:basedOn w:val="Normal"/>
    <w:next w:val="Normal"/>
    <w:rsid w:val="007D30F7"/>
    <w:pPr>
      <w:keepNext/>
      <w:keepLines/>
      <w:spacing w:before="240" w:after="240" w:line="580" w:lineRule="exact"/>
      <w:ind w:left="1134" w:right="1134"/>
    </w:pPr>
    <w:rPr>
      <w:b/>
      <w:sz w:val="56"/>
    </w:rPr>
  </w:style>
  <w:style w:type="paragraph" w:customStyle="1" w:styleId="SMG">
    <w:name w:val="__S_M_G"/>
    <w:basedOn w:val="Normal"/>
    <w:next w:val="Normal"/>
    <w:rsid w:val="007D30F7"/>
    <w:pPr>
      <w:keepNext/>
      <w:keepLines/>
      <w:spacing w:before="240" w:after="240" w:line="420" w:lineRule="exact"/>
      <w:ind w:left="1134" w:right="1134"/>
    </w:pPr>
    <w:rPr>
      <w:b/>
      <w:sz w:val="40"/>
    </w:rPr>
  </w:style>
  <w:style w:type="paragraph" w:customStyle="1" w:styleId="SSG">
    <w:name w:val="__S_S_G"/>
    <w:basedOn w:val="Normal"/>
    <w:next w:val="Normal"/>
    <w:rsid w:val="007D30F7"/>
    <w:pPr>
      <w:keepNext/>
      <w:keepLines/>
      <w:spacing w:before="240" w:after="240" w:line="300" w:lineRule="exact"/>
      <w:ind w:left="1134" w:right="1134"/>
    </w:pPr>
    <w:rPr>
      <w:b/>
      <w:sz w:val="28"/>
    </w:rPr>
  </w:style>
  <w:style w:type="paragraph" w:customStyle="1" w:styleId="XLargeG">
    <w:name w:val="__XLarge_G"/>
    <w:basedOn w:val="Normal"/>
    <w:next w:val="Normal"/>
    <w:rsid w:val="007D30F7"/>
    <w:pPr>
      <w:keepNext/>
      <w:keepLines/>
      <w:spacing w:before="240" w:after="240" w:line="420" w:lineRule="exact"/>
      <w:ind w:left="1134" w:right="1134"/>
    </w:pPr>
    <w:rPr>
      <w:b/>
      <w:sz w:val="40"/>
    </w:rPr>
  </w:style>
  <w:style w:type="paragraph" w:customStyle="1" w:styleId="Bullet1G">
    <w:name w:val="_Bullet 1_G"/>
    <w:basedOn w:val="Normal"/>
    <w:rsid w:val="007D30F7"/>
    <w:pPr>
      <w:numPr>
        <w:numId w:val="18"/>
      </w:numPr>
      <w:spacing w:after="120"/>
      <w:ind w:right="1134"/>
      <w:jc w:val="both"/>
    </w:pPr>
  </w:style>
  <w:style w:type="paragraph" w:customStyle="1" w:styleId="Bullet2G">
    <w:name w:val="_Bullet 2_G"/>
    <w:basedOn w:val="Normal"/>
    <w:rsid w:val="007D30F7"/>
    <w:pPr>
      <w:numPr>
        <w:numId w:val="19"/>
      </w:numPr>
      <w:spacing w:after="120"/>
      <w:ind w:right="1134"/>
      <w:jc w:val="both"/>
    </w:pPr>
  </w:style>
  <w:style w:type="character" w:styleId="FootnoteReference">
    <w:name w:val="footnote reference"/>
    <w:aliases w:val="4_G"/>
    <w:basedOn w:val="DefaultParagraphFont"/>
    <w:rsid w:val="007D30F7"/>
    <w:rPr>
      <w:rFonts w:ascii="Times New Roman" w:hAnsi="Times New Roman"/>
      <w:sz w:val="18"/>
      <w:vertAlign w:val="superscript"/>
      <w:lang w:val="fr-CH"/>
    </w:rPr>
  </w:style>
  <w:style w:type="character" w:styleId="EndnoteReference">
    <w:name w:val="endnote reference"/>
    <w:aliases w:val="1_G"/>
    <w:basedOn w:val="FootnoteReference"/>
    <w:rsid w:val="007D30F7"/>
  </w:style>
  <w:style w:type="paragraph" w:styleId="Header">
    <w:name w:val="header"/>
    <w:aliases w:val="6_G"/>
    <w:basedOn w:val="Normal"/>
    <w:next w:val="Normal"/>
    <w:rsid w:val="007D30F7"/>
    <w:pPr>
      <w:pBdr>
        <w:bottom w:val="single" w:sz="4" w:space="4" w:color="auto"/>
      </w:pBdr>
      <w:spacing w:line="240" w:lineRule="auto"/>
    </w:pPr>
    <w:rPr>
      <w:b/>
      <w:sz w:val="18"/>
    </w:rPr>
  </w:style>
  <w:style w:type="paragraph" w:styleId="FootnoteText">
    <w:name w:val="footnote text"/>
    <w:aliases w:val="5_G"/>
    <w:basedOn w:val="Normal"/>
    <w:rsid w:val="00F22103"/>
    <w:pPr>
      <w:tabs>
        <w:tab w:val="right" w:pos="1021"/>
      </w:tabs>
      <w:spacing w:line="220" w:lineRule="exact"/>
      <w:ind w:left="1134" w:right="1134" w:hanging="1134"/>
    </w:pPr>
    <w:rPr>
      <w:sz w:val="18"/>
    </w:rPr>
  </w:style>
  <w:style w:type="paragraph" w:styleId="EndnoteText">
    <w:name w:val="endnote text"/>
    <w:aliases w:val="2_G"/>
    <w:basedOn w:val="FootnoteText"/>
    <w:rsid w:val="00F22103"/>
  </w:style>
  <w:style w:type="character" w:styleId="PageNumber">
    <w:name w:val="page number"/>
    <w:aliases w:val="7_G"/>
    <w:basedOn w:val="DefaultParagraphFont"/>
    <w:rsid w:val="007D30F7"/>
    <w:rPr>
      <w:rFonts w:ascii="Times New Roman" w:hAnsi="Times New Roman"/>
      <w:b/>
      <w:sz w:val="18"/>
      <w:lang w:val="fr-CH"/>
    </w:rPr>
  </w:style>
  <w:style w:type="paragraph" w:styleId="Footer">
    <w:name w:val="footer"/>
    <w:aliases w:val="3_G"/>
    <w:basedOn w:val="Normal"/>
    <w:next w:val="Normal"/>
    <w:rsid w:val="007D30F7"/>
    <w:pPr>
      <w:spacing w:line="240" w:lineRule="auto"/>
    </w:pPr>
    <w:rPr>
      <w:sz w:val="16"/>
    </w:rPr>
  </w:style>
  <w:style w:type="character" w:styleId="Hyperlink">
    <w:name w:val="Hyperlink"/>
    <w:basedOn w:val="DefaultParagraphFont"/>
    <w:rsid w:val="00503619"/>
    <w:rPr>
      <w:color w:val="auto"/>
      <w:u w:val="none"/>
    </w:rPr>
  </w:style>
  <w:style w:type="character" w:styleId="FollowedHyperlink">
    <w:name w:val="FollowedHyperlink"/>
    <w:basedOn w:val="DefaultParagraphFont"/>
    <w:rsid w:val="00503619"/>
    <w:rPr>
      <w:color w:val="auto"/>
      <w:u w:val="none"/>
    </w:rPr>
  </w:style>
  <w:style w:type="paragraph" w:customStyle="1" w:styleId="ParNoG">
    <w:name w:val="_ParNo_G"/>
    <w:basedOn w:val="SingleTxtG"/>
    <w:rsid w:val="009D34DC"/>
    <w:pPr>
      <w:numPr>
        <w:numId w:val="20"/>
      </w:numPr>
    </w:pPr>
  </w:style>
  <w:style w:type="character" w:customStyle="1" w:styleId="SingleTxtGChar">
    <w:name w:val="_ Single Txt_G Char"/>
    <w:link w:val="SingleTxtG"/>
    <w:rsid w:val="00F62876"/>
    <w:rPr>
      <w:lang w:val="fr-CH" w:eastAsia="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A_H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A_HRC.dot</Template>
  <TotalTime>0</TotalTime>
  <Pages>3</Pages>
  <Words>1021</Words>
  <Characters>5774</Characters>
  <Application>Microsoft Office Outlook</Application>
  <DocSecurity>4</DocSecurity>
  <Lines>101</Lines>
  <Paragraphs>41</Paragraphs>
  <ScaleCrop>false</ScaleCrop>
  <HeadingPairs>
    <vt:vector size="2" baseType="variant">
      <vt:variant>
        <vt:lpstr>Titre</vt:lpstr>
      </vt:variant>
      <vt:variant>
        <vt:i4>1</vt:i4>
      </vt:variant>
    </vt:vector>
  </HeadingPairs>
  <TitlesOfParts>
    <vt:vector size="1" baseType="lpstr">
      <vt:lpstr>A/HRC/RES/23/15</vt:lpstr>
    </vt:vector>
  </TitlesOfParts>
  <Company>CSD</Company>
  <LinksUpToDate>false</LinksUpToDate>
  <CharactersWithSpaces>6754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A/HRC/RES/23/15</dc:title>
  <dc:subject/>
  <dc:creator>CHAUTAGNAT</dc:creator>
  <cp:keywords/>
  <dc:description/>
  <cp:lastModifiedBy>CHAUTAGNAT</cp:lastModifiedBy>
  <cp:revision>2</cp:revision>
  <cp:lastPrinted>2013-06-28T11:28:00Z</cp:lastPrinted>
  <dcterms:created xsi:type="dcterms:W3CDTF">2013-06-28T13:06:00Z</dcterms:created>
  <dcterms:modified xsi:type="dcterms:W3CDTF">2013-06-28T13:06:00Z</dcterms:modified>
</cp:coreProperties>
</file>