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90768A" w:rsidP="00120AB6">
            <w:pPr>
              <w:bidi w:val="0"/>
              <w:spacing w:after="20"/>
              <w:jc w:val="left"/>
              <w:rPr>
                <w:szCs w:val="20"/>
              </w:rPr>
            </w:pPr>
            <w:r w:rsidRPr="0090768A">
              <w:rPr>
                <w:sz w:val="40"/>
                <w:szCs w:val="20"/>
              </w:rPr>
              <w:t>A</w:t>
            </w:r>
            <w:r>
              <w:rPr>
                <w:szCs w:val="20"/>
              </w:rPr>
              <w:t>/HRC/RES/36/26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120AB6" w:rsidP="00120AB6">
            <w:pPr>
              <w:bidi w:val="0"/>
              <w:spacing w:before="240"/>
              <w:jc w:val="left"/>
              <w:rPr>
                <w:szCs w:val="20"/>
              </w:rPr>
            </w:pPr>
            <w:r>
              <w:rPr>
                <w:szCs w:val="20"/>
              </w:rPr>
              <w:t>Distr.: General</w:t>
            </w:r>
          </w:p>
          <w:p w:rsidR="00120AB6" w:rsidRDefault="00120AB6" w:rsidP="00120AB6">
            <w:pPr>
              <w:bidi w:val="0"/>
              <w:jc w:val="left"/>
              <w:rPr>
                <w:szCs w:val="20"/>
              </w:rPr>
            </w:pPr>
            <w:r>
              <w:rPr>
                <w:szCs w:val="20"/>
              </w:rPr>
              <w:t>9 October 2017</w:t>
            </w:r>
          </w:p>
          <w:p w:rsidR="00120AB6" w:rsidRDefault="00120AB6" w:rsidP="00120AB6">
            <w:pPr>
              <w:bidi w:val="0"/>
              <w:jc w:val="left"/>
              <w:rPr>
                <w:szCs w:val="20"/>
              </w:rPr>
            </w:pPr>
            <w:r>
              <w:rPr>
                <w:szCs w:val="20"/>
              </w:rPr>
              <w:t>Arabic</w:t>
            </w:r>
          </w:p>
          <w:p w:rsidR="00120AB6" w:rsidRPr="003E159A" w:rsidRDefault="00120AB6" w:rsidP="00120AB6">
            <w:pPr>
              <w:bidi w:val="0"/>
              <w:jc w:val="left"/>
              <w:rPr>
                <w:szCs w:val="20"/>
              </w:rPr>
            </w:pPr>
            <w:r>
              <w:rPr>
                <w:szCs w:val="20"/>
              </w:rPr>
              <w:t>Original: English</w:t>
            </w:r>
          </w:p>
        </w:tc>
      </w:tr>
    </w:tbl>
    <w:p w:rsidR="00120AB6" w:rsidRDefault="00120AB6" w:rsidP="00120AB6">
      <w:pPr>
        <w:spacing w:before="120" w:line="380" w:lineRule="exact"/>
        <w:jc w:val="left"/>
        <w:rPr>
          <w:b/>
          <w:bCs/>
          <w:sz w:val="36"/>
          <w:szCs w:val="36"/>
          <w:rtl/>
        </w:rPr>
      </w:pPr>
      <w:r w:rsidRPr="001773DB">
        <w:rPr>
          <w:rFonts w:hint="cs"/>
          <w:b/>
          <w:bCs/>
          <w:sz w:val="36"/>
          <w:szCs w:val="36"/>
          <w:rtl/>
        </w:rPr>
        <w:t>مجلس حقوق الإنسان</w:t>
      </w:r>
    </w:p>
    <w:p w:rsidR="00120AB6" w:rsidRPr="00475A87" w:rsidRDefault="00120AB6" w:rsidP="00120AB6">
      <w:pPr>
        <w:pStyle w:val="SingleTxtGA"/>
        <w:spacing w:after="0"/>
        <w:ind w:left="0"/>
        <w:rPr>
          <w:b/>
          <w:bCs/>
          <w:rtl/>
          <w:lang w:bidi="ar-DZ"/>
        </w:rPr>
      </w:pPr>
      <w:r w:rsidRPr="00475A87">
        <w:rPr>
          <w:b/>
          <w:bCs/>
          <w:rtl/>
          <w:lang w:bidi="ar-DZ"/>
        </w:rPr>
        <w:t>الدورة السادسة والثلاثون</w:t>
      </w:r>
    </w:p>
    <w:p w:rsidR="00120AB6" w:rsidRPr="00475A87" w:rsidRDefault="00120AB6" w:rsidP="00120AB6">
      <w:pPr>
        <w:pStyle w:val="SingleTxtGA"/>
        <w:spacing w:after="0"/>
        <w:ind w:left="0"/>
        <w:rPr>
          <w:rtl/>
        </w:rPr>
      </w:pPr>
      <w:r>
        <w:rPr>
          <w:rtl/>
          <w:lang w:bidi="ar-DZ"/>
        </w:rPr>
        <w:t>11</w:t>
      </w:r>
      <w:r w:rsidRPr="00475A87">
        <w:rPr>
          <w:rtl/>
          <w:lang w:bidi="ar-DZ"/>
        </w:rPr>
        <w:t>-</w:t>
      </w:r>
      <w:r>
        <w:rPr>
          <w:rtl/>
          <w:lang w:bidi="ar-DZ"/>
        </w:rPr>
        <w:t>29</w:t>
      </w:r>
      <w:r w:rsidRPr="00475A87">
        <w:rPr>
          <w:rtl/>
          <w:lang w:bidi="ar-DZ"/>
        </w:rPr>
        <w:t xml:space="preserve"> أيلول/سبتمبر </w:t>
      </w:r>
      <w:r>
        <w:rPr>
          <w:rtl/>
          <w:lang w:bidi="ar-DZ"/>
        </w:rPr>
        <w:t>2017</w:t>
      </w:r>
    </w:p>
    <w:p w:rsidR="00120AB6" w:rsidRPr="00475A87" w:rsidRDefault="00120AB6" w:rsidP="00120AB6">
      <w:pPr>
        <w:pStyle w:val="SingleTxtGA"/>
        <w:spacing w:after="0"/>
        <w:ind w:left="0"/>
        <w:rPr>
          <w:rtl/>
          <w:lang w:bidi="ar-DZ"/>
        </w:rPr>
      </w:pPr>
      <w:r w:rsidRPr="00475A87">
        <w:rPr>
          <w:rtl/>
          <w:lang w:bidi="ar-DZ"/>
        </w:rPr>
        <w:t xml:space="preserve">البند </w:t>
      </w:r>
      <w:r>
        <w:rPr>
          <w:rtl/>
          <w:lang w:bidi="ar-DZ"/>
        </w:rPr>
        <w:t>10</w:t>
      </w:r>
      <w:r w:rsidRPr="00475A87">
        <w:rPr>
          <w:rtl/>
          <w:lang w:bidi="ar-DZ"/>
        </w:rPr>
        <w:t xml:space="preserve"> من جدول الأعمال</w:t>
      </w:r>
    </w:p>
    <w:p w:rsidR="00120AB6" w:rsidRPr="00475A87" w:rsidRDefault="00120AB6" w:rsidP="00120AB6">
      <w:pPr>
        <w:pStyle w:val="SingleTxtGA"/>
        <w:spacing w:after="0"/>
        <w:ind w:left="0"/>
        <w:rPr>
          <w:b/>
          <w:bCs/>
          <w:rtl/>
          <w:lang w:bidi="ar-DZ"/>
        </w:rPr>
      </w:pPr>
    </w:p>
    <w:p w:rsidR="00120AB6" w:rsidRDefault="00120AB6" w:rsidP="00120AB6">
      <w:pPr>
        <w:pStyle w:val="HChGA"/>
        <w:ind w:left="0" w:right="0" w:firstLine="0"/>
        <w:jc w:val="center"/>
        <w:rPr>
          <w:rtl/>
        </w:rPr>
      </w:pPr>
      <w:r w:rsidRPr="0067047E">
        <w:rPr>
          <w:rtl/>
        </w:rPr>
        <w:t>قرار</w:t>
      </w:r>
      <w:r w:rsidRPr="0067047E">
        <w:rPr>
          <w:rFonts w:hint="cs"/>
          <w:rtl/>
        </w:rPr>
        <w:t xml:space="preserve"> اعتمده</w:t>
      </w:r>
      <w:r w:rsidRPr="0067047E">
        <w:rPr>
          <w:rtl/>
        </w:rPr>
        <w:t xml:space="preserve"> </w:t>
      </w:r>
      <w:r w:rsidRPr="0067047E">
        <w:rPr>
          <w:rFonts w:hint="cs"/>
          <w:rtl/>
        </w:rPr>
        <w:t>مجلس</w:t>
      </w:r>
      <w:r w:rsidRPr="0067047E">
        <w:rPr>
          <w:rtl/>
        </w:rPr>
        <w:t xml:space="preserve"> </w:t>
      </w:r>
      <w:r w:rsidRPr="0067047E">
        <w:rPr>
          <w:rFonts w:hint="cs"/>
          <w:rtl/>
        </w:rPr>
        <w:t>حقوق</w:t>
      </w:r>
      <w:r w:rsidRPr="0067047E">
        <w:rPr>
          <w:rtl/>
        </w:rPr>
        <w:t xml:space="preserve"> </w:t>
      </w:r>
      <w:r w:rsidRPr="0067047E">
        <w:rPr>
          <w:rFonts w:hint="cs"/>
          <w:rtl/>
        </w:rPr>
        <w:t>الإنسان في 2</w:t>
      </w:r>
      <w:r>
        <w:rPr>
          <w:rFonts w:hint="cs"/>
          <w:rtl/>
        </w:rPr>
        <w:t>9</w:t>
      </w:r>
      <w:r w:rsidRPr="0067047E">
        <w:rPr>
          <w:rFonts w:hint="cs"/>
          <w:rtl/>
        </w:rPr>
        <w:t xml:space="preserve"> أيلول/سبتمبر 2017</w:t>
      </w:r>
    </w:p>
    <w:p w:rsidR="00120AB6" w:rsidRDefault="00120AB6" w:rsidP="00120AB6">
      <w:pPr>
        <w:pStyle w:val="H1GA"/>
        <w:ind w:left="2720" w:hanging="1473"/>
        <w:rPr>
          <w:rtl/>
          <w:lang w:val="fr-CH"/>
        </w:rPr>
      </w:pPr>
      <w:r>
        <w:rPr>
          <w:rtl/>
          <w:lang w:val="fr-CH"/>
        </w:rPr>
        <w:t>36</w:t>
      </w:r>
      <w:r w:rsidRPr="00744CCF">
        <w:rPr>
          <w:rFonts w:hint="cs"/>
          <w:rtl/>
          <w:lang w:val="fr-CH"/>
        </w:rPr>
        <w:t>/</w:t>
      </w:r>
      <w:r>
        <w:rPr>
          <w:rFonts w:hint="cs"/>
          <w:rtl/>
          <w:lang w:val="fr-CH"/>
        </w:rPr>
        <w:t>26-</w:t>
      </w:r>
      <w:r>
        <w:rPr>
          <w:rtl/>
          <w:lang w:val="fr-CH"/>
        </w:rPr>
        <w:tab/>
      </w:r>
      <w:r w:rsidRPr="00744CCF">
        <w:rPr>
          <w:rtl/>
          <w:lang w:val="fr-CH"/>
        </w:rPr>
        <w:t>تقديم المساعدة التقنية وبناء القدرات لتحسين حالة حقوق الإنسان في السودان</w:t>
      </w:r>
    </w:p>
    <w:p w:rsidR="00120AB6" w:rsidRPr="003E4AA9" w:rsidRDefault="00120AB6" w:rsidP="00120AB6">
      <w:pPr>
        <w:pStyle w:val="SingleTxtGA"/>
        <w:rPr>
          <w:i/>
          <w:iCs/>
          <w:rtl/>
          <w:lang w:bidi="ar-DZ"/>
        </w:rPr>
      </w:pPr>
      <w:r w:rsidRPr="003E4AA9">
        <w:rPr>
          <w:i/>
          <w:iCs/>
          <w:rtl/>
          <w:lang w:bidi="ar-DZ"/>
        </w:rPr>
        <w:tab/>
      </w:r>
      <w:r w:rsidRPr="003E4AA9">
        <w:rPr>
          <w:rFonts w:hint="cs"/>
          <w:i/>
          <w:iCs/>
          <w:rtl/>
          <w:lang w:bidi="ar-DZ"/>
        </w:rPr>
        <w:t>إن</w:t>
      </w:r>
      <w:r w:rsidRPr="003E4AA9">
        <w:rPr>
          <w:i/>
          <w:iCs/>
          <w:rtl/>
          <w:lang w:bidi="ar-DZ"/>
        </w:rPr>
        <w:t xml:space="preserve"> </w:t>
      </w:r>
      <w:r w:rsidRPr="003E4AA9">
        <w:rPr>
          <w:rFonts w:hint="cs"/>
          <w:i/>
          <w:iCs/>
          <w:rtl/>
          <w:lang w:bidi="ar-DZ"/>
        </w:rPr>
        <w:t>مجلس</w:t>
      </w:r>
      <w:r w:rsidRPr="003E4AA9">
        <w:rPr>
          <w:i/>
          <w:iCs/>
          <w:rtl/>
          <w:lang w:bidi="ar-DZ"/>
        </w:rPr>
        <w:t xml:space="preserve"> </w:t>
      </w:r>
      <w:r w:rsidRPr="003E4AA9">
        <w:rPr>
          <w:rFonts w:hint="cs"/>
          <w:i/>
          <w:iCs/>
          <w:rtl/>
          <w:lang w:bidi="ar-DZ"/>
        </w:rPr>
        <w:t>حقوق</w:t>
      </w:r>
      <w:r w:rsidRPr="003E4AA9">
        <w:rPr>
          <w:i/>
          <w:iCs/>
          <w:rtl/>
          <w:lang w:bidi="ar-DZ"/>
        </w:rPr>
        <w:t xml:space="preserve"> </w:t>
      </w:r>
      <w:r w:rsidRPr="003E4AA9">
        <w:rPr>
          <w:rFonts w:hint="cs"/>
          <w:i/>
          <w:iCs/>
          <w:rtl/>
          <w:lang w:bidi="ar-DZ"/>
        </w:rPr>
        <w:t>الإنسان،</w:t>
      </w:r>
    </w:p>
    <w:p w:rsidR="00120AB6" w:rsidRDefault="00120AB6" w:rsidP="00120AB6">
      <w:pPr>
        <w:pStyle w:val="SingleTxtGA"/>
        <w:rPr>
          <w:rtl/>
          <w:lang w:bidi="ar-DZ"/>
        </w:rPr>
      </w:pPr>
      <w:r>
        <w:rPr>
          <w:rtl/>
          <w:lang w:bidi="ar-DZ"/>
        </w:rPr>
        <w:tab/>
      </w:r>
      <w:r w:rsidRPr="009827E0">
        <w:rPr>
          <w:i/>
          <w:iCs/>
          <w:rtl/>
          <w:lang w:bidi="ar-DZ"/>
        </w:rPr>
        <w:t>إذ يسترشد</w:t>
      </w:r>
      <w:r>
        <w:rPr>
          <w:rtl/>
          <w:lang w:bidi="ar-DZ"/>
        </w:rPr>
        <w:t xml:space="preserve"> بمبادئ ميثاق الأمم المتحدة ومقاصده،</w:t>
      </w:r>
    </w:p>
    <w:p w:rsidR="00120AB6" w:rsidRDefault="00120AB6" w:rsidP="00120AB6">
      <w:pPr>
        <w:pStyle w:val="SingleTxtGA"/>
        <w:rPr>
          <w:rtl/>
          <w:lang w:bidi="ar-DZ"/>
        </w:rPr>
      </w:pPr>
      <w:r>
        <w:rPr>
          <w:rFonts w:cs="Times New Roman"/>
          <w:rtl/>
          <w:lang w:bidi="ar-DZ"/>
        </w:rPr>
        <w:tab/>
      </w:r>
      <w:r w:rsidRPr="009827E0">
        <w:rPr>
          <w:rFonts w:hint="cs"/>
          <w:i/>
          <w:iCs/>
          <w:rtl/>
          <w:lang w:bidi="ar-DZ"/>
        </w:rPr>
        <w:t>وإذ</w:t>
      </w:r>
      <w:r w:rsidRPr="009827E0">
        <w:rPr>
          <w:i/>
          <w:iCs/>
          <w:rtl/>
          <w:lang w:bidi="ar-DZ"/>
        </w:rPr>
        <w:t xml:space="preserve"> </w:t>
      </w:r>
      <w:r w:rsidRPr="009827E0">
        <w:rPr>
          <w:rFonts w:hint="cs"/>
          <w:i/>
          <w:iCs/>
          <w:rtl/>
          <w:lang w:bidi="ar-DZ"/>
        </w:rPr>
        <w:t>يشير</w:t>
      </w:r>
      <w:r>
        <w:rPr>
          <w:rtl/>
          <w:lang w:bidi="ar-DZ"/>
        </w:rPr>
        <w:t xml:space="preserve"> </w:t>
      </w:r>
      <w:r>
        <w:rPr>
          <w:rFonts w:hint="cs"/>
          <w:rtl/>
          <w:lang w:bidi="ar-DZ"/>
        </w:rPr>
        <w:t>إلى</w:t>
      </w:r>
      <w:r>
        <w:rPr>
          <w:rtl/>
          <w:lang w:bidi="ar-DZ"/>
        </w:rPr>
        <w:t xml:space="preserve"> </w:t>
      </w:r>
      <w:r>
        <w:rPr>
          <w:rFonts w:hint="cs"/>
          <w:rtl/>
          <w:lang w:bidi="ar-DZ"/>
        </w:rPr>
        <w:t>الإعلان</w:t>
      </w:r>
      <w:r>
        <w:rPr>
          <w:rtl/>
          <w:lang w:bidi="ar-DZ"/>
        </w:rPr>
        <w:t xml:space="preserve"> </w:t>
      </w:r>
      <w:r>
        <w:rPr>
          <w:rFonts w:hint="cs"/>
          <w:rtl/>
          <w:lang w:bidi="ar-DZ"/>
        </w:rPr>
        <w:t>العالمي</w:t>
      </w:r>
      <w:r>
        <w:rPr>
          <w:rtl/>
          <w:lang w:bidi="ar-DZ"/>
        </w:rPr>
        <w:t xml:space="preserve"> </w:t>
      </w:r>
      <w:r>
        <w:rPr>
          <w:rFonts w:hint="cs"/>
          <w:rtl/>
          <w:lang w:bidi="ar-DZ"/>
        </w:rPr>
        <w:t>لحقوق</w:t>
      </w:r>
      <w:r>
        <w:rPr>
          <w:rtl/>
          <w:lang w:bidi="ar-DZ"/>
        </w:rPr>
        <w:t xml:space="preserve"> </w:t>
      </w:r>
      <w:r>
        <w:rPr>
          <w:rFonts w:hint="cs"/>
          <w:rtl/>
          <w:lang w:bidi="ar-DZ"/>
        </w:rPr>
        <w:t>الإنسان،</w:t>
      </w:r>
      <w:r>
        <w:rPr>
          <w:rtl/>
          <w:lang w:bidi="ar-DZ"/>
        </w:rPr>
        <w:t xml:space="preserve"> </w:t>
      </w:r>
      <w:r>
        <w:rPr>
          <w:rFonts w:hint="cs"/>
          <w:rtl/>
          <w:lang w:bidi="ar-DZ"/>
        </w:rPr>
        <w:t>والعهد</w:t>
      </w:r>
      <w:r>
        <w:rPr>
          <w:rtl/>
          <w:lang w:bidi="ar-DZ"/>
        </w:rPr>
        <w:t xml:space="preserve"> </w:t>
      </w:r>
      <w:r>
        <w:rPr>
          <w:rFonts w:hint="cs"/>
          <w:rtl/>
          <w:lang w:bidi="ar-DZ"/>
        </w:rPr>
        <w:t>الدولي</w:t>
      </w:r>
      <w:r>
        <w:rPr>
          <w:rtl/>
          <w:lang w:bidi="ar-DZ"/>
        </w:rPr>
        <w:t xml:space="preserve"> </w:t>
      </w:r>
      <w:r>
        <w:rPr>
          <w:rFonts w:hint="cs"/>
          <w:rtl/>
          <w:lang w:bidi="ar-DZ"/>
        </w:rPr>
        <w:t>الخاص</w:t>
      </w:r>
      <w:r>
        <w:rPr>
          <w:rtl/>
          <w:lang w:bidi="ar-DZ"/>
        </w:rPr>
        <w:t xml:space="preserve"> </w:t>
      </w:r>
      <w:r>
        <w:rPr>
          <w:rFonts w:hint="cs"/>
          <w:rtl/>
          <w:lang w:bidi="ar-DZ"/>
        </w:rPr>
        <w:t>بالحقوق</w:t>
      </w:r>
      <w:r>
        <w:rPr>
          <w:rtl/>
          <w:lang w:bidi="ar-DZ"/>
        </w:rPr>
        <w:t xml:space="preserve"> </w:t>
      </w:r>
      <w:r>
        <w:rPr>
          <w:rFonts w:hint="cs"/>
          <w:rtl/>
          <w:lang w:bidi="ar-DZ"/>
        </w:rPr>
        <w:t>المدنية</w:t>
      </w:r>
      <w:r>
        <w:rPr>
          <w:rtl/>
          <w:lang w:bidi="ar-DZ"/>
        </w:rPr>
        <w:t xml:space="preserve"> </w:t>
      </w:r>
      <w:r>
        <w:rPr>
          <w:rFonts w:hint="cs"/>
          <w:rtl/>
          <w:lang w:bidi="ar-DZ"/>
        </w:rPr>
        <w:t>والسياسية،</w:t>
      </w:r>
      <w:r>
        <w:rPr>
          <w:rtl/>
          <w:lang w:bidi="ar-DZ"/>
        </w:rPr>
        <w:t xml:space="preserve"> </w:t>
      </w:r>
      <w:r>
        <w:rPr>
          <w:rFonts w:hint="cs"/>
          <w:rtl/>
          <w:lang w:bidi="ar-DZ"/>
        </w:rPr>
        <w:t>والعهد</w:t>
      </w:r>
      <w:r>
        <w:rPr>
          <w:rtl/>
          <w:lang w:bidi="ar-DZ"/>
        </w:rPr>
        <w:t xml:space="preserve"> </w:t>
      </w:r>
      <w:r>
        <w:rPr>
          <w:rFonts w:hint="cs"/>
          <w:rtl/>
          <w:lang w:bidi="ar-DZ"/>
        </w:rPr>
        <w:t>الدولي</w:t>
      </w:r>
      <w:r>
        <w:rPr>
          <w:rtl/>
          <w:lang w:bidi="ar-DZ"/>
        </w:rPr>
        <w:t xml:space="preserve"> </w:t>
      </w:r>
      <w:r>
        <w:rPr>
          <w:rFonts w:hint="cs"/>
          <w:rtl/>
          <w:lang w:bidi="ar-DZ"/>
        </w:rPr>
        <w:t>الخاص</w:t>
      </w:r>
      <w:r>
        <w:rPr>
          <w:rtl/>
          <w:lang w:bidi="ar-DZ"/>
        </w:rPr>
        <w:t xml:space="preserve"> </w:t>
      </w:r>
      <w:r>
        <w:rPr>
          <w:rFonts w:hint="cs"/>
          <w:rtl/>
          <w:lang w:bidi="ar-DZ"/>
        </w:rPr>
        <w:t>بالحقوق</w:t>
      </w:r>
      <w:r>
        <w:rPr>
          <w:rtl/>
          <w:lang w:bidi="ar-DZ"/>
        </w:rPr>
        <w:t xml:space="preserve"> </w:t>
      </w:r>
      <w:r>
        <w:rPr>
          <w:rFonts w:hint="cs"/>
          <w:rtl/>
          <w:lang w:bidi="ar-DZ"/>
        </w:rPr>
        <w:t>الاقتصا</w:t>
      </w:r>
      <w:r>
        <w:rPr>
          <w:rtl/>
          <w:lang w:bidi="ar-DZ"/>
        </w:rPr>
        <w:t>دية والاجتماعية والثقافية، وغير ذلك من صكوك حقوق الإنسان الدولية ذات الصلة،</w:t>
      </w:r>
    </w:p>
    <w:p w:rsidR="00120AB6" w:rsidRPr="00BE0C9D" w:rsidRDefault="00120AB6" w:rsidP="00120AB6">
      <w:pPr>
        <w:pStyle w:val="SingleTxtGA"/>
        <w:rPr>
          <w:rtl/>
          <w:lang w:bidi="ar-DZ"/>
        </w:rPr>
      </w:pPr>
      <w:r w:rsidRPr="00BE0C9D">
        <w:rPr>
          <w:rFonts w:cs="Times New Roman"/>
          <w:rtl/>
          <w:lang w:bidi="ar-DZ"/>
        </w:rPr>
        <w:tab/>
      </w:r>
      <w:r w:rsidRPr="00BE0C9D">
        <w:rPr>
          <w:rFonts w:hint="cs"/>
          <w:i/>
          <w:iCs/>
          <w:rtl/>
          <w:lang w:bidi="ar-DZ"/>
        </w:rPr>
        <w:t>وإذ</w:t>
      </w:r>
      <w:r w:rsidRPr="00BE0C9D">
        <w:rPr>
          <w:i/>
          <w:iCs/>
          <w:rtl/>
          <w:lang w:bidi="ar-DZ"/>
        </w:rPr>
        <w:t xml:space="preserve"> </w:t>
      </w:r>
      <w:r w:rsidRPr="00BE0C9D">
        <w:rPr>
          <w:rFonts w:hint="cs"/>
          <w:i/>
          <w:iCs/>
          <w:rtl/>
          <w:lang w:bidi="ar-DZ"/>
        </w:rPr>
        <w:t>يشير</w:t>
      </w:r>
      <w:r w:rsidRPr="00BE0C9D">
        <w:rPr>
          <w:i/>
          <w:iCs/>
          <w:rtl/>
          <w:lang w:bidi="ar-DZ"/>
        </w:rPr>
        <w:t xml:space="preserve"> </w:t>
      </w:r>
      <w:r w:rsidRPr="00BE0C9D">
        <w:rPr>
          <w:rFonts w:hint="cs"/>
          <w:i/>
          <w:iCs/>
          <w:rtl/>
          <w:lang w:bidi="ar-DZ"/>
        </w:rPr>
        <w:t>أيضاً</w:t>
      </w:r>
      <w:r w:rsidRPr="00BE0C9D">
        <w:rPr>
          <w:rtl/>
          <w:lang w:bidi="ar-DZ"/>
        </w:rPr>
        <w:t xml:space="preserve"> </w:t>
      </w:r>
      <w:r w:rsidRPr="00BE0C9D">
        <w:rPr>
          <w:rFonts w:hint="cs"/>
          <w:rtl/>
          <w:lang w:bidi="ar-DZ"/>
        </w:rPr>
        <w:t>إلى</w:t>
      </w:r>
      <w:r w:rsidRPr="00BE0C9D">
        <w:rPr>
          <w:rtl/>
          <w:lang w:bidi="ar-DZ"/>
        </w:rPr>
        <w:t xml:space="preserve"> </w:t>
      </w:r>
      <w:r w:rsidRPr="00BE0C9D">
        <w:rPr>
          <w:rFonts w:hint="cs"/>
          <w:rtl/>
          <w:lang w:bidi="ar-DZ"/>
        </w:rPr>
        <w:t>قرار</w:t>
      </w:r>
      <w:r w:rsidRPr="00BE0C9D">
        <w:rPr>
          <w:rtl/>
          <w:lang w:bidi="ar-DZ"/>
        </w:rPr>
        <w:t xml:space="preserve"> </w:t>
      </w:r>
      <w:r w:rsidRPr="00BE0C9D">
        <w:rPr>
          <w:rFonts w:hint="cs"/>
          <w:rtl/>
          <w:lang w:bidi="ar-DZ"/>
        </w:rPr>
        <w:t>الجمعية</w:t>
      </w:r>
      <w:r w:rsidRPr="00BE0C9D">
        <w:rPr>
          <w:rtl/>
          <w:lang w:bidi="ar-DZ"/>
        </w:rPr>
        <w:t xml:space="preserve"> </w:t>
      </w:r>
      <w:r w:rsidRPr="00BE0C9D">
        <w:rPr>
          <w:rFonts w:hint="cs"/>
          <w:rtl/>
          <w:lang w:bidi="ar-DZ"/>
        </w:rPr>
        <w:t>العامة</w:t>
      </w:r>
      <w:r w:rsidRPr="00BE0C9D">
        <w:rPr>
          <w:rtl/>
          <w:lang w:bidi="ar-DZ"/>
        </w:rPr>
        <w:t xml:space="preserve"> 60/251 </w:t>
      </w:r>
      <w:r w:rsidRPr="00BE0C9D">
        <w:rPr>
          <w:rFonts w:hint="cs"/>
          <w:rtl/>
          <w:lang w:bidi="ar-DZ"/>
        </w:rPr>
        <w:t>المؤرخ</w:t>
      </w:r>
      <w:r w:rsidRPr="00BE0C9D">
        <w:rPr>
          <w:rtl/>
          <w:lang w:bidi="ar-DZ"/>
        </w:rPr>
        <w:t xml:space="preserve"> 15 </w:t>
      </w:r>
      <w:r w:rsidRPr="00BE0C9D">
        <w:rPr>
          <w:rFonts w:hint="cs"/>
          <w:rtl/>
          <w:lang w:bidi="ar-DZ"/>
        </w:rPr>
        <w:t>آذار</w:t>
      </w:r>
      <w:r w:rsidRPr="00BE0C9D">
        <w:rPr>
          <w:rtl/>
          <w:lang w:bidi="ar-DZ"/>
        </w:rPr>
        <w:t>/</w:t>
      </w:r>
      <w:r w:rsidRPr="00BE0C9D">
        <w:rPr>
          <w:rFonts w:hint="cs"/>
          <w:rtl/>
          <w:lang w:bidi="ar-DZ"/>
        </w:rPr>
        <w:t>مارس</w:t>
      </w:r>
      <w:r w:rsidRPr="00BE0C9D">
        <w:rPr>
          <w:rtl/>
          <w:lang w:bidi="ar-DZ"/>
        </w:rPr>
        <w:t xml:space="preserve"> 2006 </w:t>
      </w:r>
      <w:r w:rsidRPr="00BE0C9D">
        <w:rPr>
          <w:rFonts w:hint="cs"/>
          <w:rtl/>
          <w:lang w:bidi="ar-DZ"/>
        </w:rPr>
        <w:t>وقراري</w:t>
      </w:r>
      <w:r w:rsidRPr="00BE0C9D">
        <w:rPr>
          <w:rtl/>
          <w:lang w:bidi="ar-DZ"/>
        </w:rPr>
        <w:t xml:space="preserve"> </w:t>
      </w:r>
      <w:r w:rsidRPr="00BE0C9D">
        <w:rPr>
          <w:rFonts w:hint="cs"/>
          <w:rtl/>
          <w:lang w:bidi="ar-DZ"/>
        </w:rPr>
        <w:t>مجلس</w:t>
      </w:r>
      <w:r w:rsidRPr="00BE0C9D">
        <w:rPr>
          <w:rtl/>
          <w:lang w:bidi="ar-DZ"/>
        </w:rPr>
        <w:t xml:space="preserve"> </w:t>
      </w:r>
      <w:r w:rsidRPr="00BE0C9D">
        <w:rPr>
          <w:rFonts w:hint="cs"/>
          <w:rtl/>
          <w:lang w:bidi="ar-DZ"/>
        </w:rPr>
        <w:t>حقوق</w:t>
      </w:r>
      <w:r w:rsidRPr="00BE0C9D">
        <w:rPr>
          <w:rtl/>
          <w:lang w:bidi="ar-DZ"/>
        </w:rPr>
        <w:t xml:space="preserve"> </w:t>
      </w:r>
      <w:r w:rsidRPr="00BE0C9D">
        <w:rPr>
          <w:rFonts w:hint="cs"/>
          <w:rtl/>
          <w:lang w:bidi="ar-DZ"/>
        </w:rPr>
        <w:t>الإنسان</w:t>
      </w:r>
      <w:r w:rsidRPr="00BE0C9D">
        <w:rPr>
          <w:rtl/>
          <w:lang w:bidi="ar-DZ"/>
        </w:rPr>
        <w:t xml:space="preserve"> 5/1 </w:t>
      </w:r>
      <w:r w:rsidRPr="00BE0C9D">
        <w:rPr>
          <w:rFonts w:hint="cs"/>
          <w:rtl/>
          <w:lang w:bidi="ar-DZ"/>
        </w:rPr>
        <w:t>و</w:t>
      </w:r>
      <w:r w:rsidRPr="00BE0C9D">
        <w:rPr>
          <w:rtl/>
          <w:lang w:bidi="ar-DZ"/>
        </w:rPr>
        <w:t xml:space="preserve">5/2 </w:t>
      </w:r>
      <w:r w:rsidRPr="00BE0C9D">
        <w:rPr>
          <w:rFonts w:hint="cs"/>
          <w:rtl/>
          <w:lang w:bidi="ar-DZ"/>
        </w:rPr>
        <w:t>المؤرخين</w:t>
      </w:r>
      <w:r w:rsidRPr="00BE0C9D">
        <w:rPr>
          <w:rtl/>
          <w:lang w:bidi="ar-DZ"/>
        </w:rPr>
        <w:t xml:space="preserve"> 18 </w:t>
      </w:r>
      <w:r w:rsidRPr="00BE0C9D">
        <w:rPr>
          <w:rFonts w:hint="cs"/>
          <w:rtl/>
          <w:lang w:bidi="ar-DZ"/>
        </w:rPr>
        <w:t>حزيران</w:t>
      </w:r>
      <w:r w:rsidRPr="00BE0C9D">
        <w:rPr>
          <w:rtl/>
          <w:lang w:bidi="ar-DZ"/>
        </w:rPr>
        <w:t>/</w:t>
      </w:r>
      <w:proofErr w:type="gramStart"/>
      <w:r w:rsidRPr="00BE0C9D">
        <w:rPr>
          <w:rFonts w:hint="cs"/>
          <w:rtl/>
          <w:lang w:bidi="ar-DZ"/>
        </w:rPr>
        <w:t>يونيه</w:t>
      </w:r>
      <w:proofErr w:type="gramEnd"/>
      <w:r w:rsidRPr="00BE0C9D">
        <w:rPr>
          <w:rtl/>
          <w:lang w:bidi="ar-DZ"/>
        </w:rPr>
        <w:t xml:space="preserve"> 2007</w:t>
      </w:r>
      <w:r w:rsidRPr="00BE0C9D">
        <w:rPr>
          <w:rFonts w:hint="cs"/>
          <w:rtl/>
          <w:lang w:bidi="ar-DZ"/>
        </w:rPr>
        <w:t>،</w:t>
      </w:r>
    </w:p>
    <w:p w:rsidR="00120AB6" w:rsidRPr="0012676D" w:rsidRDefault="00120AB6" w:rsidP="00120AB6">
      <w:pPr>
        <w:pStyle w:val="SingleTxtGA"/>
        <w:rPr>
          <w:rtl/>
          <w:lang w:bidi="ar-DZ"/>
        </w:rPr>
      </w:pPr>
      <w:r w:rsidRPr="0012676D">
        <w:rPr>
          <w:rtl/>
          <w:lang w:bidi="ar-DZ"/>
        </w:rPr>
        <w:tab/>
      </w:r>
      <w:r w:rsidRPr="0012676D">
        <w:rPr>
          <w:i/>
          <w:iCs/>
          <w:rtl/>
          <w:lang w:bidi="ar-DZ"/>
        </w:rPr>
        <w:t>وإذ يشير كذلك</w:t>
      </w:r>
      <w:r w:rsidRPr="0012676D">
        <w:rPr>
          <w:rtl/>
          <w:lang w:bidi="ar-DZ"/>
        </w:rPr>
        <w:t xml:space="preserve"> إلى قرار مجلس حقوق الإنسان 33/26 المؤرخ 30 أيلول/</w:t>
      </w:r>
      <w:r>
        <w:rPr>
          <w:rFonts w:hint="cs"/>
          <w:rtl/>
          <w:lang w:bidi="ar-DZ"/>
        </w:rPr>
        <w:t xml:space="preserve"> </w:t>
      </w:r>
      <w:r w:rsidRPr="0012676D">
        <w:rPr>
          <w:rtl/>
          <w:lang w:bidi="ar-DZ"/>
        </w:rPr>
        <w:t>سبتمبر</w:t>
      </w:r>
      <w:r>
        <w:rPr>
          <w:rFonts w:hint="cs"/>
          <w:rtl/>
          <w:lang w:bidi="ar-DZ"/>
        </w:rPr>
        <w:t> </w:t>
      </w:r>
      <w:r w:rsidRPr="0012676D">
        <w:rPr>
          <w:rtl/>
          <w:lang w:bidi="ar-DZ"/>
        </w:rPr>
        <w:t>201</w:t>
      </w:r>
      <w:r>
        <w:rPr>
          <w:rFonts w:hint="cs"/>
          <w:rtl/>
          <w:lang w:bidi="ar-DZ"/>
        </w:rPr>
        <w:t>6</w:t>
      </w:r>
      <w:r w:rsidRPr="0012676D">
        <w:rPr>
          <w:rtl/>
          <w:lang w:bidi="ar-DZ"/>
        </w:rPr>
        <w:t>،</w:t>
      </w:r>
    </w:p>
    <w:p w:rsidR="00120AB6" w:rsidRDefault="00120AB6" w:rsidP="00120AB6">
      <w:pPr>
        <w:pStyle w:val="SingleTxtGA"/>
        <w:rPr>
          <w:rtl/>
          <w:lang w:bidi="ar-DZ"/>
        </w:rPr>
      </w:pPr>
      <w:r>
        <w:rPr>
          <w:rFonts w:cs="Times New Roman"/>
          <w:rtl/>
          <w:lang w:bidi="ar-DZ"/>
        </w:rPr>
        <w:tab/>
      </w:r>
      <w:r w:rsidRPr="009827E0">
        <w:rPr>
          <w:rFonts w:hint="cs"/>
          <w:i/>
          <w:iCs/>
          <w:rtl/>
          <w:lang w:bidi="ar-DZ"/>
        </w:rPr>
        <w:t>وإذ</w:t>
      </w:r>
      <w:r w:rsidRPr="009827E0">
        <w:rPr>
          <w:i/>
          <w:iCs/>
          <w:rtl/>
          <w:lang w:bidi="ar-DZ"/>
        </w:rPr>
        <w:t xml:space="preserve"> </w:t>
      </w:r>
      <w:r w:rsidRPr="009827E0">
        <w:rPr>
          <w:rFonts w:hint="cs"/>
          <w:i/>
          <w:iCs/>
          <w:rtl/>
          <w:lang w:bidi="ar-DZ"/>
        </w:rPr>
        <w:t>يشدد</w:t>
      </w:r>
      <w:r>
        <w:rPr>
          <w:rtl/>
          <w:lang w:bidi="ar-DZ"/>
        </w:rPr>
        <w:t xml:space="preserve"> </w:t>
      </w:r>
      <w:r>
        <w:rPr>
          <w:rFonts w:hint="cs"/>
          <w:rtl/>
          <w:lang w:bidi="ar-DZ"/>
        </w:rPr>
        <w:t>على</w:t>
      </w:r>
      <w:r>
        <w:rPr>
          <w:rtl/>
          <w:lang w:bidi="ar-DZ"/>
        </w:rPr>
        <w:t xml:space="preserve"> </w:t>
      </w:r>
      <w:r>
        <w:rPr>
          <w:rFonts w:hint="cs"/>
          <w:rtl/>
          <w:lang w:bidi="ar-DZ"/>
        </w:rPr>
        <w:t>أن</w:t>
      </w:r>
      <w:r>
        <w:rPr>
          <w:rtl/>
          <w:lang w:bidi="ar-DZ"/>
        </w:rPr>
        <w:t xml:space="preserve"> </w:t>
      </w:r>
      <w:r>
        <w:rPr>
          <w:rFonts w:hint="cs"/>
          <w:rtl/>
          <w:lang w:bidi="ar-DZ"/>
        </w:rPr>
        <w:t>الدول</w:t>
      </w:r>
      <w:r>
        <w:rPr>
          <w:rtl/>
          <w:lang w:bidi="ar-DZ"/>
        </w:rPr>
        <w:t xml:space="preserve"> </w:t>
      </w:r>
      <w:r>
        <w:rPr>
          <w:rFonts w:hint="cs"/>
          <w:rtl/>
          <w:lang w:bidi="ar-DZ"/>
        </w:rPr>
        <w:t>هي</w:t>
      </w:r>
      <w:r>
        <w:rPr>
          <w:rtl/>
          <w:lang w:bidi="ar-DZ"/>
        </w:rPr>
        <w:t xml:space="preserve"> </w:t>
      </w:r>
      <w:r>
        <w:rPr>
          <w:rFonts w:hint="cs"/>
          <w:rtl/>
          <w:lang w:bidi="ar-DZ"/>
        </w:rPr>
        <w:t>المسؤولة</w:t>
      </w:r>
      <w:r>
        <w:rPr>
          <w:rtl/>
          <w:lang w:bidi="ar-DZ"/>
        </w:rPr>
        <w:t xml:space="preserve"> </w:t>
      </w:r>
      <w:r>
        <w:rPr>
          <w:rFonts w:hint="cs"/>
          <w:rtl/>
          <w:lang w:bidi="ar-DZ"/>
        </w:rPr>
        <w:t>في</w:t>
      </w:r>
      <w:r>
        <w:rPr>
          <w:rtl/>
          <w:lang w:bidi="ar-DZ"/>
        </w:rPr>
        <w:t xml:space="preserve"> </w:t>
      </w:r>
      <w:r>
        <w:rPr>
          <w:rFonts w:hint="cs"/>
          <w:rtl/>
          <w:lang w:bidi="ar-DZ"/>
        </w:rPr>
        <w:t>المقام</w:t>
      </w:r>
      <w:r>
        <w:rPr>
          <w:rtl/>
          <w:lang w:bidi="ar-DZ"/>
        </w:rPr>
        <w:t xml:space="preserve"> </w:t>
      </w:r>
      <w:r>
        <w:rPr>
          <w:rFonts w:hint="cs"/>
          <w:rtl/>
          <w:lang w:bidi="ar-DZ"/>
        </w:rPr>
        <w:t>الأول</w:t>
      </w:r>
      <w:r>
        <w:rPr>
          <w:rtl/>
          <w:lang w:bidi="ar-DZ"/>
        </w:rPr>
        <w:t xml:space="preserve"> </w:t>
      </w:r>
      <w:r>
        <w:rPr>
          <w:rFonts w:hint="cs"/>
          <w:rtl/>
          <w:lang w:bidi="ar-DZ"/>
        </w:rPr>
        <w:t>عن</w:t>
      </w:r>
      <w:r>
        <w:rPr>
          <w:rtl/>
          <w:lang w:bidi="ar-DZ"/>
        </w:rPr>
        <w:t xml:space="preserve"> </w:t>
      </w:r>
      <w:r>
        <w:rPr>
          <w:rFonts w:hint="cs"/>
          <w:rtl/>
          <w:lang w:bidi="ar-DZ"/>
        </w:rPr>
        <w:t>تعزيز</w:t>
      </w:r>
      <w:r>
        <w:rPr>
          <w:rtl/>
          <w:lang w:bidi="ar-DZ"/>
        </w:rPr>
        <w:t xml:space="preserve"> </w:t>
      </w:r>
      <w:r>
        <w:rPr>
          <w:rFonts w:hint="cs"/>
          <w:rtl/>
          <w:lang w:bidi="ar-DZ"/>
        </w:rPr>
        <w:t>جميع</w:t>
      </w:r>
      <w:r>
        <w:rPr>
          <w:rtl/>
          <w:lang w:bidi="ar-DZ"/>
        </w:rPr>
        <w:t xml:space="preserve"> </w:t>
      </w:r>
      <w:r>
        <w:rPr>
          <w:rFonts w:hint="cs"/>
          <w:rtl/>
          <w:lang w:bidi="ar-DZ"/>
        </w:rPr>
        <w:t>حقوق</w:t>
      </w:r>
      <w:r>
        <w:rPr>
          <w:rtl/>
          <w:lang w:bidi="ar-DZ"/>
        </w:rPr>
        <w:t xml:space="preserve"> </w:t>
      </w:r>
      <w:r>
        <w:rPr>
          <w:rFonts w:hint="cs"/>
          <w:rtl/>
          <w:lang w:bidi="ar-DZ"/>
        </w:rPr>
        <w:t>الإنسان</w:t>
      </w:r>
      <w:r w:rsidRPr="009219C2">
        <w:rPr>
          <w:rFonts w:hint="cs"/>
          <w:rtl/>
          <w:lang w:bidi="ar-DZ"/>
        </w:rPr>
        <w:t xml:space="preserve"> </w:t>
      </w:r>
      <w:r>
        <w:rPr>
          <w:rFonts w:hint="cs"/>
          <w:rtl/>
          <w:lang w:bidi="ar-DZ"/>
        </w:rPr>
        <w:t>وحمايتها،</w:t>
      </w:r>
    </w:p>
    <w:p w:rsidR="00120AB6" w:rsidRDefault="00120AB6" w:rsidP="00120AB6">
      <w:pPr>
        <w:pStyle w:val="SingleTxtGA"/>
        <w:rPr>
          <w:rtl/>
          <w:lang w:bidi="ar-DZ"/>
        </w:rPr>
      </w:pPr>
      <w:r>
        <w:rPr>
          <w:rtl/>
          <w:lang w:bidi="ar-DZ"/>
        </w:rPr>
        <w:tab/>
      </w:r>
      <w:r w:rsidRPr="009827E0">
        <w:rPr>
          <w:i/>
          <w:iCs/>
          <w:rtl/>
          <w:lang w:bidi="ar-DZ"/>
        </w:rPr>
        <w:t>وإذ يرحب</w:t>
      </w:r>
      <w:r>
        <w:rPr>
          <w:rtl/>
          <w:lang w:bidi="ar-DZ"/>
        </w:rPr>
        <w:t xml:space="preserve"> بالسياسات الإنسانية الجديدة لحكومة السودان، التي تدعو إلى وصول المساعدة الإنسانية بسرعة ومن دون عوائق، وفي الوقت نفسه يشجع الحكومة على حماية المساعدات الإنسانية وتوفيرها للسكان المحتاجين، ويشجع الحكومة أيضاً على تكثيف مساعيها الرامية إلى الاستمرار في التزامها بتلبية الاحتياجات الإنسانية في المناطق المتضررة من النزاع،</w:t>
      </w:r>
    </w:p>
    <w:p w:rsidR="00120AB6" w:rsidRDefault="00120AB6" w:rsidP="00120AB6">
      <w:pPr>
        <w:pStyle w:val="SingleTxtGA"/>
        <w:rPr>
          <w:rtl/>
          <w:lang w:bidi="ar-DZ"/>
        </w:rPr>
      </w:pPr>
      <w:r>
        <w:rPr>
          <w:rtl/>
          <w:lang w:bidi="ar-DZ"/>
        </w:rPr>
        <w:tab/>
        <w:t>1-</w:t>
      </w:r>
      <w:r>
        <w:rPr>
          <w:rtl/>
          <w:lang w:bidi="ar-DZ"/>
        </w:rPr>
        <w:tab/>
      </w:r>
      <w:r w:rsidRPr="009827E0">
        <w:rPr>
          <w:i/>
          <w:iCs/>
          <w:rtl/>
          <w:lang w:bidi="ar-DZ"/>
        </w:rPr>
        <w:t>يرحب</w:t>
      </w:r>
      <w:r>
        <w:rPr>
          <w:rtl/>
          <w:lang w:bidi="ar-DZ"/>
        </w:rPr>
        <w:t xml:space="preserve"> بعمل الخبير المستقل المعني بحالة حقوق الإنسان في السودان؛</w:t>
      </w:r>
    </w:p>
    <w:p w:rsidR="00120AB6" w:rsidRDefault="00120AB6" w:rsidP="00120AB6">
      <w:pPr>
        <w:pStyle w:val="SingleTxtGA"/>
        <w:rPr>
          <w:rtl/>
          <w:lang w:bidi="ar-DZ"/>
        </w:rPr>
      </w:pPr>
      <w:r>
        <w:rPr>
          <w:rtl/>
          <w:lang w:bidi="ar-DZ"/>
        </w:rPr>
        <w:lastRenderedPageBreak/>
        <w:tab/>
        <w:t>2-</w:t>
      </w:r>
      <w:r>
        <w:rPr>
          <w:rtl/>
          <w:lang w:bidi="ar-DZ"/>
        </w:rPr>
        <w:tab/>
      </w:r>
      <w:r w:rsidRPr="009827E0">
        <w:rPr>
          <w:i/>
          <w:iCs/>
          <w:rtl/>
          <w:lang w:bidi="ar-DZ"/>
        </w:rPr>
        <w:t>يحيط علماً</w:t>
      </w:r>
      <w:r>
        <w:rPr>
          <w:rtl/>
          <w:lang w:bidi="ar-DZ"/>
        </w:rPr>
        <w:t xml:space="preserve"> بالتقرير الذي قدمه الخبير المستقل إلى مجلس حقوق الإنسان في دورته السادسة والثلاثين</w:t>
      </w:r>
      <w:r w:rsidRPr="003E4AA9">
        <w:rPr>
          <w:rStyle w:val="FootnoteReference"/>
          <w:sz w:val="20"/>
          <w:szCs w:val="30"/>
          <w:rtl/>
          <w:lang w:bidi="ar-DZ"/>
        </w:rPr>
        <w:t>(</w:t>
      </w:r>
      <w:r w:rsidRPr="003E4AA9">
        <w:rPr>
          <w:rStyle w:val="FootnoteReference"/>
          <w:sz w:val="20"/>
          <w:szCs w:val="30"/>
          <w:rtl/>
          <w:lang w:bidi="ar-DZ"/>
        </w:rPr>
        <w:footnoteReference w:id="1"/>
      </w:r>
      <w:r w:rsidRPr="003E4AA9">
        <w:rPr>
          <w:rStyle w:val="FootnoteReference"/>
          <w:sz w:val="20"/>
          <w:szCs w:val="30"/>
          <w:rtl/>
          <w:lang w:bidi="ar-DZ"/>
        </w:rPr>
        <w:t>)</w:t>
      </w:r>
      <w:r>
        <w:rPr>
          <w:rtl/>
          <w:lang w:bidi="ar-DZ"/>
        </w:rPr>
        <w:t>، وبتعليقات حكومة السودان على ما جاء فيه</w:t>
      </w:r>
      <w:r w:rsidRPr="003E4AA9">
        <w:rPr>
          <w:rStyle w:val="FootnoteReference"/>
          <w:sz w:val="20"/>
          <w:szCs w:val="30"/>
          <w:rtl/>
          <w:lang w:bidi="ar-DZ"/>
        </w:rPr>
        <w:t>(</w:t>
      </w:r>
      <w:r w:rsidRPr="003E4AA9">
        <w:rPr>
          <w:rStyle w:val="FootnoteReference"/>
          <w:sz w:val="20"/>
          <w:szCs w:val="30"/>
          <w:rtl/>
          <w:lang w:bidi="ar-DZ"/>
        </w:rPr>
        <w:footnoteReference w:id="2"/>
      </w:r>
      <w:r w:rsidRPr="003E4AA9">
        <w:rPr>
          <w:rStyle w:val="FootnoteReference"/>
          <w:sz w:val="20"/>
          <w:szCs w:val="30"/>
          <w:rtl/>
          <w:lang w:bidi="ar-DZ"/>
        </w:rPr>
        <w:t>)</w:t>
      </w:r>
      <w:r>
        <w:rPr>
          <w:rtl/>
          <w:lang w:bidi="ar-DZ"/>
        </w:rPr>
        <w:t>؛</w:t>
      </w:r>
    </w:p>
    <w:p w:rsidR="00120AB6" w:rsidRDefault="00120AB6" w:rsidP="00120AB6">
      <w:pPr>
        <w:pStyle w:val="SingleTxtGA"/>
        <w:rPr>
          <w:rtl/>
          <w:lang w:bidi="ar-DZ"/>
        </w:rPr>
      </w:pPr>
      <w:r>
        <w:rPr>
          <w:rtl/>
          <w:lang w:bidi="ar-DZ"/>
        </w:rPr>
        <w:tab/>
        <w:t>3-</w:t>
      </w:r>
      <w:r>
        <w:rPr>
          <w:rtl/>
          <w:lang w:bidi="ar-DZ"/>
        </w:rPr>
        <w:tab/>
      </w:r>
      <w:r w:rsidRPr="009827E0">
        <w:rPr>
          <w:i/>
          <w:iCs/>
          <w:rtl/>
          <w:lang w:bidi="ar-DZ"/>
        </w:rPr>
        <w:t>يشير بتقدير</w:t>
      </w:r>
      <w:r>
        <w:rPr>
          <w:rtl/>
          <w:lang w:bidi="ar-DZ"/>
        </w:rPr>
        <w:t xml:space="preserve"> إلى تعاون حكومة السودان مع الخبير المستقل لتمكينه من أداء ولايته، وإلى إعلان الحكومة التزامها بمواصلة هذا التعاون؛</w:t>
      </w:r>
    </w:p>
    <w:p w:rsidR="00120AB6" w:rsidRDefault="00120AB6" w:rsidP="00120AB6">
      <w:pPr>
        <w:pStyle w:val="SingleTxtGA"/>
        <w:rPr>
          <w:rtl/>
          <w:lang w:bidi="ar-DZ"/>
        </w:rPr>
      </w:pPr>
      <w:r>
        <w:rPr>
          <w:rtl/>
          <w:lang w:bidi="ar-DZ"/>
        </w:rPr>
        <w:tab/>
        <w:t>4-</w:t>
      </w:r>
      <w:r>
        <w:rPr>
          <w:rtl/>
          <w:lang w:bidi="ar-DZ"/>
        </w:rPr>
        <w:tab/>
      </w:r>
      <w:r w:rsidRPr="009827E0">
        <w:rPr>
          <w:i/>
          <w:iCs/>
          <w:rtl/>
          <w:lang w:bidi="ar-DZ"/>
        </w:rPr>
        <w:t>يطلب</w:t>
      </w:r>
      <w:r>
        <w:rPr>
          <w:rtl/>
          <w:lang w:bidi="ar-DZ"/>
        </w:rPr>
        <w:t xml:space="preserve"> إلى الخبير المستقل العمل مع جميع الشركاء المعنيين من أجل توفير المساعدة التقنية وفي مجال بناء القدرات للكيانات المختصة التابعة لحكومة السودان، والوكالات الوطنية، وأصحاب المصلحة الآخرين؛</w:t>
      </w:r>
    </w:p>
    <w:p w:rsidR="00120AB6" w:rsidRPr="00BE0C9D" w:rsidRDefault="00120AB6" w:rsidP="00120AB6">
      <w:pPr>
        <w:pStyle w:val="SingleTxtGA"/>
        <w:rPr>
          <w:rtl/>
          <w:lang w:bidi="ar-DZ"/>
        </w:rPr>
      </w:pPr>
      <w:r w:rsidRPr="00BE0C9D">
        <w:rPr>
          <w:rtl/>
          <w:lang w:bidi="ar-DZ"/>
        </w:rPr>
        <w:tab/>
      </w:r>
      <w:r>
        <w:rPr>
          <w:rtl/>
          <w:lang w:bidi="ar-DZ"/>
        </w:rPr>
        <w:t>5</w:t>
      </w:r>
      <w:r w:rsidRPr="00BE0C9D">
        <w:rPr>
          <w:rtl/>
          <w:lang w:bidi="ar-DZ"/>
        </w:rPr>
        <w:t>-</w:t>
      </w:r>
      <w:r w:rsidRPr="00BE0C9D">
        <w:rPr>
          <w:rtl/>
          <w:lang w:bidi="ar-DZ"/>
        </w:rPr>
        <w:tab/>
      </w:r>
      <w:r w:rsidRPr="00BE0C9D">
        <w:rPr>
          <w:i/>
          <w:iCs/>
          <w:rtl/>
          <w:lang w:bidi="ar-DZ"/>
        </w:rPr>
        <w:t>يشير بتقدير</w:t>
      </w:r>
      <w:r w:rsidRPr="00BE0C9D">
        <w:rPr>
          <w:rtl/>
          <w:lang w:bidi="ar-DZ"/>
        </w:rPr>
        <w:t xml:space="preserve"> إلى النتائج التي حققها حتى الآن الحوار الوطني المستمر في السودان بهدف الوصول إلى سلام دائم، ويشجع على المشاركة الشاملة لجميع أصحاب المصلحة السودانيين، ويشجع جميع الجهات صاحبة المصلحة على تهيئة بيئة مواتية لإجراء حوار شامل للجميع وشفاف وذي مصداقية؛</w:t>
      </w:r>
    </w:p>
    <w:p w:rsidR="00120AB6" w:rsidRDefault="00120AB6" w:rsidP="00120AB6">
      <w:pPr>
        <w:pStyle w:val="SingleTxtGA"/>
        <w:rPr>
          <w:rtl/>
          <w:lang w:bidi="ar-DZ"/>
        </w:rPr>
      </w:pPr>
      <w:r>
        <w:rPr>
          <w:rtl/>
          <w:lang w:bidi="ar-DZ"/>
        </w:rPr>
        <w:tab/>
        <w:t>6-</w:t>
      </w:r>
      <w:r>
        <w:rPr>
          <w:rtl/>
          <w:lang w:bidi="ar-DZ"/>
        </w:rPr>
        <w:tab/>
      </w:r>
      <w:r w:rsidRPr="009827E0">
        <w:rPr>
          <w:i/>
          <w:iCs/>
          <w:rtl/>
          <w:lang w:bidi="ar-DZ"/>
        </w:rPr>
        <w:t>يشجع</w:t>
      </w:r>
      <w:r>
        <w:rPr>
          <w:rtl/>
          <w:lang w:bidi="ar-DZ"/>
        </w:rPr>
        <w:t xml:space="preserve"> حكومة السودان على تمديد الإعلان الأحادي الجانب بوقف الأعمال العدائية، ويدعو المجموعات المسلحة المتبقية إلى إعلان وقف غير مشروط للأعمال القتالية والتفاوض بحسن نية من أجل التوصل إلى وقف دائم لإطلاق النار؛</w:t>
      </w:r>
    </w:p>
    <w:p w:rsidR="00120AB6" w:rsidRDefault="00120AB6" w:rsidP="00120AB6">
      <w:pPr>
        <w:pStyle w:val="SingleTxtGA"/>
        <w:rPr>
          <w:rtl/>
          <w:lang w:bidi="ar-DZ"/>
        </w:rPr>
      </w:pPr>
      <w:r>
        <w:rPr>
          <w:rtl/>
          <w:lang w:bidi="ar-DZ"/>
        </w:rPr>
        <w:tab/>
        <w:t>7-</w:t>
      </w:r>
      <w:r>
        <w:rPr>
          <w:rtl/>
          <w:lang w:bidi="ar-DZ"/>
        </w:rPr>
        <w:tab/>
      </w:r>
      <w:r w:rsidRPr="009827E0">
        <w:rPr>
          <w:i/>
          <w:iCs/>
          <w:rtl/>
          <w:lang w:bidi="ar-DZ"/>
        </w:rPr>
        <w:t>يشير بتقدير</w:t>
      </w:r>
      <w:r>
        <w:rPr>
          <w:rtl/>
          <w:lang w:bidi="ar-DZ"/>
        </w:rPr>
        <w:t xml:space="preserve"> إلى استضافة السودان مئات آلاف اللاجئين من بلدان مجاورة وبلدان في المنطقة وفتحه أربعة ممرات إنسانية من أجل توفير تدخلات منقذة للحياة للمتضررين من النزاع والمجاعة؛</w:t>
      </w:r>
    </w:p>
    <w:p w:rsidR="00120AB6" w:rsidRPr="00806AA6" w:rsidRDefault="00120AB6" w:rsidP="00120AB6">
      <w:pPr>
        <w:pStyle w:val="SingleTxtGA"/>
        <w:rPr>
          <w:rtl/>
          <w:lang w:bidi="ar-DZ"/>
        </w:rPr>
      </w:pPr>
      <w:r>
        <w:rPr>
          <w:rtl/>
          <w:lang w:bidi="ar-DZ"/>
        </w:rPr>
        <w:tab/>
        <w:t>8-</w:t>
      </w:r>
      <w:r>
        <w:rPr>
          <w:rtl/>
          <w:lang w:bidi="ar-DZ"/>
        </w:rPr>
        <w:tab/>
      </w:r>
      <w:r w:rsidRPr="009827E0">
        <w:rPr>
          <w:i/>
          <w:iCs/>
          <w:rtl/>
          <w:lang w:bidi="ar-DZ"/>
        </w:rPr>
        <w:t>يلاحظ</w:t>
      </w:r>
      <w:r>
        <w:rPr>
          <w:rtl/>
          <w:lang w:bidi="ar-DZ"/>
        </w:rPr>
        <w:t xml:space="preserve"> الجهود المتواصلة التي تبذلها حكومة السودان من أجل تنفيذ توصيات </w:t>
      </w:r>
      <w:r w:rsidRPr="00806AA6">
        <w:rPr>
          <w:rtl/>
          <w:lang w:bidi="ar-DZ"/>
        </w:rPr>
        <w:t>الاستعراض الدوري الشامل التي قبلتها، ويشجع الحكومة على مواصلة تعاونها مع عملية الاستعراض؛</w:t>
      </w:r>
    </w:p>
    <w:p w:rsidR="00120AB6" w:rsidRDefault="00120AB6" w:rsidP="00120AB6">
      <w:pPr>
        <w:pStyle w:val="SingleTxtGA"/>
        <w:rPr>
          <w:rtl/>
          <w:lang w:bidi="ar-DZ"/>
        </w:rPr>
      </w:pPr>
      <w:r>
        <w:rPr>
          <w:rtl/>
          <w:lang w:bidi="ar-DZ"/>
        </w:rPr>
        <w:tab/>
        <w:t>9-</w:t>
      </w:r>
      <w:r>
        <w:rPr>
          <w:rtl/>
          <w:lang w:bidi="ar-DZ"/>
        </w:rPr>
        <w:tab/>
      </w:r>
      <w:r w:rsidRPr="009827E0">
        <w:rPr>
          <w:i/>
          <w:iCs/>
          <w:rtl/>
          <w:lang w:bidi="ar-DZ"/>
        </w:rPr>
        <w:t>يلاحظ أيض</w:t>
      </w:r>
      <w:r>
        <w:rPr>
          <w:i/>
          <w:iCs/>
          <w:rtl/>
          <w:lang w:bidi="ar-DZ"/>
        </w:rPr>
        <w:t xml:space="preserve">اً </w:t>
      </w:r>
      <w:r>
        <w:rPr>
          <w:rtl/>
          <w:lang w:bidi="ar-DZ"/>
        </w:rPr>
        <w:t>العديد من التطورات الإيجابية، مثل فصل مكتب المدعي العام في الآونة الأخيرة عن وزارة العدل، وتعيين رئيس اللجنة الوطنية السودانية لحقوق الإنسان في</w:t>
      </w:r>
      <w:r>
        <w:rPr>
          <w:rFonts w:hint="cs"/>
          <w:rtl/>
          <w:lang w:bidi="ar-DZ"/>
        </w:rPr>
        <w:t> </w:t>
      </w:r>
      <w:r>
        <w:rPr>
          <w:rtl/>
          <w:lang w:bidi="ar-DZ"/>
        </w:rPr>
        <w:t xml:space="preserve">16 أيار/مايو 2017، والعفو الرئاسي عن 259 عضواً من حركة التمرد المسلحة في دارفور، </w:t>
      </w:r>
      <w:r w:rsidRPr="00806AA6">
        <w:rPr>
          <w:spacing w:val="-4"/>
          <w:rtl/>
          <w:lang w:bidi="ar-DZ"/>
        </w:rPr>
        <w:t xml:space="preserve">وكذلك عن قسيسين كان قد حكم عليهما بالسجن لمدة </w:t>
      </w:r>
      <w:r>
        <w:rPr>
          <w:spacing w:val="-4"/>
          <w:rtl/>
          <w:lang w:bidi="ar-DZ"/>
        </w:rPr>
        <w:t>12</w:t>
      </w:r>
      <w:r w:rsidRPr="00806AA6">
        <w:rPr>
          <w:spacing w:val="-4"/>
          <w:rtl/>
          <w:lang w:bidi="ar-DZ"/>
        </w:rPr>
        <w:t xml:space="preserve"> سنة، وينوه بالعفو العام الذي أعلن في </w:t>
      </w:r>
      <w:r>
        <w:rPr>
          <w:spacing w:val="-4"/>
          <w:rtl/>
          <w:lang w:bidi="ar-DZ"/>
        </w:rPr>
        <w:t>29</w:t>
      </w:r>
      <w:r w:rsidRPr="00806AA6">
        <w:rPr>
          <w:spacing w:val="-4"/>
          <w:rtl/>
          <w:lang w:bidi="ar-DZ"/>
        </w:rPr>
        <w:t xml:space="preserve"> آب/أغسطس </w:t>
      </w:r>
      <w:r>
        <w:rPr>
          <w:spacing w:val="-4"/>
          <w:rtl/>
          <w:lang w:bidi="ar-DZ"/>
        </w:rPr>
        <w:t>2017</w:t>
      </w:r>
      <w:r w:rsidRPr="00806AA6">
        <w:rPr>
          <w:spacing w:val="-4"/>
          <w:rtl/>
          <w:lang w:bidi="ar-DZ"/>
        </w:rPr>
        <w:t xml:space="preserve"> عن ممثلي المجتمع المدني والناشطين في مجال حقوق الإنسان،</w:t>
      </w:r>
      <w:r>
        <w:rPr>
          <w:rtl/>
          <w:lang w:bidi="ar-DZ"/>
        </w:rPr>
        <w:t xml:space="preserve"> والإفراج بكفالة في 4 أيلول/سبتمبر عن ممثلي المجتمع المدني؛</w:t>
      </w:r>
    </w:p>
    <w:p w:rsidR="00120AB6" w:rsidRPr="00806AA6" w:rsidRDefault="00120AB6" w:rsidP="00120AB6">
      <w:pPr>
        <w:pStyle w:val="SingleTxtGA"/>
        <w:rPr>
          <w:rtl/>
          <w:lang w:bidi="ar-DZ"/>
        </w:rPr>
      </w:pPr>
      <w:r w:rsidRPr="00806AA6">
        <w:rPr>
          <w:rtl/>
          <w:lang w:bidi="ar-DZ"/>
        </w:rPr>
        <w:tab/>
      </w:r>
      <w:r>
        <w:rPr>
          <w:rtl/>
          <w:lang w:bidi="ar-DZ"/>
        </w:rPr>
        <w:t>10</w:t>
      </w:r>
      <w:r w:rsidRPr="00806AA6">
        <w:rPr>
          <w:rtl/>
          <w:lang w:bidi="ar-DZ"/>
        </w:rPr>
        <w:t>-</w:t>
      </w:r>
      <w:r w:rsidRPr="00806AA6">
        <w:rPr>
          <w:rtl/>
          <w:lang w:bidi="ar-DZ"/>
        </w:rPr>
        <w:tab/>
      </w:r>
      <w:r w:rsidRPr="00806AA6">
        <w:rPr>
          <w:i/>
          <w:iCs/>
          <w:rtl/>
          <w:lang w:bidi="ar-DZ"/>
        </w:rPr>
        <w:t>ينوه</w:t>
      </w:r>
      <w:r w:rsidRPr="00806AA6">
        <w:rPr>
          <w:rtl/>
          <w:lang w:bidi="ar-DZ"/>
        </w:rPr>
        <w:t xml:space="preserve"> بالملاحظات التي قدمها الخبير المستقل في تقريره، ويحث حكومة السودان على كفالة احترام حقوق الإنسان لجميع الأفراد، و</w:t>
      </w:r>
      <w:r>
        <w:rPr>
          <w:rFonts w:hint="cs"/>
          <w:rtl/>
          <w:lang w:bidi="ar-DZ"/>
        </w:rPr>
        <w:t>ي</w:t>
      </w:r>
      <w:r w:rsidRPr="00806AA6">
        <w:rPr>
          <w:rtl/>
          <w:lang w:bidi="ar-DZ"/>
        </w:rPr>
        <w:t>عرب عن القلق إزاء حوادث المضايقة والاعتقال التعسفي والاحتجاز لفترات طويلة،</w:t>
      </w:r>
      <w:r>
        <w:rPr>
          <w:rtl/>
          <w:lang w:bidi="ar-DZ"/>
        </w:rPr>
        <w:t xml:space="preserve"> بما </w:t>
      </w:r>
      <w:r w:rsidRPr="00806AA6">
        <w:rPr>
          <w:rtl/>
          <w:lang w:bidi="ar-DZ"/>
        </w:rPr>
        <w:t>في ذلك في حق الطلاب والمدافعين عن حقوق الإنسان وأعضاء منظمات المجتمع المدني، وإزاء القيود المفروضة على الحق في حرية التعبير وتكوين الجمعيات والتجمع السلمي، واستمرار الرقابة الإعلامية،</w:t>
      </w:r>
      <w:r>
        <w:rPr>
          <w:rtl/>
          <w:lang w:bidi="ar-DZ"/>
        </w:rPr>
        <w:t xml:space="preserve"> وفي </w:t>
      </w:r>
      <w:r w:rsidRPr="00806AA6">
        <w:rPr>
          <w:rtl/>
          <w:lang w:bidi="ar-DZ"/>
        </w:rPr>
        <w:t>الوقت نفسه يحث الحكومة على احترام التزاماتها وتعهداتها الدستورية والدولية والتصدي لمسألة هدم أماكن العبادة والتقارير الواردة عن مضايقة الزعماء الدينيين؛</w:t>
      </w:r>
    </w:p>
    <w:p w:rsidR="00120AB6" w:rsidRDefault="00120AB6" w:rsidP="00120AB6">
      <w:pPr>
        <w:pStyle w:val="SingleTxtGA"/>
        <w:rPr>
          <w:rtl/>
          <w:lang w:bidi="ar-DZ"/>
        </w:rPr>
      </w:pPr>
      <w:r>
        <w:rPr>
          <w:rtl/>
          <w:lang w:bidi="ar-DZ"/>
        </w:rPr>
        <w:lastRenderedPageBreak/>
        <w:tab/>
        <w:t>11-</w:t>
      </w:r>
      <w:r>
        <w:rPr>
          <w:rtl/>
          <w:lang w:bidi="ar-DZ"/>
        </w:rPr>
        <w:tab/>
      </w:r>
      <w:r w:rsidRPr="009827E0">
        <w:rPr>
          <w:i/>
          <w:iCs/>
          <w:rtl/>
          <w:lang w:bidi="ar-DZ"/>
        </w:rPr>
        <w:t>يشدد</w:t>
      </w:r>
      <w:r>
        <w:rPr>
          <w:rtl/>
          <w:lang w:bidi="ar-DZ"/>
        </w:rPr>
        <w:t xml:space="preserve"> على أن إجراء تحقيقات في </w:t>
      </w:r>
      <w:r>
        <w:rPr>
          <w:rFonts w:hint="cs"/>
          <w:rtl/>
          <w:lang w:bidi="ar-DZ"/>
        </w:rPr>
        <w:t>التجاوزات</w:t>
      </w:r>
      <w:r>
        <w:rPr>
          <w:rtl/>
          <w:lang w:bidi="ar-DZ"/>
        </w:rPr>
        <w:t xml:space="preserve"> والانتهاكات المزعومة لحقوق الإنسان من جميع الأطراف ومحاسبة الجناة ينبغي أن </w:t>
      </w:r>
      <w:r>
        <w:rPr>
          <w:rFonts w:hint="cs"/>
          <w:rtl/>
          <w:lang w:bidi="ar-DZ"/>
        </w:rPr>
        <w:t>ي</w:t>
      </w:r>
      <w:r>
        <w:rPr>
          <w:rtl/>
          <w:lang w:bidi="ar-DZ"/>
        </w:rPr>
        <w:t>كون</w:t>
      </w:r>
      <w:r>
        <w:rPr>
          <w:rFonts w:hint="cs"/>
          <w:rtl/>
          <w:lang w:bidi="ar-DZ"/>
        </w:rPr>
        <w:t>ا</w:t>
      </w:r>
      <w:r>
        <w:rPr>
          <w:rtl/>
          <w:lang w:bidi="ar-DZ"/>
        </w:rPr>
        <w:t xml:space="preserve"> من أولى أولويات حكومة السودان، مع الإشارة في إلى الرأي القائل بأن من شأن جعل كافة الوكالات والمكاتب التابعة للحكومة متماشية مع تعهدات الدولة والتزاماتها الدولية في مجال حقوق الإنسان أن يؤدي إلى تحسين بيئة حقوق الإنسان في السودان؛ </w:t>
      </w:r>
    </w:p>
    <w:p w:rsidR="00120AB6" w:rsidRDefault="00120AB6" w:rsidP="00120AB6">
      <w:pPr>
        <w:pStyle w:val="SingleTxtGA"/>
        <w:rPr>
          <w:rtl/>
          <w:lang w:bidi="ar-DZ"/>
        </w:rPr>
      </w:pPr>
      <w:r>
        <w:rPr>
          <w:rtl/>
          <w:lang w:bidi="ar-DZ"/>
        </w:rPr>
        <w:tab/>
        <w:t>12-</w:t>
      </w:r>
      <w:r>
        <w:rPr>
          <w:rtl/>
          <w:lang w:bidi="ar-DZ"/>
        </w:rPr>
        <w:tab/>
      </w:r>
      <w:r w:rsidRPr="009827E0">
        <w:rPr>
          <w:i/>
          <w:iCs/>
          <w:rtl/>
          <w:lang w:bidi="ar-DZ"/>
        </w:rPr>
        <w:t>يعرب عن بالغ القلق</w:t>
      </w:r>
      <w:r>
        <w:rPr>
          <w:rtl/>
          <w:lang w:bidi="ar-DZ"/>
        </w:rPr>
        <w:t xml:space="preserve"> إزاء الانتهاكات أو </w:t>
      </w:r>
      <w:r>
        <w:rPr>
          <w:rFonts w:hint="cs"/>
          <w:rtl/>
          <w:lang w:bidi="ar-DZ"/>
        </w:rPr>
        <w:t>التجاوزات</w:t>
      </w:r>
      <w:r>
        <w:rPr>
          <w:rtl/>
          <w:lang w:bidi="ar-DZ"/>
        </w:rPr>
        <w:t xml:space="preserve"> المزعومة </w:t>
      </w:r>
      <w:r>
        <w:rPr>
          <w:rFonts w:hint="cs"/>
          <w:rtl/>
          <w:lang w:bidi="ar-DZ"/>
        </w:rPr>
        <w:t>ل</w:t>
      </w:r>
      <w:r>
        <w:rPr>
          <w:rtl/>
          <w:lang w:bidi="ar-DZ"/>
        </w:rPr>
        <w:t>حقوق الإنسان في مناطق النزاع، بما </w:t>
      </w:r>
      <w:r>
        <w:rPr>
          <w:rFonts w:hint="cs"/>
          <w:rtl/>
          <w:lang w:bidi="ar-DZ"/>
        </w:rPr>
        <w:t>يشمل</w:t>
      </w:r>
      <w:r>
        <w:rPr>
          <w:rtl/>
          <w:lang w:bidi="ar-DZ"/>
        </w:rPr>
        <w:t xml:space="preserve"> تلك التي تنطوي على العنف الجنسي </w:t>
      </w:r>
      <w:proofErr w:type="spellStart"/>
      <w:r>
        <w:rPr>
          <w:rtl/>
          <w:lang w:bidi="ar-DZ"/>
        </w:rPr>
        <w:t>والجنساني</w:t>
      </w:r>
      <w:proofErr w:type="spellEnd"/>
      <w:r>
        <w:rPr>
          <w:rtl/>
          <w:lang w:bidi="ar-DZ"/>
        </w:rPr>
        <w:t>، ويحث الأطراف على حماية المدنيين والسعي إلى تحقيق السلام؛</w:t>
      </w:r>
    </w:p>
    <w:p w:rsidR="00120AB6" w:rsidRPr="00806AA6" w:rsidRDefault="00120AB6" w:rsidP="00120AB6">
      <w:pPr>
        <w:pStyle w:val="SingleTxtGA"/>
        <w:rPr>
          <w:rtl/>
          <w:lang w:bidi="ar-DZ"/>
        </w:rPr>
      </w:pPr>
      <w:r w:rsidRPr="00806AA6">
        <w:rPr>
          <w:rtl/>
          <w:lang w:bidi="ar-DZ"/>
        </w:rPr>
        <w:tab/>
      </w:r>
      <w:r>
        <w:rPr>
          <w:rtl/>
          <w:lang w:bidi="ar-DZ"/>
        </w:rPr>
        <w:t>13</w:t>
      </w:r>
      <w:r w:rsidRPr="00806AA6">
        <w:rPr>
          <w:rtl/>
          <w:lang w:bidi="ar-DZ"/>
        </w:rPr>
        <w:t>-</w:t>
      </w:r>
      <w:r w:rsidRPr="00806AA6">
        <w:rPr>
          <w:rtl/>
          <w:lang w:bidi="ar-DZ"/>
        </w:rPr>
        <w:tab/>
      </w:r>
      <w:r w:rsidRPr="00806AA6">
        <w:rPr>
          <w:i/>
          <w:iCs/>
          <w:rtl/>
          <w:lang w:bidi="ar-DZ"/>
        </w:rPr>
        <w:t>يحث</w:t>
      </w:r>
      <w:r w:rsidRPr="00806AA6">
        <w:rPr>
          <w:rtl/>
          <w:lang w:bidi="ar-DZ"/>
        </w:rPr>
        <w:t xml:space="preserve"> الدول الأعضاء ومفوض الأمم الم</w:t>
      </w:r>
      <w:bookmarkStart w:id="0" w:name="_GoBack"/>
      <w:bookmarkEnd w:id="0"/>
      <w:r w:rsidRPr="00806AA6">
        <w:rPr>
          <w:rtl/>
          <w:lang w:bidi="ar-DZ"/>
        </w:rPr>
        <w:t>تحدة السامي لحقوق الإنسان ووكالات الأمم المتحدة ذات الصلة والجهات الأخرى صاحبة المصلحة على دعم الجهود التي تبذلها حكومة السودان وفقاً لهذا القرار، بغية مواصلة تحسين حالة حقوق الإنسان في البلد، من خلال الاستجابة لطلبات الحكومة المتعلقة بالمساعدة التقنية وبناء القدرات؛</w:t>
      </w:r>
    </w:p>
    <w:p w:rsidR="00120AB6" w:rsidRDefault="00120AB6" w:rsidP="00120AB6">
      <w:pPr>
        <w:pStyle w:val="SingleTxtGA"/>
        <w:rPr>
          <w:rtl/>
          <w:lang w:bidi="ar-DZ"/>
        </w:rPr>
      </w:pPr>
      <w:r>
        <w:rPr>
          <w:rtl/>
          <w:lang w:bidi="ar-DZ"/>
        </w:rPr>
        <w:tab/>
        <w:t>14-</w:t>
      </w:r>
      <w:r>
        <w:rPr>
          <w:rtl/>
          <w:lang w:bidi="ar-DZ"/>
        </w:rPr>
        <w:tab/>
      </w:r>
      <w:r w:rsidRPr="009827E0">
        <w:rPr>
          <w:i/>
          <w:iCs/>
          <w:rtl/>
          <w:lang w:bidi="ar-DZ"/>
        </w:rPr>
        <w:t>يطلب</w:t>
      </w:r>
      <w:r>
        <w:rPr>
          <w:rtl/>
          <w:lang w:bidi="ar-DZ"/>
        </w:rPr>
        <w:t xml:space="preserve"> إلى المفوضية السامية أن توفر، بما يراعي توصيات الخبير المستقل، المساعدة التقنية وبناء القدرات استجابة لطلب حكومة السودان المتعلق بدعم السبل الكفيلة بتحسين حالة حقوق الإنسان في البلد وبغية تقديم الدعم لهذا البلد من أجل وفائه بالتزاماته وتعهداته في مجال حقوق الإنسان؛</w:t>
      </w:r>
    </w:p>
    <w:p w:rsidR="00120AB6" w:rsidRDefault="00120AB6" w:rsidP="00120AB6">
      <w:pPr>
        <w:pStyle w:val="SingleTxtGA"/>
        <w:rPr>
          <w:rtl/>
          <w:lang w:bidi="ar-DZ"/>
        </w:rPr>
      </w:pPr>
      <w:r>
        <w:rPr>
          <w:rtl/>
          <w:lang w:bidi="ar-DZ"/>
        </w:rPr>
        <w:tab/>
        <w:t>15-</w:t>
      </w:r>
      <w:r>
        <w:rPr>
          <w:rtl/>
          <w:lang w:bidi="ar-DZ"/>
        </w:rPr>
        <w:tab/>
      </w:r>
      <w:r w:rsidRPr="009827E0">
        <w:rPr>
          <w:i/>
          <w:iCs/>
          <w:rtl/>
          <w:lang w:bidi="ar-DZ"/>
        </w:rPr>
        <w:t>يقرر</w:t>
      </w:r>
      <w:r>
        <w:rPr>
          <w:rtl/>
          <w:lang w:bidi="ar-DZ"/>
        </w:rPr>
        <w:t xml:space="preserve"> أن يمدد لسنة واحدة ولاية الخبير المستقل؛</w:t>
      </w:r>
    </w:p>
    <w:p w:rsidR="00120AB6" w:rsidRDefault="00120AB6" w:rsidP="00120AB6">
      <w:pPr>
        <w:pStyle w:val="SingleTxtGA"/>
        <w:rPr>
          <w:rtl/>
          <w:lang w:bidi="ar-DZ"/>
        </w:rPr>
      </w:pPr>
      <w:r>
        <w:rPr>
          <w:rtl/>
          <w:lang w:bidi="ar-DZ"/>
        </w:rPr>
        <w:tab/>
        <w:t>16-</w:t>
      </w:r>
      <w:r>
        <w:rPr>
          <w:rtl/>
          <w:lang w:bidi="ar-DZ"/>
        </w:rPr>
        <w:tab/>
      </w:r>
      <w:r w:rsidRPr="009827E0">
        <w:rPr>
          <w:i/>
          <w:iCs/>
          <w:rtl/>
          <w:lang w:bidi="ar-DZ"/>
        </w:rPr>
        <w:t>يطلب</w:t>
      </w:r>
      <w:r>
        <w:rPr>
          <w:rtl/>
          <w:lang w:bidi="ar-DZ"/>
        </w:rPr>
        <w:t xml:space="preserve"> إلى الخبير المستقل أن يقدم إلى مجلس حقوق الإنسان تقريراً عن تنفيذ ولايته يضمِّنه توصيات فيما يتعلق بالمساعدة التقنية وبناء القدرات، لكي ينظر فيه المجلس في دورته التاسعة والثلاثين؛</w:t>
      </w:r>
    </w:p>
    <w:p w:rsidR="00120AB6" w:rsidRDefault="00120AB6" w:rsidP="00120AB6">
      <w:pPr>
        <w:pStyle w:val="SingleTxtGA"/>
        <w:rPr>
          <w:rtl/>
          <w:lang w:bidi="ar-DZ"/>
        </w:rPr>
      </w:pPr>
      <w:r>
        <w:rPr>
          <w:rtl/>
          <w:lang w:bidi="ar-DZ"/>
        </w:rPr>
        <w:tab/>
        <w:t>17-</w:t>
      </w:r>
      <w:r>
        <w:rPr>
          <w:rtl/>
          <w:lang w:bidi="ar-DZ"/>
        </w:rPr>
        <w:tab/>
      </w:r>
      <w:r w:rsidRPr="009827E0">
        <w:rPr>
          <w:i/>
          <w:iCs/>
          <w:rtl/>
          <w:lang w:bidi="ar-DZ"/>
        </w:rPr>
        <w:t>يهيب</w:t>
      </w:r>
      <w:r>
        <w:rPr>
          <w:rtl/>
          <w:lang w:bidi="ar-DZ"/>
        </w:rPr>
        <w:t xml:space="preserve"> بحكومة السودان أن تواصل تعاونها الكامل مع الخبير المستقل وأن تستمر في السماح بالوصول الفعلي إلى جميع مناطق البلد لزيارتها والاجتماع بكل الجهات الفاعلة المعنية؛</w:t>
      </w:r>
    </w:p>
    <w:p w:rsidR="00120AB6" w:rsidRDefault="00120AB6" w:rsidP="00120AB6">
      <w:pPr>
        <w:pStyle w:val="SingleTxtGA"/>
        <w:rPr>
          <w:rtl/>
          <w:lang w:bidi="ar-DZ"/>
        </w:rPr>
      </w:pPr>
      <w:r>
        <w:rPr>
          <w:rtl/>
          <w:lang w:bidi="ar-DZ"/>
        </w:rPr>
        <w:tab/>
        <w:t>18-</w:t>
      </w:r>
      <w:r>
        <w:rPr>
          <w:rtl/>
          <w:lang w:bidi="ar-DZ"/>
        </w:rPr>
        <w:tab/>
      </w:r>
      <w:r w:rsidRPr="009827E0">
        <w:rPr>
          <w:i/>
          <w:iCs/>
          <w:rtl/>
          <w:lang w:bidi="ar-DZ"/>
        </w:rPr>
        <w:t>يطلب</w:t>
      </w:r>
      <w:r>
        <w:rPr>
          <w:rtl/>
          <w:lang w:bidi="ar-DZ"/>
        </w:rPr>
        <w:t xml:space="preserve"> إلى المفوضية السامية أن توفر جميع الموارد المالية والبشرية اللازمة لدعم الخبير المستقل في تنفيذ ولايته؛</w:t>
      </w:r>
    </w:p>
    <w:p w:rsidR="00120AB6" w:rsidRPr="00120AB6" w:rsidRDefault="00120AB6" w:rsidP="00120AB6">
      <w:pPr>
        <w:pStyle w:val="SingleTxtGA"/>
        <w:rPr>
          <w:spacing w:val="-4"/>
          <w:rtl/>
          <w:lang w:bidi="ar-DZ"/>
        </w:rPr>
      </w:pPr>
      <w:r w:rsidRPr="00120AB6">
        <w:rPr>
          <w:spacing w:val="-4"/>
          <w:rtl/>
          <w:lang w:bidi="ar-DZ"/>
        </w:rPr>
        <w:tab/>
        <w:t>19-</w:t>
      </w:r>
      <w:r w:rsidRPr="00120AB6">
        <w:rPr>
          <w:spacing w:val="-4"/>
          <w:rtl/>
          <w:lang w:bidi="ar-DZ"/>
        </w:rPr>
        <w:tab/>
      </w:r>
      <w:r w:rsidRPr="00120AB6">
        <w:rPr>
          <w:i/>
          <w:iCs/>
          <w:spacing w:val="-4"/>
          <w:rtl/>
          <w:lang w:bidi="ar-DZ"/>
        </w:rPr>
        <w:t>يعترف</w:t>
      </w:r>
      <w:r w:rsidRPr="00120AB6">
        <w:rPr>
          <w:spacing w:val="-4"/>
          <w:rtl/>
          <w:lang w:bidi="ar-DZ"/>
        </w:rPr>
        <w:t xml:space="preserve"> بأن حالة حقوق الإنسان في السودان </w:t>
      </w:r>
      <w:r w:rsidRPr="00120AB6">
        <w:rPr>
          <w:rFonts w:hint="cs"/>
          <w:spacing w:val="-4"/>
          <w:rtl/>
          <w:lang w:bidi="ar-DZ"/>
        </w:rPr>
        <w:t xml:space="preserve">هي التي تتحدد على أساسها الإجراءات التي يتخذها </w:t>
      </w:r>
      <w:r w:rsidRPr="00120AB6">
        <w:rPr>
          <w:spacing w:val="-4"/>
          <w:rtl/>
          <w:lang w:bidi="ar-DZ"/>
        </w:rPr>
        <w:t>مجلس حقوق الإنسان</w:t>
      </w:r>
      <w:r w:rsidRPr="00120AB6">
        <w:rPr>
          <w:rFonts w:hint="cs"/>
          <w:spacing w:val="-4"/>
          <w:rtl/>
          <w:lang w:bidi="ar-DZ"/>
        </w:rPr>
        <w:t xml:space="preserve"> بإنشاء وتجديد ونقل ال</w:t>
      </w:r>
      <w:r w:rsidRPr="00120AB6">
        <w:rPr>
          <w:spacing w:val="-4"/>
          <w:rtl/>
          <w:lang w:bidi="ar-DZ"/>
        </w:rPr>
        <w:t>ولايا</w:t>
      </w:r>
      <w:r w:rsidRPr="00120AB6">
        <w:rPr>
          <w:rFonts w:hint="cs"/>
          <w:spacing w:val="-4"/>
          <w:rtl/>
          <w:lang w:bidi="ar-DZ"/>
        </w:rPr>
        <w:t>ت ال</w:t>
      </w:r>
      <w:r w:rsidRPr="00120AB6">
        <w:rPr>
          <w:spacing w:val="-4"/>
          <w:rtl/>
          <w:lang w:bidi="ar-DZ"/>
        </w:rPr>
        <w:t>متصلة بالسودان، ويحث حكومة السودان على التعاون مع الخبير المستقل والمفوضية السامية والجهات الأخرى صاحبة المصلحة لعلَّ التحسن المتواصل والمطرد لحالة حقوق الإنسان في السودان يُسهم في انتقال الولاية في نهاية المطاف من الخبير المستقل إلى آلية أخرى مناسبة من آليات الأمم المتحدة لحقوق الإنسان؛</w:t>
      </w:r>
    </w:p>
    <w:p w:rsidR="00120AB6" w:rsidRDefault="00120AB6" w:rsidP="00120AB6">
      <w:pPr>
        <w:pStyle w:val="SingleTxtGA"/>
        <w:rPr>
          <w:rtl/>
          <w:lang w:bidi="ar-DZ"/>
        </w:rPr>
      </w:pPr>
      <w:r>
        <w:rPr>
          <w:rtl/>
          <w:lang w:bidi="ar-DZ"/>
        </w:rPr>
        <w:tab/>
        <w:t>20-</w:t>
      </w:r>
      <w:r>
        <w:rPr>
          <w:rtl/>
          <w:lang w:bidi="ar-DZ"/>
        </w:rPr>
        <w:tab/>
      </w:r>
      <w:r w:rsidRPr="009827E0">
        <w:rPr>
          <w:i/>
          <w:iCs/>
          <w:rtl/>
          <w:lang w:bidi="ar-DZ"/>
        </w:rPr>
        <w:t>يقرر</w:t>
      </w:r>
      <w:r>
        <w:rPr>
          <w:rtl/>
          <w:lang w:bidi="ar-DZ"/>
        </w:rPr>
        <w:t xml:space="preserve"> النظر في هذه المسألة في إطار البند 10 من جدول الأعمال.</w:t>
      </w:r>
    </w:p>
    <w:p w:rsidR="00120AB6" w:rsidRPr="003E4AA9" w:rsidRDefault="00120AB6" w:rsidP="00120AB6">
      <w:pPr>
        <w:pStyle w:val="SingleTxtGA"/>
        <w:jc w:val="right"/>
        <w:rPr>
          <w:i/>
          <w:iCs/>
          <w:rtl/>
          <w:lang w:bidi="ar-DZ"/>
        </w:rPr>
      </w:pPr>
      <w:r w:rsidRPr="003E4AA9">
        <w:rPr>
          <w:rFonts w:hint="cs"/>
          <w:i/>
          <w:iCs/>
          <w:rtl/>
        </w:rPr>
        <w:t>الجلسة 42</w:t>
      </w:r>
      <w:r>
        <w:rPr>
          <w:i/>
          <w:iCs/>
          <w:rtl/>
        </w:rPr>
        <w:br/>
      </w:r>
      <w:r w:rsidRPr="003E4AA9">
        <w:rPr>
          <w:rFonts w:hint="cs"/>
          <w:i/>
          <w:iCs/>
          <w:rtl/>
        </w:rPr>
        <w:t>29 أيلول/سبتمبر</w:t>
      </w:r>
      <w:r w:rsidRPr="003E4AA9">
        <w:rPr>
          <w:i/>
          <w:iCs/>
          <w:rtl/>
        </w:rPr>
        <w:t xml:space="preserve"> 201</w:t>
      </w:r>
      <w:r w:rsidRPr="003E4AA9">
        <w:rPr>
          <w:rFonts w:hint="cs"/>
          <w:i/>
          <w:iCs/>
          <w:rtl/>
        </w:rPr>
        <w:t>7</w:t>
      </w:r>
    </w:p>
    <w:p w:rsidR="00120AB6" w:rsidRDefault="00120AB6" w:rsidP="00120AB6">
      <w:pPr>
        <w:pStyle w:val="SingleTxtGA"/>
        <w:rPr>
          <w:rtl/>
          <w:lang w:bidi="ar-DZ"/>
        </w:rPr>
      </w:pPr>
      <w:r>
        <w:rPr>
          <w:rtl/>
        </w:rPr>
        <w:t>[</w:t>
      </w:r>
      <w:r>
        <w:rPr>
          <w:rFonts w:hint="cs"/>
          <w:rtl/>
        </w:rPr>
        <w:t>اعتُمد</w:t>
      </w:r>
      <w:r>
        <w:rPr>
          <w:rtl/>
        </w:rPr>
        <w:t xml:space="preserve"> </w:t>
      </w:r>
      <w:r>
        <w:rPr>
          <w:rFonts w:hint="cs"/>
          <w:rtl/>
        </w:rPr>
        <w:t>بدون</w:t>
      </w:r>
      <w:r>
        <w:rPr>
          <w:rtl/>
        </w:rPr>
        <w:t xml:space="preserve"> </w:t>
      </w:r>
      <w:r>
        <w:rPr>
          <w:rFonts w:hint="cs"/>
          <w:rtl/>
        </w:rPr>
        <w:t>تصويت</w:t>
      </w:r>
      <w:r>
        <w:rPr>
          <w:rtl/>
        </w:rPr>
        <w:t>.]</w:t>
      </w:r>
    </w:p>
    <w:p w:rsidR="00B54045" w:rsidRPr="003E159A" w:rsidRDefault="00120AB6" w:rsidP="00120AB6">
      <w:pPr>
        <w:pStyle w:val="SingleTxtGA"/>
        <w:jc w:val="center"/>
        <w:rPr>
          <w:sz w:val="30"/>
          <w:rtl/>
          <w:lang w:bidi="ar-DZ"/>
        </w:rPr>
      </w:pPr>
      <w:r>
        <w:rPr>
          <w:u w:val="single"/>
          <w:rtl/>
          <w:lang w:bidi="ar-DZ"/>
        </w:rPr>
        <w:tab/>
      </w:r>
      <w:r>
        <w:rPr>
          <w:u w:val="single"/>
          <w:rtl/>
          <w:lang w:bidi="ar-DZ"/>
        </w:rPr>
        <w:tab/>
      </w:r>
      <w:r>
        <w:rPr>
          <w:u w:val="single"/>
          <w:rtl/>
          <w:lang w:bidi="ar-DZ"/>
        </w:rPr>
        <w:tab/>
      </w:r>
    </w:p>
    <w:sectPr w:rsidR="00B54045" w:rsidRPr="003E159A" w:rsidSect="0090768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75" w:rsidRPr="002901D9" w:rsidRDefault="00FA6875" w:rsidP="002901D9">
      <w:pPr>
        <w:spacing w:after="60" w:line="240" w:lineRule="auto"/>
        <w:rPr>
          <w:i/>
          <w:iCs/>
        </w:rPr>
      </w:pPr>
      <w:r>
        <w:rPr>
          <w:rFonts w:hint="cs"/>
          <w:i/>
          <w:iCs/>
          <w:rtl/>
        </w:rPr>
        <w:t>الحواشي</w:t>
      </w:r>
    </w:p>
  </w:endnote>
  <w:endnote w:type="continuationSeparator" w:id="0">
    <w:p w:rsidR="00FA6875" w:rsidRDefault="00FA68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A" w:rsidRPr="00120AB6" w:rsidRDefault="00120AB6" w:rsidP="00120AB6">
    <w:pPr>
      <w:pStyle w:val="Footer"/>
      <w:tabs>
        <w:tab w:val="right" w:pos="9598"/>
      </w:tabs>
      <w:rPr>
        <w:sz w:val="17"/>
      </w:rPr>
    </w:pPr>
    <w:r>
      <w:rPr>
        <w:sz w:val="17"/>
      </w:rPr>
      <w:t>GE.17-17700</w:t>
    </w:r>
    <w:r>
      <w:rPr>
        <w:sz w:val="17"/>
      </w:rPr>
      <w:tab/>
    </w:r>
    <w:r w:rsidRPr="00120AB6">
      <w:rPr>
        <w:b/>
        <w:sz w:val="18"/>
      </w:rPr>
      <w:fldChar w:fldCharType="begin"/>
    </w:r>
    <w:r w:rsidRPr="00120AB6">
      <w:rPr>
        <w:b/>
        <w:sz w:val="18"/>
      </w:rPr>
      <w:instrText xml:space="preserve"> PAGE  \* MERGEFORMAT </w:instrText>
    </w:r>
    <w:r w:rsidRPr="00120AB6">
      <w:rPr>
        <w:b/>
        <w:sz w:val="18"/>
      </w:rPr>
      <w:fldChar w:fldCharType="separate"/>
    </w:r>
    <w:r w:rsidR="00EC7C93">
      <w:rPr>
        <w:b/>
        <w:noProof/>
        <w:sz w:val="18"/>
      </w:rPr>
      <w:t>2</w:t>
    </w:r>
    <w:r w:rsidRPr="00120A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20AB6" w:rsidRDefault="00120AB6" w:rsidP="006959B0">
    <w:pPr>
      <w:pStyle w:val="Footer"/>
      <w:tabs>
        <w:tab w:val="right" w:pos="9599"/>
      </w:tabs>
      <w:jc w:val="left"/>
      <w:rPr>
        <w:b/>
        <w:sz w:val="18"/>
        <w:lang w:val="en-US"/>
      </w:rPr>
    </w:pPr>
    <w:r w:rsidRPr="00120AB6">
      <w:rPr>
        <w:b/>
        <w:sz w:val="18"/>
        <w:lang w:val="en-US"/>
      </w:rPr>
      <w:fldChar w:fldCharType="begin"/>
    </w:r>
    <w:r w:rsidRPr="00120AB6">
      <w:rPr>
        <w:b/>
        <w:sz w:val="18"/>
        <w:lang w:val="en-US"/>
      </w:rPr>
      <w:instrText xml:space="preserve"> PAGE  \* MERGEFORMAT </w:instrText>
    </w:r>
    <w:r w:rsidRPr="00120AB6">
      <w:rPr>
        <w:b/>
        <w:sz w:val="18"/>
        <w:lang w:val="en-US"/>
      </w:rPr>
      <w:fldChar w:fldCharType="separate"/>
    </w:r>
    <w:r w:rsidR="00EC7C93">
      <w:rPr>
        <w:b/>
        <w:noProof/>
        <w:sz w:val="18"/>
        <w:lang w:val="en-US"/>
      </w:rPr>
      <w:t>3</w:t>
    </w:r>
    <w:r w:rsidRPr="00120AB6">
      <w:rPr>
        <w:b/>
        <w:sz w:val="18"/>
        <w:lang w:val="en-US"/>
      </w:rPr>
      <w:fldChar w:fldCharType="end"/>
    </w:r>
    <w:r>
      <w:rPr>
        <w:b/>
        <w:sz w:val="18"/>
        <w:lang w:val="en-US"/>
      </w:rPr>
      <w:tab/>
    </w:r>
    <w:r>
      <w:rPr>
        <w:sz w:val="17"/>
        <w:lang w:val="en-US"/>
      </w:rPr>
      <w:t>GE.17-17700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90768A" w:rsidP="00F6741C">
    <w:pPr>
      <w:pStyle w:val="Footer"/>
      <w:spacing w:before="360"/>
      <w:jc w:val="right"/>
      <w:rPr>
        <w:sz w:val="20"/>
        <w:szCs w:val="20"/>
      </w:rPr>
    </w:pPr>
    <w:r>
      <w:rPr>
        <w:sz w:val="20"/>
        <w:szCs w:val="20"/>
      </w:rPr>
      <w:t>GE.17-17700</w:t>
    </w:r>
    <w:r w:rsidR="00FD4BC9">
      <w:rPr>
        <w:noProof/>
        <w:lang w:val="en-US" w:eastAsia="zh-CN"/>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90768A" w:rsidRPr="0090768A" w:rsidRDefault="0090768A" w:rsidP="0090768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75" w:rsidRPr="0054762C" w:rsidRDefault="00FA6875" w:rsidP="000E524A">
      <w:pPr>
        <w:pStyle w:val="Footer"/>
        <w:bidi/>
        <w:spacing w:after="80" w:line="200" w:lineRule="exact"/>
        <w:ind w:left="680"/>
      </w:pPr>
      <w:r>
        <w:rPr>
          <w:rtl/>
        </w:rPr>
        <w:t>__________</w:t>
      </w:r>
    </w:p>
  </w:footnote>
  <w:footnote w:type="continuationSeparator" w:id="0">
    <w:p w:rsidR="00FA6875" w:rsidRDefault="00FA6875" w:rsidP="00656392">
      <w:pPr>
        <w:spacing w:line="240" w:lineRule="auto"/>
      </w:pPr>
      <w:r>
        <w:continuationSeparator/>
      </w:r>
    </w:p>
  </w:footnote>
  <w:footnote w:id="1">
    <w:p w:rsidR="00120AB6" w:rsidRPr="003E4AA9" w:rsidRDefault="00120AB6" w:rsidP="00120AB6">
      <w:pPr>
        <w:pStyle w:val="FootnoteText1"/>
      </w:pPr>
      <w:r w:rsidRPr="003E4AA9">
        <w:rPr>
          <w:b/>
          <w:rtl/>
        </w:rPr>
        <w:t>(</w:t>
      </w:r>
      <w:r w:rsidRPr="003E4AA9">
        <w:rPr>
          <w:b/>
          <w:rtl/>
        </w:rPr>
        <w:footnoteRef/>
      </w:r>
      <w:r w:rsidRPr="003E4AA9">
        <w:rPr>
          <w:b/>
          <w:rtl/>
        </w:rPr>
        <w:t>)</w:t>
      </w:r>
      <w:r w:rsidRPr="003E4AA9">
        <w:rPr>
          <w:b/>
          <w:rtl/>
        </w:rPr>
        <w:tab/>
      </w:r>
      <w:r w:rsidRPr="003E4AA9">
        <w:t>A/HRC/36/63</w:t>
      </w:r>
      <w:r w:rsidRPr="003E4AA9">
        <w:rPr>
          <w:rFonts w:hint="cs"/>
          <w:rtl/>
        </w:rPr>
        <w:t>.</w:t>
      </w:r>
      <w:r w:rsidRPr="003E4AA9">
        <w:rPr>
          <w:rtl/>
        </w:rPr>
        <w:t xml:space="preserve"> </w:t>
      </w:r>
    </w:p>
  </w:footnote>
  <w:footnote w:id="2">
    <w:p w:rsidR="00120AB6" w:rsidRPr="003E4AA9" w:rsidRDefault="00120AB6" w:rsidP="00120AB6">
      <w:pPr>
        <w:pStyle w:val="FootnoteText1"/>
      </w:pPr>
      <w:r w:rsidRPr="003E4AA9">
        <w:rPr>
          <w:b/>
          <w:rtl/>
        </w:rPr>
        <w:t>(</w:t>
      </w:r>
      <w:r w:rsidRPr="003E4AA9">
        <w:rPr>
          <w:b/>
          <w:rtl/>
        </w:rPr>
        <w:footnoteRef/>
      </w:r>
      <w:r w:rsidRPr="003E4AA9">
        <w:rPr>
          <w:b/>
          <w:rtl/>
        </w:rPr>
        <w:t>)</w:t>
      </w:r>
      <w:r w:rsidRPr="003E4AA9">
        <w:rPr>
          <w:b/>
          <w:rtl/>
        </w:rPr>
        <w:tab/>
      </w:r>
      <w:r w:rsidRPr="003E4AA9">
        <w:t>A/HRC/36/63/Add.1</w:t>
      </w:r>
      <w:r w:rsidRPr="003E4AA9">
        <w:rPr>
          <w:rFonts w:hint="cs"/>
          <w:rtl/>
        </w:rPr>
        <w:t>.</w:t>
      </w:r>
      <w:r w:rsidRPr="003E4AA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A" w:rsidRPr="00120AB6" w:rsidRDefault="00120AB6" w:rsidP="00120AB6">
    <w:pPr>
      <w:pStyle w:val="Header"/>
      <w:jc w:val="right"/>
    </w:pPr>
    <w:r w:rsidRPr="00120AB6">
      <w:t>A/HRC/RES/36/26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8A" w:rsidRPr="00120AB6" w:rsidRDefault="00120AB6" w:rsidP="00120AB6">
    <w:pPr>
      <w:pStyle w:val="Header"/>
      <w:jc w:val="left"/>
    </w:pPr>
    <w:r w:rsidRPr="00120AB6">
      <w:t>A/HRC/RES/36/26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A6875"/>
    <w:rsid w:val="000076D5"/>
    <w:rsid w:val="00043663"/>
    <w:rsid w:val="000505CF"/>
    <w:rsid w:val="000D701C"/>
    <w:rsid w:val="000E2A71"/>
    <w:rsid w:val="000E524A"/>
    <w:rsid w:val="00120AB6"/>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A70BB"/>
    <w:rsid w:val="00852A9A"/>
    <w:rsid w:val="00871544"/>
    <w:rsid w:val="008930DB"/>
    <w:rsid w:val="00895D16"/>
    <w:rsid w:val="008F49E1"/>
    <w:rsid w:val="0090370F"/>
    <w:rsid w:val="0090768A"/>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C05A7"/>
    <w:rsid w:val="00EC4B6B"/>
    <w:rsid w:val="00EC7C93"/>
    <w:rsid w:val="00ED7442"/>
    <w:rsid w:val="00EE0B18"/>
    <w:rsid w:val="00EF1EE5"/>
    <w:rsid w:val="00F6741C"/>
    <w:rsid w:val="00F763B4"/>
    <w:rsid w:val="00F900C3"/>
    <w:rsid w:val="00FA6875"/>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149432E-42E1-44E6-9C48-7242E5C3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120AB6"/>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2857-E4A3-4B0B-9746-E5C8D175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A/HRC/RES/36/26</vt:lpstr>
    </vt:vector>
  </TitlesOfParts>
  <Company>DCM</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A/HRC/RES/36/26</dc:title>
  <dc:subject>GE.1717700A</dc:subject>
  <dc:creator>J.KAH - MBOU</dc:creator>
  <cp:keywords>ODS No.1729430A</cp:keywords>
  <dc:description>Distr.: General
9 October 2017
Original: English</dc:description>
  <cp:lastModifiedBy>Admin</cp:lastModifiedBy>
  <cp:revision>2</cp:revision>
  <dcterms:created xsi:type="dcterms:W3CDTF">2017-10-16T09:58:00Z</dcterms:created>
  <dcterms:modified xsi:type="dcterms:W3CDTF">2017-10-16T09:58:00Z</dcterms:modified>
  <cp:category>Final</cp:category>
</cp:coreProperties>
</file>