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C3687F" w:rsidP="00BC6985">
            <w:pPr>
              <w:bidi w:val="0"/>
              <w:spacing w:after="20"/>
              <w:jc w:val="left"/>
              <w:rPr>
                <w:szCs w:val="20"/>
              </w:rPr>
            </w:pPr>
            <w:r w:rsidRPr="00C3687F">
              <w:rPr>
                <w:sz w:val="40"/>
                <w:szCs w:val="20"/>
              </w:rPr>
              <w:t>A</w:t>
            </w:r>
            <w:r>
              <w:rPr>
                <w:szCs w:val="20"/>
              </w:rPr>
              <w:t>/HRC/RES/42/16</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BC6985" w:rsidP="00BC6985">
            <w:pPr>
              <w:bidi w:val="0"/>
              <w:spacing w:before="240"/>
              <w:jc w:val="left"/>
              <w:rPr>
                <w:szCs w:val="20"/>
              </w:rPr>
            </w:pPr>
            <w:r>
              <w:rPr>
                <w:szCs w:val="20"/>
              </w:rPr>
              <w:t>Distr.: General</w:t>
            </w:r>
          </w:p>
          <w:p w:rsidR="00BC6985" w:rsidRDefault="00BC6985" w:rsidP="00BC6985">
            <w:pPr>
              <w:bidi w:val="0"/>
              <w:jc w:val="left"/>
              <w:rPr>
                <w:szCs w:val="20"/>
              </w:rPr>
            </w:pPr>
            <w:r>
              <w:rPr>
                <w:szCs w:val="20"/>
              </w:rPr>
              <w:t>7 October 2019</w:t>
            </w:r>
          </w:p>
          <w:p w:rsidR="00BC6985" w:rsidRDefault="00BC6985" w:rsidP="00BC6985">
            <w:pPr>
              <w:bidi w:val="0"/>
              <w:jc w:val="left"/>
              <w:rPr>
                <w:szCs w:val="20"/>
              </w:rPr>
            </w:pPr>
            <w:r>
              <w:rPr>
                <w:szCs w:val="20"/>
              </w:rPr>
              <w:t>Arabic</w:t>
            </w:r>
          </w:p>
          <w:p w:rsidR="00BC6985" w:rsidRPr="003E159A" w:rsidRDefault="00BC6985" w:rsidP="00BC6985">
            <w:pPr>
              <w:bidi w:val="0"/>
              <w:jc w:val="left"/>
              <w:rPr>
                <w:szCs w:val="20"/>
              </w:rPr>
            </w:pPr>
            <w:r>
              <w:rPr>
                <w:szCs w:val="20"/>
              </w:rPr>
              <w:t>Original: English</w:t>
            </w:r>
          </w:p>
        </w:tc>
      </w:tr>
    </w:tbl>
    <w:p w:rsidR="00BC6985"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BC6985" w:rsidRPr="00BA10EE" w:rsidRDefault="00BC6985" w:rsidP="00BC6985">
      <w:pPr>
        <w:spacing w:line="380" w:lineRule="exact"/>
        <w:rPr>
          <w:b/>
          <w:bCs/>
          <w:rtl/>
        </w:rPr>
      </w:pPr>
      <w:r w:rsidRPr="00BA10EE">
        <w:rPr>
          <w:b/>
          <w:bCs/>
          <w:rtl/>
        </w:rPr>
        <w:t xml:space="preserve">الدورة </w:t>
      </w:r>
      <w:r w:rsidRPr="00BA10EE">
        <w:rPr>
          <w:rFonts w:hint="cs"/>
          <w:b/>
          <w:bCs/>
          <w:rtl/>
        </w:rPr>
        <w:t>الثانية والأربعون</w:t>
      </w:r>
      <w:r w:rsidRPr="00BA10EE">
        <w:rPr>
          <w:b/>
          <w:bCs/>
        </w:rPr>
        <w:t>‬</w:t>
      </w:r>
      <w:r w:rsidRPr="00BA10EE">
        <w:rPr>
          <w:b/>
          <w:bCs/>
        </w:rPr>
        <w:t>‬</w:t>
      </w:r>
    </w:p>
    <w:p w:rsidR="00BC6985" w:rsidRPr="00BA10EE" w:rsidRDefault="00BC6985" w:rsidP="00BC6985">
      <w:pPr>
        <w:spacing w:line="380" w:lineRule="exact"/>
        <w:rPr>
          <w:rtl/>
        </w:rPr>
      </w:pPr>
      <w:r w:rsidRPr="00BA10EE">
        <w:rPr>
          <w:rFonts w:hint="cs"/>
          <w:rtl/>
        </w:rPr>
        <w:t>9</w:t>
      </w:r>
      <w:r w:rsidRPr="00BA10EE">
        <w:rPr>
          <w:rtl/>
        </w:rPr>
        <w:t>-2</w:t>
      </w:r>
      <w:r w:rsidRPr="00BA10EE">
        <w:rPr>
          <w:rFonts w:hint="cs"/>
          <w:rtl/>
        </w:rPr>
        <w:t>7</w:t>
      </w:r>
      <w:r w:rsidRPr="00BA10EE">
        <w:rPr>
          <w:rtl/>
        </w:rPr>
        <w:t xml:space="preserve"> </w:t>
      </w:r>
      <w:r w:rsidRPr="00BA10EE">
        <w:rPr>
          <w:rFonts w:hint="cs"/>
          <w:rtl/>
        </w:rPr>
        <w:t>أيلول/سبتمبر</w:t>
      </w:r>
      <w:r w:rsidRPr="00BA10EE">
        <w:rPr>
          <w:rtl/>
        </w:rPr>
        <w:t xml:space="preserve"> 201</w:t>
      </w:r>
      <w:r w:rsidRPr="00BA10EE">
        <w:rPr>
          <w:rFonts w:hint="cs"/>
          <w:rtl/>
        </w:rPr>
        <w:t>9</w:t>
      </w:r>
      <w:r w:rsidRPr="00BA10EE">
        <w:t>‬</w:t>
      </w:r>
      <w:r w:rsidRPr="00BA10EE">
        <w:t>‬</w:t>
      </w:r>
    </w:p>
    <w:p w:rsidR="00BC6985" w:rsidRPr="00BA10EE" w:rsidRDefault="00BC6985" w:rsidP="00BC6985">
      <w:pPr>
        <w:spacing w:line="380" w:lineRule="exact"/>
        <w:rPr>
          <w:rtl/>
        </w:rPr>
      </w:pPr>
      <w:r w:rsidRPr="00BA10EE">
        <w:rPr>
          <w:rtl/>
        </w:rPr>
        <w:t xml:space="preserve">البند </w:t>
      </w:r>
      <w:r w:rsidRPr="00BA10EE">
        <w:rPr>
          <w:rFonts w:hint="cs"/>
          <w:rtl/>
        </w:rPr>
        <w:t xml:space="preserve">3 </w:t>
      </w:r>
      <w:r w:rsidRPr="00BA10EE">
        <w:rPr>
          <w:rtl/>
        </w:rPr>
        <w:t>من جدول الأعمال</w:t>
      </w:r>
      <w:r w:rsidRPr="00BA10EE">
        <w:t>‬</w:t>
      </w:r>
      <w:r w:rsidRPr="00BA10EE">
        <w:t>‬</w:t>
      </w:r>
    </w:p>
    <w:p w:rsidR="00BC6985" w:rsidRPr="00BA10EE" w:rsidRDefault="00BC6985" w:rsidP="00BC6985">
      <w:pPr>
        <w:pStyle w:val="HChGA"/>
        <w:rPr>
          <w:rtl/>
          <w:lang w:bidi="ar-DZ"/>
        </w:rPr>
      </w:pPr>
      <w:r w:rsidRPr="00BA10EE">
        <w:rPr>
          <w:rtl/>
        </w:rPr>
        <w:tab/>
      </w:r>
      <w:r w:rsidRPr="00BA10EE">
        <w:rPr>
          <w:rtl/>
        </w:rPr>
        <w:tab/>
        <w:t>قرار</w:t>
      </w:r>
      <w:r>
        <w:t xml:space="preserve"> </w:t>
      </w:r>
      <w:r>
        <w:rPr>
          <w:rFonts w:hint="cs"/>
          <w:rtl/>
          <w:lang w:bidi="ar-DZ"/>
        </w:rPr>
        <w:t>اعتمده مجلس حقوق الإنسان في 26 أيلول/سبتمبر 2019</w:t>
      </w:r>
    </w:p>
    <w:p w:rsidR="00BC6985" w:rsidRPr="00BA10EE" w:rsidRDefault="00BC6985" w:rsidP="00BC6985">
      <w:pPr>
        <w:pStyle w:val="H1GA"/>
        <w:rPr>
          <w:rtl/>
        </w:rPr>
      </w:pPr>
      <w:r>
        <w:rPr>
          <w:rtl/>
        </w:rPr>
        <w:tab/>
      </w:r>
      <w:r w:rsidRPr="00BA10EE">
        <w:rPr>
          <w:rFonts w:hint="cs"/>
          <w:rtl/>
        </w:rPr>
        <w:t>42</w:t>
      </w:r>
      <w:r w:rsidRPr="00BA10EE">
        <w:rPr>
          <w:rtl/>
        </w:rPr>
        <w:t>/</w:t>
      </w:r>
      <w:r>
        <w:rPr>
          <w:rFonts w:hint="cs"/>
          <w:rtl/>
        </w:rPr>
        <w:t>16</w:t>
      </w:r>
      <w:r>
        <w:rPr>
          <w:rFonts w:hint="cs"/>
          <w:rtl/>
        </w:rPr>
        <w:t>-</w:t>
      </w:r>
      <w:r w:rsidRPr="00BA10EE">
        <w:rPr>
          <w:rtl/>
        </w:rPr>
        <w:tab/>
      </w:r>
      <w:r w:rsidRPr="00BA10EE">
        <w:rPr>
          <w:rFonts w:hint="cs"/>
          <w:rtl/>
        </w:rPr>
        <w:t>حق كل إنسان في التمتع بأعلى مستوى ممكن من الصحة البدنية والعقلية</w:t>
      </w:r>
    </w:p>
    <w:p w:rsidR="00BC6985" w:rsidRPr="00BA10EE" w:rsidRDefault="00BC6985" w:rsidP="00BC6985">
      <w:pPr>
        <w:pStyle w:val="SingleTxtGA"/>
        <w:rPr>
          <w:i/>
          <w:iCs/>
          <w:rtl/>
        </w:rPr>
      </w:pPr>
      <w:r w:rsidRPr="00BA10EE">
        <w:rPr>
          <w:i/>
          <w:iCs/>
          <w:rtl/>
        </w:rPr>
        <w:tab/>
        <w:t xml:space="preserve">إن مجلس حقوق </w:t>
      </w:r>
      <w:proofErr w:type="gramStart"/>
      <w:r w:rsidRPr="00BA10EE">
        <w:rPr>
          <w:i/>
          <w:iCs/>
          <w:rtl/>
        </w:rPr>
        <w:t>الإنسان،</w:t>
      </w:r>
      <w:r w:rsidRPr="00BA10EE">
        <w:rPr>
          <w:i/>
          <w:iCs/>
        </w:rPr>
        <w:t>‬</w:t>
      </w:r>
      <w:r w:rsidRPr="00BA10EE">
        <w:rPr>
          <w:i/>
          <w:iCs/>
        </w:rPr>
        <w:t>‬</w:t>
      </w:r>
      <w:proofErr w:type="gramEnd"/>
    </w:p>
    <w:p w:rsidR="00BC6985" w:rsidRPr="00BA10EE" w:rsidRDefault="00BC6985" w:rsidP="00BC6985">
      <w:pPr>
        <w:pStyle w:val="SingleTxtGA"/>
        <w:rPr>
          <w:rtl/>
        </w:rPr>
      </w:pPr>
      <w:r w:rsidRPr="00BA10EE">
        <w:rPr>
          <w:rtl/>
        </w:rPr>
        <w:tab/>
      </w:r>
      <w:r w:rsidRPr="00BA10EE">
        <w:rPr>
          <w:rFonts w:hint="cs"/>
          <w:i/>
          <w:iCs/>
          <w:rtl/>
        </w:rPr>
        <w:t>إذ يسترشد</w:t>
      </w:r>
      <w:r w:rsidRPr="00BA10EE">
        <w:rPr>
          <w:rFonts w:hint="cs"/>
          <w:rtl/>
        </w:rPr>
        <w:t xml:space="preserve"> بمقاصد ميثاق الأمم المتحدة ومبادئه، </w:t>
      </w:r>
    </w:p>
    <w:p w:rsidR="00BC6985" w:rsidRPr="00BA10EE" w:rsidRDefault="00BC6985" w:rsidP="00BC6985">
      <w:pPr>
        <w:pStyle w:val="SingleTxtGA"/>
        <w:rPr>
          <w:rtl/>
        </w:rPr>
      </w:pPr>
      <w:r w:rsidRPr="00BA10EE">
        <w:rPr>
          <w:rtl/>
        </w:rPr>
        <w:tab/>
      </w:r>
      <w:r w:rsidRPr="00BA10EE">
        <w:rPr>
          <w:rFonts w:hint="cs"/>
          <w:i/>
          <w:iCs/>
          <w:rtl/>
        </w:rPr>
        <w:t>وإذ يؤكد من جديد</w:t>
      </w:r>
      <w:r w:rsidRPr="00BA10EE">
        <w:rPr>
          <w:rFonts w:hint="cs"/>
          <w:rtl/>
        </w:rPr>
        <w:t xml:space="preserve"> الإعلان العالمي لحقوق الإنسان، </w:t>
      </w:r>
      <w:r w:rsidRPr="00BA10EE">
        <w:rPr>
          <w:rFonts w:hint="cs"/>
          <w:i/>
          <w:iCs/>
          <w:rtl/>
        </w:rPr>
        <w:t>وإذ يشير</w:t>
      </w:r>
      <w:r w:rsidRPr="00BA10EE">
        <w:rPr>
          <w:rFonts w:hint="cs"/>
          <w:rtl/>
        </w:rPr>
        <w:t xml:space="preserve"> إلى العهد الدولي الخاص بالحقوق الاقتصادية والاجتماعية والثقافية، والاتفاقية الدولية للقضاء على جميع أشكال التمييز العنصري، واتفاقية القضاء على جميع أشكال التمييز ضد المرأة، واتفاقية حقوق الطفل، واتفاقية حقوق الأشخاص ذوي الإعاقة،</w:t>
      </w:r>
    </w:p>
    <w:p w:rsidR="00BC6985" w:rsidRPr="00BA10EE" w:rsidRDefault="00BC6985" w:rsidP="00BC6985">
      <w:pPr>
        <w:pStyle w:val="SingleTxtGA"/>
        <w:rPr>
          <w:rtl/>
        </w:rPr>
      </w:pPr>
      <w:r w:rsidRPr="00BA10EE">
        <w:rPr>
          <w:rtl/>
        </w:rPr>
        <w:tab/>
      </w:r>
      <w:r w:rsidRPr="00BA10EE">
        <w:rPr>
          <w:rFonts w:hint="cs"/>
          <w:i/>
          <w:iCs/>
          <w:rtl/>
        </w:rPr>
        <w:t>وإذ</w:t>
      </w:r>
      <w:r>
        <w:rPr>
          <w:rFonts w:hint="cs"/>
          <w:i/>
          <w:iCs/>
          <w:rtl/>
        </w:rPr>
        <w:t xml:space="preserve"> يؤكد من جديد</w:t>
      </w:r>
      <w:r>
        <w:rPr>
          <w:rFonts w:hint="cs"/>
          <w:i/>
          <w:iCs/>
          <w:rtl/>
        </w:rPr>
        <w:t xml:space="preserve"> </w:t>
      </w:r>
      <w:r>
        <w:rPr>
          <w:rFonts w:hint="cs"/>
          <w:i/>
          <w:iCs/>
          <w:rtl/>
        </w:rPr>
        <w:t>أيضاً</w:t>
      </w:r>
      <w:r w:rsidRPr="00BA10EE">
        <w:rPr>
          <w:rFonts w:hint="cs"/>
          <w:i/>
          <w:iCs/>
          <w:rtl/>
        </w:rPr>
        <w:t xml:space="preserve"> </w:t>
      </w:r>
      <w:r w:rsidRPr="00BA10EE">
        <w:rPr>
          <w:rFonts w:hint="cs"/>
          <w:rtl/>
        </w:rPr>
        <w:t xml:space="preserve">حق كل إنسان في التمتع بأعلى مستوى ممكن من الصحة البدنية والعقلية، وإذ يشدد على أن جميع حقوق الإنسان عالمية وغير قابلة للتجزئة ومترابطة ومتشابكة ويُعزز بعضها البعض، </w:t>
      </w:r>
    </w:p>
    <w:p w:rsidR="00BC6985" w:rsidRPr="00BA10EE" w:rsidRDefault="00BC6985" w:rsidP="00BC6985">
      <w:pPr>
        <w:pStyle w:val="SingleTxtGA"/>
        <w:rPr>
          <w:rtl/>
        </w:rPr>
      </w:pPr>
      <w:r w:rsidRPr="00BA10EE">
        <w:rPr>
          <w:rtl/>
        </w:rPr>
        <w:tab/>
      </w:r>
      <w:r w:rsidRPr="00BA10EE">
        <w:rPr>
          <w:rFonts w:hint="cs"/>
          <w:i/>
          <w:iCs/>
          <w:rtl/>
        </w:rPr>
        <w:t>وإذ</w:t>
      </w:r>
      <w:r>
        <w:rPr>
          <w:rFonts w:hint="cs"/>
          <w:i/>
          <w:iCs/>
          <w:rtl/>
        </w:rPr>
        <w:t xml:space="preserve"> </w:t>
      </w:r>
      <w:r>
        <w:rPr>
          <w:rFonts w:hint="cs"/>
          <w:i/>
          <w:iCs/>
          <w:rtl/>
        </w:rPr>
        <w:t>يذكّر</w:t>
      </w:r>
      <w:r w:rsidRPr="00BA10EE">
        <w:rPr>
          <w:rFonts w:hint="cs"/>
          <w:rtl/>
        </w:rPr>
        <w:t xml:space="preserve"> </w:t>
      </w:r>
      <w:r>
        <w:rPr>
          <w:rFonts w:hint="cs"/>
          <w:rtl/>
        </w:rPr>
        <w:t>ب</w:t>
      </w:r>
      <w:r w:rsidRPr="00BA10EE">
        <w:rPr>
          <w:rFonts w:hint="cs"/>
          <w:rtl/>
        </w:rPr>
        <w:t xml:space="preserve">أن الصحة العقلية جزء لا يتجزأ من حق كل إنسان في التمتع بأعلى مستوى ممكن من الصحة، </w:t>
      </w:r>
    </w:p>
    <w:p w:rsidR="00BC6985" w:rsidRPr="00BA10EE" w:rsidRDefault="00BC6985" w:rsidP="00BC6985">
      <w:pPr>
        <w:pStyle w:val="SingleTxtGA"/>
        <w:rPr>
          <w:rtl/>
        </w:rPr>
      </w:pPr>
      <w:r w:rsidRPr="00BA10EE">
        <w:rPr>
          <w:rtl/>
        </w:rPr>
        <w:tab/>
      </w:r>
      <w:r w:rsidRPr="00BA10EE">
        <w:rPr>
          <w:rFonts w:hint="cs"/>
          <w:i/>
          <w:iCs/>
          <w:rtl/>
        </w:rPr>
        <w:t>وإذ يؤكد من جديد</w:t>
      </w:r>
      <w:r w:rsidRPr="00BA10EE">
        <w:rPr>
          <w:rFonts w:hint="cs"/>
          <w:rtl/>
        </w:rPr>
        <w:t xml:space="preserve"> قرار الجمعية العامة 70/1 المؤرخ </w:t>
      </w:r>
      <w:r w:rsidR="00124E3D">
        <w:rPr>
          <w:rFonts w:hint="cs"/>
          <w:rtl/>
        </w:rPr>
        <w:t>25</w:t>
      </w:r>
      <w:bookmarkStart w:id="0" w:name="_GoBack"/>
      <w:bookmarkEnd w:id="0"/>
      <w:r w:rsidRPr="00BA10EE">
        <w:rPr>
          <w:rFonts w:hint="cs"/>
          <w:rtl/>
        </w:rPr>
        <w:t xml:space="preserve"> أيلول/سبتمبر 2015، المعنون ’’تحويل عالمنا: خطة التنمية المستدامة لعام 2030‘‘، ويرحب بأهداف التنمية المستدامة، ومنها بالأخص الهدف 3 بشأن كفالة تمتع الجميع بأنماط عيش صحية وبالرفاهية في جميع الأعمار، وغاياته المحددة والمترابطة، والأهداف والغايات الأخرى المتصلة بالصحة،</w:t>
      </w:r>
    </w:p>
    <w:p w:rsidR="00BC6985" w:rsidRPr="00BA10EE" w:rsidRDefault="00BC6985" w:rsidP="00BC6985">
      <w:pPr>
        <w:pStyle w:val="SingleTxtGA"/>
        <w:rPr>
          <w:rtl/>
        </w:rPr>
      </w:pPr>
      <w:r w:rsidRPr="00BC6985">
        <w:rPr>
          <w:spacing w:val="-4"/>
          <w:rtl/>
        </w:rPr>
        <w:tab/>
      </w:r>
      <w:r w:rsidRPr="00BC6985">
        <w:rPr>
          <w:rFonts w:hint="cs"/>
          <w:i/>
          <w:iCs/>
          <w:spacing w:val="-4"/>
          <w:rtl/>
        </w:rPr>
        <w:t>وإذ يُذكّر</w:t>
      </w:r>
      <w:r w:rsidRPr="00BC6985">
        <w:rPr>
          <w:rFonts w:hint="cs"/>
          <w:spacing w:val="-4"/>
          <w:rtl/>
        </w:rPr>
        <w:t xml:space="preserve"> بقرارات مجلس حقوق الإنسان 6/29 المؤرخ 14 كانون الأول/ديسمبر</w:t>
      </w:r>
      <w:r w:rsidRPr="00BC6985">
        <w:rPr>
          <w:rFonts w:hint="cs"/>
          <w:spacing w:val="-4"/>
          <w:rtl/>
        </w:rPr>
        <w:t xml:space="preserve"> </w:t>
      </w:r>
      <w:r w:rsidRPr="00BC6985">
        <w:rPr>
          <w:rFonts w:hint="cs"/>
          <w:spacing w:val="-4"/>
          <w:rtl/>
        </w:rPr>
        <w:t>2007، و15</w:t>
      </w:r>
      <w:r w:rsidRPr="00BA10EE">
        <w:rPr>
          <w:rFonts w:hint="cs"/>
          <w:rtl/>
        </w:rPr>
        <w:t>/22 المؤرخ 27 أيلول/سبتمبر 2010، و24/6 المؤرخ 8 تشرين الأول/</w:t>
      </w:r>
      <w:r>
        <w:rPr>
          <w:rFonts w:hint="cs"/>
          <w:rtl/>
        </w:rPr>
        <w:t xml:space="preserve"> </w:t>
      </w:r>
      <w:r w:rsidRPr="00BA10EE">
        <w:rPr>
          <w:rFonts w:hint="cs"/>
          <w:rtl/>
        </w:rPr>
        <w:t xml:space="preserve">أكتوبر 2013، و33/9 </w:t>
      </w:r>
      <w:r>
        <w:rPr>
          <w:rFonts w:hint="cs"/>
          <w:rtl/>
        </w:rPr>
        <w:t xml:space="preserve">المؤرخ 29 </w:t>
      </w:r>
      <w:r w:rsidRPr="00BA10EE">
        <w:rPr>
          <w:rFonts w:hint="cs"/>
          <w:rtl/>
        </w:rPr>
        <w:t xml:space="preserve">أيلول/سبتمبر 2016، وبجميع القرارات السابقة الصادرة عن لجنة حقوق </w:t>
      </w:r>
      <w:r w:rsidRPr="00BA10EE">
        <w:rPr>
          <w:rFonts w:hint="cs"/>
          <w:rtl/>
        </w:rPr>
        <w:lastRenderedPageBreak/>
        <w:t xml:space="preserve">الإنسان ومجلس حقوق </w:t>
      </w:r>
      <w:r>
        <w:rPr>
          <w:rFonts w:hint="cs"/>
          <w:rtl/>
        </w:rPr>
        <w:t xml:space="preserve">الإنسان </w:t>
      </w:r>
      <w:r w:rsidRPr="00BA10EE">
        <w:rPr>
          <w:rFonts w:hint="cs"/>
          <w:rtl/>
        </w:rPr>
        <w:t>بشأن إعمال حق كل إنسان في التمتع بأعلى مستوى ممكن من الصحة البدنية والعقلية،</w:t>
      </w:r>
    </w:p>
    <w:p w:rsidR="00BC6985" w:rsidRPr="00BA10EE" w:rsidRDefault="00BC6985" w:rsidP="00BC6985">
      <w:pPr>
        <w:pStyle w:val="SingleTxtGA"/>
        <w:spacing w:line="360" w:lineRule="exact"/>
        <w:rPr>
          <w:rtl/>
        </w:rPr>
      </w:pPr>
      <w:r w:rsidRPr="00BA10EE">
        <w:rPr>
          <w:rtl/>
        </w:rPr>
        <w:tab/>
      </w:r>
      <w:r w:rsidRPr="00BA10EE">
        <w:rPr>
          <w:rFonts w:hint="cs"/>
          <w:i/>
          <w:iCs/>
          <w:rtl/>
        </w:rPr>
        <w:t>وإذ يُسلم</w:t>
      </w:r>
      <w:r w:rsidRPr="00BA10EE">
        <w:rPr>
          <w:rFonts w:hint="cs"/>
          <w:rtl/>
        </w:rPr>
        <w:t xml:space="preserve"> بضرورة قيام الدول، بالتعاون مع المنظمات الدولية والمجتمع المدني، بما في ذلك المنظمات غير الحكومية والقطاع الخاص، بتهيئة الظروف المواتية على الصعيد الوطني والإقليمي والدولي لضمان تمتع كل إنسان تمتعا</w:t>
      </w:r>
      <w:r>
        <w:rPr>
          <w:rFonts w:hint="cs"/>
          <w:rtl/>
        </w:rPr>
        <w:t>ً</w:t>
      </w:r>
      <w:r w:rsidRPr="00BA10EE">
        <w:rPr>
          <w:rFonts w:hint="cs"/>
          <w:rtl/>
        </w:rPr>
        <w:t xml:space="preserve"> كاملا</w:t>
      </w:r>
      <w:r>
        <w:rPr>
          <w:rFonts w:hint="cs"/>
          <w:rtl/>
        </w:rPr>
        <w:t>ً</w:t>
      </w:r>
      <w:r w:rsidRPr="00BA10EE">
        <w:rPr>
          <w:rFonts w:hint="cs"/>
          <w:rtl/>
        </w:rPr>
        <w:t xml:space="preserve"> وفعليا</w:t>
      </w:r>
      <w:r>
        <w:rPr>
          <w:rFonts w:hint="cs"/>
          <w:rtl/>
        </w:rPr>
        <w:t>ً</w:t>
      </w:r>
      <w:r w:rsidRPr="00BA10EE">
        <w:rPr>
          <w:rFonts w:hint="cs"/>
          <w:rtl/>
        </w:rPr>
        <w:t xml:space="preserve"> بالحق في أعلى مستوى ممكن من الصحة البدنية والعقلية، وبمعالجة المحددات الأساسية والاجتماعية للصحة،</w:t>
      </w:r>
    </w:p>
    <w:p w:rsidR="00BC6985" w:rsidRPr="00BC6985" w:rsidRDefault="00BC6985" w:rsidP="00BC6985">
      <w:pPr>
        <w:pStyle w:val="SingleTxtGA"/>
        <w:spacing w:line="360" w:lineRule="exact"/>
        <w:rPr>
          <w:spacing w:val="-10"/>
          <w:rtl/>
        </w:rPr>
      </w:pPr>
      <w:r w:rsidRPr="00BC6985">
        <w:rPr>
          <w:spacing w:val="-6"/>
          <w:rtl/>
        </w:rPr>
        <w:tab/>
      </w:r>
      <w:r w:rsidRPr="00BC6985">
        <w:rPr>
          <w:rFonts w:hint="cs"/>
          <w:i/>
          <w:iCs/>
          <w:spacing w:val="-6"/>
          <w:rtl/>
        </w:rPr>
        <w:t>وإذ يذكّر</w:t>
      </w:r>
      <w:r w:rsidRPr="00BC6985">
        <w:rPr>
          <w:rFonts w:hint="cs"/>
          <w:spacing w:val="-6"/>
          <w:rtl/>
        </w:rPr>
        <w:t xml:space="preserve"> بقراري مجلس حقوق الإنسان 5/1، المتعلق ببناء مؤسسات المجلس، و5/2، المتعلق بمدونة قواعد السلوك لأصحاب الولايات في إطار الإجراءات الخاصة للمجلس، المؤرخين</w:t>
      </w:r>
      <w:r w:rsidRPr="00BC6985">
        <w:rPr>
          <w:rFonts w:hint="cs"/>
          <w:spacing w:val="-6"/>
          <w:rtl/>
        </w:rPr>
        <w:t xml:space="preserve"> </w:t>
      </w:r>
      <w:r w:rsidRPr="00BC6985">
        <w:rPr>
          <w:rFonts w:hint="cs"/>
          <w:spacing w:val="-6"/>
          <w:rtl/>
        </w:rPr>
        <w:t xml:space="preserve">18 </w:t>
      </w:r>
      <w:r w:rsidRPr="00BC6985">
        <w:rPr>
          <w:rFonts w:hint="cs"/>
          <w:spacing w:val="-8"/>
          <w:rtl/>
        </w:rPr>
        <w:t>حزيران/</w:t>
      </w:r>
      <w:proofErr w:type="gramStart"/>
      <w:r w:rsidRPr="00BC6985">
        <w:rPr>
          <w:rFonts w:hint="cs"/>
          <w:spacing w:val="-8"/>
          <w:rtl/>
        </w:rPr>
        <w:t>يونيه</w:t>
      </w:r>
      <w:proofErr w:type="gramEnd"/>
      <w:r w:rsidRPr="00BC6985">
        <w:rPr>
          <w:rFonts w:hint="cs"/>
          <w:spacing w:val="-8"/>
          <w:rtl/>
        </w:rPr>
        <w:t xml:space="preserve"> 2007، وإذ يؤكد</w:t>
      </w:r>
      <w:r w:rsidRPr="00BC6985">
        <w:rPr>
          <w:rFonts w:hint="cs"/>
          <w:spacing w:val="-8"/>
          <w:rtl/>
        </w:rPr>
        <w:t xml:space="preserve"> </w:t>
      </w:r>
      <w:r w:rsidRPr="00BC6985">
        <w:rPr>
          <w:rFonts w:hint="cs"/>
          <w:spacing w:val="-8"/>
          <w:rtl/>
        </w:rPr>
        <w:t>أن صاحب الولاية يجب أن يؤدي واجباته</w:t>
      </w:r>
      <w:r w:rsidRPr="00BC6985">
        <w:rPr>
          <w:rFonts w:hint="cs"/>
          <w:spacing w:val="-10"/>
          <w:rtl/>
        </w:rPr>
        <w:t xml:space="preserve"> وفقاً لهذين القرارين ومرفقاتهما،</w:t>
      </w:r>
    </w:p>
    <w:p w:rsidR="00BC6985" w:rsidRPr="00BA10EE" w:rsidRDefault="00BC6985" w:rsidP="00BC6985">
      <w:pPr>
        <w:pStyle w:val="SingleTxtGA"/>
        <w:spacing w:line="360" w:lineRule="exact"/>
        <w:rPr>
          <w:rtl/>
          <w:lang w:bidi="ar-DZ"/>
        </w:rPr>
      </w:pPr>
      <w:r w:rsidRPr="00BA10EE">
        <w:rPr>
          <w:rtl/>
          <w:lang w:bidi="ar-DZ"/>
        </w:rPr>
        <w:tab/>
      </w:r>
      <w:r w:rsidRPr="00BA10EE">
        <w:rPr>
          <w:rFonts w:hint="cs"/>
          <w:rtl/>
          <w:lang w:bidi="ar-DZ"/>
        </w:rPr>
        <w:t>1-</w:t>
      </w:r>
      <w:r w:rsidRPr="00BA10EE">
        <w:rPr>
          <w:rFonts w:hint="cs"/>
          <w:rtl/>
          <w:lang w:bidi="ar-DZ"/>
        </w:rPr>
        <w:tab/>
      </w:r>
      <w:r w:rsidRPr="00BA10EE">
        <w:rPr>
          <w:rFonts w:hint="cs"/>
          <w:i/>
          <w:iCs/>
          <w:rtl/>
          <w:lang w:bidi="ar-DZ"/>
        </w:rPr>
        <w:t>يرحّب</w:t>
      </w:r>
      <w:r w:rsidRPr="00BA10EE">
        <w:rPr>
          <w:rFonts w:hint="cs"/>
          <w:rtl/>
          <w:lang w:bidi="ar-DZ"/>
        </w:rPr>
        <w:t xml:space="preserve"> بعمل المقرر الخاص المعني بحق كل فرد في التمتع بأعلى مستوى ممكن من الصحة البدنية والعقلية؛ </w:t>
      </w:r>
    </w:p>
    <w:p w:rsidR="00BC6985" w:rsidRPr="00BA10EE" w:rsidRDefault="00BC6985" w:rsidP="00BC6985">
      <w:pPr>
        <w:pStyle w:val="SingleTxtGA"/>
        <w:spacing w:line="360" w:lineRule="exact"/>
        <w:rPr>
          <w:rtl/>
          <w:lang w:bidi="ar-DZ"/>
        </w:rPr>
      </w:pPr>
      <w:r w:rsidRPr="00BA10EE">
        <w:rPr>
          <w:rtl/>
          <w:lang w:bidi="ar-DZ"/>
        </w:rPr>
        <w:tab/>
      </w:r>
      <w:r w:rsidRPr="00BA10EE">
        <w:rPr>
          <w:rFonts w:hint="cs"/>
          <w:rtl/>
          <w:lang w:bidi="ar-DZ"/>
        </w:rPr>
        <w:t>2-</w:t>
      </w:r>
      <w:r w:rsidRPr="00BA10EE">
        <w:rPr>
          <w:rFonts w:hint="cs"/>
          <w:rtl/>
          <w:lang w:bidi="ar-DZ"/>
        </w:rPr>
        <w:tab/>
      </w:r>
      <w:r w:rsidRPr="00BA10EE">
        <w:rPr>
          <w:rFonts w:hint="cs"/>
          <w:i/>
          <w:iCs/>
          <w:rtl/>
          <w:lang w:bidi="ar-DZ"/>
        </w:rPr>
        <w:t>يحيط علماً</w:t>
      </w:r>
      <w:r w:rsidRPr="00BA10EE">
        <w:rPr>
          <w:rFonts w:hint="cs"/>
          <w:rtl/>
          <w:lang w:bidi="ar-DZ"/>
        </w:rPr>
        <w:t xml:space="preserve"> بتقارير المقرر الخاص المقدمة إلى مجلس حقوق الإنسان في دوراته الخامسة والثلاثين والثامنة والثلاثين والحادية </w:t>
      </w:r>
      <w:proofErr w:type="gramStart"/>
      <w:r w:rsidRPr="00BA10EE">
        <w:rPr>
          <w:rFonts w:hint="cs"/>
          <w:rtl/>
          <w:lang w:bidi="ar-DZ"/>
        </w:rPr>
        <w:t>والأربعين</w:t>
      </w:r>
      <w:r w:rsidRPr="00BA10EE">
        <w:rPr>
          <w:vertAlign w:val="superscript"/>
          <w:rtl/>
          <w:lang w:bidi="ar-DZ"/>
        </w:rPr>
        <w:t>(</w:t>
      </w:r>
      <w:proofErr w:type="gramEnd"/>
      <w:r w:rsidRPr="00BA10EE">
        <w:rPr>
          <w:b/>
          <w:vertAlign w:val="superscript"/>
          <w:rtl/>
          <w:lang w:bidi="ar-DZ"/>
        </w:rPr>
        <w:footnoteReference w:id="1"/>
      </w:r>
      <w:r w:rsidRPr="00BA10EE">
        <w:rPr>
          <w:vertAlign w:val="superscript"/>
          <w:rtl/>
          <w:lang w:bidi="ar-DZ"/>
        </w:rPr>
        <w:t>)</w:t>
      </w:r>
      <w:r w:rsidRPr="00BA10EE">
        <w:rPr>
          <w:rFonts w:hint="cs"/>
          <w:rtl/>
          <w:lang w:bidi="ar-DZ"/>
        </w:rPr>
        <w:t>؛</w:t>
      </w:r>
    </w:p>
    <w:p w:rsidR="00BC6985" w:rsidRPr="00BA10EE" w:rsidRDefault="00BC6985" w:rsidP="00BC6985">
      <w:pPr>
        <w:pStyle w:val="SingleTxtGA"/>
        <w:spacing w:line="360" w:lineRule="exact"/>
        <w:rPr>
          <w:rtl/>
          <w:lang w:bidi="ar-DZ"/>
        </w:rPr>
      </w:pPr>
      <w:r w:rsidRPr="00BA10EE">
        <w:rPr>
          <w:rtl/>
          <w:lang w:bidi="ar-DZ"/>
        </w:rPr>
        <w:tab/>
      </w:r>
      <w:r w:rsidRPr="00BA10EE">
        <w:rPr>
          <w:rFonts w:hint="cs"/>
          <w:rtl/>
          <w:lang w:bidi="ar-DZ"/>
        </w:rPr>
        <w:t>3-</w:t>
      </w:r>
      <w:r w:rsidRPr="00BA10EE">
        <w:rPr>
          <w:rFonts w:hint="cs"/>
          <w:rtl/>
          <w:lang w:bidi="ar-DZ"/>
        </w:rPr>
        <w:tab/>
      </w:r>
      <w:r w:rsidRPr="00BA10EE">
        <w:rPr>
          <w:rFonts w:hint="cs"/>
          <w:i/>
          <w:iCs/>
          <w:rtl/>
          <w:lang w:bidi="ar-DZ"/>
        </w:rPr>
        <w:t>يقرر</w:t>
      </w:r>
      <w:r w:rsidRPr="00BA10EE">
        <w:rPr>
          <w:rFonts w:hint="cs"/>
          <w:rtl/>
          <w:lang w:bidi="ar-DZ"/>
        </w:rPr>
        <w:t xml:space="preserve"> تمديد ولاية المقرر الخاص المعني بحق كل فرد في التمتع بأعلى مستوى ممكن من الصحة البدنية والعقلية، وفقا</w:t>
      </w:r>
      <w:r>
        <w:rPr>
          <w:rFonts w:hint="cs"/>
          <w:rtl/>
          <w:lang w:bidi="ar-DZ"/>
        </w:rPr>
        <w:t>ً</w:t>
      </w:r>
      <w:r w:rsidRPr="00BA10EE">
        <w:rPr>
          <w:rFonts w:hint="cs"/>
          <w:rtl/>
          <w:lang w:bidi="ar-DZ"/>
        </w:rPr>
        <w:t xml:space="preserve"> لما قرره مجلس حقوق الإنسان في الفقرة 1 من قراره</w:t>
      </w:r>
      <w:r>
        <w:rPr>
          <w:rFonts w:hint="eastAsia"/>
          <w:rtl/>
          <w:lang w:bidi="ar-DZ"/>
        </w:rPr>
        <w:t> </w:t>
      </w:r>
      <w:r w:rsidRPr="00BA10EE">
        <w:rPr>
          <w:rFonts w:hint="cs"/>
          <w:rtl/>
          <w:lang w:bidi="ar-DZ"/>
        </w:rPr>
        <w:t>6/29، لفترة أخرى مدتها ثلاث سنوات؛</w:t>
      </w:r>
    </w:p>
    <w:p w:rsidR="00BC6985" w:rsidRPr="00BA10EE" w:rsidRDefault="00BC6985" w:rsidP="00BC6985">
      <w:pPr>
        <w:pStyle w:val="SingleTxtGA"/>
        <w:spacing w:line="360" w:lineRule="exact"/>
        <w:rPr>
          <w:rtl/>
          <w:lang w:bidi="ar-DZ"/>
        </w:rPr>
      </w:pPr>
      <w:r w:rsidRPr="00BA10EE">
        <w:rPr>
          <w:rtl/>
          <w:lang w:bidi="ar-DZ"/>
        </w:rPr>
        <w:tab/>
      </w:r>
      <w:r w:rsidRPr="00BA10EE">
        <w:rPr>
          <w:rFonts w:hint="cs"/>
          <w:rtl/>
          <w:lang w:bidi="ar-DZ"/>
        </w:rPr>
        <w:t>4-</w:t>
      </w:r>
      <w:r w:rsidRPr="00BA10EE">
        <w:rPr>
          <w:rFonts w:hint="cs"/>
          <w:rtl/>
          <w:lang w:bidi="ar-DZ"/>
        </w:rPr>
        <w:tab/>
      </w:r>
      <w:r w:rsidRPr="00BA10EE">
        <w:rPr>
          <w:rFonts w:hint="cs"/>
          <w:i/>
          <w:iCs/>
          <w:rtl/>
          <w:lang w:bidi="ar-DZ"/>
        </w:rPr>
        <w:t>يشجّع</w:t>
      </w:r>
      <w:r w:rsidRPr="00BA10EE">
        <w:rPr>
          <w:rFonts w:hint="cs"/>
          <w:rtl/>
          <w:lang w:bidi="ar-DZ"/>
        </w:rPr>
        <w:t xml:space="preserve"> المقرر الخاص على الاستمرار، في سياق اضطلاعه بولايته، في </w:t>
      </w:r>
      <w:r>
        <w:rPr>
          <w:rFonts w:hint="cs"/>
          <w:rtl/>
          <w:lang w:bidi="ar-DZ"/>
        </w:rPr>
        <w:t xml:space="preserve">مراعاة ودعم تحقيق </w:t>
      </w:r>
      <w:r w:rsidRPr="00BA10EE">
        <w:rPr>
          <w:rFonts w:hint="cs"/>
          <w:rtl/>
          <w:lang w:bidi="ar-DZ"/>
        </w:rPr>
        <w:t>أهداف وغايات التنمية المستدامة المتعلقة بالصحة؛</w:t>
      </w:r>
    </w:p>
    <w:p w:rsidR="00BC6985" w:rsidRPr="00BA10EE" w:rsidRDefault="00BC6985" w:rsidP="00BC6985">
      <w:pPr>
        <w:pStyle w:val="SingleTxtGA"/>
        <w:spacing w:line="360" w:lineRule="exact"/>
        <w:rPr>
          <w:rtl/>
        </w:rPr>
      </w:pPr>
      <w:r w:rsidRPr="00BA10EE">
        <w:rPr>
          <w:rtl/>
          <w:lang w:bidi="ar-DZ"/>
        </w:rPr>
        <w:tab/>
      </w:r>
      <w:r w:rsidRPr="00BA10EE">
        <w:rPr>
          <w:rFonts w:hint="cs"/>
          <w:rtl/>
          <w:lang w:bidi="ar-DZ"/>
        </w:rPr>
        <w:t>5-</w:t>
      </w:r>
      <w:r w:rsidRPr="00BA10EE">
        <w:rPr>
          <w:rFonts w:hint="cs"/>
          <w:rtl/>
          <w:lang w:bidi="ar-DZ"/>
        </w:rPr>
        <w:tab/>
      </w:r>
      <w:r w:rsidRPr="00BA10EE">
        <w:rPr>
          <w:rFonts w:hint="cs"/>
          <w:i/>
          <w:iCs/>
          <w:rtl/>
          <w:lang w:bidi="ar-DZ"/>
        </w:rPr>
        <w:t>يطلب</w:t>
      </w:r>
      <w:r w:rsidRPr="00BA10EE">
        <w:rPr>
          <w:rFonts w:hint="cs"/>
          <w:rtl/>
          <w:lang w:bidi="ar-DZ"/>
        </w:rPr>
        <w:t xml:space="preserve"> إلى الحكومات التعاون مع المقرر الخاص تعاونا</w:t>
      </w:r>
      <w:r>
        <w:rPr>
          <w:rFonts w:hint="cs"/>
          <w:rtl/>
          <w:lang w:bidi="ar-DZ"/>
        </w:rPr>
        <w:t>ً</w:t>
      </w:r>
      <w:r w:rsidRPr="00BA10EE">
        <w:rPr>
          <w:rFonts w:hint="cs"/>
          <w:rtl/>
          <w:lang w:bidi="ar-DZ"/>
        </w:rPr>
        <w:t xml:space="preserve"> كاملا</w:t>
      </w:r>
      <w:r>
        <w:rPr>
          <w:rFonts w:hint="cs"/>
          <w:rtl/>
          <w:lang w:bidi="ar-DZ"/>
        </w:rPr>
        <w:t>ً</w:t>
      </w:r>
      <w:r w:rsidRPr="00BA10EE">
        <w:rPr>
          <w:rFonts w:hint="cs"/>
          <w:rtl/>
          <w:lang w:bidi="ar-DZ"/>
        </w:rPr>
        <w:t xml:space="preserve"> في أدائه مهامه وواجباته التي كُلّف بها</w:t>
      </w:r>
      <w:r w:rsidRPr="00BA10EE">
        <w:rPr>
          <w:rFonts w:hint="cs"/>
          <w:rtl/>
        </w:rPr>
        <w:t>، وإيلاء الاعتبار الواجب للتوصيات التي يقدمها المكلف بالولاية؛</w:t>
      </w:r>
    </w:p>
    <w:p w:rsidR="00BC6985" w:rsidRPr="00BA10EE" w:rsidRDefault="00BC6985" w:rsidP="00BC6985">
      <w:pPr>
        <w:pStyle w:val="SingleTxtGA"/>
        <w:spacing w:line="360" w:lineRule="exact"/>
        <w:rPr>
          <w:rtl/>
        </w:rPr>
      </w:pPr>
      <w:r w:rsidRPr="00BA10EE">
        <w:rPr>
          <w:rtl/>
        </w:rPr>
        <w:tab/>
      </w:r>
      <w:r w:rsidRPr="00BA10EE">
        <w:rPr>
          <w:rFonts w:hint="cs"/>
          <w:rtl/>
        </w:rPr>
        <w:t>6-</w:t>
      </w:r>
      <w:r w:rsidRPr="00BA10EE">
        <w:rPr>
          <w:rtl/>
        </w:rPr>
        <w:tab/>
      </w:r>
      <w:r w:rsidRPr="00BA10EE">
        <w:rPr>
          <w:rFonts w:hint="cs"/>
          <w:i/>
          <w:iCs/>
          <w:rtl/>
        </w:rPr>
        <w:t>يشجّع</w:t>
      </w:r>
      <w:r w:rsidRPr="00BA10EE">
        <w:rPr>
          <w:rFonts w:hint="cs"/>
          <w:rtl/>
        </w:rPr>
        <w:t xml:space="preserve"> جميع الحكومات على النظر بجدية في الرد بإيجابية على طلبات المقرر الخاص لزيارة بلدانها وتمكين المكلف بالولاية من الاضطلاع بولايته بفعالية؛</w:t>
      </w:r>
    </w:p>
    <w:p w:rsidR="00BC6985" w:rsidRPr="00BA10EE" w:rsidRDefault="00BC6985" w:rsidP="00BC6985">
      <w:pPr>
        <w:pStyle w:val="SingleTxtGA"/>
        <w:spacing w:line="360" w:lineRule="exact"/>
        <w:rPr>
          <w:rtl/>
        </w:rPr>
      </w:pPr>
      <w:r w:rsidRPr="00BA10EE">
        <w:rPr>
          <w:rtl/>
        </w:rPr>
        <w:tab/>
      </w:r>
      <w:r w:rsidRPr="00BA10EE">
        <w:rPr>
          <w:rFonts w:hint="cs"/>
          <w:rtl/>
        </w:rPr>
        <w:t>7-</w:t>
      </w:r>
      <w:r w:rsidRPr="00BA10EE">
        <w:rPr>
          <w:rFonts w:hint="cs"/>
          <w:rtl/>
        </w:rPr>
        <w:tab/>
      </w:r>
      <w:r w:rsidRPr="00BA10EE">
        <w:rPr>
          <w:rFonts w:hint="cs"/>
          <w:i/>
          <w:iCs/>
          <w:rtl/>
        </w:rPr>
        <w:t xml:space="preserve">يطلب </w:t>
      </w:r>
      <w:r w:rsidRPr="005859BC">
        <w:rPr>
          <w:rFonts w:hint="cs"/>
          <w:rtl/>
        </w:rPr>
        <w:t>إلى</w:t>
      </w:r>
      <w:r w:rsidRPr="00BA10EE">
        <w:rPr>
          <w:rFonts w:hint="cs"/>
          <w:rtl/>
        </w:rPr>
        <w:t xml:space="preserve"> الأمين العام والمفوضة السامية لحقوق الإنسان مواصلة تقديم كل ما</w:t>
      </w:r>
      <w:r>
        <w:rPr>
          <w:rFonts w:hint="eastAsia"/>
          <w:rtl/>
        </w:rPr>
        <w:t> </w:t>
      </w:r>
      <w:r w:rsidRPr="00BA10EE">
        <w:rPr>
          <w:rFonts w:hint="cs"/>
          <w:rtl/>
        </w:rPr>
        <w:t>يلزم من موارد لتمكين المقرر الخاص من الاضطلاع بولايته بفعالية؛</w:t>
      </w:r>
    </w:p>
    <w:p w:rsidR="00BC6985" w:rsidRPr="00BA10EE" w:rsidRDefault="00BC6985" w:rsidP="00BC6985">
      <w:pPr>
        <w:pStyle w:val="SingleTxtGA"/>
        <w:spacing w:line="360" w:lineRule="exact"/>
        <w:rPr>
          <w:rFonts w:hint="cs"/>
          <w:rtl/>
          <w:lang w:bidi="ar-DZ"/>
        </w:rPr>
      </w:pPr>
      <w:r w:rsidRPr="00BA10EE">
        <w:rPr>
          <w:rtl/>
        </w:rPr>
        <w:tab/>
      </w:r>
      <w:r w:rsidRPr="00BA10EE">
        <w:rPr>
          <w:rFonts w:hint="cs"/>
          <w:rtl/>
        </w:rPr>
        <w:t>8-</w:t>
      </w:r>
      <w:r w:rsidRPr="00BA10EE">
        <w:rPr>
          <w:rFonts w:hint="cs"/>
          <w:rtl/>
        </w:rPr>
        <w:tab/>
      </w:r>
      <w:r w:rsidRPr="00BA10EE">
        <w:rPr>
          <w:rFonts w:hint="cs"/>
          <w:i/>
          <w:iCs/>
          <w:rtl/>
        </w:rPr>
        <w:t xml:space="preserve">يطلب </w:t>
      </w:r>
      <w:r w:rsidRPr="005859BC">
        <w:rPr>
          <w:rFonts w:hint="cs"/>
          <w:rtl/>
        </w:rPr>
        <w:t>إلى</w:t>
      </w:r>
      <w:r w:rsidRPr="00BA10EE">
        <w:rPr>
          <w:rFonts w:hint="cs"/>
          <w:rtl/>
        </w:rPr>
        <w:t xml:space="preserve"> المقرر الخاص أن يقدم تقريراً سنوياً إلى مجلس حقوق الإنسان والجمعية العامة يغطي جميع الأنشطة التي اضطلع بها مما له صلة بالولاية، بغية تحقيق أقصى منفعة ممكنة من عملية الإبلاغ؛</w:t>
      </w:r>
    </w:p>
    <w:p w:rsidR="00BC6985" w:rsidRDefault="00BC6985" w:rsidP="00BC6985">
      <w:pPr>
        <w:pStyle w:val="SingleTxtGA"/>
        <w:spacing w:line="360" w:lineRule="exact"/>
      </w:pPr>
      <w:r w:rsidRPr="00BA10EE">
        <w:rPr>
          <w:rtl/>
        </w:rPr>
        <w:tab/>
      </w:r>
      <w:r w:rsidRPr="00BA10EE">
        <w:rPr>
          <w:rFonts w:hint="cs"/>
          <w:rtl/>
        </w:rPr>
        <w:t>9-</w:t>
      </w:r>
      <w:r w:rsidRPr="00BA10EE">
        <w:rPr>
          <w:rFonts w:hint="cs"/>
          <w:rtl/>
        </w:rPr>
        <w:tab/>
      </w:r>
      <w:r w:rsidRPr="00BA10EE">
        <w:rPr>
          <w:rFonts w:hint="cs"/>
          <w:i/>
          <w:iCs/>
          <w:rtl/>
        </w:rPr>
        <w:t>يقرر</w:t>
      </w:r>
      <w:r w:rsidRPr="00BA10EE">
        <w:rPr>
          <w:rFonts w:hint="cs"/>
          <w:rtl/>
        </w:rPr>
        <w:t xml:space="preserve"> مواصلة نظره في هذه المسألة في إطار البند نفسه من جدول الأعمال، وفقا</w:t>
      </w:r>
      <w:r>
        <w:rPr>
          <w:rFonts w:hint="cs"/>
          <w:rtl/>
        </w:rPr>
        <w:t>ً</w:t>
      </w:r>
      <w:r w:rsidRPr="00BA10EE">
        <w:rPr>
          <w:rFonts w:hint="cs"/>
          <w:rtl/>
        </w:rPr>
        <w:t xml:space="preserve"> لبرنامج عمله.</w:t>
      </w:r>
    </w:p>
    <w:p w:rsidR="00BC6985" w:rsidRPr="00BC6985" w:rsidRDefault="00BC6985" w:rsidP="00BC6985">
      <w:pPr>
        <w:pStyle w:val="SingleTxtGA"/>
        <w:spacing w:after="0"/>
        <w:jc w:val="right"/>
        <w:rPr>
          <w:i/>
          <w:iCs/>
          <w:rtl/>
          <w:lang w:val="fr-CH" w:bidi="ar-DZ"/>
        </w:rPr>
      </w:pPr>
      <w:r w:rsidRPr="00BC6985">
        <w:rPr>
          <w:rFonts w:hint="cs"/>
          <w:i/>
          <w:iCs/>
          <w:rtl/>
          <w:lang w:val="fr-CH" w:bidi="ar-DZ"/>
        </w:rPr>
        <w:t>الجلسة 39</w:t>
      </w:r>
    </w:p>
    <w:p w:rsidR="00BC6985" w:rsidRPr="00BC6985" w:rsidRDefault="00BC6985" w:rsidP="00BC6985">
      <w:pPr>
        <w:pStyle w:val="SingleTxtGA"/>
        <w:ind w:left="6219"/>
        <w:jc w:val="right"/>
        <w:rPr>
          <w:i/>
          <w:iCs/>
          <w:rtl/>
          <w:lang w:val="fr-CH" w:bidi="ar-DZ"/>
        </w:rPr>
      </w:pPr>
      <w:r w:rsidRPr="00BC6985">
        <w:rPr>
          <w:rFonts w:hint="cs"/>
          <w:i/>
          <w:iCs/>
          <w:rtl/>
          <w:lang w:val="fr-CH" w:bidi="ar-DZ"/>
        </w:rPr>
        <w:t>26 أيلول/سبتمبر 2019</w:t>
      </w:r>
    </w:p>
    <w:p w:rsidR="00BC6985" w:rsidRDefault="00BC6985" w:rsidP="00BC6985">
      <w:pPr>
        <w:pStyle w:val="SingleTxtGA"/>
        <w:rPr>
          <w:rtl/>
          <w:lang w:val="fr-CH" w:bidi="ar-DZ"/>
        </w:rPr>
      </w:pPr>
      <w:r>
        <w:rPr>
          <w:rFonts w:hint="cs"/>
          <w:rtl/>
          <w:lang w:val="fr-CH" w:bidi="ar-DZ"/>
        </w:rPr>
        <w:t>[</w:t>
      </w:r>
      <w:r>
        <w:rPr>
          <w:rFonts w:hint="cs"/>
          <w:rtl/>
          <w:lang w:val="fr-CH" w:bidi="ar-DZ"/>
        </w:rPr>
        <w:t>اعتمد بدون تصويت</w:t>
      </w:r>
      <w:r>
        <w:rPr>
          <w:rFonts w:hint="cs"/>
          <w:rtl/>
          <w:lang w:val="fr-CH" w:bidi="ar-DZ"/>
        </w:rPr>
        <w:t>.]</w:t>
      </w:r>
    </w:p>
    <w:p w:rsidR="006E60FF" w:rsidRPr="006E60FF" w:rsidRDefault="006E60FF" w:rsidP="006E60FF">
      <w:pPr>
        <w:spacing w:before="120" w:line="240" w:lineRule="exact"/>
        <w:jc w:val="center"/>
        <w:rPr>
          <w:u w:val="single"/>
          <w:rtl/>
          <w:lang w:val="fr-CH" w:bidi="ar-DZ"/>
        </w:rPr>
      </w:pPr>
      <w:r>
        <w:rPr>
          <w:u w:val="single"/>
          <w:rtl/>
          <w:lang w:val="fr-CH" w:bidi="ar-DZ"/>
        </w:rPr>
        <w:tab/>
      </w:r>
      <w:r>
        <w:rPr>
          <w:u w:val="single"/>
          <w:rtl/>
          <w:lang w:val="fr-CH" w:bidi="ar-DZ"/>
        </w:rPr>
        <w:tab/>
      </w:r>
      <w:r>
        <w:rPr>
          <w:u w:val="single"/>
          <w:rtl/>
          <w:lang w:val="fr-CH" w:bidi="ar-DZ"/>
        </w:rPr>
        <w:tab/>
      </w:r>
    </w:p>
    <w:sectPr w:rsidR="006E60FF" w:rsidRPr="006E60FF" w:rsidSect="00C3687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F46" w:rsidRPr="002901D9" w:rsidRDefault="004D0F46" w:rsidP="002901D9">
      <w:pPr>
        <w:spacing w:after="60" w:line="240" w:lineRule="auto"/>
        <w:rPr>
          <w:i/>
          <w:iCs/>
        </w:rPr>
      </w:pPr>
      <w:r>
        <w:rPr>
          <w:rFonts w:hint="cs"/>
          <w:i/>
          <w:iCs/>
          <w:rtl/>
        </w:rPr>
        <w:t>الحواشي</w:t>
      </w:r>
    </w:p>
  </w:endnote>
  <w:endnote w:type="continuationSeparator" w:id="0">
    <w:p w:rsidR="004D0F46" w:rsidRDefault="004D0F4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7F" w:rsidRPr="00BC6985" w:rsidRDefault="00BC6985" w:rsidP="00BC6985">
    <w:pPr>
      <w:pStyle w:val="Footer"/>
      <w:tabs>
        <w:tab w:val="right" w:pos="9598"/>
      </w:tabs>
      <w:rPr>
        <w:sz w:val="17"/>
      </w:rPr>
    </w:pPr>
    <w:r>
      <w:rPr>
        <w:sz w:val="17"/>
      </w:rPr>
      <w:t>GE.19-17154</w:t>
    </w:r>
    <w:r>
      <w:rPr>
        <w:sz w:val="17"/>
      </w:rPr>
      <w:tab/>
    </w:r>
    <w:r w:rsidRPr="00BC6985">
      <w:rPr>
        <w:b/>
        <w:sz w:val="18"/>
      </w:rPr>
      <w:fldChar w:fldCharType="begin"/>
    </w:r>
    <w:r w:rsidRPr="00BC6985">
      <w:rPr>
        <w:b/>
        <w:sz w:val="18"/>
      </w:rPr>
      <w:instrText xml:space="preserve"> PAGE  \* MERGEFORMAT </w:instrText>
    </w:r>
    <w:r w:rsidRPr="00BC6985">
      <w:rPr>
        <w:b/>
        <w:sz w:val="18"/>
      </w:rPr>
      <w:fldChar w:fldCharType="separate"/>
    </w:r>
    <w:r>
      <w:rPr>
        <w:b/>
        <w:sz w:val="18"/>
      </w:rPr>
      <w:t>2</w:t>
    </w:r>
    <w:r w:rsidRPr="00BC698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BC6985" w:rsidRDefault="00BC6985" w:rsidP="006959B0">
    <w:pPr>
      <w:pStyle w:val="Footer"/>
      <w:tabs>
        <w:tab w:val="right" w:pos="9599"/>
      </w:tabs>
      <w:jc w:val="left"/>
      <w:rPr>
        <w:b/>
        <w:sz w:val="18"/>
        <w:lang w:val="en-US"/>
      </w:rPr>
    </w:pPr>
    <w:r w:rsidRPr="00BC6985">
      <w:rPr>
        <w:b/>
        <w:sz w:val="18"/>
        <w:lang w:val="en-US"/>
      </w:rPr>
      <w:fldChar w:fldCharType="begin"/>
    </w:r>
    <w:r w:rsidRPr="00BC6985">
      <w:rPr>
        <w:b/>
        <w:sz w:val="18"/>
        <w:lang w:val="en-US"/>
      </w:rPr>
      <w:instrText xml:space="preserve"> PAGE  \* MERGEFORMAT </w:instrText>
    </w:r>
    <w:r w:rsidRPr="00BC6985">
      <w:rPr>
        <w:b/>
        <w:sz w:val="18"/>
        <w:lang w:val="en-US"/>
      </w:rPr>
      <w:fldChar w:fldCharType="separate"/>
    </w:r>
    <w:r w:rsidRPr="00BC6985">
      <w:rPr>
        <w:b/>
        <w:noProof/>
        <w:sz w:val="18"/>
        <w:lang w:val="en-US"/>
      </w:rPr>
      <w:t>3</w:t>
    </w:r>
    <w:r w:rsidRPr="00BC6985">
      <w:rPr>
        <w:b/>
        <w:sz w:val="18"/>
        <w:lang w:val="en-US"/>
      </w:rPr>
      <w:fldChar w:fldCharType="end"/>
    </w:r>
    <w:r>
      <w:rPr>
        <w:b/>
        <w:sz w:val="18"/>
        <w:lang w:val="en-US"/>
      </w:rPr>
      <w:tab/>
    </w:r>
    <w:r>
      <w:rPr>
        <w:sz w:val="17"/>
        <w:lang w:val="en-US"/>
      </w:rPr>
      <w:t>GE.19-17154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C3687F" w:rsidP="00F6741C">
    <w:pPr>
      <w:pStyle w:val="Footer"/>
      <w:spacing w:before="360"/>
      <w:jc w:val="right"/>
      <w:rPr>
        <w:sz w:val="20"/>
        <w:szCs w:val="20"/>
      </w:rPr>
    </w:pPr>
    <w:r>
      <w:rPr>
        <w:sz w:val="20"/>
        <w:szCs w:val="20"/>
      </w:rPr>
      <w:t>GE.19-17154</w:t>
    </w:r>
    <w:r w:rsidR="00FD4BC9">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C3687F" w:rsidRPr="00C3687F" w:rsidRDefault="00C3687F" w:rsidP="00C3687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F46" w:rsidRPr="0054762C" w:rsidRDefault="004D0F46" w:rsidP="000E524A">
      <w:pPr>
        <w:pStyle w:val="Footer"/>
        <w:bidi/>
        <w:spacing w:after="80" w:line="200" w:lineRule="exact"/>
        <w:ind w:left="680"/>
      </w:pPr>
      <w:r>
        <w:rPr>
          <w:rtl/>
        </w:rPr>
        <w:t>__________</w:t>
      </w:r>
    </w:p>
  </w:footnote>
  <w:footnote w:type="continuationSeparator" w:id="0">
    <w:p w:rsidR="004D0F46" w:rsidRDefault="004D0F46" w:rsidP="00656392">
      <w:pPr>
        <w:spacing w:line="240" w:lineRule="auto"/>
      </w:pPr>
      <w:r>
        <w:continuationSeparator/>
      </w:r>
    </w:p>
  </w:footnote>
  <w:footnote w:id="1">
    <w:p w:rsidR="00BC6985" w:rsidRPr="00250516" w:rsidRDefault="00BC6985" w:rsidP="00BC6985">
      <w:pPr>
        <w:pStyle w:val="FootnoteText1"/>
        <w:rPr>
          <w:rtl/>
        </w:rPr>
      </w:pPr>
      <w:r w:rsidRPr="00250516">
        <w:rPr>
          <w:rtl/>
        </w:rPr>
        <w:t>(</w:t>
      </w:r>
      <w:r w:rsidRPr="003E4F67">
        <w:rPr>
          <w:b/>
          <w:rtl/>
        </w:rPr>
        <w:footnoteRef/>
      </w:r>
      <w:r w:rsidRPr="003E4F67">
        <w:rPr>
          <w:rtl/>
        </w:rPr>
        <w:t>)</w:t>
      </w:r>
      <w:r w:rsidRPr="003E4F67">
        <w:rPr>
          <w:rtl/>
        </w:rPr>
        <w:tab/>
      </w:r>
      <w:r>
        <w:t>A/HRC/35/21</w:t>
      </w:r>
      <w:r>
        <w:rPr>
          <w:rFonts w:hint="cs"/>
          <w:rtl/>
        </w:rPr>
        <w:t xml:space="preserve"> و</w:t>
      </w:r>
      <w:r>
        <w:t>Add.1–2</w:t>
      </w:r>
      <w:r>
        <w:rPr>
          <w:rFonts w:hint="cs"/>
          <w:rtl/>
        </w:rPr>
        <w:t>، و</w:t>
      </w:r>
      <w:r>
        <w:t>A/HRC/38/36</w:t>
      </w:r>
      <w:r>
        <w:rPr>
          <w:rFonts w:hint="cs"/>
          <w:rtl/>
        </w:rPr>
        <w:t xml:space="preserve"> و</w:t>
      </w:r>
      <w:r>
        <w:t>Add.1–2</w:t>
      </w:r>
      <w:r>
        <w:rPr>
          <w:rFonts w:hint="cs"/>
          <w:rtl/>
        </w:rPr>
        <w:t>، و</w:t>
      </w:r>
      <w:r>
        <w:t>A/HRC/41/34</w:t>
      </w:r>
      <w:r>
        <w:rPr>
          <w:rFonts w:hint="cs"/>
          <w:rtl/>
        </w:rPr>
        <w:t xml:space="preserve"> و</w:t>
      </w:r>
      <w:r>
        <w:t>Add.1–2</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7F" w:rsidRPr="00BC6985" w:rsidRDefault="00BC6985" w:rsidP="00BC6985">
    <w:pPr>
      <w:pStyle w:val="Header"/>
      <w:jc w:val="right"/>
    </w:pPr>
    <w:r w:rsidRPr="00BC6985">
      <w:t>A/HRC/RES/42/16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7F" w:rsidRPr="00BC6985" w:rsidRDefault="00BC6985" w:rsidP="00BC6985">
    <w:pPr>
      <w:pStyle w:val="Header"/>
      <w:jc w:val="left"/>
    </w:pPr>
    <w:r w:rsidRPr="00BC6985">
      <w:t>A/HRC/RES/42/16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D0F46"/>
    <w:rsid w:val="000076D5"/>
    <w:rsid w:val="00043663"/>
    <w:rsid w:val="000505CF"/>
    <w:rsid w:val="00060ADD"/>
    <w:rsid w:val="000D701C"/>
    <w:rsid w:val="000E2A71"/>
    <w:rsid w:val="000E524A"/>
    <w:rsid w:val="00124E3D"/>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8340E"/>
    <w:rsid w:val="004B0A1C"/>
    <w:rsid w:val="004D0F46"/>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6E60FF"/>
    <w:rsid w:val="00733704"/>
    <w:rsid w:val="00740188"/>
    <w:rsid w:val="0078071A"/>
    <w:rsid w:val="007A70BB"/>
    <w:rsid w:val="00852A9A"/>
    <w:rsid w:val="00871544"/>
    <w:rsid w:val="008930DB"/>
    <w:rsid w:val="00895D16"/>
    <w:rsid w:val="008F49E1"/>
    <w:rsid w:val="0090370F"/>
    <w:rsid w:val="00920782"/>
    <w:rsid w:val="009269D2"/>
    <w:rsid w:val="00942135"/>
    <w:rsid w:val="009521B0"/>
    <w:rsid w:val="009A7E9F"/>
    <w:rsid w:val="009E5018"/>
    <w:rsid w:val="00A12B37"/>
    <w:rsid w:val="00A50EC0"/>
    <w:rsid w:val="00A74331"/>
    <w:rsid w:val="00AB6758"/>
    <w:rsid w:val="00B13763"/>
    <w:rsid w:val="00B477A4"/>
    <w:rsid w:val="00B54045"/>
    <w:rsid w:val="00BA5E8B"/>
    <w:rsid w:val="00BC6985"/>
    <w:rsid w:val="00BD6B10"/>
    <w:rsid w:val="00C022F5"/>
    <w:rsid w:val="00C3687F"/>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5671F"/>
  <w15:docId w15:val="{1004C64C-14B5-403C-A6F2-247AC960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58A7-603B-4B2D-8E11-96068313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548</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A/HRC/RES/42/16</vt:lpstr>
    </vt:vector>
  </TitlesOfParts>
  <Company>DCM</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A/HRC/RES/42/16</dc:title>
  <dc:subject>GE.1917154A</dc:subject>
  <dc:creator>MBU, JFA</dc:creator>
  <cp:keywords>ODS No.1929756</cp:keywords>
  <dc:description>Original: English _x000d_
Distribution: General_x000d_
Date: 2019</dc:description>
  <cp:lastModifiedBy>Muntaha BUHNAM</cp:lastModifiedBy>
  <cp:revision>2</cp:revision>
  <cp:lastPrinted>2019-10-10T08:56:00Z</cp:lastPrinted>
  <dcterms:created xsi:type="dcterms:W3CDTF">2019-10-10T09:18:00Z</dcterms:created>
  <dcterms:modified xsi:type="dcterms:W3CDTF">2019-10-10T09:18:00Z</dcterms:modified>
  <cp:category>Final</cp:category>
</cp:coreProperties>
</file>