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527C4272" w14:textId="77777777" w:rsidTr="00130C41">
        <w:trPr>
          <w:trHeight w:hRule="exact" w:val="851"/>
        </w:trPr>
        <w:tc>
          <w:tcPr>
            <w:tcW w:w="1276" w:type="dxa"/>
            <w:tcBorders>
              <w:bottom w:val="single" w:sz="4" w:space="0" w:color="auto"/>
            </w:tcBorders>
          </w:tcPr>
          <w:p w14:paraId="1F482C15" w14:textId="77777777" w:rsidR="00057BC0" w:rsidRPr="00DB58B5" w:rsidRDefault="00057BC0" w:rsidP="00186254"/>
        </w:tc>
        <w:tc>
          <w:tcPr>
            <w:tcW w:w="2268" w:type="dxa"/>
            <w:tcBorders>
              <w:bottom w:val="single" w:sz="4" w:space="0" w:color="auto"/>
            </w:tcBorders>
            <w:vAlign w:val="bottom"/>
          </w:tcPr>
          <w:p w14:paraId="2ECFD21C" w14:textId="77777777" w:rsidR="00057BC0" w:rsidRPr="00DB58B5" w:rsidRDefault="00057BC0" w:rsidP="0018625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5BC43A7" w14:textId="34FA3A35" w:rsidR="00057BC0" w:rsidRPr="00FB3C04" w:rsidRDefault="00FB3C04" w:rsidP="007F386C">
            <w:pPr>
              <w:jc w:val="right"/>
            </w:pPr>
            <w:r w:rsidRPr="00FB3C04">
              <w:rPr>
                <w:sz w:val="40"/>
              </w:rPr>
              <w:t>A</w:t>
            </w:r>
            <w:r>
              <w:t>/HRC/</w:t>
            </w:r>
            <w:r w:rsidR="007F386C">
              <w:t>RES/</w:t>
            </w:r>
            <w:r>
              <w:t>37/</w:t>
            </w:r>
            <w:r w:rsidR="007F386C">
              <w:t>39</w:t>
            </w:r>
          </w:p>
        </w:tc>
      </w:tr>
      <w:tr w:rsidR="00057BC0" w:rsidRPr="00DB58B5" w14:paraId="504737FF" w14:textId="77777777" w:rsidTr="00186254">
        <w:trPr>
          <w:trHeight w:hRule="exact" w:val="2835"/>
        </w:trPr>
        <w:tc>
          <w:tcPr>
            <w:tcW w:w="1276" w:type="dxa"/>
            <w:tcBorders>
              <w:top w:val="single" w:sz="4" w:space="0" w:color="auto"/>
              <w:bottom w:val="single" w:sz="12" w:space="0" w:color="auto"/>
            </w:tcBorders>
          </w:tcPr>
          <w:p w14:paraId="040DF519" w14:textId="77777777" w:rsidR="00057BC0" w:rsidRPr="00DB58B5" w:rsidRDefault="001E054B" w:rsidP="00186254">
            <w:pPr>
              <w:spacing w:before="120"/>
              <w:jc w:val="center"/>
            </w:pPr>
            <w:r>
              <w:rPr>
                <w:noProof/>
                <w:lang w:eastAsia="fr-CH"/>
              </w:rPr>
              <w:drawing>
                <wp:inline distT="0" distB="0" distL="0" distR="0" wp14:anchorId="0A272F8B" wp14:editId="1C57A53D">
                  <wp:extent cx="714375" cy="581025"/>
                  <wp:effectExtent l="0" t="0" r="9525" b="9525"/>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805FDA" w14:textId="77777777" w:rsidR="00057BC0" w:rsidRPr="00740562" w:rsidRDefault="00057BC0" w:rsidP="00186254">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25EA08A3" w14:textId="7E97C650" w:rsidR="00057BC0" w:rsidRDefault="00AD7860" w:rsidP="00130C41">
            <w:pPr>
              <w:spacing w:before="240" w:line="240" w:lineRule="exact"/>
            </w:pPr>
            <w:r>
              <w:t xml:space="preserve">Distr. </w:t>
            </w:r>
            <w:r w:rsidR="007F386C" w:rsidRPr="007F386C">
              <w:t>générale</w:t>
            </w:r>
          </w:p>
          <w:p w14:paraId="1E5A11E9" w14:textId="640DCF2B" w:rsidR="00130C41" w:rsidRDefault="00313C86" w:rsidP="00313C86">
            <w:pPr>
              <w:spacing w:line="240" w:lineRule="exact"/>
            </w:pPr>
            <w:r>
              <w:t>5</w:t>
            </w:r>
            <w:r w:rsidR="007F386C">
              <w:t xml:space="preserve"> avril</w:t>
            </w:r>
            <w:r w:rsidR="00130C41">
              <w:t xml:space="preserve"> 2018</w:t>
            </w:r>
          </w:p>
          <w:p w14:paraId="006DD012" w14:textId="77777777" w:rsidR="00130C41" w:rsidRDefault="00130C41" w:rsidP="00130C41">
            <w:pPr>
              <w:spacing w:line="240" w:lineRule="exact"/>
            </w:pPr>
          </w:p>
          <w:p w14:paraId="0FD3ED67" w14:textId="529E20C3" w:rsidR="00130C41" w:rsidRPr="00DB58B5" w:rsidRDefault="00130C41" w:rsidP="00130C41">
            <w:pPr>
              <w:spacing w:line="240" w:lineRule="exact"/>
            </w:pPr>
            <w:r>
              <w:t>Original</w:t>
            </w:r>
            <w:r w:rsidR="00887193">
              <w:t> </w:t>
            </w:r>
            <w:r>
              <w:t>: français</w:t>
            </w:r>
          </w:p>
        </w:tc>
      </w:tr>
    </w:tbl>
    <w:p w14:paraId="573C2417" w14:textId="77777777" w:rsidR="00130C41" w:rsidRPr="00130C41" w:rsidRDefault="00130C41" w:rsidP="00130C41">
      <w:pPr>
        <w:spacing w:before="120"/>
        <w:rPr>
          <w:b/>
          <w:sz w:val="24"/>
          <w:szCs w:val="24"/>
          <w:lang w:val="fr-FR"/>
        </w:rPr>
      </w:pPr>
      <w:r w:rsidRPr="00130C41">
        <w:rPr>
          <w:b/>
          <w:sz w:val="24"/>
          <w:szCs w:val="24"/>
          <w:lang w:val="fr-FR"/>
        </w:rPr>
        <w:t>Conseil des droits de l’homme</w:t>
      </w:r>
    </w:p>
    <w:p w14:paraId="39415E79" w14:textId="77777777" w:rsidR="00130C41" w:rsidRPr="00130C41" w:rsidRDefault="00130C41" w:rsidP="00130C41">
      <w:pPr>
        <w:rPr>
          <w:b/>
          <w:lang w:val="fr-FR"/>
        </w:rPr>
      </w:pPr>
      <w:r w:rsidRPr="00130C41">
        <w:rPr>
          <w:b/>
          <w:lang w:val="fr-FR"/>
        </w:rPr>
        <w:t>Trente-</w:t>
      </w:r>
      <w:r>
        <w:rPr>
          <w:b/>
          <w:lang w:val="fr-FR"/>
        </w:rPr>
        <w:t>septième</w:t>
      </w:r>
      <w:r w:rsidRPr="00130C41">
        <w:rPr>
          <w:b/>
          <w:lang w:val="fr-FR"/>
        </w:rPr>
        <w:t xml:space="preserve"> session</w:t>
      </w:r>
    </w:p>
    <w:p w14:paraId="1BD212D0" w14:textId="37263C7F" w:rsidR="00130C41" w:rsidRPr="00130C41" w:rsidRDefault="00130C41" w:rsidP="00130C41">
      <w:pPr>
        <w:rPr>
          <w:lang w:val="fr-FR"/>
        </w:rPr>
      </w:pPr>
      <w:r>
        <w:rPr>
          <w:lang w:val="fr-FR"/>
        </w:rPr>
        <w:t>26 février</w:t>
      </w:r>
      <w:r w:rsidR="00705F43">
        <w:rPr>
          <w:lang w:val="fr-FR"/>
        </w:rPr>
        <w:t>–</w:t>
      </w:r>
      <w:r>
        <w:rPr>
          <w:lang w:val="fr-FR"/>
        </w:rPr>
        <w:t>23 mars 2018</w:t>
      </w:r>
    </w:p>
    <w:p w14:paraId="65287AA5" w14:textId="77777777" w:rsidR="00130C41" w:rsidRPr="00130C41" w:rsidRDefault="00130C41" w:rsidP="00130C41">
      <w:pPr>
        <w:rPr>
          <w:lang w:val="fr-FR"/>
        </w:rPr>
      </w:pPr>
      <w:r w:rsidRPr="00130C41">
        <w:rPr>
          <w:lang w:val="fr-FR"/>
        </w:rPr>
        <w:t>Point 10 de l’ordre du jour</w:t>
      </w:r>
    </w:p>
    <w:p w14:paraId="63349C08" w14:textId="3BE88CD7" w:rsidR="00130C41" w:rsidRPr="00130C41" w:rsidRDefault="007F386C" w:rsidP="00752C9E">
      <w:pPr>
        <w:pStyle w:val="HChG"/>
        <w:ind w:right="425"/>
        <w:rPr>
          <w:lang w:val="fr-FR"/>
        </w:rPr>
      </w:pPr>
      <w:r>
        <w:rPr>
          <w:lang w:val="fr-FR"/>
        </w:rPr>
        <w:tab/>
      </w:r>
      <w:r>
        <w:rPr>
          <w:lang w:val="fr-FR"/>
        </w:rPr>
        <w:tab/>
        <w:t>R</w:t>
      </w:r>
      <w:r w:rsidR="00130C41" w:rsidRPr="00130C41">
        <w:rPr>
          <w:lang w:val="fr-FR"/>
        </w:rPr>
        <w:t>ésolution</w:t>
      </w:r>
      <w:r>
        <w:rPr>
          <w:lang w:val="fr-FR"/>
        </w:rPr>
        <w:t xml:space="preserve"> adoptée par le</w:t>
      </w:r>
      <w:r w:rsidRPr="007F386C">
        <w:rPr>
          <w:lang w:val="fr-FR"/>
        </w:rPr>
        <w:t xml:space="preserve"> Conseil des droits de l’homme </w:t>
      </w:r>
      <w:r w:rsidR="007C4642">
        <w:rPr>
          <w:lang w:val="fr-FR"/>
        </w:rPr>
        <w:br/>
      </w:r>
      <w:r w:rsidRPr="007F386C">
        <w:rPr>
          <w:lang w:val="fr-FR"/>
        </w:rPr>
        <w:t xml:space="preserve">le </w:t>
      </w:r>
      <w:r>
        <w:rPr>
          <w:lang w:val="fr-FR"/>
        </w:rPr>
        <w:t>23</w:t>
      </w:r>
      <w:r w:rsidRPr="007F386C">
        <w:rPr>
          <w:lang w:val="fr-FR"/>
        </w:rPr>
        <w:t xml:space="preserve"> mars 2018</w:t>
      </w:r>
    </w:p>
    <w:p w14:paraId="7452B871" w14:textId="636FF583" w:rsidR="00130C41" w:rsidRPr="00130C41" w:rsidRDefault="00130C41" w:rsidP="00752C9E">
      <w:pPr>
        <w:keepNext/>
        <w:keepLines/>
        <w:spacing w:before="360" w:after="240" w:line="270" w:lineRule="exact"/>
        <w:ind w:left="1134" w:right="1134" w:hanging="850"/>
        <w:rPr>
          <w:b/>
          <w:sz w:val="24"/>
          <w:lang w:val="fr-FR"/>
        </w:rPr>
      </w:pPr>
      <w:r w:rsidRPr="00130C41">
        <w:rPr>
          <w:b/>
          <w:sz w:val="24"/>
          <w:lang w:val="fr-FR"/>
        </w:rPr>
        <w:t>3</w:t>
      </w:r>
      <w:r>
        <w:rPr>
          <w:b/>
          <w:sz w:val="24"/>
          <w:lang w:val="fr-FR"/>
        </w:rPr>
        <w:t>7</w:t>
      </w:r>
      <w:r w:rsidRPr="00130C41">
        <w:rPr>
          <w:b/>
          <w:sz w:val="24"/>
          <w:lang w:val="fr-FR"/>
        </w:rPr>
        <w:t>/</w:t>
      </w:r>
      <w:r w:rsidR="007F386C">
        <w:rPr>
          <w:b/>
          <w:sz w:val="24"/>
          <w:lang w:val="fr-FR"/>
        </w:rPr>
        <w:t>39.</w:t>
      </w:r>
      <w:r w:rsidRPr="00130C41">
        <w:rPr>
          <w:b/>
          <w:sz w:val="24"/>
          <w:lang w:val="fr-FR"/>
        </w:rPr>
        <w:tab/>
      </w:r>
      <w:r w:rsidR="001E3437" w:rsidRPr="001E3437">
        <w:rPr>
          <w:b/>
          <w:sz w:val="24"/>
        </w:rPr>
        <w:t>Assistance technique et renforcement des capacités dans le domaine des droits de l’homme au Mali</w:t>
      </w:r>
    </w:p>
    <w:p w14:paraId="247AC994" w14:textId="77777777" w:rsidR="00130C41" w:rsidRPr="00130C41" w:rsidRDefault="00130C41" w:rsidP="00130C41">
      <w:pPr>
        <w:spacing w:after="120"/>
        <w:ind w:left="1134" w:right="1134" w:firstLine="567"/>
        <w:jc w:val="both"/>
        <w:rPr>
          <w:lang w:val="fr-FR"/>
        </w:rPr>
      </w:pPr>
      <w:r w:rsidRPr="00130C41">
        <w:rPr>
          <w:i/>
          <w:lang w:val="fr-FR"/>
        </w:rPr>
        <w:t>Le Conseil des droits de l’homme</w:t>
      </w:r>
      <w:r w:rsidRPr="00130C41">
        <w:rPr>
          <w:lang w:val="fr-FR"/>
        </w:rPr>
        <w:t>,</w:t>
      </w:r>
    </w:p>
    <w:p w14:paraId="1593F66E" w14:textId="592A8186" w:rsidR="001E3437" w:rsidRPr="001E3437" w:rsidRDefault="001E3437" w:rsidP="00A21075">
      <w:pPr>
        <w:pStyle w:val="SingleTxtG"/>
        <w:ind w:firstLine="567"/>
      </w:pPr>
      <w:r w:rsidRPr="001E3437">
        <w:rPr>
          <w:i/>
          <w:iCs/>
        </w:rPr>
        <w:t xml:space="preserve">Guidé </w:t>
      </w:r>
      <w:r w:rsidRPr="001E3437">
        <w:t>par les buts et principes de la Charte des Nations Unies</w:t>
      </w:r>
      <w:r w:rsidR="00E61D74">
        <w:t>,</w:t>
      </w:r>
    </w:p>
    <w:p w14:paraId="68618E42" w14:textId="77777777" w:rsidR="001E3437" w:rsidRPr="001E3437" w:rsidRDefault="001E3437" w:rsidP="00E61D74">
      <w:pPr>
        <w:pStyle w:val="SingleTxtG"/>
        <w:ind w:firstLine="567"/>
      </w:pPr>
      <w:r w:rsidRPr="001E3437">
        <w:rPr>
          <w:i/>
          <w:iCs/>
        </w:rPr>
        <w:t xml:space="preserve">Réaffirmant </w:t>
      </w:r>
      <w:r w:rsidRPr="001E3437">
        <w:t xml:space="preserve">la Déclaration universelle des droits de l’homme et les autres instruments internationaux pertinents </w:t>
      </w:r>
      <w:r w:rsidR="00E61D74">
        <w:t>relatifs aux droits de l’homme,</w:t>
      </w:r>
    </w:p>
    <w:p w14:paraId="019B71F1" w14:textId="77777777" w:rsidR="001E3437" w:rsidRPr="001E3437" w:rsidRDefault="001E3437" w:rsidP="00E61D74">
      <w:pPr>
        <w:pStyle w:val="SingleTxtG"/>
        <w:ind w:firstLine="567"/>
      </w:pPr>
      <w:r w:rsidRPr="001E3437">
        <w:rPr>
          <w:i/>
          <w:iCs/>
        </w:rPr>
        <w:t xml:space="preserve">Rappelant </w:t>
      </w:r>
      <w:r w:rsidRPr="001E3437">
        <w:t>la résolution 60/251 de l’Assemblée générale en date du 15 mars 2006</w:t>
      </w:r>
      <w:r w:rsidR="00E61D74">
        <w:t>,</w:t>
      </w:r>
    </w:p>
    <w:p w14:paraId="436ED69C" w14:textId="50B7A022" w:rsidR="001E3437" w:rsidRPr="001E3437" w:rsidRDefault="001E3437">
      <w:pPr>
        <w:pStyle w:val="SingleTxtG"/>
        <w:ind w:firstLine="567"/>
      </w:pPr>
      <w:r w:rsidRPr="001E3437">
        <w:rPr>
          <w:i/>
          <w:iCs/>
        </w:rPr>
        <w:t>Rappelant</w:t>
      </w:r>
      <w:r w:rsidRPr="00E61D74">
        <w:rPr>
          <w:i/>
          <w:iCs/>
        </w:rPr>
        <w:t xml:space="preserve"> </w:t>
      </w:r>
      <w:r w:rsidRPr="00E61D74">
        <w:rPr>
          <w:i/>
        </w:rPr>
        <w:t>également</w:t>
      </w:r>
      <w:r w:rsidRPr="001E3437">
        <w:t xml:space="preserve"> ses résolutions 5/1 relative à la mise en place des institutions du Conseil et 5/2 relative au </w:t>
      </w:r>
      <w:r w:rsidR="00176042">
        <w:t>C</w:t>
      </w:r>
      <w:r w:rsidR="00176042" w:rsidRPr="001E3437">
        <w:t xml:space="preserve">ode </w:t>
      </w:r>
      <w:r w:rsidRPr="001E3437">
        <w:t>de conduite pour les titulaires de mandat au titre des procédures spéciales du Conseil, toutes</w:t>
      </w:r>
      <w:r w:rsidR="00E61D74">
        <w:t xml:space="preserve"> deux en date du 18 juin 2007,</w:t>
      </w:r>
    </w:p>
    <w:p w14:paraId="0E2BF106" w14:textId="045F482A" w:rsidR="001E3437" w:rsidRPr="001E3437" w:rsidRDefault="001E3437" w:rsidP="001F5A62">
      <w:pPr>
        <w:pStyle w:val="SingleTxtG"/>
        <w:ind w:firstLine="567"/>
      </w:pPr>
      <w:r w:rsidRPr="001E3437">
        <w:rPr>
          <w:i/>
          <w:iCs/>
        </w:rPr>
        <w:t xml:space="preserve">Rappelant en outre </w:t>
      </w:r>
      <w:r w:rsidRPr="001E3437">
        <w:t xml:space="preserve">ses résolutions 20/17 du 6 juillet 2012 relative à la situation des droits de l’homme au Mali, 22/18 du 21 mars 2013 portant création d’un mandat d’expert indépendant sur la situation des droits de l’homme au Mali, 25/36 du 28 mars 2014, 31/28 du </w:t>
      </w:r>
      <w:r w:rsidR="00024ECB" w:rsidRPr="001E3437">
        <w:t>2</w:t>
      </w:r>
      <w:r w:rsidR="00024ECB">
        <w:t>4</w:t>
      </w:r>
      <w:r w:rsidR="00024ECB" w:rsidRPr="001E3437">
        <w:t xml:space="preserve"> </w:t>
      </w:r>
      <w:r w:rsidRPr="001E3437">
        <w:t>mars 2016 et 34/</w:t>
      </w:r>
      <w:r w:rsidR="00C43C43">
        <w:t>3</w:t>
      </w:r>
      <w:r w:rsidR="00C43C43" w:rsidRPr="001E3437">
        <w:t xml:space="preserve">9 </w:t>
      </w:r>
      <w:r w:rsidRPr="001E3437">
        <w:t xml:space="preserve">du </w:t>
      </w:r>
      <w:r w:rsidR="00C43C43" w:rsidRPr="001E3437">
        <w:t>2</w:t>
      </w:r>
      <w:r w:rsidR="00C43C43">
        <w:t>4</w:t>
      </w:r>
      <w:r w:rsidR="00C43C43" w:rsidRPr="001E3437">
        <w:t xml:space="preserve"> </w:t>
      </w:r>
      <w:r w:rsidRPr="001E3437">
        <w:t xml:space="preserve">mars 2017, par lesquelles il a prorogé le mandat de l’Expert </w:t>
      </w:r>
      <w:r w:rsidR="00E61D74">
        <w:t>indépendant,</w:t>
      </w:r>
    </w:p>
    <w:p w14:paraId="46CA23A9" w14:textId="77777777" w:rsidR="001E3437" w:rsidRPr="001E3437" w:rsidRDefault="001E3437" w:rsidP="00E61D74">
      <w:pPr>
        <w:pStyle w:val="SingleTxtG"/>
        <w:ind w:firstLine="567"/>
      </w:pPr>
      <w:r w:rsidRPr="001E3437">
        <w:rPr>
          <w:i/>
          <w:iCs/>
        </w:rPr>
        <w:t xml:space="preserve">Réaffirmant </w:t>
      </w:r>
      <w:r w:rsidRPr="001E3437">
        <w:t>que tous les États ont la responsabilité de promouvoir, de protéger et de mettre en œuvre les droits de l’homme et les libertés fondamentales consacrés dans la Charte, la Déclaration universelle des droits de l’homme, les Pactes internationaux relatifs aux droits de l’homme et les autres instruments internationaux pertinents relatifs aux droits de l’homme auxquels ils sont parties</w:t>
      </w:r>
      <w:r w:rsidR="00E61D74">
        <w:t>,</w:t>
      </w:r>
    </w:p>
    <w:p w14:paraId="53C6D1E0" w14:textId="566022B0" w:rsidR="001E3437" w:rsidRPr="001E3437" w:rsidRDefault="001E3437" w:rsidP="001F5A62">
      <w:pPr>
        <w:pStyle w:val="SingleTxtG"/>
        <w:ind w:firstLine="567"/>
      </w:pPr>
      <w:r w:rsidRPr="001E3437">
        <w:rPr>
          <w:i/>
          <w:iCs/>
        </w:rPr>
        <w:t xml:space="preserve">Réaffirmant </w:t>
      </w:r>
      <w:r w:rsidR="00046E24">
        <w:rPr>
          <w:i/>
          <w:iCs/>
        </w:rPr>
        <w:t>également</w:t>
      </w:r>
      <w:r w:rsidR="00046E24" w:rsidRPr="001E3437">
        <w:rPr>
          <w:i/>
          <w:iCs/>
        </w:rPr>
        <w:t xml:space="preserve"> </w:t>
      </w:r>
      <w:r w:rsidRPr="001E3437">
        <w:t>son attachement à la souveraineté, à l’indépendance, à l’unité et à l’</w:t>
      </w:r>
      <w:r w:rsidR="00E61D74">
        <w:t>intégrité territoriale du Mali,</w:t>
      </w:r>
    </w:p>
    <w:p w14:paraId="0D6E6328" w14:textId="47118563" w:rsidR="001E3437" w:rsidRPr="001E3437" w:rsidRDefault="001E3437" w:rsidP="001F5A62">
      <w:pPr>
        <w:pStyle w:val="SingleTxtG"/>
        <w:ind w:firstLine="567"/>
      </w:pPr>
      <w:r w:rsidRPr="001E3437">
        <w:rPr>
          <w:i/>
          <w:iCs/>
        </w:rPr>
        <w:t xml:space="preserve">Profondément préoccupé </w:t>
      </w:r>
      <w:r w:rsidRPr="001E3437">
        <w:t>par la détérioration de la situation sécuritaire et par l</w:t>
      </w:r>
      <w:r w:rsidR="00A44130">
        <w:t>’</w:t>
      </w:r>
      <w:r w:rsidRPr="001E3437">
        <w:t xml:space="preserve">intensification des attaques des groupes terroristes dans le </w:t>
      </w:r>
      <w:r w:rsidR="005E5AA8">
        <w:t>n</w:t>
      </w:r>
      <w:r w:rsidR="005E5AA8" w:rsidRPr="001E3437">
        <w:t xml:space="preserve">ord </w:t>
      </w:r>
      <w:r w:rsidRPr="001E3437">
        <w:t xml:space="preserve">et leur </w:t>
      </w:r>
      <w:r w:rsidR="005E5AA8" w:rsidRPr="001E3437">
        <w:t>ex</w:t>
      </w:r>
      <w:r w:rsidR="005E5AA8">
        <w:t>pan</w:t>
      </w:r>
      <w:r w:rsidR="005E5AA8" w:rsidRPr="001E3437">
        <w:t xml:space="preserve">sion </w:t>
      </w:r>
      <w:r w:rsidRPr="001E3437">
        <w:t xml:space="preserve">dans le </w:t>
      </w:r>
      <w:r w:rsidR="00482071">
        <w:t>c</w:t>
      </w:r>
      <w:r w:rsidR="00482071" w:rsidRPr="001E3437">
        <w:t xml:space="preserve">entre </w:t>
      </w:r>
      <w:r w:rsidRPr="001E3437">
        <w:t xml:space="preserve">et le </w:t>
      </w:r>
      <w:r w:rsidR="00482071">
        <w:t>s</w:t>
      </w:r>
      <w:r w:rsidR="00482071" w:rsidRPr="001E3437">
        <w:t xml:space="preserve">ud </w:t>
      </w:r>
      <w:r w:rsidRPr="001E3437">
        <w:t xml:space="preserve">du Mali, ainsi que </w:t>
      </w:r>
      <w:r w:rsidR="00482071">
        <w:t xml:space="preserve">par </w:t>
      </w:r>
      <w:r w:rsidRPr="001E3437">
        <w:t>la montée de l</w:t>
      </w:r>
      <w:r w:rsidR="00EE304A">
        <w:t>’</w:t>
      </w:r>
      <w:r w:rsidRPr="001E3437">
        <w:t>extrémisme violent, la prolifération des armes légères, le trafic de drogue</w:t>
      </w:r>
      <w:r w:rsidR="005E5AA8">
        <w:t>s</w:t>
      </w:r>
      <w:r w:rsidRPr="001E3437">
        <w:t xml:space="preserve"> et de migrants, la traite des êtres humains et </w:t>
      </w:r>
      <w:r w:rsidR="005E5AA8">
        <w:t>d’</w:t>
      </w:r>
      <w:r w:rsidRPr="001E3437">
        <w:t>autres formes de criminalité transnationale organisée</w:t>
      </w:r>
      <w:r w:rsidR="00E61D74">
        <w:t>,</w:t>
      </w:r>
    </w:p>
    <w:p w14:paraId="5EDEB4C5" w14:textId="71EF533C" w:rsidR="001E3437" w:rsidRPr="001E3437" w:rsidRDefault="001E3437" w:rsidP="001F5A62">
      <w:pPr>
        <w:pStyle w:val="SingleTxtG"/>
        <w:ind w:firstLine="567"/>
      </w:pPr>
      <w:r w:rsidRPr="001E3437">
        <w:rPr>
          <w:i/>
          <w:iCs/>
        </w:rPr>
        <w:t xml:space="preserve">Profondément préoccupé </w:t>
      </w:r>
      <w:r w:rsidR="006B5426">
        <w:rPr>
          <w:i/>
          <w:iCs/>
        </w:rPr>
        <w:t>également</w:t>
      </w:r>
      <w:r w:rsidR="006B5426" w:rsidRPr="001E3437">
        <w:rPr>
          <w:i/>
          <w:iCs/>
        </w:rPr>
        <w:t xml:space="preserve"> </w:t>
      </w:r>
      <w:r w:rsidRPr="001E3437">
        <w:rPr>
          <w:iCs/>
        </w:rPr>
        <w:t xml:space="preserve">par la </w:t>
      </w:r>
      <w:r w:rsidRPr="001E3437">
        <w:t xml:space="preserve">poursuite des violations </w:t>
      </w:r>
      <w:r w:rsidR="001F4E88">
        <w:t xml:space="preserve">des droits de l’homme </w:t>
      </w:r>
      <w:r w:rsidRPr="001E3437">
        <w:t xml:space="preserve">et </w:t>
      </w:r>
      <w:r w:rsidR="007923E1">
        <w:t xml:space="preserve">des </w:t>
      </w:r>
      <w:r w:rsidRPr="001E3437">
        <w:t xml:space="preserve">atteintes </w:t>
      </w:r>
      <w:r w:rsidR="001F4E88">
        <w:t>à ces droits</w:t>
      </w:r>
      <w:r w:rsidRPr="001E3437">
        <w:t xml:space="preserve">, incluant des exactions, </w:t>
      </w:r>
      <w:r w:rsidR="00EE077F">
        <w:t xml:space="preserve">par </w:t>
      </w:r>
      <w:r w:rsidRPr="001E3437">
        <w:rPr>
          <w:iCs/>
        </w:rPr>
        <w:t>la lenteur des progrès réalisés dans la mise en œuvre de certaines dispositions pertinentes de l</w:t>
      </w:r>
      <w:r w:rsidR="00A44130">
        <w:rPr>
          <w:iCs/>
        </w:rPr>
        <w:t>’</w:t>
      </w:r>
      <w:r w:rsidRPr="001E3437">
        <w:t xml:space="preserve">Accord pour la paix </w:t>
      </w:r>
      <w:r w:rsidRPr="001E3437">
        <w:lastRenderedPageBreak/>
        <w:t xml:space="preserve">et la réconciliation au Mali, </w:t>
      </w:r>
      <w:r w:rsidR="006247A9">
        <w:t xml:space="preserve">et par </w:t>
      </w:r>
      <w:r w:rsidRPr="001E3437">
        <w:t xml:space="preserve">les difficultés dans le redéploiement des services publics et </w:t>
      </w:r>
      <w:r w:rsidR="006247A9">
        <w:t>l</w:t>
      </w:r>
      <w:r w:rsidR="006247A9" w:rsidRPr="001E3437">
        <w:t xml:space="preserve">’accès </w:t>
      </w:r>
      <w:r w:rsidRPr="001E3437">
        <w:t>de la population aux services sociaux de base</w:t>
      </w:r>
      <w:r w:rsidR="00E61D74">
        <w:t>,</w:t>
      </w:r>
    </w:p>
    <w:p w14:paraId="20C9CF19" w14:textId="77777777" w:rsidR="001E3437" w:rsidRPr="001E3437" w:rsidRDefault="001E3437" w:rsidP="00E61D74">
      <w:pPr>
        <w:pStyle w:val="SingleTxtG"/>
        <w:ind w:firstLine="567"/>
        <w:rPr>
          <w:iCs/>
        </w:rPr>
      </w:pPr>
      <w:r w:rsidRPr="00E61D74">
        <w:rPr>
          <w:i/>
          <w:iCs/>
        </w:rPr>
        <w:t>Demeurant préoccupé</w:t>
      </w:r>
      <w:r w:rsidRPr="001E3437">
        <w:rPr>
          <w:iCs/>
        </w:rPr>
        <w:t xml:space="preserve"> par la crise alimentaire et humanitaire que subissent les populations touchées par le conflit </w:t>
      </w:r>
      <w:r w:rsidRPr="00A21075">
        <w:rPr>
          <w:bCs/>
          <w:iCs/>
        </w:rPr>
        <w:t>e</w:t>
      </w:r>
      <w:r w:rsidRPr="001E3437">
        <w:rPr>
          <w:iCs/>
        </w:rPr>
        <w:t xml:space="preserve">t par l’insécurité qui entrave l’accès humanitaire, </w:t>
      </w:r>
      <w:r w:rsidRPr="00A21075">
        <w:t>et condamnant</w:t>
      </w:r>
      <w:r w:rsidRPr="00BD34E0">
        <w:t xml:space="preserve"> </w:t>
      </w:r>
      <w:r w:rsidRPr="001E3437">
        <w:rPr>
          <w:iCs/>
        </w:rPr>
        <w:t xml:space="preserve">les attaques dirigées contre le personnel </w:t>
      </w:r>
      <w:r w:rsidR="00E61D74">
        <w:rPr>
          <w:iCs/>
        </w:rPr>
        <w:t>humanitaire,</w:t>
      </w:r>
    </w:p>
    <w:p w14:paraId="791AAA46" w14:textId="44F664E4" w:rsidR="001E3437" w:rsidRPr="001E3437" w:rsidRDefault="001E3437" w:rsidP="001F5A62">
      <w:pPr>
        <w:pStyle w:val="SingleTxtG"/>
        <w:ind w:firstLine="567"/>
        <w:rPr>
          <w:iCs/>
        </w:rPr>
      </w:pPr>
      <w:r w:rsidRPr="001E3437">
        <w:rPr>
          <w:i/>
          <w:iCs/>
        </w:rPr>
        <w:t xml:space="preserve">Notant avec satisfaction </w:t>
      </w:r>
      <w:r w:rsidRPr="00E61D74">
        <w:rPr>
          <w:iCs/>
        </w:rPr>
        <w:t xml:space="preserve">que </w:t>
      </w:r>
      <w:r w:rsidRPr="001E3437">
        <w:rPr>
          <w:iCs/>
        </w:rPr>
        <w:t xml:space="preserve">le Gouvernement </w:t>
      </w:r>
      <w:r w:rsidR="00B5066F">
        <w:rPr>
          <w:iCs/>
        </w:rPr>
        <w:t>m</w:t>
      </w:r>
      <w:r w:rsidRPr="001E3437">
        <w:rPr>
          <w:iCs/>
        </w:rPr>
        <w:t>ali</w:t>
      </w:r>
      <w:r w:rsidR="00B5066F">
        <w:rPr>
          <w:iCs/>
        </w:rPr>
        <w:t>en</w:t>
      </w:r>
      <w:r w:rsidRPr="001E3437">
        <w:rPr>
          <w:iCs/>
        </w:rPr>
        <w:t xml:space="preserve"> et les groupes signataires se sont de nouveau engagés à s’acquitter rapidement des obligations que leur impose </w:t>
      </w:r>
      <w:r w:rsidRPr="001E3437">
        <w:t>l’Accord pour la paix et la réconciliation au Mali,</w:t>
      </w:r>
      <w:r w:rsidRPr="001E3437">
        <w:rPr>
          <w:iCs/>
        </w:rPr>
        <w:t xml:space="preserve"> notamment l’adoption d’un calendrier d’actions prioritaires, ainsi que l’avancée que constitue la nomination d’autorités intérimaires, et soulignant que beaucoup de progrès restent à faire pour une mise en œuvre pleine et entière de l’Accord, notamment la mise en œuvre effective de la décentralisation, la justice transitionnelle, le processus de désarmement, </w:t>
      </w:r>
      <w:r w:rsidR="00294EAB">
        <w:rPr>
          <w:iCs/>
        </w:rPr>
        <w:t xml:space="preserve">de </w:t>
      </w:r>
      <w:r w:rsidRPr="001E3437">
        <w:rPr>
          <w:iCs/>
        </w:rPr>
        <w:t xml:space="preserve">démobilisation et </w:t>
      </w:r>
      <w:r w:rsidR="00294EAB">
        <w:rPr>
          <w:iCs/>
        </w:rPr>
        <w:t xml:space="preserve">de </w:t>
      </w:r>
      <w:r w:rsidRPr="001E3437">
        <w:rPr>
          <w:iCs/>
        </w:rPr>
        <w:t>réinsertion, la réforme du secteur de la justice ainsi que la réforme du secteur de la sécurité</w:t>
      </w:r>
      <w:r w:rsidR="00E61D74">
        <w:rPr>
          <w:iCs/>
        </w:rPr>
        <w:t>,</w:t>
      </w:r>
    </w:p>
    <w:p w14:paraId="0F03487A" w14:textId="0A95BBB9" w:rsidR="001E3437" w:rsidRPr="001E3437" w:rsidRDefault="001E3437" w:rsidP="001F5A62">
      <w:pPr>
        <w:pStyle w:val="SingleTxtG"/>
        <w:ind w:firstLine="567"/>
        <w:rPr>
          <w:iCs/>
        </w:rPr>
      </w:pPr>
      <w:r w:rsidRPr="001E3437">
        <w:rPr>
          <w:i/>
          <w:iCs/>
        </w:rPr>
        <w:t xml:space="preserve">Saluant </w:t>
      </w:r>
      <w:r w:rsidRPr="001E3437">
        <w:rPr>
          <w:iCs/>
        </w:rPr>
        <w:t>la résolution 2374 (2017)</w:t>
      </w:r>
      <w:r w:rsidR="00A01BE9">
        <w:rPr>
          <w:iCs/>
        </w:rPr>
        <w:t xml:space="preserve"> du Conseil de sécurité</w:t>
      </w:r>
      <w:r w:rsidRPr="001E3437">
        <w:rPr>
          <w:iCs/>
        </w:rPr>
        <w:t xml:space="preserve">, </w:t>
      </w:r>
      <w:r w:rsidR="002B0FCE">
        <w:rPr>
          <w:iCs/>
        </w:rPr>
        <w:t xml:space="preserve">en date du 5 septembre 2017, </w:t>
      </w:r>
      <w:r w:rsidRPr="001E3437">
        <w:rPr>
          <w:iCs/>
        </w:rPr>
        <w:t>qui établit un régime de sanctions visant notamment ceux qui entravent la mise en œuvre de l</w:t>
      </w:r>
      <w:r w:rsidR="00A44130">
        <w:rPr>
          <w:iCs/>
        </w:rPr>
        <w:t>’</w:t>
      </w:r>
      <w:r w:rsidRPr="001E3437">
        <w:t>Accord pour la paix et la réconciliation au Mali, ainsi que ceux qui planifient,</w:t>
      </w:r>
      <w:r w:rsidRPr="001E3437">
        <w:rPr>
          <w:iCs/>
        </w:rPr>
        <w:t xml:space="preserve"> dirigent ou commettent des actes de violation </w:t>
      </w:r>
      <w:r w:rsidR="00374702">
        <w:rPr>
          <w:iCs/>
        </w:rPr>
        <w:t xml:space="preserve">des </w:t>
      </w:r>
      <w:r w:rsidRPr="001E3437">
        <w:rPr>
          <w:iCs/>
        </w:rPr>
        <w:t>droits de l</w:t>
      </w:r>
      <w:r w:rsidR="00A44130">
        <w:rPr>
          <w:iCs/>
        </w:rPr>
        <w:t>’h</w:t>
      </w:r>
      <w:r w:rsidRPr="001E3437">
        <w:rPr>
          <w:iCs/>
        </w:rPr>
        <w:t>omme</w:t>
      </w:r>
      <w:r w:rsidR="00374702" w:rsidRPr="00374702">
        <w:rPr>
          <w:iCs/>
        </w:rPr>
        <w:t xml:space="preserve"> </w:t>
      </w:r>
      <w:r w:rsidR="00374702" w:rsidRPr="001E3437">
        <w:rPr>
          <w:iCs/>
        </w:rPr>
        <w:t>ou d</w:t>
      </w:r>
      <w:r w:rsidR="00D40B57">
        <w:rPr>
          <w:iCs/>
        </w:rPr>
        <w:t xml:space="preserve">es </w:t>
      </w:r>
      <w:r w:rsidR="00374702" w:rsidRPr="001E3437">
        <w:rPr>
          <w:iCs/>
        </w:rPr>
        <w:t xml:space="preserve">atteintes </w:t>
      </w:r>
      <w:r w:rsidR="00374702">
        <w:rPr>
          <w:iCs/>
        </w:rPr>
        <w:t>à ces droits</w:t>
      </w:r>
      <w:r w:rsidRPr="001E3437">
        <w:rPr>
          <w:iCs/>
        </w:rPr>
        <w:t>, ou des actes de violation du droit international</w:t>
      </w:r>
      <w:r w:rsidR="00D40B57">
        <w:rPr>
          <w:iCs/>
        </w:rPr>
        <w:t xml:space="preserve"> </w:t>
      </w:r>
      <w:r w:rsidR="00D40B57" w:rsidRPr="001E3437">
        <w:rPr>
          <w:iCs/>
        </w:rPr>
        <w:t>humanitaire</w:t>
      </w:r>
      <w:r w:rsidRPr="001E3437">
        <w:rPr>
          <w:iCs/>
        </w:rPr>
        <w:t xml:space="preserve">, y compris les actes </w:t>
      </w:r>
      <w:r w:rsidR="00D40B57">
        <w:rPr>
          <w:iCs/>
        </w:rPr>
        <w:t>dirigés contre</w:t>
      </w:r>
      <w:r w:rsidR="00D40B57" w:rsidRPr="001E3437">
        <w:rPr>
          <w:iCs/>
        </w:rPr>
        <w:t xml:space="preserve"> </w:t>
      </w:r>
      <w:r w:rsidRPr="001E3437">
        <w:rPr>
          <w:iCs/>
        </w:rPr>
        <w:t>les populations civiles, d</w:t>
      </w:r>
      <w:r w:rsidR="00E61D74">
        <w:rPr>
          <w:iCs/>
        </w:rPr>
        <w:t>ont les femmes et les enfants,</w:t>
      </w:r>
    </w:p>
    <w:p w14:paraId="0C002C57" w14:textId="77777777" w:rsidR="001E3437" w:rsidRPr="001E3437" w:rsidRDefault="001E3437" w:rsidP="00E61D74">
      <w:pPr>
        <w:pStyle w:val="SingleTxtG"/>
        <w:ind w:firstLine="567"/>
      </w:pPr>
      <w:r w:rsidRPr="001E3437">
        <w:rPr>
          <w:i/>
          <w:iCs/>
        </w:rPr>
        <w:t xml:space="preserve">Notant </w:t>
      </w:r>
      <w:r w:rsidRPr="001E3437">
        <w:t xml:space="preserve">que le Gouvernement malien s’est engagé lors de plusieurs sessions du Conseil </w:t>
      </w:r>
      <w:r w:rsidR="003C1C7D">
        <w:t xml:space="preserve">des droits de l’homme </w:t>
      </w:r>
      <w:r w:rsidRPr="001E3437">
        <w:t>à privilégier le dialogue et la réconciliation nationale</w:t>
      </w:r>
      <w:r w:rsidR="00E61D74">
        <w:t xml:space="preserve"> dans le règlement de la crise,</w:t>
      </w:r>
    </w:p>
    <w:p w14:paraId="7DB1CC09" w14:textId="77777777" w:rsidR="001E3437" w:rsidRPr="001E3437" w:rsidRDefault="001E3437" w:rsidP="00E61D74">
      <w:pPr>
        <w:pStyle w:val="SingleTxtG"/>
        <w:ind w:firstLine="567"/>
      </w:pPr>
      <w:r w:rsidRPr="001E3437">
        <w:rPr>
          <w:i/>
          <w:iCs/>
        </w:rPr>
        <w:t xml:space="preserve">Notant également </w:t>
      </w:r>
      <w:r w:rsidRPr="001E3437">
        <w:t xml:space="preserve">que le Gouvernement malien s’est engagé à rétablir la primauté du droit et à lutter </w:t>
      </w:r>
      <w:r w:rsidR="00E61D74">
        <w:t>efficacement contre l’impunité,</w:t>
      </w:r>
    </w:p>
    <w:p w14:paraId="28ED6B95" w14:textId="12AED79B" w:rsidR="001E3437" w:rsidRPr="001E3437" w:rsidRDefault="001E3437" w:rsidP="00B602D8">
      <w:pPr>
        <w:pStyle w:val="SingleTxtG"/>
        <w:ind w:firstLine="567"/>
        <w:rPr>
          <w:iCs/>
        </w:rPr>
      </w:pPr>
      <w:r w:rsidRPr="001E3437">
        <w:rPr>
          <w:i/>
          <w:iCs/>
        </w:rPr>
        <w:t>Saluant</w:t>
      </w:r>
      <w:r w:rsidRPr="001E3437">
        <w:rPr>
          <w:iCs/>
        </w:rPr>
        <w:t xml:space="preserve"> la coopération des autorités maliennes avec les mécanismes internationaux des droits de l’</w:t>
      </w:r>
      <w:r w:rsidR="00A44130">
        <w:rPr>
          <w:iCs/>
        </w:rPr>
        <w:t>h</w:t>
      </w:r>
      <w:r w:rsidRPr="001E3437">
        <w:rPr>
          <w:iCs/>
        </w:rPr>
        <w:t>omme</w:t>
      </w:r>
      <w:r w:rsidR="002D458D">
        <w:rPr>
          <w:iCs/>
        </w:rPr>
        <w:t>,</w:t>
      </w:r>
      <w:r w:rsidRPr="001E3437">
        <w:rPr>
          <w:iCs/>
        </w:rPr>
        <w:t xml:space="preserve"> notamment la planification de deux visites </w:t>
      </w:r>
      <w:r w:rsidR="00B602D8">
        <w:rPr>
          <w:iCs/>
        </w:rPr>
        <w:t xml:space="preserve">au Mali </w:t>
      </w:r>
      <w:r w:rsidR="00100FC7">
        <w:rPr>
          <w:iCs/>
        </w:rPr>
        <w:t>de titulaires de mandat</w:t>
      </w:r>
      <w:r w:rsidR="00970A78">
        <w:rPr>
          <w:iCs/>
        </w:rPr>
        <w:t>s thématiques</w:t>
      </w:r>
      <w:r w:rsidR="00100FC7">
        <w:rPr>
          <w:iCs/>
        </w:rPr>
        <w:t xml:space="preserve"> au titre </w:t>
      </w:r>
      <w:r w:rsidRPr="001E3437">
        <w:rPr>
          <w:iCs/>
        </w:rPr>
        <w:t xml:space="preserve">des procédures spéciales du Conseil des </w:t>
      </w:r>
      <w:r w:rsidR="00A44130">
        <w:rPr>
          <w:iCs/>
        </w:rPr>
        <w:t>d</w:t>
      </w:r>
      <w:r w:rsidR="00A44130" w:rsidRPr="001E3437">
        <w:rPr>
          <w:iCs/>
        </w:rPr>
        <w:t xml:space="preserve">roits </w:t>
      </w:r>
      <w:r w:rsidRPr="001E3437">
        <w:rPr>
          <w:iCs/>
        </w:rPr>
        <w:t>de l’</w:t>
      </w:r>
      <w:r w:rsidR="00A44130">
        <w:rPr>
          <w:iCs/>
        </w:rPr>
        <w:t>h</w:t>
      </w:r>
      <w:r w:rsidRPr="001E3437">
        <w:rPr>
          <w:iCs/>
        </w:rPr>
        <w:t>omme en 2018</w:t>
      </w:r>
      <w:r w:rsidR="00E61D74">
        <w:rPr>
          <w:iCs/>
        </w:rPr>
        <w:t>,</w:t>
      </w:r>
    </w:p>
    <w:p w14:paraId="374505C7" w14:textId="4EB7D0D7" w:rsidR="001E3437" w:rsidRPr="001E3437" w:rsidRDefault="001E3437" w:rsidP="00313C86">
      <w:pPr>
        <w:pStyle w:val="SingleTxtG"/>
        <w:ind w:firstLine="567"/>
        <w:rPr>
          <w:iCs/>
        </w:rPr>
      </w:pPr>
      <w:r w:rsidRPr="001E3437">
        <w:rPr>
          <w:i/>
          <w:iCs/>
        </w:rPr>
        <w:t>Notant</w:t>
      </w:r>
      <w:r w:rsidRPr="001E3437">
        <w:rPr>
          <w:iCs/>
        </w:rPr>
        <w:t xml:space="preserve"> la tenue du </w:t>
      </w:r>
      <w:r w:rsidR="00B5066F">
        <w:rPr>
          <w:iCs/>
        </w:rPr>
        <w:t>troisième</w:t>
      </w:r>
      <w:r w:rsidR="00B5066F" w:rsidRPr="001E3437">
        <w:rPr>
          <w:iCs/>
        </w:rPr>
        <w:t xml:space="preserve"> </w:t>
      </w:r>
      <w:r w:rsidR="00313C86">
        <w:rPr>
          <w:iCs/>
        </w:rPr>
        <w:t>E</w:t>
      </w:r>
      <w:r w:rsidR="00B5066F" w:rsidRPr="001E3437">
        <w:rPr>
          <w:iCs/>
        </w:rPr>
        <w:t xml:space="preserve">xamen </w:t>
      </w:r>
      <w:r w:rsidR="00B5066F">
        <w:rPr>
          <w:iCs/>
        </w:rPr>
        <w:t>p</w:t>
      </w:r>
      <w:r w:rsidR="00B5066F" w:rsidRPr="001E3437">
        <w:rPr>
          <w:iCs/>
        </w:rPr>
        <w:t xml:space="preserve">ériodique </w:t>
      </w:r>
      <w:r w:rsidR="00B5066F">
        <w:rPr>
          <w:iCs/>
        </w:rPr>
        <w:t>u</w:t>
      </w:r>
      <w:r w:rsidR="00B5066F" w:rsidRPr="001E3437">
        <w:rPr>
          <w:iCs/>
        </w:rPr>
        <w:t xml:space="preserve">niversel </w:t>
      </w:r>
      <w:r w:rsidRPr="001E3437">
        <w:rPr>
          <w:iCs/>
        </w:rPr>
        <w:t xml:space="preserve">du Mali en janvier 2018 et </w:t>
      </w:r>
      <w:r w:rsidRPr="00A21075">
        <w:t>encourageant</w:t>
      </w:r>
      <w:r w:rsidRPr="001E3437">
        <w:rPr>
          <w:i/>
          <w:iCs/>
        </w:rPr>
        <w:t xml:space="preserve"> </w:t>
      </w:r>
      <w:r w:rsidRPr="001E3437">
        <w:rPr>
          <w:iCs/>
        </w:rPr>
        <w:t xml:space="preserve">le Gouvernement </w:t>
      </w:r>
      <w:r w:rsidR="00B5066F">
        <w:rPr>
          <w:iCs/>
        </w:rPr>
        <w:t>m</w:t>
      </w:r>
      <w:r w:rsidRPr="001E3437">
        <w:rPr>
          <w:iCs/>
        </w:rPr>
        <w:t>ali</w:t>
      </w:r>
      <w:r w:rsidR="00B5066F">
        <w:rPr>
          <w:iCs/>
        </w:rPr>
        <w:t>en</w:t>
      </w:r>
      <w:r w:rsidRPr="001E3437">
        <w:rPr>
          <w:iCs/>
        </w:rPr>
        <w:t xml:space="preserve"> à prendre les mesures nécessaires pour la mise en œuvre des recommandations qui seront </w:t>
      </w:r>
      <w:r w:rsidR="00E61D74">
        <w:rPr>
          <w:iCs/>
        </w:rPr>
        <w:t>acceptées,</w:t>
      </w:r>
    </w:p>
    <w:p w14:paraId="6DFB642E" w14:textId="05250BF4" w:rsidR="001E3437" w:rsidRPr="001E3437" w:rsidRDefault="001E3437" w:rsidP="001F5A62">
      <w:pPr>
        <w:pStyle w:val="SingleTxtG"/>
        <w:ind w:firstLine="567"/>
        <w:rPr>
          <w:iCs/>
        </w:rPr>
      </w:pPr>
      <w:r w:rsidRPr="001E3437">
        <w:rPr>
          <w:i/>
          <w:iCs/>
        </w:rPr>
        <w:t>Prenant note</w:t>
      </w:r>
      <w:r w:rsidRPr="001E3437">
        <w:rPr>
          <w:iCs/>
        </w:rPr>
        <w:t xml:space="preserve"> du dernier rapport du Secrétaire général sur la situation au Mali</w:t>
      </w:r>
      <w:r w:rsidR="00BC235C">
        <w:rPr>
          <w:rStyle w:val="Appelnotedebasdep"/>
          <w:iCs/>
        </w:rPr>
        <w:footnoteReference w:id="2"/>
      </w:r>
      <w:r w:rsidR="00712F2C">
        <w:rPr>
          <w:iCs/>
        </w:rPr>
        <w:t>,</w:t>
      </w:r>
      <w:r w:rsidRPr="001E3437">
        <w:rPr>
          <w:iCs/>
        </w:rPr>
        <w:t xml:space="preserve"> dans lequel il se dit préoccupé </w:t>
      </w:r>
      <w:r w:rsidR="0051421A">
        <w:rPr>
          <w:iCs/>
        </w:rPr>
        <w:t>par le</w:t>
      </w:r>
      <w:r w:rsidR="0051421A" w:rsidRPr="001E3437">
        <w:rPr>
          <w:iCs/>
        </w:rPr>
        <w:t xml:space="preserve"> </w:t>
      </w:r>
      <w:r w:rsidRPr="001E3437">
        <w:rPr>
          <w:iCs/>
        </w:rPr>
        <w:t>fait que les femmes ne sont pas associées au processus de paix et réaffirme qu’elles doivent être incluses dans toutes les structures de décision concernant le processus de paix</w:t>
      </w:r>
      <w:r w:rsidR="0051421A">
        <w:rPr>
          <w:iCs/>
        </w:rPr>
        <w:t>,</w:t>
      </w:r>
      <w:r w:rsidRPr="001E3437">
        <w:rPr>
          <w:iCs/>
        </w:rPr>
        <w:t xml:space="preserve"> et soulignant le rôle important des femmes en matière de prévention et de règlement des conflits ainsi que de consolidation de la p</w:t>
      </w:r>
      <w:r w:rsidR="00E61D74">
        <w:rPr>
          <w:iCs/>
        </w:rPr>
        <w:t>aix,</w:t>
      </w:r>
    </w:p>
    <w:p w14:paraId="603F1E16" w14:textId="3AC8F871" w:rsidR="001E3437" w:rsidRPr="001E3437" w:rsidRDefault="001E3437" w:rsidP="001F5A62">
      <w:pPr>
        <w:pStyle w:val="SingleTxtG"/>
        <w:ind w:firstLine="567"/>
        <w:rPr>
          <w:iCs/>
        </w:rPr>
      </w:pPr>
      <w:r w:rsidRPr="001E3437">
        <w:rPr>
          <w:i/>
          <w:iCs/>
        </w:rPr>
        <w:t>Prenant note</w:t>
      </w:r>
      <w:r w:rsidR="004819F1" w:rsidRPr="004819F1">
        <w:rPr>
          <w:i/>
          <w:iCs/>
        </w:rPr>
        <w:t xml:space="preserve"> </w:t>
      </w:r>
      <w:r w:rsidR="004819F1">
        <w:rPr>
          <w:i/>
          <w:iCs/>
        </w:rPr>
        <w:t>également</w:t>
      </w:r>
      <w:r w:rsidRPr="001E3437">
        <w:rPr>
          <w:iCs/>
        </w:rPr>
        <w:t xml:space="preserve"> du rapport conjoint de la </w:t>
      </w:r>
      <w:r w:rsidR="00F533B2" w:rsidRPr="001E3437">
        <w:rPr>
          <w:iCs/>
        </w:rPr>
        <w:t xml:space="preserve">Mission multidimensionnelle intégrée des Nations </w:t>
      </w:r>
      <w:r w:rsidR="00F533B2">
        <w:rPr>
          <w:iCs/>
        </w:rPr>
        <w:t>U</w:t>
      </w:r>
      <w:r w:rsidR="00F533B2" w:rsidRPr="001E3437">
        <w:rPr>
          <w:iCs/>
        </w:rPr>
        <w:t xml:space="preserve">nies pour la stabilisation au Mali </w:t>
      </w:r>
      <w:r w:rsidRPr="001E3437">
        <w:rPr>
          <w:iCs/>
        </w:rPr>
        <w:t xml:space="preserve">et du Haut-Commissariat </w:t>
      </w:r>
      <w:r w:rsidR="00500A43">
        <w:rPr>
          <w:iCs/>
        </w:rPr>
        <w:t xml:space="preserve">des Nations Unies </w:t>
      </w:r>
      <w:r w:rsidRPr="001E3437">
        <w:rPr>
          <w:iCs/>
        </w:rPr>
        <w:t>aux droits de l’</w:t>
      </w:r>
      <w:r w:rsidR="00A44130">
        <w:rPr>
          <w:iCs/>
        </w:rPr>
        <w:t>h</w:t>
      </w:r>
      <w:r w:rsidRPr="001E3437">
        <w:rPr>
          <w:iCs/>
        </w:rPr>
        <w:t>omme sur l’état des droits de l’</w:t>
      </w:r>
      <w:r w:rsidR="00A44130">
        <w:rPr>
          <w:iCs/>
        </w:rPr>
        <w:t>h</w:t>
      </w:r>
      <w:r w:rsidRPr="001E3437">
        <w:rPr>
          <w:iCs/>
        </w:rPr>
        <w:t>omme dans le cadre du processus de paix au Mali</w:t>
      </w:r>
      <w:r w:rsidR="00997850">
        <w:rPr>
          <w:iCs/>
        </w:rPr>
        <w:t>,</w:t>
      </w:r>
      <w:r w:rsidRPr="001E3437">
        <w:rPr>
          <w:iCs/>
        </w:rPr>
        <w:t xml:space="preserve"> publié </w:t>
      </w:r>
      <w:r w:rsidR="00C427C6">
        <w:rPr>
          <w:iCs/>
        </w:rPr>
        <w:t xml:space="preserve">en </w:t>
      </w:r>
      <w:r w:rsidRPr="001E3437">
        <w:rPr>
          <w:iCs/>
        </w:rPr>
        <w:t>février 2018</w:t>
      </w:r>
      <w:r w:rsidR="00997850">
        <w:rPr>
          <w:iCs/>
        </w:rPr>
        <w:t>,</w:t>
      </w:r>
      <w:r w:rsidRPr="001E3437">
        <w:rPr>
          <w:iCs/>
        </w:rPr>
        <w:t xml:space="preserve"> faisant état de plus de 600 cas de violations </w:t>
      </w:r>
      <w:r w:rsidR="0056683F">
        <w:rPr>
          <w:iCs/>
        </w:rPr>
        <w:t xml:space="preserve">des </w:t>
      </w:r>
      <w:r w:rsidRPr="001E3437">
        <w:rPr>
          <w:iCs/>
        </w:rPr>
        <w:t>droits de l’</w:t>
      </w:r>
      <w:r w:rsidR="00A44130">
        <w:rPr>
          <w:iCs/>
        </w:rPr>
        <w:t>h</w:t>
      </w:r>
      <w:r w:rsidRPr="001E3437">
        <w:rPr>
          <w:iCs/>
        </w:rPr>
        <w:t xml:space="preserve">omme </w:t>
      </w:r>
      <w:r w:rsidR="0056683F" w:rsidRPr="001E3437">
        <w:rPr>
          <w:iCs/>
        </w:rPr>
        <w:t xml:space="preserve">et atteintes </w:t>
      </w:r>
      <w:r w:rsidR="0056683F">
        <w:rPr>
          <w:iCs/>
        </w:rPr>
        <w:t xml:space="preserve">à ces droits </w:t>
      </w:r>
      <w:r w:rsidRPr="001E3437">
        <w:rPr>
          <w:iCs/>
        </w:rPr>
        <w:t>commis</w:t>
      </w:r>
      <w:r w:rsidR="003051BB">
        <w:rPr>
          <w:iCs/>
        </w:rPr>
        <w:t>es</w:t>
      </w:r>
      <w:r w:rsidRPr="001E3437">
        <w:rPr>
          <w:iCs/>
        </w:rPr>
        <w:t xml:space="preserve"> entre janvier 2016 et juin 2017</w:t>
      </w:r>
      <w:r w:rsidR="0056683F">
        <w:rPr>
          <w:iCs/>
        </w:rPr>
        <w:t>,</w:t>
      </w:r>
      <w:r w:rsidRPr="001E3437">
        <w:rPr>
          <w:iCs/>
        </w:rPr>
        <w:t xml:space="preserve"> qui ont fait plus de 2 700 victimes, et qui démontre que le respect des droits de l’</w:t>
      </w:r>
      <w:r w:rsidR="00A44130">
        <w:rPr>
          <w:iCs/>
        </w:rPr>
        <w:t>h</w:t>
      </w:r>
      <w:r w:rsidRPr="001E3437">
        <w:rPr>
          <w:iCs/>
        </w:rPr>
        <w:t xml:space="preserve">omme peut créer un environnement propice à la mise en œuvre de </w:t>
      </w:r>
      <w:r w:rsidR="004E1DD1" w:rsidRPr="001E3437">
        <w:rPr>
          <w:iCs/>
        </w:rPr>
        <w:t>l’</w:t>
      </w:r>
      <w:r w:rsidR="004E1DD1">
        <w:rPr>
          <w:iCs/>
        </w:rPr>
        <w:t>a</w:t>
      </w:r>
      <w:r w:rsidR="004E1DD1" w:rsidRPr="001E3437">
        <w:rPr>
          <w:iCs/>
        </w:rPr>
        <w:t xml:space="preserve">ccord </w:t>
      </w:r>
      <w:r w:rsidRPr="001E3437">
        <w:rPr>
          <w:iCs/>
        </w:rPr>
        <w:t>de paix</w:t>
      </w:r>
      <w:r w:rsidR="004C182B">
        <w:rPr>
          <w:iCs/>
        </w:rPr>
        <w:t>,</w:t>
      </w:r>
      <w:r w:rsidRPr="001E3437">
        <w:rPr>
          <w:iCs/>
        </w:rPr>
        <w:t xml:space="preserve"> et soulignant l’importance des rapports sur les droits de l’</w:t>
      </w:r>
      <w:r w:rsidR="00A44130">
        <w:rPr>
          <w:iCs/>
        </w:rPr>
        <w:t>h</w:t>
      </w:r>
      <w:r w:rsidRPr="001E3437">
        <w:rPr>
          <w:iCs/>
        </w:rPr>
        <w:t>omme en tant que composante du mandat de promotion et de protection des dr</w:t>
      </w:r>
      <w:r w:rsidR="00E61D74">
        <w:rPr>
          <w:iCs/>
        </w:rPr>
        <w:t>oits de l’</w:t>
      </w:r>
      <w:r w:rsidR="00A44130">
        <w:rPr>
          <w:iCs/>
        </w:rPr>
        <w:t>h</w:t>
      </w:r>
      <w:r w:rsidR="00E61D74">
        <w:rPr>
          <w:iCs/>
        </w:rPr>
        <w:t xml:space="preserve">omme de la </w:t>
      </w:r>
      <w:r w:rsidR="00F533B2" w:rsidRPr="001E3437">
        <w:rPr>
          <w:iCs/>
        </w:rPr>
        <w:t xml:space="preserve">Mission multidimensionnelle intégrée des Nations </w:t>
      </w:r>
      <w:r w:rsidR="00F533B2">
        <w:rPr>
          <w:iCs/>
        </w:rPr>
        <w:t>U</w:t>
      </w:r>
      <w:r w:rsidR="00F533B2" w:rsidRPr="001E3437">
        <w:rPr>
          <w:iCs/>
        </w:rPr>
        <w:t>nies pour la stabilisation au Mali</w:t>
      </w:r>
      <w:r w:rsidR="00E61D74">
        <w:rPr>
          <w:iCs/>
        </w:rPr>
        <w:t>,</w:t>
      </w:r>
    </w:p>
    <w:p w14:paraId="7072290D" w14:textId="4AEFEC21" w:rsidR="001E3437" w:rsidRPr="001E3437" w:rsidRDefault="001E3437" w:rsidP="001F5A62">
      <w:pPr>
        <w:pStyle w:val="SingleTxtG"/>
        <w:ind w:firstLine="567"/>
      </w:pPr>
      <w:r w:rsidRPr="001E3437">
        <w:rPr>
          <w:i/>
          <w:iCs/>
        </w:rPr>
        <w:t xml:space="preserve">Prenant note avec </w:t>
      </w:r>
      <w:r w:rsidR="00002B3E">
        <w:rPr>
          <w:i/>
          <w:iCs/>
        </w:rPr>
        <w:t>satisfaction</w:t>
      </w:r>
      <w:r w:rsidR="00002B3E" w:rsidRPr="001E3437">
        <w:rPr>
          <w:i/>
          <w:iCs/>
        </w:rPr>
        <w:t xml:space="preserve"> </w:t>
      </w:r>
      <w:r w:rsidRPr="001E3437">
        <w:t>du rapport de l’Expert indépendant sur la situation des droits de l’homme au Mali</w:t>
      </w:r>
      <w:r w:rsidR="00C9596A">
        <w:rPr>
          <w:rStyle w:val="Appelnotedebasdep"/>
        </w:rPr>
        <w:footnoteReference w:id="3"/>
      </w:r>
      <w:r w:rsidR="00E61D74">
        <w:t>,</w:t>
      </w:r>
    </w:p>
    <w:p w14:paraId="669DC99D" w14:textId="7CD395CD" w:rsidR="001E3437" w:rsidRPr="001E3437" w:rsidRDefault="001E3437" w:rsidP="00AC28DE">
      <w:pPr>
        <w:pStyle w:val="SingleTxtG"/>
        <w:ind w:firstLine="567"/>
        <w:rPr>
          <w:iCs/>
        </w:rPr>
      </w:pPr>
      <w:r w:rsidRPr="001E3437">
        <w:rPr>
          <w:i/>
          <w:iCs/>
        </w:rPr>
        <w:lastRenderedPageBreak/>
        <w:t>Notant</w:t>
      </w:r>
      <w:r w:rsidRPr="001E3437">
        <w:rPr>
          <w:iCs/>
        </w:rPr>
        <w:t xml:space="preserve"> la prise en compte par la Force conjointe du </w:t>
      </w:r>
      <w:r w:rsidR="00313C86">
        <w:rPr>
          <w:iCs/>
        </w:rPr>
        <w:t xml:space="preserve">Groupe de cinq pays du </w:t>
      </w:r>
      <w:r w:rsidRPr="001E3437">
        <w:rPr>
          <w:iCs/>
        </w:rPr>
        <w:t>Sahel</w:t>
      </w:r>
      <w:r w:rsidRPr="001E3437" w:rsidDel="000D4FD5">
        <w:rPr>
          <w:iCs/>
        </w:rPr>
        <w:t xml:space="preserve"> </w:t>
      </w:r>
      <w:r w:rsidR="00313C86">
        <w:rPr>
          <w:iCs/>
        </w:rPr>
        <w:t>(G5</w:t>
      </w:r>
      <w:r w:rsidR="00AC28DE">
        <w:rPr>
          <w:iCs/>
        </w:rPr>
        <w:t> </w:t>
      </w:r>
      <w:r w:rsidR="00313C86">
        <w:rPr>
          <w:iCs/>
        </w:rPr>
        <w:t xml:space="preserve">Sahel) </w:t>
      </w:r>
      <w:r w:rsidRPr="001E3437">
        <w:rPr>
          <w:iCs/>
        </w:rPr>
        <w:t>de la politique de diligence voulue en matière de droits de l’</w:t>
      </w:r>
      <w:r w:rsidR="00A44130">
        <w:rPr>
          <w:iCs/>
        </w:rPr>
        <w:t>h</w:t>
      </w:r>
      <w:r w:rsidRPr="001E3437">
        <w:rPr>
          <w:iCs/>
        </w:rPr>
        <w:t>omme en cas d’appui de l’O</w:t>
      </w:r>
      <w:r w:rsidR="00AA1CB8">
        <w:rPr>
          <w:iCs/>
        </w:rPr>
        <w:t>rganisation des Nations Unies</w:t>
      </w:r>
      <w:r w:rsidRPr="001E3437">
        <w:rPr>
          <w:iCs/>
        </w:rPr>
        <w:t xml:space="preserve"> à des forces de s</w:t>
      </w:r>
      <w:r w:rsidR="00E61D74">
        <w:rPr>
          <w:iCs/>
        </w:rPr>
        <w:t>écurité non onusiennes,</w:t>
      </w:r>
    </w:p>
    <w:p w14:paraId="4E4C6978" w14:textId="2267B610" w:rsidR="001E3437" w:rsidRPr="001E3437" w:rsidRDefault="001E3437" w:rsidP="00E61D74">
      <w:pPr>
        <w:pStyle w:val="SingleTxtG"/>
        <w:ind w:firstLine="567"/>
        <w:rPr>
          <w:iCs/>
        </w:rPr>
      </w:pPr>
      <w:r w:rsidRPr="001E3437">
        <w:rPr>
          <w:i/>
          <w:iCs/>
        </w:rPr>
        <w:t>Notant</w:t>
      </w:r>
      <w:r w:rsidR="00F825AD">
        <w:rPr>
          <w:i/>
          <w:iCs/>
        </w:rPr>
        <w:t xml:space="preserve"> également</w:t>
      </w:r>
      <w:r w:rsidRPr="001E3437">
        <w:rPr>
          <w:i/>
          <w:iCs/>
        </w:rPr>
        <w:t xml:space="preserve"> </w:t>
      </w:r>
      <w:r w:rsidRPr="00A21075">
        <w:t>l</w:t>
      </w:r>
      <w:r w:rsidRPr="00BD34E0">
        <w:t xml:space="preserve">a </w:t>
      </w:r>
      <w:r w:rsidRPr="001E3437">
        <w:rPr>
          <w:iCs/>
        </w:rPr>
        <w:t>mise en place du cadre de conformité pour le respect des droits de l</w:t>
      </w:r>
      <w:r w:rsidR="00A44130">
        <w:rPr>
          <w:iCs/>
        </w:rPr>
        <w:t>’</w:t>
      </w:r>
      <w:r w:rsidRPr="001E3437">
        <w:rPr>
          <w:iCs/>
        </w:rPr>
        <w:t>homme et du droit international humanitaire pour les opérati</w:t>
      </w:r>
      <w:r w:rsidR="00E61D74">
        <w:rPr>
          <w:iCs/>
        </w:rPr>
        <w:t>ons de la même force conjointe,</w:t>
      </w:r>
    </w:p>
    <w:p w14:paraId="64770DD6" w14:textId="0BE225E3" w:rsidR="001E3437" w:rsidRPr="001E3437" w:rsidRDefault="00E61D74" w:rsidP="001F5A62">
      <w:pPr>
        <w:pStyle w:val="SingleTxtG"/>
        <w:ind w:firstLine="567"/>
      </w:pPr>
      <w:r>
        <w:rPr>
          <w:iCs/>
        </w:rPr>
        <w:t>1.</w:t>
      </w:r>
      <w:r>
        <w:rPr>
          <w:iCs/>
        </w:rPr>
        <w:tab/>
      </w:r>
      <w:r w:rsidR="001E3437" w:rsidRPr="001E3437">
        <w:rPr>
          <w:i/>
          <w:iCs/>
        </w:rPr>
        <w:t xml:space="preserve">Condamne fermement </w:t>
      </w:r>
      <w:r w:rsidR="001E3437" w:rsidRPr="001E3437">
        <w:t xml:space="preserve">les violations </w:t>
      </w:r>
      <w:r w:rsidR="00DE4611">
        <w:t xml:space="preserve">des </w:t>
      </w:r>
      <w:r w:rsidR="001E3437" w:rsidRPr="001E3437">
        <w:t xml:space="preserve">droits de l’homme </w:t>
      </w:r>
      <w:r w:rsidR="00DE4611" w:rsidRPr="001E3437">
        <w:t xml:space="preserve">et les atteintes </w:t>
      </w:r>
      <w:r w:rsidR="00DE4611">
        <w:t>à ces droits</w:t>
      </w:r>
      <w:r w:rsidR="00DE4611" w:rsidRPr="001E3437">
        <w:t xml:space="preserve"> </w:t>
      </w:r>
      <w:r w:rsidR="001E3437" w:rsidRPr="001E3437">
        <w:t xml:space="preserve">et les violations du droit international humanitaire, dont celles impliquant l’enrôlement d’enfants et leur utilisation comme soldats, </w:t>
      </w:r>
      <w:r w:rsidR="00344F5C">
        <w:t xml:space="preserve">et </w:t>
      </w:r>
      <w:r w:rsidR="001E3437" w:rsidRPr="001E3437">
        <w:t xml:space="preserve">les violations de leurs droits, de même que les violations </w:t>
      </w:r>
      <w:r w:rsidR="00A03E0E">
        <w:t xml:space="preserve">des </w:t>
      </w:r>
      <w:r w:rsidR="001E3437" w:rsidRPr="001E3437">
        <w:t>droits des femmes</w:t>
      </w:r>
      <w:r w:rsidR="00A03E0E">
        <w:t xml:space="preserve"> </w:t>
      </w:r>
      <w:r w:rsidR="00A03E0E" w:rsidRPr="001E3437">
        <w:t xml:space="preserve">et </w:t>
      </w:r>
      <w:r w:rsidR="00A03E0E">
        <w:t xml:space="preserve">les </w:t>
      </w:r>
      <w:r w:rsidR="00A03E0E" w:rsidRPr="001E3437">
        <w:t xml:space="preserve">atteintes </w:t>
      </w:r>
      <w:r w:rsidR="00A03E0E">
        <w:t xml:space="preserve">à </w:t>
      </w:r>
      <w:r w:rsidR="00344F5C">
        <w:t>ces</w:t>
      </w:r>
      <w:r w:rsidR="00A03E0E">
        <w:t xml:space="preserve"> droits</w:t>
      </w:r>
      <w:r w:rsidR="001E3437" w:rsidRPr="001E3437">
        <w:t>, qui ont été perpétrées au Mali depuis le début de la crise, ainsi que toutes les attaques terroristes, notamment les attentats meurtriers commis en 2018 contre des forains</w:t>
      </w:r>
      <w:r>
        <w:t> ;</w:t>
      </w:r>
    </w:p>
    <w:p w14:paraId="465AC480" w14:textId="4971139F" w:rsidR="001E3437" w:rsidRPr="001E3437" w:rsidRDefault="00E61D74" w:rsidP="001F5A62">
      <w:pPr>
        <w:pStyle w:val="SingleTxtG"/>
        <w:ind w:firstLine="567"/>
        <w:rPr>
          <w:iCs/>
        </w:rPr>
      </w:pPr>
      <w:r>
        <w:rPr>
          <w:iCs/>
        </w:rPr>
        <w:t>2.</w:t>
      </w:r>
      <w:r>
        <w:rPr>
          <w:iCs/>
        </w:rPr>
        <w:tab/>
      </w:r>
      <w:r w:rsidR="001E3437" w:rsidRPr="001E3437">
        <w:rPr>
          <w:i/>
          <w:iCs/>
        </w:rPr>
        <w:t>Condamne fermement</w:t>
      </w:r>
      <w:r w:rsidR="004819F1" w:rsidRPr="004819F1">
        <w:rPr>
          <w:i/>
          <w:iCs/>
        </w:rPr>
        <w:t xml:space="preserve"> </w:t>
      </w:r>
      <w:r w:rsidR="004819F1">
        <w:rPr>
          <w:i/>
          <w:iCs/>
        </w:rPr>
        <w:t>également</w:t>
      </w:r>
      <w:r w:rsidR="001E3437" w:rsidRPr="001E3437">
        <w:rPr>
          <w:iCs/>
        </w:rPr>
        <w:t xml:space="preserve"> les attaques, y compris</w:t>
      </w:r>
      <w:r w:rsidR="0045504F">
        <w:rPr>
          <w:iCs/>
        </w:rPr>
        <w:t xml:space="preserve"> les attaques</w:t>
      </w:r>
      <w:r w:rsidR="001E3437" w:rsidRPr="001E3437">
        <w:rPr>
          <w:iCs/>
        </w:rPr>
        <w:t xml:space="preserve"> terroristes, contre les civils, les Forces de défense et de sécurité maliennes, la Mission multidimensionnelle intégrée des Nations </w:t>
      </w:r>
      <w:r w:rsidR="00F533B2">
        <w:rPr>
          <w:iCs/>
        </w:rPr>
        <w:t>U</w:t>
      </w:r>
      <w:r w:rsidR="00F533B2" w:rsidRPr="001E3437">
        <w:rPr>
          <w:iCs/>
        </w:rPr>
        <w:t xml:space="preserve">nies </w:t>
      </w:r>
      <w:r w:rsidR="001E3437" w:rsidRPr="001E3437">
        <w:rPr>
          <w:iCs/>
        </w:rPr>
        <w:t xml:space="preserve">pour la stabilisation au Mali et les forces françaises, </w:t>
      </w:r>
      <w:r w:rsidR="001E3437" w:rsidRPr="00A21075">
        <w:t>souligne</w:t>
      </w:r>
      <w:r w:rsidR="001E3437" w:rsidRPr="001E3437">
        <w:rPr>
          <w:i/>
          <w:iCs/>
        </w:rPr>
        <w:t xml:space="preserve"> </w:t>
      </w:r>
      <w:r w:rsidR="001E3437" w:rsidRPr="001E3437">
        <w:rPr>
          <w:iCs/>
        </w:rPr>
        <w:t>l’importance de traduire en justice les auteurs, commanditaires et organisateurs de ces actes et ceux qui les ont financés</w:t>
      </w:r>
      <w:r w:rsidR="004819F1">
        <w:rPr>
          <w:iCs/>
        </w:rPr>
        <w:t>,</w:t>
      </w:r>
      <w:r w:rsidR="001E3437" w:rsidRPr="001E3437">
        <w:rPr>
          <w:iCs/>
        </w:rPr>
        <w:t xml:space="preserve"> et exhorte le Gouvernement malien à prendre des mesures pour s’assurer que les auteurs de ces actes soient </w:t>
      </w:r>
      <w:r>
        <w:rPr>
          <w:iCs/>
        </w:rPr>
        <w:t>poursuivis ;</w:t>
      </w:r>
    </w:p>
    <w:p w14:paraId="233142B6" w14:textId="390DDF79" w:rsidR="001E3437" w:rsidRPr="001E3437" w:rsidRDefault="00E61D74" w:rsidP="001F5A62">
      <w:pPr>
        <w:pStyle w:val="SingleTxtG"/>
        <w:ind w:firstLine="567"/>
      </w:pPr>
      <w:r>
        <w:rPr>
          <w:iCs/>
        </w:rPr>
        <w:t>3.</w:t>
      </w:r>
      <w:r>
        <w:rPr>
          <w:iCs/>
        </w:rPr>
        <w:tab/>
      </w:r>
      <w:r w:rsidR="001E3437" w:rsidRPr="001E3437">
        <w:rPr>
          <w:i/>
          <w:iCs/>
        </w:rPr>
        <w:t xml:space="preserve">Renouvelle </w:t>
      </w:r>
      <w:r w:rsidR="001E3437" w:rsidRPr="001E3437">
        <w:t xml:space="preserve">son appel à l’arrêt immédiat de toutes les exactions, violations </w:t>
      </w:r>
      <w:r w:rsidR="00D7525C">
        <w:t>des</w:t>
      </w:r>
      <w:r w:rsidR="00D7525C" w:rsidRPr="001E3437">
        <w:t xml:space="preserve"> </w:t>
      </w:r>
      <w:r w:rsidR="001E3437" w:rsidRPr="001E3437">
        <w:t xml:space="preserve">droits de l’homme </w:t>
      </w:r>
      <w:r w:rsidR="00D7525C">
        <w:t xml:space="preserve">et </w:t>
      </w:r>
      <w:r w:rsidR="00D7525C" w:rsidRPr="001E3437">
        <w:t xml:space="preserve">atteintes </w:t>
      </w:r>
      <w:r w:rsidR="00D7525C">
        <w:t>à ces droits</w:t>
      </w:r>
      <w:r w:rsidR="00077C15">
        <w:t>,</w:t>
      </w:r>
      <w:r w:rsidR="00D7525C" w:rsidRPr="001E3437">
        <w:t xml:space="preserve"> </w:t>
      </w:r>
      <w:r w:rsidR="001E3437" w:rsidRPr="001E3437">
        <w:t>ainsi qu’au strict respect des droits de l’homme et des libertés fondamentales</w:t>
      </w:r>
      <w:r>
        <w:t> ;</w:t>
      </w:r>
    </w:p>
    <w:p w14:paraId="33D8FC49" w14:textId="64430444" w:rsidR="001E3437" w:rsidRPr="001E3437" w:rsidRDefault="00E61D74" w:rsidP="00E61D74">
      <w:pPr>
        <w:pStyle w:val="SingleTxtG"/>
        <w:ind w:firstLine="567"/>
        <w:rPr>
          <w:iCs/>
        </w:rPr>
      </w:pPr>
      <w:r>
        <w:rPr>
          <w:iCs/>
        </w:rPr>
        <w:t>4.</w:t>
      </w:r>
      <w:r>
        <w:rPr>
          <w:iCs/>
        </w:rPr>
        <w:tab/>
      </w:r>
      <w:r w:rsidR="001E3437" w:rsidRPr="001E3437">
        <w:rPr>
          <w:i/>
          <w:iCs/>
        </w:rPr>
        <w:t>Demande</w:t>
      </w:r>
      <w:r w:rsidR="001E3437" w:rsidRPr="001E3437">
        <w:rPr>
          <w:iCs/>
        </w:rPr>
        <w:t xml:space="preserve"> à toutes les parties de faciliter le libre passage, en toute sécurité et </w:t>
      </w:r>
      <w:r w:rsidR="00B46C57" w:rsidRPr="001E3437">
        <w:rPr>
          <w:iCs/>
        </w:rPr>
        <w:t>sans restriction</w:t>
      </w:r>
      <w:r w:rsidR="001E3437" w:rsidRPr="001E3437">
        <w:rPr>
          <w:iCs/>
        </w:rPr>
        <w:t>, de l’aide humanitaire, afin qu’elle puisse être rapidement distribuée à tous ceux qui en ont besoin sur tout le territoire malien</w:t>
      </w:r>
      <w:r w:rsidR="00733357">
        <w:rPr>
          <w:iCs/>
        </w:rPr>
        <w:t>,</w:t>
      </w:r>
      <w:r w:rsidR="001E3437" w:rsidRPr="001E3437">
        <w:rPr>
          <w:iCs/>
        </w:rPr>
        <w:t xml:space="preserve"> et d’assurer la sécurité et la protection des civils qui la reçoivent et celle</w:t>
      </w:r>
      <w:r w:rsidR="006F138E">
        <w:rPr>
          <w:iCs/>
        </w:rPr>
        <w:t>s</w:t>
      </w:r>
      <w:r w:rsidR="001E3437" w:rsidRPr="001E3437">
        <w:rPr>
          <w:iCs/>
        </w:rPr>
        <w:t xml:space="preserve"> du personnel humanitaire travaillant au Mali ;</w:t>
      </w:r>
    </w:p>
    <w:p w14:paraId="265350E4" w14:textId="7A078056" w:rsidR="001E3437" w:rsidRPr="001E3437" w:rsidRDefault="00E61D74" w:rsidP="001F5A62">
      <w:pPr>
        <w:pStyle w:val="SingleTxtG"/>
        <w:ind w:firstLine="567"/>
      </w:pPr>
      <w:r>
        <w:rPr>
          <w:iCs/>
        </w:rPr>
        <w:t>5.</w:t>
      </w:r>
      <w:r>
        <w:rPr>
          <w:iCs/>
        </w:rPr>
        <w:tab/>
      </w:r>
      <w:r w:rsidR="001E3437" w:rsidRPr="001E3437">
        <w:rPr>
          <w:i/>
          <w:iCs/>
        </w:rPr>
        <w:t xml:space="preserve">Engage </w:t>
      </w:r>
      <w:r w:rsidR="001E3437" w:rsidRPr="001E3437">
        <w:t xml:space="preserve">le Gouvernement </w:t>
      </w:r>
      <w:r w:rsidR="00A44130">
        <w:t>m</w:t>
      </w:r>
      <w:r w:rsidR="001E3437" w:rsidRPr="001E3437">
        <w:t>ali</w:t>
      </w:r>
      <w:r w:rsidR="00A44130">
        <w:t>en</w:t>
      </w:r>
      <w:r w:rsidR="001E3437" w:rsidRPr="001E3437">
        <w:t xml:space="preserve"> à poursuivre et à intensifier ses efforts visant à assurer la protection, le respect et la mise en œuvre des droits de l’homme et à favoriser la réconciliation nationale, en particulier par le renforcement de l’appareil judiciaire, la mise en place de mécanismes de justice de transition et le redéploiement effectif des services de l’État sur l’ensemble du territoire</w:t>
      </w:r>
      <w:r>
        <w:t> ;</w:t>
      </w:r>
    </w:p>
    <w:p w14:paraId="65530288" w14:textId="5C26E789" w:rsidR="001E3437" w:rsidRPr="001E3437" w:rsidRDefault="00E61D74" w:rsidP="00AC28DE">
      <w:pPr>
        <w:pStyle w:val="SingleTxtG"/>
        <w:ind w:firstLine="567"/>
      </w:pPr>
      <w:r>
        <w:rPr>
          <w:iCs/>
        </w:rPr>
        <w:t>6.</w:t>
      </w:r>
      <w:r>
        <w:rPr>
          <w:iCs/>
        </w:rPr>
        <w:tab/>
      </w:r>
      <w:r w:rsidR="001E3437" w:rsidRPr="001E3437">
        <w:rPr>
          <w:i/>
          <w:iCs/>
        </w:rPr>
        <w:t xml:space="preserve">Engage </w:t>
      </w:r>
      <w:r w:rsidR="001E3437" w:rsidRPr="001E3437">
        <w:t>tous les signataires de l’Accord pour la paix et la réconciliation au Mali à mettre en œuvre l</w:t>
      </w:r>
      <w:r w:rsidR="00996762">
        <w:t>’</w:t>
      </w:r>
      <w:r w:rsidR="001E3437" w:rsidRPr="001E3437">
        <w:t>intégralité de ses dispositions, comme ils s</w:t>
      </w:r>
      <w:r w:rsidR="00F533B2">
        <w:t>’</w:t>
      </w:r>
      <w:r w:rsidR="001E3437" w:rsidRPr="001E3437">
        <w:t xml:space="preserve">y sont engagés </w:t>
      </w:r>
      <w:r w:rsidR="006F138E">
        <w:t xml:space="preserve">à nouveau </w:t>
      </w:r>
      <w:r w:rsidR="001E3437" w:rsidRPr="001E3437">
        <w:t xml:space="preserve">lors </w:t>
      </w:r>
      <w:r w:rsidR="00136D1F">
        <w:t>de la dernière réunion du</w:t>
      </w:r>
      <w:r w:rsidR="001E3437" w:rsidRPr="001E3437">
        <w:t xml:space="preserve"> Comité de suivi </w:t>
      </w:r>
      <w:r w:rsidR="00136D1F">
        <w:t xml:space="preserve">de </w:t>
      </w:r>
      <w:r w:rsidR="001E3437" w:rsidRPr="001E3437">
        <w:t>l</w:t>
      </w:r>
      <w:r w:rsidR="00B46C57">
        <w:t>’</w:t>
      </w:r>
      <w:r w:rsidR="001E3437" w:rsidRPr="001E3437">
        <w:t>Accord</w:t>
      </w:r>
      <w:r w:rsidR="00D651CF">
        <w:t xml:space="preserve"> tenu</w:t>
      </w:r>
      <w:r w:rsidR="00136D1F">
        <w:t>e</w:t>
      </w:r>
      <w:r w:rsidR="00D651CF">
        <w:t xml:space="preserve"> les 15 et 16</w:t>
      </w:r>
      <w:r w:rsidR="00AC28DE">
        <w:t> </w:t>
      </w:r>
      <w:r w:rsidR="00D651CF">
        <w:t>janvier 2018</w:t>
      </w:r>
      <w:r w:rsidR="006A5B9E">
        <w:t>,</w:t>
      </w:r>
      <w:r w:rsidR="001E3437" w:rsidRPr="001E3437">
        <w:t xml:space="preserve"> y compris celles qui portent sur le désarmement, la démobilisation et la réinsertion des anciens combattants rebelles, sur le redéploiement des forces armées maliennes sur l’ensemble du territoire et sur la décentralisation, sur la lutte contre l</w:t>
      </w:r>
      <w:r w:rsidR="00B46C57">
        <w:t>’</w:t>
      </w:r>
      <w:r w:rsidR="001E3437" w:rsidRPr="001E3437">
        <w:t xml:space="preserve">impunité, sur le fonctionnement des administrations provisoires dans le </w:t>
      </w:r>
      <w:r w:rsidR="00436115">
        <w:t>n</w:t>
      </w:r>
      <w:r w:rsidR="00436115" w:rsidRPr="001E3437">
        <w:t xml:space="preserve">ord </w:t>
      </w:r>
      <w:r w:rsidR="001E3437" w:rsidRPr="001E3437">
        <w:t>et sur la participation des femmes</w:t>
      </w:r>
      <w:r w:rsidR="00542ADF">
        <w:t>,</w:t>
      </w:r>
      <w:r w:rsidR="001E3437" w:rsidRPr="001E3437">
        <w:t xml:space="preserve"> et salue l</w:t>
      </w:r>
      <w:r w:rsidR="00B46C57">
        <w:t>’</w:t>
      </w:r>
      <w:r w:rsidR="001E3437" w:rsidRPr="001E3437">
        <w:t>engagement du Centre Carter en tant qu</w:t>
      </w:r>
      <w:r w:rsidR="00B46C57">
        <w:t>’</w:t>
      </w:r>
      <w:r w:rsidR="001E3437" w:rsidRPr="001E3437">
        <w:t xml:space="preserve">observateur </w:t>
      </w:r>
      <w:r>
        <w:t>indépendant de l</w:t>
      </w:r>
      <w:r w:rsidR="000C5343">
        <w:t>’</w:t>
      </w:r>
      <w:r>
        <w:t>accord de paix ;</w:t>
      </w:r>
    </w:p>
    <w:p w14:paraId="3C951517" w14:textId="44985ABA" w:rsidR="001E3437" w:rsidRPr="001E3437" w:rsidRDefault="00E61D74" w:rsidP="001F5A62">
      <w:pPr>
        <w:pStyle w:val="SingleTxtG"/>
        <w:ind w:firstLine="567"/>
      </w:pPr>
      <w:r>
        <w:rPr>
          <w:iCs/>
        </w:rPr>
        <w:t>7.</w:t>
      </w:r>
      <w:r>
        <w:rPr>
          <w:iCs/>
        </w:rPr>
        <w:tab/>
      </w:r>
      <w:r w:rsidR="001E3437" w:rsidRPr="001E3437">
        <w:rPr>
          <w:i/>
          <w:iCs/>
        </w:rPr>
        <w:t>Encourage</w:t>
      </w:r>
      <w:r w:rsidR="001E3437" w:rsidRPr="001E3437">
        <w:rPr>
          <w:iCs/>
        </w:rPr>
        <w:t xml:space="preserve"> les autorités maliennes à mettre en place toutes les mesures nécessaires visant à prévenir </w:t>
      </w:r>
      <w:r w:rsidR="00961FE5">
        <w:rPr>
          <w:iCs/>
        </w:rPr>
        <w:t xml:space="preserve">le </w:t>
      </w:r>
      <w:r w:rsidR="001E3437" w:rsidRPr="001E3437">
        <w:rPr>
          <w:iCs/>
        </w:rPr>
        <w:t xml:space="preserve">recrutement illégal des enfants et leur utilisation comme soldats </w:t>
      </w:r>
      <w:r w:rsidR="00961FE5" w:rsidRPr="001E3437">
        <w:rPr>
          <w:iCs/>
        </w:rPr>
        <w:t>et à mettre fin</w:t>
      </w:r>
      <w:r w:rsidR="003A59B5">
        <w:rPr>
          <w:iCs/>
        </w:rPr>
        <w:t xml:space="preserve"> à ces pratiques</w:t>
      </w:r>
      <w:r w:rsidR="00961FE5">
        <w:rPr>
          <w:iCs/>
        </w:rPr>
        <w:t>,</w:t>
      </w:r>
      <w:r w:rsidR="00961FE5" w:rsidRPr="001E3437">
        <w:rPr>
          <w:iCs/>
        </w:rPr>
        <w:t xml:space="preserve"> </w:t>
      </w:r>
      <w:r w:rsidR="001E3437" w:rsidRPr="001E3437">
        <w:rPr>
          <w:iCs/>
        </w:rPr>
        <w:t xml:space="preserve">et à mettre en œuvre des programmes durables de réintégration et de réhabilitation, y compris en prenant en compte la dimension </w:t>
      </w:r>
      <w:r>
        <w:rPr>
          <w:iCs/>
        </w:rPr>
        <w:t>genre ;</w:t>
      </w:r>
    </w:p>
    <w:p w14:paraId="3E56EC98" w14:textId="4EBC418B" w:rsidR="00CF30A8" w:rsidRDefault="00E61D74" w:rsidP="001F5A62">
      <w:pPr>
        <w:pStyle w:val="SingleTxtG"/>
        <w:ind w:firstLine="567"/>
      </w:pPr>
      <w:r>
        <w:rPr>
          <w:iCs/>
        </w:rPr>
        <w:t>8.</w:t>
      </w:r>
      <w:r>
        <w:rPr>
          <w:iCs/>
        </w:rPr>
        <w:tab/>
      </w:r>
      <w:r w:rsidR="001E3437" w:rsidRPr="001E3437">
        <w:rPr>
          <w:i/>
          <w:iCs/>
        </w:rPr>
        <w:t xml:space="preserve">Note avec satisfaction </w:t>
      </w:r>
      <w:r w:rsidR="001E3437" w:rsidRPr="001E3437">
        <w:t xml:space="preserve">l’ouverture par le Procureur de la Cour pénale internationale, en janvier 2013, d’une enquête sur les crimes commis depuis janvier 2012 sur le territoire </w:t>
      </w:r>
      <w:r w:rsidR="00C82730">
        <w:t>m</w:t>
      </w:r>
      <w:r w:rsidR="001E3437" w:rsidRPr="001E3437">
        <w:t>ali</w:t>
      </w:r>
      <w:r w:rsidR="00C82730">
        <w:t>en</w:t>
      </w:r>
      <w:r w:rsidR="001E3437" w:rsidRPr="001E3437">
        <w:t xml:space="preserve">, </w:t>
      </w:r>
      <w:r w:rsidR="001E3437" w:rsidRPr="00A21075">
        <w:rPr>
          <w:iCs/>
        </w:rPr>
        <w:t>note</w:t>
      </w:r>
      <w:r w:rsidR="001E3437" w:rsidRPr="00BD34E0">
        <w:rPr>
          <w:iCs/>
        </w:rPr>
        <w:t xml:space="preserve"> </w:t>
      </w:r>
      <w:r w:rsidR="001E3437" w:rsidRPr="001E3437">
        <w:t xml:space="preserve">que la Cour a jugé le 27 septembre </w:t>
      </w:r>
      <w:r w:rsidR="004666B7" w:rsidRPr="001E3437">
        <w:t>201</w:t>
      </w:r>
      <w:r w:rsidR="004666B7">
        <w:t>6</w:t>
      </w:r>
      <w:r w:rsidR="004666B7" w:rsidRPr="001E3437">
        <w:t xml:space="preserve"> </w:t>
      </w:r>
      <w:r w:rsidR="001E3437" w:rsidRPr="001E3437">
        <w:t>un individu coupable de crime de guerre pour avoir dirigé intentionnellement des attaques contre des bâtiments à caractère religieux et historique à Tombouctou, et rappel</w:t>
      </w:r>
      <w:r w:rsidR="00334662">
        <w:t>le</w:t>
      </w:r>
      <w:r w:rsidR="001E3437" w:rsidRPr="001E3437">
        <w:t xml:space="preserve"> qu’il importe que toutes les parties maliennes concernées prêtent leur concours à la Cour et lui apportent leur coopération</w:t>
      </w:r>
      <w:r w:rsidR="000C4D4F">
        <w:t> ;</w:t>
      </w:r>
      <w:r w:rsidR="001E3437" w:rsidRPr="001E3437">
        <w:t xml:space="preserve"> </w:t>
      </w:r>
    </w:p>
    <w:p w14:paraId="27BF69DF" w14:textId="12E47DEB" w:rsidR="001E3437" w:rsidRPr="001E3437" w:rsidRDefault="00063C95" w:rsidP="001F5A62">
      <w:pPr>
        <w:pStyle w:val="SingleTxtG"/>
        <w:ind w:firstLine="567"/>
      </w:pPr>
      <w:r w:rsidRPr="00A21075">
        <w:t>9.</w:t>
      </w:r>
      <w:r>
        <w:rPr>
          <w:i/>
          <w:iCs/>
        </w:rPr>
        <w:tab/>
      </w:r>
      <w:r w:rsidR="001E3437" w:rsidRPr="001F5A62">
        <w:rPr>
          <w:i/>
          <w:iCs/>
        </w:rPr>
        <w:t xml:space="preserve">Appuie </w:t>
      </w:r>
      <w:r w:rsidR="001E3437" w:rsidRPr="00A21075">
        <w:t xml:space="preserve">à cet égard </w:t>
      </w:r>
      <w:r w:rsidR="001E3437" w:rsidRPr="001E3437">
        <w:t xml:space="preserve">les efforts fournis par le Gouvernement </w:t>
      </w:r>
      <w:r w:rsidR="00A44130">
        <w:t>m</w:t>
      </w:r>
      <w:r w:rsidR="001E3437" w:rsidRPr="001E3437">
        <w:t>ali</w:t>
      </w:r>
      <w:r w:rsidR="00A44130">
        <w:t>en</w:t>
      </w:r>
      <w:r w:rsidR="001E3437" w:rsidRPr="001E3437">
        <w:t xml:space="preserve"> afin de traduire devant des tribunaux impartiaux et indépendants tous les auteurs de violations </w:t>
      </w:r>
      <w:r w:rsidR="00334662">
        <w:t xml:space="preserve">des </w:t>
      </w:r>
      <w:r w:rsidR="001E3437" w:rsidRPr="001E3437">
        <w:t>droits de l’</w:t>
      </w:r>
      <w:r w:rsidR="00A44130">
        <w:t>h</w:t>
      </w:r>
      <w:r w:rsidR="001E3437" w:rsidRPr="001E3437">
        <w:t xml:space="preserve">omme </w:t>
      </w:r>
      <w:r w:rsidR="00334662" w:rsidRPr="001E3437">
        <w:t xml:space="preserve">et </w:t>
      </w:r>
      <w:r w:rsidR="00334662">
        <w:t>d</w:t>
      </w:r>
      <w:r w:rsidR="001E3437" w:rsidRPr="001E3437">
        <w:t>u droit international humanitaire</w:t>
      </w:r>
      <w:r w:rsidR="00334662">
        <w:t xml:space="preserve"> </w:t>
      </w:r>
      <w:r w:rsidR="00334662" w:rsidRPr="001E3437">
        <w:t xml:space="preserve">et </w:t>
      </w:r>
      <w:r w:rsidR="007015EB">
        <w:t>d’</w:t>
      </w:r>
      <w:r w:rsidR="00334662" w:rsidRPr="001E3437">
        <w:t xml:space="preserve">atteintes </w:t>
      </w:r>
      <w:r w:rsidR="00334662">
        <w:t>à ces droits</w:t>
      </w:r>
      <w:r w:rsidR="001E3437" w:rsidRPr="001E3437">
        <w:t>, l’exhorte à renforcer les actions en ce sens et l</w:t>
      </w:r>
      <w:r w:rsidR="00B46C57">
        <w:t>’</w:t>
      </w:r>
      <w:r w:rsidR="001E3437" w:rsidRPr="00A21075">
        <w:rPr>
          <w:iCs/>
        </w:rPr>
        <w:t>encourage</w:t>
      </w:r>
      <w:r w:rsidR="001E3437" w:rsidRPr="001E3437">
        <w:t xml:space="preserve"> à poursuivre sa coopération avec la Cour pénale </w:t>
      </w:r>
      <w:r w:rsidR="00E61D74">
        <w:t>internationale ;</w:t>
      </w:r>
    </w:p>
    <w:p w14:paraId="754D6401" w14:textId="379C30E8" w:rsidR="001E3437" w:rsidRPr="001E3437" w:rsidRDefault="00063C95" w:rsidP="001F5A62">
      <w:pPr>
        <w:pStyle w:val="SingleTxtG"/>
        <w:ind w:firstLine="567"/>
      </w:pPr>
      <w:r>
        <w:lastRenderedPageBreak/>
        <w:t>10</w:t>
      </w:r>
      <w:r w:rsidR="00E61D74">
        <w:t>.</w:t>
      </w:r>
      <w:r w:rsidR="00E61D74">
        <w:tab/>
      </w:r>
      <w:r w:rsidR="001E3437" w:rsidRPr="001E3437">
        <w:rPr>
          <w:i/>
        </w:rPr>
        <w:t>Salue</w:t>
      </w:r>
      <w:r w:rsidR="001E3437" w:rsidRPr="001E3437">
        <w:t xml:space="preserve"> l’établissement par le Secrétaire général de la Commission d</w:t>
      </w:r>
      <w:r w:rsidR="00B46C57">
        <w:t>’</w:t>
      </w:r>
      <w:r w:rsidR="001E3437" w:rsidRPr="001E3437">
        <w:t>enquête internationale prévue par l</w:t>
      </w:r>
      <w:r w:rsidR="00B46C57">
        <w:t>’</w:t>
      </w:r>
      <w:r w:rsidR="001E3437" w:rsidRPr="001E3437">
        <w:t>Accord pour la paix et la réconciliation au Mali pour enquêter sur les graves violations des droits de l</w:t>
      </w:r>
      <w:r w:rsidR="00B46C57">
        <w:t>’</w:t>
      </w:r>
      <w:r w:rsidR="001E3437" w:rsidRPr="001E3437">
        <w:t xml:space="preserve">homme et du droit international humanitaire commises au Mali depuis janvier </w:t>
      </w:r>
      <w:r w:rsidR="00D651CF">
        <w:t>2012</w:t>
      </w:r>
      <w:r w:rsidR="00761C53">
        <w:t>,</w:t>
      </w:r>
      <w:r w:rsidR="001E3437" w:rsidRPr="001E3437">
        <w:t xml:space="preserve"> </w:t>
      </w:r>
      <w:r w:rsidR="00E344DF">
        <w:t xml:space="preserve">et </w:t>
      </w:r>
      <w:r w:rsidR="001E3437" w:rsidRPr="00A21075">
        <w:rPr>
          <w:iCs/>
        </w:rPr>
        <w:t>encourage</w:t>
      </w:r>
      <w:r w:rsidR="001E3437" w:rsidRPr="001E3437">
        <w:t xml:space="preserve"> le Secrétariat des Nations </w:t>
      </w:r>
      <w:r w:rsidR="00C00435">
        <w:t>U</w:t>
      </w:r>
      <w:r w:rsidR="00C00435" w:rsidRPr="001E3437">
        <w:t xml:space="preserve">nies </w:t>
      </w:r>
      <w:r w:rsidR="001E3437" w:rsidRPr="001E3437">
        <w:t>à doter la Commission des moyens nécessaires afin qu’elle puisse accomplir son mandat ;</w:t>
      </w:r>
    </w:p>
    <w:p w14:paraId="35026BF5" w14:textId="33EFE124" w:rsidR="001E3437" w:rsidRPr="001E3437" w:rsidRDefault="00E61D74" w:rsidP="001F5A62">
      <w:pPr>
        <w:pStyle w:val="SingleTxtG"/>
        <w:ind w:firstLine="567"/>
      </w:pPr>
      <w:r>
        <w:rPr>
          <w:iCs/>
        </w:rPr>
        <w:t>1</w:t>
      </w:r>
      <w:r w:rsidR="00063C95">
        <w:rPr>
          <w:iCs/>
        </w:rPr>
        <w:t>1</w:t>
      </w:r>
      <w:r>
        <w:rPr>
          <w:iCs/>
        </w:rPr>
        <w:t>.</w:t>
      </w:r>
      <w:r>
        <w:rPr>
          <w:iCs/>
        </w:rPr>
        <w:tab/>
      </w:r>
      <w:r w:rsidR="001E3437" w:rsidRPr="001E3437">
        <w:rPr>
          <w:i/>
          <w:iCs/>
        </w:rPr>
        <w:t xml:space="preserve">Engage </w:t>
      </w:r>
      <w:r w:rsidR="001E3437" w:rsidRPr="001E3437">
        <w:rPr>
          <w:iCs/>
        </w:rPr>
        <w:t xml:space="preserve">le Gouvernement </w:t>
      </w:r>
      <w:r w:rsidR="00A44130">
        <w:rPr>
          <w:iCs/>
        </w:rPr>
        <w:t>m</w:t>
      </w:r>
      <w:r w:rsidR="001E3437" w:rsidRPr="001E3437">
        <w:rPr>
          <w:iCs/>
        </w:rPr>
        <w:t>ali</w:t>
      </w:r>
      <w:r w:rsidR="00A44130">
        <w:rPr>
          <w:iCs/>
        </w:rPr>
        <w:t>en</w:t>
      </w:r>
      <w:r w:rsidR="001E3437" w:rsidRPr="001E3437">
        <w:rPr>
          <w:iCs/>
        </w:rPr>
        <w:t xml:space="preserve"> </w:t>
      </w:r>
      <w:r w:rsidR="001E3437" w:rsidRPr="001E3437">
        <w:t xml:space="preserve">à assurer une meilleure implication des femmes dans le processus de réconciliation nationale et dans toutes les structures de décision du processus de paix, conformément aux résolutions pertinentes du Conseil de </w:t>
      </w:r>
      <w:r w:rsidR="00B46C57">
        <w:t>s</w:t>
      </w:r>
      <w:r w:rsidR="00B46C57" w:rsidRPr="001E3437">
        <w:t xml:space="preserve">écurité </w:t>
      </w:r>
      <w:r w:rsidR="001E3437" w:rsidRPr="001E3437">
        <w:t>et à la loi imposant un quota de 30</w:t>
      </w:r>
      <w:r w:rsidR="00B46C57">
        <w:t> </w:t>
      </w:r>
      <w:r w:rsidR="001E3437" w:rsidRPr="001E3437">
        <w:t xml:space="preserve">% de femmes dans les institutions nationales adoptée par le Gouvernement en décembre 2015, et </w:t>
      </w:r>
      <w:r w:rsidR="000A53DB">
        <w:t xml:space="preserve">à </w:t>
      </w:r>
      <w:r w:rsidR="000A53DB" w:rsidRPr="001E3437">
        <w:t xml:space="preserve">améliorer </w:t>
      </w:r>
      <w:r w:rsidR="001E3437" w:rsidRPr="001E3437">
        <w:t>l’autonomisation politique</w:t>
      </w:r>
      <w:r>
        <w:t xml:space="preserve"> des femmes à tous les niveaux ;</w:t>
      </w:r>
    </w:p>
    <w:p w14:paraId="38F45791" w14:textId="5B8D5B98" w:rsidR="001E3437" w:rsidRPr="001E3437" w:rsidRDefault="00E61D74" w:rsidP="00313C86">
      <w:pPr>
        <w:pStyle w:val="SingleTxtG"/>
        <w:ind w:firstLine="567"/>
      </w:pPr>
      <w:r>
        <w:t>1</w:t>
      </w:r>
      <w:r w:rsidR="00063C95">
        <w:t>2</w:t>
      </w:r>
      <w:r>
        <w:t>.</w:t>
      </w:r>
      <w:r>
        <w:tab/>
      </w:r>
      <w:r w:rsidR="001E3437" w:rsidRPr="001E3437">
        <w:rPr>
          <w:i/>
        </w:rPr>
        <w:t>Appuie</w:t>
      </w:r>
      <w:r w:rsidR="001E3437" w:rsidRPr="001E3437">
        <w:t xml:space="preserve"> les mesures prises par le Gouvernement en vue de transférer des élèves de certaines localités du </w:t>
      </w:r>
      <w:r w:rsidR="00436115">
        <w:t>n</w:t>
      </w:r>
      <w:r w:rsidR="00436115" w:rsidRPr="001E3437">
        <w:t xml:space="preserve">ord </w:t>
      </w:r>
      <w:r w:rsidR="001E3437" w:rsidRPr="001E3437">
        <w:t xml:space="preserve">et du </w:t>
      </w:r>
      <w:r w:rsidR="00436115">
        <w:t>c</w:t>
      </w:r>
      <w:r w:rsidR="00436115" w:rsidRPr="001E3437">
        <w:t xml:space="preserve">entre </w:t>
      </w:r>
      <w:r w:rsidR="001E3437" w:rsidRPr="001E3437">
        <w:t>en proie à l</w:t>
      </w:r>
      <w:r w:rsidR="00436115">
        <w:t>’</w:t>
      </w:r>
      <w:r w:rsidR="001E3437" w:rsidRPr="001E3437">
        <w:t>insécurité vers d</w:t>
      </w:r>
      <w:r w:rsidR="00436115">
        <w:t>’</w:t>
      </w:r>
      <w:r w:rsidR="001E3437" w:rsidRPr="001E3437">
        <w:t>autres écoles, et d</w:t>
      </w:r>
      <w:r w:rsidR="00436115">
        <w:t>’</w:t>
      </w:r>
      <w:r w:rsidR="001E3437" w:rsidRPr="001E3437">
        <w:t xml:space="preserve">organiser à leur </w:t>
      </w:r>
      <w:r w:rsidR="00313C86">
        <w:t>in</w:t>
      </w:r>
      <w:r w:rsidR="001E3437" w:rsidRPr="001E3437">
        <w:t>tention des évaluations spéciales</w:t>
      </w:r>
      <w:r>
        <w:t> ;</w:t>
      </w:r>
    </w:p>
    <w:p w14:paraId="10D02D0C" w14:textId="1FBE7536" w:rsidR="001E3437" w:rsidRPr="001E3437" w:rsidRDefault="00E61D74" w:rsidP="009531A9">
      <w:pPr>
        <w:pStyle w:val="SingleTxtG"/>
        <w:ind w:firstLine="567"/>
      </w:pPr>
      <w:r>
        <w:rPr>
          <w:iCs/>
        </w:rPr>
        <w:t>1</w:t>
      </w:r>
      <w:r w:rsidR="00063C95">
        <w:rPr>
          <w:iCs/>
        </w:rPr>
        <w:t>3</w:t>
      </w:r>
      <w:r>
        <w:rPr>
          <w:iCs/>
        </w:rPr>
        <w:t>.</w:t>
      </w:r>
      <w:r>
        <w:rPr>
          <w:iCs/>
        </w:rPr>
        <w:tab/>
      </w:r>
      <w:r w:rsidR="001E3437" w:rsidRPr="001E3437">
        <w:rPr>
          <w:i/>
          <w:iCs/>
        </w:rPr>
        <w:t>Accueille avec satisfaction</w:t>
      </w:r>
      <w:r w:rsidR="001E3437" w:rsidRPr="001E3437">
        <w:t xml:space="preserve"> la création par les autorités maliennes d</w:t>
      </w:r>
      <w:r w:rsidR="001C3B22">
        <w:t>’</w:t>
      </w:r>
      <w:r w:rsidR="001E3437" w:rsidRPr="001E3437">
        <w:t xml:space="preserve">un département ministériel dédié exclusivement à la promotion et à la protection des droits de </w:t>
      </w:r>
      <w:r w:rsidR="00B46C57" w:rsidRPr="001E3437">
        <w:t>l</w:t>
      </w:r>
      <w:r w:rsidR="00B46C57">
        <w:t>’h</w:t>
      </w:r>
      <w:r w:rsidR="00B46C57" w:rsidRPr="001E3437">
        <w:t>omme</w:t>
      </w:r>
      <w:r w:rsidR="001E3437" w:rsidRPr="001E3437">
        <w:t xml:space="preserve">, </w:t>
      </w:r>
      <w:r w:rsidR="001E3437" w:rsidRPr="00A21075">
        <w:rPr>
          <w:iCs/>
        </w:rPr>
        <w:t>se félicite</w:t>
      </w:r>
      <w:r w:rsidR="001E3437" w:rsidRPr="001E3437">
        <w:rPr>
          <w:i/>
        </w:rPr>
        <w:t xml:space="preserve"> </w:t>
      </w:r>
      <w:r w:rsidR="001E3437" w:rsidRPr="001E3437">
        <w:t>de l</w:t>
      </w:r>
      <w:r w:rsidR="00316E2E">
        <w:t>’</w:t>
      </w:r>
      <w:r w:rsidR="001E3437" w:rsidRPr="001E3437">
        <w:t xml:space="preserve">avancée des travaux </w:t>
      </w:r>
      <w:r w:rsidR="009531A9" w:rsidRPr="001E3437">
        <w:t xml:space="preserve">de la Commission </w:t>
      </w:r>
      <w:r w:rsidR="009531A9">
        <w:t>v</w:t>
      </w:r>
      <w:r w:rsidR="009531A9" w:rsidRPr="001E3437">
        <w:t xml:space="preserve">érité, </w:t>
      </w:r>
      <w:r w:rsidR="009531A9">
        <w:t>j</w:t>
      </w:r>
      <w:r w:rsidR="009531A9" w:rsidRPr="001E3437">
        <w:t xml:space="preserve">ustice et </w:t>
      </w:r>
      <w:r w:rsidR="009531A9">
        <w:t>r</w:t>
      </w:r>
      <w:r w:rsidR="009531A9" w:rsidRPr="001E3437">
        <w:t xml:space="preserve">éconciliation </w:t>
      </w:r>
      <w:r w:rsidR="001E3437" w:rsidRPr="001E3437">
        <w:t>qui ont permis de recueillir plus de 7</w:t>
      </w:r>
      <w:r w:rsidR="00B46C57">
        <w:t> </w:t>
      </w:r>
      <w:r w:rsidR="001E3437" w:rsidRPr="001E3437">
        <w:t>000 dépositions de victimes dans plusieurs régions du Mali</w:t>
      </w:r>
      <w:r w:rsidR="00A955D7">
        <w:t>,</w:t>
      </w:r>
      <w:r w:rsidR="001E3437" w:rsidRPr="001E3437">
        <w:t xml:space="preserve"> et </w:t>
      </w:r>
      <w:r w:rsidR="001E3437" w:rsidRPr="00A21075">
        <w:rPr>
          <w:iCs/>
        </w:rPr>
        <w:t>encourage</w:t>
      </w:r>
      <w:r w:rsidR="001E3437" w:rsidRPr="001E3437">
        <w:t xml:space="preserve"> les autorités maliennes à garantir l</w:t>
      </w:r>
      <w:r w:rsidR="00B46C57">
        <w:t>’</w:t>
      </w:r>
      <w:r w:rsidR="001E3437" w:rsidRPr="001E3437">
        <w:t>indépendance et les moyens de la Commission afin qu</w:t>
      </w:r>
      <w:r w:rsidR="001C3B22">
        <w:t>’</w:t>
      </w:r>
      <w:r w:rsidR="001E3437" w:rsidRPr="001E3437">
        <w:t>elle puisse remplir son mandat de soutien aux victime</w:t>
      </w:r>
      <w:r>
        <w:t>s des crises survenues au Mali ;</w:t>
      </w:r>
    </w:p>
    <w:p w14:paraId="1D5CD0E5" w14:textId="68A34FB0" w:rsidR="001E3437" w:rsidRPr="001E3437" w:rsidRDefault="00E61D74" w:rsidP="00E61D74">
      <w:pPr>
        <w:pStyle w:val="SingleTxtG"/>
        <w:ind w:firstLine="567"/>
      </w:pPr>
      <w:r>
        <w:rPr>
          <w:iCs/>
        </w:rPr>
        <w:t>1</w:t>
      </w:r>
      <w:r w:rsidR="00063C95">
        <w:rPr>
          <w:iCs/>
        </w:rPr>
        <w:t>4</w:t>
      </w:r>
      <w:r>
        <w:rPr>
          <w:iCs/>
        </w:rPr>
        <w:t>.</w:t>
      </w:r>
      <w:r>
        <w:rPr>
          <w:iCs/>
        </w:rPr>
        <w:tab/>
      </w:r>
      <w:r w:rsidR="001E3437" w:rsidRPr="001E3437">
        <w:rPr>
          <w:i/>
          <w:iCs/>
        </w:rPr>
        <w:t xml:space="preserve">Encourage </w:t>
      </w:r>
      <w:r w:rsidR="001E3437" w:rsidRPr="001E3437">
        <w:t xml:space="preserve">les autorités maliennes et tous les acteurs régionaux et internationaux à poursuivre leurs efforts pour consolider les progrès accomplis sur la voie de l’instauration de la </w:t>
      </w:r>
      <w:r>
        <w:t>paix et de la sécurité au Mali ;</w:t>
      </w:r>
    </w:p>
    <w:p w14:paraId="0CC6A920" w14:textId="411F3BF5" w:rsidR="001E3437" w:rsidRPr="001E3437" w:rsidRDefault="00E61D74" w:rsidP="001F5A62">
      <w:pPr>
        <w:pStyle w:val="SingleTxtG"/>
        <w:ind w:firstLine="567"/>
      </w:pPr>
      <w:r>
        <w:t>1</w:t>
      </w:r>
      <w:r w:rsidR="00063C95">
        <w:t>5</w:t>
      </w:r>
      <w:r>
        <w:t>.</w:t>
      </w:r>
      <w:r>
        <w:tab/>
      </w:r>
      <w:r w:rsidR="001E3437" w:rsidRPr="001E3437">
        <w:rPr>
          <w:i/>
        </w:rPr>
        <w:t>Salue</w:t>
      </w:r>
      <w:r w:rsidR="001E3437" w:rsidRPr="001E3437">
        <w:t xml:space="preserve"> le travail réalisé par la </w:t>
      </w:r>
      <w:r w:rsidR="00F533B2" w:rsidRPr="001E3437">
        <w:rPr>
          <w:iCs/>
        </w:rPr>
        <w:t xml:space="preserve">Mission multidimensionnelle intégrée des Nations </w:t>
      </w:r>
      <w:r w:rsidR="00F533B2">
        <w:rPr>
          <w:iCs/>
        </w:rPr>
        <w:t>U</w:t>
      </w:r>
      <w:r w:rsidR="00F533B2" w:rsidRPr="001E3437">
        <w:rPr>
          <w:iCs/>
        </w:rPr>
        <w:t>nies pour la stabilisation au Mali</w:t>
      </w:r>
      <w:r w:rsidR="00F533B2" w:rsidRPr="001E3437">
        <w:t xml:space="preserve"> </w:t>
      </w:r>
      <w:r w:rsidR="001E3437" w:rsidRPr="001E3437">
        <w:t xml:space="preserve">pour soutenir les efforts du Gouvernement </w:t>
      </w:r>
      <w:r w:rsidR="00A44130">
        <w:t>m</w:t>
      </w:r>
      <w:r w:rsidR="001E3437" w:rsidRPr="001E3437">
        <w:t>ali</w:t>
      </w:r>
      <w:r w:rsidR="00A44130">
        <w:t>en</w:t>
      </w:r>
      <w:r w:rsidR="001E3437" w:rsidRPr="001E3437">
        <w:t xml:space="preserve"> </w:t>
      </w:r>
      <w:r w:rsidR="00C20DF8">
        <w:t>visant à</w:t>
      </w:r>
      <w:r w:rsidR="001E3437" w:rsidRPr="001E3437">
        <w:t xml:space="preserve"> rétabli</w:t>
      </w:r>
      <w:r w:rsidR="00C20DF8">
        <w:t>r</w:t>
      </w:r>
      <w:r w:rsidR="001E3437" w:rsidRPr="001E3437">
        <w:t xml:space="preserve"> </w:t>
      </w:r>
      <w:r w:rsidR="00316E2E" w:rsidRPr="001E3437">
        <w:t>l</w:t>
      </w:r>
      <w:r w:rsidR="00316E2E">
        <w:t>’</w:t>
      </w:r>
      <w:r w:rsidR="00316E2E" w:rsidRPr="001E3437">
        <w:t xml:space="preserve">autorité </w:t>
      </w:r>
      <w:r w:rsidR="001E3437" w:rsidRPr="001E3437">
        <w:t>de l</w:t>
      </w:r>
      <w:r w:rsidR="00316E2E">
        <w:t>’É</w:t>
      </w:r>
      <w:r w:rsidR="001E3437" w:rsidRPr="001E3437">
        <w:t>tat et l</w:t>
      </w:r>
      <w:r w:rsidR="00316E2E">
        <w:t>’</w:t>
      </w:r>
      <w:r w:rsidR="001E3437" w:rsidRPr="001E3437">
        <w:t>état de droit dans le pays, et déplore les pertes en vies humaines qu</w:t>
      </w:r>
      <w:r w:rsidR="00316E2E">
        <w:t>’</w:t>
      </w:r>
      <w:r w:rsidR="001E3437" w:rsidRPr="001E3437">
        <w:t>elle subit</w:t>
      </w:r>
      <w:r>
        <w:t> ;</w:t>
      </w:r>
    </w:p>
    <w:p w14:paraId="3C52F27D" w14:textId="13C8ECD9" w:rsidR="001E3437" w:rsidRPr="001E3437" w:rsidRDefault="00E61D74" w:rsidP="00313C86">
      <w:pPr>
        <w:pStyle w:val="SingleTxtG"/>
        <w:ind w:firstLine="567"/>
      </w:pPr>
      <w:r>
        <w:t>1</w:t>
      </w:r>
      <w:r w:rsidR="00063C95">
        <w:t>6</w:t>
      </w:r>
      <w:r>
        <w:t>.</w:t>
      </w:r>
      <w:r>
        <w:tab/>
      </w:r>
      <w:r w:rsidR="001E3437" w:rsidRPr="001E3437">
        <w:rPr>
          <w:i/>
        </w:rPr>
        <w:t>Souligne</w:t>
      </w:r>
      <w:r w:rsidR="00D03E8C">
        <w:t xml:space="preserve"> </w:t>
      </w:r>
      <w:r w:rsidR="001E3437" w:rsidRPr="001E3437">
        <w:t>que les efforts déployés par la Force conjointe du G5 Sahel pour lutter contre les activités des groupes terroristes et d</w:t>
      </w:r>
      <w:r w:rsidR="009969A3">
        <w:t>’</w:t>
      </w:r>
      <w:r w:rsidR="001E3437" w:rsidRPr="001E3437">
        <w:t>autres groupes criminels organisés contribueront à créer un environnement plus sûr et enfin à établir des conditions permettant une amélioration de la situation des droits de l</w:t>
      </w:r>
      <w:r w:rsidR="002739DC">
        <w:t>’</w:t>
      </w:r>
      <w:r w:rsidR="001E3437" w:rsidRPr="001E3437">
        <w:t xml:space="preserve">homme au </w:t>
      </w:r>
      <w:r w:rsidR="00D651CF">
        <w:t>Mali</w:t>
      </w:r>
      <w:r w:rsidR="00542ADF">
        <w:t>,</w:t>
      </w:r>
      <w:r w:rsidR="001E3437" w:rsidRPr="001E3437">
        <w:t xml:space="preserve"> </w:t>
      </w:r>
      <w:r w:rsidR="001E3437" w:rsidRPr="00A21075">
        <w:rPr>
          <w:iCs/>
        </w:rPr>
        <w:t>et souligne</w:t>
      </w:r>
      <w:r w:rsidR="001E3437" w:rsidRPr="001E3437">
        <w:t xml:space="preserve"> la nécessité d</w:t>
      </w:r>
      <w:r w:rsidR="00784460">
        <w:t xml:space="preserve">e rendre </w:t>
      </w:r>
      <w:r w:rsidR="001E3437" w:rsidRPr="001E3437">
        <w:t>opérationn</w:t>
      </w:r>
      <w:r w:rsidR="00784460">
        <w:t>els</w:t>
      </w:r>
      <w:r w:rsidR="001E3437" w:rsidRPr="001E3437">
        <w:t xml:space="preserve"> les mécanismes de protection et de </w:t>
      </w:r>
      <w:r w:rsidR="0093544F">
        <w:t>responsabilité</w:t>
      </w:r>
      <w:r w:rsidR="0093544F" w:rsidRPr="001E3437">
        <w:t xml:space="preserve"> </w:t>
      </w:r>
      <w:r w:rsidR="001E3437" w:rsidRPr="001E3437">
        <w:t>en matièr</w:t>
      </w:r>
      <w:r>
        <w:t>e de droits de l</w:t>
      </w:r>
      <w:r w:rsidR="002739DC">
        <w:t>’h</w:t>
      </w:r>
      <w:r>
        <w:t>omme ;</w:t>
      </w:r>
    </w:p>
    <w:p w14:paraId="552D7249" w14:textId="69BDE6D9" w:rsidR="001E3437" w:rsidRPr="001E3437" w:rsidRDefault="00E61D74" w:rsidP="001F5A62">
      <w:pPr>
        <w:pStyle w:val="SingleTxtG"/>
        <w:ind w:firstLine="567"/>
      </w:pPr>
      <w:r>
        <w:rPr>
          <w:iCs/>
        </w:rPr>
        <w:t>1</w:t>
      </w:r>
      <w:r w:rsidR="00063C95">
        <w:rPr>
          <w:iCs/>
        </w:rPr>
        <w:t>7</w:t>
      </w:r>
      <w:r>
        <w:rPr>
          <w:iCs/>
        </w:rPr>
        <w:t>.</w:t>
      </w:r>
      <w:r>
        <w:rPr>
          <w:iCs/>
        </w:rPr>
        <w:tab/>
      </w:r>
      <w:r w:rsidR="001E3437" w:rsidRPr="001E3437">
        <w:rPr>
          <w:i/>
          <w:iCs/>
        </w:rPr>
        <w:t xml:space="preserve">Demande </w:t>
      </w:r>
      <w:r w:rsidR="001E3437" w:rsidRPr="001E3437">
        <w:t xml:space="preserve">à toutes les parties de respecter les droits de </w:t>
      </w:r>
      <w:r w:rsidR="005D4828" w:rsidRPr="001E3437">
        <w:t>l</w:t>
      </w:r>
      <w:r w:rsidR="005D4828">
        <w:t>’h</w:t>
      </w:r>
      <w:r w:rsidR="005D4828" w:rsidRPr="001E3437">
        <w:t>omme</w:t>
      </w:r>
      <w:r w:rsidR="001E3437" w:rsidRPr="001E3437">
        <w:t xml:space="preserve">, </w:t>
      </w:r>
      <w:r w:rsidR="00814F50">
        <w:t xml:space="preserve">et </w:t>
      </w:r>
      <w:r w:rsidR="001E3437" w:rsidRPr="001E3437">
        <w:t>de veiller au strict respect du droit international des droits de l’homme et du droit international humanitaire, notamment dans la conduite des opérations antiterro</w:t>
      </w:r>
      <w:r>
        <w:t>ristes ;</w:t>
      </w:r>
    </w:p>
    <w:p w14:paraId="4B86424B" w14:textId="0844E51A" w:rsidR="001E3437" w:rsidRPr="001E3437" w:rsidRDefault="00E61D74" w:rsidP="001F5A62">
      <w:pPr>
        <w:pStyle w:val="SingleTxtG"/>
        <w:ind w:firstLine="567"/>
      </w:pPr>
      <w:r>
        <w:rPr>
          <w:iCs/>
        </w:rPr>
        <w:t>1</w:t>
      </w:r>
      <w:r w:rsidR="00063C95">
        <w:rPr>
          <w:iCs/>
        </w:rPr>
        <w:t>8</w:t>
      </w:r>
      <w:r>
        <w:rPr>
          <w:iCs/>
        </w:rPr>
        <w:t>.</w:t>
      </w:r>
      <w:r>
        <w:rPr>
          <w:iCs/>
        </w:rPr>
        <w:tab/>
      </w:r>
      <w:r w:rsidR="001E3437" w:rsidRPr="001E3437">
        <w:rPr>
          <w:i/>
          <w:iCs/>
        </w:rPr>
        <w:t>Exprime de nouveau</w:t>
      </w:r>
      <w:r w:rsidR="001E3437" w:rsidRPr="00E61D74">
        <w:rPr>
          <w:i/>
          <w:iCs/>
        </w:rPr>
        <w:t xml:space="preserve"> </w:t>
      </w:r>
      <w:r w:rsidR="001E3437" w:rsidRPr="00E61D74">
        <w:rPr>
          <w:i/>
        </w:rPr>
        <w:t>s</w:t>
      </w:r>
      <w:r w:rsidR="00002B3E">
        <w:rPr>
          <w:i/>
        </w:rPr>
        <w:t>a satisfaction</w:t>
      </w:r>
      <w:r w:rsidR="001E3437" w:rsidRPr="00E61D74">
        <w:rPr>
          <w:i/>
        </w:rPr>
        <w:t xml:space="preserve"> </w:t>
      </w:r>
      <w:r w:rsidR="001E3437" w:rsidRPr="001E3437">
        <w:t xml:space="preserve">pour l’assistance humanitaire déjà fournie aux populations touchées par la crise et demande instamment à la communauté internationale de continuer à apporter, en concertation avec le Gouvernement malien et les pays voisins concernés, une assistance humanitaire adéquate, dans des conditions de sécurité, aux réfugiés et aux personnes déplacées, en particulier dans le </w:t>
      </w:r>
      <w:r w:rsidR="00AC5C86">
        <w:t>n</w:t>
      </w:r>
      <w:r w:rsidR="00AC5C86" w:rsidRPr="001E3437">
        <w:t xml:space="preserve">ord </w:t>
      </w:r>
      <w:r w:rsidR="001E3437" w:rsidRPr="001E3437">
        <w:t>du Mali, afin de faciliter l’accès des populations aux services sociaux de base et d’instaurer les conditions propices au redressement progressif du pays</w:t>
      </w:r>
      <w:r>
        <w:t> ;</w:t>
      </w:r>
    </w:p>
    <w:p w14:paraId="78AA2709" w14:textId="53F40942" w:rsidR="001E3437" w:rsidRPr="001E3437" w:rsidRDefault="00E61D74" w:rsidP="00FB3C04">
      <w:pPr>
        <w:pStyle w:val="SingleTxtG"/>
        <w:spacing w:line="220" w:lineRule="atLeast"/>
        <w:ind w:firstLine="567"/>
      </w:pPr>
      <w:r>
        <w:t>1</w:t>
      </w:r>
      <w:r w:rsidR="00063C95">
        <w:t>9</w:t>
      </w:r>
      <w:r>
        <w:t>.</w:t>
      </w:r>
      <w:r>
        <w:tab/>
      </w:r>
      <w:r w:rsidR="001E3437" w:rsidRPr="001E3437">
        <w:rPr>
          <w:i/>
        </w:rPr>
        <w:t>Salue</w:t>
      </w:r>
      <w:r w:rsidR="001E3437" w:rsidRPr="001E3437">
        <w:t xml:space="preserve"> l</w:t>
      </w:r>
      <w:r w:rsidR="005D4828">
        <w:t>’</w:t>
      </w:r>
      <w:r w:rsidR="001E3437" w:rsidRPr="001E3437">
        <w:t xml:space="preserve">élaboration de la Stratégie spécifique de développement des régions du </w:t>
      </w:r>
      <w:r w:rsidR="00AC5C86">
        <w:t>n</w:t>
      </w:r>
      <w:r w:rsidR="00AC5C86" w:rsidRPr="001E3437">
        <w:t xml:space="preserve">ord </w:t>
      </w:r>
      <w:r w:rsidR="001E3437" w:rsidRPr="001E3437">
        <w:t>du Mali</w:t>
      </w:r>
      <w:r w:rsidR="007E03F5">
        <w:t>,</w:t>
      </w:r>
      <w:r w:rsidR="001E3437" w:rsidRPr="001E3437">
        <w:t xml:space="preserve"> exhorte le Gouvernement à poursuivre les actions de développement à travers la mise en œuvre du Programme d</w:t>
      </w:r>
      <w:r w:rsidR="005D4828">
        <w:t>’</w:t>
      </w:r>
      <w:r w:rsidR="001E3437" w:rsidRPr="001E3437">
        <w:t xml:space="preserve">urgence pour la relance du développement des régions du </w:t>
      </w:r>
      <w:r w:rsidR="00AC5C86">
        <w:t>n</w:t>
      </w:r>
      <w:r w:rsidR="00AC5C86" w:rsidRPr="001E3437">
        <w:t xml:space="preserve">ord </w:t>
      </w:r>
      <w:r w:rsidR="001E3437" w:rsidRPr="001E3437">
        <w:t>et du Programme de reconstruction et de relance économique</w:t>
      </w:r>
      <w:r w:rsidR="00542ADF">
        <w:t>,</w:t>
      </w:r>
      <w:r w:rsidR="001E3437" w:rsidRPr="001E3437">
        <w:t xml:space="preserve"> </w:t>
      </w:r>
      <w:r w:rsidR="00785D87">
        <w:t xml:space="preserve">et </w:t>
      </w:r>
      <w:r w:rsidR="001E3437" w:rsidRPr="00A21075">
        <w:rPr>
          <w:iCs/>
        </w:rPr>
        <w:t>exhorte également</w:t>
      </w:r>
      <w:r w:rsidR="001E3437" w:rsidRPr="001E3437">
        <w:rPr>
          <w:i/>
        </w:rPr>
        <w:t xml:space="preserve"> </w:t>
      </w:r>
      <w:r w:rsidR="001E3437" w:rsidRPr="001E3437">
        <w:t xml:space="preserve">le Gouvernement à accélérer le retour de l’administration et des services de base dans le </w:t>
      </w:r>
      <w:r w:rsidR="00AC5C86">
        <w:t>c</w:t>
      </w:r>
      <w:r w:rsidR="00AC5C86" w:rsidRPr="001E3437">
        <w:t xml:space="preserve">entre </w:t>
      </w:r>
      <w:r w:rsidR="001E3437" w:rsidRPr="001E3437">
        <w:t xml:space="preserve">et le </w:t>
      </w:r>
      <w:r w:rsidR="00AC5C86">
        <w:t>n</w:t>
      </w:r>
      <w:r w:rsidR="00AC5C86" w:rsidRPr="001E3437">
        <w:t xml:space="preserve">ord </w:t>
      </w:r>
      <w:r w:rsidR="001E3437" w:rsidRPr="001E3437">
        <w:t>du pays et à œuvrer au rétablissement d’u</w:t>
      </w:r>
      <w:r>
        <w:t>n niveau de sécurité acceptable ;</w:t>
      </w:r>
    </w:p>
    <w:p w14:paraId="32A884C6" w14:textId="74765A53" w:rsidR="001E3437" w:rsidRPr="001E3437" w:rsidRDefault="00063C95" w:rsidP="00FB3C04">
      <w:pPr>
        <w:pStyle w:val="SingleTxtG"/>
        <w:spacing w:line="220" w:lineRule="atLeast"/>
        <w:ind w:firstLine="567"/>
      </w:pPr>
      <w:r>
        <w:t>20</w:t>
      </w:r>
      <w:r w:rsidR="00E61D74">
        <w:t>.</w:t>
      </w:r>
      <w:r w:rsidR="00E61D74">
        <w:tab/>
      </w:r>
      <w:r w:rsidR="001E3437" w:rsidRPr="001E3437">
        <w:rPr>
          <w:i/>
        </w:rPr>
        <w:t>Demande</w:t>
      </w:r>
      <w:r w:rsidR="001E3437" w:rsidRPr="001E3437">
        <w:t xml:space="preserve"> aux pays amis et aux organisations partenaires ayant fait des annonces de contributions lors des conférences successives sur le développement du Mali </w:t>
      </w:r>
      <w:r w:rsidR="009820BC">
        <w:t>de</w:t>
      </w:r>
      <w:r w:rsidR="009820BC" w:rsidRPr="001E3437">
        <w:t xml:space="preserve"> </w:t>
      </w:r>
      <w:r w:rsidR="001E3437" w:rsidRPr="001E3437">
        <w:t>les honorer afin d</w:t>
      </w:r>
      <w:r w:rsidR="005D4828">
        <w:t>’</w:t>
      </w:r>
      <w:r w:rsidR="001E3437" w:rsidRPr="001E3437">
        <w:t>aider le Gouvernement à diligenter la mise en œuvre effective et intégrale de l</w:t>
      </w:r>
      <w:r w:rsidR="005D4828">
        <w:t>’</w:t>
      </w:r>
      <w:r w:rsidR="001E3437" w:rsidRPr="001E3437">
        <w:t>Accord pour la paix et la réconciliation au Mali</w:t>
      </w:r>
      <w:r w:rsidR="00E61D74">
        <w:t> ;</w:t>
      </w:r>
    </w:p>
    <w:p w14:paraId="05FA6731" w14:textId="144D194D" w:rsidR="001E3437" w:rsidRPr="001E3437" w:rsidRDefault="00E61D74" w:rsidP="00FB3C04">
      <w:pPr>
        <w:pStyle w:val="SingleTxtG"/>
        <w:spacing w:line="220" w:lineRule="atLeast"/>
        <w:ind w:firstLine="567"/>
        <w:rPr>
          <w:iCs/>
        </w:rPr>
      </w:pPr>
      <w:r>
        <w:lastRenderedPageBreak/>
        <w:t>2</w:t>
      </w:r>
      <w:r w:rsidR="00063C95">
        <w:t>1</w:t>
      </w:r>
      <w:r>
        <w:t>.</w:t>
      </w:r>
      <w:r>
        <w:tab/>
      </w:r>
      <w:r w:rsidR="001E3437" w:rsidRPr="00E61D74">
        <w:rPr>
          <w:i/>
        </w:rPr>
        <w:t>Ré</w:t>
      </w:r>
      <w:r w:rsidR="00F043CA">
        <w:rPr>
          <w:i/>
        </w:rPr>
        <w:t>affirme</w:t>
      </w:r>
      <w:r w:rsidR="001E3437" w:rsidRPr="001E3437">
        <w:t xml:space="preserve"> le besoin de la poursuite rapide du processus électoral et salue l’ensemble des dispositions prises en vue de la tenue, </w:t>
      </w:r>
      <w:r w:rsidR="007833D4">
        <w:t>dans les délais constitutionnels</w:t>
      </w:r>
      <w:r w:rsidR="001E3437" w:rsidRPr="001E3437">
        <w:t>, d’élections générales justes, libres, transparentes et inclusives en 2018, qui garantissent la liberté d’expression et la volonté du peuple</w:t>
      </w:r>
      <w:r>
        <w:t> ;</w:t>
      </w:r>
    </w:p>
    <w:p w14:paraId="72556C4F" w14:textId="5E040C4B" w:rsidR="001E3437" w:rsidRPr="001E3437" w:rsidRDefault="00E61D74" w:rsidP="00FB3C04">
      <w:pPr>
        <w:pStyle w:val="SingleTxtG"/>
        <w:spacing w:line="220" w:lineRule="atLeast"/>
        <w:ind w:firstLine="567"/>
      </w:pPr>
      <w:r>
        <w:rPr>
          <w:iCs/>
        </w:rPr>
        <w:t>2</w:t>
      </w:r>
      <w:r w:rsidR="00063C95">
        <w:rPr>
          <w:iCs/>
        </w:rPr>
        <w:t>2</w:t>
      </w:r>
      <w:r>
        <w:rPr>
          <w:iCs/>
        </w:rPr>
        <w:t>.</w:t>
      </w:r>
      <w:r>
        <w:rPr>
          <w:iCs/>
        </w:rPr>
        <w:tab/>
      </w:r>
      <w:r w:rsidR="001E3437" w:rsidRPr="001E3437">
        <w:rPr>
          <w:i/>
          <w:iCs/>
        </w:rPr>
        <w:t xml:space="preserve">Constate avec satisfaction </w:t>
      </w:r>
      <w:r w:rsidR="001E3437" w:rsidRPr="001E3437">
        <w:t xml:space="preserve">la coopération étroite du Gouvernement malien avec l’Expert indépendant </w:t>
      </w:r>
      <w:r w:rsidR="00AC28DE">
        <w:t xml:space="preserve">sur la situation des droits de l’homme au Mali </w:t>
      </w:r>
      <w:r w:rsidR="001E3437" w:rsidRPr="001E3437">
        <w:t>dans le cadre de l’accomplissement du mandat qui a été confié</w:t>
      </w:r>
      <w:r w:rsidR="00EA056F">
        <w:t xml:space="preserve"> à ce dernier</w:t>
      </w:r>
      <w:r>
        <w:t> ;</w:t>
      </w:r>
    </w:p>
    <w:p w14:paraId="522904AA" w14:textId="43195FEB" w:rsidR="001E3437" w:rsidRPr="001E3437" w:rsidRDefault="00E61D74" w:rsidP="00FB3C04">
      <w:pPr>
        <w:pStyle w:val="SingleTxtG"/>
        <w:spacing w:line="220" w:lineRule="atLeast"/>
        <w:ind w:firstLine="567"/>
      </w:pPr>
      <w:r>
        <w:t>2</w:t>
      </w:r>
      <w:r w:rsidR="00063C95">
        <w:t>3</w:t>
      </w:r>
      <w:r>
        <w:t>.</w:t>
      </w:r>
      <w:r>
        <w:tab/>
      </w:r>
      <w:r w:rsidR="001E3437" w:rsidRPr="001E3437">
        <w:rPr>
          <w:i/>
        </w:rPr>
        <w:t>Note avec satisfaction</w:t>
      </w:r>
      <w:r w:rsidR="001E3437" w:rsidRPr="001E3437">
        <w:t xml:space="preserve"> que le Gouvernement malien s’est engagé à donner suite aux recommandations formulées par l’Expert indépendant à l’issue de ses visites au Mali</w:t>
      </w:r>
      <w:r>
        <w:t> ;</w:t>
      </w:r>
    </w:p>
    <w:p w14:paraId="0AA4D23D" w14:textId="6A0882D0" w:rsidR="001E3437" w:rsidRPr="001E3437" w:rsidRDefault="00E61D74" w:rsidP="00FB3C04">
      <w:pPr>
        <w:pStyle w:val="SingleTxtG"/>
        <w:spacing w:line="220" w:lineRule="atLeast"/>
        <w:ind w:firstLine="567"/>
      </w:pPr>
      <w:r>
        <w:t>2</w:t>
      </w:r>
      <w:r w:rsidR="00063C95">
        <w:t>4</w:t>
      </w:r>
      <w:r>
        <w:t>.</w:t>
      </w:r>
      <w:r>
        <w:tab/>
      </w:r>
      <w:r w:rsidR="001E3437" w:rsidRPr="001E3437">
        <w:rPr>
          <w:i/>
        </w:rPr>
        <w:t>Décide</w:t>
      </w:r>
      <w:r w:rsidR="001E3437" w:rsidRPr="001E3437">
        <w:t xml:space="preserve"> de </w:t>
      </w:r>
      <w:r w:rsidR="006F6300">
        <w:t xml:space="preserve">proroger d’un an </w:t>
      </w:r>
      <w:r w:rsidR="001E3437" w:rsidRPr="001E3437">
        <w:t>le mandat de l’Expert indépendant sur la situation des droits de l’homme au Mali afin de permettre une évaluation de la situation des droits de l’homme dans le pays et d’aider le Gouvernement dans les efforts qu’il déploie pour assurer la promotion, la protection et la mise en œuvre des droits de l’homme et renforcer la primauté du droit</w:t>
      </w:r>
      <w:r>
        <w:t> ;</w:t>
      </w:r>
    </w:p>
    <w:p w14:paraId="702237E3" w14:textId="638F4A6A" w:rsidR="001E3437" w:rsidRPr="001E3437" w:rsidRDefault="00E61D74" w:rsidP="00FB3C04">
      <w:pPr>
        <w:pStyle w:val="SingleTxtG"/>
        <w:spacing w:line="220" w:lineRule="atLeast"/>
        <w:ind w:firstLine="567"/>
      </w:pPr>
      <w:r>
        <w:t>2</w:t>
      </w:r>
      <w:r w:rsidR="00063C95">
        <w:t>5</w:t>
      </w:r>
      <w:r>
        <w:t>.</w:t>
      </w:r>
      <w:r>
        <w:tab/>
      </w:r>
      <w:r w:rsidR="001E3437" w:rsidRPr="001E3437">
        <w:rPr>
          <w:i/>
        </w:rPr>
        <w:t>Engage</w:t>
      </w:r>
      <w:r w:rsidR="001E3437" w:rsidRPr="001E3437">
        <w:t xml:space="preserve"> toutes les parties au Mali à collaborer pleinement avec l’Expert indépendant et à l’assister dans l’exercice de son mandat</w:t>
      </w:r>
      <w:r>
        <w:t> ;</w:t>
      </w:r>
    </w:p>
    <w:p w14:paraId="6BC6F579" w14:textId="0B26B115" w:rsidR="001E3437" w:rsidRPr="001E3437" w:rsidRDefault="00E61D74" w:rsidP="00FB3C04">
      <w:pPr>
        <w:pStyle w:val="SingleTxtG"/>
        <w:spacing w:line="220" w:lineRule="atLeast"/>
        <w:ind w:firstLine="567"/>
      </w:pPr>
      <w:r>
        <w:t>2</w:t>
      </w:r>
      <w:r w:rsidR="00063C95">
        <w:t>6</w:t>
      </w:r>
      <w:r>
        <w:t>.</w:t>
      </w:r>
      <w:r>
        <w:tab/>
      </w:r>
      <w:r w:rsidR="001E3437" w:rsidRPr="001E3437">
        <w:rPr>
          <w:i/>
        </w:rPr>
        <w:t>Demande</w:t>
      </w:r>
      <w:r w:rsidR="001E3437" w:rsidRPr="001E3437">
        <w:t xml:space="preserve"> à l’Expert indépendant, dans le cadre de son mandat, de travailler en étroite collaboration avec tous les organes des Nations Unies, l’Union africaine, la Communauté économique des États de l’Afrique de l’Ouest, les États voisins et toute autre organisation internationale intéressée, ainsi qu’avec la société civile malienne ;</w:t>
      </w:r>
    </w:p>
    <w:p w14:paraId="4AC42675" w14:textId="66642DAC" w:rsidR="001E3437" w:rsidRPr="001E3437" w:rsidRDefault="00E61D74" w:rsidP="00FB3C04">
      <w:pPr>
        <w:pStyle w:val="SingleTxtG"/>
        <w:spacing w:line="220" w:lineRule="atLeast"/>
        <w:ind w:firstLine="567"/>
      </w:pPr>
      <w:r>
        <w:t>2</w:t>
      </w:r>
      <w:r w:rsidR="00063C95">
        <w:t>7</w:t>
      </w:r>
      <w:r>
        <w:t>.</w:t>
      </w:r>
      <w:r>
        <w:tab/>
      </w:r>
      <w:r w:rsidR="001E3437" w:rsidRPr="001E3437">
        <w:rPr>
          <w:i/>
        </w:rPr>
        <w:t>Demande également</w:t>
      </w:r>
      <w:r w:rsidR="001E3437" w:rsidRPr="001E3437">
        <w:t xml:space="preserve"> à l’Expert indépendant de lui faire rapport sur la situation des droits de l’homme à sa quarantième session ;</w:t>
      </w:r>
    </w:p>
    <w:p w14:paraId="620427F3" w14:textId="21852E08" w:rsidR="001E3437" w:rsidRPr="001E3437" w:rsidRDefault="00E61D74" w:rsidP="00FB3C04">
      <w:pPr>
        <w:pStyle w:val="SingleTxtG"/>
        <w:spacing w:line="220" w:lineRule="atLeast"/>
        <w:ind w:firstLine="567"/>
      </w:pPr>
      <w:r>
        <w:t>2</w:t>
      </w:r>
      <w:r w:rsidR="00063C95">
        <w:t>8</w:t>
      </w:r>
      <w:r>
        <w:t>.</w:t>
      </w:r>
      <w:r>
        <w:tab/>
      </w:r>
      <w:r w:rsidR="001E3437" w:rsidRPr="001E3437">
        <w:rPr>
          <w:i/>
        </w:rPr>
        <w:t>Décide</w:t>
      </w:r>
      <w:r w:rsidR="001E3437" w:rsidRPr="001E3437">
        <w:t xml:space="preserve"> de tenir à sa quarantième session un dialogue en présence de l’Expert indépendant et des représentants du Gouvernement malien afin d’évaluer l’évolution de la situation des droits de l’homme dans le pays, en s’attachant particulièrement à la question de la lutte contre </w:t>
      </w:r>
      <w:r>
        <w:t>l’impunité ;</w:t>
      </w:r>
    </w:p>
    <w:p w14:paraId="547D8020" w14:textId="0D43B69C" w:rsidR="001E3437" w:rsidRPr="001E3437" w:rsidRDefault="00E61D74" w:rsidP="00FB3C04">
      <w:pPr>
        <w:pStyle w:val="SingleTxtG"/>
        <w:spacing w:line="220" w:lineRule="atLeast"/>
        <w:ind w:firstLine="567"/>
      </w:pPr>
      <w:r>
        <w:t>2</w:t>
      </w:r>
      <w:r w:rsidR="00063C95">
        <w:t>9</w:t>
      </w:r>
      <w:r>
        <w:t>.</w:t>
      </w:r>
      <w:r>
        <w:tab/>
      </w:r>
      <w:r w:rsidR="001E3437" w:rsidRPr="001E3437">
        <w:rPr>
          <w:i/>
        </w:rPr>
        <w:t>Invite</w:t>
      </w:r>
      <w:r w:rsidR="001E3437" w:rsidRPr="001E3437">
        <w:t xml:space="preserve"> le Secrétaire général et le Haut-Commissaire des Nations Unies aux droits de l’homme à continuer d’apporter à l’Expert indépendant toute l’assistance dont il a besoin pour s’acquitter entièrement de son mandat ;</w:t>
      </w:r>
    </w:p>
    <w:p w14:paraId="6DA92636" w14:textId="69C7808E" w:rsidR="001E3437" w:rsidRPr="001E3437" w:rsidRDefault="00063C95" w:rsidP="00FB3C04">
      <w:pPr>
        <w:pStyle w:val="SingleTxtG"/>
        <w:spacing w:line="220" w:lineRule="atLeast"/>
        <w:ind w:firstLine="567"/>
      </w:pPr>
      <w:r>
        <w:t>30</w:t>
      </w:r>
      <w:r w:rsidR="00E61D74">
        <w:t>.</w:t>
      </w:r>
      <w:r w:rsidR="00E61D74">
        <w:tab/>
      </w:r>
      <w:r w:rsidR="001E3437" w:rsidRPr="001E3437">
        <w:rPr>
          <w:i/>
        </w:rPr>
        <w:t>Demande</w:t>
      </w:r>
      <w:r w:rsidR="001E3437" w:rsidRPr="001E3437">
        <w:t xml:space="preserve"> au Haut-Commissariat des Nations Unies aux droits de l’homme de continuer à fournir l’assistance technique sollicitée par le Gouvernement malien afin de renforcer les capacités de la Commission nationale des droits de l’homme du Mali, et encourage les autorités maliennes à rendre la Commission conforme aux </w:t>
      </w:r>
      <w:r w:rsidR="00B63E56">
        <w:t>P</w:t>
      </w:r>
      <w:r w:rsidR="00B63E56" w:rsidRPr="001E3437">
        <w:t xml:space="preserve">rincipes </w:t>
      </w:r>
      <w:r w:rsidR="001E3437" w:rsidRPr="001E3437">
        <w:t>concernant le statut des institutions nationales pour la promotion et la protection des droits de l’homme (</w:t>
      </w:r>
      <w:r w:rsidR="00B63E56">
        <w:t>P</w:t>
      </w:r>
      <w:r w:rsidR="00B63E56" w:rsidRPr="001E3437">
        <w:t xml:space="preserve">rincipes </w:t>
      </w:r>
      <w:r w:rsidR="001E3437" w:rsidRPr="001E3437">
        <w:t>de Paris) et à lui donner les moyens nécessaires pour effectuer son travail en toute indépendance</w:t>
      </w:r>
      <w:r w:rsidR="00E61D74">
        <w:t> ;</w:t>
      </w:r>
    </w:p>
    <w:p w14:paraId="0D2BD69D" w14:textId="259BBBBA" w:rsidR="001E3437" w:rsidRPr="001E3437" w:rsidRDefault="003E26B0" w:rsidP="00FB3C04">
      <w:pPr>
        <w:pStyle w:val="SingleTxtG"/>
        <w:spacing w:line="220" w:lineRule="atLeast"/>
        <w:ind w:firstLine="567"/>
      </w:pPr>
      <w:r>
        <w:t>3</w:t>
      </w:r>
      <w:r w:rsidR="00063C95">
        <w:t>1</w:t>
      </w:r>
      <w:r>
        <w:t>.</w:t>
      </w:r>
      <w:r>
        <w:tab/>
      </w:r>
      <w:r w:rsidR="001E3437" w:rsidRPr="001F5A62">
        <w:rPr>
          <w:i/>
        </w:rPr>
        <w:t>Engage</w:t>
      </w:r>
      <w:r w:rsidR="001E3437" w:rsidRPr="00A21075">
        <w:rPr>
          <w:i/>
        </w:rPr>
        <w:t xml:space="preserve"> instamment</w:t>
      </w:r>
      <w:r w:rsidR="001E3437" w:rsidRPr="001E3437">
        <w:t xml:space="preserve"> la communauté internationale à continuer d’apporter au Mali l’assistance nécessaire pour assurer sa stabilité en vue de promouvoir le respect de tous les droits de l’homme et de lutter résolument contre l’impunité, ce qui favorisera la réconciliation nationale, la paix et la cohésion sociale ;</w:t>
      </w:r>
    </w:p>
    <w:p w14:paraId="65D4F536" w14:textId="4B27A576" w:rsidR="00130C41" w:rsidRDefault="003E26B0" w:rsidP="00FB3C04">
      <w:pPr>
        <w:pStyle w:val="SingleTxtG"/>
        <w:spacing w:line="220" w:lineRule="atLeast"/>
        <w:ind w:firstLine="567"/>
      </w:pPr>
      <w:r>
        <w:t>3</w:t>
      </w:r>
      <w:r w:rsidR="00063C95">
        <w:t>2</w:t>
      </w:r>
      <w:r>
        <w:t>.</w:t>
      </w:r>
      <w:r>
        <w:tab/>
      </w:r>
      <w:r w:rsidR="001E3437" w:rsidRPr="001E3437">
        <w:rPr>
          <w:i/>
        </w:rPr>
        <w:t>Décide</w:t>
      </w:r>
      <w:r w:rsidR="001E3437" w:rsidRPr="001E3437">
        <w:t xml:space="preserve"> de demeurer saisi de cette question.</w:t>
      </w:r>
    </w:p>
    <w:p w14:paraId="7D5B2E12" w14:textId="34DCB23E" w:rsidR="007F386C" w:rsidRDefault="007F386C" w:rsidP="007F386C">
      <w:pPr>
        <w:pStyle w:val="SingleTxtG"/>
        <w:ind w:firstLine="567"/>
        <w:jc w:val="right"/>
        <w:rPr>
          <w:i/>
        </w:rPr>
      </w:pPr>
      <w:r>
        <w:rPr>
          <w:i/>
        </w:rPr>
        <w:t>56</w:t>
      </w:r>
      <w:r w:rsidRPr="009168A8">
        <w:rPr>
          <w:i/>
          <w:vertAlign w:val="superscript"/>
        </w:rPr>
        <w:t>e</w:t>
      </w:r>
      <w:r>
        <w:rPr>
          <w:i/>
        </w:rPr>
        <w:t xml:space="preserve"> séance</w:t>
      </w:r>
      <w:r>
        <w:rPr>
          <w:i/>
        </w:rPr>
        <w:br/>
        <w:t>23 mars 2018</w:t>
      </w:r>
    </w:p>
    <w:p w14:paraId="4B0370CA" w14:textId="2E036D3D" w:rsidR="007F386C" w:rsidRPr="00130C41" w:rsidRDefault="007F386C" w:rsidP="00E10566">
      <w:pPr>
        <w:pStyle w:val="SingleTxtG"/>
        <w:spacing w:line="220" w:lineRule="atLeast"/>
        <w:rPr>
          <w:lang w:val="fr-FR"/>
        </w:rPr>
      </w:pPr>
      <w:r>
        <w:rPr>
          <w:lang w:eastAsia="ar-SA"/>
        </w:rPr>
        <w:t>[Adoptée sans vote.]</w:t>
      </w:r>
    </w:p>
    <w:p w14:paraId="35D010F4" w14:textId="4A94EEDC" w:rsidR="0008167F" w:rsidRPr="0078494A" w:rsidRDefault="0078494A" w:rsidP="0078494A">
      <w:pPr>
        <w:spacing w:before="240"/>
        <w:ind w:left="1134" w:right="1134"/>
        <w:jc w:val="center"/>
        <w:rPr>
          <w:u w:val="single"/>
        </w:rPr>
      </w:pPr>
      <w:r>
        <w:tab/>
      </w:r>
      <w:r>
        <w:rPr>
          <w:u w:val="single"/>
        </w:rPr>
        <w:tab/>
      </w:r>
      <w:r>
        <w:rPr>
          <w:u w:val="single"/>
        </w:rPr>
        <w:tab/>
      </w:r>
      <w:r>
        <w:rPr>
          <w:u w:val="single"/>
        </w:rPr>
        <w:tab/>
      </w:r>
    </w:p>
    <w:sectPr w:rsidR="0008167F" w:rsidRPr="0078494A" w:rsidSect="00130C4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1458A" w14:textId="77777777" w:rsidR="00130C41" w:rsidRDefault="00130C41"/>
  </w:endnote>
  <w:endnote w:type="continuationSeparator" w:id="0">
    <w:p w14:paraId="73C7C6DF" w14:textId="77777777" w:rsidR="00130C41" w:rsidRDefault="00130C41"/>
  </w:endnote>
  <w:endnote w:type="continuationNotice" w:id="1">
    <w:p w14:paraId="7EC25A61" w14:textId="77777777" w:rsidR="00130C41" w:rsidRDefault="00130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EDED0" w14:textId="72D70603" w:rsidR="00130C41" w:rsidRPr="00130C41" w:rsidRDefault="00130C41" w:rsidP="00130C41">
    <w:pPr>
      <w:pStyle w:val="Pieddepage"/>
      <w:tabs>
        <w:tab w:val="right" w:pos="9638"/>
      </w:tabs>
      <w:rPr>
        <w:sz w:val="18"/>
      </w:rPr>
    </w:pPr>
    <w:r w:rsidRPr="00130C41">
      <w:rPr>
        <w:b/>
        <w:sz w:val="18"/>
      </w:rPr>
      <w:fldChar w:fldCharType="begin"/>
    </w:r>
    <w:r w:rsidRPr="00130C41">
      <w:rPr>
        <w:b/>
        <w:sz w:val="18"/>
      </w:rPr>
      <w:instrText xml:space="preserve"> PAGE  \* MERGEFORMAT </w:instrText>
    </w:r>
    <w:r w:rsidRPr="00130C41">
      <w:rPr>
        <w:b/>
        <w:sz w:val="18"/>
      </w:rPr>
      <w:fldChar w:fldCharType="separate"/>
    </w:r>
    <w:r w:rsidR="0021738E">
      <w:rPr>
        <w:b/>
        <w:noProof/>
        <w:sz w:val="18"/>
      </w:rPr>
      <w:t>2</w:t>
    </w:r>
    <w:r w:rsidRPr="00130C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03C8" w14:textId="1F2EE934" w:rsidR="00130C41" w:rsidRPr="00130C41" w:rsidRDefault="00130C41" w:rsidP="00130C41">
    <w:pPr>
      <w:pStyle w:val="Pieddepage"/>
      <w:tabs>
        <w:tab w:val="right" w:pos="9638"/>
      </w:tabs>
      <w:rPr>
        <w:b/>
        <w:sz w:val="18"/>
      </w:rPr>
    </w:pPr>
    <w:r>
      <w:tab/>
    </w:r>
    <w:r w:rsidRPr="00130C41">
      <w:rPr>
        <w:b/>
        <w:sz w:val="18"/>
      </w:rPr>
      <w:fldChar w:fldCharType="begin"/>
    </w:r>
    <w:r w:rsidRPr="00130C41">
      <w:rPr>
        <w:b/>
        <w:sz w:val="18"/>
      </w:rPr>
      <w:instrText xml:space="preserve"> PAGE  \* MERGEFORMAT </w:instrText>
    </w:r>
    <w:r w:rsidRPr="00130C41">
      <w:rPr>
        <w:b/>
        <w:sz w:val="18"/>
      </w:rPr>
      <w:fldChar w:fldCharType="separate"/>
    </w:r>
    <w:r w:rsidR="00250854">
      <w:rPr>
        <w:b/>
        <w:noProof/>
        <w:sz w:val="18"/>
      </w:rPr>
      <w:t>5</w:t>
    </w:r>
    <w:r w:rsidRPr="00130C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C7A2" w14:textId="365F33C0" w:rsidR="00FB3C04" w:rsidRPr="008F3794" w:rsidRDefault="008F3794" w:rsidP="00FB3C04">
    <w:pPr>
      <w:pStyle w:val="Pieddepage"/>
      <w:spacing w:before="120"/>
      <w:rPr>
        <w:rFonts w:ascii="C39T30Lfz" w:hAnsi="C39T30Lfz"/>
        <w:sz w:val="56"/>
      </w:rPr>
    </w:pPr>
    <w:r>
      <w:rPr>
        <w:sz w:val="20"/>
      </w:rPr>
      <w:t>GE.</w:t>
    </w:r>
    <w:r>
      <w:rPr>
        <w:noProof/>
        <w:lang w:eastAsia="fr-CH"/>
      </w:rPr>
      <w:drawing>
        <wp:anchor distT="0" distB="0" distL="114300" distR="114300" simplePos="0" relativeHeight="251658752" behindDoc="0" locked="0" layoutInCell="1" allowOverlap="0" wp14:anchorId="34F489D5" wp14:editId="2458715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w:t>
    </w:r>
    <w:r>
      <w:rPr>
        <w:sz w:val="20"/>
      </w:rPr>
      <w:t>5</w:t>
    </w:r>
    <w:r>
      <w:rPr>
        <w:sz w:val="20"/>
      </w:rPr>
      <w:t>34</w:t>
    </w:r>
    <w:r>
      <w:rPr>
        <w:sz w:val="20"/>
      </w:rPr>
      <w:t>9</w:t>
    </w:r>
    <w:r>
      <w:rPr>
        <w:sz w:val="20"/>
      </w:rPr>
      <w:t xml:space="preserve"> (F)</w:t>
    </w:r>
    <w:bookmarkStart w:id="0" w:name="_GoBack"/>
    <w:bookmarkEnd w:id="0"/>
    <w:r>
      <w:rPr>
        <w:sz w:val="20"/>
      </w:rPr>
      <w:br/>
    </w:r>
    <w:r>
      <w:rPr>
        <w:rFonts w:ascii="C39T30Lfz" w:hAnsi="C39T30Lfz"/>
        <w:noProof/>
        <w:sz w:val="56"/>
        <w:lang w:val="fr-CH" w:eastAsia="fr-CH"/>
      </w:rPr>
      <w:drawing>
        <wp:anchor distT="0" distB="0" distL="114300" distR="114300" simplePos="0" relativeHeight="251657728" behindDoc="0" locked="0" layoutInCell="1" allowOverlap="1" wp14:anchorId="36F6DDE5" wp14:editId="08F650B0">
          <wp:simplePos x="0" y="0"/>
          <wp:positionH relativeFrom="column">
            <wp:posOffset>5467350</wp:posOffset>
          </wp:positionH>
          <wp:positionV relativeFrom="paragraph">
            <wp:posOffset>9525</wp:posOffset>
          </wp:positionV>
          <wp:extent cx="638175" cy="638175"/>
          <wp:effectExtent l="0" t="0" r="9525" b="9525"/>
          <wp:wrapNone/>
          <wp:docPr id="1" name="Image 1" descr="https://undocs.org/m2/QRCode.ashx?DS=A/HRC/RES/37/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794">
      <w:rPr>
        <w:rFonts w:ascii="C39T30Lfz" w:hAnsi="C39T30Lfz"/>
        <w:sz w:val="56"/>
      </w:rPr>
      <w:t></w:t>
    </w:r>
    <w:r w:rsidRPr="008F3794">
      <w:rPr>
        <w:rFonts w:ascii="C39T30Lfz" w:hAnsi="C39T30Lfz"/>
        <w:sz w:val="56"/>
      </w:rPr>
      <w:t></w:t>
    </w:r>
    <w:r w:rsidRPr="008F3794">
      <w:rPr>
        <w:rFonts w:ascii="C39T30Lfz" w:hAnsi="C39T30Lfz"/>
        <w:sz w:val="56"/>
      </w:rPr>
      <w:t></w:t>
    </w:r>
    <w:r w:rsidRPr="008F3794">
      <w:rPr>
        <w:rFonts w:ascii="C39T30Lfz" w:hAnsi="C39T30Lfz"/>
        <w:sz w:val="56"/>
      </w:rPr>
      <w:t></w:t>
    </w:r>
    <w:r w:rsidRPr="008F3794">
      <w:rPr>
        <w:rFonts w:ascii="C39T30Lfz" w:hAnsi="C39T30Lfz"/>
        <w:sz w:val="56"/>
      </w:rPr>
      <w:t></w:t>
    </w:r>
    <w:r w:rsidRPr="008F3794">
      <w:rPr>
        <w:rFonts w:ascii="C39T30Lfz" w:hAnsi="C39T30Lfz"/>
        <w:sz w:val="56"/>
      </w:rPr>
      <w:t></w:t>
    </w:r>
    <w:r w:rsidRPr="008F3794">
      <w:rPr>
        <w:rFonts w:ascii="C39T30Lfz" w:hAnsi="C39T30Lfz"/>
        <w:sz w:val="56"/>
      </w:rPr>
      <w:t></w:t>
    </w:r>
    <w:r w:rsidRPr="008F3794">
      <w:rPr>
        <w:rFonts w:ascii="C39T30Lfz" w:hAnsi="C39T30Lfz"/>
        <w:sz w:val="56"/>
      </w:rPr>
      <w:t></w:t>
    </w:r>
    <w:r w:rsidRPr="008F3794">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C53BC" w14:textId="77777777" w:rsidR="00130C41" w:rsidRPr="00D27D5E" w:rsidRDefault="00130C41" w:rsidP="00D27D5E">
      <w:pPr>
        <w:tabs>
          <w:tab w:val="right" w:pos="2155"/>
        </w:tabs>
        <w:spacing w:after="80"/>
        <w:ind w:left="680"/>
        <w:rPr>
          <w:u w:val="single"/>
        </w:rPr>
      </w:pPr>
      <w:r>
        <w:rPr>
          <w:u w:val="single"/>
        </w:rPr>
        <w:tab/>
      </w:r>
    </w:p>
  </w:footnote>
  <w:footnote w:type="continuationSeparator" w:id="0">
    <w:p w14:paraId="28B8BB1F" w14:textId="77777777" w:rsidR="00130C41" w:rsidRPr="00D72E7E" w:rsidRDefault="00130C41" w:rsidP="00D72E7E">
      <w:pPr>
        <w:tabs>
          <w:tab w:val="right" w:pos="2155"/>
        </w:tabs>
        <w:spacing w:after="80"/>
        <w:ind w:left="680"/>
        <w:rPr>
          <w:u w:val="single"/>
        </w:rPr>
      </w:pPr>
      <w:r w:rsidRPr="00D72E7E">
        <w:rPr>
          <w:u w:val="single"/>
        </w:rPr>
        <w:tab/>
      </w:r>
    </w:p>
  </w:footnote>
  <w:footnote w:type="continuationNotice" w:id="1">
    <w:p w14:paraId="68AD7522" w14:textId="77777777" w:rsidR="00130C41" w:rsidRDefault="00130C41"/>
  </w:footnote>
  <w:footnote w:id="2">
    <w:p w14:paraId="54615AC8" w14:textId="77777777" w:rsidR="00BC235C" w:rsidRPr="00A21075" w:rsidRDefault="00712F2C" w:rsidP="00A21075">
      <w:pPr>
        <w:pStyle w:val="Notedebasdepage"/>
        <w:ind w:hanging="567"/>
        <w:rPr>
          <w:lang w:val="fr-FR"/>
        </w:rPr>
      </w:pPr>
      <w:r w:rsidRPr="00A21075">
        <w:rPr>
          <w:iCs/>
          <w:lang w:val="fr-CH"/>
        </w:rPr>
        <w:tab/>
      </w:r>
      <w:r w:rsidR="00BC235C">
        <w:rPr>
          <w:rStyle w:val="Appelnotedebasdep"/>
        </w:rPr>
        <w:footnoteRef/>
      </w:r>
      <w:r>
        <w:rPr>
          <w:iCs/>
        </w:rPr>
        <w:tab/>
      </w:r>
      <w:r w:rsidR="00BC235C" w:rsidRPr="001E3437">
        <w:rPr>
          <w:iCs/>
        </w:rPr>
        <w:t>S/2017/1105</w:t>
      </w:r>
      <w:r w:rsidR="00BC235C">
        <w:rPr>
          <w:iCs/>
        </w:rPr>
        <w:t>.</w:t>
      </w:r>
    </w:p>
  </w:footnote>
  <w:footnote w:id="3">
    <w:p w14:paraId="35E47E34" w14:textId="77777777" w:rsidR="00C9596A" w:rsidRPr="00A21075" w:rsidRDefault="00C9596A" w:rsidP="00A21075">
      <w:pPr>
        <w:pStyle w:val="Notedebasdepage"/>
        <w:ind w:hanging="567"/>
        <w:rPr>
          <w:lang w:val="fr-FR"/>
        </w:rPr>
      </w:pPr>
      <w:r>
        <w:tab/>
      </w:r>
      <w:r>
        <w:rPr>
          <w:rStyle w:val="Appelnotedebasdep"/>
        </w:rPr>
        <w:footnoteRef/>
      </w:r>
      <w:r>
        <w:tab/>
        <w:t>A/HRC/37/78.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6BF0" w14:textId="3020625F" w:rsidR="00130C41" w:rsidRPr="00130C41" w:rsidRDefault="0021738E">
    <w:pPr>
      <w:pStyle w:val="En-tte"/>
    </w:pPr>
    <w:r>
      <w:fldChar w:fldCharType="begin"/>
    </w:r>
    <w:r>
      <w:instrText xml:space="preserve"> TITLE  \* MERGEFORMAT </w:instrText>
    </w:r>
    <w:r>
      <w:fldChar w:fldCharType="separate"/>
    </w:r>
    <w:r w:rsidR="008B2EDB">
      <w:t>A/HRC/RES/37/39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016" w14:textId="5C5E415A" w:rsidR="00130C41" w:rsidRPr="00130C41" w:rsidRDefault="0021738E" w:rsidP="00130C41">
    <w:pPr>
      <w:pStyle w:val="En-tte"/>
      <w:jc w:val="right"/>
    </w:pPr>
    <w:r>
      <w:fldChar w:fldCharType="begin"/>
    </w:r>
    <w:r>
      <w:instrText xml:space="preserve"> TITLE  \* MERGEFORMAT </w:instrText>
    </w:r>
    <w:r>
      <w:fldChar w:fldCharType="separate"/>
    </w:r>
    <w:r w:rsidR="008B2EDB">
      <w:t>A/HRC/RES/37/39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663E" w14:textId="77777777" w:rsidR="008F3794" w:rsidRDefault="008F37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F2A26B6"/>
    <w:multiLevelType w:val="hybridMultilevel"/>
    <w:tmpl w:val="8DB6E94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3FAF4D01"/>
    <w:multiLevelType w:val="hybridMultilevel"/>
    <w:tmpl w:val="5CF0FFC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1"/>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20"/>
  </w:num>
  <w:num w:numId="15">
    <w:abstractNumId w:val="19"/>
  </w:num>
  <w:num w:numId="16">
    <w:abstractNumId w:val="18"/>
  </w:num>
  <w:num w:numId="17">
    <w:abstractNumId w:val="15"/>
  </w:num>
  <w:num w:numId="18">
    <w:abstractNumId w:val="18"/>
  </w:num>
  <w:num w:numId="19">
    <w:abstractNumId w:val="15"/>
  </w:num>
  <w:num w:numId="20">
    <w:abstractNumId w:val="18"/>
  </w:num>
  <w:num w:numId="21">
    <w:abstractNumId w:val="15"/>
  </w:num>
  <w:num w:numId="22">
    <w:abstractNumId w:val="10"/>
  </w:num>
  <w:num w:numId="23">
    <w:abstractNumId w:val="17"/>
  </w:num>
  <w:num w:numId="24">
    <w:abstractNumId w:val="11"/>
  </w:num>
  <w:num w:numId="25">
    <w:abstractNumId w:val="14"/>
  </w:num>
  <w:num w:numId="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41"/>
    <w:rsid w:val="00002B3E"/>
    <w:rsid w:val="000058BD"/>
    <w:rsid w:val="00016AC5"/>
    <w:rsid w:val="00020C56"/>
    <w:rsid w:val="00024ECB"/>
    <w:rsid w:val="00025771"/>
    <w:rsid w:val="0003055E"/>
    <w:rsid w:val="0003423E"/>
    <w:rsid w:val="00037948"/>
    <w:rsid w:val="00043A3B"/>
    <w:rsid w:val="00045E29"/>
    <w:rsid w:val="00046E24"/>
    <w:rsid w:val="000477C9"/>
    <w:rsid w:val="000518DD"/>
    <w:rsid w:val="00053FA1"/>
    <w:rsid w:val="00054A00"/>
    <w:rsid w:val="00054E0F"/>
    <w:rsid w:val="0005764C"/>
    <w:rsid w:val="00057BC0"/>
    <w:rsid w:val="00063C95"/>
    <w:rsid w:val="00067B6C"/>
    <w:rsid w:val="000709D5"/>
    <w:rsid w:val="0007642F"/>
    <w:rsid w:val="00076DFE"/>
    <w:rsid w:val="00077C15"/>
    <w:rsid w:val="0008047D"/>
    <w:rsid w:val="0008167F"/>
    <w:rsid w:val="00084BA5"/>
    <w:rsid w:val="000862F0"/>
    <w:rsid w:val="00086FD9"/>
    <w:rsid w:val="00087E5F"/>
    <w:rsid w:val="000908E1"/>
    <w:rsid w:val="00090A68"/>
    <w:rsid w:val="000914B9"/>
    <w:rsid w:val="0009171D"/>
    <w:rsid w:val="0009381A"/>
    <w:rsid w:val="00093C76"/>
    <w:rsid w:val="0009590E"/>
    <w:rsid w:val="000A31FE"/>
    <w:rsid w:val="000A53DB"/>
    <w:rsid w:val="000B48B9"/>
    <w:rsid w:val="000C1D64"/>
    <w:rsid w:val="000C1D92"/>
    <w:rsid w:val="000C4D4F"/>
    <w:rsid w:val="000C5343"/>
    <w:rsid w:val="000D06A0"/>
    <w:rsid w:val="000D06A2"/>
    <w:rsid w:val="000D13A6"/>
    <w:rsid w:val="000E03D2"/>
    <w:rsid w:val="000F2C7D"/>
    <w:rsid w:val="000F41F2"/>
    <w:rsid w:val="00100FC7"/>
    <w:rsid w:val="00107D93"/>
    <w:rsid w:val="0011219D"/>
    <w:rsid w:val="001203E7"/>
    <w:rsid w:val="001222CF"/>
    <w:rsid w:val="00127B6B"/>
    <w:rsid w:val="00130C41"/>
    <w:rsid w:val="00133B7A"/>
    <w:rsid w:val="00136D1F"/>
    <w:rsid w:val="001370FA"/>
    <w:rsid w:val="00137B0C"/>
    <w:rsid w:val="001443F2"/>
    <w:rsid w:val="00153B2E"/>
    <w:rsid w:val="00160540"/>
    <w:rsid w:val="00161D19"/>
    <w:rsid w:val="00170600"/>
    <w:rsid w:val="00170BBF"/>
    <w:rsid w:val="00171466"/>
    <w:rsid w:val="00171EA1"/>
    <w:rsid w:val="00172B99"/>
    <w:rsid w:val="00176042"/>
    <w:rsid w:val="00183C50"/>
    <w:rsid w:val="00186254"/>
    <w:rsid w:val="00186B29"/>
    <w:rsid w:val="0019016F"/>
    <w:rsid w:val="001918D4"/>
    <w:rsid w:val="00192EEB"/>
    <w:rsid w:val="00196ADE"/>
    <w:rsid w:val="00197C1C"/>
    <w:rsid w:val="001A20FB"/>
    <w:rsid w:val="001A5634"/>
    <w:rsid w:val="001A7FC6"/>
    <w:rsid w:val="001B01F5"/>
    <w:rsid w:val="001B02F9"/>
    <w:rsid w:val="001B0488"/>
    <w:rsid w:val="001B120D"/>
    <w:rsid w:val="001B39B8"/>
    <w:rsid w:val="001C0E0F"/>
    <w:rsid w:val="001C265B"/>
    <w:rsid w:val="001C3B22"/>
    <w:rsid w:val="001C6647"/>
    <w:rsid w:val="001E054B"/>
    <w:rsid w:val="001E26D2"/>
    <w:rsid w:val="001E3437"/>
    <w:rsid w:val="001E3FEB"/>
    <w:rsid w:val="001E4A02"/>
    <w:rsid w:val="001E562B"/>
    <w:rsid w:val="001F4E88"/>
    <w:rsid w:val="001F5A62"/>
    <w:rsid w:val="001F5AE2"/>
    <w:rsid w:val="00201A33"/>
    <w:rsid w:val="00211ABA"/>
    <w:rsid w:val="0021738E"/>
    <w:rsid w:val="00225501"/>
    <w:rsid w:val="0024032F"/>
    <w:rsid w:val="002504E7"/>
    <w:rsid w:val="00250854"/>
    <w:rsid w:val="00257942"/>
    <w:rsid w:val="002614EA"/>
    <w:rsid w:val="002659F1"/>
    <w:rsid w:val="00267672"/>
    <w:rsid w:val="002739DC"/>
    <w:rsid w:val="00287E79"/>
    <w:rsid w:val="00291654"/>
    <w:rsid w:val="002928F9"/>
    <w:rsid w:val="00294EAB"/>
    <w:rsid w:val="002A5D07"/>
    <w:rsid w:val="002B0FCE"/>
    <w:rsid w:val="002B12FF"/>
    <w:rsid w:val="002B1453"/>
    <w:rsid w:val="002D458D"/>
    <w:rsid w:val="002D4CC1"/>
    <w:rsid w:val="003007CF"/>
    <w:rsid w:val="003016B7"/>
    <w:rsid w:val="003051BB"/>
    <w:rsid w:val="0030583E"/>
    <w:rsid w:val="00313C86"/>
    <w:rsid w:val="00316E2E"/>
    <w:rsid w:val="00317E8D"/>
    <w:rsid w:val="00320BB5"/>
    <w:rsid w:val="003341B8"/>
    <w:rsid w:val="00334662"/>
    <w:rsid w:val="00334B34"/>
    <w:rsid w:val="003378C9"/>
    <w:rsid w:val="0034369F"/>
    <w:rsid w:val="00344F5C"/>
    <w:rsid w:val="003455C5"/>
    <w:rsid w:val="003460FA"/>
    <w:rsid w:val="003515AA"/>
    <w:rsid w:val="00351C92"/>
    <w:rsid w:val="003636CC"/>
    <w:rsid w:val="0036664F"/>
    <w:rsid w:val="00367D73"/>
    <w:rsid w:val="00372CD2"/>
    <w:rsid w:val="003735AC"/>
    <w:rsid w:val="00374106"/>
    <w:rsid w:val="00374702"/>
    <w:rsid w:val="00375F23"/>
    <w:rsid w:val="00376B44"/>
    <w:rsid w:val="00376B6E"/>
    <w:rsid w:val="0037787B"/>
    <w:rsid w:val="003800E1"/>
    <w:rsid w:val="00382D71"/>
    <w:rsid w:val="00384DF3"/>
    <w:rsid w:val="00394678"/>
    <w:rsid w:val="00395E02"/>
    <w:rsid w:val="003976D5"/>
    <w:rsid w:val="003A59B5"/>
    <w:rsid w:val="003A70CF"/>
    <w:rsid w:val="003B405B"/>
    <w:rsid w:val="003B56FB"/>
    <w:rsid w:val="003C0123"/>
    <w:rsid w:val="003C0221"/>
    <w:rsid w:val="003C1C7D"/>
    <w:rsid w:val="003C570D"/>
    <w:rsid w:val="003D193B"/>
    <w:rsid w:val="003D5D72"/>
    <w:rsid w:val="003D6C68"/>
    <w:rsid w:val="003D7410"/>
    <w:rsid w:val="003E26B0"/>
    <w:rsid w:val="003E3092"/>
    <w:rsid w:val="003E39C6"/>
    <w:rsid w:val="003E4011"/>
    <w:rsid w:val="003E42BC"/>
    <w:rsid w:val="003E4CD0"/>
    <w:rsid w:val="003E6ACD"/>
    <w:rsid w:val="003E7D5B"/>
    <w:rsid w:val="003F1E8D"/>
    <w:rsid w:val="003F3223"/>
    <w:rsid w:val="003F44A5"/>
    <w:rsid w:val="004016C3"/>
    <w:rsid w:val="00411E7C"/>
    <w:rsid w:val="00412669"/>
    <w:rsid w:val="00413FBF"/>
    <w:rsid w:val="00414C2F"/>
    <w:rsid w:val="004159D0"/>
    <w:rsid w:val="00426224"/>
    <w:rsid w:val="004273C7"/>
    <w:rsid w:val="00436115"/>
    <w:rsid w:val="004378D7"/>
    <w:rsid w:val="00453816"/>
    <w:rsid w:val="004540A2"/>
    <w:rsid w:val="0045504F"/>
    <w:rsid w:val="00462359"/>
    <w:rsid w:val="004633DA"/>
    <w:rsid w:val="004666B7"/>
    <w:rsid w:val="004708D0"/>
    <w:rsid w:val="00474BBB"/>
    <w:rsid w:val="00480D09"/>
    <w:rsid w:val="00481744"/>
    <w:rsid w:val="004819F1"/>
    <w:rsid w:val="00482071"/>
    <w:rsid w:val="00482630"/>
    <w:rsid w:val="0048372F"/>
    <w:rsid w:val="00486C7A"/>
    <w:rsid w:val="00486D54"/>
    <w:rsid w:val="00487C37"/>
    <w:rsid w:val="004A2BF3"/>
    <w:rsid w:val="004A3C38"/>
    <w:rsid w:val="004A7E39"/>
    <w:rsid w:val="004B2F4D"/>
    <w:rsid w:val="004B4A32"/>
    <w:rsid w:val="004C0F55"/>
    <w:rsid w:val="004C182B"/>
    <w:rsid w:val="004C2FA2"/>
    <w:rsid w:val="004C3E74"/>
    <w:rsid w:val="004E0ED4"/>
    <w:rsid w:val="004E1DD1"/>
    <w:rsid w:val="004F155C"/>
    <w:rsid w:val="00500777"/>
    <w:rsid w:val="00500A43"/>
    <w:rsid w:val="00505F98"/>
    <w:rsid w:val="00506892"/>
    <w:rsid w:val="0051421A"/>
    <w:rsid w:val="005156B2"/>
    <w:rsid w:val="00515E4C"/>
    <w:rsid w:val="00537762"/>
    <w:rsid w:val="00542396"/>
    <w:rsid w:val="00542ADF"/>
    <w:rsid w:val="00542FD6"/>
    <w:rsid w:val="0054386F"/>
    <w:rsid w:val="00545E05"/>
    <w:rsid w:val="005556AD"/>
    <w:rsid w:val="00556A28"/>
    <w:rsid w:val="0056683F"/>
    <w:rsid w:val="0056714D"/>
    <w:rsid w:val="00571F41"/>
    <w:rsid w:val="0057385C"/>
    <w:rsid w:val="00575071"/>
    <w:rsid w:val="005929B3"/>
    <w:rsid w:val="005931C3"/>
    <w:rsid w:val="00594033"/>
    <w:rsid w:val="005949E9"/>
    <w:rsid w:val="005A06B0"/>
    <w:rsid w:val="005A34A0"/>
    <w:rsid w:val="005A5925"/>
    <w:rsid w:val="005C0B3D"/>
    <w:rsid w:val="005D4828"/>
    <w:rsid w:val="005D4AF2"/>
    <w:rsid w:val="005D5707"/>
    <w:rsid w:val="005E19F2"/>
    <w:rsid w:val="005E5AA8"/>
    <w:rsid w:val="005E5D1F"/>
    <w:rsid w:val="005F3C2D"/>
    <w:rsid w:val="005F45C8"/>
    <w:rsid w:val="00600F46"/>
    <w:rsid w:val="00601FB2"/>
    <w:rsid w:val="00610136"/>
    <w:rsid w:val="00610566"/>
    <w:rsid w:val="00612D48"/>
    <w:rsid w:val="00613CA0"/>
    <w:rsid w:val="00615616"/>
    <w:rsid w:val="00616B45"/>
    <w:rsid w:val="00616BAC"/>
    <w:rsid w:val="0062062F"/>
    <w:rsid w:val="006247A9"/>
    <w:rsid w:val="006249A8"/>
    <w:rsid w:val="00633A93"/>
    <w:rsid w:val="006402CD"/>
    <w:rsid w:val="006439EC"/>
    <w:rsid w:val="0066166E"/>
    <w:rsid w:val="00661DE0"/>
    <w:rsid w:val="00661E8F"/>
    <w:rsid w:val="00664CA1"/>
    <w:rsid w:val="006717FE"/>
    <w:rsid w:val="00672A04"/>
    <w:rsid w:val="006739B9"/>
    <w:rsid w:val="00673A42"/>
    <w:rsid w:val="006831FA"/>
    <w:rsid w:val="006910D2"/>
    <w:rsid w:val="00691730"/>
    <w:rsid w:val="00692449"/>
    <w:rsid w:val="00697A91"/>
    <w:rsid w:val="006A4BB1"/>
    <w:rsid w:val="006A5B9E"/>
    <w:rsid w:val="006B18DF"/>
    <w:rsid w:val="006B41A1"/>
    <w:rsid w:val="006B4590"/>
    <w:rsid w:val="006B5426"/>
    <w:rsid w:val="006B60A2"/>
    <w:rsid w:val="006C340C"/>
    <w:rsid w:val="006C4DD1"/>
    <w:rsid w:val="006C7005"/>
    <w:rsid w:val="006C7BC8"/>
    <w:rsid w:val="006D5612"/>
    <w:rsid w:val="006E319C"/>
    <w:rsid w:val="006E5B4F"/>
    <w:rsid w:val="006F138E"/>
    <w:rsid w:val="006F6300"/>
    <w:rsid w:val="006F7B5D"/>
    <w:rsid w:val="007015EB"/>
    <w:rsid w:val="0070347C"/>
    <w:rsid w:val="00703612"/>
    <w:rsid w:val="00705F43"/>
    <w:rsid w:val="007077F2"/>
    <w:rsid w:val="00712F2C"/>
    <w:rsid w:val="007132A9"/>
    <w:rsid w:val="00713721"/>
    <w:rsid w:val="007245EE"/>
    <w:rsid w:val="00724C2C"/>
    <w:rsid w:val="00726E90"/>
    <w:rsid w:val="007324AB"/>
    <w:rsid w:val="00733357"/>
    <w:rsid w:val="007345E4"/>
    <w:rsid w:val="00741330"/>
    <w:rsid w:val="00752C9E"/>
    <w:rsid w:val="00757464"/>
    <w:rsid w:val="00757B26"/>
    <w:rsid w:val="00757C46"/>
    <w:rsid w:val="007602DF"/>
    <w:rsid w:val="007604AF"/>
    <w:rsid w:val="00761C53"/>
    <w:rsid w:val="00762188"/>
    <w:rsid w:val="00766930"/>
    <w:rsid w:val="00771B89"/>
    <w:rsid w:val="007774E9"/>
    <w:rsid w:val="00777814"/>
    <w:rsid w:val="007813F0"/>
    <w:rsid w:val="00781DB9"/>
    <w:rsid w:val="007833D4"/>
    <w:rsid w:val="00784460"/>
    <w:rsid w:val="0078494A"/>
    <w:rsid w:val="00785D87"/>
    <w:rsid w:val="0078639A"/>
    <w:rsid w:val="007923E1"/>
    <w:rsid w:val="007938F8"/>
    <w:rsid w:val="00794671"/>
    <w:rsid w:val="007974DB"/>
    <w:rsid w:val="0079768F"/>
    <w:rsid w:val="007A1130"/>
    <w:rsid w:val="007A1B7F"/>
    <w:rsid w:val="007A6EA1"/>
    <w:rsid w:val="007A7D90"/>
    <w:rsid w:val="007B276A"/>
    <w:rsid w:val="007B4AD1"/>
    <w:rsid w:val="007B6357"/>
    <w:rsid w:val="007C394B"/>
    <w:rsid w:val="007C4642"/>
    <w:rsid w:val="007D197D"/>
    <w:rsid w:val="007D30F7"/>
    <w:rsid w:val="007D32AF"/>
    <w:rsid w:val="007D3E32"/>
    <w:rsid w:val="007E03F5"/>
    <w:rsid w:val="007E1921"/>
    <w:rsid w:val="007E282F"/>
    <w:rsid w:val="007E3148"/>
    <w:rsid w:val="007E46A5"/>
    <w:rsid w:val="007F386C"/>
    <w:rsid w:val="007F5393"/>
    <w:rsid w:val="007F59E9"/>
    <w:rsid w:val="0080503A"/>
    <w:rsid w:val="0081197C"/>
    <w:rsid w:val="008135E6"/>
    <w:rsid w:val="00814F50"/>
    <w:rsid w:val="008178A7"/>
    <w:rsid w:val="008219B0"/>
    <w:rsid w:val="00842BE7"/>
    <w:rsid w:val="008436FA"/>
    <w:rsid w:val="00844750"/>
    <w:rsid w:val="0084573A"/>
    <w:rsid w:val="00851D9B"/>
    <w:rsid w:val="00852BF3"/>
    <w:rsid w:val="00861325"/>
    <w:rsid w:val="00862774"/>
    <w:rsid w:val="0087070F"/>
    <w:rsid w:val="00872BB3"/>
    <w:rsid w:val="00883094"/>
    <w:rsid w:val="0088312E"/>
    <w:rsid w:val="00887193"/>
    <w:rsid w:val="00890BCB"/>
    <w:rsid w:val="008921DD"/>
    <w:rsid w:val="0089595B"/>
    <w:rsid w:val="008973E6"/>
    <w:rsid w:val="008977AF"/>
    <w:rsid w:val="008A4832"/>
    <w:rsid w:val="008B24B6"/>
    <w:rsid w:val="008B2D0C"/>
    <w:rsid w:val="008B2EDB"/>
    <w:rsid w:val="008B4356"/>
    <w:rsid w:val="008C0652"/>
    <w:rsid w:val="008C3C24"/>
    <w:rsid w:val="008C756B"/>
    <w:rsid w:val="008D2092"/>
    <w:rsid w:val="008D7E1E"/>
    <w:rsid w:val="008E1057"/>
    <w:rsid w:val="008E7884"/>
    <w:rsid w:val="008E7FAE"/>
    <w:rsid w:val="008F0A45"/>
    <w:rsid w:val="008F0CC8"/>
    <w:rsid w:val="008F3794"/>
    <w:rsid w:val="008F7A6B"/>
    <w:rsid w:val="00900E92"/>
    <w:rsid w:val="009100E0"/>
    <w:rsid w:val="0091059A"/>
    <w:rsid w:val="009114FD"/>
    <w:rsid w:val="00911BF7"/>
    <w:rsid w:val="00911CDD"/>
    <w:rsid w:val="009144EE"/>
    <w:rsid w:val="009154F2"/>
    <w:rsid w:val="00920296"/>
    <w:rsid w:val="009210A6"/>
    <w:rsid w:val="009250EA"/>
    <w:rsid w:val="00927173"/>
    <w:rsid w:val="009307CD"/>
    <w:rsid w:val="0093544F"/>
    <w:rsid w:val="00936307"/>
    <w:rsid w:val="00943045"/>
    <w:rsid w:val="00944121"/>
    <w:rsid w:val="009531A9"/>
    <w:rsid w:val="00954D67"/>
    <w:rsid w:val="00956187"/>
    <w:rsid w:val="00957B06"/>
    <w:rsid w:val="0096027E"/>
    <w:rsid w:val="00961FE5"/>
    <w:rsid w:val="009637FE"/>
    <w:rsid w:val="00964F92"/>
    <w:rsid w:val="00964FED"/>
    <w:rsid w:val="00965324"/>
    <w:rsid w:val="00965DC8"/>
    <w:rsid w:val="0096714A"/>
    <w:rsid w:val="00970A78"/>
    <w:rsid w:val="00976A90"/>
    <w:rsid w:val="00977EC8"/>
    <w:rsid w:val="009820BC"/>
    <w:rsid w:val="00982F6E"/>
    <w:rsid w:val="00986466"/>
    <w:rsid w:val="00987B02"/>
    <w:rsid w:val="00991455"/>
    <w:rsid w:val="00996762"/>
    <w:rsid w:val="009969A3"/>
    <w:rsid w:val="00997850"/>
    <w:rsid w:val="009A4755"/>
    <w:rsid w:val="009A49B4"/>
    <w:rsid w:val="009A7210"/>
    <w:rsid w:val="009B0EA9"/>
    <w:rsid w:val="009B0FEB"/>
    <w:rsid w:val="009B46BE"/>
    <w:rsid w:val="009C3479"/>
    <w:rsid w:val="009C7500"/>
    <w:rsid w:val="009D0DAD"/>
    <w:rsid w:val="009D3A8C"/>
    <w:rsid w:val="009E1A75"/>
    <w:rsid w:val="009E7956"/>
    <w:rsid w:val="009F31BE"/>
    <w:rsid w:val="009F6373"/>
    <w:rsid w:val="00A01BE9"/>
    <w:rsid w:val="00A03E0E"/>
    <w:rsid w:val="00A058E9"/>
    <w:rsid w:val="00A116E3"/>
    <w:rsid w:val="00A11E42"/>
    <w:rsid w:val="00A11F43"/>
    <w:rsid w:val="00A21048"/>
    <w:rsid w:val="00A21075"/>
    <w:rsid w:val="00A217E3"/>
    <w:rsid w:val="00A2492E"/>
    <w:rsid w:val="00A32477"/>
    <w:rsid w:val="00A32E6A"/>
    <w:rsid w:val="00A3485F"/>
    <w:rsid w:val="00A34A3C"/>
    <w:rsid w:val="00A41FCA"/>
    <w:rsid w:val="00A44130"/>
    <w:rsid w:val="00A44878"/>
    <w:rsid w:val="00A50E64"/>
    <w:rsid w:val="00A529BB"/>
    <w:rsid w:val="00A530DF"/>
    <w:rsid w:val="00A53E11"/>
    <w:rsid w:val="00A63BBD"/>
    <w:rsid w:val="00A64801"/>
    <w:rsid w:val="00A712E5"/>
    <w:rsid w:val="00A8374C"/>
    <w:rsid w:val="00A86F6A"/>
    <w:rsid w:val="00A93B93"/>
    <w:rsid w:val="00A93E20"/>
    <w:rsid w:val="00A93E49"/>
    <w:rsid w:val="00A95339"/>
    <w:rsid w:val="00A954DF"/>
    <w:rsid w:val="00A955D7"/>
    <w:rsid w:val="00A96540"/>
    <w:rsid w:val="00AA1CB8"/>
    <w:rsid w:val="00AB607C"/>
    <w:rsid w:val="00AB661E"/>
    <w:rsid w:val="00AC28DE"/>
    <w:rsid w:val="00AC3809"/>
    <w:rsid w:val="00AC47AD"/>
    <w:rsid w:val="00AC5C86"/>
    <w:rsid w:val="00AC66B6"/>
    <w:rsid w:val="00AC74BA"/>
    <w:rsid w:val="00AC7977"/>
    <w:rsid w:val="00AD7860"/>
    <w:rsid w:val="00AE26C9"/>
    <w:rsid w:val="00AE352C"/>
    <w:rsid w:val="00AE5C9A"/>
    <w:rsid w:val="00AE5E15"/>
    <w:rsid w:val="00AE6645"/>
    <w:rsid w:val="00AE7C0C"/>
    <w:rsid w:val="00B025D1"/>
    <w:rsid w:val="00B02AA2"/>
    <w:rsid w:val="00B02C2A"/>
    <w:rsid w:val="00B10EA8"/>
    <w:rsid w:val="00B11182"/>
    <w:rsid w:val="00B25A04"/>
    <w:rsid w:val="00B272CD"/>
    <w:rsid w:val="00B3110D"/>
    <w:rsid w:val="00B3201E"/>
    <w:rsid w:val="00B32AA5"/>
    <w:rsid w:val="00B32E2D"/>
    <w:rsid w:val="00B4304A"/>
    <w:rsid w:val="00B44D63"/>
    <w:rsid w:val="00B45812"/>
    <w:rsid w:val="00B46C57"/>
    <w:rsid w:val="00B5066F"/>
    <w:rsid w:val="00B52AB4"/>
    <w:rsid w:val="00B53C83"/>
    <w:rsid w:val="00B602D8"/>
    <w:rsid w:val="00B61990"/>
    <w:rsid w:val="00B63E56"/>
    <w:rsid w:val="00B74A09"/>
    <w:rsid w:val="00B81B17"/>
    <w:rsid w:val="00B84EAC"/>
    <w:rsid w:val="00B917FB"/>
    <w:rsid w:val="00B94C7C"/>
    <w:rsid w:val="00B9642C"/>
    <w:rsid w:val="00BA3A49"/>
    <w:rsid w:val="00BA5B16"/>
    <w:rsid w:val="00BC235C"/>
    <w:rsid w:val="00BC53E7"/>
    <w:rsid w:val="00BC682D"/>
    <w:rsid w:val="00BD34E0"/>
    <w:rsid w:val="00BD47B5"/>
    <w:rsid w:val="00BD4C0E"/>
    <w:rsid w:val="00BE001B"/>
    <w:rsid w:val="00BE0FB2"/>
    <w:rsid w:val="00BE1FC7"/>
    <w:rsid w:val="00BE28D3"/>
    <w:rsid w:val="00BE480C"/>
    <w:rsid w:val="00BF0556"/>
    <w:rsid w:val="00C00435"/>
    <w:rsid w:val="00C06727"/>
    <w:rsid w:val="00C15C59"/>
    <w:rsid w:val="00C20DF8"/>
    <w:rsid w:val="00C261F8"/>
    <w:rsid w:val="00C26DC6"/>
    <w:rsid w:val="00C31C1C"/>
    <w:rsid w:val="00C34B33"/>
    <w:rsid w:val="00C37ED7"/>
    <w:rsid w:val="00C408D8"/>
    <w:rsid w:val="00C427C6"/>
    <w:rsid w:val="00C43C43"/>
    <w:rsid w:val="00C46E97"/>
    <w:rsid w:val="00C50952"/>
    <w:rsid w:val="00C55229"/>
    <w:rsid w:val="00C56F99"/>
    <w:rsid w:val="00C65DB8"/>
    <w:rsid w:val="00C67486"/>
    <w:rsid w:val="00C717E0"/>
    <w:rsid w:val="00C76277"/>
    <w:rsid w:val="00C8080B"/>
    <w:rsid w:val="00C82730"/>
    <w:rsid w:val="00C9596A"/>
    <w:rsid w:val="00CA20E2"/>
    <w:rsid w:val="00CC13E9"/>
    <w:rsid w:val="00CD1A71"/>
    <w:rsid w:val="00CD1FBB"/>
    <w:rsid w:val="00CD4AEA"/>
    <w:rsid w:val="00CD655A"/>
    <w:rsid w:val="00CE2A9C"/>
    <w:rsid w:val="00CE4424"/>
    <w:rsid w:val="00CE5AFE"/>
    <w:rsid w:val="00CF30A8"/>
    <w:rsid w:val="00CF67AD"/>
    <w:rsid w:val="00CF70D5"/>
    <w:rsid w:val="00D016B5"/>
    <w:rsid w:val="00D034F1"/>
    <w:rsid w:val="00D03899"/>
    <w:rsid w:val="00D03E8C"/>
    <w:rsid w:val="00D11C9D"/>
    <w:rsid w:val="00D222CE"/>
    <w:rsid w:val="00D24B45"/>
    <w:rsid w:val="00D27D5E"/>
    <w:rsid w:val="00D300EA"/>
    <w:rsid w:val="00D40B57"/>
    <w:rsid w:val="00D42E42"/>
    <w:rsid w:val="00D44DE4"/>
    <w:rsid w:val="00D515EC"/>
    <w:rsid w:val="00D51F6E"/>
    <w:rsid w:val="00D651CF"/>
    <w:rsid w:val="00D658DB"/>
    <w:rsid w:val="00D65DDF"/>
    <w:rsid w:val="00D6746E"/>
    <w:rsid w:val="00D72E7E"/>
    <w:rsid w:val="00D730F7"/>
    <w:rsid w:val="00D7525C"/>
    <w:rsid w:val="00D76275"/>
    <w:rsid w:val="00D86303"/>
    <w:rsid w:val="00D91EEE"/>
    <w:rsid w:val="00D9680B"/>
    <w:rsid w:val="00D9754C"/>
    <w:rsid w:val="00DA392D"/>
    <w:rsid w:val="00DA4B9E"/>
    <w:rsid w:val="00DA4F4D"/>
    <w:rsid w:val="00DB0665"/>
    <w:rsid w:val="00DB4FC9"/>
    <w:rsid w:val="00DB5665"/>
    <w:rsid w:val="00DD6858"/>
    <w:rsid w:val="00DE2AF1"/>
    <w:rsid w:val="00DE4611"/>
    <w:rsid w:val="00DE6D90"/>
    <w:rsid w:val="00DF002F"/>
    <w:rsid w:val="00DF0DD1"/>
    <w:rsid w:val="00DF27DD"/>
    <w:rsid w:val="00DF3467"/>
    <w:rsid w:val="00DF58D5"/>
    <w:rsid w:val="00DF69F1"/>
    <w:rsid w:val="00E01EC3"/>
    <w:rsid w:val="00E0244D"/>
    <w:rsid w:val="00E10566"/>
    <w:rsid w:val="00E13743"/>
    <w:rsid w:val="00E168D4"/>
    <w:rsid w:val="00E23FCF"/>
    <w:rsid w:val="00E24E5B"/>
    <w:rsid w:val="00E254CC"/>
    <w:rsid w:val="00E32CFE"/>
    <w:rsid w:val="00E344DF"/>
    <w:rsid w:val="00E348AE"/>
    <w:rsid w:val="00E53A1D"/>
    <w:rsid w:val="00E61254"/>
    <w:rsid w:val="00E61D74"/>
    <w:rsid w:val="00E652CA"/>
    <w:rsid w:val="00E76E44"/>
    <w:rsid w:val="00E80561"/>
    <w:rsid w:val="00E81E94"/>
    <w:rsid w:val="00E82607"/>
    <w:rsid w:val="00E87860"/>
    <w:rsid w:val="00E87946"/>
    <w:rsid w:val="00E90A03"/>
    <w:rsid w:val="00E935F1"/>
    <w:rsid w:val="00E93FC4"/>
    <w:rsid w:val="00E95812"/>
    <w:rsid w:val="00EA056F"/>
    <w:rsid w:val="00EA788D"/>
    <w:rsid w:val="00EB3FC7"/>
    <w:rsid w:val="00EC36EC"/>
    <w:rsid w:val="00ED244F"/>
    <w:rsid w:val="00ED27DF"/>
    <w:rsid w:val="00ED3DFE"/>
    <w:rsid w:val="00EE077F"/>
    <w:rsid w:val="00EE304A"/>
    <w:rsid w:val="00F00D11"/>
    <w:rsid w:val="00F03D47"/>
    <w:rsid w:val="00F043CA"/>
    <w:rsid w:val="00F10D72"/>
    <w:rsid w:val="00F11EE5"/>
    <w:rsid w:val="00F22103"/>
    <w:rsid w:val="00F311D0"/>
    <w:rsid w:val="00F31309"/>
    <w:rsid w:val="00F3450F"/>
    <w:rsid w:val="00F34A40"/>
    <w:rsid w:val="00F42631"/>
    <w:rsid w:val="00F511FC"/>
    <w:rsid w:val="00F533B2"/>
    <w:rsid w:val="00F56B55"/>
    <w:rsid w:val="00F57A13"/>
    <w:rsid w:val="00F61366"/>
    <w:rsid w:val="00F64441"/>
    <w:rsid w:val="00F64D9A"/>
    <w:rsid w:val="00F708FB"/>
    <w:rsid w:val="00F72951"/>
    <w:rsid w:val="00F74C95"/>
    <w:rsid w:val="00F825AD"/>
    <w:rsid w:val="00F85A08"/>
    <w:rsid w:val="00F85AF0"/>
    <w:rsid w:val="00F93063"/>
    <w:rsid w:val="00F94035"/>
    <w:rsid w:val="00FA0655"/>
    <w:rsid w:val="00FA255D"/>
    <w:rsid w:val="00FA45AA"/>
    <w:rsid w:val="00FA5A79"/>
    <w:rsid w:val="00FB0BFE"/>
    <w:rsid w:val="00FB2E55"/>
    <w:rsid w:val="00FB3C04"/>
    <w:rsid w:val="00FB4C51"/>
    <w:rsid w:val="00FC456C"/>
    <w:rsid w:val="00FD5EE6"/>
    <w:rsid w:val="00FE1CF0"/>
    <w:rsid w:val="00FE6880"/>
    <w:rsid w:val="00FF07B1"/>
    <w:rsid w:val="00FF1A9D"/>
    <w:rsid w:val="00FF1DBD"/>
    <w:rsid w:val="00FF74D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oNotEmbedSmartTags/>
  <w:decimalSymbol w:val=","/>
  <w:listSeparator w:val=";"/>
  <w14:docId w14:val="7A91BD24"/>
  <w15:docId w15:val="{8863072A-EDAC-497F-93CC-10293F8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4671"/>
    <w:pPr>
      <w:suppressAutoHyphens/>
      <w:spacing w:line="240" w:lineRule="atLeast"/>
    </w:pPr>
    <w:rPr>
      <w:lang w:val="fr-CH" w:eastAsia="en-US"/>
    </w:rPr>
  </w:style>
  <w:style w:type="paragraph" w:styleId="Titre1">
    <w:name w:val="heading 1"/>
    <w:aliases w:val="Table_G"/>
    <w:basedOn w:val="SingleTxtG"/>
    <w:next w:val="SingleTxtG"/>
    <w:qFormat/>
    <w:rsid w:val="0008167F"/>
    <w:pPr>
      <w:spacing w:after="0" w:line="240" w:lineRule="auto"/>
      <w:ind w:right="0"/>
      <w:jc w:val="left"/>
      <w:outlineLvl w:val="0"/>
    </w:pPr>
  </w:style>
  <w:style w:type="paragraph" w:styleId="Titre2">
    <w:name w:val="heading 2"/>
    <w:basedOn w:val="Normal"/>
    <w:next w:val="Normal"/>
    <w:semiHidden/>
    <w:qFormat/>
    <w:rsid w:val="0008167F"/>
    <w:pPr>
      <w:spacing w:line="240" w:lineRule="auto"/>
      <w:outlineLvl w:val="1"/>
    </w:pPr>
    <w:rPr>
      <w:lang w:val="en-GB"/>
    </w:rPr>
  </w:style>
  <w:style w:type="paragraph" w:styleId="Titre3">
    <w:name w:val="heading 3"/>
    <w:basedOn w:val="Normal"/>
    <w:next w:val="Normal"/>
    <w:semiHidden/>
    <w:qFormat/>
    <w:rsid w:val="0008167F"/>
    <w:pPr>
      <w:spacing w:line="240" w:lineRule="auto"/>
      <w:outlineLvl w:val="2"/>
    </w:pPr>
    <w:rPr>
      <w:lang w:val="en-GB"/>
    </w:rPr>
  </w:style>
  <w:style w:type="paragraph" w:styleId="Titre4">
    <w:name w:val="heading 4"/>
    <w:basedOn w:val="Normal"/>
    <w:next w:val="Normal"/>
    <w:semiHidden/>
    <w:qFormat/>
    <w:rsid w:val="0008167F"/>
    <w:pPr>
      <w:spacing w:line="240" w:lineRule="auto"/>
      <w:outlineLvl w:val="3"/>
    </w:pPr>
    <w:rPr>
      <w:lang w:val="en-GB"/>
    </w:rPr>
  </w:style>
  <w:style w:type="paragraph" w:styleId="Titre5">
    <w:name w:val="heading 5"/>
    <w:basedOn w:val="Normal"/>
    <w:next w:val="Normal"/>
    <w:semiHidden/>
    <w:qFormat/>
    <w:rsid w:val="0008167F"/>
    <w:pPr>
      <w:spacing w:line="240" w:lineRule="auto"/>
      <w:outlineLvl w:val="4"/>
    </w:pPr>
    <w:rPr>
      <w:lang w:val="en-GB"/>
    </w:rPr>
  </w:style>
  <w:style w:type="paragraph" w:styleId="Titre6">
    <w:name w:val="heading 6"/>
    <w:basedOn w:val="Normal"/>
    <w:next w:val="Normal"/>
    <w:semiHidden/>
    <w:qFormat/>
    <w:rsid w:val="0008167F"/>
    <w:pPr>
      <w:spacing w:line="240" w:lineRule="auto"/>
      <w:outlineLvl w:val="5"/>
    </w:pPr>
    <w:rPr>
      <w:lang w:val="en-GB"/>
    </w:rPr>
  </w:style>
  <w:style w:type="paragraph" w:styleId="Titre7">
    <w:name w:val="heading 7"/>
    <w:basedOn w:val="Normal"/>
    <w:next w:val="Normal"/>
    <w:semiHidden/>
    <w:qFormat/>
    <w:rsid w:val="0008167F"/>
    <w:pPr>
      <w:spacing w:line="240" w:lineRule="auto"/>
      <w:outlineLvl w:val="6"/>
    </w:pPr>
    <w:rPr>
      <w:lang w:val="en-GB"/>
    </w:rPr>
  </w:style>
  <w:style w:type="paragraph" w:styleId="Titre8">
    <w:name w:val="heading 8"/>
    <w:basedOn w:val="Normal"/>
    <w:next w:val="Normal"/>
    <w:semiHidden/>
    <w:qFormat/>
    <w:rsid w:val="0008167F"/>
    <w:pPr>
      <w:spacing w:line="240" w:lineRule="auto"/>
      <w:outlineLvl w:val="7"/>
    </w:pPr>
    <w:rPr>
      <w:lang w:val="en-GB"/>
    </w:rPr>
  </w:style>
  <w:style w:type="paragraph" w:styleId="Titre9">
    <w:name w:val="heading 9"/>
    <w:basedOn w:val="Normal"/>
    <w:next w:val="Normal"/>
    <w:semiHidden/>
    <w:qFormat/>
    <w:rsid w:val="0008167F"/>
    <w:pPr>
      <w:spacing w:line="240" w:lineRule="auto"/>
      <w:outlineLvl w:val="8"/>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94671"/>
    <w:pPr>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Appelnotedebasdep">
    <w:name w:val="footnote reference"/>
    <w:aliases w:val="4_G"/>
    <w:qFormat/>
    <w:rsid w:val="0008167F"/>
    <w:rPr>
      <w:rFonts w:ascii="Times New Roman" w:hAnsi="Times New Roman"/>
      <w:sz w:val="18"/>
      <w:vertAlign w:val="superscript"/>
    </w:rPr>
  </w:style>
  <w:style w:type="character" w:styleId="Appeldenotedefin">
    <w:name w:val="endnote reference"/>
    <w:aliases w:val="1_G"/>
    <w:qFormat/>
    <w:rsid w:val="00794671"/>
    <w:rPr>
      <w:rFonts w:ascii="Times New Roman" w:hAnsi="Times New Roman"/>
      <w:sz w:val="18"/>
      <w:vertAlign w:val="superscript"/>
      <w:lang w:val="fr-CH"/>
    </w:rPr>
  </w:style>
  <w:style w:type="paragraph" w:styleId="En-tte">
    <w:name w:val="header"/>
    <w:aliases w:val="6_G"/>
    <w:basedOn w:val="Normal"/>
    <w:rsid w:val="0008167F"/>
    <w:pPr>
      <w:pBdr>
        <w:bottom w:val="single" w:sz="4" w:space="4" w:color="auto"/>
      </w:pBdr>
      <w:spacing w:line="240" w:lineRule="auto"/>
    </w:pPr>
    <w:rPr>
      <w:b/>
      <w:sz w:val="18"/>
      <w:lang w:val="en-GB"/>
    </w:rPr>
  </w:style>
  <w:style w:type="paragraph" w:styleId="Notedebasdepage">
    <w:name w:val="footnote text"/>
    <w:aliases w:val="5_G"/>
    <w:basedOn w:val="Normal"/>
    <w:qFormat/>
    <w:rsid w:val="0008167F"/>
    <w:pPr>
      <w:tabs>
        <w:tab w:val="right" w:pos="1021"/>
      </w:tabs>
      <w:spacing w:line="220" w:lineRule="exact"/>
      <w:ind w:left="1134" w:right="1134" w:hanging="1134"/>
    </w:pPr>
    <w:rPr>
      <w:sz w:val="18"/>
      <w:lang w:val="en-GB"/>
    </w:rPr>
  </w:style>
  <w:style w:type="paragraph" w:styleId="Notedefin">
    <w:name w:val="endnote text"/>
    <w:aliases w:val="2_G"/>
    <w:basedOn w:val="Notedebasdepage"/>
    <w:qFormat/>
    <w:rsid w:val="0008167F"/>
  </w:style>
  <w:style w:type="character" w:styleId="Numrodepage">
    <w:name w:val="page number"/>
    <w:aliases w:val="7_G"/>
    <w:qFormat/>
    <w:rsid w:val="0008167F"/>
    <w:rPr>
      <w:rFonts w:ascii="Times New Roman" w:hAnsi="Times New Roman"/>
      <w:b/>
      <w:sz w:val="18"/>
    </w:rPr>
  </w:style>
  <w:style w:type="paragraph" w:styleId="Pieddepage">
    <w:name w:val="footer"/>
    <w:aliases w:val="3_G"/>
    <w:basedOn w:val="Normal"/>
    <w:qFormat/>
    <w:rsid w:val="0008167F"/>
    <w:pPr>
      <w:spacing w:line="240" w:lineRule="auto"/>
    </w:pPr>
    <w:rPr>
      <w:sz w:val="16"/>
      <w:lang w:val="en-GB"/>
    </w:rPr>
  </w:style>
  <w:style w:type="character" w:styleId="Lienhypertexte">
    <w:name w:val="Hyperlink"/>
    <w:semiHidden/>
    <w:rsid w:val="0008167F"/>
    <w:rPr>
      <w:color w:val="auto"/>
      <w:u w:val="none"/>
    </w:rPr>
  </w:style>
  <w:style w:type="character" w:styleId="Lienhypertextesuivivisit">
    <w:name w:val="FollowedHyperlink"/>
    <w:semiHidden/>
    <w:rsid w:val="0008167F"/>
    <w:rPr>
      <w:color w:val="auto"/>
      <w:u w:val="none"/>
    </w:rPr>
  </w:style>
  <w:style w:type="table" w:styleId="Grilledutableau">
    <w:name w:val="Table Grid"/>
    <w:basedOn w:val="Tableau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6717FE"/>
    <w:pPr>
      <w:spacing w:line="240" w:lineRule="auto"/>
    </w:pPr>
    <w:rPr>
      <w:rFonts w:ascii="Tahoma" w:hAnsi="Tahoma" w:cs="Tahoma"/>
      <w:sz w:val="16"/>
      <w:szCs w:val="16"/>
    </w:rPr>
  </w:style>
  <w:style w:type="character" w:customStyle="1" w:styleId="TextedebullesCar">
    <w:name w:val="Texte de bulles Car"/>
    <w:link w:val="Textedebulles"/>
    <w:semiHidden/>
    <w:rsid w:val="006717FE"/>
    <w:rPr>
      <w:rFonts w:ascii="Tahoma" w:hAnsi="Tahoma" w:cs="Tahoma"/>
      <w:sz w:val="16"/>
      <w:szCs w:val="16"/>
      <w:lang w:val="fr-CH" w:eastAsia="en-US"/>
    </w:rPr>
  </w:style>
  <w:style w:type="paragraph" w:customStyle="1" w:styleId="ParNoG">
    <w:name w:val="_ParNo_G"/>
    <w:basedOn w:val="SingleTxtG"/>
    <w:qFormat/>
    <w:rsid w:val="007245EE"/>
    <w:pPr>
      <w:numPr>
        <w:numId w:val="24"/>
      </w:numPr>
      <w:kinsoku w:val="0"/>
      <w:overflowPunct w:val="0"/>
      <w:autoSpaceDE w:val="0"/>
      <w:autoSpaceDN w:val="0"/>
      <w:adjustRightInd w:val="0"/>
      <w:snapToGrid w:val="0"/>
    </w:pPr>
  </w:style>
  <w:style w:type="character" w:styleId="Marquedecommentaire">
    <w:name w:val="annotation reference"/>
    <w:basedOn w:val="Policepardfaut"/>
    <w:semiHidden/>
    <w:unhideWhenUsed/>
    <w:rsid w:val="001F5A62"/>
    <w:rPr>
      <w:sz w:val="16"/>
      <w:szCs w:val="16"/>
    </w:rPr>
  </w:style>
  <w:style w:type="paragraph" w:styleId="Commentaire">
    <w:name w:val="annotation text"/>
    <w:basedOn w:val="Normal"/>
    <w:link w:val="CommentaireCar"/>
    <w:semiHidden/>
    <w:unhideWhenUsed/>
    <w:rsid w:val="001F5A62"/>
    <w:pPr>
      <w:spacing w:line="240" w:lineRule="auto"/>
    </w:pPr>
  </w:style>
  <w:style w:type="character" w:customStyle="1" w:styleId="CommentaireCar">
    <w:name w:val="Commentaire Car"/>
    <w:basedOn w:val="Policepardfaut"/>
    <w:link w:val="Commentaire"/>
    <w:semiHidden/>
    <w:rsid w:val="001F5A62"/>
    <w:rPr>
      <w:lang w:val="fr-CH" w:eastAsia="en-US"/>
    </w:rPr>
  </w:style>
  <w:style w:type="paragraph" w:styleId="Objetducommentaire">
    <w:name w:val="annotation subject"/>
    <w:basedOn w:val="Commentaire"/>
    <w:next w:val="Commentaire"/>
    <w:link w:val="ObjetducommentaireCar"/>
    <w:semiHidden/>
    <w:unhideWhenUsed/>
    <w:rsid w:val="001F5A62"/>
    <w:rPr>
      <w:b/>
      <w:bCs/>
    </w:rPr>
  </w:style>
  <w:style w:type="character" w:customStyle="1" w:styleId="ObjetducommentaireCar">
    <w:name w:val="Objet du commentaire Car"/>
    <w:basedOn w:val="CommentaireCar"/>
    <w:link w:val="Objetducommentaire"/>
    <w:semiHidden/>
    <w:rsid w:val="001F5A62"/>
    <w:rPr>
      <w:b/>
      <w:bCs/>
      <w:lang w:val="fr-CH" w:eastAsia="en-US"/>
    </w:rPr>
  </w:style>
  <w:style w:type="paragraph" w:styleId="Rvision">
    <w:name w:val="Revision"/>
    <w:hidden/>
    <w:uiPriority w:val="99"/>
    <w:semiHidden/>
    <w:rsid w:val="001F5A6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3012-55EE-4A8E-ADC8-0DE412EF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0</TotalTime>
  <Pages>5</Pages>
  <Words>2305</Words>
  <Characters>15908</Characters>
  <Application>Microsoft Office Word</Application>
  <DocSecurity>0</DocSecurity>
  <Lines>1767</Lines>
  <Paragraphs>758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A/HRC/RES/37/39</vt:lpstr>
      <vt:lpstr>A/HRC/RES/37/39</vt:lpstr>
    </vt:vector>
  </TitlesOfParts>
  <Company>CSD</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A/HRC/RES/37/39</dc:title>
  <dc:subject/>
  <dc:creator>Sumiko IHARA</dc:creator>
  <cp:keywords/>
  <dc:description/>
  <cp:lastModifiedBy>Fabienne Crelier</cp:lastModifiedBy>
  <cp:revision>2</cp:revision>
  <cp:lastPrinted>2018-03-16T11:46:00Z</cp:lastPrinted>
  <dcterms:created xsi:type="dcterms:W3CDTF">2018-04-05T14:43:00Z</dcterms:created>
  <dcterms:modified xsi:type="dcterms:W3CDTF">2018-04-05T14:43:00Z</dcterms:modified>
</cp:coreProperties>
</file>