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57BC0" w:rsidRPr="00DB58B5" w:rsidTr="00BA184E">
        <w:trPr>
          <w:trHeight w:hRule="exact" w:val="851"/>
        </w:trPr>
        <w:tc>
          <w:tcPr>
            <w:tcW w:w="1276" w:type="dxa"/>
            <w:tcBorders>
              <w:bottom w:val="single" w:sz="4" w:space="0" w:color="auto"/>
            </w:tcBorders>
          </w:tcPr>
          <w:p w:rsidR="00057BC0" w:rsidRPr="00A83FC0" w:rsidRDefault="00057BC0" w:rsidP="00C717E0">
            <w:pPr>
              <w:rPr>
                <w:rStyle w:val="Emphasis"/>
              </w:rPr>
            </w:pPr>
          </w:p>
        </w:tc>
        <w:tc>
          <w:tcPr>
            <w:tcW w:w="2268" w:type="dxa"/>
            <w:tcBorders>
              <w:bottom w:val="single" w:sz="4" w:space="0" w:color="auto"/>
            </w:tcBorders>
            <w:vAlign w:val="bottom"/>
          </w:tcPr>
          <w:p w:rsidR="00057BC0" w:rsidRPr="00DB58B5" w:rsidRDefault="00057BC0" w:rsidP="00C717E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57BC0" w:rsidRPr="00541AB5" w:rsidRDefault="00541AB5" w:rsidP="00541AB5">
            <w:pPr>
              <w:jc w:val="right"/>
            </w:pPr>
            <w:r w:rsidRPr="00541AB5">
              <w:rPr>
                <w:sz w:val="40"/>
              </w:rPr>
              <w:t>A</w:t>
            </w:r>
            <w:r>
              <w:t>/HRC/RES/25/36</w:t>
            </w:r>
          </w:p>
        </w:tc>
      </w:tr>
      <w:tr w:rsidR="00057BC0" w:rsidRPr="00DB58B5" w:rsidTr="00C717E0">
        <w:trPr>
          <w:trHeight w:hRule="exact" w:val="2835"/>
        </w:trPr>
        <w:tc>
          <w:tcPr>
            <w:tcW w:w="1276" w:type="dxa"/>
            <w:tcBorders>
              <w:top w:val="single" w:sz="4" w:space="0" w:color="auto"/>
              <w:bottom w:val="single" w:sz="12" w:space="0" w:color="auto"/>
            </w:tcBorders>
          </w:tcPr>
          <w:p w:rsidR="00057BC0" w:rsidRPr="00DB58B5" w:rsidRDefault="00057BC0" w:rsidP="00C717E0">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57BC0" w:rsidRPr="00740562" w:rsidRDefault="00057BC0" w:rsidP="00C717E0">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36CE0" w:rsidRDefault="00A36CE0" w:rsidP="00C717E0">
            <w:pPr>
              <w:spacing w:before="240"/>
            </w:pPr>
            <w:r>
              <w:t xml:space="preserve">Distr. </w:t>
            </w:r>
            <w:r w:rsidR="000045DF">
              <w:t>générale</w:t>
            </w:r>
          </w:p>
          <w:p w:rsidR="00A36CE0" w:rsidRDefault="000045DF" w:rsidP="00CC7277">
            <w:pPr>
              <w:spacing w:line="240" w:lineRule="exact"/>
            </w:pPr>
            <w:r>
              <w:t>1</w:t>
            </w:r>
            <w:r w:rsidR="00245084">
              <w:t>5</w:t>
            </w:r>
            <w:r>
              <w:t xml:space="preserve"> avril</w:t>
            </w:r>
            <w:r w:rsidR="00A83FC0">
              <w:t xml:space="preserve"> 2014</w:t>
            </w:r>
          </w:p>
          <w:p w:rsidR="00A36CE0" w:rsidRDefault="00A36CE0" w:rsidP="00A36CE0">
            <w:pPr>
              <w:spacing w:line="240" w:lineRule="exact"/>
            </w:pPr>
          </w:p>
          <w:p w:rsidR="00057BC0" w:rsidRPr="00DB58B5" w:rsidRDefault="00FF1B1D" w:rsidP="00A36CE0">
            <w:pPr>
              <w:spacing w:line="240" w:lineRule="exact"/>
            </w:pPr>
            <w:r>
              <w:t>Original: français</w:t>
            </w:r>
          </w:p>
        </w:tc>
      </w:tr>
    </w:tbl>
    <w:p w:rsidR="00BA184E" w:rsidRPr="00F14899" w:rsidRDefault="00BA184E" w:rsidP="001B6907">
      <w:pPr>
        <w:spacing w:before="120"/>
        <w:rPr>
          <w:b/>
          <w:sz w:val="24"/>
          <w:szCs w:val="24"/>
        </w:rPr>
      </w:pPr>
      <w:r w:rsidRPr="00F14899">
        <w:rPr>
          <w:b/>
          <w:sz w:val="24"/>
          <w:szCs w:val="24"/>
        </w:rPr>
        <w:t>Conseil des droits de l</w:t>
      </w:r>
      <w:r w:rsidR="00CB177A" w:rsidRPr="00F14899">
        <w:rPr>
          <w:b/>
          <w:sz w:val="24"/>
          <w:szCs w:val="24"/>
        </w:rPr>
        <w:t>’</w:t>
      </w:r>
      <w:r w:rsidRPr="00F14899">
        <w:rPr>
          <w:b/>
          <w:sz w:val="24"/>
          <w:szCs w:val="24"/>
        </w:rPr>
        <w:t>homme</w:t>
      </w:r>
    </w:p>
    <w:p w:rsidR="00594033" w:rsidRPr="00F14899" w:rsidRDefault="000B71F6" w:rsidP="00981C83">
      <w:pPr>
        <w:rPr>
          <w:b/>
        </w:rPr>
      </w:pPr>
      <w:r w:rsidRPr="00F14899">
        <w:rPr>
          <w:b/>
        </w:rPr>
        <w:t>Vingt</w:t>
      </w:r>
      <w:r w:rsidR="00A83FC0" w:rsidRPr="00F14899">
        <w:rPr>
          <w:b/>
        </w:rPr>
        <w:t>-cinqu</w:t>
      </w:r>
      <w:r w:rsidRPr="00F14899">
        <w:rPr>
          <w:b/>
        </w:rPr>
        <w:t>ième</w:t>
      </w:r>
      <w:r w:rsidR="00A36CE0" w:rsidRPr="00F14899">
        <w:rPr>
          <w:b/>
        </w:rPr>
        <w:t xml:space="preserve"> session</w:t>
      </w:r>
    </w:p>
    <w:p w:rsidR="00A36CE0" w:rsidRPr="00F14899" w:rsidRDefault="00A36CE0" w:rsidP="00981C83">
      <w:r w:rsidRPr="00F14899">
        <w:t>Point 10 de l</w:t>
      </w:r>
      <w:r w:rsidR="00CB177A" w:rsidRPr="00F14899">
        <w:t>’</w:t>
      </w:r>
      <w:r w:rsidRPr="00F14899">
        <w:t>ordre du jour</w:t>
      </w:r>
    </w:p>
    <w:p w:rsidR="00A36CE0" w:rsidRPr="00F14899" w:rsidRDefault="00A36CE0" w:rsidP="00981C83">
      <w:pPr>
        <w:rPr>
          <w:b/>
        </w:rPr>
      </w:pPr>
      <w:r w:rsidRPr="00F14899">
        <w:rPr>
          <w:b/>
        </w:rPr>
        <w:t>Assistance technique et renforcement des capacités</w:t>
      </w:r>
    </w:p>
    <w:p w:rsidR="00A36CE0" w:rsidRPr="00F14899" w:rsidRDefault="00A36CE0" w:rsidP="004F512A">
      <w:pPr>
        <w:pStyle w:val="H23G"/>
      </w:pPr>
      <w:r w:rsidRPr="00F14899">
        <w:tab/>
      </w:r>
      <w:r w:rsidRPr="00F14899">
        <w:tab/>
      </w:r>
      <w:r w:rsidR="000045DF">
        <w:t>R</w:t>
      </w:r>
      <w:r w:rsidRPr="00F25E27">
        <w:t>ésolution</w:t>
      </w:r>
      <w:r w:rsidR="000045DF">
        <w:t xml:space="preserve"> adoptée par le Conseil des droits de l’homme</w:t>
      </w:r>
    </w:p>
    <w:p w:rsidR="00A36CE0" w:rsidRPr="00F14899" w:rsidRDefault="00A36CE0" w:rsidP="00CC7277">
      <w:pPr>
        <w:pStyle w:val="H1G"/>
      </w:pPr>
      <w:r w:rsidRPr="00F14899">
        <w:tab/>
      </w:r>
      <w:r w:rsidRPr="00F14899">
        <w:tab/>
        <w:t>2</w:t>
      </w:r>
      <w:r w:rsidR="00A83FC0" w:rsidRPr="00F14899">
        <w:t>5</w:t>
      </w:r>
      <w:r w:rsidR="000045DF" w:rsidRPr="00F14899">
        <w:t>/</w:t>
      </w:r>
      <w:r w:rsidR="000045DF">
        <w:t>36</w:t>
      </w:r>
      <w:r w:rsidR="00CC7277">
        <w:br/>
      </w:r>
      <w:r w:rsidR="007A7A9C" w:rsidRPr="00F14899">
        <w:t xml:space="preserve">Assistance à la République du Mali dans le domaine des droits de l’homme </w:t>
      </w:r>
    </w:p>
    <w:p w:rsidR="00A36CE0" w:rsidRPr="00F14899" w:rsidRDefault="00CB177A" w:rsidP="00CB177A">
      <w:pPr>
        <w:pStyle w:val="SingleTxtG"/>
        <w:ind w:firstLine="567"/>
      </w:pPr>
      <w:r w:rsidRPr="00F14899">
        <w:rPr>
          <w:i/>
        </w:rPr>
        <w:t>Le Conseil des droits de l’homme</w:t>
      </w:r>
      <w:r w:rsidRPr="00F14899">
        <w:t>,</w:t>
      </w:r>
    </w:p>
    <w:p w:rsidR="007A7A9C" w:rsidRPr="00F34291" w:rsidRDefault="007A7A9C" w:rsidP="007A7A9C">
      <w:pPr>
        <w:pStyle w:val="SingleTxtG"/>
        <w:ind w:firstLine="567"/>
      </w:pPr>
      <w:r w:rsidRPr="00F34291">
        <w:rPr>
          <w:i/>
        </w:rPr>
        <w:t>Guidé</w:t>
      </w:r>
      <w:r w:rsidRPr="00F34291">
        <w:t xml:space="preserve"> par la Charte des Nations Unies, la Déclaration universelle des droits de l’homme et les autres instruments internationaux pertinents relatifs aux droits de l’homme,</w:t>
      </w:r>
    </w:p>
    <w:p w:rsidR="007A7A9C" w:rsidRPr="007A7A9C" w:rsidRDefault="007A7A9C" w:rsidP="007C6408">
      <w:pPr>
        <w:pStyle w:val="SingleTxtG"/>
        <w:ind w:firstLine="567"/>
      </w:pPr>
      <w:r w:rsidRPr="00F34291">
        <w:rPr>
          <w:i/>
        </w:rPr>
        <w:t>Rappelant</w:t>
      </w:r>
      <w:r w:rsidRPr="00F34291">
        <w:t xml:space="preserve"> la résolution 60/251 de l’Assemblée générale en date du 15 mars 2006,</w:t>
      </w:r>
      <w:r w:rsidR="00DB0F04" w:rsidRPr="00F34291">
        <w:t xml:space="preserve"> </w:t>
      </w:r>
      <w:r w:rsidRPr="00F34291">
        <w:t xml:space="preserve">les résolutions du Conseil des </w:t>
      </w:r>
      <w:r w:rsidR="00661FAB" w:rsidRPr="00F34291">
        <w:t>d</w:t>
      </w:r>
      <w:r w:rsidRPr="00F34291">
        <w:t>roits de l</w:t>
      </w:r>
      <w:r w:rsidR="00661FAB" w:rsidRPr="00F34291">
        <w:t>’h</w:t>
      </w:r>
      <w:r w:rsidRPr="00F34291">
        <w:t>omme 5/1 et 5/2 en date du 18 juin 2007</w:t>
      </w:r>
      <w:r w:rsidRPr="00F14899">
        <w:t>, 2</w:t>
      </w:r>
      <w:r w:rsidRPr="007A7A9C">
        <w:t>0/17 en date du 6 juillet 2012,</w:t>
      </w:r>
      <w:r w:rsidR="00DB0F04">
        <w:t xml:space="preserve"> </w:t>
      </w:r>
      <w:r w:rsidRPr="007A7A9C">
        <w:t>21/25</w:t>
      </w:r>
      <w:r w:rsidR="00DB0F04">
        <w:t xml:space="preserve"> </w:t>
      </w:r>
      <w:r w:rsidRPr="007A7A9C">
        <w:t xml:space="preserve">en date du </w:t>
      </w:r>
      <w:r w:rsidR="00222AF8">
        <w:t xml:space="preserve">28 septembre </w:t>
      </w:r>
      <w:r w:rsidRPr="007A7A9C">
        <w:t>2012</w:t>
      </w:r>
      <w:r w:rsidR="00D4646C">
        <w:t xml:space="preserve"> et 22/18 en date du 21 mars 2013</w:t>
      </w:r>
      <w:r w:rsidRPr="007A7A9C">
        <w:t>,</w:t>
      </w:r>
    </w:p>
    <w:p w:rsidR="007A7A9C" w:rsidRPr="007A7A9C" w:rsidRDefault="007A7A9C" w:rsidP="007C6408">
      <w:pPr>
        <w:pStyle w:val="SingleTxtG"/>
        <w:ind w:firstLine="567"/>
      </w:pPr>
      <w:r w:rsidRPr="004F04D5">
        <w:rPr>
          <w:i/>
        </w:rPr>
        <w:t>Rappela</w:t>
      </w:r>
      <w:r w:rsidRPr="003D1083">
        <w:rPr>
          <w:i/>
        </w:rPr>
        <w:t>nt</w:t>
      </w:r>
      <w:r w:rsidRPr="003D1083">
        <w:t xml:space="preserve"> </w:t>
      </w:r>
      <w:r w:rsidR="00B014E4" w:rsidRPr="00F34291">
        <w:rPr>
          <w:i/>
          <w:iCs/>
        </w:rPr>
        <w:t>également</w:t>
      </w:r>
      <w:r w:rsidR="00B014E4" w:rsidRPr="00F34291">
        <w:t xml:space="preserve"> </w:t>
      </w:r>
      <w:r w:rsidRPr="003D1083">
        <w:t xml:space="preserve">les résolutions </w:t>
      </w:r>
      <w:r w:rsidR="003D1083">
        <w:t xml:space="preserve">du Conseil de sécurité </w:t>
      </w:r>
      <w:r w:rsidRPr="003D1083">
        <w:t>2085</w:t>
      </w:r>
      <w:r w:rsidR="004F04D5" w:rsidRPr="003D1083">
        <w:t> </w:t>
      </w:r>
      <w:r w:rsidR="00222AF8" w:rsidRPr="003D1083">
        <w:t xml:space="preserve">(2012) en date du 20 décembre 2012 </w:t>
      </w:r>
      <w:r w:rsidRPr="003D1083">
        <w:t>et 2100</w:t>
      </w:r>
      <w:r w:rsidR="004F04D5" w:rsidRPr="003D1083">
        <w:t> </w:t>
      </w:r>
      <w:r w:rsidR="00222AF8" w:rsidRPr="003D1083">
        <w:t>(2013) en date du 25 avril 2013</w:t>
      </w:r>
      <w:r w:rsidRPr="007A7A9C">
        <w:t>,</w:t>
      </w:r>
    </w:p>
    <w:p w:rsidR="007A7A9C" w:rsidRPr="00F34291" w:rsidRDefault="007A7A9C" w:rsidP="007C6408">
      <w:pPr>
        <w:pStyle w:val="SingleTxtG"/>
        <w:ind w:firstLine="567"/>
      </w:pPr>
      <w:r w:rsidRPr="00F34291">
        <w:rPr>
          <w:i/>
        </w:rPr>
        <w:t>Réaffirmant</w:t>
      </w:r>
      <w:r w:rsidRPr="00F34291">
        <w:t xml:space="preserve"> que tous les États ont la responsabilité de promouvoir et de protéger les droits de l’homme et les libertés fondamentales consacrés dans la Charte, la Déclaration universelle des droits de l’homme, les </w:t>
      </w:r>
      <w:r w:rsidR="00263C57" w:rsidRPr="00F34291">
        <w:t>P</w:t>
      </w:r>
      <w:r w:rsidRPr="00F34291">
        <w:t>actes internationaux relatifs aux droits de l’homme et les autres instruments internationaux pertinents relatifs aux droits de l’homme auxquels ils sont parties,</w:t>
      </w:r>
    </w:p>
    <w:p w:rsidR="007A7A9C" w:rsidRPr="007A7A9C" w:rsidRDefault="007A7A9C" w:rsidP="007C6408">
      <w:pPr>
        <w:pStyle w:val="SingleTxtG"/>
        <w:ind w:firstLine="567"/>
      </w:pPr>
      <w:r w:rsidRPr="00F34291">
        <w:rPr>
          <w:i/>
        </w:rPr>
        <w:t>Réaffirmant son attachement</w:t>
      </w:r>
      <w:r w:rsidRPr="00F34291">
        <w:t xml:space="preserve"> à la souveraineté, à l’indépendance, à l’unité et à l’intégrité territoriale de la République du Mali,</w:t>
      </w:r>
    </w:p>
    <w:p w:rsidR="007A7A9C" w:rsidRPr="007A7A9C" w:rsidRDefault="007A7A9C" w:rsidP="007C6408">
      <w:pPr>
        <w:pStyle w:val="SingleTxtG"/>
        <w:ind w:firstLine="567"/>
      </w:pPr>
      <w:r w:rsidRPr="009A2DCB">
        <w:rPr>
          <w:i/>
        </w:rPr>
        <w:t>Prenant note</w:t>
      </w:r>
      <w:r w:rsidRPr="007A7A9C">
        <w:t xml:space="preserve"> du </w:t>
      </w:r>
      <w:r w:rsidRPr="00977DEB">
        <w:t>rapport de l’</w:t>
      </w:r>
      <w:r w:rsidR="00661FAB" w:rsidRPr="00977DEB">
        <w:t>E</w:t>
      </w:r>
      <w:r w:rsidRPr="00977DEB">
        <w:t>xpert</w:t>
      </w:r>
      <w:r w:rsidRPr="007A7A9C">
        <w:t xml:space="preserve"> indépendant sur la situation des droits de l</w:t>
      </w:r>
      <w:r w:rsidR="00661FAB">
        <w:t>’</w:t>
      </w:r>
      <w:r w:rsidRPr="007A7A9C">
        <w:t>homme au Mali</w:t>
      </w:r>
      <w:r w:rsidR="007118DA">
        <w:rPr>
          <w:rStyle w:val="FootnoteReference"/>
        </w:rPr>
        <w:footnoteReference w:id="2"/>
      </w:r>
      <w:r w:rsidRPr="007118DA">
        <w:t>,</w:t>
      </w:r>
    </w:p>
    <w:p w:rsidR="007A7A9C" w:rsidRPr="007A7A9C" w:rsidRDefault="007A7A9C" w:rsidP="003D1083">
      <w:pPr>
        <w:pStyle w:val="SingleTxtG"/>
        <w:ind w:firstLine="567"/>
      </w:pPr>
      <w:r w:rsidRPr="009A2DCB">
        <w:rPr>
          <w:i/>
        </w:rPr>
        <w:t>Accueillant favorablement</w:t>
      </w:r>
      <w:r w:rsidRPr="007A7A9C">
        <w:t xml:space="preserve"> </w:t>
      </w:r>
      <w:r w:rsidRPr="003F200F">
        <w:t>les engagements</w:t>
      </w:r>
      <w:r w:rsidRPr="007A7A9C">
        <w:t xml:space="preserve"> des autorités du Mali à restaurer </w:t>
      </w:r>
      <w:r w:rsidRPr="003D1083">
        <w:t>l’</w:t>
      </w:r>
      <w:r w:rsidR="003D1083" w:rsidRPr="00F34291">
        <w:t>é</w:t>
      </w:r>
      <w:r w:rsidRPr="003D1083">
        <w:t>tat d</w:t>
      </w:r>
      <w:r w:rsidRPr="007A7A9C">
        <w:t>e droit et à lutte</w:t>
      </w:r>
      <w:r>
        <w:t>r résolument contre l’impunité,</w:t>
      </w:r>
    </w:p>
    <w:p w:rsidR="007A7A9C" w:rsidRPr="0090326A" w:rsidRDefault="007A7A9C" w:rsidP="0090326A">
      <w:pPr>
        <w:pStyle w:val="SingleTxtG"/>
        <w:spacing w:after="100" w:line="236" w:lineRule="exact"/>
        <w:ind w:firstLine="567"/>
        <w:rPr>
          <w:spacing w:val="-3"/>
        </w:rPr>
      </w:pPr>
      <w:r w:rsidRPr="0090326A">
        <w:rPr>
          <w:spacing w:val="-3"/>
        </w:rPr>
        <w:t>1.</w:t>
      </w:r>
      <w:r w:rsidRPr="0090326A">
        <w:rPr>
          <w:spacing w:val="-3"/>
        </w:rPr>
        <w:tab/>
      </w:r>
      <w:r w:rsidRPr="0090326A">
        <w:rPr>
          <w:i/>
          <w:spacing w:val="-3"/>
        </w:rPr>
        <w:t>Se félicite</w:t>
      </w:r>
      <w:r w:rsidRPr="0090326A">
        <w:rPr>
          <w:spacing w:val="-3"/>
        </w:rPr>
        <w:t xml:space="preserve"> du plein retour à l’ordre constitutionnel et de l’amélioration significative de la situation sécuritaire au Mali, rendus possible</w:t>
      </w:r>
      <w:r w:rsidR="00263C57" w:rsidRPr="0090326A">
        <w:rPr>
          <w:spacing w:val="-3"/>
        </w:rPr>
        <w:t>s</w:t>
      </w:r>
      <w:r w:rsidRPr="0090326A">
        <w:rPr>
          <w:spacing w:val="-3"/>
        </w:rPr>
        <w:t xml:space="preserve"> grâce à l’action coordonnée de soutien aux efforts des autorités du Mali, engagée par </w:t>
      </w:r>
      <w:r w:rsidR="00263C57" w:rsidRPr="0090326A">
        <w:rPr>
          <w:spacing w:val="-3"/>
        </w:rPr>
        <w:t xml:space="preserve">la </w:t>
      </w:r>
      <w:r w:rsidRPr="0090326A">
        <w:rPr>
          <w:spacing w:val="-3"/>
        </w:rPr>
        <w:t>communauté internationale à travers le déploiement de la Mission multidimensionnelle intégrée des Nations Unies pour la stabilisation au Mali;</w:t>
      </w:r>
    </w:p>
    <w:p w:rsidR="00EA0CD3" w:rsidRPr="0090326A" w:rsidRDefault="007A7A9C" w:rsidP="00EE43A3">
      <w:pPr>
        <w:pStyle w:val="SingleTxtG"/>
        <w:spacing w:after="100" w:line="236" w:lineRule="exact"/>
        <w:ind w:firstLine="567"/>
        <w:rPr>
          <w:spacing w:val="-3"/>
        </w:rPr>
      </w:pPr>
      <w:r w:rsidRPr="0090326A">
        <w:rPr>
          <w:spacing w:val="-3"/>
        </w:rPr>
        <w:t>2.</w:t>
      </w:r>
      <w:r w:rsidRPr="0090326A">
        <w:rPr>
          <w:spacing w:val="-3"/>
        </w:rPr>
        <w:tab/>
      </w:r>
      <w:r w:rsidRPr="0090326A">
        <w:rPr>
          <w:i/>
          <w:spacing w:val="-3"/>
        </w:rPr>
        <w:t>Réitère</w:t>
      </w:r>
      <w:r w:rsidRPr="0090326A">
        <w:rPr>
          <w:spacing w:val="-3"/>
        </w:rPr>
        <w:t xml:space="preserve"> sa préoccupation concernant les violations</w:t>
      </w:r>
      <w:r w:rsidR="00EE43A3">
        <w:rPr>
          <w:spacing w:val="-3"/>
        </w:rPr>
        <w:t xml:space="preserve"> </w:t>
      </w:r>
      <w:r w:rsidR="00EE43A3" w:rsidRPr="009325DF">
        <w:t>et abus</w:t>
      </w:r>
      <w:r w:rsidRPr="0090326A">
        <w:rPr>
          <w:spacing w:val="-3"/>
        </w:rPr>
        <w:t xml:space="preserve"> des droits de l’</w:t>
      </w:r>
      <w:r w:rsidR="00661FAB" w:rsidRPr="0090326A">
        <w:rPr>
          <w:spacing w:val="-3"/>
        </w:rPr>
        <w:t>h</w:t>
      </w:r>
      <w:r w:rsidRPr="0090326A">
        <w:rPr>
          <w:spacing w:val="-3"/>
        </w:rPr>
        <w:t>omme</w:t>
      </w:r>
      <w:r w:rsidR="00E27CA3">
        <w:rPr>
          <w:spacing w:val="-3"/>
        </w:rPr>
        <w:t xml:space="preserve">, </w:t>
      </w:r>
      <w:r w:rsidR="00E27CA3" w:rsidRPr="00FD242C">
        <w:rPr>
          <w:spacing w:val="-3"/>
        </w:rPr>
        <w:t>ainsi que les</w:t>
      </w:r>
      <w:r w:rsidR="00DB0F04" w:rsidRPr="00FD242C">
        <w:rPr>
          <w:spacing w:val="-3"/>
        </w:rPr>
        <w:t xml:space="preserve"> </w:t>
      </w:r>
      <w:r w:rsidR="00EE43A3" w:rsidRPr="00FD242C">
        <w:t>v</w:t>
      </w:r>
      <w:r w:rsidR="00EE43A3" w:rsidRPr="009325DF">
        <w:t>iolations du droit international humanitaire</w:t>
      </w:r>
      <w:r w:rsidR="00EE43A3" w:rsidRPr="0090326A">
        <w:t xml:space="preserve"> </w:t>
      </w:r>
      <w:r w:rsidRPr="0090326A">
        <w:rPr>
          <w:spacing w:val="-3"/>
        </w:rPr>
        <w:t>commis en République du Mali depuis 2012, y compris les exécutions sommaires, les disparitions forcées, les violences faites aux femmes et aux enfants</w:t>
      </w:r>
      <w:r w:rsidR="00EE43A3" w:rsidRPr="009325DF">
        <w:t xml:space="preserve">, le recrutement et </w:t>
      </w:r>
      <w:r w:rsidR="00E27CA3">
        <w:t>l’</w:t>
      </w:r>
      <w:r w:rsidR="00EE43A3" w:rsidRPr="009325DF">
        <w:t xml:space="preserve">utilisation d’enfants soldats, </w:t>
      </w:r>
      <w:r w:rsidR="00E27CA3">
        <w:t xml:space="preserve">les </w:t>
      </w:r>
      <w:r w:rsidR="00EE43A3" w:rsidRPr="009325DF">
        <w:t xml:space="preserve">attaques contre les écoles, les hôpitaux, les sites religieux </w:t>
      </w:r>
      <w:r w:rsidR="00EE43A3">
        <w:t xml:space="preserve">et </w:t>
      </w:r>
      <w:r w:rsidR="00EE43A3" w:rsidRPr="009325DF">
        <w:t>culturels</w:t>
      </w:r>
      <w:r w:rsidRPr="0090326A">
        <w:rPr>
          <w:spacing w:val="-3"/>
        </w:rPr>
        <w:t>, les pillages, les arrestations et détentions arbitraires, la torture et les traitements cruels, inhumains ou dégradants perpétrés notamment par</w:t>
      </w:r>
      <w:r w:rsidR="00DB0F04" w:rsidRPr="0090326A">
        <w:rPr>
          <w:spacing w:val="-3"/>
        </w:rPr>
        <w:t xml:space="preserve"> </w:t>
      </w:r>
      <w:r w:rsidRPr="0090326A">
        <w:rPr>
          <w:spacing w:val="-3"/>
        </w:rPr>
        <w:t>les groupes armés;</w:t>
      </w:r>
    </w:p>
    <w:p w:rsidR="007A7A9C" w:rsidRPr="0090326A" w:rsidRDefault="007A7A9C" w:rsidP="0090326A">
      <w:pPr>
        <w:pStyle w:val="SingleTxtG"/>
        <w:spacing w:after="100" w:line="236" w:lineRule="exact"/>
        <w:ind w:firstLine="567"/>
        <w:rPr>
          <w:spacing w:val="-3"/>
        </w:rPr>
      </w:pPr>
      <w:r w:rsidRPr="0090326A">
        <w:rPr>
          <w:spacing w:val="-3"/>
        </w:rPr>
        <w:t>3.</w:t>
      </w:r>
      <w:r w:rsidRPr="0090326A">
        <w:rPr>
          <w:spacing w:val="-3"/>
        </w:rPr>
        <w:tab/>
      </w:r>
      <w:r w:rsidRPr="0090326A">
        <w:rPr>
          <w:i/>
          <w:spacing w:val="-3"/>
        </w:rPr>
        <w:t xml:space="preserve">Salue </w:t>
      </w:r>
      <w:r w:rsidRPr="0090326A">
        <w:rPr>
          <w:iCs/>
          <w:spacing w:val="-3"/>
        </w:rPr>
        <w:t xml:space="preserve">les actions entreprises </w:t>
      </w:r>
      <w:r w:rsidRPr="0090326A">
        <w:rPr>
          <w:spacing w:val="-3"/>
        </w:rPr>
        <w:t xml:space="preserve">par le Gouvernement </w:t>
      </w:r>
      <w:r w:rsidR="00661FAB" w:rsidRPr="0090326A">
        <w:rPr>
          <w:spacing w:val="-3"/>
        </w:rPr>
        <w:t>m</w:t>
      </w:r>
      <w:r w:rsidRPr="0090326A">
        <w:rPr>
          <w:spacing w:val="-3"/>
        </w:rPr>
        <w:t>ali</w:t>
      </w:r>
      <w:r w:rsidR="00661FAB" w:rsidRPr="0090326A">
        <w:rPr>
          <w:spacing w:val="-3"/>
        </w:rPr>
        <w:t>en</w:t>
      </w:r>
      <w:r w:rsidRPr="0090326A">
        <w:rPr>
          <w:spacing w:val="-3"/>
        </w:rPr>
        <w:t xml:space="preserve"> en vue de traduire devant une justice impartiale et indépendante tous les auteurs de tels actes, quels que soient leurs statuts ou leurs fonctions;</w:t>
      </w:r>
    </w:p>
    <w:p w:rsidR="007A7A9C" w:rsidRPr="0090326A" w:rsidRDefault="007A7A9C" w:rsidP="00E27CA3">
      <w:pPr>
        <w:pStyle w:val="SingleTxtG"/>
        <w:spacing w:after="100" w:line="236" w:lineRule="exact"/>
        <w:ind w:firstLine="567"/>
        <w:rPr>
          <w:spacing w:val="-3"/>
        </w:rPr>
      </w:pPr>
      <w:r w:rsidRPr="0090326A">
        <w:rPr>
          <w:spacing w:val="-3"/>
        </w:rPr>
        <w:t>4.</w:t>
      </w:r>
      <w:r w:rsidRPr="0090326A">
        <w:rPr>
          <w:spacing w:val="-3"/>
        </w:rPr>
        <w:tab/>
      </w:r>
      <w:r w:rsidRPr="0090326A">
        <w:rPr>
          <w:i/>
          <w:spacing w:val="-3"/>
        </w:rPr>
        <w:t>Se félicite</w:t>
      </w:r>
      <w:r w:rsidRPr="0090326A">
        <w:rPr>
          <w:spacing w:val="-3"/>
        </w:rPr>
        <w:t xml:space="preserve"> de la mise en place au Mali d</w:t>
      </w:r>
      <w:r w:rsidR="00661FAB" w:rsidRPr="0090326A">
        <w:rPr>
          <w:spacing w:val="-3"/>
        </w:rPr>
        <w:t>’</w:t>
      </w:r>
      <w:r w:rsidRPr="0090326A">
        <w:rPr>
          <w:spacing w:val="-3"/>
        </w:rPr>
        <w:t>un Ministère chargé de la réconciliation nationale et salue la volonté des autorités maliennes d’élargir le mandat de la Commission</w:t>
      </w:r>
      <w:r w:rsidR="00DB0F04" w:rsidRPr="0090326A">
        <w:rPr>
          <w:spacing w:val="-3"/>
        </w:rPr>
        <w:t xml:space="preserve"> </w:t>
      </w:r>
      <w:r w:rsidRPr="0090326A">
        <w:rPr>
          <w:spacing w:val="-3"/>
        </w:rPr>
        <w:t>dialogue et réconciliation aux composantes de vérité et de justice</w:t>
      </w:r>
      <w:r w:rsidR="00EE43A3" w:rsidRPr="00C90632">
        <w:rPr>
          <w:spacing w:val="-3"/>
        </w:rPr>
        <w:t xml:space="preserve">, et encourage la Commission </w:t>
      </w:r>
      <w:r w:rsidR="00EA0CD3">
        <w:rPr>
          <w:spacing w:val="-3"/>
        </w:rPr>
        <w:t>à</w:t>
      </w:r>
      <w:r w:rsidR="00EE43A3" w:rsidRPr="00C90632">
        <w:rPr>
          <w:spacing w:val="-3"/>
        </w:rPr>
        <w:t xml:space="preserve"> mettre en place un plan de travail afin de faciliter un progr</w:t>
      </w:r>
      <w:r w:rsidR="00E27CA3">
        <w:rPr>
          <w:spacing w:val="-3"/>
        </w:rPr>
        <w:t>è</w:t>
      </w:r>
      <w:r w:rsidR="00EE43A3" w:rsidRPr="00C90632">
        <w:rPr>
          <w:spacing w:val="-3"/>
        </w:rPr>
        <w:t>s rapide</w:t>
      </w:r>
      <w:r w:rsidRPr="0090326A">
        <w:rPr>
          <w:spacing w:val="-3"/>
        </w:rPr>
        <w:t>;</w:t>
      </w:r>
    </w:p>
    <w:p w:rsidR="007A7A9C" w:rsidRPr="0090326A" w:rsidRDefault="007A7A9C" w:rsidP="0090326A">
      <w:pPr>
        <w:pStyle w:val="SingleTxtG"/>
        <w:spacing w:after="100" w:line="236" w:lineRule="exact"/>
        <w:ind w:firstLine="567"/>
        <w:rPr>
          <w:spacing w:val="-3"/>
        </w:rPr>
      </w:pPr>
      <w:r w:rsidRPr="0090326A">
        <w:rPr>
          <w:spacing w:val="-3"/>
        </w:rPr>
        <w:t>5.</w:t>
      </w:r>
      <w:r w:rsidRPr="0090326A">
        <w:rPr>
          <w:spacing w:val="-3"/>
        </w:rPr>
        <w:tab/>
      </w:r>
      <w:r w:rsidRPr="0090326A">
        <w:rPr>
          <w:i/>
          <w:spacing w:val="-3"/>
        </w:rPr>
        <w:t>Prend note</w:t>
      </w:r>
      <w:r w:rsidRPr="0090326A">
        <w:rPr>
          <w:spacing w:val="-3"/>
        </w:rPr>
        <w:t xml:space="preserve"> de la signature entre la République du Mali et la Cour pénale internationale d</w:t>
      </w:r>
      <w:r w:rsidR="00661FAB" w:rsidRPr="0090326A">
        <w:rPr>
          <w:spacing w:val="-3"/>
        </w:rPr>
        <w:t>’</w:t>
      </w:r>
      <w:r w:rsidRPr="0090326A">
        <w:rPr>
          <w:spacing w:val="-3"/>
        </w:rPr>
        <w:t>un Accord de coopération judiciaire;</w:t>
      </w:r>
    </w:p>
    <w:p w:rsidR="007A7A9C" w:rsidRPr="0090326A" w:rsidRDefault="007A7A9C" w:rsidP="0090326A">
      <w:pPr>
        <w:pStyle w:val="SingleTxtG"/>
        <w:spacing w:after="100" w:line="236" w:lineRule="exact"/>
        <w:ind w:firstLine="567"/>
        <w:rPr>
          <w:spacing w:val="-3"/>
        </w:rPr>
      </w:pPr>
      <w:r w:rsidRPr="0090326A">
        <w:rPr>
          <w:spacing w:val="-3"/>
        </w:rPr>
        <w:t>6.</w:t>
      </w:r>
      <w:r w:rsidRPr="0090326A">
        <w:rPr>
          <w:spacing w:val="-3"/>
        </w:rPr>
        <w:tab/>
      </w:r>
      <w:r w:rsidRPr="0090326A">
        <w:rPr>
          <w:i/>
          <w:spacing w:val="-3"/>
        </w:rPr>
        <w:t>Se félicite</w:t>
      </w:r>
      <w:r w:rsidRPr="0090326A">
        <w:rPr>
          <w:spacing w:val="-3"/>
        </w:rPr>
        <w:t xml:space="preserve"> de la bonne coopération du Mali avec l’</w:t>
      </w:r>
      <w:r w:rsidR="00661FAB" w:rsidRPr="0090326A">
        <w:rPr>
          <w:spacing w:val="-3"/>
        </w:rPr>
        <w:t>E</w:t>
      </w:r>
      <w:r w:rsidRPr="0090326A">
        <w:rPr>
          <w:spacing w:val="-3"/>
        </w:rPr>
        <w:t>xpert indépendant sur la situation des droits de l’</w:t>
      </w:r>
      <w:r w:rsidR="00661FAB" w:rsidRPr="0090326A">
        <w:rPr>
          <w:spacing w:val="-3"/>
        </w:rPr>
        <w:t>h</w:t>
      </w:r>
      <w:r w:rsidRPr="0090326A">
        <w:rPr>
          <w:spacing w:val="-3"/>
        </w:rPr>
        <w:t>omme</w:t>
      </w:r>
      <w:r w:rsidR="004F512A" w:rsidRPr="0090326A">
        <w:rPr>
          <w:spacing w:val="-3"/>
        </w:rPr>
        <w:t xml:space="preserve"> au Mali</w:t>
      </w:r>
      <w:r w:rsidRPr="0090326A">
        <w:rPr>
          <w:spacing w:val="-3"/>
        </w:rPr>
        <w:t>;</w:t>
      </w:r>
    </w:p>
    <w:p w:rsidR="007A7A9C" w:rsidRPr="0090326A" w:rsidRDefault="007A7A9C" w:rsidP="0090326A">
      <w:pPr>
        <w:pStyle w:val="SingleTxtG"/>
        <w:spacing w:after="100" w:line="236" w:lineRule="exact"/>
        <w:ind w:firstLine="567"/>
        <w:rPr>
          <w:spacing w:val="-3"/>
        </w:rPr>
      </w:pPr>
      <w:r w:rsidRPr="0090326A">
        <w:rPr>
          <w:spacing w:val="-3"/>
        </w:rPr>
        <w:t>7.</w:t>
      </w:r>
      <w:r w:rsidRPr="0090326A">
        <w:rPr>
          <w:spacing w:val="-3"/>
        </w:rPr>
        <w:tab/>
      </w:r>
      <w:r w:rsidRPr="0090326A">
        <w:rPr>
          <w:i/>
          <w:spacing w:val="-3"/>
        </w:rPr>
        <w:t>Appelle</w:t>
      </w:r>
      <w:r w:rsidRPr="0090326A">
        <w:rPr>
          <w:spacing w:val="-3"/>
        </w:rPr>
        <w:t xml:space="preserve"> le Gouvernement </w:t>
      </w:r>
      <w:r w:rsidR="00661FAB" w:rsidRPr="0090326A">
        <w:rPr>
          <w:spacing w:val="-3"/>
        </w:rPr>
        <w:t>m</w:t>
      </w:r>
      <w:r w:rsidRPr="0090326A">
        <w:rPr>
          <w:spacing w:val="-3"/>
        </w:rPr>
        <w:t>ali</w:t>
      </w:r>
      <w:r w:rsidR="00661FAB" w:rsidRPr="0090326A">
        <w:rPr>
          <w:spacing w:val="-3"/>
        </w:rPr>
        <w:t>en</w:t>
      </w:r>
      <w:r w:rsidRPr="0090326A">
        <w:rPr>
          <w:spacing w:val="-3"/>
        </w:rPr>
        <w:t xml:space="preserve"> à poursuivre ses efforts en faveur de la protection des droits de l’</w:t>
      </w:r>
      <w:r w:rsidR="00661FAB" w:rsidRPr="0090326A">
        <w:rPr>
          <w:spacing w:val="-3"/>
        </w:rPr>
        <w:t>h</w:t>
      </w:r>
      <w:r w:rsidRPr="0090326A">
        <w:rPr>
          <w:spacing w:val="-3"/>
        </w:rPr>
        <w:t>omme et de la réconciliation nationale, notamment à travers le renforcement de l’appareil judiciaire, le développement de mécanismes de justice transitionnelle et le redéploiement effectif des services de l’État sur l’ensemble du territoire;</w:t>
      </w:r>
    </w:p>
    <w:p w:rsidR="007A7A9C" w:rsidRPr="0090326A" w:rsidRDefault="007A7A9C" w:rsidP="0090326A">
      <w:pPr>
        <w:pStyle w:val="SingleTxtG"/>
        <w:spacing w:after="100" w:line="236" w:lineRule="exact"/>
        <w:ind w:firstLine="567"/>
        <w:rPr>
          <w:spacing w:val="-3"/>
        </w:rPr>
      </w:pPr>
      <w:r w:rsidRPr="0090326A">
        <w:rPr>
          <w:spacing w:val="-3"/>
        </w:rPr>
        <w:t>8.</w:t>
      </w:r>
      <w:r w:rsidRPr="0090326A">
        <w:rPr>
          <w:spacing w:val="-3"/>
        </w:rPr>
        <w:tab/>
      </w:r>
      <w:r w:rsidRPr="0090326A">
        <w:rPr>
          <w:i/>
          <w:spacing w:val="-3"/>
        </w:rPr>
        <w:t>Réitère</w:t>
      </w:r>
      <w:r w:rsidRPr="0090326A">
        <w:rPr>
          <w:spacing w:val="-3"/>
        </w:rPr>
        <w:t xml:space="preserve"> </w:t>
      </w:r>
      <w:r w:rsidRPr="0090326A">
        <w:rPr>
          <w:iCs/>
          <w:spacing w:val="-3"/>
        </w:rPr>
        <w:t xml:space="preserve">son appel </w:t>
      </w:r>
      <w:r w:rsidRPr="0090326A">
        <w:rPr>
          <w:spacing w:val="-3"/>
        </w:rPr>
        <w:t xml:space="preserve">à la pleine participation des femmes au processus de réconciliation, conformément aux résolutions pertinentes du Conseil de </w:t>
      </w:r>
      <w:r w:rsidR="00661FAB" w:rsidRPr="0090326A">
        <w:rPr>
          <w:spacing w:val="-3"/>
        </w:rPr>
        <w:t>s</w:t>
      </w:r>
      <w:r w:rsidRPr="0090326A">
        <w:rPr>
          <w:spacing w:val="-3"/>
        </w:rPr>
        <w:t>écurité;</w:t>
      </w:r>
    </w:p>
    <w:p w:rsidR="007A7A9C" w:rsidRPr="0090326A" w:rsidRDefault="007A7A9C" w:rsidP="0090326A">
      <w:pPr>
        <w:pStyle w:val="SingleTxtG"/>
        <w:spacing w:after="100" w:line="236" w:lineRule="exact"/>
        <w:ind w:firstLine="567"/>
        <w:rPr>
          <w:spacing w:val="-3"/>
        </w:rPr>
      </w:pPr>
      <w:r w:rsidRPr="0090326A">
        <w:rPr>
          <w:spacing w:val="-3"/>
        </w:rPr>
        <w:t>9.</w:t>
      </w:r>
      <w:r w:rsidRPr="0090326A">
        <w:rPr>
          <w:spacing w:val="-3"/>
        </w:rPr>
        <w:tab/>
      </w:r>
      <w:r w:rsidRPr="0090326A">
        <w:rPr>
          <w:i/>
          <w:spacing w:val="-3"/>
        </w:rPr>
        <w:t>Prie instamment</w:t>
      </w:r>
      <w:r w:rsidRPr="0090326A">
        <w:rPr>
          <w:spacing w:val="-3"/>
        </w:rPr>
        <w:t xml:space="preserve"> la communauté internationale de continuer à apporter, en concertation avec le Gouvernement </w:t>
      </w:r>
      <w:r w:rsidR="00661FAB" w:rsidRPr="0090326A">
        <w:rPr>
          <w:spacing w:val="-3"/>
        </w:rPr>
        <w:t>m</w:t>
      </w:r>
      <w:r w:rsidRPr="0090326A">
        <w:rPr>
          <w:spacing w:val="-3"/>
        </w:rPr>
        <w:t>ali</w:t>
      </w:r>
      <w:r w:rsidR="00661FAB" w:rsidRPr="0090326A">
        <w:rPr>
          <w:spacing w:val="-3"/>
        </w:rPr>
        <w:t>en</w:t>
      </w:r>
      <w:r w:rsidRPr="0090326A">
        <w:rPr>
          <w:spacing w:val="-3"/>
        </w:rPr>
        <w:t xml:space="preserve"> et les pays frontaliers concernés, une assistance humanitaire adéquate et sécurisée aux réfugiés et personnes déplacées, dans le but de favoriser le retour volontaire de ces derniers vers leurs lieux d’origine;</w:t>
      </w:r>
    </w:p>
    <w:p w:rsidR="007A7A9C" w:rsidRPr="0090326A" w:rsidRDefault="007A7A9C" w:rsidP="0090326A">
      <w:pPr>
        <w:pStyle w:val="SingleTxtG"/>
        <w:spacing w:after="100" w:line="236" w:lineRule="exact"/>
        <w:ind w:firstLine="567"/>
        <w:rPr>
          <w:spacing w:val="-3"/>
        </w:rPr>
      </w:pPr>
      <w:r w:rsidRPr="0090326A">
        <w:rPr>
          <w:spacing w:val="-3"/>
        </w:rPr>
        <w:t>10.</w:t>
      </w:r>
      <w:r w:rsidRPr="0090326A">
        <w:rPr>
          <w:spacing w:val="-3"/>
        </w:rPr>
        <w:tab/>
      </w:r>
      <w:r w:rsidRPr="0090326A">
        <w:rPr>
          <w:i/>
          <w:spacing w:val="-3"/>
        </w:rPr>
        <w:t>Décide</w:t>
      </w:r>
      <w:r w:rsidRPr="0090326A">
        <w:rPr>
          <w:spacing w:val="-3"/>
        </w:rPr>
        <w:t xml:space="preserve"> de prolonger</w:t>
      </w:r>
      <w:r w:rsidR="00DB0F04" w:rsidRPr="0090326A">
        <w:rPr>
          <w:spacing w:val="-3"/>
        </w:rPr>
        <w:t xml:space="preserve"> </w:t>
      </w:r>
      <w:r w:rsidRPr="0090326A">
        <w:rPr>
          <w:spacing w:val="-3"/>
        </w:rPr>
        <w:t>d’un an le mandat d</w:t>
      </w:r>
      <w:r w:rsidR="007118DA" w:rsidRPr="0090326A">
        <w:rPr>
          <w:spacing w:val="-3"/>
        </w:rPr>
        <w:t>e l</w:t>
      </w:r>
      <w:r w:rsidRPr="0090326A">
        <w:rPr>
          <w:spacing w:val="-3"/>
        </w:rPr>
        <w:t>’</w:t>
      </w:r>
      <w:r w:rsidR="007118DA" w:rsidRPr="0090326A">
        <w:rPr>
          <w:spacing w:val="-3"/>
        </w:rPr>
        <w:t>E</w:t>
      </w:r>
      <w:r w:rsidRPr="0090326A">
        <w:rPr>
          <w:spacing w:val="-3"/>
        </w:rPr>
        <w:t>xpert</w:t>
      </w:r>
      <w:r w:rsidR="00DB0F04" w:rsidRPr="0090326A">
        <w:rPr>
          <w:spacing w:val="-3"/>
        </w:rPr>
        <w:t xml:space="preserve"> </w:t>
      </w:r>
      <w:r w:rsidRPr="0090326A">
        <w:rPr>
          <w:spacing w:val="-3"/>
        </w:rPr>
        <w:t>indépendant sur la situation des droits de l’homme au Mali, en vue d’aider le Gouvernement malien dans ses actions de promotion et de protection des droits de l</w:t>
      </w:r>
      <w:r w:rsidR="00661FAB" w:rsidRPr="0090326A">
        <w:rPr>
          <w:spacing w:val="-3"/>
        </w:rPr>
        <w:t>’</w:t>
      </w:r>
      <w:r w:rsidRPr="0090326A">
        <w:rPr>
          <w:spacing w:val="-3"/>
        </w:rPr>
        <w:t>homme;</w:t>
      </w:r>
    </w:p>
    <w:p w:rsidR="007A7A9C" w:rsidRPr="0090326A" w:rsidRDefault="007A7A9C" w:rsidP="0090326A">
      <w:pPr>
        <w:pStyle w:val="SingleTxtG"/>
        <w:spacing w:after="100" w:line="236" w:lineRule="exact"/>
        <w:ind w:firstLine="567"/>
        <w:rPr>
          <w:spacing w:val="-3"/>
        </w:rPr>
      </w:pPr>
      <w:r w:rsidRPr="0090326A">
        <w:rPr>
          <w:spacing w:val="-3"/>
        </w:rPr>
        <w:t>11.</w:t>
      </w:r>
      <w:r w:rsidRPr="0090326A">
        <w:rPr>
          <w:spacing w:val="-3"/>
        </w:rPr>
        <w:tab/>
      </w:r>
      <w:r w:rsidRPr="0090326A">
        <w:rPr>
          <w:i/>
          <w:spacing w:val="-3"/>
        </w:rPr>
        <w:t>Demande</w:t>
      </w:r>
      <w:r w:rsidRPr="0090326A">
        <w:rPr>
          <w:spacing w:val="-3"/>
        </w:rPr>
        <w:t xml:space="preserve"> à l</w:t>
      </w:r>
      <w:r w:rsidR="00661FAB" w:rsidRPr="0090326A">
        <w:rPr>
          <w:spacing w:val="-3"/>
        </w:rPr>
        <w:t>’E</w:t>
      </w:r>
      <w:r w:rsidRPr="0090326A">
        <w:rPr>
          <w:spacing w:val="-3"/>
        </w:rPr>
        <w:t>xpert indépendant de travailler en étroite collaboration avec toutes les instances des Nations Unies, de l</w:t>
      </w:r>
      <w:r w:rsidR="00661FAB" w:rsidRPr="0090326A">
        <w:rPr>
          <w:spacing w:val="-3"/>
        </w:rPr>
        <w:t>’</w:t>
      </w:r>
      <w:r w:rsidRPr="0090326A">
        <w:rPr>
          <w:spacing w:val="-3"/>
        </w:rPr>
        <w:t xml:space="preserve">Union </w:t>
      </w:r>
      <w:r w:rsidR="007118DA" w:rsidRPr="0090326A">
        <w:rPr>
          <w:spacing w:val="-3"/>
        </w:rPr>
        <w:t>a</w:t>
      </w:r>
      <w:r w:rsidRPr="0090326A">
        <w:rPr>
          <w:spacing w:val="-3"/>
        </w:rPr>
        <w:t>fricaine, de la C</w:t>
      </w:r>
      <w:r w:rsidR="00A84E6D" w:rsidRPr="0090326A">
        <w:rPr>
          <w:spacing w:val="-3"/>
        </w:rPr>
        <w:t>ommunauté économique des États de l’Afrique de l’Ouest</w:t>
      </w:r>
      <w:r w:rsidRPr="0090326A">
        <w:rPr>
          <w:spacing w:val="-3"/>
        </w:rPr>
        <w:t xml:space="preserve">, </w:t>
      </w:r>
      <w:r w:rsidR="007118DA" w:rsidRPr="0090326A">
        <w:rPr>
          <w:spacing w:val="-3"/>
        </w:rPr>
        <w:t xml:space="preserve">ainsi qu’avec </w:t>
      </w:r>
      <w:r w:rsidRPr="0090326A">
        <w:rPr>
          <w:spacing w:val="-3"/>
        </w:rPr>
        <w:t>toute autre organisation internationale concernée</w:t>
      </w:r>
      <w:r w:rsidR="007118DA" w:rsidRPr="0090326A">
        <w:rPr>
          <w:spacing w:val="-3"/>
        </w:rPr>
        <w:t xml:space="preserve"> et</w:t>
      </w:r>
      <w:r w:rsidRPr="0090326A">
        <w:rPr>
          <w:spacing w:val="-3"/>
        </w:rPr>
        <w:t xml:space="preserve"> la société civile malienne</w:t>
      </w:r>
      <w:r w:rsidR="007118DA" w:rsidRPr="0090326A">
        <w:rPr>
          <w:spacing w:val="-3"/>
        </w:rPr>
        <w:t>,</w:t>
      </w:r>
      <w:r w:rsidRPr="0090326A">
        <w:rPr>
          <w:spacing w:val="-3"/>
        </w:rPr>
        <w:t xml:space="preserve"> et de faire rapport au Conseil des droits de l</w:t>
      </w:r>
      <w:r w:rsidR="00661FAB" w:rsidRPr="0090326A">
        <w:rPr>
          <w:spacing w:val="-3"/>
        </w:rPr>
        <w:t>’h</w:t>
      </w:r>
      <w:r w:rsidRPr="0090326A">
        <w:rPr>
          <w:spacing w:val="-3"/>
        </w:rPr>
        <w:t xml:space="preserve">omme à sa </w:t>
      </w:r>
      <w:r w:rsidR="00661FAB" w:rsidRPr="0090326A">
        <w:rPr>
          <w:spacing w:val="-3"/>
        </w:rPr>
        <w:t xml:space="preserve">vingt-huitième </w:t>
      </w:r>
      <w:r w:rsidRPr="0090326A">
        <w:rPr>
          <w:spacing w:val="-3"/>
        </w:rPr>
        <w:t>session;</w:t>
      </w:r>
    </w:p>
    <w:p w:rsidR="007A7A9C" w:rsidRPr="0090326A" w:rsidRDefault="007A7A9C" w:rsidP="0090326A">
      <w:pPr>
        <w:pStyle w:val="SingleTxtG"/>
        <w:spacing w:after="100" w:line="236" w:lineRule="exact"/>
        <w:ind w:firstLine="567"/>
        <w:rPr>
          <w:spacing w:val="-3"/>
        </w:rPr>
      </w:pPr>
      <w:r w:rsidRPr="0090326A">
        <w:rPr>
          <w:spacing w:val="-3"/>
        </w:rPr>
        <w:t>12.</w:t>
      </w:r>
      <w:r w:rsidRPr="0090326A">
        <w:rPr>
          <w:spacing w:val="-3"/>
        </w:rPr>
        <w:tab/>
      </w:r>
      <w:r w:rsidRPr="0090326A">
        <w:rPr>
          <w:i/>
          <w:spacing w:val="-3"/>
        </w:rPr>
        <w:t>Prie</w:t>
      </w:r>
      <w:r w:rsidRPr="0090326A">
        <w:rPr>
          <w:spacing w:val="-3"/>
        </w:rPr>
        <w:t xml:space="preserve"> le Secrétaire </w:t>
      </w:r>
      <w:r w:rsidR="00661FAB" w:rsidRPr="0090326A">
        <w:rPr>
          <w:spacing w:val="-3"/>
        </w:rPr>
        <w:t>g</w:t>
      </w:r>
      <w:r w:rsidRPr="0090326A">
        <w:rPr>
          <w:spacing w:val="-3"/>
        </w:rPr>
        <w:t xml:space="preserve">énéral </w:t>
      </w:r>
      <w:r w:rsidR="00661FAB" w:rsidRPr="0090326A">
        <w:rPr>
          <w:spacing w:val="-3"/>
        </w:rPr>
        <w:t xml:space="preserve">de l’Organisation </w:t>
      </w:r>
      <w:r w:rsidRPr="0090326A">
        <w:rPr>
          <w:spacing w:val="-3"/>
        </w:rPr>
        <w:t>des Nations Unies et la Haut-</w:t>
      </w:r>
      <w:r w:rsidR="00661FAB" w:rsidRPr="0090326A">
        <w:rPr>
          <w:spacing w:val="-3"/>
        </w:rPr>
        <w:t>C</w:t>
      </w:r>
      <w:r w:rsidRPr="0090326A">
        <w:rPr>
          <w:spacing w:val="-3"/>
        </w:rPr>
        <w:t>ommissaire des Nations Unies aux droits de l</w:t>
      </w:r>
      <w:r w:rsidR="00661FAB" w:rsidRPr="0090326A">
        <w:rPr>
          <w:spacing w:val="-3"/>
        </w:rPr>
        <w:t>’h</w:t>
      </w:r>
      <w:r w:rsidRPr="0090326A">
        <w:rPr>
          <w:spacing w:val="-3"/>
        </w:rPr>
        <w:t>omme de fournir à l’</w:t>
      </w:r>
      <w:r w:rsidR="00661FAB" w:rsidRPr="0090326A">
        <w:rPr>
          <w:spacing w:val="-3"/>
        </w:rPr>
        <w:t>E</w:t>
      </w:r>
      <w:r w:rsidRPr="0090326A">
        <w:rPr>
          <w:spacing w:val="-3"/>
        </w:rPr>
        <w:t>xpert indépendant toute l’assistance dont il aura besoin pour s’acquitter pleinement de son mandat;</w:t>
      </w:r>
    </w:p>
    <w:p w:rsidR="00840F12" w:rsidRDefault="007A7A9C" w:rsidP="0090326A">
      <w:pPr>
        <w:pStyle w:val="SingleTxtG"/>
        <w:spacing w:after="100" w:line="236" w:lineRule="exact"/>
        <w:ind w:firstLine="567"/>
        <w:rPr>
          <w:spacing w:val="-3"/>
        </w:rPr>
      </w:pPr>
      <w:r w:rsidRPr="0090326A">
        <w:rPr>
          <w:spacing w:val="-3"/>
        </w:rPr>
        <w:t>13.</w:t>
      </w:r>
      <w:r w:rsidRPr="0090326A">
        <w:rPr>
          <w:spacing w:val="-3"/>
        </w:rPr>
        <w:tab/>
      </w:r>
      <w:r w:rsidRPr="0090326A">
        <w:rPr>
          <w:i/>
          <w:spacing w:val="-3"/>
        </w:rPr>
        <w:t>Encourage</w:t>
      </w:r>
      <w:r w:rsidRPr="0090326A">
        <w:rPr>
          <w:spacing w:val="-3"/>
        </w:rPr>
        <w:t xml:space="preserve"> les États </w:t>
      </w:r>
      <w:r w:rsidR="00661FAB" w:rsidRPr="0090326A">
        <w:rPr>
          <w:spacing w:val="-3"/>
        </w:rPr>
        <w:t>M</w:t>
      </w:r>
      <w:r w:rsidRPr="0090326A">
        <w:rPr>
          <w:spacing w:val="-3"/>
        </w:rPr>
        <w:t>embres de l’Organisation des Nations Unies, dans le cadre de la coopération internationale, les organismes compétents des Nations Unies, les institutions financières internationales et toute autre organisation internationale concernée à fournir au Mali une assistance technique et une aide au renforcement des capacités, en vue de promouvoir le respect des droits de l’homme et réformer le</w:t>
      </w:r>
      <w:r w:rsidR="00DB0F04" w:rsidRPr="0090326A">
        <w:rPr>
          <w:spacing w:val="-3"/>
        </w:rPr>
        <w:t xml:space="preserve"> </w:t>
      </w:r>
      <w:r w:rsidRPr="0090326A">
        <w:rPr>
          <w:spacing w:val="-3"/>
        </w:rPr>
        <w:t>domaine de la justice;</w:t>
      </w:r>
    </w:p>
    <w:p w:rsidR="00FF1B1D" w:rsidRDefault="00840F12" w:rsidP="0090326A">
      <w:pPr>
        <w:pStyle w:val="SingleTxtG"/>
        <w:spacing w:after="100" w:line="236" w:lineRule="exact"/>
        <w:ind w:firstLine="567"/>
        <w:rPr>
          <w:spacing w:val="-3"/>
        </w:rPr>
      </w:pPr>
      <w:r>
        <w:rPr>
          <w:spacing w:val="-3"/>
        </w:rPr>
        <w:br w:type="page"/>
      </w:r>
      <w:r w:rsidR="007A7A9C" w:rsidRPr="0090326A">
        <w:rPr>
          <w:spacing w:val="-3"/>
        </w:rPr>
        <w:t>14.</w:t>
      </w:r>
      <w:r w:rsidR="007A7A9C" w:rsidRPr="0090326A">
        <w:rPr>
          <w:spacing w:val="-3"/>
        </w:rPr>
        <w:tab/>
      </w:r>
      <w:r w:rsidR="007A7A9C" w:rsidRPr="0090326A">
        <w:rPr>
          <w:i/>
          <w:spacing w:val="-3"/>
        </w:rPr>
        <w:t>Décide</w:t>
      </w:r>
      <w:r w:rsidR="007A7A9C" w:rsidRPr="0090326A">
        <w:rPr>
          <w:spacing w:val="-3"/>
        </w:rPr>
        <w:t xml:space="preserve"> de demeurer saisi de cette question.</w:t>
      </w:r>
    </w:p>
    <w:p w:rsidR="000045DF" w:rsidRPr="00AA542A" w:rsidRDefault="000045DF" w:rsidP="000045DF">
      <w:pPr>
        <w:pStyle w:val="SingleTxtG"/>
        <w:spacing w:after="0"/>
        <w:ind w:firstLine="567"/>
        <w:jc w:val="right"/>
        <w:rPr>
          <w:i/>
          <w:lang w:val="fr-FR"/>
        </w:rPr>
      </w:pPr>
      <w:r w:rsidRPr="00FD242C">
        <w:rPr>
          <w:i/>
          <w:lang w:val="fr-FR"/>
        </w:rPr>
        <w:t>56</w:t>
      </w:r>
      <w:r w:rsidRPr="00FD242C">
        <w:rPr>
          <w:i/>
          <w:vertAlign w:val="superscript"/>
          <w:lang w:val="fr-FR"/>
        </w:rPr>
        <w:t>e</w:t>
      </w:r>
      <w:r w:rsidRPr="00FD242C">
        <w:rPr>
          <w:i/>
          <w:lang w:val="fr-FR"/>
        </w:rPr>
        <w:t xml:space="preserve"> séance</w:t>
      </w:r>
    </w:p>
    <w:p w:rsidR="000045DF" w:rsidRPr="00AA542A" w:rsidRDefault="000045DF" w:rsidP="000045DF">
      <w:pPr>
        <w:pStyle w:val="SingleTxtG"/>
        <w:spacing w:after="0"/>
        <w:ind w:firstLine="567"/>
        <w:jc w:val="right"/>
        <w:rPr>
          <w:i/>
          <w:lang w:val="fr-FR"/>
        </w:rPr>
      </w:pPr>
      <w:r>
        <w:rPr>
          <w:i/>
          <w:lang w:val="fr-FR"/>
        </w:rPr>
        <w:t>28 mars</w:t>
      </w:r>
      <w:r w:rsidRPr="00AA542A">
        <w:rPr>
          <w:i/>
          <w:lang w:val="fr-FR"/>
        </w:rPr>
        <w:t xml:space="preserve"> 201</w:t>
      </w:r>
      <w:r>
        <w:rPr>
          <w:i/>
          <w:lang w:val="fr-FR"/>
        </w:rPr>
        <w:t>4</w:t>
      </w:r>
    </w:p>
    <w:p w:rsidR="000045DF" w:rsidRPr="00DA1778" w:rsidRDefault="000045DF" w:rsidP="0084187E">
      <w:pPr>
        <w:pStyle w:val="SingleTxtG"/>
        <w:rPr>
          <w:lang w:val="fr-FR"/>
        </w:rPr>
      </w:pPr>
      <w:r w:rsidRPr="00D563E7">
        <w:rPr>
          <w:lang w:val="fr-FR"/>
        </w:rPr>
        <w:t>[Adoptée sans vote.]</w:t>
      </w:r>
    </w:p>
    <w:p w:rsidR="007A7A9C" w:rsidRDefault="007A7A9C" w:rsidP="0090326A">
      <w:pPr>
        <w:pStyle w:val="SingleTxtG"/>
        <w:spacing w:before="120" w:after="0" w:line="240" w:lineRule="auto"/>
        <w:jc w:val="center"/>
        <w:rPr>
          <w:u w:val="single"/>
        </w:rPr>
      </w:pPr>
      <w:r>
        <w:rPr>
          <w:u w:val="single"/>
        </w:rPr>
        <w:tab/>
      </w:r>
      <w:r>
        <w:rPr>
          <w:u w:val="single"/>
        </w:rPr>
        <w:tab/>
      </w:r>
      <w:r>
        <w:rPr>
          <w:u w:val="single"/>
        </w:rPr>
        <w:tab/>
      </w:r>
    </w:p>
    <w:p w:rsidR="000045DF" w:rsidRPr="007A7A9C" w:rsidRDefault="000045DF" w:rsidP="0090326A">
      <w:pPr>
        <w:pStyle w:val="SingleTxtG"/>
        <w:spacing w:before="120" w:after="0" w:line="240" w:lineRule="auto"/>
        <w:jc w:val="center"/>
        <w:rPr>
          <w:u w:val="single"/>
        </w:rPr>
      </w:pPr>
    </w:p>
    <w:sectPr w:rsidR="000045DF" w:rsidRPr="007A7A9C" w:rsidSect="00A36CE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3C5" w:rsidRDefault="00ED33C5"/>
  </w:endnote>
  <w:endnote w:type="continuationSeparator" w:id="0">
    <w:p w:rsidR="00ED33C5" w:rsidRDefault="00ED33C5"/>
  </w:endnote>
  <w:endnote w:type="continuationNotice" w:id="1">
    <w:p w:rsidR="00ED33C5" w:rsidRPr="00770C75" w:rsidRDefault="00ED33C5" w:rsidP="00770C75">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3C5" w:rsidRPr="00A36CE0" w:rsidRDefault="00ED33C5" w:rsidP="008D2ECB">
    <w:pPr>
      <w:pStyle w:val="Footer"/>
      <w:tabs>
        <w:tab w:val="right" w:pos="9638"/>
      </w:tabs>
    </w:pPr>
    <w:r w:rsidRPr="00A36CE0">
      <w:rPr>
        <w:b/>
        <w:sz w:val="18"/>
      </w:rPr>
      <w:fldChar w:fldCharType="begin"/>
    </w:r>
    <w:r w:rsidRPr="00A36CE0">
      <w:rPr>
        <w:b/>
        <w:sz w:val="18"/>
      </w:rPr>
      <w:instrText xml:space="preserve"> PAGE  \* MERGEFORMAT </w:instrText>
    </w:r>
    <w:r w:rsidRPr="00A36CE0">
      <w:rPr>
        <w:b/>
        <w:sz w:val="18"/>
      </w:rPr>
      <w:fldChar w:fldCharType="separate"/>
    </w:r>
    <w:r>
      <w:rPr>
        <w:b/>
        <w:noProof/>
        <w:sz w:val="18"/>
      </w:rPr>
      <w:t>2</w:t>
    </w:r>
    <w:r w:rsidRPr="00A36CE0">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3C5" w:rsidRPr="00A36CE0" w:rsidRDefault="00ED33C5" w:rsidP="006E3DE4">
    <w:pPr>
      <w:pStyle w:val="Footer"/>
      <w:tabs>
        <w:tab w:val="right" w:pos="9638"/>
      </w:tabs>
      <w:jc w:val="right"/>
      <w:rPr>
        <w:b/>
        <w:sz w:val="18"/>
      </w:rPr>
    </w:pPr>
    <w:r w:rsidRPr="00A36CE0">
      <w:rPr>
        <w:b/>
        <w:sz w:val="18"/>
      </w:rPr>
      <w:fldChar w:fldCharType="begin"/>
    </w:r>
    <w:r w:rsidRPr="00A36CE0">
      <w:rPr>
        <w:b/>
        <w:sz w:val="18"/>
      </w:rPr>
      <w:instrText xml:space="preserve"> PAGE  \* MERGEFORMAT </w:instrText>
    </w:r>
    <w:r w:rsidRPr="00A36CE0">
      <w:rPr>
        <w:b/>
        <w:sz w:val="18"/>
      </w:rPr>
      <w:fldChar w:fldCharType="separate"/>
    </w:r>
    <w:r>
      <w:rPr>
        <w:b/>
        <w:noProof/>
        <w:sz w:val="18"/>
      </w:rPr>
      <w:t>3</w:t>
    </w:r>
    <w:r w:rsidRPr="00A36CE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3C5" w:rsidRPr="001D18FE" w:rsidRDefault="00ED33C5" w:rsidP="00541AB5">
    <w:pPr>
      <w:spacing w:before="120"/>
    </w:pPr>
    <w:r>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40.15pt;margin-top:651.95pt;width:86.95pt;height:18.35pt;z-index:1;mso-position-horizontal-relative:margin;mso-position-vertical-relative:margin">
          <v:imagedata r:id="rId1" o:title="recycle_French"/>
          <w10:wrap anchorx="margin" anchory="margin"/>
        </v:shape>
      </w:pict>
    </w:r>
    <w:r>
      <w:t>GE.14-13569</w:t>
    </w:r>
    <w:r>
      <w:br/>
    </w:r>
    <w:r w:rsidRPr="00541AB5">
      <w:rPr>
        <w:rFonts w:ascii="C39T30Lfz" w:hAnsi="C39T30Lfz"/>
        <w:sz w:val="56"/>
      </w:rPr>
      <w:t></w:t>
    </w:r>
    <w:r w:rsidRPr="00541AB5">
      <w:rPr>
        <w:rFonts w:ascii="C39T30Lfz" w:hAnsi="C39T30Lfz"/>
        <w:sz w:val="56"/>
      </w:rPr>
      <w:t></w:t>
    </w:r>
    <w:r w:rsidRPr="00541AB5">
      <w:rPr>
        <w:rFonts w:ascii="C39T30Lfz" w:hAnsi="C39T30Lfz"/>
        <w:sz w:val="56"/>
      </w:rPr>
      <w:t></w:t>
    </w:r>
    <w:r w:rsidRPr="00541AB5">
      <w:rPr>
        <w:rFonts w:ascii="C39T30Lfz" w:hAnsi="C39T30Lfz"/>
        <w:sz w:val="56"/>
      </w:rPr>
      <w:t></w:t>
    </w:r>
    <w:r w:rsidRPr="00541AB5">
      <w:rPr>
        <w:rFonts w:ascii="C39T30Lfz" w:hAnsi="C39T30Lfz"/>
        <w:sz w:val="56"/>
      </w:rPr>
      <w:t></w:t>
    </w:r>
    <w:r w:rsidRPr="00541AB5">
      <w:rPr>
        <w:rFonts w:ascii="C39T30Lfz" w:hAnsi="C39T30Lfz"/>
        <w:sz w:val="56"/>
      </w:rPr>
      <w:t></w:t>
    </w:r>
    <w:r w:rsidRPr="00541AB5">
      <w:rPr>
        <w:rFonts w:ascii="C39T30Lfz" w:hAnsi="C39T30Lfz"/>
        <w:sz w:val="56"/>
      </w:rPr>
      <w:t></w:t>
    </w:r>
    <w:r w:rsidRPr="00541AB5">
      <w:rPr>
        <w:rFonts w:ascii="C39T30Lfz" w:hAnsi="C39T30Lfz"/>
        <w:sz w:val="56"/>
      </w:rPr>
      <w:t></w:t>
    </w:r>
    <w:r w:rsidRPr="00541AB5">
      <w:rPr>
        <w:rFonts w:ascii="C39T30Lfz" w:hAnsi="C39T30Lfz"/>
        <w:sz w:val="56"/>
      </w:rPr>
      <w:t></w:t>
    </w:r>
    <w:r>
      <w:rPr>
        <w:noProof/>
        <w:lang w:val="fr-FR" w:eastAsia="fr-FR"/>
      </w:rPr>
      <w:pict>
        <v:shape id="_x0000_s2052" type="#_x0000_t75" style="position:absolute;margin-left:432.25pt;margin-top:632.1pt;width:50.25pt;height:50.25pt;z-index:2;mso-position-horizontal-relative:margin;mso-position-vertical-relative:margin">
          <v:imagedata r:id="rId2" o:title="36&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3C5" w:rsidRPr="00D27D5E" w:rsidRDefault="00ED33C5" w:rsidP="00D27D5E">
      <w:pPr>
        <w:tabs>
          <w:tab w:val="right" w:pos="2155"/>
        </w:tabs>
        <w:spacing w:after="80"/>
        <w:ind w:left="680"/>
        <w:rPr>
          <w:u w:val="single"/>
        </w:rPr>
      </w:pPr>
      <w:r>
        <w:rPr>
          <w:u w:val="single"/>
        </w:rPr>
        <w:tab/>
      </w:r>
    </w:p>
  </w:footnote>
  <w:footnote w:type="continuationSeparator" w:id="0">
    <w:p w:rsidR="00ED33C5" w:rsidRPr="001D7014" w:rsidRDefault="00ED33C5" w:rsidP="001D7014">
      <w:pPr>
        <w:tabs>
          <w:tab w:val="right" w:pos="2155"/>
        </w:tabs>
        <w:spacing w:after="80"/>
        <w:ind w:left="680"/>
        <w:rPr>
          <w:u w:val="single"/>
        </w:rPr>
      </w:pPr>
      <w:r w:rsidRPr="001D7014">
        <w:rPr>
          <w:u w:val="single"/>
        </w:rPr>
        <w:tab/>
      </w:r>
    </w:p>
  </w:footnote>
  <w:footnote w:type="continuationNotice" w:id="1">
    <w:p w:rsidR="00ED33C5" w:rsidRPr="00770C75" w:rsidRDefault="00ED33C5" w:rsidP="00770C75">
      <w:pPr>
        <w:spacing w:line="240" w:lineRule="auto"/>
        <w:rPr>
          <w:sz w:val="2"/>
          <w:szCs w:val="2"/>
        </w:rPr>
      </w:pPr>
    </w:p>
  </w:footnote>
  <w:footnote w:id="2">
    <w:p w:rsidR="00ED33C5" w:rsidRDefault="00ED33C5" w:rsidP="00F34291">
      <w:pPr>
        <w:pStyle w:val="FootnoteText"/>
        <w:widowControl w:val="0"/>
        <w:tabs>
          <w:tab w:val="clear" w:pos="1021"/>
          <w:tab w:val="right" w:pos="1020"/>
        </w:tabs>
      </w:pPr>
      <w:r>
        <w:tab/>
      </w:r>
      <w:r>
        <w:rPr>
          <w:rStyle w:val="FootnoteReference"/>
        </w:rPr>
        <w:footnoteRef/>
      </w:r>
      <w:r>
        <w:tab/>
      </w:r>
      <w:r w:rsidRPr="00977DEB">
        <w:t>A/HRC/25/72</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3C5" w:rsidRPr="00A36CE0" w:rsidRDefault="00ED33C5">
    <w:pPr>
      <w:pStyle w:val="Header"/>
    </w:pPr>
    <w:r>
      <w:t>A/HRC/25/36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3C5" w:rsidRPr="00A36CE0" w:rsidRDefault="00ED33C5" w:rsidP="00C14CFB">
    <w:pPr>
      <w:pStyle w:val="Header"/>
      <w:jc w:val="right"/>
    </w:pPr>
    <w:r>
      <w:t>A/HRC/25/36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7464D56"/>
    <w:lvl w:ilvl="0">
      <w:start w:val="1"/>
      <w:numFmt w:val="decimal"/>
      <w:lvlText w:val="%1."/>
      <w:lvlJc w:val="left"/>
      <w:pPr>
        <w:tabs>
          <w:tab w:val="num" w:pos="1492"/>
        </w:tabs>
        <w:ind w:left="1492" w:hanging="360"/>
      </w:pPr>
    </w:lvl>
  </w:abstractNum>
  <w:abstractNum w:abstractNumId="1">
    <w:nsid w:val="FFFFFF7D"/>
    <w:multiLevelType w:val="singleLevel"/>
    <w:tmpl w:val="B39CD4BE"/>
    <w:lvl w:ilvl="0">
      <w:start w:val="1"/>
      <w:numFmt w:val="decimal"/>
      <w:lvlText w:val="%1."/>
      <w:lvlJc w:val="left"/>
      <w:pPr>
        <w:tabs>
          <w:tab w:val="num" w:pos="1209"/>
        </w:tabs>
        <w:ind w:left="1209" w:hanging="360"/>
      </w:pPr>
    </w:lvl>
  </w:abstractNum>
  <w:abstractNum w:abstractNumId="2">
    <w:nsid w:val="FFFFFF7E"/>
    <w:multiLevelType w:val="singleLevel"/>
    <w:tmpl w:val="6B984198"/>
    <w:lvl w:ilvl="0">
      <w:start w:val="1"/>
      <w:numFmt w:val="decimal"/>
      <w:lvlText w:val="%1."/>
      <w:lvlJc w:val="left"/>
      <w:pPr>
        <w:tabs>
          <w:tab w:val="num" w:pos="926"/>
        </w:tabs>
        <w:ind w:left="926" w:hanging="360"/>
      </w:pPr>
    </w:lvl>
  </w:abstractNum>
  <w:abstractNum w:abstractNumId="3">
    <w:nsid w:val="FFFFFF7F"/>
    <w:multiLevelType w:val="singleLevel"/>
    <w:tmpl w:val="8A7AEF6A"/>
    <w:lvl w:ilvl="0">
      <w:start w:val="1"/>
      <w:numFmt w:val="decimal"/>
      <w:lvlText w:val="%1."/>
      <w:lvlJc w:val="left"/>
      <w:pPr>
        <w:tabs>
          <w:tab w:val="num" w:pos="643"/>
        </w:tabs>
        <w:ind w:left="643" w:hanging="360"/>
      </w:pPr>
    </w:lvl>
  </w:abstractNum>
  <w:abstractNum w:abstractNumId="4">
    <w:nsid w:val="FFFFFF80"/>
    <w:multiLevelType w:val="singleLevel"/>
    <w:tmpl w:val="2E54B2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EEE5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36B5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4408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30D57C"/>
    <w:lvl w:ilvl="0">
      <w:start w:val="1"/>
      <w:numFmt w:val="decimal"/>
      <w:lvlText w:val="%1."/>
      <w:lvlJc w:val="left"/>
      <w:pPr>
        <w:tabs>
          <w:tab w:val="num" w:pos="360"/>
        </w:tabs>
        <w:ind w:left="360" w:hanging="360"/>
      </w:pPr>
    </w:lvl>
  </w:abstractNum>
  <w:abstractNum w:abstractNumId="9">
    <w:nsid w:val="FFFFFF89"/>
    <w:multiLevelType w:val="singleLevel"/>
    <w:tmpl w:val="78FE20CE"/>
    <w:lvl w:ilvl="0">
      <w:start w:val="1"/>
      <w:numFmt w:val="bullet"/>
      <w:lvlText w:val=""/>
      <w:lvlJc w:val="left"/>
      <w:pPr>
        <w:tabs>
          <w:tab w:val="num" w:pos="360"/>
        </w:tabs>
        <w:ind w:left="360" w:hanging="360"/>
      </w:pPr>
      <w:rPr>
        <w:rFonts w:ascii="Symbol" w:hAnsi="Symbol" w:hint="default"/>
      </w:rPr>
    </w:lvl>
  </w:abstractNum>
  <w:abstractNum w:abstractNumId="10">
    <w:nsid w:val="2B3F49C6"/>
    <w:multiLevelType w:val="singleLevel"/>
    <w:tmpl w:val="720CB540"/>
    <w:lvl w:ilvl="0">
      <w:start w:val="1"/>
      <w:numFmt w:val="lowerRoman"/>
      <w:lvlText w:val="(%1)"/>
      <w:lvlJc w:val="right"/>
      <w:pPr>
        <w:tabs>
          <w:tab w:val="num" w:pos="2160"/>
        </w:tabs>
        <w:ind w:left="2160" w:hanging="516"/>
      </w:pPr>
    </w:lvl>
  </w:abstractNum>
  <w:abstractNum w:abstractNumId="11">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6"/>
  </w:num>
  <w:num w:numId="2">
    <w:abstractNumId w:val="10"/>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1"/>
  </w:num>
  <w:num w:numId="14">
    <w:abstractNumId w:val="15"/>
  </w:num>
  <w:num w:numId="15">
    <w:abstractNumId w:val="14"/>
  </w:num>
  <w:num w:numId="16">
    <w:abstractNumId w:val="13"/>
  </w:num>
  <w:num w:numId="17">
    <w:abstractNumId w:val="12"/>
  </w:num>
  <w:num w:numId="18">
    <w:abstractNumId w:val="13"/>
  </w:num>
  <w:num w:numId="19">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proofState w:spelling="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0752"/>
    <w:rsid w:val="000045DF"/>
    <w:rsid w:val="00012749"/>
    <w:rsid w:val="00016AC5"/>
    <w:rsid w:val="00031250"/>
    <w:rsid w:val="00045214"/>
    <w:rsid w:val="00053654"/>
    <w:rsid w:val="00057BC0"/>
    <w:rsid w:val="000675FE"/>
    <w:rsid w:val="000A18A8"/>
    <w:rsid w:val="000A63CB"/>
    <w:rsid w:val="000B058F"/>
    <w:rsid w:val="000B71F6"/>
    <w:rsid w:val="000E03D2"/>
    <w:rsid w:val="000F41F2"/>
    <w:rsid w:val="000F4766"/>
    <w:rsid w:val="00101E01"/>
    <w:rsid w:val="00133B7A"/>
    <w:rsid w:val="001370FA"/>
    <w:rsid w:val="00145B6F"/>
    <w:rsid w:val="0014763D"/>
    <w:rsid w:val="00153B2E"/>
    <w:rsid w:val="00160540"/>
    <w:rsid w:val="00170BBF"/>
    <w:rsid w:val="00175E00"/>
    <w:rsid w:val="00180F79"/>
    <w:rsid w:val="00192EEB"/>
    <w:rsid w:val="001A20FB"/>
    <w:rsid w:val="001B6907"/>
    <w:rsid w:val="001C6647"/>
    <w:rsid w:val="001D7014"/>
    <w:rsid w:val="001E3FEB"/>
    <w:rsid w:val="001E4A02"/>
    <w:rsid w:val="00214719"/>
    <w:rsid w:val="00217DB9"/>
    <w:rsid w:val="00222AF8"/>
    <w:rsid w:val="002343E7"/>
    <w:rsid w:val="00245084"/>
    <w:rsid w:val="00245F2B"/>
    <w:rsid w:val="00263C57"/>
    <w:rsid w:val="002659F1"/>
    <w:rsid w:val="002669EB"/>
    <w:rsid w:val="00270752"/>
    <w:rsid w:val="00286F7E"/>
    <w:rsid w:val="00287E79"/>
    <w:rsid w:val="002928F9"/>
    <w:rsid w:val="002A5D07"/>
    <w:rsid w:val="002C7303"/>
    <w:rsid w:val="002D6D59"/>
    <w:rsid w:val="002F13ED"/>
    <w:rsid w:val="003016B7"/>
    <w:rsid w:val="00314189"/>
    <w:rsid w:val="003310CA"/>
    <w:rsid w:val="003515AA"/>
    <w:rsid w:val="00374106"/>
    <w:rsid w:val="00375577"/>
    <w:rsid w:val="0037787B"/>
    <w:rsid w:val="003964CF"/>
    <w:rsid w:val="003976D5"/>
    <w:rsid w:val="003D1083"/>
    <w:rsid w:val="003D3AE8"/>
    <w:rsid w:val="003D6C68"/>
    <w:rsid w:val="003F200F"/>
    <w:rsid w:val="004159D0"/>
    <w:rsid w:val="004736F4"/>
    <w:rsid w:val="00481744"/>
    <w:rsid w:val="0048307C"/>
    <w:rsid w:val="004B2F4D"/>
    <w:rsid w:val="004F04D5"/>
    <w:rsid w:val="004F512A"/>
    <w:rsid w:val="00502357"/>
    <w:rsid w:val="00503619"/>
    <w:rsid w:val="00536709"/>
    <w:rsid w:val="005369F9"/>
    <w:rsid w:val="00541AB5"/>
    <w:rsid w:val="00571F41"/>
    <w:rsid w:val="005806EC"/>
    <w:rsid w:val="00594033"/>
    <w:rsid w:val="0059424E"/>
    <w:rsid w:val="005D40D4"/>
    <w:rsid w:val="005E092E"/>
    <w:rsid w:val="005E453D"/>
    <w:rsid w:val="005E5D1F"/>
    <w:rsid w:val="00612D48"/>
    <w:rsid w:val="00616B45"/>
    <w:rsid w:val="00636858"/>
    <w:rsid w:val="006439EC"/>
    <w:rsid w:val="00652A29"/>
    <w:rsid w:val="0066019F"/>
    <w:rsid w:val="0066166E"/>
    <w:rsid w:val="00661FAB"/>
    <w:rsid w:val="006739B9"/>
    <w:rsid w:val="006A521F"/>
    <w:rsid w:val="006B4590"/>
    <w:rsid w:val="006C340C"/>
    <w:rsid w:val="006D2795"/>
    <w:rsid w:val="006D46CC"/>
    <w:rsid w:val="006D72A1"/>
    <w:rsid w:val="006E0516"/>
    <w:rsid w:val="006E3DE4"/>
    <w:rsid w:val="0070347C"/>
    <w:rsid w:val="00705BA0"/>
    <w:rsid w:val="007118DA"/>
    <w:rsid w:val="007170F0"/>
    <w:rsid w:val="00743F9E"/>
    <w:rsid w:val="00750197"/>
    <w:rsid w:val="007571FB"/>
    <w:rsid w:val="00757B26"/>
    <w:rsid w:val="007602DF"/>
    <w:rsid w:val="00761191"/>
    <w:rsid w:val="00770C75"/>
    <w:rsid w:val="00774E57"/>
    <w:rsid w:val="00785BA2"/>
    <w:rsid w:val="00786ACC"/>
    <w:rsid w:val="00792548"/>
    <w:rsid w:val="007A02D1"/>
    <w:rsid w:val="007A7A9C"/>
    <w:rsid w:val="007C2C4F"/>
    <w:rsid w:val="007C6408"/>
    <w:rsid w:val="007D30F7"/>
    <w:rsid w:val="007E7740"/>
    <w:rsid w:val="007F4E33"/>
    <w:rsid w:val="0081197C"/>
    <w:rsid w:val="0081511E"/>
    <w:rsid w:val="008353D6"/>
    <w:rsid w:val="00840F12"/>
    <w:rsid w:val="0084187E"/>
    <w:rsid w:val="008436E3"/>
    <w:rsid w:val="00844750"/>
    <w:rsid w:val="0087266B"/>
    <w:rsid w:val="00874217"/>
    <w:rsid w:val="008879F1"/>
    <w:rsid w:val="008921DD"/>
    <w:rsid w:val="0089595B"/>
    <w:rsid w:val="008A09C6"/>
    <w:rsid w:val="008D2ECB"/>
    <w:rsid w:val="008D7C08"/>
    <w:rsid w:val="008E7FAE"/>
    <w:rsid w:val="009010AF"/>
    <w:rsid w:val="0090326A"/>
    <w:rsid w:val="00911BF7"/>
    <w:rsid w:val="009227BC"/>
    <w:rsid w:val="00922FE1"/>
    <w:rsid w:val="009373DD"/>
    <w:rsid w:val="009375DE"/>
    <w:rsid w:val="009509BF"/>
    <w:rsid w:val="0096389A"/>
    <w:rsid w:val="00977DEB"/>
    <w:rsid w:val="00977EC8"/>
    <w:rsid w:val="00981C83"/>
    <w:rsid w:val="009A2DCB"/>
    <w:rsid w:val="009B5609"/>
    <w:rsid w:val="009B689A"/>
    <w:rsid w:val="009C4561"/>
    <w:rsid w:val="009C54EB"/>
    <w:rsid w:val="009D3A8C"/>
    <w:rsid w:val="009E7956"/>
    <w:rsid w:val="009F450E"/>
    <w:rsid w:val="00A2492E"/>
    <w:rsid w:val="00A36CE0"/>
    <w:rsid w:val="00A6127E"/>
    <w:rsid w:val="00A61CD2"/>
    <w:rsid w:val="00A63BBD"/>
    <w:rsid w:val="00A73620"/>
    <w:rsid w:val="00A83FC0"/>
    <w:rsid w:val="00A84E6D"/>
    <w:rsid w:val="00AC4772"/>
    <w:rsid w:val="00AC47AD"/>
    <w:rsid w:val="00AC7977"/>
    <w:rsid w:val="00AD20C4"/>
    <w:rsid w:val="00AD5B1A"/>
    <w:rsid w:val="00AE0E05"/>
    <w:rsid w:val="00AE352C"/>
    <w:rsid w:val="00AF2713"/>
    <w:rsid w:val="00B014E4"/>
    <w:rsid w:val="00B16EBF"/>
    <w:rsid w:val="00B26E01"/>
    <w:rsid w:val="00B305CF"/>
    <w:rsid w:val="00B32E2D"/>
    <w:rsid w:val="00B41432"/>
    <w:rsid w:val="00B56160"/>
    <w:rsid w:val="00B57536"/>
    <w:rsid w:val="00B61990"/>
    <w:rsid w:val="00B80E45"/>
    <w:rsid w:val="00B8776F"/>
    <w:rsid w:val="00BA184E"/>
    <w:rsid w:val="00BC25C6"/>
    <w:rsid w:val="00BE28D3"/>
    <w:rsid w:val="00BF0556"/>
    <w:rsid w:val="00C14CFB"/>
    <w:rsid w:val="00C261F8"/>
    <w:rsid w:val="00C353EB"/>
    <w:rsid w:val="00C708CA"/>
    <w:rsid w:val="00C717E0"/>
    <w:rsid w:val="00C755AE"/>
    <w:rsid w:val="00C919A2"/>
    <w:rsid w:val="00C97975"/>
    <w:rsid w:val="00CA04BE"/>
    <w:rsid w:val="00CA72F6"/>
    <w:rsid w:val="00CB177A"/>
    <w:rsid w:val="00CC6F03"/>
    <w:rsid w:val="00CC7277"/>
    <w:rsid w:val="00CD1A71"/>
    <w:rsid w:val="00CD1FBB"/>
    <w:rsid w:val="00CE5AFE"/>
    <w:rsid w:val="00CE7127"/>
    <w:rsid w:val="00CF6637"/>
    <w:rsid w:val="00D016B5"/>
    <w:rsid w:val="00D034F1"/>
    <w:rsid w:val="00D037E5"/>
    <w:rsid w:val="00D22B6A"/>
    <w:rsid w:val="00D27D5E"/>
    <w:rsid w:val="00D34CC9"/>
    <w:rsid w:val="00D42E42"/>
    <w:rsid w:val="00D4646C"/>
    <w:rsid w:val="00D644A5"/>
    <w:rsid w:val="00D91609"/>
    <w:rsid w:val="00DA1778"/>
    <w:rsid w:val="00DB04EE"/>
    <w:rsid w:val="00DB0F04"/>
    <w:rsid w:val="00DD6B4B"/>
    <w:rsid w:val="00DE6D90"/>
    <w:rsid w:val="00DE708E"/>
    <w:rsid w:val="00DF002F"/>
    <w:rsid w:val="00E0244D"/>
    <w:rsid w:val="00E241BD"/>
    <w:rsid w:val="00E27CA3"/>
    <w:rsid w:val="00E32F30"/>
    <w:rsid w:val="00E621D3"/>
    <w:rsid w:val="00E81E94"/>
    <w:rsid w:val="00E82607"/>
    <w:rsid w:val="00E85AAB"/>
    <w:rsid w:val="00E96175"/>
    <w:rsid w:val="00EA0CD3"/>
    <w:rsid w:val="00EA43D0"/>
    <w:rsid w:val="00EA499C"/>
    <w:rsid w:val="00ED33C5"/>
    <w:rsid w:val="00EE43A3"/>
    <w:rsid w:val="00EF061D"/>
    <w:rsid w:val="00EF327E"/>
    <w:rsid w:val="00F06A24"/>
    <w:rsid w:val="00F14899"/>
    <w:rsid w:val="00F16EB1"/>
    <w:rsid w:val="00F22103"/>
    <w:rsid w:val="00F25E27"/>
    <w:rsid w:val="00F34291"/>
    <w:rsid w:val="00F45CB4"/>
    <w:rsid w:val="00F6056A"/>
    <w:rsid w:val="00F71F90"/>
    <w:rsid w:val="00FA5A79"/>
    <w:rsid w:val="00FA64AA"/>
    <w:rsid w:val="00FB0BFE"/>
    <w:rsid w:val="00FB0DAA"/>
    <w:rsid w:val="00FB4C51"/>
    <w:rsid w:val="00FC652B"/>
    <w:rsid w:val="00FD242C"/>
    <w:rsid w:val="00FF1B1D"/>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0F7"/>
    <w:pPr>
      <w:suppressAutoHyphens/>
      <w:spacing w:line="240" w:lineRule="atLeast"/>
    </w:pPr>
    <w:rPr>
      <w:lang w:val="fr-CH"/>
    </w:rPr>
  </w:style>
  <w:style w:type="paragraph" w:styleId="Heading1">
    <w:name w:val="heading 1"/>
    <w:aliases w:val="Table_G"/>
    <w:basedOn w:val="SingleTxtG"/>
    <w:next w:val="SingleTxtG"/>
    <w:qFormat/>
    <w:rsid w:val="00217DB9"/>
    <w:pPr>
      <w:keepNext/>
      <w:keepLines/>
      <w:spacing w:after="0" w:line="240" w:lineRule="auto"/>
      <w:ind w:right="0"/>
      <w:jc w:val="left"/>
      <w:outlineLvl w:val="0"/>
    </w:pPr>
  </w:style>
  <w:style w:type="paragraph" w:styleId="Heading2">
    <w:name w:val="heading 2"/>
    <w:basedOn w:val="Normal"/>
    <w:next w:val="Normal"/>
    <w:qFormat/>
    <w:rsid w:val="007D30F7"/>
    <w:pPr>
      <w:outlineLvl w:val="1"/>
    </w:pPr>
  </w:style>
  <w:style w:type="paragraph" w:styleId="Heading3">
    <w:name w:val="heading 3"/>
    <w:basedOn w:val="Normal"/>
    <w:next w:val="Normal"/>
    <w:qFormat/>
    <w:rsid w:val="007D30F7"/>
    <w:pPr>
      <w:outlineLvl w:val="2"/>
    </w:pPr>
  </w:style>
  <w:style w:type="paragraph" w:styleId="Heading4">
    <w:name w:val="heading 4"/>
    <w:basedOn w:val="Normal"/>
    <w:next w:val="Normal"/>
    <w:qFormat/>
    <w:rsid w:val="007D30F7"/>
    <w:pPr>
      <w:outlineLvl w:val="3"/>
    </w:pPr>
  </w:style>
  <w:style w:type="paragraph" w:styleId="Heading5">
    <w:name w:val="heading 5"/>
    <w:basedOn w:val="Normal"/>
    <w:next w:val="Normal"/>
    <w:qFormat/>
    <w:rsid w:val="007D30F7"/>
    <w:pPr>
      <w:outlineLvl w:val="4"/>
    </w:pPr>
  </w:style>
  <w:style w:type="paragraph" w:styleId="Heading6">
    <w:name w:val="heading 6"/>
    <w:basedOn w:val="Normal"/>
    <w:next w:val="Normal"/>
    <w:qFormat/>
    <w:rsid w:val="007D30F7"/>
    <w:pPr>
      <w:outlineLvl w:val="5"/>
    </w:pPr>
  </w:style>
  <w:style w:type="paragraph" w:styleId="Heading7">
    <w:name w:val="heading 7"/>
    <w:basedOn w:val="Normal"/>
    <w:next w:val="Normal"/>
    <w:qFormat/>
    <w:rsid w:val="007D30F7"/>
    <w:pPr>
      <w:outlineLvl w:val="6"/>
    </w:pPr>
  </w:style>
  <w:style w:type="paragraph" w:styleId="Heading8">
    <w:name w:val="heading 8"/>
    <w:basedOn w:val="Normal"/>
    <w:next w:val="Normal"/>
    <w:qFormat/>
    <w:rsid w:val="007D30F7"/>
    <w:pPr>
      <w:outlineLvl w:val="7"/>
    </w:pPr>
  </w:style>
  <w:style w:type="paragraph" w:styleId="Heading9">
    <w:name w:val="heading 9"/>
    <w:basedOn w:val="Normal"/>
    <w:next w:val="Normal"/>
    <w:qFormat/>
    <w:rsid w:val="007D30F7"/>
    <w:pPr>
      <w:outlineLvl w:val="8"/>
    </w:pPr>
  </w:style>
  <w:style w:type="character" w:default="1" w:styleId="DefaultParagraphFont">
    <w:name w:val="Default Paragraph Font"/>
    <w:semiHidden/>
    <w:rsid w:val="007D30F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D30F7"/>
  </w:style>
  <w:style w:type="paragraph" w:customStyle="1" w:styleId="HMG">
    <w:name w:val="_ H __M_G"/>
    <w:basedOn w:val="Normal"/>
    <w:next w:val="Normal"/>
    <w:rsid w:val="007D30F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D30F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D30F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D30F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D30F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D30F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D30F7"/>
    <w:pPr>
      <w:spacing w:after="120"/>
      <w:ind w:left="1134" w:right="1134"/>
      <w:jc w:val="both"/>
    </w:pPr>
  </w:style>
  <w:style w:type="paragraph" w:customStyle="1" w:styleId="SLG">
    <w:name w:val="__S_L_G"/>
    <w:basedOn w:val="Normal"/>
    <w:next w:val="Normal"/>
    <w:rsid w:val="007D30F7"/>
    <w:pPr>
      <w:keepNext/>
      <w:keepLines/>
      <w:spacing w:before="240" w:after="240" w:line="580" w:lineRule="exact"/>
      <w:ind w:left="1134" w:right="1134"/>
    </w:pPr>
    <w:rPr>
      <w:b/>
      <w:sz w:val="56"/>
    </w:rPr>
  </w:style>
  <w:style w:type="paragraph" w:customStyle="1" w:styleId="SMG">
    <w:name w:val="__S_M_G"/>
    <w:basedOn w:val="Normal"/>
    <w:next w:val="Normal"/>
    <w:rsid w:val="007D30F7"/>
    <w:pPr>
      <w:keepNext/>
      <w:keepLines/>
      <w:spacing w:before="240" w:after="240" w:line="420" w:lineRule="exact"/>
      <w:ind w:left="1134" w:right="1134"/>
    </w:pPr>
    <w:rPr>
      <w:b/>
      <w:sz w:val="40"/>
    </w:rPr>
  </w:style>
  <w:style w:type="paragraph" w:customStyle="1" w:styleId="SSG">
    <w:name w:val="__S_S_G"/>
    <w:basedOn w:val="Normal"/>
    <w:next w:val="Normal"/>
    <w:rsid w:val="007D30F7"/>
    <w:pPr>
      <w:keepNext/>
      <w:keepLines/>
      <w:spacing w:before="240" w:after="240" w:line="300" w:lineRule="exact"/>
      <w:ind w:left="1134" w:right="1134"/>
    </w:pPr>
    <w:rPr>
      <w:b/>
      <w:sz w:val="28"/>
    </w:rPr>
  </w:style>
  <w:style w:type="paragraph" w:customStyle="1" w:styleId="XLargeG">
    <w:name w:val="__XLarge_G"/>
    <w:basedOn w:val="Normal"/>
    <w:next w:val="Normal"/>
    <w:rsid w:val="007D30F7"/>
    <w:pPr>
      <w:keepNext/>
      <w:keepLines/>
      <w:spacing w:before="240" w:after="240" w:line="420" w:lineRule="exact"/>
      <w:ind w:left="1134" w:right="1134"/>
    </w:pPr>
    <w:rPr>
      <w:b/>
      <w:sz w:val="40"/>
    </w:rPr>
  </w:style>
  <w:style w:type="paragraph" w:customStyle="1" w:styleId="Bullet1G">
    <w:name w:val="_Bullet 1_G"/>
    <w:basedOn w:val="Normal"/>
    <w:rsid w:val="007D30F7"/>
    <w:pPr>
      <w:numPr>
        <w:numId w:val="18"/>
      </w:numPr>
      <w:spacing w:after="120"/>
      <w:ind w:right="1134"/>
      <w:jc w:val="both"/>
    </w:pPr>
  </w:style>
  <w:style w:type="paragraph" w:customStyle="1" w:styleId="Bullet2G">
    <w:name w:val="_Bullet 2_G"/>
    <w:basedOn w:val="Normal"/>
    <w:rsid w:val="007D30F7"/>
    <w:pPr>
      <w:numPr>
        <w:numId w:val="19"/>
      </w:numPr>
      <w:spacing w:after="120"/>
      <w:ind w:right="1134"/>
      <w:jc w:val="both"/>
    </w:pPr>
  </w:style>
  <w:style w:type="character" w:styleId="FootnoteReference">
    <w:name w:val="footnote reference"/>
    <w:aliases w:val="4_G"/>
    <w:rsid w:val="007D30F7"/>
    <w:rPr>
      <w:rFonts w:ascii="Times New Roman" w:hAnsi="Times New Roman"/>
      <w:sz w:val="18"/>
      <w:vertAlign w:val="superscript"/>
      <w:lang w:val="fr-CH"/>
    </w:rPr>
  </w:style>
  <w:style w:type="character" w:styleId="EndnoteReference">
    <w:name w:val="endnote reference"/>
    <w:aliases w:val="1_G"/>
    <w:basedOn w:val="FootnoteReference"/>
    <w:rsid w:val="007D30F7"/>
  </w:style>
  <w:style w:type="paragraph" w:styleId="Header">
    <w:name w:val="header"/>
    <w:aliases w:val="6_G"/>
    <w:basedOn w:val="Normal"/>
    <w:next w:val="Normal"/>
    <w:rsid w:val="007D30F7"/>
    <w:pPr>
      <w:pBdr>
        <w:bottom w:val="single" w:sz="4" w:space="4" w:color="auto"/>
      </w:pBdr>
      <w:spacing w:line="240" w:lineRule="auto"/>
    </w:pPr>
    <w:rPr>
      <w:b/>
      <w:sz w:val="18"/>
    </w:rPr>
  </w:style>
  <w:style w:type="paragraph" w:styleId="FootnoteText">
    <w:name w:val="footnote text"/>
    <w:aliases w:val="5_G"/>
    <w:basedOn w:val="Normal"/>
    <w:rsid w:val="00F22103"/>
    <w:pPr>
      <w:tabs>
        <w:tab w:val="right" w:pos="1021"/>
      </w:tabs>
      <w:spacing w:line="220" w:lineRule="exact"/>
      <w:ind w:left="1134" w:right="1134" w:hanging="1134"/>
    </w:pPr>
    <w:rPr>
      <w:sz w:val="18"/>
    </w:rPr>
  </w:style>
  <w:style w:type="paragraph" w:styleId="EndnoteText">
    <w:name w:val="endnote text"/>
    <w:aliases w:val="2_G"/>
    <w:basedOn w:val="FootnoteText"/>
    <w:rsid w:val="00F22103"/>
  </w:style>
  <w:style w:type="character" w:styleId="PageNumber">
    <w:name w:val="page number"/>
    <w:aliases w:val="7_G"/>
    <w:rsid w:val="007D30F7"/>
    <w:rPr>
      <w:rFonts w:ascii="Times New Roman" w:hAnsi="Times New Roman"/>
      <w:b/>
      <w:sz w:val="18"/>
      <w:lang w:val="fr-CH"/>
    </w:rPr>
  </w:style>
  <w:style w:type="paragraph" w:styleId="Footer">
    <w:name w:val="footer"/>
    <w:aliases w:val="3_G"/>
    <w:basedOn w:val="Normal"/>
    <w:next w:val="Normal"/>
    <w:rsid w:val="007D30F7"/>
    <w:pPr>
      <w:spacing w:line="240" w:lineRule="auto"/>
    </w:pPr>
    <w:rPr>
      <w:sz w:val="16"/>
    </w:rPr>
  </w:style>
  <w:style w:type="character" w:styleId="Hyperlink">
    <w:name w:val="Hyperlink"/>
    <w:rsid w:val="00503619"/>
    <w:rPr>
      <w:color w:val="auto"/>
      <w:u w:val="none"/>
    </w:rPr>
  </w:style>
  <w:style w:type="character" w:styleId="FollowedHyperlink">
    <w:name w:val="FollowedHyperlink"/>
    <w:rsid w:val="00503619"/>
    <w:rPr>
      <w:color w:val="auto"/>
      <w:u w:val="none"/>
    </w:rPr>
  </w:style>
  <w:style w:type="character" w:styleId="Emphasis">
    <w:name w:val="Emphasis"/>
    <w:qFormat/>
    <w:rsid w:val="00A83FC0"/>
    <w:rPr>
      <w:i/>
      <w:iCs/>
    </w:rPr>
  </w:style>
  <w:style w:type="paragraph" w:styleId="BalloonText">
    <w:name w:val="Balloon Text"/>
    <w:basedOn w:val="Normal"/>
    <w:semiHidden/>
    <w:rsid w:val="00DB0F04"/>
    <w:rPr>
      <w:rFonts w:ascii="Tahoma" w:hAnsi="Tahoma" w:cs="Tahoma"/>
      <w:sz w:val="16"/>
      <w:szCs w:val="16"/>
    </w:rPr>
  </w:style>
  <w:style w:type="character" w:styleId="CommentReference">
    <w:name w:val="annotation reference"/>
    <w:semiHidden/>
    <w:rsid w:val="004F04D5"/>
    <w:rPr>
      <w:sz w:val="16"/>
      <w:szCs w:val="16"/>
    </w:rPr>
  </w:style>
  <w:style w:type="paragraph" w:styleId="CommentText">
    <w:name w:val="annotation text"/>
    <w:basedOn w:val="Normal"/>
    <w:semiHidden/>
    <w:rsid w:val="004F04D5"/>
  </w:style>
  <w:style w:type="paragraph" w:styleId="CommentSubject">
    <w:name w:val="annotation subject"/>
    <w:basedOn w:val="CommentText"/>
    <w:next w:val="CommentText"/>
    <w:semiHidden/>
    <w:rsid w:val="004F04D5"/>
    <w:rPr>
      <w:b/>
      <w:bCs/>
    </w:rPr>
  </w:style>
  <w:style w:type="character" w:customStyle="1" w:styleId="SingleTxtGChar">
    <w:name w:val="_ Single Txt_G Char"/>
    <w:link w:val="SingleTxtG"/>
    <w:rsid w:val="000045DF"/>
    <w:rPr>
      <w:lang w:val="fr-CH" w:eastAsia="en-US"/>
    </w:rPr>
  </w:style>
</w:styles>
</file>

<file path=word/webSettings.xml><?xml version="1.0" encoding="utf-8"?>
<w:webSettings xmlns:r="http://schemas.openxmlformats.org/officeDocument/2006/relationships" xmlns:w="http://schemas.openxmlformats.org/wordprocessingml/2006/main">
  <w:divs>
    <w:div w:id="1862086929">
      <w:bodyDiv w:val="1"/>
      <w:marLeft w:val="0"/>
      <w:marRight w:val="0"/>
      <w:marTop w:val="0"/>
      <w:marBottom w:val="0"/>
      <w:divBdr>
        <w:top w:val="none" w:sz="0" w:space="0" w:color="auto"/>
        <w:left w:val="none" w:sz="0" w:space="0" w:color="auto"/>
        <w:bottom w:val="none" w:sz="0" w:space="0" w:color="auto"/>
        <w:right w:val="none" w:sz="0" w:space="0" w:color="auto"/>
      </w:divBdr>
      <w:divsChild>
        <w:div w:id="1579905765">
          <w:marLeft w:val="0"/>
          <w:marRight w:val="0"/>
          <w:marTop w:val="0"/>
          <w:marBottom w:val="0"/>
          <w:divBdr>
            <w:top w:val="single" w:sz="6" w:space="0" w:color="333333"/>
            <w:left w:val="single" w:sz="6" w:space="0" w:color="333333"/>
            <w:bottom w:val="single" w:sz="6" w:space="0" w:color="333333"/>
            <w:right w:val="single" w:sz="6" w:space="0" w:color="333333"/>
          </w:divBdr>
          <w:divsChild>
            <w:div w:id="23096667">
              <w:marLeft w:val="0"/>
              <w:marRight w:val="0"/>
              <w:marTop w:val="0"/>
              <w:marBottom w:val="0"/>
              <w:divBdr>
                <w:top w:val="none" w:sz="0" w:space="0" w:color="auto"/>
                <w:left w:val="none" w:sz="0" w:space="0" w:color="auto"/>
                <w:bottom w:val="none" w:sz="0" w:space="0" w:color="auto"/>
                <w:right w:val="none" w:sz="0" w:space="0" w:color="auto"/>
              </w:divBdr>
              <w:divsChild>
                <w:div w:id="158873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_H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A_HRC.dot</Template>
  <TotalTime>0</TotalTime>
  <Pages>3</Pages>
  <Words>879</Words>
  <Characters>4838</Characters>
  <Application>Microsoft Office Outlook</Application>
  <DocSecurity>4</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A/HRC/21/L.4</vt:lpstr>
      <vt:lpstr>A/HRC/21/L.4</vt:lpstr>
    </vt:vector>
  </TitlesOfParts>
  <Company>CSD</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A/HRC/21/L.4</dc:title>
  <dc:subject/>
  <dc:creator>D. Toutain</dc:creator>
  <cp:keywords/>
  <cp:lastModifiedBy>C. ROBERT</cp:lastModifiedBy>
  <cp:revision>2</cp:revision>
  <cp:lastPrinted>2014-04-15T08:21:00Z</cp:lastPrinted>
  <dcterms:created xsi:type="dcterms:W3CDTF">2014-04-17T09:23:00Z</dcterms:created>
  <dcterms:modified xsi:type="dcterms:W3CDTF">2014-04-17T09:23:00Z</dcterms:modified>
</cp:coreProperties>
</file>