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1B0F23">
        <w:trPr>
          <w:trHeight w:hRule="exact" w:val="851"/>
        </w:trPr>
        <w:tc>
          <w:tcPr>
            <w:tcW w:w="1274" w:type="dxa"/>
            <w:tcBorders>
              <w:bottom w:val="single" w:sz="4" w:space="0" w:color="auto"/>
            </w:tcBorders>
            <w:shd w:val="clear" w:color="auto" w:fill="auto"/>
          </w:tcPr>
          <w:p w:rsidR="006B3E27" w:rsidRPr="00983870" w:rsidRDefault="006B3E27" w:rsidP="001B0F23">
            <w:pPr>
              <w:bidi w:val="0"/>
              <w:jc w:val="right"/>
            </w:pPr>
          </w:p>
        </w:tc>
        <w:tc>
          <w:tcPr>
            <w:tcW w:w="4112" w:type="dxa"/>
            <w:tcBorders>
              <w:bottom w:val="single" w:sz="4" w:space="0" w:color="auto"/>
            </w:tcBorders>
            <w:shd w:val="clear" w:color="auto" w:fill="auto"/>
            <w:vAlign w:val="bottom"/>
          </w:tcPr>
          <w:p w:rsidR="006B3E27" w:rsidRPr="001B0F23" w:rsidRDefault="006B3E27" w:rsidP="001B0F23">
            <w:pPr>
              <w:spacing w:after="80" w:line="480" w:lineRule="exact"/>
              <w:jc w:val="left"/>
              <w:rPr>
                <w:szCs w:val="40"/>
                <w:rtl/>
              </w:rPr>
            </w:pPr>
            <w:r w:rsidRPr="001B0F23">
              <w:rPr>
                <w:rFonts w:hint="cs"/>
                <w:szCs w:val="40"/>
                <w:rtl/>
              </w:rPr>
              <w:t>الأمم المتحدة</w:t>
            </w:r>
          </w:p>
        </w:tc>
        <w:tc>
          <w:tcPr>
            <w:tcW w:w="4253" w:type="dxa"/>
            <w:tcBorders>
              <w:bottom w:val="single" w:sz="4" w:space="0" w:color="auto"/>
            </w:tcBorders>
            <w:shd w:val="clear" w:color="auto" w:fill="auto"/>
            <w:vAlign w:val="bottom"/>
          </w:tcPr>
          <w:p w:rsidR="006B3E27" w:rsidRPr="001B0F23" w:rsidRDefault="008A0936" w:rsidP="001B0F23">
            <w:pPr>
              <w:bidi w:val="0"/>
              <w:spacing w:after="20"/>
              <w:jc w:val="left"/>
              <w:rPr>
                <w:szCs w:val="20"/>
              </w:rPr>
            </w:pPr>
            <w:r w:rsidRPr="001B0F23">
              <w:rPr>
                <w:sz w:val="40"/>
                <w:szCs w:val="20"/>
              </w:rPr>
              <w:t>A</w:t>
            </w:r>
            <w:r w:rsidRPr="001B0F23">
              <w:rPr>
                <w:szCs w:val="20"/>
              </w:rPr>
              <w:t>/HRC/RES/28/6</w:t>
            </w:r>
          </w:p>
        </w:tc>
      </w:tr>
      <w:tr w:rsidR="006B3E27" w:rsidRPr="00DB7679" w:rsidTr="001B0F23">
        <w:trPr>
          <w:trHeight w:hRule="exact" w:val="2835"/>
        </w:trPr>
        <w:tc>
          <w:tcPr>
            <w:tcW w:w="1274" w:type="dxa"/>
            <w:tcBorders>
              <w:top w:val="single" w:sz="4" w:space="0" w:color="auto"/>
              <w:bottom w:val="single" w:sz="12" w:space="0" w:color="auto"/>
            </w:tcBorders>
            <w:shd w:val="clear" w:color="auto" w:fill="auto"/>
          </w:tcPr>
          <w:p w:rsidR="006B3E27" w:rsidRPr="00DB7679" w:rsidRDefault="007A59C2" w:rsidP="001B0F23">
            <w:pPr>
              <w:jc w:val="center"/>
              <w:rPr>
                <w:rtl/>
              </w:rPr>
            </w:pPr>
            <w:r>
              <w:rPr>
                <w:noProof/>
              </w:rPr>
              <w:drawing>
                <wp:inline distT="0" distB="0" distL="0" distR="0">
                  <wp:extent cx="628015" cy="6140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2" t="-1387" r="-52" b="-1387"/>
                          <a:stretch>
                            <a:fillRect/>
                          </a:stretch>
                        </pic:blipFill>
                        <pic:spPr bwMode="auto">
                          <a:xfrm>
                            <a:off x="0" y="0"/>
                            <a:ext cx="628015" cy="614045"/>
                          </a:xfrm>
                          <a:prstGeom prst="rect">
                            <a:avLst/>
                          </a:prstGeom>
                          <a:noFill/>
                          <a:ln>
                            <a:noFill/>
                          </a:ln>
                        </pic:spPr>
                      </pic:pic>
                    </a:graphicData>
                  </a:graphic>
                </wp:inline>
              </w:drawing>
            </w:r>
          </w:p>
        </w:tc>
        <w:tc>
          <w:tcPr>
            <w:tcW w:w="4112" w:type="dxa"/>
            <w:tcBorders>
              <w:top w:val="single" w:sz="4" w:space="0" w:color="auto"/>
              <w:bottom w:val="single" w:sz="12" w:space="0" w:color="auto"/>
            </w:tcBorders>
            <w:shd w:val="clear" w:color="auto" w:fill="auto"/>
          </w:tcPr>
          <w:p w:rsidR="006B3E27" w:rsidRPr="001B0F23" w:rsidRDefault="001E1CAD" w:rsidP="001B0F23">
            <w:pPr>
              <w:spacing w:before="120" w:after="40" w:line="640" w:lineRule="exact"/>
              <w:jc w:val="left"/>
              <w:rPr>
                <w:b/>
                <w:bCs/>
                <w:sz w:val="60"/>
                <w:szCs w:val="60"/>
              </w:rPr>
            </w:pPr>
            <w:r w:rsidRPr="001B0F23">
              <w:rPr>
                <w:rFonts w:hint="cs"/>
                <w:b/>
                <w:bCs/>
                <w:sz w:val="60"/>
                <w:szCs w:val="60"/>
                <w:rtl/>
              </w:rPr>
              <w:t>الجمعية العامة</w:t>
            </w:r>
          </w:p>
        </w:tc>
        <w:tc>
          <w:tcPr>
            <w:tcW w:w="4253" w:type="dxa"/>
            <w:tcBorders>
              <w:top w:val="single" w:sz="4" w:space="0" w:color="auto"/>
              <w:bottom w:val="single" w:sz="12" w:space="0" w:color="auto"/>
            </w:tcBorders>
            <w:shd w:val="clear" w:color="auto" w:fill="auto"/>
          </w:tcPr>
          <w:p w:rsidR="006B3E27" w:rsidRDefault="008A0936" w:rsidP="001B0F23">
            <w:pPr>
              <w:bidi w:val="0"/>
              <w:spacing w:before="240"/>
              <w:jc w:val="left"/>
            </w:pPr>
            <w:r>
              <w:t>Distr.: General</w:t>
            </w:r>
          </w:p>
          <w:p w:rsidR="008A0936" w:rsidRDefault="008A0936" w:rsidP="001B0F23">
            <w:pPr>
              <w:bidi w:val="0"/>
              <w:jc w:val="left"/>
            </w:pPr>
            <w:r>
              <w:t>10 April 2015</w:t>
            </w:r>
          </w:p>
          <w:p w:rsidR="008A0936" w:rsidRDefault="008A0936" w:rsidP="001B0F23">
            <w:pPr>
              <w:bidi w:val="0"/>
              <w:jc w:val="left"/>
            </w:pPr>
            <w:r>
              <w:t>Arabic</w:t>
            </w:r>
          </w:p>
          <w:p w:rsidR="008A0936" w:rsidRPr="008B4BC6" w:rsidRDefault="008A0936" w:rsidP="001B0F23">
            <w:pPr>
              <w:bidi w:val="0"/>
              <w:jc w:val="left"/>
            </w:pPr>
            <w:r>
              <w:t>Original: English</w:t>
            </w:r>
          </w:p>
        </w:tc>
      </w:tr>
    </w:tbl>
    <w:p w:rsidR="008A0936" w:rsidRDefault="008A0936" w:rsidP="008A0936">
      <w:pPr>
        <w:spacing w:before="120" w:line="380" w:lineRule="exact"/>
        <w:rPr>
          <w:b/>
          <w:bCs/>
          <w:sz w:val="26"/>
          <w:szCs w:val="36"/>
          <w:lang w:eastAsia="zh-TW"/>
        </w:rPr>
      </w:pPr>
      <w:r>
        <w:rPr>
          <w:b/>
          <w:bCs/>
          <w:sz w:val="26"/>
          <w:szCs w:val="36"/>
          <w:rtl/>
          <w:lang w:eastAsia="zh-TW"/>
        </w:rPr>
        <w:t>مجلس حقوق الإنسان</w:t>
      </w:r>
    </w:p>
    <w:p w:rsidR="008A0936" w:rsidRDefault="00454675" w:rsidP="008A0936">
      <w:pPr>
        <w:spacing w:line="380" w:lineRule="exact"/>
        <w:rPr>
          <w:b/>
          <w:bCs/>
          <w:rtl/>
          <w:lang w:eastAsia="zh-TW"/>
        </w:rPr>
      </w:pPr>
      <w:dir w:val="rtl">
        <w:r w:rsidR="008A0936">
          <w:rPr>
            <w:b/>
            <w:bCs/>
            <w:rtl/>
            <w:lang w:eastAsia="zh-TW"/>
          </w:rPr>
          <w:t>الدورة الثامنة والعشرون</w:t>
        </w:r>
        <w:r>
          <w:t>‬</w:t>
        </w:r>
      </w:dir>
    </w:p>
    <w:p w:rsidR="008A0936" w:rsidRDefault="00454675" w:rsidP="008A0936">
      <w:pPr>
        <w:spacing w:line="380" w:lineRule="exact"/>
        <w:rPr>
          <w:b/>
          <w:rtl/>
          <w:lang w:eastAsia="zh-TW"/>
        </w:rPr>
      </w:pPr>
      <w:dir w:val="rtl">
        <w:r w:rsidR="008A0936">
          <w:rPr>
            <w:b/>
            <w:rtl/>
            <w:lang w:eastAsia="zh-TW"/>
          </w:rPr>
          <w:t xml:space="preserve">البند 3 من جدول الأعمال </w:t>
        </w:r>
        <w:r>
          <w:t>‬</w:t>
        </w:r>
      </w:dir>
    </w:p>
    <w:p w:rsidR="008A0936" w:rsidRDefault="00454675" w:rsidP="008A0936">
      <w:pPr>
        <w:spacing w:line="380" w:lineRule="exact"/>
        <w:jc w:val="left"/>
        <w:rPr>
          <w:b/>
          <w:bCs/>
          <w:rtl/>
        </w:rPr>
      </w:pPr>
      <w:dir w:val="rtl">
        <w:r w:rsidR="008A0936">
          <w:rPr>
            <w:b/>
            <w:bCs/>
            <w:rtl/>
          </w:rPr>
          <w:t>تعزيز وحماية جميع حقوق الإنسان، المدنية والسياسية والاقتصادية</w:t>
        </w:r>
        <w:r>
          <w:t>‬</w:t>
        </w:r>
      </w:dir>
    </w:p>
    <w:p w:rsidR="008A0936" w:rsidRDefault="008A0936" w:rsidP="008A0936">
      <w:pPr>
        <w:spacing w:after="360" w:line="380" w:lineRule="exact"/>
        <w:jc w:val="left"/>
        <w:rPr>
          <w:b/>
          <w:bCs/>
          <w:rtl/>
        </w:rPr>
      </w:pPr>
      <w:r>
        <w:rPr>
          <w:b/>
          <w:bCs/>
          <w:rtl/>
        </w:rPr>
        <w:t>والاجتماعية والثقافية، بما في ذلك الحق في التنمية</w:t>
      </w:r>
    </w:p>
    <w:p w:rsidR="008A0936" w:rsidRDefault="008A0936" w:rsidP="008A0936">
      <w:pPr>
        <w:pStyle w:val="HChGA"/>
        <w:rPr>
          <w:rtl/>
        </w:rPr>
      </w:pPr>
      <w:r>
        <w:rPr>
          <w:rtl/>
        </w:rPr>
        <w:tab/>
      </w:r>
      <w:r>
        <w:rPr>
          <w:rtl/>
        </w:rPr>
        <w:tab/>
        <w:t>قرار اعتمده مجلس حقوق الإنسان</w:t>
      </w:r>
    </w:p>
    <w:p w:rsidR="008A0936" w:rsidRDefault="008A0936" w:rsidP="008A0936">
      <w:pPr>
        <w:pStyle w:val="HChGA"/>
        <w:rPr>
          <w:rtl/>
          <w:lang w:eastAsia="zh-TW"/>
        </w:rPr>
      </w:pPr>
      <w:r>
        <w:rPr>
          <w:rtl/>
          <w:lang w:eastAsia="zh-TW"/>
        </w:rPr>
        <w:tab/>
      </w:r>
      <w:r>
        <w:rPr>
          <w:rtl/>
          <w:lang w:eastAsia="zh-TW"/>
        </w:rPr>
        <w:tab/>
        <w:t>28/6</w:t>
      </w:r>
      <w:r>
        <w:rPr>
          <w:rtl/>
          <w:lang w:eastAsia="zh-TW"/>
        </w:rPr>
        <w:br/>
        <w:t xml:space="preserve">الخبير المستقل المعني بمسألة التمتع بحقوق الإنسان في حالة الأشخاص المصابين بالمهق </w:t>
      </w:r>
    </w:p>
    <w:p w:rsidR="008A0936" w:rsidRDefault="008A0936" w:rsidP="008A0936">
      <w:pPr>
        <w:pStyle w:val="SingleTxtGA"/>
        <w:rPr>
          <w:i/>
          <w:iCs/>
          <w:rtl/>
          <w:lang w:eastAsia="zh-TW"/>
        </w:rPr>
      </w:pPr>
      <w:r>
        <w:rPr>
          <w:bCs/>
          <w:i/>
          <w:iCs/>
          <w:rtl/>
          <w:lang w:eastAsia="zh-TW"/>
        </w:rPr>
        <w:tab/>
      </w:r>
      <w:r>
        <w:rPr>
          <w:i/>
          <w:iCs/>
          <w:rtl/>
          <w:lang w:eastAsia="zh-TW"/>
        </w:rPr>
        <w:t>إن مجلس حقوق الإنسان،</w:t>
      </w:r>
    </w:p>
    <w:p w:rsidR="008A0936" w:rsidRDefault="008A0936" w:rsidP="008A0936">
      <w:pPr>
        <w:pStyle w:val="SingleTxtGA"/>
        <w:rPr>
          <w:rtl/>
          <w:lang w:eastAsia="zh-TW"/>
        </w:rPr>
      </w:pPr>
      <w:r>
        <w:rPr>
          <w:rtl/>
          <w:lang w:eastAsia="zh-TW"/>
        </w:rPr>
        <w:tab/>
      </w:r>
      <w:r>
        <w:rPr>
          <w:i/>
          <w:iCs/>
          <w:rtl/>
          <w:lang w:eastAsia="zh-TW"/>
        </w:rPr>
        <w:t>إذ يسترشد</w:t>
      </w:r>
      <w:r>
        <w:rPr>
          <w:rtl/>
          <w:lang w:eastAsia="zh-TW"/>
        </w:rPr>
        <w:t xml:space="preserve"> بمقاصد ميثاق الأمم المتحدة ومبادئه،</w:t>
      </w:r>
    </w:p>
    <w:p w:rsidR="008A0936" w:rsidRDefault="008A0936" w:rsidP="008A0936">
      <w:pPr>
        <w:pStyle w:val="SingleTxtGA"/>
        <w:rPr>
          <w:rtl/>
          <w:lang w:eastAsia="zh-TW"/>
        </w:rPr>
      </w:pPr>
      <w:r>
        <w:rPr>
          <w:rtl/>
          <w:lang w:eastAsia="zh-TW"/>
        </w:rPr>
        <w:tab/>
      </w:r>
      <w:r>
        <w:rPr>
          <w:i/>
          <w:iCs/>
          <w:rtl/>
          <w:lang w:eastAsia="zh-TW"/>
        </w:rPr>
        <w:t>وإذ يسترشد</w:t>
      </w:r>
      <w:r>
        <w:rPr>
          <w:rtl/>
          <w:lang w:eastAsia="zh-TW"/>
        </w:rPr>
        <w:t xml:space="preserve"> بالإعلان العالمي لحقوق الإنسان، وإذ يشير إلى المعاهدات الدولية لحقوق الإنسان ذات الصلة، بما فيها العهد الدولي الخاص بالحقوق المدنية والسياسية، والعهد الدولي الخاص بالحقوق الاقتصادية والاجتماعية والثقافية، واتفاقية حقوق الأشخاص ذوي الإعاقة، واتفاقية القضاء على جميع أشكال التمييز ضد المرأة، واتفاقية حقوق الطفل،</w:t>
      </w:r>
    </w:p>
    <w:p w:rsidR="008A0936" w:rsidRDefault="008A0936" w:rsidP="008A0936">
      <w:pPr>
        <w:pStyle w:val="SingleTxtGA"/>
        <w:rPr>
          <w:rtl/>
          <w:lang w:eastAsia="zh-TW"/>
        </w:rPr>
      </w:pPr>
      <w:r>
        <w:rPr>
          <w:rtl/>
          <w:lang w:eastAsia="zh-TW"/>
        </w:rPr>
        <w:tab/>
      </w:r>
      <w:r>
        <w:rPr>
          <w:i/>
          <w:iCs/>
          <w:rtl/>
          <w:lang w:eastAsia="zh-TW"/>
        </w:rPr>
        <w:t xml:space="preserve">وإذ يؤكد من جديد </w:t>
      </w:r>
      <w:r>
        <w:rPr>
          <w:rtl/>
          <w:lang w:eastAsia="zh-TW"/>
        </w:rPr>
        <w:t>أن لكل فرد الحق في الحياة والحرية وسلامة شخصه وأنه لا يجوز أن يُعرَّض أي إنسان للتعذيب أو للمعاملة أو العقوبة القاسية أو اللاإنسانية أو المهينة،</w:t>
      </w:r>
    </w:p>
    <w:p w:rsidR="008A0936" w:rsidRDefault="008A0936" w:rsidP="008A0936">
      <w:pPr>
        <w:pStyle w:val="SingleTxtGA"/>
        <w:rPr>
          <w:rtl/>
          <w:lang w:eastAsia="zh-TW"/>
        </w:rPr>
      </w:pPr>
      <w:r>
        <w:rPr>
          <w:rtl/>
          <w:lang w:eastAsia="zh-TW"/>
        </w:rPr>
        <w:tab/>
      </w:r>
      <w:r>
        <w:rPr>
          <w:i/>
          <w:iCs/>
          <w:rtl/>
          <w:lang w:eastAsia="zh-TW"/>
        </w:rPr>
        <w:t>وإذ يشير</w:t>
      </w:r>
      <w:r>
        <w:rPr>
          <w:rtl/>
          <w:lang w:eastAsia="zh-TW"/>
        </w:rPr>
        <w:t xml:space="preserve"> إلى الطابع العالمي لجميع حقوق الإنسان والحريات الأساسية وإلى عدم قابليتها للتجزئة وترابطها وتشابكها، وإلى الحاجة إلى ضمان تمتع الأشخاص المصابين بالمهق تمتعاً كاملاً بحقوقهم وحرياتهم دون تمييز،</w:t>
      </w:r>
    </w:p>
    <w:p w:rsidR="008A0936" w:rsidRDefault="008A0936" w:rsidP="008A0936">
      <w:pPr>
        <w:pStyle w:val="SingleTxtGA"/>
        <w:rPr>
          <w:rtl/>
          <w:lang w:eastAsia="zh-TW"/>
        </w:rPr>
      </w:pPr>
      <w:r>
        <w:rPr>
          <w:i/>
          <w:iCs/>
          <w:rtl/>
          <w:lang w:eastAsia="zh-TW"/>
        </w:rPr>
        <w:lastRenderedPageBreak/>
        <w:tab/>
        <w:t>وإذ يساوره</w:t>
      </w:r>
      <w:r>
        <w:rPr>
          <w:rtl/>
          <w:lang w:eastAsia="zh-TW"/>
        </w:rPr>
        <w:t xml:space="preserve"> </w:t>
      </w:r>
      <w:r>
        <w:rPr>
          <w:i/>
          <w:iCs/>
          <w:rtl/>
          <w:lang w:eastAsia="zh-TW"/>
        </w:rPr>
        <w:t>قلق بالغ</w:t>
      </w:r>
      <w:r>
        <w:rPr>
          <w:rtl/>
          <w:lang w:eastAsia="zh-TW"/>
        </w:rPr>
        <w:t xml:space="preserve"> لأن الأشخاص المصابين بالمهق ما زالوا يواجهون، في مختلف أنحاء العالم، عوائق تحول دون مشاركتهم في المجتمع كأعضاء متساوين مع غيرهم وما زالت حقوقهم الإنسانية عرضة للانتهاكات والتعسف، وإذ يعي الحاجة إلى مزيد من الاهتمام لمواجهة هذه التحديات،</w:t>
      </w:r>
    </w:p>
    <w:p w:rsidR="008A0936" w:rsidRDefault="008A0936" w:rsidP="008A0936">
      <w:pPr>
        <w:pStyle w:val="SingleTxtGA"/>
        <w:rPr>
          <w:rtl/>
          <w:lang w:eastAsia="zh-TW"/>
        </w:rPr>
      </w:pPr>
      <w:r>
        <w:rPr>
          <w:i/>
          <w:iCs/>
          <w:rtl/>
          <w:lang w:eastAsia="zh-TW"/>
        </w:rPr>
        <w:tab/>
        <w:t>وإذ يشير</w:t>
      </w:r>
      <w:r>
        <w:rPr>
          <w:rtl/>
          <w:lang w:eastAsia="zh-TW"/>
        </w:rPr>
        <w:t xml:space="preserve"> إلى قراريه 5/1 بشأن بناء مؤسسات  مجلس حقوق الإنسان و5/2 بشأن مدونة قواعد السلوك للمكلفين بولايات في إطار الإجراءات الخاصة التابعة لمجلس حقوق الإنسان، المؤرخين 18 حزيران/يونيه 2007، وإذ يشدِّد على أن المكلف بالولاية ينبغي أن يضطلع بمهامه وفقاً لهذين القرارين ومرفقاتهما، </w:t>
      </w:r>
    </w:p>
    <w:p w:rsidR="008A0936" w:rsidRDefault="008A0936" w:rsidP="008A0936">
      <w:pPr>
        <w:pStyle w:val="SingleTxtGA"/>
        <w:rPr>
          <w:rtl/>
          <w:lang w:eastAsia="zh-TW"/>
        </w:rPr>
      </w:pPr>
      <w:r>
        <w:rPr>
          <w:i/>
          <w:iCs/>
          <w:rtl/>
          <w:lang w:eastAsia="zh-TW"/>
        </w:rPr>
        <w:tab/>
        <w:t>وإذ يؤكد</w:t>
      </w:r>
      <w:r>
        <w:rPr>
          <w:rtl/>
          <w:lang w:eastAsia="zh-TW"/>
        </w:rPr>
        <w:t xml:space="preserve"> </w:t>
      </w:r>
      <w:r>
        <w:rPr>
          <w:i/>
          <w:iCs/>
          <w:rtl/>
          <w:lang w:eastAsia="zh-TW"/>
        </w:rPr>
        <w:t>من جديد</w:t>
      </w:r>
      <w:r>
        <w:rPr>
          <w:rtl/>
          <w:lang w:eastAsia="zh-TW"/>
        </w:rPr>
        <w:t xml:space="preserve"> إعلان وبرنامج عمل فيينا،</w:t>
      </w:r>
    </w:p>
    <w:p w:rsidR="008A0936" w:rsidRDefault="008A0936" w:rsidP="008A0936">
      <w:pPr>
        <w:pStyle w:val="SingleTxtGA"/>
        <w:rPr>
          <w:rtl/>
          <w:lang w:eastAsia="zh-TW"/>
        </w:rPr>
      </w:pPr>
      <w:r>
        <w:rPr>
          <w:i/>
          <w:iCs/>
          <w:rtl/>
          <w:lang w:eastAsia="zh-TW"/>
        </w:rPr>
        <w:tab/>
        <w:t>وإذ يشير</w:t>
      </w:r>
      <w:r>
        <w:rPr>
          <w:rtl/>
          <w:lang w:eastAsia="zh-TW"/>
        </w:rPr>
        <w:t xml:space="preserve"> إلى حقوق كل فرد في التمتع بأعلى مستوى يمكن بلوغه من الصحة البدنية والعقلية والتعليم، حسبما هو مكرس في العهد الدولي الخاص بالحقوق الاقتصادية والاجتماعية والثقافية وغيره من المعاهدات الدولية لحقوق الإنسان ذات الصلة، </w:t>
      </w:r>
    </w:p>
    <w:p w:rsidR="008A0936" w:rsidRDefault="008A0936" w:rsidP="00F95DF8">
      <w:pPr>
        <w:pStyle w:val="SingleTxtGA"/>
        <w:rPr>
          <w:rtl/>
          <w:lang w:eastAsia="zh-TW"/>
        </w:rPr>
      </w:pPr>
      <w:r>
        <w:rPr>
          <w:i/>
          <w:iCs/>
          <w:spacing w:val="-4"/>
          <w:rtl/>
          <w:lang w:eastAsia="zh-TW"/>
        </w:rPr>
        <w:tab/>
        <w:t>وإذ يشير أيضاً</w:t>
      </w:r>
      <w:r>
        <w:rPr>
          <w:spacing w:val="-4"/>
          <w:rtl/>
          <w:lang w:eastAsia="zh-TW"/>
        </w:rPr>
        <w:t xml:space="preserve"> إلى </w:t>
      </w:r>
      <w:r w:rsidR="00F95DF8">
        <w:rPr>
          <w:spacing w:val="-4"/>
          <w:rtl/>
          <w:lang w:eastAsia="zh-TW"/>
        </w:rPr>
        <w:t>قراراته 23/13 المؤرخ 13 حزيران/</w:t>
      </w:r>
      <w:r>
        <w:rPr>
          <w:spacing w:val="-4"/>
          <w:rtl/>
          <w:lang w:eastAsia="zh-TW"/>
        </w:rPr>
        <w:t>يونيه 2013 بشأن الاعتداءات التي يتعرض لها الأشخاص المصابون بالمهق والتمييز ضدهم، و24/33 المؤرخ 27 أيلول/سبتمبر</w:t>
      </w:r>
      <w:r w:rsidR="00F95DF8">
        <w:rPr>
          <w:rFonts w:hint="cs"/>
          <w:spacing w:val="-4"/>
          <w:rtl/>
          <w:lang w:eastAsia="zh-TW"/>
        </w:rPr>
        <w:t xml:space="preserve"> </w:t>
      </w:r>
      <w:r>
        <w:rPr>
          <w:spacing w:val="-4"/>
          <w:rtl/>
          <w:lang w:eastAsia="zh-TW"/>
        </w:rPr>
        <w:t>2013 بشأن التعاون التقني من أجل منع الاعتداءات على</w:t>
      </w:r>
      <w:r>
        <w:rPr>
          <w:rtl/>
          <w:lang w:eastAsia="zh-TW"/>
        </w:rPr>
        <w:t xml:space="preserve"> الأشخاص المصابين ﺑﺎلمهق، و26/10 المؤرخ</w:t>
      </w:r>
      <w:r w:rsidR="00F95DF8">
        <w:rPr>
          <w:rFonts w:hint="cs"/>
          <w:rtl/>
          <w:lang w:eastAsia="zh-TW"/>
        </w:rPr>
        <w:t> </w:t>
      </w:r>
      <w:r>
        <w:rPr>
          <w:rtl/>
          <w:lang w:eastAsia="zh-TW"/>
        </w:rPr>
        <w:t xml:space="preserve">26 حزيران/يونيه 2014 بشأن اليوم الدولي للتوعية بالمهق، </w:t>
      </w:r>
    </w:p>
    <w:p w:rsidR="008A0936" w:rsidRDefault="008A0936" w:rsidP="008A0936">
      <w:pPr>
        <w:pStyle w:val="SingleTxtGA"/>
        <w:rPr>
          <w:rtl/>
          <w:lang w:eastAsia="zh-TW"/>
        </w:rPr>
      </w:pPr>
      <w:r>
        <w:rPr>
          <w:i/>
          <w:iCs/>
          <w:rtl/>
          <w:lang w:eastAsia="zh-TW"/>
        </w:rPr>
        <w:tab/>
        <w:t>وإذ يشير كذلك</w:t>
      </w:r>
      <w:r>
        <w:rPr>
          <w:rtl/>
          <w:lang w:eastAsia="zh-TW"/>
        </w:rPr>
        <w:t xml:space="preserve"> إلى قرار الجمعية العامة 69/170 المؤرخ 18 كانون الأول/</w:t>
      </w:r>
      <w:r w:rsidR="00F95DF8">
        <w:rPr>
          <w:rFonts w:hint="cs"/>
          <w:rtl/>
          <w:lang w:eastAsia="zh-TW"/>
        </w:rPr>
        <w:t xml:space="preserve"> </w:t>
      </w:r>
      <w:r>
        <w:rPr>
          <w:rtl/>
          <w:lang w:eastAsia="zh-TW"/>
        </w:rPr>
        <w:t>ديسمبر</w:t>
      </w:r>
      <w:r>
        <w:rPr>
          <w:rFonts w:hint="cs"/>
          <w:rtl/>
          <w:lang w:eastAsia="zh-TW"/>
        </w:rPr>
        <w:t> </w:t>
      </w:r>
      <w:r>
        <w:rPr>
          <w:rtl/>
          <w:lang w:eastAsia="zh-TW"/>
        </w:rPr>
        <w:t xml:space="preserve">2014، الذي قررت الجمعية بموجبه إعلان 13 حزيران/يونيه يوماً دولياً للتوعية بالمهق، اعتباراً من عام 2015، </w:t>
      </w:r>
    </w:p>
    <w:p w:rsidR="008A0936" w:rsidRDefault="008A0936" w:rsidP="00F455DB">
      <w:pPr>
        <w:pStyle w:val="SingleTxtGA"/>
        <w:rPr>
          <w:rtl/>
          <w:lang w:eastAsia="zh-TW"/>
        </w:rPr>
      </w:pPr>
      <w:r>
        <w:rPr>
          <w:i/>
          <w:iCs/>
          <w:rtl/>
          <w:lang w:eastAsia="zh-TW"/>
        </w:rPr>
        <w:tab/>
        <w:t>وإذ يحيط علماً</w:t>
      </w:r>
      <w:r>
        <w:rPr>
          <w:rtl/>
          <w:lang w:eastAsia="zh-TW"/>
        </w:rPr>
        <w:t xml:space="preserve"> بالتقرير الأولي المتعلق بالأشخاص المصابين بالمهق، الذي قدمته مفوضية الأمم المتحدة السامية لحقوق الإنسان إلى مجلس حقوق الإنسان في دورته الرابعة والعشرين</w:t>
      </w:r>
      <w:r w:rsidR="00F455DB" w:rsidRPr="00F455DB">
        <w:rPr>
          <w:vertAlign w:val="superscript"/>
          <w:rtl/>
          <w:lang w:eastAsia="zh-TW"/>
        </w:rPr>
        <w:t>(</w:t>
      </w:r>
      <w:r w:rsidR="00F455DB" w:rsidRPr="00F455DB">
        <w:rPr>
          <w:rStyle w:val="FootnoteReference"/>
          <w:rtl/>
          <w:lang w:eastAsia="zh-TW"/>
        </w:rPr>
        <w:footnoteReference w:id="1"/>
      </w:r>
      <w:r w:rsidR="00F455DB" w:rsidRPr="00F455DB">
        <w:rPr>
          <w:vertAlign w:val="superscript"/>
          <w:rtl/>
          <w:lang w:eastAsia="zh-TW"/>
        </w:rPr>
        <w:t>)</w:t>
      </w:r>
      <w:r>
        <w:rPr>
          <w:rtl/>
          <w:lang w:eastAsia="zh-TW"/>
        </w:rPr>
        <w:t>،</w:t>
      </w:r>
    </w:p>
    <w:p w:rsidR="008A0936" w:rsidRDefault="008A0936" w:rsidP="008A0936">
      <w:pPr>
        <w:pStyle w:val="SingleTxtGA"/>
        <w:rPr>
          <w:rtl/>
          <w:lang w:eastAsia="zh-TW"/>
        </w:rPr>
      </w:pPr>
      <w:r>
        <w:rPr>
          <w:i/>
          <w:iCs/>
          <w:rtl/>
          <w:lang w:eastAsia="zh-TW"/>
        </w:rPr>
        <w:tab/>
        <w:t>وإذ يعرب</w:t>
      </w:r>
      <w:r>
        <w:rPr>
          <w:rtl/>
          <w:lang w:eastAsia="zh-TW"/>
        </w:rPr>
        <w:t xml:space="preserve"> </w:t>
      </w:r>
      <w:r>
        <w:rPr>
          <w:i/>
          <w:iCs/>
          <w:rtl/>
          <w:lang w:eastAsia="zh-TW"/>
        </w:rPr>
        <w:t>عن قلقه البالغ</w:t>
      </w:r>
      <w:r>
        <w:rPr>
          <w:rtl/>
          <w:lang w:eastAsia="zh-TW"/>
        </w:rPr>
        <w:t xml:space="preserve"> إزاء الاعتداءات التي يتعرض لها الأشخاص المصابون بالمهق والانتهاكات الواسعة النطاق المرتكبة في حقهم، بمن فيهم النساء والأطفال والأشخاص ذوو الإعاقة والمسنون،</w:t>
      </w:r>
    </w:p>
    <w:p w:rsidR="008A0936" w:rsidRDefault="008A0936" w:rsidP="008A0936">
      <w:pPr>
        <w:pStyle w:val="SingleTxtGA"/>
        <w:rPr>
          <w:rtl/>
          <w:lang w:eastAsia="zh-TW"/>
        </w:rPr>
      </w:pPr>
      <w:r>
        <w:rPr>
          <w:i/>
          <w:iCs/>
          <w:rtl/>
          <w:lang w:eastAsia="zh-TW"/>
        </w:rPr>
        <w:tab/>
        <w:t>وإذ يرحب</w:t>
      </w:r>
      <w:r>
        <w:rPr>
          <w:rtl/>
          <w:lang w:eastAsia="zh-TW"/>
        </w:rPr>
        <w:t xml:space="preserve"> بجميع المبادرات والإجراءات التي تتخذها جميع البلدان لمواجهة ومكافحة جميع أشكال العنف والتمييز ضد الأشخاص المصابين بالمهق،</w:t>
      </w:r>
    </w:p>
    <w:p w:rsidR="008A0936" w:rsidRDefault="008A0936" w:rsidP="008A0936">
      <w:pPr>
        <w:pStyle w:val="SingleTxtGA"/>
        <w:rPr>
          <w:rtl/>
          <w:lang w:eastAsia="zh-TW"/>
        </w:rPr>
      </w:pPr>
      <w:r>
        <w:rPr>
          <w:i/>
          <w:iCs/>
          <w:rtl/>
          <w:lang w:eastAsia="zh-TW"/>
        </w:rPr>
        <w:lastRenderedPageBreak/>
        <w:tab/>
        <w:t>وإذ يهيب</w:t>
      </w:r>
      <w:r>
        <w:rPr>
          <w:rtl/>
          <w:lang w:eastAsia="zh-TW"/>
        </w:rPr>
        <w:t xml:space="preserve"> بالدول أن تضمن المساءلة بإجراء تحقيقات نزيهة وسريعة وفعالة في الاعتداءات التي يتعرض لها الأشخاص المصابون بالمهق والتي تدخل في نطاق ولايتها وتقدّم المسؤولين عنها إلى العدالة وتضمن وص</w:t>
      </w:r>
      <w:bookmarkStart w:id="0" w:name="_GoBack"/>
      <w:bookmarkEnd w:id="0"/>
      <w:r>
        <w:rPr>
          <w:rtl/>
          <w:lang w:eastAsia="zh-TW"/>
        </w:rPr>
        <w:t>ول الضحايا وأفراد أسرهم إلى سبل انتصاف ملائمة،</w:t>
      </w:r>
    </w:p>
    <w:p w:rsidR="008A0936" w:rsidRDefault="008A0936" w:rsidP="008A0936">
      <w:pPr>
        <w:pStyle w:val="SingleTxtGA"/>
        <w:rPr>
          <w:rtl/>
          <w:lang w:eastAsia="zh-TW"/>
        </w:rPr>
      </w:pPr>
      <w:r>
        <w:rPr>
          <w:i/>
          <w:iCs/>
          <w:rtl/>
          <w:lang w:eastAsia="zh-TW"/>
        </w:rPr>
        <w:tab/>
        <w:t>وإذ ينوه</w:t>
      </w:r>
      <w:r>
        <w:rPr>
          <w:rtl/>
          <w:lang w:eastAsia="zh-TW"/>
        </w:rPr>
        <w:t xml:space="preserve"> بتقرير المفوضية السامية</w:t>
      </w:r>
      <w:r>
        <w:rPr>
          <w:vertAlign w:val="superscript"/>
          <w:rtl/>
          <w:lang w:eastAsia="zh-TW"/>
        </w:rPr>
        <w:t>(1)</w:t>
      </w:r>
      <w:r>
        <w:rPr>
          <w:rtl/>
          <w:lang w:eastAsia="zh-TW"/>
        </w:rPr>
        <w:t xml:space="preserve"> ودعوتها إلى تعزيز التعاون الدولي والإقليمي والثنائي والقيام بأنشطة تهدف إلى دعم التدابير الرامية إلى منع ومكافحة التمييز والعنف ضد الأشخاص المصابين بالمهق ومساعدة الضحايا وأفراد أسرهم،</w:t>
      </w:r>
    </w:p>
    <w:p w:rsidR="008A0936" w:rsidRDefault="008A0936" w:rsidP="00F455DB">
      <w:pPr>
        <w:pStyle w:val="SingleTxtGA"/>
        <w:rPr>
          <w:rtl/>
          <w:lang w:eastAsia="zh-TW"/>
        </w:rPr>
      </w:pPr>
      <w:r>
        <w:rPr>
          <w:i/>
          <w:iCs/>
          <w:rtl/>
          <w:lang w:eastAsia="zh-TW"/>
        </w:rPr>
        <w:tab/>
        <w:t>وإذ ينوه أيضاً</w:t>
      </w:r>
      <w:r>
        <w:rPr>
          <w:iCs/>
          <w:rtl/>
          <w:lang w:eastAsia="zh-TW"/>
        </w:rPr>
        <w:t xml:space="preserve"> </w:t>
      </w:r>
      <w:r>
        <w:rPr>
          <w:rtl/>
          <w:lang w:eastAsia="zh-TW"/>
        </w:rPr>
        <w:t>بتقرير اللجنة الاستشارية لمجلس حقوق الإنسان بشأن دراسة حالة حقوق الإنسان للأشخاص المصابين بالمهق</w:t>
      </w:r>
      <w:r w:rsidR="00F455DB" w:rsidRPr="00F455DB">
        <w:rPr>
          <w:vertAlign w:val="superscript"/>
          <w:rtl/>
          <w:lang w:eastAsia="zh-TW"/>
        </w:rPr>
        <w:t>(</w:t>
      </w:r>
      <w:r w:rsidR="00F455DB" w:rsidRPr="00F455DB">
        <w:rPr>
          <w:rStyle w:val="FootnoteReference"/>
          <w:rtl/>
          <w:lang w:eastAsia="zh-TW"/>
        </w:rPr>
        <w:footnoteReference w:id="2"/>
      </w:r>
      <w:r w:rsidR="00F455DB" w:rsidRPr="00F455DB">
        <w:rPr>
          <w:vertAlign w:val="superscript"/>
          <w:rtl/>
          <w:lang w:eastAsia="zh-TW"/>
        </w:rPr>
        <w:t>)</w:t>
      </w:r>
      <w:r w:rsidR="00F455DB" w:rsidRPr="00F455DB">
        <w:rPr>
          <w:rFonts w:hint="cs"/>
          <w:i/>
          <w:rtl/>
          <w:lang w:eastAsia="zh-TW"/>
        </w:rPr>
        <w:t xml:space="preserve"> </w:t>
      </w:r>
      <w:r>
        <w:rPr>
          <w:rtl/>
          <w:lang w:eastAsia="zh-TW"/>
        </w:rPr>
        <w:t>والتوصيات الواردة فيه، بما في ذلك إنشاء آلية إجراءات خاصة</w:t>
      </w:r>
      <w:r>
        <w:rPr>
          <w:i/>
          <w:rtl/>
          <w:lang w:eastAsia="zh-TW"/>
        </w:rPr>
        <w:t>،</w:t>
      </w:r>
    </w:p>
    <w:p w:rsidR="008A0936" w:rsidRDefault="008A0936" w:rsidP="008A0936">
      <w:pPr>
        <w:pStyle w:val="SingleTxtGA"/>
        <w:rPr>
          <w:rtl/>
          <w:lang w:eastAsia="zh-TW"/>
        </w:rPr>
      </w:pPr>
      <w:r>
        <w:rPr>
          <w:i/>
          <w:rtl/>
          <w:lang w:eastAsia="zh-TW"/>
        </w:rPr>
        <w:tab/>
        <w:t>1-</w:t>
      </w:r>
      <w:r>
        <w:rPr>
          <w:i/>
          <w:rtl/>
          <w:lang w:eastAsia="zh-TW"/>
        </w:rPr>
        <w:tab/>
      </w:r>
      <w:r>
        <w:rPr>
          <w:iCs/>
          <w:rtl/>
          <w:lang w:eastAsia="zh-TW"/>
        </w:rPr>
        <w:t xml:space="preserve">يؤكد من جديد </w:t>
      </w:r>
      <w:r>
        <w:rPr>
          <w:rtl/>
          <w:lang w:eastAsia="zh-TW"/>
        </w:rPr>
        <w:t>التزام الدول باتخاذ كل التدابير المناسبة للقضاء على العنف والتمييز ضد الأشخاص المصابين بالمهق وتعزيز حقوقهم الإنسانية وحرياتهم الأساسية وحمايتها؛</w:t>
      </w:r>
      <w:r>
        <w:rPr>
          <w:iCs/>
          <w:rtl/>
          <w:lang w:eastAsia="zh-TW"/>
        </w:rPr>
        <w:t xml:space="preserve"> </w:t>
      </w:r>
    </w:p>
    <w:p w:rsidR="008A0936" w:rsidRDefault="008A0936" w:rsidP="008A0936">
      <w:pPr>
        <w:pStyle w:val="SingleTxtGA"/>
        <w:rPr>
          <w:rtl/>
          <w:lang w:eastAsia="zh-TW"/>
        </w:rPr>
      </w:pPr>
      <w:r>
        <w:rPr>
          <w:iCs/>
          <w:rtl/>
          <w:lang w:eastAsia="zh-TW"/>
        </w:rPr>
        <w:tab/>
      </w:r>
      <w:r>
        <w:rPr>
          <w:i/>
          <w:rtl/>
          <w:lang w:eastAsia="zh-TW"/>
        </w:rPr>
        <w:t>2-</w:t>
      </w:r>
      <w:r>
        <w:rPr>
          <w:i/>
          <w:rtl/>
          <w:lang w:eastAsia="zh-TW"/>
        </w:rPr>
        <w:tab/>
      </w:r>
      <w:r>
        <w:rPr>
          <w:iCs/>
          <w:rtl/>
          <w:lang w:eastAsia="zh-TW"/>
        </w:rPr>
        <w:t xml:space="preserve">يقرر </w:t>
      </w:r>
      <w:r>
        <w:rPr>
          <w:rtl/>
          <w:lang w:eastAsia="zh-TW"/>
        </w:rPr>
        <w:t>أن يعين، لمدة ثلاث سنوات، خبيراً مستقلاً معنياً بمسألة التمتع بحقوق الإنسان في حالة الأشخاص المصابين بالمهق، تكون ولايته كالآتي:</w:t>
      </w:r>
    </w:p>
    <w:p w:rsidR="008A0936" w:rsidRDefault="008A0936" w:rsidP="008A0936">
      <w:pPr>
        <w:pStyle w:val="SingleTxtGA"/>
        <w:rPr>
          <w:rtl/>
          <w:lang w:eastAsia="zh-TW"/>
        </w:rPr>
      </w:pPr>
      <w:r>
        <w:rPr>
          <w:rtl/>
          <w:lang w:eastAsia="zh-TW"/>
        </w:rPr>
        <w:tab/>
        <w:t>(أ)</w:t>
      </w:r>
      <w:r>
        <w:rPr>
          <w:rtl/>
          <w:lang w:eastAsia="zh-TW"/>
        </w:rPr>
        <w:tab/>
        <w:t>المشاركة في الحوار والتشاور مع الدول وغيرها من أصحاب المصلحة المعنيين، بما في ذلك وكالات الأمم المتحدة وبرامجها وصناديقها، والآليات الإقليمية لحقوق الإنسان، والمؤسسات الوطنية لحقوق الإنسان، والقطاع الخاص، والجهات المانحة؛</w:t>
      </w:r>
    </w:p>
    <w:p w:rsidR="008A0936" w:rsidRDefault="008A0936" w:rsidP="008A0936">
      <w:pPr>
        <w:pStyle w:val="SingleTxtGA"/>
        <w:rPr>
          <w:rtl/>
          <w:lang w:eastAsia="zh-TW"/>
        </w:rPr>
      </w:pPr>
      <w:r>
        <w:rPr>
          <w:rtl/>
          <w:lang w:eastAsia="zh-TW"/>
        </w:rPr>
        <w:tab/>
        <w:t>(ب)</w:t>
      </w:r>
      <w:r>
        <w:rPr>
          <w:rtl/>
          <w:lang w:eastAsia="zh-TW"/>
        </w:rPr>
        <w:tab/>
        <w:t>تحديد وتبادل وتعزيز الممارسات الجيدة المتعلقة بإعمال حقوق الأشخاص المصابين بالمهق ومشاركتهم على قدم المساواة مع غيرهم من أفراد المجتمع؛</w:t>
      </w:r>
    </w:p>
    <w:p w:rsidR="008A0936" w:rsidRDefault="008A0936" w:rsidP="008A0936">
      <w:pPr>
        <w:pStyle w:val="SingleTxtGA"/>
        <w:rPr>
          <w:rtl/>
          <w:lang w:eastAsia="zh-TW"/>
        </w:rPr>
      </w:pPr>
      <w:r>
        <w:rPr>
          <w:rtl/>
          <w:lang w:eastAsia="zh-TW"/>
        </w:rPr>
        <w:tab/>
        <w:t>(ج)</w:t>
      </w:r>
      <w:r>
        <w:rPr>
          <w:rtl/>
          <w:lang w:eastAsia="zh-TW"/>
        </w:rPr>
        <w:tab/>
        <w:t>ترويج وتقديم تقارير عما يُحقق من تطورات وما يواجَه من تحديات وعقبات في سبيل إعمال التمتع بحقوق الإنسان في حالة الأشخاص المصابين بالمهق في جميع مناطق العالم، وتقديم توصيات إلى مجلس حقوق الإنسان في هذا الشأن؛</w:t>
      </w:r>
    </w:p>
    <w:p w:rsidR="008A0936" w:rsidRDefault="008A0936" w:rsidP="008A0936">
      <w:pPr>
        <w:pStyle w:val="SingleTxtGA"/>
        <w:rPr>
          <w:rtl/>
          <w:lang w:eastAsia="zh-TW"/>
        </w:rPr>
      </w:pPr>
      <w:r>
        <w:rPr>
          <w:rtl/>
          <w:lang w:eastAsia="zh-TW"/>
        </w:rPr>
        <w:tab/>
        <w:t>(د)</w:t>
      </w:r>
      <w:r>
        <w:rPr>
          <w:rtl/>
          <w:lang w:eastAsia="zh-TW"/>
        </w:rPr>
        <w:tab/>
        <w:t>جمع وطلب وتلقي المعلومات والرسائل المتعلقة بانتهاكات حقوق الأشخاص المصابين بالمهق من الدول وغيرها من المصادر ذات الصلة، بما فيها الأشخاص المصابون بالمهق والمنظمات التي تمثلهم وغير ذلك من منظمات المجتمع المدني، وتبادل هذه المعلومات والرسائل مع هذه الدول والمصادر؛</w:t>
      </w:r>
    </w:p>
    <w:p w:rsidR="008A0936" w:rsidRDefault="008A0936" w:rsidP="008A0936">
      <w:pPr>
        <w:pStyle w:val="SingleTxtGA"/>
        <w:rPr>
          <w:rtl/>
          <w:lang w:eastAsia="zh-TW"/>
        </w:rPr>
      </w:pPr>
      <w:r>
        <w:rPr>
          <w:rtl/>
          <w:lang w:eastAsia="zh-TW"/>
        </w:rPr>
        <w:tab/>
        <w:t>(ه)</w:t>
      </w:r>
      <w:r>
        <w:rPr>
          <w:rtl/>
          <w:lang w:eastAsia="zh-TW"/>
        </w:rPr>
        <w:tab/>
        <w:t>تنظيم وتيسير ودعم تقديم الخدمات الاستشارية، والمساعدة التقنية، والمساعدة في بناء القدرات، والتعاون الدولي لدعم الجهود الوطنية الرامية إلى إعمال حقوق الأشخاص المصابين بالمهق إعمالاً فعالاً ومنع العنف؛</w:t>
      </w:r>
    </w:p>
    <w:p w:rsidR="008A0936" w:rsidRDefault="008A0936" w:rsidP="008A0936">
      <w:pPr>
        <w:pStyle w:val="SingleTxtGA"/>
        <w:rPr>
          <w:rtl/>
          <w:lang w:eastAsia="zh-TW"/>
        </w:rPr>
      </w:pPr>
      <w:r>
        <w:rPr>
          <w:rtl/>
          <w:lang w:eastAsia="zh-TW"/>
        </w:rPr>
        <w:lastRenderedPageBreak/>
        <w:tab/>
        <w:t>(و)</w:t>
      </w:r>
      <w:r>
        <w:rPr>
          <w:rtl/>
          <w:lang w:eastAsia="zh-TW"/>
        </w:rPr>
        <w:tab/>
        <w:t>زيادة الوعي بحقوق الأشخاص المصابين بالمهق، ومكافحة القوالب النمطية والتحيز والممارسات والمعتقدات التقليدية الضارة التي تعوق تمتعهم بحقوق الإنسان ومشاركتهم في المجتمع على قدم المساواة مع الآخرين؛</w:t>
      </w:r>
    </w:p>
    <w:p w:rsidR="008A0936" w:rsidRDefault="008A0936" w:rsidP="008A0936">
      <w:pPr>
        <w:pStyle w:val="SingleTxtGA"/>
        <w:rPr>
          <w:rtl/>
          <w:lang w:eastAsia="zh-TW"/>
        </w:rPr>
      </w:pPr>
      <w:r>
        <w:rPr>
          <w:rtl/>
          <w:lang w:eastAsia="zh-TW"/>
        </w:rPr>
        <w:tab/>
        <w:t>(ز)</w:t>
      </w:r>
      <w:r>
        <w:rPr>
          <w:rtl/>
          <w:lang w:eastAsia="zh-TW"/>
        </w:rPr>
        <w:tab/>
        <w:t>تعزيز الوعي بمساهماتهم الإيجابية، وإبلاغ الأشخاص المصابين بالمهق بحقوقهم؛</w:t>
      </w:r>
    </w:p>
    <w:p w:rsidR="008A0936" w:rsidRDefault="008A0936" w:rsidP="008A0936">
      <w:pPr>
        <w:pStyle w:val="SingleTxtGA"/>
        <w:rPr>
          <w:rtl/>
          <w:lang w:eastAsia="zh-TW"/>
        </w:rPr>
      </w:pPr>
      <w:r>
        <w:rPr>
          <w:rtl/>
          <w:lang w:eastAsia="zh-TW"/>
        </w:rPr>
        <w:tab/>
        <w:t>(ح)</w:t>
      </w:r>
      <w:r>
        <w:rPr>
          <w:rtl/>
          <w:lang w:eastAsia="zh-TW"/>
        </w:rPr>
        <w:tab/>
        <w:t>تقديم تقرير إلى مجلس حقوق الإنسان، اعتباراً من دورته الحادية والثلاثين، وإلى الجمعية العامة؛</w:t>
      </w:r>
    </w:p>
    <w:p w:rsidR="008A0936" w:rsidRDefault="008A0936" w:rsidP="008A0936">
      <w:pPr>
        <w:pStyle w:val="SingleTxtGA"/>
        <w:rPr>
          <w:rtl/>
          <w:lang w:eastAsia="zh-TW"/>
        </w:rPr>
      </w:pPr>
      <w:r>
        <w:rPr>
          <w:sz w:val="30"/>
          <w:rtl/>
          <w:lang w:eastAsia="zh-TW"/>
        </w:rPr>
        <w:tab/>
        <w:t>٣</w:t>
      </w:r>
      <w:r>
        <w:rPr>
          <w:sz w:val="30"/>
          <w:rtl/>
        </w:rPr>
        <w:t>-</w:t>
      </w:r>
      <w:r>
        <w:rPr>
          <w:rtl/>
          <w:lang w:eastAsia="zh-TW"/>
        </w:rPr>
        <w:tab/>
      </w:r>
      <w:r>
        <w:rPr>
          <w:i/>
          <w:iCs/>
          <w:rtl/>
          <w:lang w:eastAsia="zh-TW"/>
        </w:rPr>
        <w:t xml:space="preserve">يطلب </w:t>
      </w:r>
      <w:r>
        <w:rPr>
          <w:rtl/>
          <w:lang w:eastAsia="zh-TW"/>
        </w:rPr>
        <w:t xml:space="preserve">إلى الخبير المستقل أن يدمج منظوراً جنسانياً في جميع مجالات عمل الولاية وإيلاء أهمية خاصة للتحديات التي تعترض النساء والفتيات ولاحتياجاتهن من أجل التصدي لأشكال التمييز المتعددة والمتقاطعة والمشدَّدة التي تواجهها النساء والفتيات المصابات بالمهق؛ </w:t>
      </w:r>
    </w:p>
    <w:p w:rsidR="008A0936" w:rsidRDefault="008A0936" w:rsidP="008A0936">
      <w:pPr>
        <w:pStyle w:val="SingleTxtGA"/>
        <w:rPr>
          <w:rtl/>
          <w:lang w:eastAsia="zh-TW"/>
        </w:rPr>
      </w:pPr>
      <w:r>
        <w:rPr>
          <w:sz w:val="30"/>
          <w:rtl/>
          <w:lang w:eastAsia="zh-TW"/>
        </w:rPr>
        <w:tab/>
        <w:t>٤</w:t>
      </w:r>
      <w:r>
        <w:rPr>
          <w:sz w:val="30"/>
          <w:rtl/>
        </w:rPr>
        <w:t>-</w:t>
      </w:r>
      <w:r>
        <w:rPr>
          <w:rtl/>
          <w:lang w:eastAsia="zh-TW"/>
        </w:rPr>
        <w:tab/>
      </w:r>
      <w:r>
        <w:rPr>
          <w:i/>
          <w:iCs/>
          <w:rtl/>
          <w:lang w:eastAsia="zh-TW"/>
        </w:rPr>
        <w:t>يهيب</w:t>
      </w:r>
      <w:r>
        <w:rPr>
          <w:rtl/>
          <w:lang w:eastAsia="zh-TW"/>
        </w:rPr>
        <w:t xml:space="preserve"> بجميع الدول أن تتعاون مع الخبير المستقل في الاضطلاع بولايته، بطرق منها تقديم جميع المعلومات المطلوبة، وأن تنظر جدياً في الاستجابة لطلبات الخبير المستقل بشأن زيارة بلدانها وتنظر في تنفيذ التوصيات المقدمة في تقارير المكلف بالولاية؛ </w:t>
      </w:r>
    </w:p>
    <w:p w:rsidR="008A0936" w:rsidRDefault="008A0936" w:rsidP="008A0936">
      <w:pPr>
        <w:pStyle w:val="SingleTxtGA"/>
        <w:rPr>
          <w:rtl/>
          <w:lang w:eastAsia="zh-TW"/>
        </w:rPr>
      </w:pPr>
      <w:r>
        <w:rPr>
          <w:sz w:val="30"/>
          <w:rtl/>
          <w:lang w:eastAsia="zh-TW"/>
        </w:rPr>
        <w:tab/>
        <w:t>٥</w:t>
      </w:r>
      <w:r>
        <w:rPr>
          <w:sz w:val="30"/>
          <w:rtl/>
        </w:rPr>
        <w:t>-</w:t>
      </w:r>
      <w:r>
        <w:rPr>
          <w:rtl/>
          <w:lang w:eastAsia="zh-TW"/>
        </w:rPr>
        <w:tab/>
      </w:r>
      <w:r>
        <w:rPr>
          <w:i/>
          <w:iCs/>
          <w:rtl/>
          <w:lang w:eastAsia="zh-TW"/>
        </w:rPr>
        <w:t xml:space="preserve">يطلب </w:t>
      </w:r>
      <w:r>
        <w:rPr>
          <w:rtl/>
          <w:lang w:eastAsia="zh-TW"/>
        </w:rPr>
        <w:t>إلى الأمين العام ومفوض الأمم المتحدة السامي لحقوق الإنسان أن يزودا الخبير المستقل بجميع الموارد البشرية والتقنية والمالية اللازمة للاضطلاع بولايته على نحو فعال.</w:t>
      </w:r>
    </w:p>
    <w:p w:rsidR="008A0936" w:rsidRPr="00115BC4" w:rsidRDefault="008A0936" w:rsidP="00115BC4">
      <w:pPr>
        <w:pStyle w:val="SingleTxtGA"/>
        <w:spacing w:after="0"/>
        <w:jc w:val="right"/>
        <w:rPr>
          <w:i/>
          <w:iCs/>
          <w:rtl/>
          <w:lang w:eastAsia="zh-TW"/>
        </w:rPr>
      </w:pPr>
      <w:r w:rsidRPr="00115BC4">
        <w:rPr>
          <w:i/>
          <w:iCs/>
          <w:rtl/>
          <w:lang w:eastAsia="zh-TW"/>
        </w:rPr>
        <w:t>الجلسة 55</w:t>
      </w:r>
    </w:p>
    <w:p w:rsidR="008A0936" w:rsidRPr="00115BC4" w:rsidRDefault="008A0936" w:rsidP="008A0936">
      <w:pPr>
        <w:pStyle w:val="SingleTxtGA"/>
        <w:jc w:val="right"/>
        <w:rPr>
          <w:i/>
          <w:iCs/>
          <w:rtl/>
          <w:lang w:eastAsia="zh-TW"/>
        </w:rPr>
      </w:pPr>
      <w:r w:rsidRPr="00115BC4">
        <w:rPr>
          <w:i/>
          <w:iCs/>
          <w:rtl/>
          <w:lang w:eastAsia="zh-TW"/>
        </w:rPr>
        <w:t>26 آذار/مارس 2015</w:t>
      </w:r>
    </w:p>
    <w:p w:rsidR="008A0936" w:rsidRDefault="008A0936" w:rsidP="008A0936">
      <w:pPr>
        <w:pStyle w:val="SingleTxtGA"/>
        <w:jc w:val="left"/>
        <w:rPr>
          <w:rFonts w:hint="cs"/>
          <w:rtl/>
          <w:lang w:eastAsia="zh-TW"/>
        </w:rPr>
      </w:pPr>
      <w:r>
        <w:rPr>
          <w:rtl/>
          <w:lang w:eastAsia="zh-TW"/>
        </w:rPr>
        <w:t>[اعتُمِد دون تصويت</w:t>
      </w:r>
      <w:r w:rsidR="000570ED">
        <w:rPr>
          <w:rFonts w:hint="cs"/>
          <w:rtl/>
          <w:lang w:eastAsia="zh-TW"/>
        </w:rPr>
        <w:t>.</w:t>
      </w:r>
      <w:r w:rsidR="000570ED">
        <w:rPr>
          <w:rtl/>
          <w:lang w:eastAsia="zh-TW"/>
        </w:rPr>
        <w:t>]</w:t>
      </w:r>
    </w:p>
    <w:p w:rsidR="008A0936" w:rsidRDefault="008A0936" w:rsidP="008A0936">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8A0936" w:rsidSect="008A093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75" w:rsidRPr="002901D9" w:rsidRDefault="00454675" w:rsidP="002901D9">
      <w:pPr>
        <w:spacing w:after="60" w:line="240" w:lineRule="auto"/>
        <w:rPr>
          <w:i/>
          <w:iCs/>
        </w:rPr>
      </w:pPr>
      <w:r>
        <w:rPr>
          <w:rFonts w:hint="cs"/>
          <w:i/>
          <w:iCs/>
          <w:rtl/>
        </w:rPr>
        <w:t>الحواشي</w:t>
      </w:r>
    </w:p>
  </w:endnote>
  <w:endnote w:type="continuationSeparator" w:id="0">
    <w:p w:rsidR="00454675" w:rsidRDefault="0045467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36" w:rsidRPr="008A0936" w:rsidRDefault="008A0936" w:rsidP="008A0936">
    <w:pPr>
      <w:pStyle w:val="Footer"/>
      <w:tabs>
        <w:tab w:val="right" w:pos="9598"/>
      </w:tabs>
    </w:pPr>
    <w:r>
      <w:t>GE.15-07491</w:t>
    </w:r>
    <w:r>
      <w:tab/>
    </w:r>
    <w:r w:rsidRPr="008A0936">
      <w:rPr>
        <w:b/>
        <w:sz w:val="18"/>
      </w:rPr>
      <w:fldChar w:fldCharType="begin"/>
    </w:r>
    <w:r w:rsidRPr="008A0936">
      <w:rPr>
        <w:b/>
        <w:sz w:val="18"/>
      </w:rPr>
      <w:instrText xml:space="preserve"> PAGE  \* MERGEFORMAT </w:instrText>
    </w:r>
    <w:r w:rsidRPr="008A0936">
      <w:rPr>
        <w:b/>
        <w:sz w:val="18"/>
      </w:rPr>
      <w:fldChar w:fldCharType="separate"/>
    </w:r>
    <w:r w:rsidR="007A59C2">
      <w:rPr>
        <w:b/>
        <w:noProof/>
        <w:sz w:val="18"/>
      </w:rPr>
      <w:t>2</w:t>
    </w:r>
    <w:r w:rsidRPr="008A093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8A0936" w:rsidRDefault="008A0936" w:rsidP="006959B0">
    <w:pPr>
      <w:pStyle w:val="Footer"/>
      <w:tabs>
        <w:tab w:val="right" w:pos="9599"/>
      </w:tabs>
      <w:jc w:val="left"/>
      <w:rPr>
        <w:b/>
        <w:sz w:val="18"/>
        <w:lang w:val="en-US"/>
      </w:rPr>
    </w:pPr>
    <w:r w:rsidRPr="008A0936">
      <w:rPr>
        <w:b/>
        <w:sz w:val="18"/>
        <w:lang w:val="en-US"/>
      </w:rPr>
      <w:fldChar w:fldCharType="begin"/>
    </w:r>
    <w:r w:rsidRPr="008A0936">
      <w:rPr>
        <w:b/>
        <w:sz w:val="18"/>
        <w:lang w:val="en-US"/>
      </w:rPr>
      <w:instrText xml:space="preserve"> PAGE  \* MERGEFORMAT </w:instrText>
    </w:r>
    <w:r w:rsidRPr="008A0936">
      <w:rPr>
        <w:b/>
        <w:sz w:val="18"/>
        <w:lang w:val="en-US"/>
      </w:rPr>
      <w:fldChar w:fldCharType="separate"/>
    </w:r>
    <w:r w:rsidR="007A59C2">
      <w:rPr>
        <w:b/>
        <w:noProof/>
        <w:sz w:val="18"/>
        <w:lang w:val="en-US"/>
      </w:rPr>
      <w:t>3</w:t>
    </w:r>
    <w:r w:rsidRPr="008A0936">
      <w:rPr>
        <w:b/>
        <w:sz w:val="18"/>
        <w:lang w:val="en-US"/>
      </w:rPr>
      <w:fldChar w:fldCharType="end"/>
    </w:r>
    <w:r>
      <w:rPr>
        <w:b/>
        <w:sz w:val="18"/>
        <w:lang w:val="en-US"/>
      </w:rPr>
      <w:tab/>
    </w:r>
    <w:r>
      <w:rPr>
        <w:lang w:val="en-US"/>
      </w:rPr>
      <w:t>GE.15-07491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Pr="001B6C60" w:rsidRDefault="008A0936" w:rsidP="008A0936">
    <w:pPr>
      <w:pStyle w:val="Footer"/>
      <w:jc w:val="right"/>
      <w:rPr>
        <w:lang w:val="fr-CH"/>
      </w:rPr>
    </w:pPr>
    <w:r>
      <w:rPr>
        <w:sz w:val="20"/>
      </w:rPr>
      <w:t>(A)   GE.15-07491</w:t>
    </w:r>
    <w:r w:rsidR="007A59C2">
      <w:rPr>
        <w:noProof/>
        <w:lang w:val="en-US"/>
      </w:rPr>
      <w:drawing>
        <wp:anchor distT="0" distB="0" distL="114300" distR="114300" simplePos="0" relativeHeight="251657216" behindDoc="1" locked="1" layoutInCell="0" allowOverlap="1">
          <wp:simplePos x="0" y="0"/>
          <wp:positionH relativeFrom="margin">
            <wp:posOffset>706755</wp:posOffset>
          </wp:positionH>
          <wp:positionV relativeFrom="margin">
            <wp:posOffset>8197850</wp:posOffset>
          </wp:positionV>
          <wp:extent cx="1162050" cy="323850"/>
          <wp:effectExtent l="0" t="0" r="0" b="0"/>
          <wp:wrapTight wrapText="bothSides">
            <wp:wrapPolygon edited="0">
              <wp:start x="0" y="0"/>
              <wp:lineTo x="0" y="20329"/>
              <wp:lineTo x="21246" y="20329"/>
              <wp:lineTo x="21246" y="0"/>
              <wp:lineTo x="0" y="0"/>
            </wp:wrapPolygon>
          </wp:wrapTight>
          <wp:docPr id="3"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040515    040515</w:t>
    </w:r>
    <w:r w:rsidR="001B6C60">
      <w:rPr>
        <w:sz w:val="20"/>
        <w:lang w:val="fr-CH"/>
      </w:rPr>
      <w:br/>
    </w:r>
    <w:r w:rsidR="001B6C60" w:rsidRPr="001B6C60">
      <w:rPr>
        <w:rFonts w:ascii="C39T30Lfz" w:hAnsi="C39T30Lfz"/>
        <w:sz w:val="56"/>
        <w:lang w:val="fr-CH"/>
      </w:rPr>
      <w:t></w:t>
    </w:r>
    <w:r w:rsidR="001B6C60" w:rsidRPr="001B6C60">
      <w:rPr>
        <w:rFonts w:ascii="C39T30Lfz" w:hAnsi="C39T30Lfz"/>
        <w:sz w:val="56"/>
        <w:lang w:val="fr-CH"/>
      </w:rPr>
      <w:t></w:t>
    </w:r>
    <w:r w:rsidR="001B6C60" w:rsidRPr="001B6C60">
      <w:rPr>
        <w:rFonts w:ascii="C39T30Lfz" w:hAnsi="C39T30Lfz"/>
        <w:sz w:val="56"/>
        <w:lang w:val="fr-CH"/>
      </w:rPr>
      <w:t></w:t>
    </w:r>
    <w:r w:rsidR="001B6C60" w:rsidRPr="001B6C60">
      <w:rPr>
        <w:rFonts w:ascii="C39T30Lfz" w:hAnsi="C39T30Lfz"/>
        <w:sz w:val="56"/>
        <w:lang w:val="fr-CH"/>
      </w:rPr>
      <w:t></w:t>
    </w:r>
    <w:r w:rsidR="001B6C60" w:rsidRPr="001B6C60">
      <w:rPr>
        <w:rFonts w:ascii="C39T30Lfz" w:hAnsi="C39T30Lfz"/>
        <w:sz w:val="56"/>
        <w:lang w:val="fr-CH"/>
      </w:rPr>
      <w:t></w:t>
    </w:r>
    <w:r w:rsidR="001B6C60" w:rsidRPr="001B6C60">
      <w:rPr>
        <w:rFonts w:ascii="C39T30Lfz" w:hAnsi="C39T30Lfz"/>
        <w:sz w:val="56"/>
        <w:lang w:val="fr-CH"/>
      </w:rPr>
      <w:t></w:t>
    </w:r>
    <w:r w:rsidR="001B6C60" w:rsidRPr="001B6C60">
      <w:rPr>
        <w:rFonts w:ascii="C39T30Lfz" w:hAnsi="C39T30Lfz"/>
        <w:sz w:val="56"/>
        <w:lang w:val="fr-CH"/>
      </w:rPr>
      <w:t></w:t>
    </w:r>
    <w:r w:rsidR="001B6C60" w:rsidRPr="001B6C60">
      <w:rPr>
        <w:rFonts w:ascii="C39T30Lfz" w:hAnsi="C39T30Lfz"/>
        <w:sz w:val="56"/>
        <w:lang w:val="fr-CH"/>
      </w:rPr>
      <w:t></w:t>
    </w:r>
    <w:r w:rsidR="001B6C60" w:rsidRPr="001B6C60">
      <w:rPr>
        <w:rFonts w:ascii="C39T30Lfz" w:hAnsi="C39T30Lfz"/>
        <w:sz w:val="56"/>
        <w:lang w:val="fr-CH"/>
      </w:rPr>
      <w:t></w:t>
    </w:r>
    <w:r w:rsidR="007A59C2">
      <w:rPr>
        <w:noProof/>
        <w:lang w:val="en-US"/>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2" name="Picture 1" descr="http://undocs.org/m2/QRCode.ashx?DS=A/HRC/RES/28/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28/6&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75" w:rsidRPr="00773CC1" w:rsidRDefault="00454675" w:rsidP="00773CC1">
      <w:pPr>
        <w:pStyle w:val="Footer"/>
        <w:bidi/>
        <w:spacing w:after="80" w:line="200" w:lineRule="exact"/>
        <w:ind w:left="680"/>
      </w:pPr>
      <w:r>
        <w:rPr>
          <w:rtl/>
        </w:rPr>
        <w:t>__________</w:t>
      </w:r>
    </w:p>
  </w:footnote>
  <w:footnote w:type="continuationSeparator" w:id="0">
    <w:p w:rsidR="00454675" w:rsidRDefault="00454675" w:rsidP="00656392">
      <w:pPr>
        <w:spacing w:line="240" w:lineRule="auto"/>
      </w:pPr>
      <w:r>
        <w:continuationSeparator/>
      </w:r>
    </w:p>
  </w:footnote>
  <w:footnote w:id="1">
    <w:p w:rsidR="00F455DB" w:rsidRPr="00F455DB" w:rsidRDefault="00F455DB" w:rsidP="00F455DB">
      <w:pPr>
        <w:pStyle w:val="FootnoteText1"/>
      </w:pPr>
      <w:r w:rsidRPr="00F455DB">
        <w:rPr>
          <w:rtl/>
        </w:rPr>
        <w:t>(</w:t>
      </w:r>
      <w:r w:rsidRPr="00F455DB">
        <w:rPr>
          <w:rStyle w:val="FootnoteReference"/>
          <w:vertAlign w:val="baseline"/>
        </w:rPr>
        <w:footnoteRef/>
      </w:r>
      <w:r>
        <w:rPr>
          <w:sz w:val="26"/>
          <w:rtl/>
        </w:rPr>
        <w:t>)</w:t>
      </w:r>
      <w:r>
        <w:rPr>
          <w:sz w:val="26"/>
          <w:rtl/>
        </w:rPr>
        <w:tab/>
      </w:r>
      <w:r>
        <w:rPr>
          <w:szCs w:val="18"/>
          <w:lang w:eastAsia="zh-TW"/>
        </w:rPr>
        <w:t>A/HRC/24/57</w:t>
      </w:r>
      <w:r>
        <w:rPr>
          <w:sz w:val="26"/>
          <w:rtl/>
          <w:lang w:val="fr-CH" w:eastAsia="zh-TW"/>
        </w:rPr>
        <w:t>.</w:t>
      </w:r>
      <w:r w:rsidRPr="00F455DB">
        <w:rPr>
          <w:rtl/>
        </w:rPr>
        <w:t xml:space="preserve"> </w:t>
      </w:r>
    </w:p>
  </w:footnote>
  <w:footnote w:id="2">
    <w:p w:rsidR="00F455DB" w:rsidRPr="00F455DB" w:rsidRDefault="00F455DB" w:rsidP="00F455DB">
      <w:pPr>
        <w:pStyle w:val="FootnoteText1"/>
      </w:pPr>
      <w:r w:rsidRPr="00F455DB">
        <w:rPr>
          <w:rtl/>
        </w:rPr>
        <w:t>(</w:t>
      </w:r>
      <w:r w:rsidRPr="00F455DB">
        <w:rPr>
          <w:rStyle w:val="FootnoteReference"/>
          <w:vertAlign w:val="baseline"/>
        </w:rPr>
        <w:footnoteRef/>
      </w:r>
      <w:r>
        <w:rPr>
          <w:sz w:val="26"/>
          <w:rtl/>
        </w:rPr>
        <w:t>)</w:t>
      </w:r>
      <w:r>
        <w:rPr>
          <w:sz w:val="26"/>
          <w:rtl/>
        </w:rPr>
        <w:tab/>
      </w:r>
      <w:r>
        <w:rPr>
          <w:szCs w:val="18"/>
          <w:lang w:eastAsia="zh-TW"/>
        </w:rPr>
        <w:t>A/HRC/28/75</w:t>
      </w:r>
      <w:r>
        <w:rPr>
          <w:sz w:val="26"/>
          <w:rtl/>
          <w:lang w:eastAsia="zh-TW"/>
        </w:rPr>
        <w:t>.</w:t>
      </w:r>
      <w:r w:rsidRPr="00F455DB">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36" w:rsidRPr="008A0936" w:rsidRDefault="008A0936" w:rsidP="008A0936">
    <w:pPr>
      <w:pStyle w:val="Header"/>
      <w:jc w:val="right"/>
    </w:pPr>
    <w:r w:rsidRPr="008A0936">
      <w:t>A/HRC/RES/28/6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36" w:rsidRPr="008A0936" w:rsidRDefault="008A0936" w:rsidP="008A0936">
    <w:pPr>
      <w:pStyle w:val="Header"/>
      <w:jc w:val="left"/>
    </w:pPr>
    <w:r w:rsidRPr="008A0936">
      <w:t>A/HRC/RES/28/6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680"/>
  <w:evenAndOddHeaders/>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F0"/>
    <w:rsid w:val="000076D5"/>
    <w:rsid w:val="00043663"/>
    <w:rsid w:val="000505CF"/>
    <w:rsid w:val="000570ED"/>
    <w:rsid w:val="000D701C"/>
    <w:rsid w:val="000E2A71"/>
    <w:rsid w:val="00115BC4"/>
    <w:rsid w:val="00160263"/>
    <w:rsid w:val="00181F96"/>
    <w:rsid w:val="001A1371"/>
    <w:rsid w:val="001B0F23"/>
    <w:rsid w:val="001B346A"/>
    <w:rsid w:val="001B6C60"/>
    <w:rsid w:val="001E1CAD"/>
    <w:rsid w:val="001E290D"/>
    <w:rsid w:val="002144FA"/>
    <w:rsid w:val="0023469A"/>
    <w:rsid w:val="00243C8A"/>
    <w:rsid w:val="00267A0E"/>
    <w:rsid w:val="002901D9"/>
    <w:rsid w:val="002976C2"/>
    <w:rsid w:val="003260FF"/>
    <w:rsid w:val="00343D95"/>
    <w:rsid w:val="00374341"/>
    <w:rsid w:val="00396B22"/>
    <w:rsid w:val="003D1062"/>
    <w:rsid w:val="00420D7B"/>
    <w:rsid w:val="00450B21"/>
    <w:rsid w:val="00453B63"/>
    <w:rsid w:val="00454675"/>
    <w:rsid w:val="00455780"/>
    <w:rsid w:val="004B0A1C"/>
    <w:rsid w:val="004D298E"/>
    <w:rsid w:val="0054472E"/>
    <w:rsid w:val="005662A9"/>
    <w:rsid w:val="0057641E"/>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73CC1"/>
    <w:rsid w:val="0078071A"/>
    <w:rsid w:val="007A59C2"/>
    <w:rsid w:val="00852A9A"/>
    <w:rsid w:val="008A0936"/>
    <w:rsid w:val="008F49E1"/>
    <w:rsid w:val="0090370F"/>
    <w:rsid w:val="009269D2"/>
    <w:rsid w:val="00942135"/>
    <w:rsid w:val="009521B0"/>
    <w:rsid w:val="00994130"/>
    <w:rsid w:val="009A7E9F"/>
    <w:rsid w:val="009E5018"/>
    <w:rsid w:val="00A12B37"/>
    <w:rsid w:val="00AB6758"/>
    <w:rsid w:val="00B13763"/>
    <w:rsid w:val="00B477A4"/>
    <w:rsid w:val="00B54045"/>
    <w:rsid w:val="00C438D7"/>
    <w:rsid w:val="00C81B50"/>
    <w:rsid w:val="00CB28F9"/>
    <w:rsid w:val="00CD1801"/>
    <w:rsid w:val="00D10EF1"/>
    <w:rsid w:val="00D42810"/>
    <w:rsid w:val="00D914A7"/>
    <w:rsid w:val="00DB48F0"/>
    <w:rsid w:val="00DD13C3"/>
    <w:rsid w:val="00DD596E"/>
    <w:rsid w:val="00DD621E"/>
    <w:rsid w:val="00DF0575"/>
    <w:rsid w:val="00E70E04"/>
    <w:rsid w:val="00E76499"/>
    <w:rsid w:val="00EC05A7"/>
    <w:rsid w:val="00EC4B6B"/>
    <w:rsid w:val="00EF1EE5"/>
    <w:rsid w:val="00F455DB"/>
    <w:rsid w:val="00F763B4"/>
    <w:rsid w:val="00F900C3"/>
    <w:rsid w:val="00F95DF8"/>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semiHidden/>
    <w:unhideWhenUsed/>
    <w:rsid w:val="001A1371"/>
    <w:pPr>
      <w:spacing w:line="240" w:lineRule="auto"/>
    </w:pPr>
    <w:rPr>
      <w:szCs w:val="20"/>
    </w:rPr>
  </w:style>
  <w:style w:type="character" w:customStyle="1" w:styleId="FootnoteTextChar">
    <w:name w:val="Footnote Text Char"/>
    <w:aliases w:val="5_G Char"/>
    <w:link w:val="FootnoteText"/>
    <w:semiHidden/>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semiHidden/>
    <w:unhideWhenUsed/>
    <w:rsid w:val="001A1371"/>
    <w:pPr>
      <w:spacing w:line="240" w:lineRule="auto"/>
    </w:pPr>
    <w:rPr>
      <w:szCs w:val="20"/>
    </w:rPr>
  </w:style>
  <w:style w:type="character" w:customStyle="1" w:styleId="FootnoteTextChar">
    <w:name w:val="Footnote Text Char"/>
    <w:aliases w:val="5_G Char"/>
    <w:link w:val="FootnoteText"/>
    <w:semiHidden/>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 w:id="15566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7653-927B-47AF-88A6-8DD9D501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A/HRC/RES/28/6</vt:lpstr>
    </vt:vector>
  </TitlesOfParts>
  <Company>DCM</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A/HRC/RES/28/6</dc:title>
  <dc:subject>SEFFRAOUI</dc:subject>
  <dc:creator>Smadi</dc:creator>
  <cp:lastModifiedBy>BALAN</cp:lastModifiedBy>
  <cp:revision>2</cp:revision>
  <dcterms:created xsi:type="dcterms:W3CDTF">2015-05-04T08:37:00Z</dcterms:created>
  <dcterms:modified xsi:type="dcterms:W3CDTF">2015-05-04T08:37:00Z</dcterms:modified>
</cp:coreProperties>
</file>