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F53D4C" w:rsidP="00AE4D20">
            <w:pPr>
              <w:spacing w:line="240" w:lineRule="atLeast"/>
              <w:jc w:val="right"/>
              <w:rPr>
                <w:rFonts w:hint="eastAsia"/>
                <w:szCs w:val="21"/>
              </w:rPr>
            </w:pPr>
            <w:r>
              <w:rPr>
                <w:sz w:val="40"/>
                <w:szCs w:val="40"/>
              </w:rPr>
              <w:t>A</w:t>
            </w:r>
            <w:r w:rsidR="007F0741">
              <w:rPr>
                <w:sz w:val="20"/>
              </w:rPr>
              <w:t>/</w:t>
            </w:r>
            <w:r w:rsidRPr="00637834">
              <w:rPr>
                <w:sz w:val="20"/>
              </w:rPr>
              <w:t>HRC</w:t>
            </w:r>
            <w:r w:rsidR="007F0741">
              <w:rPr>
                <w:sz w:val="20"/>
              </w:rPr>
              <w:t>/</w:t>
            </w:r>
            <w:r w:rsidR="003E4484">
              <w:rPr>
                <w:rFonts w:hint="eastAsia"/>
                <w:sz w:val="20"/>
              </w:rPr>
              <w:t>RES</w:t>
            </w:r>
            <w:r w:rsidR="007F0741">
              <w:rPr>
                <w:rFonts w:hint="eastAsia"/>
                <w:sz w:val="20"/>
              </w:rPr>
              <w:t>/</w:t>
            </w:r>
            <w:r w:rsidR="00E2109C">
              <w:rPr>
                <w:rFonts w:hint="eastAsia"/>
                <w:sz w:val="20"/>
              </w:rPr>
              <w:t>24</w:t>
            </w:r>
            <w:r w:rsidR="007F0741">
              <w:rPr>
                <w:rFonts w:hint="eastAsia"/>
                <w:sz w:val="20"/>
              </w:rPr>
              <w:t>/</w:t>
            </w:r>
            <w:r w:rsidR="00946DD1">
              <w:rPr>
                <w:rFonts w:hint="eastAsia"/>
                <w:sz w:val="20"/>
              </w:rPr>
              <w:t>5</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F53D4C" w:rsidRPr="00637834" w:rsidRDefault="00AF7160" w:rsidP="00637834">
            <w:pPr>
              <w:spacing w:before="240" w:line="240" w:lineRule="atLeast"/>
              <w:rPr>
                <w:sz w:val="20"/>
              </w:rPr>
            </w:pPr>
            <w:r>
              <w:rPr>
                <w:sz w:val="20"/>
              </w:rPr>
              <w:t xml:space="preserve">Distr.: </w:t>
            </w:r>
            <w:r w:rsidR="00BF7E3F">
              <w:rPr>
                <w:sz w:val="20"/>
              </w:rPr>
              <w:t>General</w:t>
            </w:r>
          </w:p>
          <w:p w:rsidR="00F53D4C" w:rsidRPr="00637834" w:rsidRDefault="00E276B4">
            <w:pPr>
              <w:spacing w:line="240" w:lineRule="atLeast"/>
              <w:rPr>
                <w:rFonts w:hint="eastAsia"/>
                <w:sz w:val="20"/>
              </w:rPr>
            </w:pPr>
            <w:r>
              <w:rPr>
                <w:rFonts w:hint="eastAsia"/>
                <w:sz w:val="20"/>
              </w:rPr>
              <w:t>8</w:t>
            </w:r>
            <w:r w:rsidR="00E2109C">
              <w:rPr>
                <w:rFonts w:hint="eastAsia"/>
                <w:sz w:val="20"/>
              </w:rPr>
              <w:t xml:space="preserve"> </w:t>
            </w:r>
            <w:r w:rsidR="00E2109C" w:rsidRPr="00E2109C">
              <w:rPr>
                <w:sz w:val="20"/>
              </w:rPr>
              <w:t>October</w:t>
            </w:r>
            <w:r w:rsidR="001C3E9A">
              <w:rPr>
                <w:sz w:val="20"/>
              </w:rPr>
              <w:t xml:space="preserve"> 20</w:t>
            </w:r>
            <w:r w:rsidR="00613337">
              <w:rPr>
                <w:rFonts w:hint="eastAsia"/>
                <w:sz w:val="20"/>
              </w:rPr>
              <w:t>13</w:t>
            </w:r>
          </w:p>
          <w:p w:rsidR="00F53D4C" w:rsidRPr="00637834" w:rsidRDefault="00F53D4C">
            <w:pPr>
              <w:spacing w:line="240" w:lineRule="atLeast"/>
              <w:rPr>
                <w:sz w:val="20"/>
              </w:rPr>
            </w:pPr>
            <w:r w:rsidRPr="00637834">
              <w:rPr>
                <w:sz w:val="20"/>
              </w:rPr>
              <w:t xml:space="preserve">Chinese </w:t>
            </w:r>
          </w:p>
          <w:p w:rsidR="00F53D4C" w:rsidRPr="00637834" w:rsidRDefault="00AF7160" w:rsidP="00751C2E">
            <w:pPr>
              <w:spacing w:line="240" w:lineRule="atLeast"/>
              <w:rPr>
                <w:rFonts w:hint="eastAsia"/>
              </w:rPr>
            </w:pPr>
            <w:r>
              <w:rPr>
                <w:sz w:val="20"/>
              </w:rPr>
              <w:t xml:space="preserve">Original: </w:t>
            </w:r>
            <w:r w:rsidR="00C5081D" w:rsidRPr="00C5081D">
              <w:rPr>
                <w:sz w:val="20"/>
              </w:rPr>
              <w:t>English</w:t>
            </w:r>
          </w:p>
        </w:tc>
      </w:tr>
    </w:tbl>
    <w:p w:rsidR="00F53D4C" w:rsidRDefault="00F53D4C">
      <w:pPr>
        <w:spacing w:before="120"/>
        <w:rPr>
          <w:rFonts w:eastAsia="SimHei" w:hint="eastAsia"/>
          <w:sz w:val="24"/>
          <w:szCs w:val="24"/>
          <w:lang w:val="fr-CH"/>
        </w:rPr>
      </w:pPr>
      <w:r>
        <w:rPr>
          <w:rFonts w:eastAsia="SimHei" w:hint="eastAsia"/>
          <w:sz w:val="24"/>
          <w:szCs w:val="24"/>
          <w:lang w:val="fr-CH"/>
        </w:rPr>
        <w:t>人权理事会</w:t>
      </w:r>
    </w:p>
    <w:p w:rsidR="00F53D4C" w:rsidRDefault="002F3F47">
      <w:pPr>
        <w:rPr>
          <w:rFonts w:eastAsia="SimHei" w:hint="eastAsia"/>
          <w:szCs w:val="21"/>
          <w:lang w:val="fr-CH"/>
        </w:rPr>
      </w:pPr>
      <w:r>
        <w:rPr>
          <w:rFonts w:eastAsia="SimHei" w:hint="eastAsia"/>
          <w:szCs w:val="21"/>
          <w:lang w:val="fr-CH"/>
        </w:rPr>
        <w:t>第</w:t>
      </w:r>
      <w:r w:rsidR="00AC4D78">
        <w:rPr>
          <w:rFonts w:eastAsia="SimHei" w:hint="eastAsia"/>
          <w:szCs w:val="21"/>
          <w:lang w:val="fr-CH"/>
        </w:rPr>
        <w:t>二十四</w:t>
      </w:r>
      <w:r w:rsidR="00F53D4C">
        <w:rPr>
          <w:rFonts w:eastAsia="SimHei" w:hint="eastAsia"/>
          <w:szCs w:val="21"/>
          <w:lang w:val="fr-CH"/>
        </w:rPr>
        <w:t>届会议</w:t>
      </w:r>
    </w:p>
    <w:p w:rsidR="00F53D4C" w:rsidRDefault="00F53D4C">
      <w:pPr>
        <w:rPr>
          <w:rFonts w:hint="eastAsia"/>
          <w:szCs w:val="21"/>
          <w:lang w:val="fr-CH"/>
        </w:rPr>
      </w:pPr>
      <w:r>
        <w:rPr>
          <w:rFonts w:hint="eastAsia"/>
          <w:szCs w:val="21"/>
          <w:lang w:val="fr-CH"/>
        </w:rPr>
        <w:t>议程项目</w:t>
      </w:r>
      <w:r w:rsidR="00AC4D78">
        <w:rPr>
          <w:rFonts w:hint="eastAsia"/>
          <w:szCs w:val="21"/>
          <w:lang w:val="fr-CH"/>
        </w:rPr>
        <w:t>3</w:t>
      </w:r>
    </w:p>
    <w:p w:rsidR="00AC4D78" w:rsidRPr="004E4EF5" w:rsidRDefault="00AC4D78" w:rsidP="00AC4D78">
      <w:pPr>
        <w:rPr>
          <w:rFonts w:eastAsia="SimHei" w:hint="eastAsia"/>
        </w:rPr>
      </w:pPr>
      <w:r w:rsidRPr="004E4EF5">
        <w:rPr>
          <w:rFonts w:eastAsia="SimHei" w:hint="eastAsia"/>
        </w:rPr>
        <w:t>增进和保护所有人权</w:t>
      </w:r>
      <w:r w:rsidRPr="004E4EF5">
        <w:rPr>
          <w:rFonts w:eastAsia="SimHei" w:hint="eastAsia"/>
          <w:spacing w:val="-50"/>
        </w:rPr>
        <w:t>―</w:t>
      </w:r>
      <w:r w:rsidRPr="004E4EF5">
        <w:rPr>
          <w:rFonts w:eastAsia="SimHei" w:hint="eastAsia"/>
        </w:rPr>
        <w:t>―公民权利、政治权利、</w:t>
      </w:r>
    </w:p>
    <w:p w:rsidR="00AC4D78" w:rsidRPr="00D2707F" w:rsidRDefault="00AC4D78" w:rsidP="00AC4D78">
      <w:pPr>
        <w:rPr>
          <w:rFonts w:eastAsia="SimHei" w:hint="eastAsia"/>
        </w:rPr>
      </w:pPr>
      <w:r w:rsidRPr="004E4EF5">
        <w:rPr>
          <w:rFonts w:eastAsia="SimHei" w:hint="eastAsia"/>
        </w:rPr>
        <w:t>经济、社会和文化权利</w:t>
      </w:r>
      <w:r w:rsidR="007F0741">
        <w:rPr>
          <w:rFonts w:eastAsia="SimHei" w:hint="eastAsia"/>
        </w:rPr>
        <w:t>，</w:t>
      </w:r>
      <w:r w:rsidRPr="004E4EF5">
        <w:rPr>
          <w:rFonts w:eastAsia="SimHei" w:hint="eastAsia"/>
        </w:rPr>
        <w:t>包括发展权</w:t>
      </w:r>
    </w:p>
    <w:p w:rsidR="00AC4D78" w:rsidRPr="008F180B" w:rsidRDefault="00AC4D78" w:rsidP="00F8517D">
      <w:pPr>
        <w:pStyle w:val="H1GC"/>
        <w:spacing w:before="480"/>
        <w:rPr>
          <w:rFonts w:hint="eastAsia"/>
        </w:rPr>
      </w:pPr>
      <w:r>
        <w:rPr>
          <w:rFonts w:hint="eastAsia"/>
        </w:rPr>
        <w:tab/>
      </w:r>
      <w:r>
        <w:rPr>
          <w:rFonts w:hint="eastAsia"/>
        </w:rPr>
        <w:tab/>
      </w:r>
      <w:r w:rsidRPr="001C4873">
        <w:rPr>
          <w:rFonts w:hint="eastAsia"/>
        </w:rPr>
        <w:t>人权理事会通过的</w:t>
      </w:r>
      <w:r w:rsidR="004234EF">
        <w:rPr>
          <w:rFonts w:hint="eastAsia"/>
        </w:rPr>
        <w:t>决议</w:t>
      </w:r>
      <w:r w:rsidRPr="00E953CD">
        <w:rPr>
          <w:rStyle w:val="FootnoteReference"/>
          <w:position w:val="4"/>
          <w:sz w:val="28"/>
          <w:szCs w:val="28"/>
          <w:vertAlign w:val="baseline"/>
          <w:lang w:val="fr-CH"/>
        </w:rPr>
        <w:footnoteReference w:customMarkFollows="1" w:id="2"/>
        <w:sym w:font="Symbol" w:char="F02A"/>
      </w:r>
    </w:p>
    <w:p w:rsidR="00946DD1" w:rsidRDefault="00AC4D78" w:rsidP="00946DD1">
      <w:pPr>
        <w:pStyle w:val="H1GC"/>
        <w:rPr>
          <w:rFonts w:hint="eastAsia"/>
        </w:rPr>
      </w:pPr>
      <w:r>
        <w:rPr>
          <w:rFonts w:hint="eastAsia"/>
        </w:rPr>
        <w:tab/>
      </w:r>
      <w:r>
        <w:rPr>
          <w:rFonts w:hint="eastAsia"/>
        </w:rPr>
        <w:tab/>
      </w:r>
      <w:r w:rsidRPr="008F180B">
        <w:rPr>
          <w:rFonts w:hint="eastAsia"/>
        </w:rPr>
        <w:t>24</w:t>
      </w:r>
      <w:r w:rsidR="007F0741">
        <w:rPr>
          <w:rFonts w:hint="eastAsia"/>
        </w:rPr>
        <w:t>/</w:t>
      </w:r>
      <w:r w:rsidR="00946DD1">
        <w:rPr>
          <w:rFonts w:hint="eastAsia"/>
        </w:rPr>
        <w:t>5</w:t>
      </w:r>
      <w:r w:rsidR="0071506E">
        <w:rPr>
          <w:rFonts w:hint="eastAsia"/>
        </w:rPr>
        <w:t>.</w:t>
      </w:r>
      <w:r>
        <w:br/>
      </w:r>
      <w:r w:rsidR="00946DD1">
        <w:rPr>
          <w:rFonts w:hint="eastAsia"/>
        </w:rPr>
        <w:t>和平集会和结社自由权利</w:t>
      </w:r>
    </w:p>
    <w:p w:rsidR="00946DD1" w:rsidRDefault="00946DD1" w:rsidP="00946DD1">
      <w:pPr>
        <w:pStyle w:val="SingleTxtGC"/>
        <w:rPr>
          <w:rFonts w:hint="eastAsia"/>
        </w:rPr>
      </w:pPr>
      <w:r>
        <w:rPr>
          <w:rFonts w:hint="eastAsia"/>
        </w:rPr>
        <w:tab/>
      </w:r>
      <w:r w:rsidRPr="0094633F">
        <w:rPr>
          <w:rFonts w:eastAsia="KaiTi_GB2312" w:hint="eastAsia"/>
        </w:rPr>
        <w:t>人权理事会</w:t>
      </w:r>
      <w:r>
        <w:rPr>
          <w:rFonts w:hint="eastAsia"/>
        </w:rPr>
        <w:t>，</w:t>
      </w:r>
    </w:p>
    <w:p w:rsidR="00946DD1" w:rsidRDefault="00946DD1" w:rsidP="00946DD1">
      <w:pPr>
        <w:pStyle w:val="SingleTxtGC"/>
        <w:rPr>
          <w:rFonts w:hint="eastAsia"/>
        </w:rPr>
      </w:pPr>
      <w:r>
        <w:rPr>
          <w:rFonts w:hint="eastAsia"/>
        </w:rPr>
        <w:tab/>
      </w:r>
      <w:r w:rsidRPr="0094633F">
        <w:rPr>
          <w:rFonts w:eastAsia="KaiTi_GB2312" w:hint="eastAsia"/>
        </w:rPr>
        <w:t>回顾</w:t>
      </w:r>
      <w:r>
        <w:rPr>
          <w:rFonts w:hint="eastAsia"/>
        </w:rPr>
        <w:t>《世界人权宣言》、《公民权利和政治权利国际公约》、《经济、社会、文化权利国际公约》及其他有关人权文书，</w:t>
      </w:r>
    </w:p>
    <w:p w:rsidR="00946DD1" w:rsidRPr="00CA4AF6" w:rsidRDefault="00946DD1" w:rsidP="00946DD1">
      <w:pPr>
        <w:pStyle w:val="SingleTxtGC"/>
        <w:rPr>
          <w:rFonts w:hint="eastAsia"/>
          <w:spacing w:val="6"/>
        </w:rPr>
      </w:pPr>
      <w:r>
        <w:rPr>
          <w:rFonts w:hint="eastAsia"/>
        </w:rPr>
        <w:tab/>
      </w:r>
      <w:r w:rsidRPr="0094633F">
        <w:rPr>
          <w:rFonts w:eastAsia="KaiTi_GB2312" w:hint="eastAsia"/>
        </w:rPr>
        <w:t>重申</w:t>
      </w:r>
      <w:r>
        <w:rPr>
          <w:rFonts w:hint="eastAsia"/>
        </w:rPr>
        <w:t>人权理事会</w:t>
      </w:r>
      <w:r>
        <w:rPr>
          <w:rFonts w:hint="eastAsia"/>
        </w:rPr>
        <w:t>2010</w:t>
      </w:r>
      <w:r>
        <w:rPr>
          <w:rFonts w:hint="eastAsia"/>
        </w:rPr>
        <w:t>年</w:t>
      </w:r>
      <w:r>
        <w:rPr>
          <w:rFonts w:hint="eastAsia"/>
        </w:rPr>
        <w:t>9</w:t>
      </w:r>
      <w:r>
        <w:rPr>
          <w:rFonts w:hint="eastAsia"/>
        </w:rPr>
        <w:t>月</w:t>
      </w:r>
      <w:r>
        <w:rPr>
          <w:rFonts w:hint="eastAsia"/>
        </w:rPr>
        <w:t>30</w:t>
      </w:r>
      <w:r>
        <w:rPr>
          <w:rFonts w:hint="eastAsia"/>
        </w:rPr>
        <w:t>日第</w:t>
      </w:r>
      <w:r>
        <w:rPr>
          <w:rFonts w:hint="eastAsia"/>
        </w:rPr>
        <w:t>15/21</w:t>
      </w:r>
      <w:r>
        <w:rPr>
          <w:rFonts w:hint="eastAsia"/>
        </w:rPr>
        <w:t>号决议，并回顾理事会</w:t>
      </w:r>
      <w:r>
        <w:rPr>
          <w:rFonts w:hint="eastAsia"/>
        </w:rPr>
        <w:t>2012</w:t>
      </w:r>
      <w:r>
        <w:rPr>
          <w:rFonts w:hint="eastAsia"/>
        </w:rPr>
        <w:t>年</w:t>
      </w:r>
      <w:r>
        <w:rPr>
          <w:rFonts w:hint="eastAsia"/>
        </w:rPr>
        <w:t>3</w:t>
      </w:r>
      <w:r>
        <w:rPr>
          <w:rFonts w:hint="eastAsia"/>
        </w:rPr>
        <w:t>月</w:t>
      </w:r>
      <w:r>
        <w:rPr>
          <w:rFonts w:hint="eastAsia"/>
        </w:rPr>
        <w:t>23</w:t>
      </w:r>
      <w:r>
        <w:rPr>
          <w:rFonts w:hint="eastAsia"/>
        </w:rPr>
        <w:t>日第</w:t>
      </w:r>
      <w:r>
        <w:rPr>
          <w:rFonts w:hint="eastAsia"/>
        </w:rPr>
        <w:t>19/35</w:t>
      </w:r>
      <w:r>
        <w:rPr>
          <w:rFonts w:hint="eastAsia"/>
        </w:rPr>
        <w:t>号决议、</w:t>
      </w:r>
      <w:r>
        <w:rPr>
          <w:rFonts w:hint="eastAsia"/>
        </w:rPr>
        <w:t>2012</w:t>
      </w:r>
      <w:r>
        <w:rPr>
          <w:rFonts w:hint="eastAsia"/>
        </w:rPr>
        <w:t>年</w:t>
      </w:r>
      <w:r>
        <w:rPr>
          <w:rFonts w:hint="eastAsia"/>
        </w:rPr>
        <w:t>7</w:t>
      </w:r>
      <w:r>
        <w:rPr>
          <w:rFonts w:hint="eastAsia"/>
        </w:rPr>
        <w:t>月</w:t>
      </w:r>
      <w:r>
        <w:rPr>
          <w:rFonts w:hint="eastAsia"/>
        </w:rPr>
        <w:t>5</w:t>
      </w:r>
      <w:r>
        <w:rPr>
          <w:rFonts w:hint="eastAsia"/>
        </w:rPr>
        <w:t>日第</w:t>
      </w:r>
      <w:r>
        <w:rPr>
          <w:rFonts w:hint="eastAsia"/>
        </w:rPr>
        <w:t>20/8</w:t>
      </w:r>
      <w:r>
        <w:rPr>
          <w:rFonts w:hint="eastAsia"/>
        </w:rPr>
        <w:t>号决议、</w:t>
      </w:r>
      <w:r>
        <w:rPr>
          <w:rFonts w:hint="eastAsia"/>
        </w:rPr>
        <w:t>2012</w:t>
      </w:r>
      <w:r>
        <w:rPr>
          <w:rFonts w:hint="eastAsia"/>
        </w:rPr>
        <w:t>年</w:t>
      </w:r>
      <w:r>
        <w:rPr>
          <w:rFonts w:hint="eastAsia"/>
        </w:rPr>
        <w:t>9</w:t>
      </w:r>
      <w:r>
        <w:rPr>
          <w:rFonts w:hint="eastAsia"/>
        </w:rPr>
        <w:t>月</w:t>
      </w:r>
      <w:r>
        <w:rPr>
          <w:rFonts w:hint="eastAsia"/>
        </w:rPr>
        <w:t>27</w:t>
      </w:r>
      <w:r>
        <w:rPr>
          <w:rFonts w:hint="eastAsia"/>
        </w:rPr>
        <w:t>日第</w:t>
      </w:r>
      <w:r w:rsidRPr="00CA4AF6">
        <w:rPr>
          <w:rFonts w:hint="eastAsia"/>
          <w:spacing w:val="6"/>
        </w:rPr>
        <w:t>21/16</w:t>
      </w:r>
      <w:r w:rsidRPr="00CA4AF6">
        <w:rPr>
          <w:rFonts w:hint="eastAsia"/>
          <w:spacing w:val="6"/>
        </w:rPr>
        <w:t>号决议和</w:t>
      </w:r>
      <w:r w:rsidRPr="00CA4AF6">
        <w:rPr>
          <w:rFonts w:hint="eastAsia"/>
          <w:spacing w:val="6"/>
        </w:rPr>
        <w:t>2013</w:t>
      </w:r>
      <w:r w:rsidRPr="00CA4AF6">
        <w:rPr>
          <w:rFonts w:hint="eastAsia"/>
          <w:spacing w:val="6"/>
        </w:rPr>
        <w:t>年</w:t>
      </w:r>
      <w:r w:rsidRPr="00CA4AF6">
        <w:rPr>
          <w:rFonts w:hint="eastAsia"/>
          <w:spacing w:val="6"/>
        </w:rPr>
        <w:t>3</w:t>
      </w:r>
      <w:r w:rsidRPr="00CA4AF6">
        <w:rPr>
          <w:rFonts w:hint="eastAsia"/>
          <w:spacing w:val="6"/>
        </w:rPr>
        <w:t>月</w:t>
      </w:r>
      <w:r w:rsidRPr="00CA4AF6">
        <w:rPr>
          <w:rFonts w:hint="eastAsia"/>
          <w:spacing w:val="6"/>
        </w:rPr>
        <w:t>21</w:t>
      </w:r>
      <w:r w:rsidRPr="00CA4AF6">
        <w:rPr>
          <w:rFonts w:hint="eastAsia"/>
          <w:spacing w:val="6"/>
        </w:rPr>
        <w:t>日第</w:t>
      </w:r>
      <w:r w:rsidRPr="00CA4AF6">
        <w:rPr>
          <w:rFonts w:hint="eastAsia"/>
          <w:spacing w:val="6"/>
        </w:rPr>
        <w:t>22/10</w:t>
      </w:r>
      <w:r w:rsidRPr="00CA4AF6">
        <w:rPr>
          <w:rFonts w:hint="eastAsia"/>
          <w:spacing w:val="6"/>
        </w:rPr>
        <w:t>号决议，以及人权委员会的有关决议，</w:t>
      </w:r>
    </w:p>
    <w:p w:rsidR="00946DD1" w:rsidRDefault="00946DD1" w:rsidP="00946DD1">
      <w:pPr>
        <w:pStyle w:val="SingleTxtGC"/>
        <w:rPr>
          <w:rFonts w:hint="eastAsia"/>
        </w:rPr>
      </w:pPr>
      <w:r>
        <w:rPr>
          <w:rFonts w:hint="eastAsia"/>
        </w:rPr>
        <w:tab/>
      </w:r>
      <w:r>
        <w:rPr>
          <w:rFonts w:eastAsia="KaiTi_GB2312" w:hint="eastAsia"/>
        </w:rPr>
        <w:t>确</w:t>
      </w:r>
      <w:r w:rsidRPr="0094633F">
        <w:rPr>
          <w:rFonts w:eastAsia="KaiTi_GB2312" w:hint="eastAsia"/>
        </w:rPr>
        <w:t>认</w:t>
      </w:r>
      <w:r>
        <w:rPr>
          <w:rFonts w:hint="eastAsia"/>
        </w:rPr>
        <w:t>人人享有和平集会和结社自由权利对充分享有所有人权的重要性，</w:t>
      </w:r>
    </w:p>
    <w:p w:rsidR="00946DD1" w:rsidRDefault="00946DD1" w:rsidP="00946DD1">
      <w:pPr>
        <w:pStyle w:val="SingleTxtGC"/>
        <w:rPr>
          <w:rFonts w:hint="eastAsia"/>
        </w:rPr>
      </w:pPr>
      <w:r>
        <w:rPr>
          <w:rFonts w:hint="eastAsia"/>
        </w:rPr>
        <w:tab/>
      </w:r>
      <w:r w:rsidRPr="0094633F">
        <w:rPr>
          <w:rFonts w:eastAsia="KaiTi_GB2312" w:hint="eastAsia"/>
        </w:rPr>
        <w:t>回顾</w:t>
      </w:r>
      <w:r>
        <w:rPr>
          <w:rFonts w:hint="eastAsia"/>
        </w:rPr>
        <w:t>根据《公民权利和政治权利国际公约》的规定以及《经济、社会、文化权利国际公约》的类似规定，不得对行使和平集会和结社自由权利施加任何限制，但</w:t>
      </w:r>
      <w:r>
        <w:t>由法律规定，</w:t>
      </w:r>
      <w:r>
        <w:rPr>
          <w:rFonts w:hint="eastAsia"/>
        </w:rPr>
        <w:t>并为保障国家安全或公共安全、公共秩序，保护公共卫生或道德，或保护他人的权利和自由，为民主社会所必需的</w:t>
      </w:r>
      <w:r w:rsidRPr="0034661B">
        <w:rPr>
          <w:rFonts w:hint="eastAsia"/>
        </w:rPr>
        <w:t>不在此限</w:t>
      </w:r>
      <w:r>
        <w:rPr>
          <w:rFonts w:hint="eastAsia"/>
        </w:rPr>
        <w:t>，</w:t>
      </w:r>
    </w:p>
    <w:p w:rsidR="00946DD1" w:rsidRDefault="00F8517D" w:rsidP="00946DD1">
      <w:pPr>
        <w:pStyle w:val="SingleTxtGC"/>
        <w:rPr>
          <w:rFonts w:hint="eastAsia"/>
        </w:rPr>
      </w:pPr>
      <w:r>
        <w:br w:type="page"/>
      </w:r>
      <w:r w:rsidR="00946DD1">
        <w:rPr>
          <w:rFonts w:hint="eastAsia"/>
        </w:rPr>
        <w:tab/>
      </w:r>
      <w:r w:rsidR="00946DD1" w:rsidRPr="0094633F">
        <w:rPr>
          <w:rFonts w:eastAsia="KaiTi_GB2312" w:hint="eastAsia"/>
        </w:rPr>
        <w:t>重申</w:t>
      </w:r>
      <w:r w:rsidR="00946DD1">
        <w:rPr>
          <w:rFonts w:hint="eastAsia"/>
        </w:rPr>
        <w:t>国际劳工组织在职工和工人自由结社权利方面的关键职责、作用、专长和专门化监督机制和程序，</w:t>
      </w:r>
    </w:p>
    <w:p w:rsidR="00946DD1" w:rsidRDefault="00946DD1" w:rsidP="00946DD1">
      <w:pPr>
        <w:pStyle w:val="SingleTxtGC"/>
        <w:rPr>
          <w:rFonts w:hint="eastAsia"/>
        </w:rPr>
      </w:pPr>
      <w:r>
        <w:rPr>
          <w:rFonts w:hint="eastAsia"/>
        </w:rPr>
        <w:tab/>
      </w:r>
      <w:r w:rsidRPr="0094633F">
        <w:rPr>
          <w:rFonts w:eastAsia="KaiTi_GB2312" w:hint="eastAsia"/>
        </w:rPr>
        <w:t>注意到</w:t>
      </w:r>
      <w:r>
        <w:rPr>
          <w:rFonts w:hint="eastAsia"/>
        </w:rPr>
        <w:t>和平集会和结社自由权利问题特别报告员提交人权理事会第二十三届会议的报告，</w:t>
      </w:r>
      <w:r>
        <w:rPr>
          <w:rStyle w:val="FootnoteReference"/>
        </w:rPr>
        <w:footnoteReference w:id="3"/>
      </w:r>
    </w:p>
    <w:p w:rsidR="00946DD1" w:rsidRDefault="00946DD1" w:rsidP="00946DD1">
      <w:pPr>
        <w:pStyle w:val="SingleTxtGC"/>
        <w:rPr>
          <w:rFonts w:hint="eastAsia"/>
        </w:rPr>
      </w:pPr>
      <w:r>
        <w:rPr>
          <w:rFonts w:hint="eastAsia"/>
        </w:rPr>
        <w:tab/>
      </w:r>
      <w:r>
        <w:rPr>
          <w:rFonts w:eastAsia="KaiTi_GB2312" w:hint="eastAsia"/>
        </w:rPr>
        <w:t>意</w:t>
      </w:r>
      <w:r w:rsidRPr="0094633F">
        <w:rPr>
          <w:rFonts w:eastAsia="KaiTi_GB2312" w:hint="eastAsia"/>
        </w:rPr>
        <w:t>识</w:t>
      </w:r>
      <w:r w:rsidRPr="008F2713">
        <w:rPr>
          <w:rFonts w:eastAsia="KaiTi_GB2312" w:hint="eastAsia"/>
        </w:rPr>
        <w:t>到</w:t>
      </w:r>
      <w:r>
        <w:rPr>
          <w:rFonts w:hint="eastAsia"/>
        </w:rPr>
        <w:t>社团生存和运作需要资金，</w:t>
      </w:r>
    </w:p>
    <w:p w:rsidR="00946DD1" w:rsidRDefault="00946DD1" w:rsidP="00946DD1">
      <w:pPr>
        <w:pStyle w:val="SingleTxtGC"/>
        <w:rPr>
          <w:rFonts w:hint="eastAsia"/>
        </w:rPr>
      </w:pPr>
      <w:r>
        <w:rPr>
          <w:rFonts w:hint="eastAsia"/>
        </w:rPr>
        <w:tab/>
      </w:r>
      <w:r w:rsidRPr="0094633F">
        <w:rPr>
          <w:rFonts w:eastAsia="KaiTi_GB2312" w:hint="eastAsia"/>
        </w:rPr>
        <w:t>重申</w:t>
      </w:r>
      <w:r>
        <w:t>新的信息和通信技术在促进和便利享有和平集会和结社自由权利方面起着重要作用，所有国家都必须促进和便利使用互联网，为在所有国家发展媒体及信息和通信设施而开展国际合作，</w:t>
      </w:r>
    </w:p>
    <w:p w:rsidR="00946DD1" w:rsidRDefault="00946DD1" w:rsidP="00946DD1">
      <w:pPr>
        <w:pStyle w:val="SingleTxtGC"/>
        <w:rPr>
          <w:rFonts w:hint="eastAsia"/>
        </w:rPr>
      </w:pPr>
      <w:r>
        <w:rPr>
          <w:rFonts w:hint="eastAsia"/>
        </w:rPr>
        <w:tab/>
      </w:r>
      <w:r>
        <w:rPr>
          <w:rFonts w:eastAsia="KaiTi_GB2312" w:hint="eastAsia"/>
        </w:rPr>
        <w:t>确</w:t>
      </w:r>
      <w:r w:rsidRPr="0094633F">
        <w:rPr>
          <w:rFonts w:eastAsia="KaiTi_GB2312" w:hint="eastAsia"/>
        </w:rPr>
        <w:t>认</w:t>
      </w:r>
      <w:r>
        <w:rPr>
          <w:rFonts w:hint="eastAsia"/>
        </w:rPr>
        <w:t>和平集会和结社自由以及民间社会对善治、包括通过透明和问责的办法实现善治的重要性，而且这些对于建设和平、繁荣的民主社会是必不可少的，</w:t>
      </w:r>
    </w:p>
    <w:p w:rsidR="00946DD1" w:rsidRDefault="00946DD1" w:rsidP="00946DD1">
      <w:pPr>
        <w:pStyle w:val="SingleTxtGC"/>
        <w:rPr>
          <w:rFonts w:hint="eastAsia"/>
        </w:rPr>
      </w:pPr>
      <w:r>
        <w:rPr>
          <w:rFonts w:hint="eastAsia"/>
        </w:rPr>
        <w:tab/>
      </w:r>
      <w:r>
        <w:rPr>
          <w:rFonts w:eastAsia="KaiTi_GB2312" w:hint="eastAsia"/>
        </w:rPr>
        <w:t>意</w:t>
      </w:r>
      <w:r w:rsidRPr="0094633F">
        <w:rPr>
          <w:rFonts w:eastAsia="KaiTi_GB2312" w:hint="eastAsia"/>
        </w:rPr>
        <w:t>识到</w:t>
      </w:r>
      <w:r>
        <w:rPr>
          <w:rFonts w:hint="eastAsia"/>
        </w:rPr>
        <w:t>民间社会</w:t>
      </w:r>
      <w:r w:rsidRPr="006E3D41">
        <w:rPr>
          <w:rFonts w:hint="eastAsia"/>
        </w:rPr>
        <w:t>亟需</w:t>
      </w:r>
      <w:r>
        <w:rPr>
          <w:rFonts w:hint="eastAsia"/>
        </w:rPr>
        <w:t>积极参与影响到人民生活的治理进程，</w:t>
      </w:r>
    </w:p>
    <w:p w:rsidR="00946DD1" w:rsidRDefault="00946DD1" w:rsidP="00946DD1">
      <w:pPr>
        <w:pStyle w:val="SingleTxtGC"/>
        <w:rPr>
          <w:rFonts w:hint="eastAsia"/>
        </w:rPr>
      </w:pPr>
      <w:r>
        <w:rPr>
          <w:rFonts w:hint="eastAsia"/>
        </w:rPr>
        <w:tab/>
      </w:r>
      <w:r w:rsidRPr="0094633F">
        <w:rPr>
          <w:rFonts w:eastAsia="KaiTi_GB2312" w:hint="eastAsia"/>
        </w:rPr>
        <w:t>回顾</w:t>
      </w:r>
      <w:r>
        <w:rPr>
          <w:rFonts w:hint="eastAsia"/>
        </w:rPr>
        <w:t>人权理事会</w:t>
      </w:r>
      <w:r>
        <w:rPr>
          <w:rFonts w:hint="eastAsia"/>
        </w:rPr>
        <w:t>2007</w:t>
      </w:r>
      <w:r>
        <w:rPr>
          <w:rFonts w:hint="eastAsia"/>
        </w:rPr>
        <w:t>年</w:t>
      </w:r>
      <w:r>
        <w:rPr>
          <w:rFonts w:hint="eastAsia"/>
        </w:rPr>
        <w:t>6</w:t>
      </w:r>
      <w:r>
        <w:rPr>
          <w:rFonts w:hint="eastAsia"/>
        </w:rPr>
        <w:t>月</w:t>
      </w:r>
      <w:r>
        <w:rPr>
          <w:rFonts w:hint="eastAsia"/>
        </w:rPr>
        <w:t>18</w:t>
      </w:r>
      <w:r>
        <w:rPr>
          <w:rFonts w:hint="eastAsia"/>
        </w:rPr>
        <w:t>日第</w:t>
      </w:r>
      <w:r>
        <w:rPr>
          <w:rFonts w:hint="eastAsia"/>
        </w:rPr>
        <w:t>5/1</w:t>
      </w:r>
      <w:r>
        <w:rPr>
          <w:rFonts w:hint="eastAsia"/>
        </w:rPr>
        <w:t>号和第</w:t>
      </w:r>
      <w:r>
        <w:rPr>
          <w:rFonts w:hint="eastAsia"/>
        </w:rPr>
        <w:t>5/2</w:t>
      </w:r>
      <w:r>
        <w:rPr>
          <w:rFonts w:hint="eastAsia"/>
        </w:rPr>
        <w:t>号决议，</w:t>
      </w:r>
    </w:p>
    <w:p w:rsidR="00946DD1" w:rsidRDefault="00946DD1" w:rsidP="00946DD1">
      <w:pPr>
        <w:pStyle w:val="SingleTxtGC"/>
        <w:rPr>
          <w:rFonts w:hint="eastAsia"/>
        </w:rPr>
      </w:pPr>
      <w:r>
        <w:rPr>
          <w:rFonts w:hint="eastAsia"/>
        </w:rPr>
        <w:tab/>
        <w:t xml:space="preserve">1.  </w:t>
      </w:r>
      <w:r w:rsidRPr="0094633F">
        <w:rPr>
          <w:rFonts w:eastAsia="KaiTi_GB2312" w:hint="eastAsia"/>
        </w:rPr>
        <w:t>决定</w:t>
      </w:r>
      <w:r>
        <w:rPr>
          <w:rFonts w:hint="eastAsia"/>
        </w:rPr>
        <w:t>将人权理事会第</w:t>
      </w:r>
      <w:r>
        <w:rPr>
          <w:rFonts w:hint="eastAsia"/>
        </w:rPr>
        <w:t>15/21</w:t>
      </w:r>
      <w:r>
        <w:rPr>
          <w:rFonts w:hint="eastAsia"/>
        </w:rPr>
        <w:t>号决议所设立的和平集会和结社自由权利问题特别报告员的任期延长三年；</w:t>
      </w:r>
    </w:p>
    <w:p w:rsidR="00946DD1" w:rsidRDefault="00946DD1" w:rsidP="00946DD1">
      <w:pPr>
        <w:pStyle w:val="SingleTxtGC"/>
        <w:rPr>
          <w:rFonts w:hint="eastAsia"/>
        </w:rPr>
      </w:pPr>
      <w:r>
        <w:rPr>
          <w:rFonts w:hint="eastAsia"/>
        </w:rPr>
        <w:tab/>
        <w:t xml:space="preserve">2.  </w:t>
      </w:r>
      <w:r w:rsidRPr="0094633F">
        <w:rPr>
          <w:rFonts w:eastAsia="KaiTi_GB2312" w:hint="eastAsia"/>
        </w:rPr>
        <w:t>提醒</w:t>
      </w:r>
      <w:r>
        <w:rPr>
          <w:rFonts w:hint="eastAsia"/>
        </w:rPr>
        <w:t>各国，它们有义务尊重和充分保护所有个人在线和离线和平集会和自由结社的权利，包括在选举时的此种权利，并包括信奉少数或不同观点和信仰的人、人权维护者、工会组织者以及包括移徙者在内的其他力图行使或增进这些权利的人，并采取一切必要措施，确保任何对自由行使和平集会和结社自由权利的限制均符合其根据国际人权法所承担的各项义务；</w:t>
      </w:r>
    </w:p>
    <w:p w:rsidR="00946DD1" w:rsidRDefault="00946DD1" w:rsidP="00946DD1">
      <w:pPr>
        <w:pStyle w:val="SingleTxtGC"/>
        <w:rPr>
          <w:rFonts w:hint="eastAsia"/>
        </w:rPr>
      </w:pPr>
      <w:r>
        <w:rPr>
          <w:rFonts w:hint="eastAsia"/>
        </w:rPr>
        <w:tab/>
        <w:t xml:space="preserve">3.  </w:t>
      </w:r>
      <w:r w:rsidRPr="0094633F">
        <w:rPr>
          <w:rFonts w:eastAsia="KaiTi_GB2312" w:hint="eastAsia"/>
        </w:rPr>
        <w:t>对</w:t>
      </w:r>
      <w:r>
        <w:rPr>
          <w:rFonts w:hint="eastAsia"/>
        </w:rPr>
        <w:t>侵犯和平集会和结社自由权利的行为</w:t>
      </w:r>
      <w:r w:rsidRPr="0094633F">
        <w:rPr>
          <w:rFonts w:eastAsia="KaiTi_GB2312" w:hint="eastAsia"/>
        </w:rPr>
        <w:t>表示关切</w:t>
      </w:r>
      <w:r>
        <w:rPr>
          <w:rFonts w:hint="eastAsia"/>
        </w:rPr>
        <w:t>；</w:t>
      </w:r>
    </w:p>
    <w:p w:rsidR="00946DD1" w:rsidRDefault="00946DD1" w:rsidP="00946DD1">
      <w:pPr>
        <w:pStyle w:val="SingleTxtGC"/>
        <w:rPr>
          <w:rFonts w:hint="eastAsia"/>
        </w:rPr>
      </w:pPr>
      <w:r>
        <w:rPr>
          <w:rFonts w:hint="eastAsia"/>
        </w:rPr>
        <w:tab/>
        <w:t xml:space="preserve">4.  </w:t>
      </w:r>
      <w:r w:rsidRPr="0094633F">
        <w:rPr>
          <w:rFonts w:eastAsia="KaiTi_GB2312" w:hint="eastAsia"/>
        </w:rPr>
        <w:t>强调</w:t>
      </w:r>
      <w:r>
        <w:rPr>
          <w:rFonts w:hint="eastAsia"/>
        </w:rPr>
        <w:t>和平集会和结社自由权利对于民间社会的关键作用；确认民间社会有助于实现联合国的宗旨和原则；</w:t>
      </w:r>
    </w:p>
    <w:p w:rsidR="00946DD1" w:rsidRDefault="00946DD1" w:rsidP="00946DD1">
      <w:pPr>
        <w:pStyle w:val="SingleTxtGC"/>
        <w:rPr>
          <w:rFonts w:hint="eastAsia"/>
        </w:rPr>
      </w:pPr>
      <w:r>
        <w:rPr>
          <w:rFonts w:hint="eastAsia"/>
        </w:rPr>
        <w:tab/>
        <w:t xml:space="preserve">5.  </w:t>
      </w:r>
      <w:r w:rsidRPr="0094633F">
        <w:rPr>
          <w:rFonts w:eastAsia="KaiTi_GB2312" w:hint="eastAsia"/>
        </w:rPr>
        <w:t>强调</w:t>
      </w:r>
      <w:r>
        <w:rPr>
          <w:rFonts w:hint="eastAsia"/>
        </w:rPr>
        <w:t>尊重民间社会的和平集会和结社自由权利有利于处理和解决社会所面临的重大挑战和问题，如环境、可持续发展、防止犯罪、人口贩运、妇女赋权、社会正义、消费者保护以及落实所有人权等；</w:t>
      </w:r>
    </w:p>
    <w:p w:rsidR="00946DD1" w:rsidRDefault="00946DD1" w:rsidP="00946DD1">
      <w:pPr>
        <w:pStyle w:val="SingleTxtGC"/>
        <w:rPr>
          <w:rFonts w:hint="eastAsia"/>
        </w:rPr>
      </w:pPr>
      <w:r>
        <w:rPr>
          <w:rFonts w:hint="eastAsia"/>
        </w:rPr>
        <w:tab/>
        <w:t xml:space="preserve">6.  </w:t>
      </w:r>
      <w:r w:rsidRPr="0094633F">
        <w:rPr>
          <w:rFonts w:eastAsia="KaiTi_GB2312" w:hint="eastAsia"/>
        </w:rPr>
        <w:t>吁请</w:t>
      </w:r>
      <w:r>
        <w:rPr>
          <w:rFonts w:hint="eastAsia"/>
        </w:rPr>
        <w:t>各国继续同特别报告员充分合作，协助其履行任务，对他的紧急呼吁和其他信函作出迅速回应，并积极考虑他提出的访问要求；</w:t>
      </w:r>
    </w:p>
    <w:p w:rsidR="00946DD1" w:rsidRDefault="00946DD1" w:rsidP="00946DD1">
      <w:pPr>
        <w:pStyle w:val="SingleTxtGC"/>
        <w:rPr>
          <w:rFonts w:hint="eastAsia"/>
        </w:rPr>
      </w:pPr>
      <w:r>
        <w:rPr>
          <w:rFonts w:hint="eastAsia"/>
        </w:rPr>
        <w:tab/>
        <w:t xml:space="preserve">7.  </w:t>
      </w:r>
      <w:r w:rsidRPr="0094633F">
        <w:rPr>
          <w:rFonts w:eastAsia="KaiTi_GB2312" w:hint="eastAsia"/>
        </w:rPr>
        <w:t>再次吁请</w:t>
      </w:r>
      <w:r>
        <w:t>联合国人权事务高级专员办事处协助各国增进和保护和平集会和结社自由权利，包括应缔约国的请求，通过办事处的技术援助方案提供援助，并与联合国系统的有关机构及其他政府间组织合作，协助各国增进和保护和平集会和结社自由权利；</w:t>
      </w:r>
    </w:p>
    <w:p w:rsidR="00946DD1" w:rsidRDefault="00824659" w:rsidP="00946DD1">
      <w:pPr>
        <w:pStyle w:val="SingleTxtGC"/>
        <w:rPr>
          <w:rFonts w:hint="eastAsia"/>
        </w:rPr>
      </w:pPr>
      <w:r>
        <w:br w:type="page"/>
      </w:r>
      <w:r w:rsidR="00946DD1">
        <w:rPr>
          <w:rFonts w:hint="eastAsia"/>
        </w:rPr>
        <w:tab/>
        <w:t xml:space="preserve">8.  </w:t>
      </w:r>
      <w:r w:rsidR="00946DD1" w:rsidRPr="0094633F">
        <w:rPr>
          <w:rFonts w:eastAsia="KaiTi_GB2312" w:hint="eastAsia"/>
        </w:rPr>
        <w:t>请</w:t>
      </w:r>
      <w:r w:rsidR="00946DD1">
        <w:rPr>
          <w:rFonts w:hint="eastAsia"/>
        </w:rPr>
        <w:t>特别报告员继续向人权理事会和大会提交年度报告；</w:t>
      </w:r>
    </w:p>
    <w:p w:rsidR="00946DD1" w:rsidRDefault="00946DD1" w:rsidP="00F8517D">
      <w:pPr>
        <w:pStyle w:val="SingleTxtGC"/>
        <w:spacing w:after="240"/>
        <w:rPr>
          <w:rFonts w:hint="eastAsia"/>
        </w:rPr>
      </w:pPr>
      <w:r>
        <w:rPr>
          <w:rFonts w:hint="eastAsia"/>
        </w:rPr>
        <w:tab/>
        <w:t xml:space="preserve">9.  </w:t>
      </w:r>
      <w:r w:rsidRPr="0094633F">
        <w:rPr>
          <w:rFonts w:eastAsia="KaiTi_GB2312" w:hint="eastAsia"/>
        </w:rPr>
        <w:t>决定</w:t>
      </w:r>
      <w:r>
        <w:rPr>
          <w:rFonts w:hint="eastAsia"/>
        </w:rPr>
        <w:t>根据理事会工作方案，继续审议和平集会和结社自由权利问题。</w:t>
      </w:r>
    </w:p>
    <w:p w:rsidR="00946DD1" w:rsidRPr="00E62F5C" w:rsidRDefault="00946DD1" w:rsidP="00946DD1">
      <w:pPr>
        <w:pStyle w:val="SingleTxtGC"/>
        <w:spacing w:after="0"/>
        <w:jc w:val="right"/>
        <w:rPr>
          <w:rFonts w:hint="eastAsia"/>
          <w:lang w:val="fr-FR"/>
        </w:rPr>
      </w:pPr>
      <w:r>
        <w:rPr>
          <w:rFonts w:eastAsia="KaiTi_GB2312" w:hint="eastAsia"/>
        </w:rPr>
        <w:t>2</w:t>
      </w:r>
      <w:r w:rsidRPr="00331E83">
        <w:rPr>
          <w:rFonts w:eastAsia="KaiTi_GB2312" w:hint="eastAsia"/>
        </w:rPr>
        <w:t>01</w:t>
      </w:r>
      <w:r>
        <w:rPr>
          <w:rFonts w:eastAsia="KaiTi_GB2312" w:hint="eastAsia"/>
        </w:rPr>
        <w:t>3</w:t>
      </w:r>
      <w:r w:rsidRPr="00331E83">
        <w:rPr>
          <w:rFonts w:eastAsia="KaiTi_GB2312" w:hint="eastAsia"/>
        </w:rPr>
        <w:t>年</w:t>
      </w:r>
      <w:r>
        <w:rPr>
          <w:rFonts w:eastAsia="KaiTi_GB2312" w:hint="eastAsia"/>
        </w:rPr>
        <w:t>9</w:t>
      </w:r>
      <w:r w:rsidRPr="00331E83">
        <w:rPr>
          <w:rFonts w:eastAsia="KaiTi_GB2312" w:hint="eastAsia"/>
        </w:rPr>
        <w:t>月</w:t>
      </w:r>
      <w:r>
        <w:rPr>
          <w:rFonts w:eastAsia="KaiTi_GB2312" w:hint="eastAsia"/>
        </w:rPr>
        <w:t>26</w:t>
      </w:r>
      <w:r w:rsidRPr="00331E83">
        <w:rPr>
          <w:rFonts w:eastAsia="KaiTi_GB2312" w:hint="eastAsia"/>
        </w:rPr>
        <w:t>日</w:t>
      </w:r>
    </w:p>
    <w:p w:rsidR="00946DD1" w:rsidRDefault="00946DD1" w:rsidP="00946DD1">
      <w:pPr>
        <w:pStyle w:val="SingleTxtGC"/>
        <w:jc w:val="right"/>
        <w:rPr>
          <w:rFonts w:eastAsia="KaiTi_GB2312" w:hint="eastAsia"/>
        </w:rPr>
      </w:pPr>
      <w:r w:rsidRPr="00331E83">
        <w:rPr>
          <w:rFonts w:eastAsia="KaiTi_GB2312" w:hint="eastAsia"/>
        </w:rPr>
        <w:t>第</w:t>
      </w:r>
      <w:r>
        <w:rPr>
          <w:rFonts w:eastAsia="KaiTi_GB2312" w:hint="eastAsia"/>
        </w:rPr>
        <w:t>34</w:t>
      </w:r>
      <w:r w:rsidRPr="00331E83">
        <w:rPr>
          <w:rFonts w:eastAsia="KaiTi_GB2312" w:hint="eastAsia"/>
        </w:rPr>
        <w:t>次会议</w:t>
      </w:r>
    </w:p>
    <w:p w:rsidR="00946DD1" w:rsidRPr="00DD142E" w:rsidRDefault="00946DD1" w:rsidP="00946DD1">
      <w:pPr>
        <w:pStyle w:val="SingleTxtGC"/>
        <w:rPr>
          <w:rFonts w:eastAsia="KaiTi_GB2312" w:hint="eastAsia"/>
        </w:rPr>
      </w:pPr>
      <w:r w:rsidRPr="007C5D9D">
        <w:rPr>
          <w:rFonts w:hint="eastAsia"/>
        </w:rPr>
        <w:t>[</w:t>
      </w:r>
      <w:r w:rsidRPr="007C5D9D">
        <w:rPr>
          <w:rFonts w:hint="eastAsia"/>
        </w:rPr>
        <w:t>未经表决获得通过。</w:t>
      </w:r>
      <w:r w:rsidRPr="007C5D9D">
        <w:rPr>
          <w:rFonts w:hint="eastAsia"/>
        </w:rPr>
        <w:t>]</w:t>
      </w:r>
    </w:p>
    <w:p w:rsidR="00946DD1" w:rsidRPr="002D6A9C" w:rsidRDefault="00946DD1" w:rsidP="00946DD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46DD1" w:rsidRDefault="00946DD1" w:rsidP="00946DD1">
      <w:pPr>
        <w:pStyle w:val="SingleTxtGC"/>
        <w:rPr>
          <w:rFonts w:hint="eastAsia"/>
        </w:rPr>
      </w:pPr>
    </w:p>
    <w:p w:rsidR="00F53D4C" w:rsidRPr="00037EE1" w:rsidRDefault="00F53D4C" w:rsidP="00F65FF5">
      <w:pPr>
        <w:pStyle w:val="H1GC"/>
        <w:rPr>
          <w:rFonts w:hint="eastAsia"/>
          <w:u w:val="single"/>
        </w:rPr>
      </w:pPr>
    </w:p>
    <w:sectPr w:rsidR="00F53D4C" w:rsidRPr="00037EE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E7C" w:rsidRPr="00E0554F" w:rsidRDefault="00A77E7C"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A77E7C" w:rsidRPr="00E0554F" w:rsidRDefault="00A77E7C" w:rsidP="00E0554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D5" w:rsidRPr="00F8517D" w:rsidRDefault="006D40D5"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B73AB2">
      <w:rPr>
        <w:rStyle w:val="PageNumber"/>
        <w:noProof/>
      </w:rPr>
      <w:t>2</w:t>
    </w:r>
    <w:r>
      <w:rPr>
        <w:rStyle w:val="PageNumber"/>
      </w:rPr>
      <w:fldChar w:fldCharType="end"/>
    </w:r>
    <w:r>
      <w:rPr>
        <w:rStyle w:val="PageNumber"/>
        <w:rFonts w:eastAsia="SimSun" w:hint="eastAsia"/>
        <w:lang w:eastAsia="zh-CN"/>
      </w:rPr>
      <w:tab/>
    </w:r>
    <w:r w:rsidRPr="00F8517D">
      <w:rPr>
        <w:rFonts w:eastAsia="SimSun"/>
        <w:lang w:eastAsia="zh-CN"/>
      </w:rPr>
      <w:t>GE.13-17832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D5" w:rsidRDefault="006D40D5">
    <w:pPr>
      <w:pStyle w:val="Footer"/>
      <w:tabs>
        <w:tab w:val="right" w:pos="9639"/>
      </w:tabs>
    </w:pPr>
    <w:r w:rsidRPr="00F8517D">
      <w:rPr>
        <w:rFonts w:eastAsia="SimSun"/>
        <w:lang w:eastAsia="zh-CN"/>
      </w:rPr>
      <w:t>GE.13-17832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73AB2">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D5" w:rsidRPr="00690C33" w:rsidRDefault="006D40D5" w:rsidP="00690C33">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17832</w:t>
    </w:r>
    <w:r w:rsidRPr="00EE277A">
      <w:rPr>
        <w:rFonts w:eastAsia="SimSun"/>
        <w:sz w:val="20"/>
        <w:lang w:eastAsia="zh-CN"/>
      </w:rPr>
      <w:t xml:space="preserve"> (C)</w:t>
    </w:r>
    <w:r>
      <w:rPr>
        <w:rFonts w:eastAsia="SimSun"/>
        <w:sz w:val="20"/>
        <w:lang w:eastAsia="zh-CN"/>
      </w:rPr>
      <w:tab/>
    </w:r>
    <w:r>
      <w:rPr>
        <w:rFonts w:eastAsia="SimSun" w:hint="eastAsia"/>
        <w:sz w:val="20"/>
        <w:lang w:eastAsia="zh-CN"/>
      </w:rPr>
      <w:t>181113</w:t>
    </w:r>
    <w:r>
      <w:rPr>
        <w:rFonts w:eastAsia="SimSun"/>
        <w:sz w:val="20"/>
        <w:lang w:eastAsia="zh-CN"/>
      </w:rPr>
      <w:tab/>
    </w:r>
    <w:r>
      <w:rPr>
        <w:rFonts w:eastAsia="SimSun" w:hint="eastAsia"/>
        <w:sz w:val="20"/>
        <w:lang w:eastAsia="zh-CN"/>
      </w:rPr>
      <w:t>211113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E7C" w:rsidRPr="000157B1" w:rsidRDefault="00A77E7C"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A77E7C" w:rsidRPr="000157B1" w:rsidRDefault="00A77E7C"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A77E7C" w:rsidRDefault="00A77E7C"/>
  </w:footnote>
  <w:footnote w:id="2">
    <w:p w:rsidR="006D40D5" w:rsidRDefault="006D40D5" w:rsidP="0071506E">
      <w:pPr>
        <w:pStyle w:val="FootnoteText"/>
        <w:spacing w:after="0"/>
        <w:rPr>
          <w:rFonts w:hint="eastAsia"/>
        </w:rPr>
      </w:pPr>
      <w:r>
        <w:rPr>
          <w:rFonts w:hint="eastAsia"/>
        </w:rPr>
        <w:tab/>
      </w:r>
      <w:r w:rsidRPr="00AC4D78">
        <w:rPr>
          <w:rStyle w:val="FootnoteReference"/>
          <w:vertAlign w:val="baseline"/>
        </w:rPr>
        <w:sym w:font="Symbol" w:char="F02A"/>
      </w:r>
      <w:r>
        <w:rPr>
          <w:rFonts w:hint="eastAsia"/>
        </w:rPr>
        <w:tab/>
      </w:r>
      <w:r w:rsidRPr="00AC4D78">
        <w:rPr>
          <w:spacing w:val="-4"/>
        </w:rPr>
        <w:t>人权理事会通过的决议和决定将载于理事会第</w:t>
      </w:r>
      <w:r w:rsidRPr="00AC4D78">
        <w:rPr>
          <w:rFonts w:hint="eastAsia"/>
          <w:spacing w:val="-4"/>
        </w:rPr>
        <w:t>二十四</w:t>
      </w:r>
      <w:r w:rsidRPr="00AC4D78">
        <w:rPr>
          <w:spacing w:val="-4"/>
        </w:rPr>
        <w:t>届会议报告</w:t>
      </w:r>
      <w:r>
        <w:rPr>
          <w:spacing w:val="-4"/>
        </w:rPr>
        <w:t>(</w:t>
      </w:r>
      <w:r w:rsidRPr="00AC4D78">
        <w:rPr>
          <w:spacing w:val="-4"/>
        </w:rPr>
        <w:t>A/HRC/</w:t>
      </w:r>
      <w:r w:rsidRPr="00AC4D78">
        <w:rPr>
          <w:rFonts w:hint="eastAsia"/>
          <w:spacing w:val="-4"/>
        </w:rPr>
        <w:t>24</w:t>
      </w:r>
      <w:r w:rsidRPr="00AC4D78">
        <w:rPr>
          <w:spacing w:val="-4"/>
        </w:rPr>
        <w:t>/2</w:t>
      </w:r>
      <w:r>
        <w:rPr>
          <w:spacing w:val="-4"/>
        </w:rPr>
        <w:t>)</w:t>
      </w:r>
      <w:r w:rsidRPr="00AC4D78">
        <w:rPr>
          <w:spacing w:val="-4"/>
        </w:rPr>
        <w:t>，第一</w:t>
      </w:r>
      <w:r w:rsidRPr="00AC4D78">
        <w:rPr>
          <w:rFonts w:hint="eastAsia"/>
          <w:spacing w:val="-4"/>
        </w:rPr>
        <w:t>部分</w:t>
      </w:r>
      <w:r w:rsidRPr="00AC4D78">
        <w:rPr>
          <w:spacing w:val="-4"/>
        </w:rPr>
        <w:t>。</w:t>
      </w:r>
    </w:p>
  </w:footnote>
  <w:footnote w:id="3">
    <w:p w:rsidR="006D40D5" w:rsidRPr="0094633F" w:rsidRDefault="006D40D5" w:rsidP="00CE20C5">
      <w:pPr>
        <w:pStyle w:val="FootnoteText"/>
        <w:spacing w:after="0"/>
      </w:pPr>
      <w:r>
        <w:tab/>
      </w:r>
      <w:r>
        <w:rPr>
          <w:rStyle w:val="FootnoteReference"/>
        </w:rPr>
        <w:footnoteRef/>
      </w:r>
      <w:r>
        <w:tab/>
      </w:r>
      <w:r w:rsidRPr="0094633F">
        <w:rPr>
          <w:rFonts w:hint="eastAsia"/>
        </w:rPr>
        <w:t>A/HRC/23/39</w:t>
      </w:r>
      <w:r w:rsidRPr="0094633F">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D5" w:rsidRPr="00F8517D" w:rsidRDefault="006D40D5">
    <w:pPr>
      <w:pStyle w:val="Header"/>
    </w:pPr>
    <w:r w:rsidRPr="00F8517D">
      <w:t>A/HRC/RES/24/5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D5" w:rsidRPr="00F8517D" w:rsidRDefault="006D40D5">
    <w:pPr>
      <w:pStyle w:val="Header"/>
      <w:jc w:val="right"/>
      <w:rPr>
        <w:rFonts w:hint="eastAsia"/>
        <w:lang w:eastAsia="zh-CN"/>
      </w:rPr>
    </w:pPr>
    <w:r w:rsidRPr="00F8517D">
      <w:rPr>
        <w:lang w:eastAsia="zh-CN"/>
      </w:rPr>
      <w:t>A/HRC/RES/24/5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1546F2E"/>
    <w:multiLevelType w:val="hybridMultilevel"/>
    <w:tmpl w:val="03F06348"/>
    <w:lvl w:ilvl="0" w:tplc="1CDEC2EE">
      <w:start w:val="1"/>
      <w:numFmt w:val="lowerLetter"/>
      <w:lvlRestart w:val="0"/>
      <w:lvlText w:val="(%1)"/>
      <w:lvlJc w:val="left"/>
      <w:pPr>
        <w:tabs>
          <w:tab w:val="num" w:pos="2857"/>
        </w:tabs>
        <w:ind w:left="1565" w:firstLine="431"/>
      </w:pPr>
      <w:rPr>
        <w:rFonts w:hint="eastAsia"/>
      </w:rPr>
    </w:lvl>
    <w:lvl w:ilvl="1" w:tplc="04090019" w:tentative="1">
      <w:start w:val="1"/>
      <w:numFmt w:val="lowerLetter"/>
      <w:lvlText w:val="%2)"/>
      <w:lvlJc w:val="left"/>
      <w:pPr>
        <w:tabs>
          <w:tab w:val="num" w:pos="1271"/>
        </w:tabs>
        <w:ind w:left="1271" w:hanging="420"/>
      </w:pPr>
    </w:lvl>
    <w:lvl w:ilvl="2" w:tplc="0409001B" w:tentative="1">
      <w:start w:val="1"/>
      <w:numFmt w:val="lowerRoman"/>
      <w:lvlText w:val="%3."/>
      <w:lvlJc w:val="righ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9" w:tentative="1">
      <w:start w:val="1"/>
      <w:numFmt w:val="lowerLetter"/>
      <w:lvlText w:val="%5)"/>
      <w:lvlJc w:val="left"/>
      <w:pPr>
        <w:tabs>
          <w:tab w:val="num" w:pos="2531"/>
        </w:tabs>
        <w:ind w:left="2531" w:hanging="420"/>
      </w:pPr>
    </w:lvl>
    <w:lvl w:ilvl="5" w:tplc="0409001B" w:tentative="1">
      <w:start w:val="1"/>
      <w:numFmt w:val="lowerRoman"/>
      <w:lvlText w:val="%6."/>
      <w:lvlJc w:val="righ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9" w:tentative="1">
      <w:start w:val="1"/>
      <w:numFmt w:val="lowerLetter"/>
      <w:lvlText w:val="%8)"/>
      <w:lvlJc w:val="left"/>
      <w:pPr>
        <w:tabs>
          <w:tab w:val="num" w:pos="3791"/>
        </w:tabs>
        <w:ind w:left="3791" w:hanging="420"/>
      </w:pPr>
    </w:lvl>
    <w:lvl w:ilvl="8" w:tplc="0409001B" w:tentative="1">
      <w:start w:val="1"/>
      <w:numFmt w:val="lowerRoman"/>
      <w:lvlText w:val="%9."/>
      <w:lvlJc w:val="right"/>
      <w:pPr>
        <w:tabs>
          <w:tab w:val="num" w:pos="4211"/>
        </w:tabs>
        <w:ind w:left="4211" w:hanging="420"/>
      </w:pPr>
    </w:lvl>
  </w:abstractNum>
  <w:abstractNum w:abstractNumId="25">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7">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7"/>
  </w:num>
  <w:num w:numId="13">
    <w:abstractNumId w:val="25"/>
  </w:num>
  <w:num w:numId="14">
    <w:abstractNumId w:val="13"/>
  </w:num>
  <w:num w:numId="15">
    <w:abstractNumId w:val="14"/>
  </w:num>
  <w:num w:numId="16">
    <w:abstractNumId w:val="28"/>
  </w:num>
  <w:num w:numId="17">
    <w:abstractNumId w:val="13"/>
  </w:num>
  <w:num w:numId="18">
    <w:abstractNumId w:val="28"/>
  </w:num>
  <w:num w:numId="19">
    <w:abstractNumId w:val="14"/>
  </w:num>
  <w:num w:numId="20">
    <w:abstractNumId w:val="14"/>
  </w:num>
  <w:num w:numId="21">
    <w:abstractNumId w:val="19"/>
  </w:num>
  <w:num w:numId="22">
    <w:abstractNumId w:val="12"/>
  </w:num>
  <w:num w:numId="23">
    <w:abstractNumId w:val="23"/>
  </w:num>
  <w:num w:numId="24">
    <w:abstractNumId w:val="26"/>
  </w:num>
  <w:num w:numId="25">
    <w:abstractNumId w:val="21"/>
  </w:num>
  <w:num w:numId="26">
    <w:abstractNumId w:val="18"/>
  </w:num>
  <w:num w:numId="27">
    <w:abstractNumId w:val="29"/>
  </w:num>
  <w:num w:numId="28">
    <w:abstractNumId w:val="26"/>
  </w:num>
  <w:num w:numId="29">
    <w:abstractNumId w:val="21"/>
  </w:num>
  <w:num w:numId="30">
    <w:abstractNumId w:val="18"/>
  </w:num>
  <w:num w:numId="31">
    <w:abstractNumId w:val="23"/>
  </w:num>
  <w:num w:numId="32">
    <w:abstractNumId w:val="12"/>
  </w:num>
  <w:num w:numId="33">
    <w:abstractNumId w:val="19"/>
  </w:num>
  <w:num w:numId="34">
    <w:abstractNumId w:val="29"/>
  </w:num>
  <w:num w:numId="35">
    <w:abstractNumId w:val="27"/>
  </w:num>
  <w:num w:numId="36">
    <w:abstractNumId w:val="22"/>
  </w:num>
  <w:num w:numId="37">
    <w:abstractNumId w:val="16"/>
  </w:num>
  <w:num w:numId="38">
    <w:abstractNumId w:val="10"/>
  </w:num>
  <w:num w:numId="39">
    <w:abstractNumId w:val="20"/>
  </w:num>
  <w:num w:numId="40">
    <w:abstractNumId w:val="11"/>
  </w:num>
  <w:num w:numId="41">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109C"/>
    <w:rsid w:val="0000411A"/>
    <w:rsid w:val="00005A89"/>
    <w:rsid w:val="00007BCF"/>
    <w:rsid w:val="00010A39"/>
    <w:rsid w:val="000157B1"/>
    <w:rsid w:val="00037EE1"/>
    <w:rsid w:val="00050226"/>
    <w:rsid w:val="0005102E"/>
    <w:rsid w:val="000637CE"/>
    <w:rsid w:val="00082E10"/>
    <w:rsid w:val="00094838"/>
    <w:rsid w:val="000A03EB"/>
    <w:rsid w:val="000A7C04"/>
    <w:rsid w:val="000C416A"/>
    <w:rsid w:val="000D1E21"/>
    <w:rsid w:val="000D39E1"/>
    <w:rsid w:val="000F5937"/>
    <w:rsid w:val="00107C15"/>
    <w:rsid w:val="00125776"/>
    <w:rsid w:val="00127C05"/>
    <w:rsid w:val="00140B6A"/>
    <w:rsid w:val="00145946"/>
    <w:rsid w:val="00145C92"/>
    <w:rsid w:val="00153EA2"/>
    <w:rsid w:val="001613CE"/>
    <w:rsid w:val="00165F4E"/>
    <w:rsid w:val="001A23E8"/>
    <w:rsid w:val="001A5624"/>
    <w:rsid w:val="001B11DB"/>
    <w:rsid w:val="001C3E9A"/>
    <w:rsid w:val="0024012F"/>
    <w:rsid w:val="002629D4"/>
    <w:rsid w:val="00280515"/>
    <w:rsid w:val="00286515"/>
    <w:rsid w:val="0029515B"/>
    <w:rsid w:val="00296A63"/>
    <w:rsid w:val="002D31D6"/>
    <w:rsid w:val="002D3FCB"/>
    <w:rsid w:val="002E68BE"/>
    <w:rsid w:val="002F3F47"/>
    <w:rsid w:val="002F6678"/>
    <w:rsid w:val="0031177D"/>
    <w:rsid w:val="00315796"/>
    <w:rsid w:val="00322B61"/>
    <w:rsid w:val="00322F28"/>
    <w:rsid w:val="003734E0"/>
    <w:rsid w:val="00382B00"/>
    <w:rsid w:val="003836F1"/>
    <w:rsid w:val="00385C14"/>
    <w:rsid w:val="00393201"/>
    <w:rsid w:val="003A7EEC"/>
    <w:rsid w:val="003B038F"/>
    <w:rsid w:val="003B260C"/>
    <w:rsid w:val="003C27FE"/>
    <w:rsid w:val="003C7195"/>
    <w:rsid w:val="003E4484"/>
    <w:rsid w:val="003F65D6"/>
    <w:rsid w:val="003F7BF8"/>
    <w:rsid w:val="00400A2E"/>
    <w:rsid w:val="00407FCF"/>
    <w:rsid w:val="00417183"/>
    <w:rsid w:val="004234EF"/>
    <w:rsid w:val="0044178A"/>
    <w:rsid w:val="00453A81"/>
    <w:rsid w:val="00461995"/>
    <w:rsid w:val="00467D72"/>
    <w:rsid w:val="004746B9"/>
    <w:rsid w:val="004755EF"/>
    <w:rsid w:val="004858FB"/>
    <w:rsid w:val="00486766"/>
    <w:rsid w:val="00497F5C"/>
    <w:rsid w:val="004C5291"/>
    <w:rsid w:val="004D1280"/>
    <w:rsid w:val="004D7F04"/>
    <w:rsid w:val="004E6C67"/>
    <w:rsid w:val="00500866"/>
    <w:rsid w:val="00501AE3"/>
    <w:rsid w:val="00513C5B"/>
    <w:rsid w:val="00535843"/>
    <w:rsid w:val="00555589"/>
    <w:rsid w:val="005571ED"/>
    <w:rsid w:val="00571343"/>
    <w:rsid w:val="00582C70"/>
    <w:rsid w:val="005906E6"/>
    <w:rsid w:val="005A5B0A"/>
    <w:rsid w:val="005B0D8A"/>
    <w:rsid w:val="005F34AF"/>
    <w:rsid w:val="005F4B29"/>
    <w:rsid w:val="005F7D40"/>
    <w:rsid w:val="00613337"/>
    <w:rsid w:val="00630755"/>
    <w:rsid w:val="00637441"/>
    <w:rsid w:val="00637834"/>
    <w:rsid w:val="00647FD7"/>
    <w:rsid w:val="00654172"/>
    <w:rsid w:val="00670C28"/>
    <w:rsid w:val="0067129C"/>
    <w:rsid w:val="00683CA1"/>
    <w:rsid w:val="00690C33"/>
    <w:rsid w:val="00697A6C"/>
    <w:rsid w:val="006B1273"/>
    <w:rsid w:val="006B3300"/>
    <w:rsid w:val="006B3471"/>
    <w:rsid w:val="006D002F"/>
    <w:rsid w:val="006D40D5"/>
    <w:rsid w:val="006E0708"/>
    <w:rsid w:val="006E39CE"/>
    <w:rsid w:val="006E3CD4"/>
    <w:rsid w:val="006E7DF9"/>
    <w:rsid w:val="006E7E21"/>
    <w:rsid w:val="007131E3"/>
    <w:rsid w:val="0071506E"/>
    <w:rsid w:val="00717C19"/>
    <w:rsid w:val="007222A5"/>
    <w:rsid w:val="00731164"/>
    <w:rsid w:val="007418FE"/>
    <w:rsid w:val="00751C2E"/>
    <w:rsid w:val="007522B5"/>
    <w:rsid w:val="00785BE9"/>
    <w:rsid w:val="00786BD2"/>
    <w:rsid w:val="0079116A"/>
    <w:rsid w:val="0079421A"/>
    <w:rsid w:val="00796BD3"/>
    <w:rsid w:val="007C0B4E"/>
    <w:rsid w:val="007D00F8"/>
    <w:rsid w:val="007D0842"/>
    <w:rsid w:val="007D7229"/>
    <w:rsid w:val="007E7822"/>
    <w:rsid w:val="007F0741"/>
    <w:rsid w:val="007F501B"/>
    <w:rsid w:val="00801DCC"/>
    <w:rsid w:val="0082049D"/>
    <w:rsid w:val="00824659"/>
    <w:rsid w:val="00824A57"/>
    <w:rsid w:val="0083180F"/>
    <w:rsid w:val="008324B5"/>
    <w:rsid w:val="008665F2"/>
    <w:rsid w:val="00871D99"/>
    <w:rsid w:val="00885DC7"/>
    <w:rsid w:val="00890356"/>
    <w:rsid w:val="008A6AB8"/>
    <w:rsid w:val="009006FB"/>
    <w:rsid w:val="00907292"/>
    <w:rsid w:val="00915220"/>
    <w:rsid w:val="00927B78"/>
    <w:rsid w:val="00946DD1"/>
    <w:rsid w:val="00964622"/>
    <w:rsid w:val="0096551C"/>
    <w:rsid w:val="0096567D"/>
    <w:rsid w:val="009B1BD6"/>
    <w:rsid w:val="009D60E5"/>
    <w:rsid w:val="009E10FA"/>
    <w:rsid w:val="009F6432"/>
    <w:rsid w:val="009F6C52"/>
    <w:rsid w:val="009F7338"/>
    <w:rsid w:val="00A04680"/>
    <w:rsid w:val="00A06781"/>
    <w:rsid w:val="00A067AD"/>
    <w:rsid w:val="00A26748"/>
    <w:rsid w:val="00A36F72"/>
    <w:rsid w:val="00A67F3E"/>
    <w:rsid w:val="00A77E7C"/>
    <w:rsid w:val="00A95BD9"/>
    <w:rsid w:val="00A97235"/>
    <w:rsid w:val="00AC4D78"/>
    <w:rsid w:val="00AD6719"/>
    <w:rsid w:val="00AE4D20"/>
    <w:rsid w:val="00AF7160"/>
    <w:rsid w:val="00B01217"/>
    <w:rsid w:val="00B16973"/>
    <w:rsid w:val="00B30642"/>
    <w:rsid w:val="00B34537"/>
    <w:rsid w:val="00B61E34"/>
    <w:rsid w:val="00B624FD"/>
    <w:rsid w:val="00B70003"/>
    <w:rsid w:val="00B73AB2"/>
    <w:rsid w:val="00B82B2A"/>
    <w:rsid w:val="00B8703D"/>
    <w:rsid w:val="00B9104B"/>
    <w:rsid w:val="00BA2DF9"/>
    <w:rsid w:val="00BC2A65"/>
    <w:rsid w:val="00BC3D38"/>
    <w:rsid w:val="00BE4EAA"/>
    <w:rsid w:val="00BF6DC5"/>
    <w:rsid w:val="00BF7E3F"/>
    <w:rsid w:val="00C143D7"/>
    <w:rsid w:val="00C32466"/>
    <w:rsid w:val="00C435EE"/>
    <w:rsid w:val="00C47715"/>
    <w:rsid w:val="00C5081D"/>
    <w:rsid w:val="00C62277"/>
    <w:rsid w:val="00C623B2"/>
    <w:rsid w:val="00C80DA9"/>
    <w:rsid w:val="00C82916"/>
    <w:rsid w:val="00C862E5"/>
    <w:rsid w:val="00CA073C"/>
    <w:rsid w:val="00CA4105"/>
    <w:rsid w:val="00CA4AF6"/>
    <w:rsid w:val="00CB2676"/>
    <w:rsid w:val="00CC01D8"/>
    <w:rsid w:val="00CE20C5"/>
    <w:rsid w:val="00CE6DB5"/>
    <w:rsid w:val="00D2146D"/>
    <w:rsid w:val="00D2707F"/>
    <w:rsid w:val="00D43F71"/>
    <w:rsid w:val="00D46CDD"/>
    <w:rsid w:val="00D54DF4"/>
    <w:rsid w:val="00D56026"/>
    <w:rsid w:val="00D619F6"/>
    <w:rsid w:val="00D84673"/>
    <w:rsid w:val="00DA7104"/>
    <w:rsid w:val="00DD17BB"/>
    <w:rsid w:val="00DD66BC"/>
    <w:rsid w:val="00DE3C8C"/>
    <w:rsid w:val="00DF4798"/>
    <w:rsid w:val="00E04189"/>
    <w:rsid w:val="00E05040"/>
    <w:rsid w:val="00E0554F"/>
    <w:rsid w:val="00E1548B"/>
    <w:rsid w:val="00E2109C"/>
    <w:rsid w:val="00E276B4"/>
    <w:rsid w:val="00E40A46"/>
    <w:rsid w:val="00E422D4"/>
    <w:rsid w:val="00E54840"/>
    <w:rsid w:val="00E911E5"/>
    <w:rsid w:val="00E91C05"/>
    <w:rsid w:val="00E953CD"/>
    <w:rsid w:val="00EE0918"/>
    <w:rsid w:val="00EE277A"/>
    <w:rsid w:val="00F41BAF"/>
    <w:rsid w:val="00F41EF7"/>
    <w:rsid w:val="00F50AC2"/>
    <w:rsid w:val="00F50CB9"/>
    <w:rsid w:val="00F53D4C"/>
    <w:rsid w:val="00F54A14"/>
    <w:rsid w:val="00F61015"/>
    <w:rsid w:val="00F65FF5"/>
    <w:rsid w:val="00F70079"/>
    <w:rsid w:val="00F72A3C"/>
    <w:rsid w:val="00F75048"/>
    <w:rsid w:val="00F75357"/>
    <w:rsid w:val="00F806C4"/>
    <w:rsid w:val="00F8517D"/>
    <w:rsid w:val="00FA2B3E"/>
    <w:rsid w:val="00FC6A02"/>
    <w:rsid w:val="00FD416D"/>
    <w:rsid w:val="00FD60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link w:val="FootnoteTextChar"/>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B16973"/>
    <w:pPr>
      <w:tabs>
        <w:tab w:val="right" w:pos="1021"/>
      </w:tabs>
    </w:pPr>
  </w:style>
  <w:style w:type="character" w:styleId="EndnoteReference">
    <w:name w:val="endnote reference"/>
    <w:basedOn w:val="FootnoteReference"/>
    <w:rsid w:val="00F41BAF"/>
  </w:style>
  <w:style w:type="paragraph" w:styleId="Footer">
    <w:name w:val="footer"/>
    <w:basedOn w:val="Normal"/>
    <w:rsid w:val="00CA4105"/>
    <w:pPr>
      <w:spacing w:line="240" w:lineRule="auto"/>
    </w:pPr>
    <w:rPr>
      <w:rFonts w:eastAsia="Times New Roman"/>
      <w:sz w:val="16"/>
      <w:lang w:val="en-GB" w:eastAsia="en-US"/>
    </w:rPr>
  </w:style>
  <w:style w:type="character" w:styleId="PageNumber">
    <w:name w:val="page number"/>
    <w:basedOn w:val="DefaultParagraphFont"/>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7"/>
      </w:numPr>
      <w:spacing w:after="120"/>
      <w:ind w:right="1134"/>
    </w:pPr>
  </w:style>
  <w:style w:type="paragraph" w:customStyle="1" w:styleId="Bullet2GC">
    <w:name w:val="_Bullet 2_GC"/>
    <w:basedOn w:val="Normal"/>
    <w:rsid w:val="00801DCC"/>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character" w:customStyle="1" w:styleId="FootnoteTextChar">
    <w:name w:val="Footnote Text Char"/>
    <w:aliases w:val="5_G Char"/>
    <w:link w:val="FootnoteText"/>
    <w:rsid w:val="00AC4D78"/>
    <w:rPr>
      <w:rFonts w:eastAsia="SimSun"/>
      <w:snapToGrid w:val="0"/>
      <w:sz w:val="18"/>
      <w:lang w:val="en-US" w:eastAsia="zh-CN" w:bidi="ar-SA"/>
    </w:rPr>
  </w:style>
  <w:style w:type="character" w:customStyle="1" w:styleId="SingleTxtGCChar">
    <w:name w:val="_ Single Txt_GC Char"/>
    <w:basedOn w:val="DefaultParagraphFont"/>
    <w:link w:val="SingleTxtGC"/>
    <w:locked/>
    <w:rsid w:val="00BA2DF9"/>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A-HRC.dot</Template>
  <TotalTime>0</TotalTime>
  <Pages>1</Pages>
  <Words>734</Words>
  <Characters>801</Characters>
  <Application>Microsoft Office Outlook</Application>
  <DocSecurity>4</DocSecurity>
  <Lines>40</Lines>
  <Paragraphs>40</Paragraphs>
  <ScaleCrop>false</ScaleCrop>
  <Company>CSD</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4</cp:revision>
  <cp:lastPrinted>2013-11-21T13:41:00Z</cp:lastPrinted>
  <dcterms:created xsi:type="dcterms:W3CDTF">2013-11-21T13:41:00Z</dcterms:created>
  <dcterms:modified xsi:type="dcterms:W3CDTF">2013-11-21T13:41:00Z</dcterms:modified>
</cp:coreProperties>
</file>