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0000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00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20"/>
              <w:jc w:val="right"/>
            </w:pPr>
            <w:r>
              <w:rPr>
                <w:sz w:val="40"/>
              </w:rPr>
              <w:t>A</w:t>
            </w:r>
            <w:r>
              <w:t>/HRC/RES/15/2</w:t>
            </w:r>
          </w:p>
        </w:tc>
      </w:tr>
      <w:tr w:rsidR="0000000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</w:pPr>
            <w:r>
              <w:t>Distr. general</w:t>
            </w:r>
          </w:p>
          <w:p w:rsidR="00000000" w:rsidRDefault="00000000">
            <w:r>
              <w:t>5 de octubre de 2010</w:t>
            </w:r>
          </w:p>
          <w:p w:rsidR="00000000" w:rsidRDefault="00000000">
            <w:r>
              <w:t>Español</w:t>
            </w:r>
          </w:p>
          <w:p w:rsidR="00000000" w:rsidRDefault="00000000">
            <w:r>
              <w:t>Original: inglés</w:t>
            </w:r>
          </w:p>
        </w:tc>
      </w:tr>
    </w:tbl>
    <w:p w:rsidR="00000000" w:rsidRDefault="00000000">
      <w:pPr>
        <w:spacing w:before="120" w:after="240" w:line="240" w:lineRule="auto"/>
        <w:rPr>
          <w:b/>
        </w:rPr>
      </w:pPr>
      <w:r>
        <w:rPr>
          <w:b/>
          <w:sz w:val="24"/>
          <w:szCs w:val="24"/>
        </w:rPr>
        <w:t>Consejo de Derechos Humanos</w:t>
      </w:r>
      <w:r>
        <w:rPr>
          <w:b/>
        </w:rPr>
        <w:br/>
        <w:t>15º período de sesiones</w:t>
      </w:r>
      <w:r>
        <w:rPr>
          <w:b/>
        </w:rPr>
        <w:br/>
      </w:r>
      <w:r>
        <w:t>Tema 3 de la agenda</w:t>
      </w:r>
      <w:r>
        <w:br/>
      </w:r>
      <w:r>
        <w:rPr>
          <w:b/>
        </w:rPr>
        <w:t xml:space="preserve">Promoción y protección de todos los derechos humanos, </w:t>
      </w:r>
      <w:r>
        <w:rPr>
          <w:b/>
        </w:rPr>
        <w:br/>
        <w:t>civiles, políticos, económicos, sociales y culturales,</w:t>
      </w:r>
      <w:r>
        <w:rPr>
          <w:b/>
        </w:rPr>
        <w:br/>
        <w:t xml:space="preserve">incluido el derecho al desarrollo </w:t>
      </w:r>
    </w:p>
    <w:p w:rsidR="00000000" w:rsidRDefault="00000000">
      <w:pPr>
        <w:pStyle w:val="HChG"/>
      </w:pPr>
      <w:r>
        <w:tab/>
      </w:r>
      <w:r>
        <w:tab/>
        <w:t>Resolución aprobada por el Consejo de Derechos Humanos</w:t>
      </w:r>
      <w:r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00000" w:rsidRDefault="00000000">
      <w:pPr>
        <w:pStyle w:val="H1G"/>
        <w:tabs>
          <w:tab w:val="left" w:pos="1750"/>
        </w:tabs>
      </w:pPr>
      <w:r>
        <w:tab/>
      </w:r>
      <w:r>
        <w:tab/>
        <w:t>15/2.  Relatora Especial sobre las formas contemporáneas</w:t>
      </w:r>
      <w:r>
        <w:br/>
      </w:r>
      <w:r>
        <w:tab/>
        <w:t>de la esclavitud</w:t>
      </w:r>
    </w:p>
    <w:p w:rsidR="00000000" w:rsidRDefault="00000000">
      <w:pPr>
        <w:pStyle w:val="SingleTxtG"/>
        <w:rPr>
          <w:i/>
        </w:rPr>
      </w:pPr>
      <w:r>
        <w:tab/>
      </w:r>
      <w:r>
        <w:rPr>
          <w:i/>
        </w:rPr>
        <w:t xml:space="preserve">El Consejo de Derechos Humanos, </w:t>
      </w:r>
    </w:p>
    <w:p w:rsidR="00000000" w:rsidRDefault="00000000">
      <w:pPr>
        <w:pStyle w:val="SingleTxtG"/>
      </w:pPr>
      <w:r>
        <w:tab/>
      </w:r>
      <w:r>
        <w:rPr>
          <w:i/>
        </w:rPr>
        <w:t>Reafirmando</w:t>
      </w:r>
      <w:r>
        <w:t xml:space="preserve"> la Declaración Universal de Derechos Humanos, según la cual nadie será sometido a esclavitud ni a servidumbre, y la esclavitud y la trata de esclavos estarán prohibidas en todas sus formas,</w:t>
      </w:r>
    </w:p>
    <w:p w:rsidR="00000000" w:rsidRDefault="00000000">
      <w:pPr>
        <w:pStyle w:val="SingleTxtG"/>
      </w:pPr>
      <w:r>
        <w:tab/>
      </w:r>
      <w:r>
        <w:rPr>
          <w:i/>
        </w:rPr>
        <w:t>Reconociendo</w:t>
      </w:r>
      <w:r>
        <w:t xml:space="preserve"> la Convención sobre la Esclavitud, de 1926, la Convención suplementaria sobre la abolición de la esclavitud, la trata de esclavos y las instituciones y prácticas análogas a la esclavitud, de 1956, y el Convenio Nº 29 de la Organización Internacional del Trabajo sobre el trabajo forzoso, de 1930, así como otros instrumentos internacionales que prohíben todas las formas de esclavitud y exhortan a los gobiernos a erradicar tales prácticas, </w:t>
      </w:r>
    </w:p>
    <w:p w:rsidR="00000000" w:rsidRDefault="00000000">
      <w:pPr>
        <w:pStyle w:val="SingleTxtG"/>
      </w:pPr>
      <w:r>
        <w:tab/>
      </w:r>
      <w:r>
        <w:rPr>
          <w:i/>
        </w:rPr>
        <w:t>Recordando</w:t>
      </w:r>
      <w:r>
        <w:t xml:space="preserve"> que la Declaración y el Programa de Acción de Durban condenaba enérgicamente el hecho de que subsistieran aún en ciertas partes del mundo la esclavitud y prácticas similares a ésta e instaban a los Estados a que, como cuestión prioritaria, adoptasen de inmediato medidas para poner fin a esas prácticas, que constituían una vulneración patente de los derechos humanos,</w:t>
      </w:r>
    </w:p>
    <w:p w:rsidR="00000000" w:rsidRDefault="00000000">
      <w:pPr>
        <w:pStyle w:val="SingleTxtG"/>
      </w:pPr>
      <w:r>
        <w:tab/>
      </w:r>
      <w:r>
        <w:rPr>
          <w:i/>
        </w:rPr>
        <w:t>Reafirmando</w:t>
      </w:r>
      <w:r>
        <w:t xml:space="preserve"> la resolución 6/14 del Consejo, de 28 de septiembre de 2007,</w:t>
      </w:r>
    </w:p>
    <w:p w:rsidR="00000000" w:rsidRDefault="00000000">
      <w:pPr>
        <w:pStyle w:val="SingleTxtG"/>
      </w:pPr>
      <w:r>
        <w:tab/>
      </w:r>
      <w:r>
        <w:rPr>
          <w:i/>
        </w:rPr>
        <w:t>Condenando</w:t>
      </w:r>
      <w:r>
        <w:t xml:space="preserve"> las formas contemporáneas de esclavitud, reconociendo que son un problema mundial que afecta a todos los continentes y a la mayor parte de los países del mundo e instando a los Estados a que, como cuestión prioritaria, adopten medidas adecuadas para poner fin a esas prácticas,</w:t>
      </w:r>
    </w:p>
    <w:p w:rsidR="00000000" w:rsidRDefault="00000000">
      <w:pPr>
        <w:pStyle w:val="SingleTxtG"/>
      </w:pPr>
      <w:r>
        <w:tab/>
      </w:r>
      <w:r>
        <w:rPr>
          <w:i/>
        </w:rPr>
        <w:t>Profundamente preocupado</w:t>
      </w:r>
      <w:r>
        <w:t xml:space="preserve"> por el hecho de que las estimaciones mínimas de la población sometida a esclavitud se cifren en más de 12 millones de personas y de que el problema parezca ir en aumento,</w:t>
      </w:r>
    </w:p>
    <w:p w:rsidR="00000000" w:rsidRDefault="00000000">
      <w:pPr>
        <w:pStyle w:val="SingleTxtG"/>
      </w:pPr>
      <w:r>
        <w:tab/>
      </w:r>
      <w:r>
        <w:rPr>
          <w:i/>
        </w:rPr>
        <w:t>Reconociendo</w:t>
      </w:r>
      <w:r>
        <w:t xml:space="preserve"> que, para luchar eficazmente contra las formas contemporáneas de la esclavitud, es indispensable que se entable una amplia cooperación internacional entre los Estados, así como entre los Estados y las organizaciones intergubernamentales y no gubernamentales pertinentes,</w:t>
      </w:r>
    </w:p>
    <w:p w:rsidR="00000000" w:rsidRDefault="00000000">
      <w:pPr>
        <w:pStyle w:val="SingleTxtG"/>
      </w:pPr>
      <w:r>
        <w:tab/>
      </w:r>
      <w:r>
        <w:rPr>
          <w:i/>
        </w:rPr>
        <w:t>Recordando</w:t>
      </w:r>
      <w:r>
        <w:t xml:space="preserve"> las resoluciones del Consejo 5/1, "Construcción institucional del Consejo de Derechos Humanos de las Naciones Unidas", y 5/2, "Código de conducta para los titulares de mandatos de los procedimientos especiales del Consejo de Derechos Humanos", de 18 de junio de 2007, y subrayando que los titulares de mandatos cumplirán sus funciones de conformidad con esas resoluciones y sus anexos,</w:t>
      </w:r>
    </w:p>
    <w:p w:rsidR="00000000" w:rsidRDefault="00000000">
      <w:pPr>
        <w:pStyle w:val="SingleTxtG"/>
      </w:pPr>
      <w:r>
        <w:tab/>
      </w:r>
      <w:r>
        <w:rPr>
          <w:i/>
        </w:rPr>
        <w:t>Convencido</w:t>
      </w:r>
      <w:r>
        <w:t xml:space="preserve"> de que la cuestión de las formas contemporáneas de esclavitud sigue exigiendo la atención del Consejo, </w:t>
      </w:r>
    </w:p>
    <w:p w:rsidR="00000000" w:rsidRDefault="00000000">
      <w:pPr>
        <w:pStyle w:val="SingleTxtG"/>
      </w:pPr>
      <w:r>
        <w:tab/>
      </w:r>
      <w:r>
        <w:rPr>
          <w:i/>
        </w:rPr>
        <w:t>Teniendo presente</w:t>
      </w:r>
      <w:r>
        <w:t xml:space="preserve"> el Fondo Fiduciario de Contribuciones Voluntarias de las Naciones Unidas para luchar contra las formas contemporáneas de la esclavitud y su importancia al abordar las cuestiones planteadas por la Relatora Especial sobre las formas contemporáneas de la esclavitud,</w:t>
      </w:r>
    </w:p>
    <w:p w:rsidR="00000000" w:rsidRDefault="00000000">
      <w:pPr>
        <w:pStyle w:val="SingleTxtG"/>
      </w:pPr>
      <w:r>
        <w:tab/>
        <w:t>1.</w:t>
      </w:r>
      <w:r>
        <w:tab/>
      </w:r>
      <w:r>
        <w:rPr>
          <w:i/>
        </w:rPr>
        <w:t>Acoge con beneplácito</w:t>
      </w:r>
      <w:r>
        <w:t xml:space="preserve"> la labor realizada por la Relatora Especial sobre las formas contemporáneas de la esclavitud y toma nota con reconocimiento de sus informes</w:t>
      </w:r>
      <w:r>
        <w:rPr>
          <w:sz w:val="18"/>
          <w:szCs w:val="18"/>
          <w:vertAlign w:val="superscript"/>
        </w:rPr>
        <w:footnoteReference w:id="2"/>
      </w:r>
      <w:r>
        <w:t>, centrados, entre otras cosas, en las cuestiones del trabajo en régimen de servidumbre y la servidumbre doméstica;</w:t>
      </w:r>
    </w:p>
    <w:p w:rsidR="00000000" w:rsidRDefault="00000000">
      <w:pPr>
        <w:pStyle w:val="SingleTxtG"/>
      </w:pPr>
      <w:r>
        <w:tab/>
        <w:t>2.</w:t>
      </w:r>
      <w:r>
        <w:tab/>
      </w:r>
      <w:r>
        <w:rPr>
          <w:i/>
        </w:rPr>
        <w:t>Acoge con beneplácito</w:t>
      </w:r>
      <w:r>
        <w:t xml:space="preserve"> </w:t>
      </w:r>
      <w:r>
        <w:rPr>
          <w:i/>
        </w:rPr>
        <w:t>también</w:t>
      </w:r>
      <w:r>
        <w:t xml:space="preserve"> la cooperación de los Estados que han aceptado las solicitudes de visita de la Relatora Especial y han respondido a sus solicitudes de información; </w:t>
      </w:r>
    </w:p>
    <w:p w:rsidR="00000000" w:rsidRDefault="00000000">
      <w:pPr>
        <w:pStyle w:val="SingleTxtG"/>
      </w:pPr>
      <w:r>
        <w:tab/>
        <w:t>3.</w:t>
      </w:r>
      <w:r>
        <w:tab/>
      </w:r>
      <w:r>
        <w:rPr>
          <w:i/>
        </w:rPr>
        <w:t>Decide</w:t>
      </w:r>
      <w:r>
        <w:t xml:space="preserve"> renovar por un período de tres años el mandato de la Relatora Especial;</w:t>
      </w:r>
    </w:p>
    <w:p w:rsidR="00000000" w:rsidRDefault="00000000">
      <w:pPr>
        <w:pStyle w:val="SingleTxtG"/>
      </w:pPr>
      <w:r>
        <w:tab/>
        <w:t>4.</w:t>
      </w:r>
      <w:r>
        <w:tab/>
      </w:r>
      <w:r>
        <w:rPr>
          <w:i/>
        </w:rPr>
        <w:t>Decide también</w:t>
      </w:r>
      <w:r>
        <w:t xml:space="preserve"> que la Relatora Especial examinará todas las formas contemporáneas de la esclavitud y prácticas análogas, y en particular las que se definen en la Convención sobre la Esclavitud de 1926 y la Convención suplementaria sobre la abolición de la esclavitud, la trata de esclavos y las instituciones y prácticas análogas a la esclavitud de 1956, así como todas las demás cuestiones de que se ocupa el Grupo de Trabajo sobre las Formas Contemporáneas de la Esclavitud, e informará al respecto; en el desempeño de su mandato la Relatora Especial: </w:t>
      </w:r>
    </w:p>
    <w:p w:rsidR="00000000" w:rsidRDefault="00000000">
      <w:pPr>
        <w:pStyle w:val="SingleTxtG"/>
      </w:pPr>
      <w:r>
        <w:tab/>
        <w:t>a)</w:t>
      </w:r>
      <w:r>
        <w:tab/>
        <w:t>Promoverá la aplicación efectiva de las normas internacionales pertinentes sobre la esclavitud;</w:t>
      </w:r>
    </w:p>
    <w:p w:rsidR="00000000" w:rsidRDefault="00000000">
      <w:pPr>
        <w:pStyle w:val="SingleTxtG"/>
      </w:pPr>
      <w:r>
        <w:tab/>
        <w:t>b)</w:t>
      </w:r>
      <w:r>
        <w:tab/>
        <w:t>Solicitará, recibirá e intercambiará información de los gobiernos, órganos de tratados, procedimientos especiales, organismos especializados, organizaciones intergubernamentales, organizaciones no gubernamentales y otras fuentes pertinentes sobre las formas contemporáneas de la esclavitud, incluidas las prácticas de la esclavitud y, según corresponda y de acuerdo con la práctica vigente, dará una respuesta eficaz a toda información fidedigna sobre presuntas violaciones de los derechos humanos, con objeto de proteger los derechos humanos de las víctimas de la esclavitud e impedir que se vulneren;</w:t>
      </w:r>
    </w:p>
    <w:p w:rsidR="00000000" w:rsidRDefault="00000000">
      <w:pPr>
        <w:pStyle w:val="SingleTxtG"/>
        <w:keepNext/>
        <w:keepLines/>
      </w:pPr>
      <w:r>
        <w:tab/>
        <w:t>c)</w:t>
      </w:r>
      <w:r>
        <w:tab/>
        <w:t xml:space="preserve">Recomendará actuaciones y medidas aplicables a nivel nacional, regional e internacional para eliminar las prácticas de la esclavitud dondequiera que tengan lugar, señalando los medios para atacar las causas y remediar las consecuencias de las formas contemporáneas de la esclavitud, como la pobreza, la discriminación y los conflictos, así como la existencia de factores de demanda y las medidas pertinentes para reforzar la cooperación internacional; </w:t>
      </w:r>
    </w:p>
    <w:p w:rsidR="00000000" w:rsidRDefault="00000000">
      <w:pPr>
        <w:pStyle w:val="SingleTxtG"/>
      </w:pPr>
      <w:r>
        <w:tab/>
        <w:t>d)</w:t>
      </w:r>
      <w:r>
        <w:tab/>
        <w:t>Centrará su atención principalmente en los aspectos de las formas contemporáneas de la esclavitud no abarcados por los mandatos vigentes del Consejo de Derechos Humanos;</w:t>
      </w:r>
    </w:p>
    <w:p w:rsidR="00000000" w:rsidRDefault="00000000">
      <w:pPr>
        <w:pStyle w:val="SingleTxtG"/>
      </w:pPr>
      <w:r>
        <w:tab/>
        <w:t>5.</w:t>
      </w:r>
      <w:r>
        <w:tab/>
      </w:r>
      <w:r>
        <w:rPr>
          <w:i/>
        </w:rPr>
        <w:t>Pide</w:t>
      </w:r>
      <w:r>
        <w:t xml:space="preserve"> a la Relatora Especial que, en el desempeño de su mandato, siga:</w:t>
      </w:r>
    </w:p>
    <w:p w:rsidR="00000000" w:rsidRDefault="00000000">
      <w:pPr>
        <w:pStyle w:val="SingleTxtG"/>
      </w:pPr>
      <w:r>
        <w:tab/>
        <w:t>a)</w:t>
      </w:r>
      <w:r>
        <w:tab/>
        <w:t>Estudiando atentamente las cuestiones específicas que forman parte de su mandato e indicando ejemplos de prácticas eficaces junto con las recomendaciones pertinentes;</w:t>
      </w:r>
    </w:p>
    <w:p w:rsidR="00000000" w:rsidRDefault="00000000">
      <w:pPr>
        <w:pStyle w:val="SingleTxtG"/>
      </w:pPr>
      <w:r>
        <w:tab/>
        <w:t>b)</w:t>
      </w:r>
      <w:r>
        <w:tab/>
        <w:t>Teniendo en cuenta las dimensiones de género y edad de las formas contemporáneas de la esclavitud;</w:t>
      </w:r>
    </w:p>
    <w:p w:rsidR="00000000" w:rsidRDefault="00000000">
      <w:pPr>
        <w:pStyle w:val="SingleTxtG"/>
      </w:pPr>
      <w:r>
        <w:tab/>
        <w:t>6.</w:t>
      </w:r>
      <w:r>
        <w:tab/>
      </w:r>
      <w:r>
        <w:rPr>
          <w:i/>
        </w:rPr>
        <w:t>Alienta</w:t>
      </w:r>
      <w:r>
        <w:t xml:space="preserve"> a la Relatora Especial a que reúna y analice ejemplos de leyes nacionales sobre prohibición de la esclavitud y prácticas análogas para ayudar a los Estados a combatir las formas contemporáneas de la esclavitud;</w:t>
      </w:r>
    </w:p>
    <w:p w:rsidR="00000000" w:rsidRDefault="00000000">
      <w:pPr>
        <w:pStyle w:val="SingleTxtG"/>
      </w:pPr>
      <w:r>
        <w:tab/>
        <w:t>7.</w:t>
      </w:r>
      <w:r>
        <w:tab/>
      </w:r>
      <w:r>
        <w:rPr>
          <w:i/>
        </w:rPr>
        <w:t>Exhorta</w:t>
      </w:r>
      <w:r>
        <w:t xml:space="preserve"> a todos los gobiernos a que cooperen con la Relatora Especial y le presten asistencia en el cumplimiento de las tareas y obligaciones que se le han encomendado, le faciliten toda la información necesaria que les pida y acojan favorablemente las solicitudes que les dirija para visitar sus países, a fin de que pueda desempeñar su mandato eficazmente;</w:t>
      </w:r>
    </w:p>
    <w:p w:rsidR="00000000" w:rsidRDefault="00000000">
      <w:pPr>
        <w:pStyle w:val="SingleTxtG"/>
      </w:pPr>
      <w:r>
        <w:tab/>
        <w:t>8.</w:t>
      </w:r>
      <w:r>
        <w:tab/>
      </w:r>
      <w:r>
        <w:rPr>
          <w:i/>
        </w:rPr>
        <w:t>Alienta</w:t>
      </w:r>
      <w:r>
        <w:t xml:space="preserve"> a las Naciones Unidas, comprendidos sus organismos especializados, las organizaciones intergubernamentales regionales, los gobiernos, los expertos independientes, las instituciones interesadas y las organizaciones no gubernamentales a que cooperen en la mayor medida posible con la Relatora Especial en el desempeño de su mandato; </w:t>
      </w:r>
    </w:p>
    <w:p w:rsidR="00000000" w:rsidRDefault="00000000">
      <w:pPr>
        <w:pStyle w:val="SingleTxtG"/>
      </w:pPr>
      <w:r>
        <w:tab/>
        <w:t>9.</w:t>
      </w:r>
      <w:r>
        <w:tab/>
      </w:r>
      <w:r>
        <w:rPr>
          <w:i/>
        </w:rPr>
        <w:t>Alienta</w:t>
      </w:r>
      <w:r>
        <w:t xml:space="preserve"> a la Relatora Especial a que siga colaborando plena y eficazmente con todos los demás mecanismos de derechos humanos pertinentes que existan, teniendo plenamente en cuenta la contribución de éstos y la necesidad de evitar la duplicación de su trabajo;</w:t>
      </w:r>
    </w:p>
    <w:p w:rsidR="00000000" w:rsidRDefault="00000000">
      <w:pPr>
        <w:pStyle w:val="SingleTxtG"/>
      </w:pPr>
      <w:r>
        <w:tab/>
        <w:t>10.</w:t>
      </w:r>
      <w:r>
        <w:tab/>
      </w:r>
      <w:r>
        <w:rPr>
          <w:i/>
        </w:rPr>
        <w:t>Pide</w:t>
      </w:r>
      <w:r>
        <w:t xml:space="preserve"> a la Relatora Especial que presente al Consejo informes anuales sobre las actividades del mandato, junto con recomendaciones sobre las medidas que deberían adoptarse para combatir y erradicar las formas contemporáneas de la esclavitud y las prácticas análogas a la esclavitud y para proteger los derechos humanos de las víctimas de tales prácticas;</w:t>
      </w:r>
    </w:p>
    <w:p w:rsidR="00000000" w:rsidRDefault="00000000">
      <w:pPr>
        <w:pStyle w:val="SingleTxtG"/>
      </w:pPr>
      <w:r>
        <w:tab/>
        <w:t>11.</w:t>
      </w:r>
      <w:r>
        <w:tab/>
      </w:r>
      <w:r>
        <w:rPr>
          <w:i/>
        </w:rPr>
        <w:t>Pide</w:t>
      </w:r>
      <w:r>
        <w:t xml:space="preserve"> al Secretario General que, dentro de los límites de los recursos existentes, facilite a la Relatora Especial toda la asistencia necesaria en recursos humanos y financieros para el cumplimiento eficaz de su mandato.</w:t>
      </w:r>
    </w:p>
    <w:p w:rsidR="00000000" w:rsidRDefault="00000000">
      <w:pPr>
        <w:pStyle w:val="SingleTxtG"/>
        <w:jc w:val="right"/>
        <w:rPr>
          <w:i/>
        </w:rPr>
      </w:pPr>
      <w:r>
        <w:rPr>
          <w:i/>
        </w:rPr>
        <w:t>30ª sesión</w:t>
      </w:r>
      <w:r>
        <w:rPr>
          <w:i/>
        </w:rPr>
        <w:br/>
        <w:t>29 de septiembre de 2010</w:t>
      </w:r>
    </w:p>
    <w:p w:rsidR="00000000" w:rsidRDefault="00000000">
      <w:pPr>
        <w:pStyle w:val="SingleTxtG"/>
        <w:jc w:val="left"/>
      </w:pPr>
      <w:r>
        <w:t>[Aprobada sin votación.]</w:t>
      </w:r>
    </w:p>
    <w:p w:rsidR="00000000" w:rsidRDefault="00000000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/>
    <w:p w:rsidR="00000000" w:rsidRDefault="00000000"/>
    <w:p w:rsidR="00000000" w:rsidRDefault="00000000"/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  <w:r>
      <w:t>GE.10-16580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  <w:rPr>
        <w:b/>
        <w:sz w:val="18"/>
      </w:rPr>
    </w:pPr>
    <w:r>
      <w:t>GE.10-16580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2820"/>
      </w:tabs>
    </w:pPr>
    <w:r>
      <w:rPr>
        <w:sz w:val="20"/>
      </w:rPr>
      <w:t>GE.10-16580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  (S)    181010    191010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0000" w:rsidRDefault="00000000">
      <w:r>
        <w:continuationSeparator/>
      </w:r>
    </w:p>
  </w:footnote>
  <w:footnote w:id="1">
    <w:p w:rsidR="00000000" w:rsidRDefault="00000000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  <w:vertAlign w:val="baseline"/>
        </w:rPr>
        <w:t>*</w:t>
      </w:r>
      <w:r>
        <w:tab/>
        <w:t>Las resoluciones y decisiones aprobadas por el Consejo de Derechos Humanos se publicarán en el informe del Consejo sobre su 15º período de sesiones (A/HRC/16/60), cap. I.</w:t>
      </w:r>
    </w:p>
  </w:footnote>
  <w:footnote w:id="2">
    <w:p w:rsidR="00000000" w:rsidRDefault="00000000">
      <w:pPr>
        <w:pStyle w:val="FootnoteText"/>
        <w:rPr>
          <w:rStyle w:val="FootnoteReference"/>
          <w:vertAlign w:val="baseline"/>
        </w:rPr>
      </w:pPr>
      <w:r>
        <w:rPr>
          <w:sz w:val="24"/>
          <w:szCs w:val="24"/>
        </w:rPr>
        <w:tab/>
      </w: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rStyle w:val="FootnoteReference"/>
          <w:vertAlign w:val="baseline"/>
        </w:rPr>
        <w:t>A/HRC/9/20, A/HRC/12/21 y Add.1</w:t>
      </w:r>
      <w:r>
        <w:t>,</w:t>
      </w:r>
      <w:r>
        <w:rPr>
          <w:rStyle w:val="FootnoteReference"/>
          <w:vertAlign w:val="baseline"/>
        </w:rPr>
        <w:t xml:space="preserve"> y A/HRC/15/20 y Add.1 a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A/HRC/RES/15/2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jc w:val="right"/>
    </w:pPr>
    <w:r>
      <w:t>A/HRC/RES/15/2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4_G,Texto de nota al pie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Pr>
      <w:sz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HTMLAcronym">
    <w:name w:val="HTML Acronym"/>
    <w:basedOn w:val="DefaultParagraphFont"/>
    <w:semiHidden/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Closing">
    <w:name w:val="Closing"/>
    <w:basedOn w:val="Normal"/>
    <w:semiHidden/>
    <w:pPr>
      <w:ind w:left="4252"/>
    </w:p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character" w:styleId="HTMLDefinition">
    <w:name w:val="HTML Definition"/>
    <w:semiHidden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12"/>
      </w:numPr>
    </w:pPr>
  </w:style>
  <w:style w:type="paragraph" w:styleId="ListBullet3">
    <w:name w:val="List Bullet 3"/>
    <w:basedOn w:val="Normal"/>
    <w:semiHidden/>
    <w:pPr>
      <w:numPr>
        <w:numId w:val="13"/>
      </w:numPr>
    </w:pPr>
  </w:style>
  <w:style w:type="paragraph" w:styleId="ListBullet4">
    <w:name w:val="List Bullet 4"/>
    <w:basedOn w:val="Normal"/>
    <w:semiHidden/>
    <w:pPr>
      <w:numPr>
        <w:numId w:val="14"/>
      </w:numPr>
    </w:pPr>
  </w:style>
  <w:style w:type="paragraph" w:styleId="ListBullet5">
    <w:name w:val="List Bullet 5"/>
    <w:basedOn w:val="Normal"/>
    <w:semiHidden/>
    <w:pPr>
      <w:numPr>
        <w:numId w:val="15"/>
      </w:numPr>
    </w:p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aliases w:val="7_G"/>
    <w:rPr>
      <w:b/>
      <w:sz w:val="18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NormalIndent">
    <w:name w:val="Normal Indent"/>
    <w:basedOn w:val="Normal"/>
    <w:semiHidden/>
    <w:pPr>
      <w:ind w:left="567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EndnoteText">
    <w:name w:val="endnote text"/>
    <w:aliases w:val="2_G"/>
    <w:basedOn w:val="FootnoteText"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Pr>
      <w:i/>
      <w:iCs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3</Pages>
  <Words>1203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A/HRC/RES/15/2   10-16580</vt:lpstr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A/HRC/RES/15/2   10-16580</dc:title>
  <dc:subject>FINAL</dc:subject>
  <dc:creator>BC</dc:creator>
  <cp:keywords/>
  <dc:description/>
  <cp:lastModifiedBy>Admieng</cp:lastModifiedBy>
  <cp:revision>2</cp:revision>
  <cp:lastPrinted>2010-10-19T07:15:00Z</cp:lastPrinted>
  <dcterms:created xsi:type="dcterms:W3CDTF">2010-10-19T10:46:00Z</dcterms:created>
  <dcterms:modified xsi:type="dcterms:W3CDTF">2010-10-19T10:46:00Z</dcterms:modified>
</cp:coreProperties>
</file>