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BA5E8B">
        <w:trPr>
          <w:trHeight w:hRule="exact" w:val="851"/>
        </w:trPr>
        <w:tc>
          <w:tcPr>
            <w:tcW w:w="1274" w:type="dxa"/>
            <w:tcBorders>
              <w:bottom w:val="single" w:sz="4" w:space="0" w:color="auto"/>
            </w:tcBorders>
          </w:tcPr>
          <w:p w:rsidR="006B3E27" w:rsidRPr="003E159A" w:rsidRDefault="006B3E27" w:rsidP="00BA5E8B">
            <w:pPr>
              <w:pStyle w:val="H4GA"/>
              <w:bidi w:val="0"/>
            </w:pPr>
          </w:p>
        </w:tc>
        <w:tc>
          <w:tcPr>
            <w:tcW w:w="4963"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691552" w:rsidP="00E75FD3">
            <w:pPr>
              <w:bidi w:val="0"/>
              <w:spacing w:after="20"/>
              <w:jc w:val="left"/>
              <w:rPr>
                <w:szCs w:val="20"/>
              </w:rPr>
            </w:pPr>
            <w:r w:rsidRPr="00691552">
              <w:rPr>
                <w:sz w:val="40"/>
                <w:szCs w:val="20"/>
              </w:rPr>
              <w:t>A</w:t>
            </w:r>
            <w:r>
              <w:rPr>
                <w:szCs w:val="20"/>
              </w:rPr>
              <w:t>/HRC/RES/41/12</w:t>
            </w:r>
          </w:p>
        </w:tc>
      </w:tr>
      <w:tr w:rsidR="006B3E27" w:rsidRPr="00ED7442" w:rsidTr="00BA5E8B">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rPr>
              <w:drawing>
                <wp:inline distT="0" distB="0" distL="0" distR="0" wp14:anchorId="3BA1E85C" wp14:editId="4D5BD67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1773DB" w:rsidP="00BA5E8B">
            <w:pPr>
              <w:spacing w:before="120" w:after="40" w:line="640" w:lineRule="exact"/>
              <w:jc w:val="left"/>
              <w:rPr>
                <w:b/>
                <w:bCs/>
                <w:sz w:val="56"/>
                <w:szCs w:val="56"/>
              </w:rPr>
            </w:pPr>
            <w:r>
              <w:rPr>
                <w:rFonts w:hint="cs"/>
                <w:b/>
                <w:bCs/>
                <w:sz w:val="56"/>
                <w:szCs w:val="56"/>
                <w:rtl/>
              </w:rPr>
              <w:t>الجمعية العامة</w:t>
            </w:r>
          </w:p>
        </w:tc>
        <w:tc>
          <w:tcPr>
            <w:tcW w:w="3402" w:type="dxa"/>
            <w:tcBorders>
              <w:top w:val="single" w:sz="4" w:space="0" w:color="auto"/>
              <w:bottom w:val="single" w:sz="12" w:space="0" w:color="auto"/>
            </w:tcBorders>
          </w:tcPr>
          <w:p w:rsidR="000C17E3" w:rsidRPr="000C17E3" w:rsidRDefault="000C17E3" w:rsidP="000C17E3">
            <w:pPr>
              <w:suppressAutoHyphens/>
              <w:bidi w:val="0"/>
              <w:spacing w:before="240" w:line="240" w:lineRule="exact"/>
              <w:jc w:val="left"/>
              <w:rPr>
                <w:rFonts w:cs="Times New Roman"/>
                <w:szCs w:val="20"/>
                <w:lang w:val="en-GB"/>
              </w:rPr>
            </w:pPr>
            <w:r w:rsidRPr="000C17E3">
              <w:rPr>
                <w:rFonts w:cs="Times New Roman"/>
                <w:szCs w:val="20"/>
                <w:lang w:val="en-GB"/>
              </w:rPr>
              <w:t>Distr.: General</w:t>
            </w:r>
          </w:p>
          <w:p w:rsidR="000C17E3" w:rsidRPr="000C17E3" w:rsidRDefault="000C17E3" w:rsidP="000C17E3">
            <w:pPr>
              <w:suppressAutoHyphens/>
              <w:bidi w:val="0"/>
              <w:spacing w:line="240" w:lineRule="exact"/>
              <w:jc w:val="left"/>
              <w:rPr>
                <w:rFonts w:cs="Times New Roman"/>
                <w:szCs w:val="20"/>
                <w:lang w:val="en-GB"/>
              </w:rPr>
            </w:pPr>
            <w:r w:rsidRPr="000C17E3">
              <w:rPr>
                <w:rFonts w:cs="Times New Roman"/>
                <w:szCs w:val="20"/>
                <w:lang w:val="en-GB"/>
              </w:rPr>
              <w:t>19 July 2019</w:t>
            </w:r>
          </w:p>
          <w:p w:rsidR="000C17E3" w:rsidRPr="000C17E3" w:rsidRDefault="000C17E3" w:rsidP="000C17E3">
            <w:pPr>
              <w:suppressAutoHyphens/>
              <w:bidi w:val="0"/>
              <w:spacing w:line="240" w:lineRule="exact"/>
              <w:jc w:val="left"/>
              <w:rPr>
                <w:rFonts w:cs="Times New Roman"/>
                <w:szCs w:val="20"/>
                <w:lang w:val="en-GB"/>
              </w:rPr>
            </w:pPr>
            <w:r>
              <w:rPr>
                <w:rFonts w:cs="Times New Roman"/>
                <w:szCs w:val="20"/>
                <w:lang w:val="en-GB"/>
              </w:rPr>
              <w:t>Arabic</w:t>
            </w:r>
          </w:p>
          <w:p w:rsidR="00E75FD3" w:rsidRPr="000C17E3" w:rsidRDefault="000C17E3" w:rsidP="000C17E3">
            <w:pPr>
              <w:bidi w:val="0"/>
              <w:jc w:val="left"/>
              <w:rPr>
                <w:szCs w:val="20"/>
                <w:lang w:val="en-GB"/>
              </w:rPr>
            </w:pPr>
            <w:r w:rsidRPr="000C17E3">
              <w:rPr>
                <w:rFonts w:cs="Times New Roman"/>
                <w:szCs w:val="20"/>
                <w:lang w:val="en-GB"/>
              </w:rPr>
              <w:t>Original: English</w:t>
            </w:r>
          </w:p>
        </w:tc>
      </w:tr>
    </w:tbl>
    <w:p w:rsidR="00E75FD3" w:rsidRDefault="001773DB" w:rsidP="0054762C">
      <w:pPr>
        <w:spacing w:before="120" w:line="380" w:lineRule="exact"/>
        <w:jc w:val="left"/>
        <w:rPr>
          <w:b/>
          <w:bCs/>
          <w:sz w:val="36"/>
          <w:szCs w:val="36"/>
          <w:rtl/>
        </w:rPr>
      </w:pPr>
      <w:r w:rsidRPr="001773DB">
        <w:rPr>
          <w:rFonts w:hint="cs"/>
          <w:b/>
          <w:bCs/>
          <w:sz w:val="36"/>
          <w:szCs w:val="36"/>
          <w:rtl/>
        </w:rPr>
        <w:t>مجلس حقوق الإنسان</w:t>
      </w:r>
    </w:p>
    <w:p w:rsidR="00E75FD3" w:rsidRPr="00E75FD3" w:rsidRDefault="00E75FD3" w:rsidP="00E75FD3">
      <w:pPr>
        <w:pStyle w:val="SingleTxtGA"/>
        <w:spacing w:after="0"/>
        <w:ind w:left="0"/>
        <w:rPr>
          <w:rFonts w:hint="cs"/>
          <w:b/>
          <w:bCs/>
          <w:rtl/>
        </w:rPr>
      </w:pPr>
      <w:r w:rsidRPr="00E75FD3">
        <w:rPr>
          <w:b/>
          <w:bCs/>
          <w:rtl/>
        </w:rPr>
        <w:t>الدورة الحادية والأربعون</w:t>
      </w:r>
    </w:p>
    <w:p w:rsidR="00E75FD3" w:rsidRDefault="00E75FD3" w:rsidP="00E75FD3">
      <w:pPr>
        <w:pStyle w:val="SingleTxtGA"/>
        <w:spacing w:after="0"/>
        <w:ind w:left="0"/>
        <w:rPr>
          <w:rtl/>
        </w:rPr>
      </w:pPr>
      <w:r>
        <w:rPr>
          <w:rtl/>
        </w:rPr>
        <w:t>24 حزيران/</w:t>
      </w:r>
      <w:proofErr w:type="gramStart"/>
      <w:r>
        <w:rPr>
          <w:rtl/>
        </w:rPr>
        <w:t>يونيه</w:t>
      </w:r>
      <w:proofErr w:type="gramEnd"/>
      <w:r>
        <w:rPr>
          <w:rtl/>
        </w:rPr>
        <w:t xml:space="preserve"> - 12 تموز/يوليه 2019</w:t>
      </w:r>
    </w:p>
    <w:p w:rsidR="00E75FD3" w:rsidRDefault="00E75FD3" w:rsidP="00E75FD3">
      <w:pPr>
        <w:pStyle w:val="SingleTxtGA"/>
        <w:spacing w:after="0"/>
        <w:ind w:left="0"/>
        <w:rPr>
          <w:rtl/>
        </w:rPr>
      </w:pPr>
      <w:r>
        <w:rPr>
          <w:rtl/>
        </w:rPr>
        <w:t>البند 3 من جدول الأعمال</w:t>
      </w:r>
    </w:p>
    <w:p w:rsidR="00E75FD3" w:rsidRDefault="00E75FD3" w:rsidP="00E75FD3">
      <w:pPr>
        <w:pStyle w:val="HChGA"/>
        <w:rPr>
          <w:rtl/>
        </w:rPr>
      </w:pPr>
      <w:r>
        <w:rPr>
          <w:rtl/>
        </w:rPr>
        <w:tab/>
      </w:r>
      <w:r>
        <w:rPr>
          <w:rtl/>
        </w:rPr>
        <w:tab/>
        <w:t>قرار اعتمده مجلس حقوق الإنسان في ١١ تموز/يوليه ٢٠١٩</w:t>
      </w:r>
    </w:p>
    <w:p w:rsidR="00E75FD3" w:rsidRDefault="00E75FD3" w:rsidP="00E75FD3">
      <w:pPr>
        <w:pStyle w:val="H1GA"/>
        <w:rPr>
          <w:rtl/>
        </w:rPr>
      </w:pPr>
      <w:r>
        <w:rPr>
          <w:rtl/>
        </w:rPr>
        <w:tab/>
      </w:r>
      <w:r>
        <w:rPr>
          <w:rtl/>
        </w:rPr>
        <w:t>٤١/١٢-</w:t>
      </w:r>
      <w:r>
        <w:rPr>
          <w:rtl/>
        </w:rPr>
        <w:tab/>
        <w:t>الحق في حرية التجمُّع السلمي وتكوين الجمعيات</w:t>
      </w:r>
    </w:p>
    <w:p w:rsidR="00E75FD3" w:rsidRPr="00E75FD3" w:rsidRDefault="00E75FD3" w:rsidP="000C17E3">
      <w:pPr>
        <w:pStyle w:val="SingleTxtGA"/>
        <w:spacing w:line="366" w:lineRule="exact"/>
        <w:rPr>
          <w:i/>
          <w:iCs/>
          <w:rtl/>
        </w:rPr>
      </w:pPr>
      <w:r w:rsidRPr="00E75FD3">
        <w:rPr>
          <w:i/>
          <w:iCs/>
          <w:rtl/>
        </w:rPr>
        <w:tab/>
        <w:t>إن مجلس حقوق الإنسان</w:t>
      </w:r>
      <w:r w:rsidRPr="00E75FD3">
        <w:rPr>
          <w:rFonts w:hint="cs"/>
          <w:i/>
          <w:iCs/>
          <w:rtl/>
        </w:rPr>
        <w:t>،</w:t>
      </w:r>
    </w:p>
    <w:p w:rsidR="00E75FD3" w:rsidRDefault="00E75FD3" w:rsidP="000C17E3">
      <w:pPr>
        <w:pStyle w:val="SingleTxtGA"/>
        <w:spacing w:line="366" w:lineRule="exact"/>
        <w:rPr>
          <w:rtl/>
        </w:rPr>
      </w:pPr>
      <w:r>
        <w:rPr>
          <w:rtl/>
        </w:rPr>
        <w:tab/>
      </w:r>
      <w:r w:rsidRPr="00E75FD3">
        <w:rPr>
          <w:i/>
          <w:iCs/>
          <w:rtl/>
        </w:rPr>
        <w:t>إذ يسترشد</w:t>
      </w:r>
      <w:r>
        <w:rPr>
          <w:rtl/>
        </w:rPr>
        <w:t xml:space="preserve"> بمقاصد ميثاق الأمم المتحدة ومبادئه،</w:t>
      </w:r>
    </w:p>
    <w:p w:rsidR="00E75FD3" w:rsidRDefault="00E75FD3" w:rsidP="000C17E3">
      <w:pPr>
        <w:pStyle w:val="SingleTxtGA"/>
        <w:spacing w:line="366" w:lineRule="exact"/>
        <w:rPr>
          <w:rtl/>
        </w:rPr>
      </w:pPr>
      <w:r>
        <w:rPr>
          <w:rtl/>
        </w:rPr>
        <w:tab/>
      </w:r>
      <w:dir w:val="rtl">
        <w:r w:rsidRPr="00E75FD3">
          <w:rPr>
            <w:rFonts w:ascii="Traditional Arabic" w:hAnsi="Traditional Arabic" w:hint="cs"/>
            <w:i/>
            <w:iCs/>
            <w:rtl/>
          </w:rPr>
          <w:t>وإذ</w:t>
        </w:r>
        <w:r w:rsidRPr="00E75FD3">
          <w:rPr>
            <w:i/>
            <w:iCs/>
            <w:rtl/>
          </w:rPr>
          <w:t xml:space="preserve"> </w:t>
        </w:r>
        <w:r w:rsidRPr="00E75FD3">
          <w:rPr>
            <w:rFonts w:ascii="Traditional Arabic" w:hAnsi="Traditional Arabic" w:hint="cs"/>
            <w:i/>
            <w:iCs/>
            <w:rtl/>
          </w:rPr>
          <w:t>يشير</w:t>
        </w:r>
        <w:r>
          <w:rPr>
            <w:rtl/>
          </w:rPr>
          <w:t xml:space="preserve"> </w:t>
        </w:r>
        <w:r>
          <w:rPr>
            <w:rFonts w:ascii="Traditional Arabic" w:hAnsi="Traditional Arabic" w:hint="cs"/>
            <w:rtl/>
          </w:rPr>
          <w:t>إلى</w:t>
        </w:r>
        <w:r>
          <w:rPr>
            <w:rtl/>
          </w:rPr>
          <w:t xml:space="preserve"> </w:t>
        </w:r>
        <w:r>
          <w:rPr>
            <w:rFonts w:ascii="Traditional Arabic" w:hAnsi="Traditional Arabic" w:hint="cs"/>
            <w:rtl/>
          </w:rPr>
          <w:t>الإعلان</w:t>
        </w:r>
        <w:r>
          <w:rPr>
            <w:rtl/>
          </w:rPr>
          <w:t xml:space="preserve"> </w:t>
        </w:r>
        <w:r>
          <w:rPr>
            <w:rFonts w:ascii="Traditional Arabic" w:hAnsi="Traditional Arabic" w:hint="cs"/>
            <w:rtl/>
          </w:rPr>
          <w:t>العالمي</w:t>
        </w:r>
        <w:r>
          <w:rPr>
            <w:rtl/>
          </w:rPr>
          <w:t xml:space="preserve"> </w:t>
        </w:r>
        <w:r>
          <w:rPr>
            <w:rFonts w:ascii="Traditional Arabic" w:hAnsi="Traditional Arabic" w:hint="cs"/>
            <w:rtl/>
          </w:rPr>
          <w:t>لحقوق</w:t>
        </w:r>
        <w:r>
          <w:rPr>
            <w:rtl/>
          </w:rPr>
          <w:t xml:space="preserve"> </w:t>
        </w:r>
        <w:r>
          <w:rPr>
            <w:rFonts w:ascii="Traditional Arabic" w:hAnsi="Traditional Arabic" w:hint="cs"/>
            <w:rtl/>
          </w:rPr>
          <w:t>الإنسان،</w:t>
        </w:r>
        <w:r>
          <w:rPr>
            <w:rtl/>
          </w:rPr>
          <w:t xml:space="preserve"> </w:t>
        </w:r>
        <w:r>
          <w:rPr>
            <w:rFonts w:ascii="Traditional Arabic" w:hAnsi="Traditional Arabic" w:hint="cs"/>
            <w:rtl/>
          </w:rPr>
          <w:t>والعهد</w:t>
        </w:r>
        <w:r>
          <w:rPr>
            <w:rtl/>
          </w:rPr>
          <w:t xml:space="preserve"> </w:t>
        </w:r>
        <w:r>
          <w:rPr>
            <w:rFonts w:ascii="Traditional Arabic" w:hAnsi="Traditional Arabic" w:hint="cs"/>
            <w:rtl/>
          </w:rPr>
          <w:t>الدولي</w:t>
        </w:r>
        <w:r>
          <w:rPr>
            <w:rtl/>
          </w:rPr>
          <w:t xml:space="preserve"> </w:t>
        </w:r>
        <w:r>
          <w:rPr>
            <w:rFonts w:ascii="Traditional Arabic" w:hAnsi="Traditional Arabic" w:hint="cs"/>
            <w:rtl/>
          </w:rPr>
          <w:t>الخاص</w:t>
        </w:r>
        <w:r>
          <w:rPr>
            <w:rtl/>
          </w:rPr>
          <w:t xml:space="preserve"> </w:t>
        </w:r>
        <w:r>
          <w:rPr>
            <w:rFonts w:ascii="Traditional Arabic" w:hAnsi="Traditional Arabic" w:hint="cs"/>
            <w:rtl/>
          </w:rPr>
          <w:t>بالحقوق</w:t>
        </w:r>
        <w:r>
          <w:rPr>
            <w:rtl/>
          </w:rPr>
          <w:t xml:space="preserve"> </w:t>
        </w:r>
        <w:r>
          <w:rPr>
            <w:rFonts w:ascii="Traditional Arabic" w:hAnsi="Traditional Arabic" w:hint="cs"/>
            <w:rtl/>
          </w:rPr>
          <w:t>المد</w:t>
        </w:r>
        <w:r>
          <w:rPr>
            <w:rtl/>
          </w:rPr>
          <w:t xml:space="preserve">نية والسياسية، والعهد الدولي الخاص بالحقوق الاقتصادية والاجتماعية والثقافية، وغير ذلك من صكوك حقوق الإنسان ذات </w:t>
        </w:r>
        <w:proofErr w:type="gramStart"/>
        <w:r>
          <w:rPr>
            <w:rtl/>
          </w:rPr>
          <w:t>الصلة،</w:t>
        </w:r>
        <w:r>
          <w:rPr>
            <w:rFonts w:ascii="Arial" w:hAnsi="Arial" w:cs="Arial" w:hint="cs"/>
            <w:rtl/>
          </w:rPr>
          <w:t>‬</w:t>
        </w:r>
        <w:r>
          <w:rPr>
            <w:rFonts w:ascii="Arial" w:hAnsi="Arial" w:cs="Arial" w:hint="cs"/>
            <w:rtl/>
          </w:rPr>
          <w:t>‬</w:t>
        </w:r>
        <w:proofErr w:type="gramEnd"/>
      </w:dir>
    </w:p>
    <w:p w:rsidR="00E75FD3" w:rsidRDefault="00E75FD3" w:rsidP="000C17E3">
      <w:pPr>
        <w:pStyle w:val="SingleTxtGA"/>
        <w:spacing w:line="366" w:lineRule="exact"/>
        <w:rPr>
          <w:rtl/>
        </w:rPr>
      </w:pPr>
      <w:r>
        <w:rPr>
          <w:rtl/>
        </w:rPr>
        <w:tab/>
      </w:r>
      <w:r w:rsidRPr="000C17E3">
        <w:rPr>
          <w:i/>
          <w:iCs/>
          <w:rtl/>
        </w:rPr>
        <w:t>وإذ يؤكد من جديد</w:t>
      </w:r>
      <w:r w:rsidRPr="000C17E3">
        <w:rPr>
          <w:rtl/>
        </w:rPr>
        <w:t xml:space="preserve"> قرارات مجلس حقوق الإنسان 15/21 المؤرخ 30 أيلول</w:t>
      </w:r>
      <w:r w:rsidR="000C17E3" w:rsidRPr="000C17E3">
        <w:rPr>
          <w:rtl/>
        </w:rPr>
        <w:t>/</w:t>
      </w:r>
      <w:r w:rsidR="000C17E3">
        <w:rPr>
          <w:rFonts w:hint="cs"/>
          <w:rtl/>
        </w:rPr>
        <w:t xml:space="preserve">   </w:t>
      </w:r>
      <w:r w:rsidRPr="000C17E3">
        <w:rPr>
          <w:rtl/>
        </w:rPr>
        <w:t>سبتمبر 2010</w:t>
      </w:r>
      <w:r>
        <w:rPr>
          <w:rtl/>
        </w:rPr>
        <w:t xml:space="preserve"> و21/16 المؤرخ 27 أيلول/سبتمبر 2012 و24/5 المؤرخ 26 أيلول</w:t>
      </w:r>
      <w:r w:rsidR="000C17E3">
        <w:rPr>
          <w:rtl/>
        </w:rPr>
        <w:t>/</w:t>
      </w:r>
      <w:r w:rsidR="000C17E3">
        <w:rPr>
          <w:rFonts w:hint="cs"/>
          <w:rtl/>
        </w:rPr>
        <w:t xml:space="preserve">        </w:t>
      </w:r>
      <w:r>
        <w:rPr>
          <w:rtl/>
        </w:rPr>
        <w:t xml:space="preserve">سبتمبر 2013 و32/32 المؤرخ 1 تموز/يوليه 2016، وإذ يشير إلى قرارات المجلس 22/10 </w:t>
      </w:r>
      <w:r w:rsidRPr="000C17E3">
        <w:rPr>
          <w:spacing w:val="-4"/>
          <w:rtl/>
        </w:rPr>
        <w:t>المؤرخ 21 آذار/</w:t>
      </w:r>
      <w:r w:rsidR="000C17E3" w:rsidRPr="000C17E3">
        <w:rPr>
          <w:rFonts w:hint="cs"/>
          <w:spacing w:val="-4"/>
          <w:rtl/>
        </w:rPr>
        <w:t xml:space="preserve"> </w:t>
      </w:r>
      <w:r w:rsidRPr="000C17E3">
        <w:rPr>
          <w:spacing w:val="-4"/>
          <w:rtl/>
        </w:rPr>
        <w:t>مارس 2013، و25/38 المؤرخ 28 آذار/مارس 2014 و26/13 المؤرخ 26</w:t>
      </w:r>
      <w:r>
        <w:rPr>
          <w:rtl/>
        </w:rPr>
        <w:t xml:space="preserve"> حزيران/</w:t>
      </w:r>
      <w:proofErr w:type="gramStart"/>
      <w:r>
        <w:rPr>
          <w:rtl/>
        </w:rPr>
        <w:t>يونيه</w:t>
      </w:r>
      <w:proofErr w:type="gramEnd"/>
      <w:r>
        <w:rPr>
          <w:rtl/>
        </w:rPr>
        <w:t xml:space="preserve"> 2014، والقرارات ذات الصلة الصادرة عن لجنة حقوق الإنسان،</w:t>
      </w:r>
    </w:p>
    <w:p w:rsidR="00E75FD3" w:rsidRDefault="00E75FD3" w:rsidP="000C17E3">
      <w:pPr>
        <w:pStyle w:val="SingleTxtGA"/>
        <w:spacing w:line="366" w:lineRule="exact"/>
        <w:rPr>
          <w:rtl/>
        </w:rPr>
      </w:pPr>
      <w:r>
        <w:rPr>
          <w:rtl/>
        </w:rPr>
        <w:tab/>
      </w:r>
      <w:r w:rsidRPr="00E75FD3">
        <w:rPr>
          <w:i/>
          <w:iCs/>
          <w:rtl/>
        </w:rPr>
        <w:t>وإذ يشير</w:t>
      </w:r>
      <w:r>
        <w:rPr>
          <w:rtl/>
        </w:rPr>
        <w:t xml:space="preserve"> إلى قراري مجلس حقوق الإنسان 5/1 المتعلق ببناء مؤسسات المجلس و5/2 </w:t>
      </w:r>
      <w:r w:rsidRPr="000C17E3">
        <w:rPr>
          <w:spacing w:val="-4"/>
          <w:rtl/>
        </w:rPr>
        <w:t>المتعلق بمدونة قواعد السلوك للمكلفين بولايات في إطار الإجراءات الخاصة للمجلس المؤرخين 18</w:t>
      </w:r>
      <w:r>
        <w:rPr>
          <w:rtl/>
        </w:rPr>
        <w:t xml:space="preserve"> حزيران/</w:t>
      </w:r>
      <w:proofErr w:type="gramStart"/>
      <w:r>
        <w:rPr>
          <w:rtl/>
        </w:rPr>
        <w:t>يونيه</w:t>
      </w:r>
      <w:proofErr w:type="gramEnd"/>
      <w:r>
        <w:rPr>
          <w:rtl/>
        </w:rPr>
        <w:t xml:space="preserve"> 2007،</w:t>
      </w:r>
    </w:p>
    <w:p w:rsidR="00E75FD3" w:rsidRPr="000C17E3" w:rsidRDefault="00E75FD3" w:rsidP="000C17E3">
      <w:pPr>
        <w:pStyle w:val="SingleTxtGA"/>
        <w:spacing w:line="366" w:lineRule="exact"/>
        <w:rPr>
          <w:spacing w:val="-4"/>
          <w:rtl/>
        </w:rPr>
      </w:pPr>
      <w:r w:rsidRPr="000C17E3">
        <w:rPr>
          <w:spacing w:val="-4"/>
          <w:rtl/>
        </w:rPr>
        <w:tab/>
      </w:r>
      <w:r w:rsidRPr="000C17E3">
        <w:rPr>
          <w:i/>
          <w:iCs/>
          <w:spacing w:val="-4"/>
          <w:rtl/>
        </w:rPr>
        <w:t>وإذ يسلّم</w:t>
      </w:r>
      <w:r w:rsidRPr="000C17E3">
        <w:rPr>
          <w:spacing w:val="-4"/>
          <w:rtl/>
        </w:rPr>
        <w:t xml:space="preserve"> بأن الممارسة الفعلية للحق في حرية التجمع السلمي وتكوين الجمعيات، المكرّسة في العهد الدولي الخاص بالحقوق المدنية والسياسية والإعلان العالمي لحقوق الإنسان، جوهريةٌ للتمتع بسائر حقوق الإنسان والحريات، ودعامةٌ أساسية لإقامة مجتمع ديمقراطي ولتعزيز الديمقراطية، وإذ</w:t>
      </w:r>
      <w:r w:rsidR="000C17E3">
        <w:rPr>
          <w:rFonts w:hint="cs"/>
          <w:spacing w:val="-4"/>
          <w:rtl/>
        </w:rPr>
        <w:t> </w:t>
      </w:r>
      <w:r w:rsidRPr="000C17E3">
        <w:rPr>
          <w:spacing w:val="-4"/>
          <w:rtl/>
        </w:rPr>
        <w:t>يضع في اعتباره أن حقوق الإنسان جميعها عالمية وغير قابلة للتجزئة ومترابطة ومتشابكة،</w:t>
      </w:r>
    </w:p>
    <w:p w:rsidR="00E75FD3" w:rsidRDefault="00E75FD3" w:rsidP="000C17E3">
      <w:pPr>
        <w:pStyle w:val="SingleTxtGA"/>
        <w:spacing w:line="366" w:lineRule="exact"/>
        <w:rPr>
          <w:rtl/>
        </w:rPr>
      </w:pPr>
      <w:r>
        <w:rPr>
          <w:rtl/>
        </w:rPr>
        <w:tab/>
      </w:r>
      <w:r w:rsidRPr="00E75FD3">
        <w:rPr>
          <w:i/>
          <w:iCs/>
          <w:rtl/>
        </w:rPr>
        <w:t>وإذ يدرك</w:t>
      </w:r>
      <w:r>
        <w:rPr>
          <w:rtl/>
        </w:rPr>
        <w:t xml:space="preserve"> الأهمية البالغة لمشاركة المجتمع المدني بنشاط في عمليات الإدارة التي تؤثر في حياة الناس،</w:t>
      </w:r>
    </w:p>
    <w:p w:rsidR="00E75FD3" w:rsidRDefault="00E75FD3" w:rsidP="00E75FD3">
      <w:pPr>
        <w:pStyle w:val="SingleTxtGA"/>
        <w:rPr>
          <w:rtl/>
        </w:rPr>
      </w:pPr>
      <w:r>
        <w:rPr>
          <w:i/>
          <w:iCs/>
          <w:rtl/>
        </w:rPr>
        <w:lastRenderedPageBreak/>
        <w:tab/>
      </w:r>
      <w:r w:rsidRPr="000C17E3">
        <w:rPr>
          <w:i/>
          <w:iCs/>
          <w:spacing w:val="-5"/>
          <w:rtl/>
        </w:rPr>
        <w:t>وإذ يحيط علماً</w:t>
      </w:r>
      <w:r w:rsidRPr="000C17E3">
        <w:rPr>
          <w:spacing w:val="-5"/>
          <w:rtl/>
        </w:rPr>
        <w:t xml:space="preserve"> بتقرير المقرر الخاص المعني بالحق في حرية التجمع السلمي وتكوين الجمعيات</w:t>
      </w:r>
      <w:r>
        <w:rPr>
          <w:rtl/>
        </w:rPr>
        <w:t xml:space="preserve"> المقدم إلى مجلس حقوق الإنسان في دورته الحادية </w:t>
      </w:r>
      <w:proofErr w:type="gramStart"/>
      <w:r>
        <w:rPr>
          <w:rtl/>
        </w:rPr>
        <w:t>والأربعين</w:t>
      </w:r>
      <w:r w:rsidR="00E45898">
        <w:rPr>
          <w:vertAlign w:val="superscript"/>
          <w:rtl/>
        </w:rPr>
        <w:t>(</w:t>
      </w:r>
      <w:proofErr w:type="gramEnd"/>
      <w:r w:rsidR="00E45898">
        <w:rPr>
          <w:rStyle w:val="FootnoteReference"/>
          <w:rtl/>
        </w:rPr>
        <w:footnoteReference w:id="1"/>
      </w:r>
      <w:r w:rsidR="00E45898">
        <w:rPr>
          <w:vertAlign w:val="superscript"/>
          <w:rtl/>
        </w:rPr>
        <w:t>)</w:t>
      </w:r>
      <w:r>
        <w:rPr>
          <w:rtl/>
        </w:rPr>
        <w:t xml:space="preserve">، </w:t>
      </w:r>
    </w:p>
    <w:p w:rsidR="00E75FD3" w:rsidRDefault="00E75FD3" w:rsidP="00E75FD3">
      <w:pPr>
        <w:pStyle w:val="SingleTxtGA"/>
        <w:rPr>
          <w:rtl/>
        </w:rPr>
      </w:pPr>
      <w:r>
        <w:rPr>
          <w:i/>
          <w:iCs/>
          <w:rtl/>
        </w:rPr>
        <w:tab/>
      </w:r>
      <w:r w:rsidRPr="00E75FD3">
        <w:rPr>
          <w:i/>
          <w:iCs/>
          <w:rtl/>
        </w:rPr>
        <w:t>وإذ يسلم</w:t>
      </w:r>
      <w:r>
        <w:rPr>
          <w:rtl/>
        </w:rPr>
        <w:t xml:space="preserve"> بقيمة ممارسة الحق في حرية التجمع السلمي وفي تكوين الجمعيات، التي تتيح مشاركة وتعبئة جميع أصحاب المصلحة دعماً لتنفيذ خطة التنمية المستدامة لعام ٢٠٣٠،</w:t>
      </w:r>
    </w:p>
    <w:p w:rsidR="00E75FD3" w:rsidRDefault="00E75FD3" w:rsidP="00E75FD3">
      <w:pPr>
        <w:pStyle w:val="SingleTxtGA"/>
        <w:rPr>
          <w:rtl/>
        </w:rPr>
      </w:pPr>
      <w:r w:rsidRPr="000C17E3">
        <w:rPr>
          <w:i/>
          <w:iCs/>
          <w:spacing w:val="-4"/>
          <w:rtl/>
        </w:rPr>
        <w:tab/>
      </w:r>
      <w:r w:rsidRPr="000C17E3">
        <w:rPr>
          <w:i/>
          <w:iCs/>
          <w:spacing w:val="-4"/>
          <w:rtl/>
        </w:rPr>
        <w:t>وإذ يسلم أيضاً</w:t>
      </w:r>
      <w:r w:rsidRPr="000C17E3">
        <w:rPr>
          <w:spacing w:val="-4"/>
          <w:rtl/>
        </w:rPr>
        <w:t xml:space="preserve"> بالتحديات التي تواجه التمتع بالحق في حرية التجمع السلمي وفي تكوين الجمعيات، وبضرورة مواصلة رصد هذه التحديات والمساعدة في التغلب عليها، ولا سيما عن</w:t>
      </w:r>
      <w:r>
        <w:rPr>
          <w:rtl/>
        </w:rPr>
        <w:t xml:space="preserve"> طريق تقديم التعاون التقني أو بناء القدرات بناءً على طلب الدول،</w:t>
      </w:r>
    </w:p>
    <w:p w:rsidR="00E75FD3" w:rsidRDefault="00E75FD3" w:rsidP="00E75FD3">
      <w:pPr>
        <w:pStyle w:val="SingleTxtGA"/>
        <w:rPr>
          <w:rtl/>
        </w:rPr>
      </w:pPr>
      <w:r>
        <w:rPr>
          <w:rtl/>
        </w:rPr>
        <w:tab/>
      </w:r>
      <w:r>
        <w:rPr>
          <w:rtl/>
        </w:rPr>
        <w:t>١-</w:t>
      </w:r>
      <w:r>
        <w:rPr>
          <w:rtl/>
        </w:rPr>
        <w:tab/>
      </w:r>
      <w:r w:rsidRPr="00E75FD3">
        <w:rPr>
          <w:i/>
          <w:iCs/>
          <w:rtl/>
        </w:rPr>
        <w:t>يقرر</w:t>
      </w:r>
      <w:r>
        <w:rPr>
          <w:rtl/>
        </w:rPr>
        <w:t xml:space="preserve"> تمديد ولاية المقرر الخاص المعني بالحق في حرية التجمع السلمي وتكوين </w:t>
      </w:r>
      <w:r w:rsidRPr="00685657">
        <w:rPr>
          <w:spacing w:val="-5"/>
          <w:rtl/>
        </w:rPr>
        <w:t>الجمعيات، على النحو الذي أُنشئت به في قرار مجلس حقوق الإنسان 15/21، لمدة ثلاث سنوات؛</w:t>
      </w:r>
    </w:p>
    <w:p w:rsidR="00E75FD3" w:rsidRDefault="00E75FD3" w:rsidP="00E75FD3">
      <w:pPr>
        <w:pStyle w:val="SingleTxtGA"/>
        <w:rPr>
          <w:rtl/>
        </w:rPr>
      </w:pPr>
      <w:r>
        <w:rPr>
          <w:rtl/>
        </w:rPr>
        <w:tab/>
      </w:r>
      <w:r>
        <w:rPr>
          <w:rtl/>
        </w:rPr>
        <w:t>٢-</w:t>
      </w:r>
      <w:r>
        <w:rPr>
          <w:rtl/>
        </w:rPr>
        <w:tab/>
      </w:r>
      <w:r w:rsidRPr="00E75FD3">
        <w:rPr>
          <w:i/>
          <w:iCs/>
          <w:rtl/>
        </w:rPr>
        <w:t>يهيب</w:t>
      </w:r>
      <w:r>
        <w:rPr>
          <w:rtl/>
        </w:rPr>
        <w:t xml:space="preserve"> بجميع الدول أن تستمر في التعاون الكامل مع المقرِّر الخاص وتساعده على الاضطلاع بولايته، وأن تستجيب فوراً لما يوجِّهه من نداءاتٍ عاجلة وغيرها من بلاغات، وأن تنظر بإيجابية في طلبات الزيارة التي يقدمها وتولي الاهتمام الواجب لتنفيذ التوصيات التي يقدمها المكلف بالولاية في تقاريره؛ </w:t>
      </w:r>
      <w:r>
        <w:rPr>
          <w:rFonts w:ascii="Arial" w:hAnsi="Arial" w:cs="Arial" w:hint="cs"/>
          <w:rtl/>
        </w:rPr>
        <w:t>‬</w:t>
      </w:r>
    </w:p>
    <w:p w:rsidR="00E75FD3" w:rsidRDefault="00E75FD3" w:rsidP="00E75FD3">
      <w:pPr>
        <w:pStyle w:val="SingleTxtGA"/>
        <w:rPr>
          <w:rtl/>
        </w:rPr>
      </w:pPr>
      <w:r>
        <w:rPr>
          <w:rtl/>
        </w:rPr>
        <w:tab/>
      </w:r>
      <w:r>
        <w:rPr>
          <w:rtl/>
        </w:rPr>
        <w:t>٣-</w:t>
      </w:r>
      <w:r>
        <w:rPr>
          <w:rtl/>
        </w:rPr>
        <w:tab/>
      </w:r>
      <w:r w:rsidRPr="00E75FD3">
        <w:rPr>
          <w:i/>
          <w:iCs/>
          <w:rtl/>
        </w:rPr>
        <w:t>يطلب</w:t>
      </w:r>
      <w:r>
        <w:rPr>
          <w:rtl/>
        </w:rPr>
        <w:t xml:space="preserve"> </w:t>
      </w:r>
      <w:r w:rsidRPr="00685657">
        <w:rPr>
          <w:spacing w:val="-5"/>
          <w:rtl/>
        </w:rPr>
        <w:t>إلى المقرر الخاص أن يواصل تقديم تقارير سنوية إلى مجلس حقوق الإنسان</w:t>
      </w:r>
      <w:r>
        <w:rPr>
          <w:rtl/>
        </w:rPr>
        <w:t xml:space="preserve"> وإلى الجمعية العامة؛</w:t>
      </w:r>
    </w:p>
    <w:p w:rsidR="00E75FD3" w:rsidRDefault="00E75FD3" w:rsidP="00E75FD3">
      <w:pPr>
        <w:pStyle w:val="SingleTxtGA"/>
        <w:rPr>
          <w:rtl/>
        </w:rPr>
      </w:pPr>
      <w:r>
        <w:rPr>
          <w:rtl/>
        </w:rPr>
        <w:tab/>
      </w:r>
      <w:r>
        <w:rPr>
          <w:rtl/>
        </w:rPr>
        <w:t>٤-</w:t>
      </w:r>
      <w:r>
        <w:rPr>
          <w:rtl/>
        </w:rPr>
        <w:tab/>
      </w:r>
      <w:r w:rsidRPr="00E75FD3">
        <w:rPr>
          <w:i/>
          <w:iCs/>
          <w:rtl/>
        </w:rPr>
        <w:t>يطلب</w:t>
      </w:r>
      <w:r>
        <w:rPr>
          <w:rtl/>
        </w:rPr>
        <w:t xml:space="preserve"> إلى الأمين العام أن يقدم إلى المقرر الخاص ما يلزمه من مساعدة لإنجاز ولايته، لا سيما بوضع ما يكفي من الموارد البشرية والمادية تحت تصرفه؛</w:t>
      </w:r>
    </w:p>
    <w:p w:rsidR="00E75FD3" w:rsidRDefault="00E75FD3" w:rsidP="00E75FD3">
      <w:pPr>
        <w:pStyle w:val="SingleTxtGA"/>
        <w:rPr>
          <w:rtl/>
        </w:rPr>
      </w:pPr>
      <w:r>
        <w:rPr>
          <w:rtl/>
        </w:rPr>
        <w:tab/>
      </w:r>
      <w:r>
        <w:rPr>
          <w:rtl/>
        </w:rPr>
        <w:t>٥-</w:t>
      </w:r>
      <w:r>
        <w:rPr>
          <w:rtl/>
        </w:rPr>
        <w:tab/>
      </w:r>
      <w:r w:rsidRPr="00E75FD3">
        <w:rPr>
          <w:i/>
          <w:iCs/>
          <w:rtl/>
        </w:rPr>
        <w:t>يقرِّر</w:t>
      </w:r>
      <w:r>
        <w:rPr>
          <w:rtl/>
        </w:rPr>
        <w:t xml:space="preserve"> </w:t>
      </w:r>
      <w:r w:rsidRPr="00685657">
        <w:rPr>
          <w:spacing w:val="-5"/>
          <w:rtl/>
        </w:rPr>
        <w:t xml:space="preserve">أن يواصل نظره في مسألة الحق في حرية التجمع السلمي وتكوين الجمعيات </w:t>
      </w:r>
      <w:r>
        <w:rPr>
          <w:rtl/>
        </w:rPr>
        <w:t>وفقاً لبرنامج عمله.</w:t>
      </w:r>
    </w:p>
    <w:p w:rsidR="00E75FD3" w:rsidRPr="00E75FD3" w:rsidRDefault="00E75FD3" w:rsidP="00E75FD3">
      <w:pPr>
        <w:pStyle w:val="SingleTxtGA"/>
        <w:jc w:val="right"/>
        <w:rPr>
          <w:i/>
          <w:iCs/>
          <w:rtl/>
        </w:rPr>
      </w:pPr>
      <w:r w:rsidRPr="00E75FD3">
        <w:rPr>
          <w:i/>
          <w:iCs/>
          <w:rtl/>
        </w:rPr>
        <w:t>الجلسة 39</w:t>
      </w:r>
      <w:r w:rsidRPr="00E75FD3">
        <w:rPr>
          <w:i/>
          <w:iCs/>
          <w:rtl/>
        </w:rPr>
        <w:br/>
      </w:r>
      <w:r w:rsidRPr="00E75FD3">
        <w:rPr>
          <w:i/>
          <w:iCs/>
          <w:rtl/>
        </w:rPr>
        <w:t>11 تموز/يوليه 2019</w:t>
      </w:r>
    </w:p>
    <w:p w:rsidR="00E75FD3" w:rsidRDefault="00E75FD3" w:rsidP="00E75FD3">
      <w:pPr>
        <w:pStyle w:val="SingleTxtGA"/>
        <w:rPr>
          <w:rtl/>
        </w:rPr>
      </w:pPr>
      <w:r>
        <w:rPr>
          <w:rtl/>
        </w:rPr>
        <w:t>[اعتُمد دون تصويت</w:t>
      </w:r>
      <w:r>
        <w:rPr>
          <w:rFonts w:hint="cs"/>
          <w:rtl/>
        </w:rPr>
        <w:t>.</w:t>
      </w:r>
      <w:r>
        <w:rPr>
          <w:rtl/>
        </w:rPr>
        <w:t>]</w:t>
      </w:r>
    </w:p>
    <w:p w:rsidR="00E75FD3" w:rsidRPr="00E75FD3" w:rsidRDefault="00E75FD3" w:rsidP="00E75FD3">
      <w:pPr>
        <w:spacing w:before="120"/>
        <w:jc w:val="center"/>
        <w:rPr>
          <w:rFonts w:hint="cs"/>
          <w:u w:val="single"/>
          <w:rtl/>
        </w:rPr>
      </w:pPr>
      <w:r>
        <w:rPr>
          <w:u w:val="single"/>
          <w:rtl/>
        </w:rPr>
        <w:tab/>
      </w:r>
      <w:r>
        <w:rPr>
          <w:u w:val="single"/>
          <w:rtl/>
        </w:rPr>
        <w:tab/>
      </w:r>
      <w:r>
        <w:rPr>
          <w:u w:val="single"/>
          <w:rtl/>
        </w:rPr>
        <w:tab/>
      </w:r>
    </w:p>
    <w:sectPr w:rsidR="00E75FD3" w:rsidRPr="00E75FD3" w:rsidSect="0069155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C9C" w:rsidRPr="002901D9" w:rsidRDefault="00497C9C" w:rsidP="002901D9">
      <w:pPr>
        <w:spacing w:after="60" w:line="240" w:lineRule="auto"/>
        <w:rPr>
          <w:i/>
          <w:iCs/>
        </w:rPr>
      </w:pPr>
      <w:r>
        <w:rPr>
          <w:rFonts w:hint="cs"/>
          <w:i/>
          <w:iCs/>
          <w:rtl/>
        </w:rPr>
        <w:t>الحواشي</w:t>
      </w:r>
    </w:p>
  </w:endnote>
  <w:endnote w:type="continuationSeparator" w:id="0">
    <w:p w:rsidR="00497C9C" w:rsidRDefault="00497C9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552" w:rsidRPr="00E75FD3" w:rsidRDefault="00E75FD3" w:rsidP="00E75FD3">
    <w:pPr>
      <w:pStyle w:val="Footer"/>
      <w:tabs>
        <w:tab w:val="right" w:pos="9598"/>
      </w:tabs>
      <w:rPr>
        <w:sz w:val="17"/>
      </w:rPr>
    </w:pPr>
    <w:r>
      <w:rPr>
        <w:sz w:val="17"/>
      </w:rPr>
      <w:t>GE.19-12332</w:t>
    </w:r>
    <w:r>
      <w:rPr>
        <w:sz w:val="17"/>
      </w:rPr>
      <w:tab/>
    </w:r>
    <w:r w:rsidRPr="00E75FD3">
      <w:rPr>
        <w:b/>
        <w:sz w:val="18"/>
      </w:rPr>
      <w:fldChar w:fldCharType="begin"/>
    </w:r>
    <w:r w:rsidRPr="00E75FD3">
      <w:rPr>
        <w:b/>
        <w:sz w:val="18"/>
      </w:rPr>
      <w:instrText xml:space="preserve"> PAGE  \* MERGEFORMAT </w:instrText>
    </w:r>
    <w:r w:rsidRPr="00E75FD3">
      <w:rPr>
        <w:b/>
        <w:sz w:val="18"/>
      </w:rPr>
      <w:fldChar w:fldCharType="separate"/>
    </w:r>
    <w:r>
      <w:rPr>
        <w:b/>
        <w:sz w:val="18"/>
      </w:rPr>
      <w:t>2</w:t>
    </w:r>
    <w:r w:rsidRPr="00E75FD3">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E75FD3" w:rsidRDefault="00E75FD3" w:rsidP="006959B0">
    <w:pPr>
      <w:pStyle w:val="Footer"/>
      <w:tabs>
        <w:tab w:val="right" w:pos="9599"/>
      </w:tabs>
      <w:jc w:val="left"/>
      <w:rPr>
        <w:b/>
        <w:sz w:val="18"/>
        <w:lang w:val="en-US"/>
      </w:rPr>
    </w:pPr>
    <w:r w:rsidRPr="00E75FD3">
      <w:rPr>
        <w:b/>
        <w:sz w:val="18"/>
        <w:lang w:val="en-US"/>
      </w:rPr>
      <w:fldChar w:fldCharType="begin"/>
    </w:r>
    <w:r w:rsidRPr="00E75FD3">
      <w:rPr>
        <w:b/>
        <w:sz w:val="18"/>
        <w:lang w:val="en-US"/>
      </w:rPr>
      <w:instrText xml:space="preserve"> PAGE  \* MERGEFORMAT </w:instrText>
    </w:r>
    <w:r w:rsidRPr="00E75FD3">
      <w:rPr>
        <w:b/>
        <w:sz w:val="18"/>
        <w:lang w:val="en-US"/>
      </w:rPr>
      <w:fldChar w:fldCharType="separate"/>
    </w:r>
    <w:r w:rsidRPr="00E75FD3">
      <w:rPr>
        <w:b/>
        <w:noProof/>
        <w:sz w:val="18"/>
        <w:lang w:val="en-US"/>
      </w:rPr>
      <w:t>3</w:t>
    </w:r>
    <w:r w:rsidRPr="00E75FD3">
      <w:rPr>
        <w:b/>
        <w:sz w:val="18"/>
        <w:lang w:val="en-US"/>
      </w:rPr>
      <w:fldChar w:fldCharType="end"/>
    </w:r>
    <w:r>
      <w:rPr>
        <w:b/>
        <w:sz w:val="18"/>
        <w:lang w:val="en-US"/>
      </w:rPr>
      <w:tab/>
    </w:r>
    <w:r>
      <w:rPr>
        <w:sz w:val="17"/>
        <w:lang w:val="en-US"/>
      </w:rPr>
      <w:t>GE.19-12332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C9" w:rsidRDefault="00691552" w:rsidP="00F6741C">
    <w:pPr>
      <w:pStyle w:val="Footer"/>
      <w:spacing w:before="360"/>
      <w:jc w:val="right"/>
      <w:rPr>
        <w:sz w:val="20"/>
        <w:szCs w:val="20"/>
      </w:rPr>
    </w:pPr>
    <w:r>
      <w:rPr>
        <w:sz w:val="20"/>
        <w:szCs w:val="20"/>
      </w:rPr>
      <w:t>GE.19-12332</w:t>
    </w:r>
    <w:r w:rsidR="00FD4BC9">
      <w:rPr>
        <w:noProof/>
        <w:lang w:val="en-US"/>
      </w:rPr>
      <w:drawing>
        <wp:anchor distT="0" distB="0" distL="114300" distR="114300" simplePos="0" relativeHeight="251665408" behindDoc="1" locked="1" layoutInCell="0" allowOverlap="1" wp14:anchorId="3B4013A3" wp14:editId="243E316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691552" w:rsidRPr="00691552" w:rsidRDefault="00691552" w:rsidP="00691552">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C9C" w:rsidRPr="0054762C" w:rsidRDefault="00497C9C" w:rsidP="000E524A">
      <w:pPr>
        <w:pStyle w:val="Footer"/>
        <w:bidi/>
        <w:spacing w:after="80" w:line="200" w:lineRule="exact"/>
        <w:ind w:left="680"/>
      </w:pPr>
      <w:r>
        <w:rPr>
          <w:rtl/>
        </w:rPr>
        <w:t>__________</w:t>
      </w:r>
    </w:p>
  </w:footnote>
  <w:footnote w:type="continuationSeparator" w:id="0">
    <w:p w:rsidR="00497C9C" w:rsidRDefault="00497C9C" w:rsidP="00656392">
      <w:pPr>
        <w:spacing w:line="240" w:lineRule="auto"/>
      </w:pPr>
      <w:r>
        <w:continuationSeparator/>
      </w:r>
    </w:p>
  </w:footnote>
  <w:footnote w:id="1">
    <w:p w:rsidR="00E45898" w:rsidRPr="00E45898" w:rsidRDefault="00E45898" w:rsidP="00E45898">
      <w:pPr>
        <w:pStyle w:val="FootnoteText1"/>
        <w:spacing w:line="240" w:lineRule="exact"/>
        <w:rPr>
          <w:rFonts w:hint="cs"/>
        </w:rPr>
      </w:pPr>
      <w:r w:rsidRPr="00E45898">
        <w:rPr>
          <w:rtl/>
        </w:rPr>
        <w:t>(</w:t>
      </w:r>
      <w:r w:rsidRPr="00E45898">
        <w:rPr>
          <w:rStyle w:val="FootnoteReference"/>
          <w:vertAlign w:val="baseline"/>
        </w:rPr>
        <w:footnoteRef/>
      </w:r>
      <w:r>
        <w:rPr>
          <w:sz w:val="26"/>
          <w:rtl/>
        </w:rPr>
        <w:t>)</w:t>
      </w:r>
      <w:r>
        <w:rPr>
          <w:sz w:val="26"/>
          <w:rtl/>
        </w:rPr>
        <w:tab/>
      </w:r>
      <w:r>
        <w:rPr>
          <w:lang w:val="cs-CZ"/>
        </w:rPr>
        <w:t>A/HRC/41/</w:t>
      </w:r>
      <w:bookmarkStart w:id="0" w:name="_GoBack"/>
      <w:bookmarkEnd w:id="0"/>
      <w:r>
        <w:rPr>
          <w:lang w:val="cs-CZ"/>
        </w:rPr>
        <w:t>41</w:t>
      </w:r>
      <w:r>
        <w:rPr>
          <w:rFonts w:hint="cs"/>
          <w:rtl/>
        </w:rPr>
        <w:t>.</w:t>
      </w:r>
      <w:r w:rsidRPr="00E45898">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552" w:rsidRPr="00E75FD3" w:rsidRDefault="00E75FD3" w:rsidP="00E75FD3">
    <w:pPr>
      <w:pStyle w:val="Header"/>
      <w:jc w:val="right"/>
    </w:pPr>
    <w:r w:rsidRPr="00E75FD3">
      <w:t>A/HRC/RES/41/12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552" w:rsidRPr="00E75FD3" w:rsidRDefault="00E75FD3" w:rsidP="00E75FD3">
    <w:pPr>
      <w:pStyle w:val="Header"/>
      <w:jc w:val="left"/>
    </w:pPr>
    <w:r w:rsidRPr="00E75FD3">
      <w:t>A/HRC/RES/41/12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497C9C"/>
    <w:rsid w:val="000076D5"/>
    <w:rsid w:val="00043663"/>
    <w:rsid w:val="000505CF"/>
    <w:rsid w:val="000C17E3"/>
    <w:rsid w:val="000D701C"/>
    <w:rsid w:val="000E2A71"/>
    <w:rsid w:val="000E524A"/>
    <w:rsid w:val="00160263"/>
    <w:rsid w:val="001773DB"/>
    <w:rsid w:val="00181F96"/>
    <w:rsid w:val="001A1371"/>
    <w:rsid w:val="001B346A"/>
    <w:rsid w:val="001E1CAD"/>
    <w:rsid w:val="001E290D"/>
    <w:rsid w:val="002144FA"/>
    <w:rsid w:val="0023469A"/>
    <w:rsid w:val="00243C8A"/>
    <w:rsid w:val="00267A0E"/>
    <w:rsid w:val="002901D9"/>
    <w:rsid w:val="002976C2"/>
    <w:rsid w:val="00325CC1"/>
    <w:rsid w:val="003260FF"/>
    <w:rsid w:val="00343D95"/>
    <w:rsid w:val="00374341"/>
    <w:rsid w:val="003D1062"/>
    <w:rsid w:val="003E159A"/>
    <w:rsid w:val="004205C7"/>
    <w:rsid w:val="00420D7B"/>
    <w:rsid w:val="00450B21"/>
    <w:rsid w:val="00453B63"/>
    <w:rsid w:val="00455780"/>
    <w:rsid w:val="00497C9C"/>
    <w:rsid w:val="004B0A1C"/>
    <w:rsid w:val="004D298E"/>
    <w:rsid w:val="004E32F4"/>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56392"/>
    <w:rsid w:val="00685657"/>
    <w:rsid w:val="0068781D"/>
    <w:rsid w:val="00691552"/>
    <w:rsid w:val="006959B0"/>
    <w:rsid w:val="006B3E27"/>
    <w:rsid w:val="006B6507"/>
    <w:rsid w:val="006C104C"/>
    <w:rsid w:val="00733704"/>
    <w:rsid w:val="00740188"/>
    <w:rsid w:val="0078071A"/>
    <w:rsid w:val="007A70BB"/>
    <w:rsid w:val="00852A9A"/>
    <w:rsid w:val="00871544"/>
    <w:rsid w:val="008930DB"/>
    <w:rsid w:val="00895D16"/>
    <w:rsid w:val="008F49E1"/>
    <w:rsid w:val="0090370F"/>
    <w:rsid w:val="009269D2"/>
    <w:rsid w:val="00942135"/>
    <w:rsid w:val="009521B0"/>
    <w:rsid w:val="009A7E9F"/>
    <w:rsid w:val="009E5018"/>
    <w:rsid w:val="00A12B37"/>
    <w:rsid w:val="00A50EC0"/>
    <w:rsid w:val="00A74331"/>
    <w:rsid w:val="00AB6758"/>
    <w:rsid w:val="00B13763"/>
    <w:rsid w:val="00B477A4"/>
    <w:rsid w:val="00B54045"/>
    <w:rsid w:val="00BA5E8B"/>
    <w:rsid w:val="00C022F5"/>
    <w:rsid w:val="00C438D7"/>
    <w:rsid w:val="00C53FE8"/>
    <w:rsid w:val="00C81B50"/>
    <w:rsid w:val="00CA655B"/>
    <w:rsid w:val="00CB3C3C"/>
    <w:rsid w:val="00CD1801"/>
    <w:rsid w:val="00D10EF1"/>
    <w:rsid w:val="00D42810"/>
    <w:rsid w:val="00D914A7"/>
    <w:rsid w:val="00DD13C3"/>
    <w:rsid w:val="00DD596E"/>
    <w:rsid w:val="00DD621E"/>
    <w:rsid w:val="00DF0575"/>
    <w:rsid w:val="00E45898"/>
    <w:rsid w:val="00E70E04"/>
    <w:rsid w:val="00E75FD3"/>
    <w:rsid w:val="00EC05A7"/>
    <w:rsid w:val="00EC4B6B"/>
    <w:rsid w:val="00ED7442"/>
    <w:rsid w:val="00EE0B18"/>
    <w:rsid w:val="00EF1EE5"/>
    <w:rsid w:val="00F36113"/>
    <w:rsid w:val="00F6741C"/>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0021FB"/>
  <w15:docId w15:val="{AC06AB3E-4282-410E-88F3-2B1A7D6A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E8322-9B01-44D8-9D99-32C717CFA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A/HRC/RES/41/12</vt:lpstr>
    </vt:vector>
  </TitlesOfParts>
  <Company>DCM</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A/HRC/RES/41/12</dc:title>
  <dc:subject>GE.1912332</dc:subject>
  <dc:creator>Gamal MAHMOUD-MAB</dc:creator>
  <cp:keywords>ODS No.1922058</cp:keywords>
  <dc:description>Distr.: General_x000d_
19 July 2019_x000d_
Original: English</dc:description>
  <cp:lastModifiedBy>Gamal Mohamed Abdelhamid Mahmoud</cp:lastModifiedBy>
  <cp:revision>2</cp:revision>
  <cp:lastPrinted>2019-08-26T14:23:00Z</cp:lastPrinted>
  <dcterms:created xsi:type="dcterms:W3CDTF">2019-08-26T14:27:00Z</dcterms:created>
  <dcterms:modified xsi:type="dcterms:W3CDTF">2019-08-26T14:27:00Z</dcterms:modified>
  <cp:category>Final</cp:category>
</cp:coreProperties>
</file>