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rPr>
                <w:rtl/>
                <w:lang w:bidi="ar-EG"/>
              </w:rPr>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w:t>
            </w:r>
            <w:r w:rsidR="0055788C">
              <w:rPr>
                <w:rFonts w:hint="cs"/>
                <w:sz w:val="40"/>
                <w:szCs w:val="40"/>
                <w:rtl/>
              </w:rPr>
              <w:t xml:space="preserve"> </w:t>
            </w:r>
            <w:r w:rsidRPr="00517BC9">
              <w:rPr>
                <w:rFonts w:hint="cs"/>
                <w:sz w:val="40"/>
                <w:szCs w:val="40"/>
                <w:rtl/>
              </w:rPr>
              <w:t>المتحدة</w:t>
            </w:r>
          </w:p>
        </w:tc>
        <w:tc>
          <w:tcPr>
            <w:tcW w:w="3402" w:type="dxa"/>
            <w:tcBorders>
              <w:bottom w:val="single" w:sz="4" w:space="0" w:color="auto"/>
            </w:tcBorders>
            <w:vAlign w:val="bottom"/>
          </w:tcPr>
          <w:p w:rsidR="006B3E27" w:rsidRPr="003E159A" w:rsidRDefault="001D46A0" w:rsidP="00885D51">
            <w:pPr>
              <w:bidi w:val="0"/>
              <w:spacing w:after="20"/>
              <w:jc w:val="left"/>
              <w:rPr>
                <w:szCs w:val="20"/>
              </w:rPr>
            </w:pPr>
            <w:r w:rsidRPr="001D46A0">
              <w:rPr>
                <w:sz w:val="40"/>
                <w:szCs w:val="20"/>
              </w:rPr>
              <w:t>A</w:t>
            </w:r>
            <w:r>
              <w:rPr>
                <w:szCs w:val="20"/>
              </w:rPr>
              <w:t>/HRC/RES/37/12</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w:t>
            </w:r>
            <w:r w:rsidR="0055788C">
              <w:rPr>
                <w:rFonts w:hint="cs"/>
                <w:b/>
                <w:bCs/>
                <w:sz w:val="56"/>
                <w:szCs w:val="56"/>
                <w:rtl/>
              </w:rPr>
              <w:t xml:space="preserve"> </w:t>
            </w:r>
            <w:r>
              <w:rPr>
                <w:rFonts w:hint="cs"/>
                <w:b/>
                <w:bCs/>
                <w:sz w:val="56"/>
                <w:szCs w:val="56"/>
                <w:rtl/>
              </w:rPr>
              <w:t>العامة</w:t>
            </w:r>
          </w:p>
        </w:tc>
        <w:tc>
          <w:tcPr>
            <w:tcW w:w="3402" w:type="dxa"/>
            <w:tcBorders>
              <w:top w:val="single" w:sz="4" w:space="0" w:color="auto"/>
              <w:bottom w:val="single" w:sz="12" w:space="0" w:color="auto"/>
            </w:tcBorders>
          </w:tcPr>
          <w:p w:rsidR="006B3E27" w:rsidRDefault="00885D51" w:rsidP="00885D51">
            <w:pPr>
              <w:bidi w:val="0"/>
              <w:spacing w:before="240"/>
              <w:jc w:val="left"/>
              <w:rPr>
                <w:szCs w:val="20"/>
              </w:rPr>
            </w:pPr>
            <w:r>
              <w:rPr>
                <w:szCs w:val="20"/>
              </w:rPr>
              <w:t>Distr.:</w:t>
            </w:r>
            <w:r w:rsidR="0055788C">
              <w:rPr>
                <w:szCs w:val="20"/>
              </w:rPr>
              <w:t xml:space="preserve"> </w:t>
            </w:r>
            <w:r>
              <w:rPr>
                <w:szCs w:val="20"/>
              </w:rPr>
              <w:t>General</w:t>
            </w:r>
          </w:p>
          <w:p w:rsidR="00885D51" w:rsidRDefault="0055788C" w:rsidP="00885D51">
            <w:pPr>
              <w:bidi w:val="0"/>
              <w:jc w:val="left"/>
              <w:rPr>
                <w:szCs w:val="20"/>
              </w:rPr>
            </w:pPr>
            <w:r>
              <w:rPr>
                <w:szCs w:val="20"/>
              </w:rPr>
              <w:t>5 April 2018</w:t>
            </w:r>
          </w:p>
          <w:p w:rsidR="00885D51" w:rsidRDefault="00885D51" w:rsidP="00885D51">
            <w:pPr>
              <w:bidi w:val="0"/>
              <w:jc w:val="left"/>
              <w:rPr>
                <w:szCs w:val="20"/>
              </w:rPr>
            </w:pPr>
            <w:r>
              <w:rPr>
                <w:szCs w:val="20"/>
              </w:rPr>
              <w:t>Arabic</w:t>
            </w:r>
          </w:p>
          <w:p w:rsidR="00885D51" w:rsidRPr="003E159A" w:rsidRDefault="00885D51" w:rsidP="00885D51">
            <w:pPr>
              <w:bidi w:val="0"/>
              <w:jc w:val="left"/>
              <w:rPr>
                <w:szCs w:val="20"/>
              </w:rPr>
            </w:pPr>
            <w:r>
              <w:rPr>
                <w:szCs w:val="20"/>
              </w:rPr>
              <w:t>Original:</w:t>
            </w:r>
            <w:r w:rsidR="0055788C">
              <w:rPr>
                <w:szCs w:val="20"/>
              </w:rPr>
              <w:t xml:space="preserve"> </w:t>
            </w:r>
            <w:r>
              <w:rPr>
                <w:szCs w:val="20"/>
              </w:rPr>
              <w:t>English</w:t>
            </w:r>
          </w:p>
        </w:tc>
      </w:tr>
    </w:tbl>
    <w:p w:rsidR="00885D51" w:rsidRDefault="001773DB" w:rsidP="0054762C">
      <w:pPr>
        <w:spacing w:before="120" w:line="380" w:lineRule="exact"/>
        <w:jc w:val="left"/>
        <w:rPr>
          <w:b/>
          <w:bCs/>
          <w:sz w:val="36"/>
          <w:szCs w:val="36"/>
          <w:rtl/>
        </w:rPr>
      </w:pPr>
      <w:r w:rsidRPr="001773DB">
        <w:rPr>
          <w:rFonts w:hint="cs"/>
          <w:b/>
          <w:bCs/>
          <w:sz w:val="36"/>
          <w:szCs w:val="36"/>
          <w:rtl/>
        </w:rPr>
        <w:t>مجلس</w:t>
      </w:r>
      <w:r w:rsidR="0055788C">
        <w:rPr>
          <w:rFonts w:hint="cs"/>
          <w:b/>
          <w:bCs/>
          <w:sz w:val="36"/>
          <w:szCs w:val="36"/>
          <w:rtl/>
        </w:rPr>
        <w:t xml:space="preserve"> </w:t>
      </w:r>
      <w:r w:rsidRPr="001773DB">
        <w:rPr>
          <w:rFonts w:hint="cs"/>
          <w:b/>
          <w:bCs/>
          <w:sz w:val="36"/>
          <w:szCs w:val="36"/>
          <w:rtl/>
        </w:rPr>
        <w:t>حقوق</w:t>
      </w:r>
      <w:r w:rsidR="0055788C">
        <w:rPr>
          <w:rFonts w:hint="cs"/>
          <w:b/>
          <w:bCs/>
          <w:sz w:val="36"/>
          <w:szCs w:val="36"/>
          <w:rtl/>
        </w:rPr>
        <w:t xml:space="preserve"> </w:t>
      </w:r>
      <w:r w:rsidRPr="001773DB">
        <w:rPr>
          <w:rFonts w:hint="cs"/>
          <w:b/>
          <w:bCs/>
          <w:sz w:val="36"/>
          <w:szCs w:val="36"/>
          <w:rtl/>
        </w:rPr>
        <w:t>الإنسان</w:t>
      </w:r>
    </w:p>
    <w:p w:rsidR="0055788C" w:rsidRPr="00E2702A" w:rsidRDefault="0055788C" w:rsidP="00C72534">
      <w:pPr>
        <w:spacing w:line="380" w:lineRule="exact"/>
        <w:rPr>
          <w:b/>
          <w:bCs/>
          <w:rtl/>
          <w:lang w:eastAsia="zh-TW"/>
        </w:rPr>
      </w:pPr>
      <w:r w:rsidRPr="00E2702A">
        <w:rPr>
          <w:b/>
          <w:bCs/>
          <w:rtl/>
          <w:lang w:eastAsia="zh-TW"/>
        </w:rPr>
        <w:t>الدورة السابعة والثلاثون</w:t>
      </w:r>
    </w:p>
    <w:p w:rsidR="0055788C" w:rsidRPr="00EE06CD" w:rsidRDefault="0055788C" w:rsidP="00C72534">
      <w:pPr>
        <w:spacing w:line="380" w:lineRule="exact"/>
        <w:rPr>
          <w:rtl/>
          <w:lang w:eastAsia="zh-TW"/>
        </w:rPr>
      </w:pPr>
      <w:r>
        <w:rPr>
          <w:rtl/>
          <w:lang w:eastAsia="zh-TW" w:bidi="ar-DZ"/>
        </w:rPr>
        <w:t>26</w:t>
      </w:r>
      <w:r>
        <w:rPr>
          <w:rtl/>
          <w:lang w:eastAsia="zh-TW"/>
        </w:rPr>
        <w:t xml:space="preserve"> شباط/فبراير - 23 آذار/مارس 2018</w:t>
      </w:r>
    </w:p>
    <w:p w:rsidR="0055788C" w:rsidRPr="00EE06CD" w:rsidRDefault="0055788C" w:rsidP="00C72534">
      <w:pPr>
        <w:spacing w:after="120" w:line="380" w:lineRule="exact"/>
        <w:rPr>
          <w:rtl/>
          <w:lang w:eastAsia="zh-TW"/>
        </w:rPr>
      </w:pPr>
      <w:r>
        <w:rPr>
          <w:rtl/>
          <w:lang w:eastAsia="zh-TW"/>
        </w:rPr>
        <w:t>البند 3 من جدول الأعمال</w:t>
      </w:r>
    </w:p>
    <w:p w:rsidR="0055788C" w:rsidRPr="00DE12FA" w:rsidRDefault="00E2702A" w:rsidP="00E2702A">
      <w:pPr>
        <w:pStyle w:val="HChGA"/>
        <w:rPr>
          <w:rtl/>
          <w:lang w:eastAsia="zh-TW" w:bidi="ar-DZ"/>
        </w:rPr>
      </w:pPr>
      <w:r>
        <w:rPr>
          <w:rtl/>
          <w:lang w:eastAsia="zh-TW"/>
        </w:rPr>
        <w:tab/>
      </w:r>
      <w:r>
        <w:rPr>
          <w:rtl/>
          <w:lang w:eastAsia="zh-TW"/>
        </w:rPr>
        <w:tab/>
      </w:r>
      <w:r w:rsidR="0055788C" w:rsidRPr="00DE12FA">
        <w:rPr>
          <w:rtl/>
          <w:lang w:eastAsia="zh-TW"/>
        </w:rPr>
        <w:t>قرار</w:t>
      </w:r>
      <w:r w:rsidR="0055788C">
        <w:rPr>
          <w:rtl/>
        </w:rPr>
        <w:t xml:space="preserve"> </w:t>
      </w:r>
      <w:r w:rsidR="0055788C" w:rsidRPr="00DE12FA">
        <w:rPr>
          <w:rtl/>
          <w:lang w:eastAsia="zh-TW"/>
        </w:rPr>
        <w:t>اعتمده</w:t>
      </w:r>
      <w:r w:rsidR="0055788C">
        <w:rPr>
          <w:rtl/>
          <w:lang w:eastAsia="zh-TW"/>
        </w:rPr>
        <w:t xml:space="preserve"> </w:t>
      </w:r>
      <w:r w:rsidR="0055788C" w:rsidRPr="00DE12FA">
        <w:rPr>
          <w:rtl/>
          <w:lang w:eastAsia="zh-TW"/>
        </w:rPr>
        <w:t>مجلس</w:t>
      </w:r>
      <w:r w:rsidR="0055788C">
        <w:rPr>
          <w:rtl/>
          <w:lang w:eastAsia="zh-TW"/>
        </w:rPr>
        <w:t xml:space="preserve"> </w:t>
      </w:r>
      <w:r w:rsidR="0055788C" w:rsidRPr="00DE12FA">
        <w:rPr>
          <w:rtl/>
          <w:lang w:eastAsia="zh-TW"/>
        </w:rPr>
        <w:t>حقوق</w:t>
      </w:r>
      <w:r w:rsidR="0055788C">
        <w:rPr>
          <w:rtl/>
          <w:lang w:eastAsia="zh-TW"/>
        </w:rPr>
        <w:t xml:space="preserve"> </w:t>
      </w:r>
      <w:r w:rsidR="0055788C" w:rsidRPr="00DE12FA">
        <w:rPr>
          <w:rtl/>
          <w:lang w:eastAsia="zh-TW"/>
        </w:rPr>
        <w:t>الإنسان</w:t>
      </w:r>
      <w:r w:rsidR="0055788C">
        <w:rPr>
          <w:rtl/>
          <w:lang w:eastAsia="zh-TW"/>
        </w:rPr>
        <w:t xml:space="preserve"> </w:t>
      </w:r>
      <w:r w:rsidR="0055788C" w:rsidRPr="00DE12FA">
        <w:rPr>
          <w:rtl/>
          <w:lang w:eastAsia="zh-TW"/>
        </w:rPr>
        <w:t>في</w:t>
      </w:r>
      <w:r w:rsidR="0055788C">
        <w:rPr>
          <w:rtl/>
          <w:lang w:eastAsia="zh-TW"/>
        </w:rPr>
        <w:t xml:space="preserve"> </w:t>
      </w:r>
      <w:r w:rsidR="0055788C" w:rsidRPr="00DE12FA">
        <w:rPr>
          <w:rtl/>
          <w:lang w:eastAsia="zh-TW"/>
        </w:rPr>
        <w:t>2</w:t>
      </w:r>
      <w:r w:rsidR="0055788C">
        <w:rPr>
          <w:rtl/>
          <w:lang w:eastAsia="zh-TW"/>
        </w:rPr>
        <w:t xml:space="preserve">2 </w:t>
      </w:r>
      <w:r w:rsidR="0055788C" w:rsidRPr="00DE12FA">
        <w:rPr>
          <w:rtl/>
          <w:lang w:eastAsia="zh-TW"/>
        </w:rPr>
        <w:t>آذار/مارس</w:t>
      </w:r>
      <w:r w:rsidR="0055788C">
        <w:rPr>
          <w:rtl/>
          <w:lang w:eastAsia="zh-TW"/>
        </w:rPr>
        <w:t xml:space="preserve"> </w:t>
      </w:r>
      <w:r w:rsidR="0055788C" w:rsidRPr="00DE12FA">
        <w:rPr>
          <w:rtl/>
          <w:lang w:eastAsia="zh-TW"/>
        </w:rPr>
        <w:t>2018</w:t>
      </w:r>
    </w:p>
    <w:p w:rsidR="0055788C" w:rsidRPr="00E2702A" w:rsidRDefault="00E2702A" w:rsidP="00E2702A">
      <w:pPr>
        <w:pStyle w:val="H1GA"/>
        <w:rPr>
          <w:rtl/>
        </w:rPr>
      </w:pPr>
      <w:r w:rsidRPr="00E2702A">
        <w:rPr>
          <w:rtl/>
        </w:rPr>
        <w:tab/>
      </w:r>
      <w:r w:rsidR="0055788C" w:rsidRPr="00E2702A">
        <w:rPr>
          <w:rtl/>
        </w:rPr>
        <w:t>٣٧/12</w:t>
      </w:r>
      <w:r w:rsidRPr="00E2702A">
        <w:rPr>
          <w:rFonts w:hint="cs"/>
          <w:rtl/>
        </w:rPr>
        <w:t>-</w:t>
      </w:r>
      <w:r w:rsidRPr="00E2702A">
        <w:rPr>
          <w:rtl/>
        </w:rPr>
        <w:tab/>
      </w:r>
      <w:r w:rsidR="0055788C" w:rsidRPr="00E2702A">
        <w:rPr>
          <w:rtl/>
        </w:rPr>
        <w:t>ولاية المقررة الخاصة في مجال الحقوق الثقافية</w:t>
      </w:r>
    </w:p>
    <w:p w:rsidR="0055788C" w:rsidRPr="00E2702A" w:rsidRDefault="00E2702A" w:rsidP="00E2702A">
      <w:pPr>
        <w:pStyle w:val="SingleTxtGA"/>
        <w:rPr>
          <w:i/>
          <w:iCs/>
          <w:rtl/>
          <w:lang w:eastAsia="zh-TW"/>
        </w:rPr>
      </w:pPr>
      <w:r w:rsidRPr="00E2702A">
        <w:rPr>
          <w:i/>
          <w:iCs/>
          <w:rtl/>
          <w:lang w:eastAsia="zh-TW"/>
        </w:rPr>
        <w:tab/>
      </w:r>
      <w:r w:rsidR="0055788C" w:rsidRPr="00E2702A">
        <w:rPr>
          <w:i/>
          <w:iCs/>
          <w:rtl/>
          <w:lang w:eastAsia="zh-TW"/>
        </w:rPr>
        <w:t>إن مجلس حقوق الإنسان،</w:t>
      </w:r>
    </w:p>
    <w:p w:rsidR="0055788C" w:rsidRPr="00F76C2F" w:rsidRDefault="00E2702A" w:rsidP="00E2702A">
      <w:pPr>
        <w:pStyle w:val="SingleTxtGA"/>
        <w:rPr>
          <w:rtl/>
          <w:lang w:eastAsia="zh-TW"/>
        </w:rPr>
      </w:pPr>
      <w:r>
        <w:rPr>
          <w:i/>
          <w:iCs/>
          <w:rtl/>
          <w:lang w:eastAsia="zh-TW"/>
        </w:rPr>
        <w:tab/>
      </w:r>
      <w:r w:rsidR="0055788C">
        <w:rPr>
          <w:i/>
          <w:iCs/>
          <w:rtl/>
          <w:lang w:eastAsia="zh-TW"/>
        </w:rPr>
        <w:t>إذ يسترشد</w:t>
      </w:r>
      <w:r w:rsidR="0055788C">
        <w:rPr>
          <w:rtl/>
          <w:lang w:eastAsia="zh-TW"/>
        </w:rPr>
        <w:t xml:space="preserve"> بمقاصد ميثاق الأمم المتحدة ومبادئه،</w:t>
      </w:r>
    </w:p>
    <w:p w:rsidR="0055788C" w:rsidRPr="00F76C2F" w:rsidRDefault="00E2702A" w:rsidP="00E2702A">
      <w:pPr>
        <w:pStyle w:val="SingleTxtGA"/>
        <w:rPr>
          <w:rtl/>
          <w:lang w:eastAsia="zh-TW"/>
        </w:rPr>
      </w:pPr>
      <w:r>
        <w:rPr>
          <w:i/>
          <w:iCs/>
          <w:rtl/>
          <w:lang w:eastAsia="zh-TW"/>
        </w:rPr>
        <w:tab/>
      </w:r>
      <w:r w:rsidR="0055788C">
        <w:rPr>
          <w:i/>
          <w:iCs/>
          <w:rtl/>
          <w:lang w:eastAsia="zh-TW"/>
        </w:rPr>
        <w:t>وإذ يشير</w:t>
      </w:r>
      <w:r w:rsidR="0055788C">
        <w:rPr>
          <w:rtl/>
          <w:lang w:eastAsia="zh-TW"/>
        </w:rPr>
        <w:t xml:space="preserve"> إلى الإعلان العالمي لحقوق الإنسان، والعهد الدولي الخاص بالحقوق الاقتصادية والاجتماعية والثقافية، والعهد الدولي الخاص بالحقوق المدنية والسياسية، وإعلان وبرنامج عمل فيينا، وسائر صكوك حقوق الإنسان ذات الصلة،</w:t>
      </w:r>
    </w:p>
    <w:p w:rsidR="0055788C" w:rsidRPr="00E2702A" w:rsidRDefault="00E2702A" w:rsidP="00E2702A">
      <w:pPr>
        <w:pStyle w:val="SingleTxtGA"/>
        <w:rPr>
          <w:spacing w:val="-4"/>
          <w:rtl/>
          <w:lang w:eastAsia="zh-TW"/>
        </w:rPr>
      </w:pPr>
      <w:r w:rsidRPr="00E2702A">
        <w:rPr>
          <w:i/>
          <w:iCs/>
          <w:spacing w:val="-4"/>
          <w:rtl/>
          <w:lang w:eastAsia="zh-TW"/>
        </w:rPr>
        <w:tab/>
      </w:r>
      <w:r w:rsidR="0055788C" w:rsidRPr="00E2702A">
        <w:rPr>
          <w:i/>
          <w:iCs/>
          <w:spacing w:val="-4"/>
          <w:rtl/>
          <w:lang w:eastAsia="zh-TW"/>
        </w:rPr>
        <w:t>وإذ يشير</w:t>
      </w:r>
      <w:r w:rsidR="0055788C" w:rsidRPr="00C72534">
        <w:rPr>
          <w:i/>
          <w:iCs/>
          <w:spacing w:val="-4"/>
          <w:rtl/>
          <w:lang w:eastAsia="zh-TW"/>
        </w:rPr>
        <w:t xml:space="preserve"> أيضاً</w:t>
      </w:r>
      <w:r w:rsidR="0055788C" w:rsidRPr="00E2702A">
        <w:rPr>
          <w:spacing w:val="-4"/>
          <w:rtl/>
          <w:lang w:eastAsia="zh-TW"/>
        </w:rPr>
        <w:t xml:space="preserve"> إلى جميع القرارات ذات الصلة الصادرة عن الجمعية العامة، ولجنة حقوق الإنسان، ومجلس حقوق الإنسان، وآخرها قرار المجلس 34/2 المؤرخ ٢٣ آذار/مارس ٢٠١٧،</w:t>
      </w:r>
    </w:p>
    <w:p w:rsidR="0055788C" w:rsidRPr="00F76C2F" w:rsidRDefault="00E2702A" w:rsidP="00E2702A">
      <w:pPr>
        <w:pStyle w:val="SingleTxtGA"/>
        <w:rPr>
          <w:rtl/>
          <w:lang w:eastAsia="zh-TW"/>
        </w:rPr>
      </w:pPr>
      <w:r>
        <w:rPr>
          <w:i/>
          <w:iCs/>
          <w:rtl/>
          <w:lang w:eastAsia="zh-TW"/>
        </w:rPr>
        <w:tab/>
      </w:r>
      <w:r w:rsidR="0055788C" w:rsidRPr="00046B24">
        <w:rPr>
          <w:i/>
          <w:iCs/>
          <w:rtl/>
          <w:lang w:eastAsia="zh-TW"/>
        </w:rPr>
        <w:t>وإذ</w:t>
      </w:r>
      <w:r w:rsidR="0055788C">
        <w:rPr>
          <w:i/>
          <w:iCs/>
          <w:rtl/>
          <w:lang w:eastAsia="zh-TW"/>
        </w:rPr>
        <w:t xml:space="preserve"> </w:t>
      </w:r>
      <w:r w:rsidR="0055788C" w:rsidRPr="00046B24">
        <w:rPr>
          <w:i/>
          <w:iCs/>
          <w:rtl/>
          <w:lang w:eastAsia="zh-TW"/>
        </w:rPr>
        <w:t>يحيط</w:t>
      </w:r>
      <w:r w:rsidR="0055788C">
        <w:rPr>
          <w:i/>
          <w:iCs/>
          <w:rtl/>
          <w:lang w:eastAsia="zh-TW"/>
        </w:rPr>
        <w:t xml:space="preserve"> </w:t>
      </w:r>
      <w:r w:rsidR="0055788C" w:rsidRPr="00046B24">
        <w:rPr>
          <w:i/>
          <w:iCs/>
          <w:rtl/>
          <w:lang w:eastAsia="zh-TW"/>
        </w:rPr>
        <w:t>علماً</w:t>
      </w:r>
      <w:r w:rsidR="0055788C">
        <w:rPr>
          <w:rtl/>
          <w:lang w:eastAsia="zh-TW"/>
        </w:rPr>
        <w:t xml:space="preserve"> بالإعلانات الصادرة في إطار منظومة الأمم المتحدة بشأن التنوع الثقافي والتعاون الثقافي الدولي، ولا سيما إعلان مبادئ التعاون الثقافي الدولي والإعلان العالمي بشأن التنوع الثقافي، اللذان اعتمدهما المؤتمر العام لمنظمة الأمم المتحدة للتربية والعلم والثقافة (اليونسكو) في عامي 1966 و2001، على التوالي،</w:t>
      </w:r>
    </w:p>
    <w:p w:rsidR="0055788C" w:rsidRPr="00F76C2F" w:rsidRDefault="00E2702A" w:rsidP="00E2702A">
      <w:pPr>
        <w:pStyle w:val="SingleTxtGA"/>
        <w:rPr>
          <w:rtl/>
          <w:lang w:eastAsia="zh-TW"/>
        </w:rPr>
      </w:pPr>
      <w:r>
        <w:rPr>
          <w:i/>
          <w:iCs/>
          <w:rtl/>
          <w:lang w:eastAsia="zh-TW"/>
        </w:rPr>
        <w:tab/>
      </w:r>
      <w:r w:rsidR="0055788C">
        <w:rPr>
          <w:i/>
          <w:iCs/>
          <w:rtl/>
          <w:lang w:eastAsia="zh-TW"/>
        </w:rPr>
        <w:t xml:space="preserve">وإذ يشير </w:t>
      </w:r>
      <w:r w:rsidR="0055788C" w:rsidRPr="00C72534">
        <w:rPr>
          <w:rtl/>
          <w:lang w:eastAsia="zh-TW"/>
        </w:rPr>
        <w:t>إلى</w:t>
      </w:r>
      <w:r w:rsidR="0055788C">
        <w:rPr>
          <w:rtl/>
          <w:lang w:eastAsia="zh-TW"/>
        </w:rPr>
        <w:t xml:space="preserve"> قراريْه 5/1 بشأن بناء مؤسسات مجلس حقوق الإنسان و5/2 بشأن مدونة قواعد السلوك للمكلفين بولايات في إطار الإجراءات الخاصة للمجلس، المؤرخين 18 حزيران/</w:t>
      </w:r>
      <w:proofErr w:type="gramStart"/>
      <w:r w:rsidR="0055788C">
        <w:rPr>
          <w:rtl/>
          <w:lang w:eastAsia="zh-TW"/>
        </w:rPr>
        <w:t>يونيه</w:t>
      </w:r>
      <w:proofErr w:type="gramEnd"/>
      <w:r w:rsidR="0055788C">
        <w:rPr>
          <w:rtl/>
          <w:lang w:eastAsia="zh-TW"/>
        </w:rPr>
        <w:t xml:space="preserve"> 2007، وإذ يشدد على أن يضطلع جميع المكلفين بولايات بواجباتهم وفقاً لهذين القرارين ومرفقيهما،</w:t>
      </w:r>
    </w:p>
    <w:p w:rsidR="0055788C" w:rsidRPr="00F76C2F" w:rsidRDefault="00E2702A" w:rsidP="00E2702A">
      <w:pPr>
        <w:pStyle w:val="SingleTxtGA"/>
        <w:rPr>
          <w:rtl/>
          <w:lang w:eastAsia="zh-TW" w:bidi="ar-DZ"/>
        </w:rPr>
      </w:pPr>
      <w:r>
        <w:rPr>
          <w:i/>
          <w:iCs/>
          <w:rtl/>
          <w:lang w:eastAsia="zh-TW"/>
        </w:rPr>
        <w:tab/>
      </w:r>
      <w:r w:rsidR="0055788C">
        <w:rPr>
          <w:i/>
          <w:iCs/>
          <w:rtl/>
          <w:lang w:eastAsia="zh-TW"/>
        </w:rPr>
        <w:t>وإذ يرحب</w:t>
      </w:r>
      <w:r w:rsidR="0055788C">
        <w:rPr>
          <w:rtl/>
          <w:lang w:eastAsia="zh-TW"/>
        </w:rPr>
        <w:t xml:space="preserve"> بالعدد المتزايد من الدول الأطراف في اتفاقية حماية وتعزيز تنوع أشكال التعبير الثقافي التي اعتمدها المؤتمر العام لمنظمة الأمم المتحدة للتربية والعلم والثقافة في 20 تشرين الأول/أكتوبر 2005، والتي دخلت حيز النفاذ في 18 آذار/مارس 2007،</w:t>
      </w:r>
    </w:p>
    <w:p w:rsidR="0055788C" w:rsidRPr="00F76C2F" w:rsidRDefault="00E2702A" w:rsidP="00E2702A">
      <w:pPr>
        <w:pStyle w:val="SingleTxtGA"/>
        <w:rPr>
          <w:rtl/>
          <w:lang w:eastAsia="zh-TW"/>
        </w:rPr>
      </w:pPr>
      <w:r>
        <w:rPr>
          <w:i/>
          <w:iCs/>
          <w:rtl/>
          <w:lang w:eastAsia="zh-TW"/>
        </w:rPr>
        <w:lastRenderedPageBreak/>
        <w:tab/>
      </w:r>
      <w:r w:rsidR="0055788C">
        <w:rPr>
          <w:i/>
          <w:iCs/>
          <w:rtl/>
          <w:lang w:eastAsia="zh-TW"/>
        </w:rPr>
        <w:t>واقتناعاً منه</w:t>
      </w:r>
      <w:r w:rsidR="0055788C">
        <w:rPr>
          <w:rtl/>
          <w:lang w:eastAsia="zh-TW"/>
        </w:rPr>
        <w:t xml:space="preserve"> بأن التعاون الدولي في مجال تعزيز وتشجيع احترام حقوق الإنسان والحريات الأساسية للجميع ينبغي أن يستند إلى فهم الخصائص الاقتصادية والاجتماعية والثقافية لكل بلد وإلى الإعمال الكامل لجميع حقوق الإنسان ومبادئ الحرية والعدل والمساواة وعدم التمييز، وإلى الاعتراف بعالمية هذه الحقوق والمبادئ اعترافاً كاملاً،</w:t>
      </w:r>
    </w:p>
    <w:p w:rsidR="0055788C" w:rsidRPr="00F76C2F" w:rsidRDefault="00E2702A" w:rsidP="00E2702A">
      <w:pPr>
        <w:pStyle w:val="SingleTxtGA"/>
        <w:rPr>
          <w:rtl/>
          <w:lang w:eastAsia="zh-TW"/>
        </w:rPr>
      </w:pPr>
      <w:r>
        <w:rPr>
          <w:i/>
          <w:iCs/>
          <w:rtl/>
          <w:lang w:eastAsia="zh-TW"/>
        </w:rPr>
        <w:tab/>
      </w:r>
      <w:r w:rsidR="0055788C">
        <w:rPr>
          <w:i/>
          <w:iCs/>
          <w:rtl/>
          <w:lang w:eastAsia="zh-TW"/>
        </w:rPr>
        <w:t xml:space="preserve">وإذ يسلِّم </w:t>
      </w:r>
      <w:r w:rsidR="0055788C" w:rsidRPr="00C72534">
        <w:rPr>
          <w:rtl/>
          <w:lang w:eastAsia="zh-TW"/>
        </w:rPr>
        <w:t>بأن</w:t>
      </w:r>
      <w:r w:rsidR="0055788C">
        <w:rPr>
          <w:rtl/>
          <w:lang w:eastAsia="zh-TW"/>
        </w:rPr>
        <w:t xml:space="preserve"> التنوع الثقافي وسعْي جميع الشعوب والأمم إلى تحقيق التنمية الثقافية هما مصدران من مصادر الإثراء المتبادل للحياة الثقافية للبشرية،</w:t>
      </w:r>
    </w:p>
    <w:p w:rsidR="0055788C" w:rsidRPr="00F76C2F" w:rsidRDefault="00E2702A" w:rsidP="00E2702A">
      <w:pPr>
        <w:pStyle w:val="SingleTxtGA"/>
        <w:rPr>
          <w:rtl/>
          <w:lang w:eastAsia="zh-TW"/>
        </w:rPr>
      </w:pPr>
      <w:r>
        <w:rPr>
          <w:i/>
          <w:iCs/>
          <w:rtl/>
          <w:lang w:eastAsia="zh-TW"/>
        </w:rPr>
        <w:tab/>
      </w:r>
      <w:r w:rsidR="0055788C">
        <w:rPr>
          <w:i/>
          <w:iCs/>
          <w:rtl/>
          <w:lang w:eastAsia="zh-TW"/>
        </w:rPr>
        <w:t xml:space="preserve">وقد عقد العزم </w:t>
      </w:r>
      <w:r w:rsidR="0055788C" w:rsidRPr="00C72534">
        <w:rPr>
          <w:rtl/>
          <w:lang w:eastAsia="zh-TW"/>
        </w:rPr>
        <w:t>على</w:t>
      </w:r>
      <w:r w:rsidR="0055788C">
        <w:rPr>
          <w:i/>
          <w:iCs/>
          <w:rtl/>
          <w:lang w:eastAsia="zh-TW"/>
        </w:rPr>
        <w:t xml:space="preserve"> </w:t>
      </w:r>
      <w:r w:rsidR="0055788C">
        <w:rPr>
          <w:rtl/>
          <w:lang w:eastAsia="zh-TW"/>
        </w:rPr>
        <w:t>معاملة حقوق الإنسان معاملةً شاملةً بإنصاف وعدل وعلى أساس المساواة وبنفس القدر من الاهتمام،</w:t>
      </w:r>
    </w:p>
    <w:p w:rsidR="0055788C" w:rsidRPr="00F76C2F" w:rsidRDefault="00E2702A" w:rsidP="00E2702A">
      <w:pPr>
        <w:pStyle w:val="SingleTxtGA"/>
        <w:rPr>
          <w:rtl/>
          <w:lang w:eastAsia="zh-TW"/>
        </w:rPr>
      </w:pPr>
      <w:r>
        <w:rPr>
          <w:rtl/>
          <w:lang w:eastAsia="zh-TW"/>
        </w:rPr>
        <w:tab/>
      </w:r>
      <w:r w:rsidR="0055788C">
        <w:rPr>
          <w:rtl/>
          <w:lang w:eastAsia="zh-TW"/>
        </w:rPr>
        <w:t>١-</w:t>
      </w:r>
      <w:r w:rsidR="00C72534">
        <w:rPr>
          <w:rtl/>
          <w:lang w:eastAsia="zh-TW"/>
        </w:rPr>
        <w:tab/>
      </w:r>
      <w:r w:rsidR="0055788C">
        <w:rPr>
          <w:i/>
          <w:iCs/>
          <w:rtl/>
          <w:lang w:eastAsia="zh-TW"/>
        </w:rPr>
        <w:t>يؤكد من جديد</w:t>
      </w:r>
      <w:r w:rsidR="0055788C">
        <w:rPr>
          <w:rtl/>
          <w:lang w:eastAsia="zh-TW"/>
        </w:rPr>
        <w:t xml:space="preserve"> أن الحقوق الثقافية تشكِّل جزءاً لا يتجزأ من حقوق الإنسان التي هي حقوق عالمية وغير قابلة للتجزئة ومتشابكة ومترابطة؛</w:t>
      </w:r>
    </w:p>
    <w:p w:rsidR="0055788C" w:rsidRPr="00F76C2F" w:rsidRDefault="00E2702A" w:rsidP="00E2702A">
      <w:pPr>
        <w:pStyle w:val="SingleTxtGA"/>
        <w:rPr>
          <w:rtl/>
          <w:lang w:eastAsia="zh-TW"/>
        </w:rPr>
      </w:pPr>
      <w:r>
        <w:rPr>
          <w:rtl/>
          <w:lang w:eastAsia="zh-TW"/>
        </w:rPr>
        <w:tab/>
      </w:r>
      <w:r w:rsidR="0055788C">
        <w:rPr>
          <w:rtl/>
          <w:lang w:eastAsia="zh-TW"/>
        </w:rPr>
        <w:t>٢-</w:t>
      </w:r>
      <w:r>
        <w:rPr>
          <w:rtl/>
          <w:lang w:eastAsia="zh-TW"/>
        </w:rPr>
        <w:tab/>
      </w:r>
      <w:r w:rsidR="0055788C">
        <w:rPr>
          <w:i/>
          <w:iCs/>
          <w:rtl/>
          <w:lang w:eastAsia="zh-TW"/>
        </w:rPr>
        <w:t xml:space="preserve">يسلِّم </w:t>
      </w:r>
      <w:r w:rsidR="0055788C">
        <w:rPr>
          <w:rtl/>
          <w:lang w:eastAsia="zh-TW"/>
        </w:rPr>
        <w:t>بحق كل فرد في أن يشارك في الحياة الثقافية وفي أن يتمتع بفوائد التقدم العلمي وتطبيقاته؛</w:t>
      </w:r>
    </w:p>
    <w:p w:rsidR="0055788C" w:rsidRPr="00C72534" w:rsidRDefault="00E2702A" w:rsidP="00E2702A">
      <w:pPr>
        <w:pStyle w:val="SingleTxtGA"/>
        <w:rPr>
          <w:spacing w:val="-2"/>
          <w:rtl/>
          <w:lang w:eastAsia="zh-TW"/>
        </w:rPr>
      </w:pPr>
      <w:r w:rsidRPr="00C72534">
        <w:rPr>
          <w:spacing w:val="-2"/>
          <w:rtl/>
          <w:lang w:eastAsia="zh-TW"/>
        </w:rPr>
        <w:tab/>
      </w:r>
      <w:r w:rsidR="0055788C" w:rsidRPr="00C72534">
        <w:rPr>
          <w:spacing w:val="-2"/>
          <w:rtl/>
          <w:lang w:eastAsia="zh-TW"/>
        </w:rPr>
        <w:t>٣-</w:t>
      </w:r>
      <w:r w:rsidRPr="00C72534">
        <w:rPr>
          <w:spacing w:val="-2"/>
          <w:rtl/>
          <w:lang w:eastAsia="zh-TW"/>
        </w:rPr>
        <w:tab/>
      </w:r>
      <w:r w:rsidR="0055788C" w:rsidRPr="00C72534">
        <w:rPr>
          <w:i/>
          <w:iCs/>
          <w:spacing w:val="-2"/>
          <w:rtl/>
          <w:lang w:eastAsia="zh-TW"/>
        </w:rPr>
        <w:t>يؤكد من جديد</w:t>
      </w:r>
      <w:r w:rsidR="0055788C" w:rsidRPr="00C72534">
        <w:rPr>
          <w:spacing w:val="-2"/>
          <w:rtl/>
          <w:lang w:eastAsia="zh-TW"/>
        </w:rPr>
        <w:t xml:space="preserve"> أن من اللازم مراعاة أهمية الخصائص الوطنية </w:t>
      </w:r>
      <w:r w:rsidR="006B79AE">
        <w:rPr>
          <w:spacing w:val="-2"/>
          <w:rtl/>
          <w:lang w:eastAsia="zh-TW"/>
        </w:rPr>
        <w:t>وال</w:t>
      </w:r>
      <w:r w:rsidR="006B79AE">
        <w:rPr>
          <w:rFonts w:hint="cs"/>
          <w:spacing w:val="-2"/>
          <w:rtl/>
          <w:lang w:eastAsia="zh-TW"/>
        </w:rPr>
        <w:t>إ</w:t>
      </w:r>
      <w:r w:rsidR="0055788C" w:rsidRPr="00C72534">
        <w:rPr>
          <w:spacing w:val="-2"/>
          <w:rtl/>
          <w:lang w:eastAsia="zh-TW"/>
        </w:rPr>
        <w:t xml:space="preserve">قليمية ومختلف الخلفيات التاريخية والثقافية والدينية، وأن من واجب الدول، في الوقت نفسه، تعزيز وحماية جميع حقوق </w:t>
      </w:r>
      <w:r w:rsidR="006B79AE">
        <w:rPr>
          <w:spacing w:val="-2"/>
          <w:rtl/>
          <w:lang w:eastAsia="zh-TW"/>
        </w:rPr>
        <w:t>ال</w:t>
      </w:r>
      <w:r w:rsidR="006B79AE">
        <w:rPr>
          <w:rFonts w:hint="cs"/>
          <w:spacing w:val="-2"/>
          <w:rtl/>
          <w:lang w:eastAsia="zh-TW"/>
        </w:rPr>
        <w:t>إ</w:t>
      </w:r>
      <w:r w:rsidR="0055788C" w:rsidRPr="00C72534">
        <w:rPr>
          <w:spacing w:val="-2"/>
          <w:rtl/>
          <w:lang w:eastAsia="zh-TW"/>
        </w:rPr>
        <w:t xml:space="preserve">نسان والحريات الأساسية، بغض النظر عن نظمها السياسية والاقتصادية والثقافية؛ </w:t>
      </w:r>
    </w:p>
    <w:p w:rsidR="0055788C" w:rsidRPr="00C72534" w:rsidRDefault="00E2702A" w:rsidP="00E2702A">
      <w:pPr>
        <w:pStyle w:val="SingleTxtGA"/>
        <w:rPr>
          <w:spacing w:val="-4"/>
          <w:rtl/>
          <w:lang w:eastAsia="zh-TW"/>
        </w:rPr>
      </w:pPr>
      <w:r w:rsidRPr="00C72534">
        <w:rPr>
          <w:spacing w:val="-4"/>
          <w:rtl/>
          <w:lang w:eastAsia="zh-TW"/>
        </w:rPr>
        <w:tab/>
      </w:r>
      <w:r w:rsidR="0055788C" w:rsidRPr="00C72534">
        <w:rPr>
          <w:spacing w:val="-4"/>
          <w:rtl/>
          <w:lang w:eastAsia="zh-TW"/>
        </w:rPr>
        <w:t>٤-</w:t>
      </w:r>
      <w:r w:rsidRPr="00C72534">
        <w:rPr>
          <w:spacing w:val="-4"/>
          <w:rtl/>
          <w:lang w:eastAsia="zh-TW"/>
        </w:rPr>
        <w:tab/>
      </w:r>
      <w:r w:rsidR="0055788C" w:rsidRPr="00C72534">
        <w:rPr>
          <w:i/>
          <w:iCs/>
          <w:spacing w:val="-4"/>
          <w:rtl/>
          <w:lang w:eastAsia="zh-TW"/>
        </w:rPr>
        <w:t xml:space="preserve">يذكِّر </w:t>
      </w:r>
      <w:r w:rsidR="0055788C" w:rsidRPr="00C72534">
        <w:rPr>
          <w:spacing w:val="-4"/>
          <w:rtl/>
          <w:lang w:eastAsia="zh-TW"/>
        </w:rPr>
        <w:t xml:space="preserve">بأنه وفقاً لما يرد في الإعلان العالمي بشأن التنوع الثقافي، لا يجوز لأحد أن يحتج بالتنوع الثقافي للتعدي على حقوق الإنسان التي يكفلها القانون الدولي، أو للحد من نطاقها؛ </w:t>
      </w:r>
    </w:p>
    <w:p w:rsidR="0055788C" w:rsidRPr="00F76C2F" w:rsidRDefault="00E2702A" w:rsidP="00E2702A">
      <w:pPr>
        <w:pStyle w:val="SingleTxtGA"/>
        <w:rPr>
          <w:rtl/>
          <w:lang w:eastAsia="zh-TW"/>
        </w:rPr>
      </w:pPr>
      <w:r>
        <w:rPr>
          <w:rtl/>
          <w:lang w:eastAsia="zh-TW"/>
        </w:rPr>
        <w:tab/>
      </w:r>
      <w:r w:rsidR="0055788C">
        <w:rPr>
          <w:rtl/>
          <w:lang w:eastAsia="zh-TW"/>
        </w:rPr>
        <w:t>٥-</w:t>
      </w:r>
      <w:r>
        <w:rPr>
          <w:rtl/>
          <w:lang w:eastAsia="zh-TW"/>
        </w:rPr>
        <w:tab/>
      </w:r>
      <w:r w:rsidR="0055788C">
        <w:rPr>
          <w:i/>
          <w:iCs/>
          <w:rtl/>
          <w:lang w:eastAsia="zh-TW"/>
        </w:rPr>
        <w:t xml:space="preserve">يؤكد من جديد </w:t>
      </w:r>
      <w:r w:rsidR="0055788C" w:rsidRPr="00C72534">
        <w:rPr>
          <w:rtl/>
          <w:lang w:eastAsia="zh-TW"/>
        </w:rPr>
        <w:t>أن</w:t>
      </w:r>
      <w:r w:rsidR="0055788C">
        <w:rPr>
          <w:i/>
          <w:iCs/>
          <w:rtl/>
          <w:lang w:eastAsia="zh-TW"/>
        </w:rPr>
        <w:t xml:space="preserve"> </w:t>
      </w:r>
      <w:r w:rsidR="0055788C">
        <w:rPr>
          <w:rtl/>
          <w:lang w:eastAsia="zh-TW"/>
        </w:rPr>
        <w:t>على الدول مسؤولية تعزيز وحماية الحقوق الثقافية وأنه ينبغي ضمان هذه الحقوق للجميع دون تمييز؛</w:t>
      </w:r>
    </w:p>
    <w:p w:rsidR="0055788C" w:rsidRPr="00F76C2F" w:rsidRDefault="00E2702A" w:rsidP="00E2702A">
      <w:pPr>
        <w:pStyle w:val="SingleTxtGA"/>
        <w:rPr>
          <w:rtl/>
          <w:lang w:eastAsia="zh-TW"/>
        </w:rPr>
      </w:pPr>
      <w:r>
        <w:rPr>
          <w:rtl/>
          <w:lang w:eastAsia="zh-TW"/>
        </w:rPr>
        <w:tab/>
      </w:r>
      <w:r w:rsidR="0055788C">
        <w:rPr>
          <w:rtl/>
          <w:lang w:eastAsia="zh-TW"/>
        </w:rPr>
        <w:t>٦-</w:t>
      </w:r>
      <w:r>
        <w:rPr>
          <w:rtl/>
          <w:lang w:eastAsia="zh-TW"/>
        </w:rPr>
        <w:tab/>
      </w:r>
      <w:r w:rsidR="0055788C">
        <w:rPr>
          <w:i/>
          <w:iCs/>
          <w:rtl/>
          <w:lang w:eastAsia="zh-TW"/>
        </w:rPr>
        <w:t xml:space="preserve">يسلِّم </w:t>
      </w:r>
      <w:r w:rsidR="0055788C" w:rsidRPr="00C72534">
        <w:rPr>
          <w:rtl/>
          <w:lang w:eastAsia="zh-TW"/>
        </w:rPr>
        <w:t>بأن</w:t>
      </w:r>
      <w:r w:rsidR="0055788C">
        <w:rPr>
          <w:rtl/>
          <w:lang w:eastAsia="zh-TW"/>
        </w:rPr>
        <w:t xml:space="preserve"> احترام التنوع الثقافي والحقوق الثقافية للجميع يعزز الإدماج والتعددية الثقافية، ويُسهم في توسيع نطاق تبادل المعارف وفهم التراث الثقافي والخلفية الثقافية، ويعزز إعمال حقوق الإنسان والتمتع بها في جميع أنحاء العالم، ويشجع إقامة علاقات ودية مستقرة بين الشعوب والأمم على نطاق العالم؛</w:t>
      </w:r>
    </w:p>
    <w:p w:rsidR="0055788C" w:rsidRPr="00F76C2F" w:rsidRDefault="00E2702A" w:rsidP="00E2702A">
      <w:pPr>
        <w:pStyle w:val="SingleTxtGA"/>
        <w:rPr>
          <w:rtl/>
          <w:lang w:eastAsia="zh-TW"/>
        </w:rPr>
      </w:pPr>
      <w:r>
        <w:rPr>
          <w:rtl/>
          <w:lang w:eastAsia="zh-TW"/>
        </w:rPr>
        <w:tab/>
      </w:r>
      <w:r w:rsidR="0055788C">
        <w:rPr>
          <w:rtl/>
          <w:lang w:eastAsia="zh-TW"/>
        </w:rPr>
        <w:t>٧-</w:t>
      </w:r>
      <w:r>
        <w:rPr>
          <w:rtl/>
          <w:lang w:eastAsia="zh-TW"/>
        </w:rPr>
        <w:tab/>
      </w:r>
      <w:r w:rsidR="0055788C">
        <w:rPr>
          <w:i/>
          <w:iCs/>
          <w:rtl/>
          <w:lang w:eastAsia="zh-TW"/>
        </w:rPr>
        <w:t xml:space="preserve">يسلِّم أيضاً </w:t>
      </w:r>
      <w:r w:rsidR="0055788C" w:rsidRPr="00C72534">
        <w:rPr>
          <w:rtl/>
          <w:lang w:eastAsia="zh-TW"/>
        </w:rPr>
        <w:t>بأن</w:t>
      </w:r>
      <w:r w:rsidR="0055788C">
        <w:rPr>
          <w:rtl/>
          <w:lang w:eastAsia="zh-TW"/>
        </w:rPr>
        <w:t xml:space="preserve"> احترام الحقوق الثقافية أمرٌ لا غنى عنه في تحقيق التنمية والسلام والقضاء على الفقر وتحقيق التماسك الاجتماعي وتعزيز الاحترام المتبادل والتسامح والتفاهم بين الأفراد والجماعات على تنوعها؛</w:t>
      </w:r>
    </w:p>
    <w:p w:rsidR="0055788C" w:rsidRPr="00F76C2F" w:rsidRDefault="00E2702A" w:rsidP="00E2702A">
      <w:pPr>
        <w:pStyle w:val="SingleTxtGA"/>
        <w:rPr>
          <w:rtl/>
          <w:lang w:eastAsia="zh-TW"/>
        </w:rPr>
      </w:pPr>
      <w:r>
        <w:rPr>
          <w:rtl/>
          <w:lang w:eastAsia="zh-TW"/>
        </w:rPr>
        <w:tab/>
      </w:r>
      <w:r w:rsidR="0055788C">
        <w:rPr>
          <w:rtl/>
          <w:lang w:eastAsia="zh-TW"/>
        </w:rPr>
        <w:t>٨-</w:t>
      </w:r>
      <w:r>
        <w:rPr>
          <w:rtl/>
          <w:lang w:eastAsia="zh-TW"/>
        </w:rPr>
        <w:tab/>
      </w:r>
      <w:r w:rsidR="0055788C">
        <w:rPr>
          <w:i/>
          <w:iCs/>
          <w:rtl/>
          <w:lang w:eastAsia="zh-TW"/>
        </w:rPr>
        <w:t xml:space="preserve">يشدد </w:t>
      </w:r>
      <w:r w:rsidR="0055788C" w:rsidRPr="00C72534">
        <w:rPr>
          <w:rtl/>
          <w:lang w:eastAsia="zh-TW"/>
        </w:rPr>
        <w:t>على</w:t>
      </w:r>
      <w:r w:rsidR="0055788C">
        <w:rPr>
          <w:rtl/>
          <w:lang w:eastAsia="zh-TW"/>
        </w:rPr>
        <w:t xml:space="preserve"> ضرورة وجود ترافد بين تعزيز وحماية حقوق الإنسان، بما في ذلك الحقوق الثقافية، على الصعيد العالمي، واحترام التنوع الثقافي؛</w:t>
      </w:r>
    </w:p>
    <w:p w:rsidR="0055788C" w:rsidRPr="00F76C2F" w:rsidRDefault="00E2702A" w:rsidP="008B295B">
      <w:pPr>
        <w:pStyle w:val="SingleTxtGA"/>
        <w:rPr>
          <w:rtl/>
          <w:lang w:eastAsia="zh-TW"/>
        </w:rPr>
      </w:pPr>
      <w:r>
        <w:rPr>
          <w:rtl/>
          <w:lang w:eastAsia="zh-TW"/>
        </w:rPr>
        <w:tab/>
      </w:r>
      <w:r w:rsidR="0055788C">
        <w:rPr>
          <w:rtl/>
          <w:lang w:eastAsia="zh-TW"/>
        </w:rPr>
        <w:t>٩-</w:t>
      </w:r>
      <w:r>
        <w:rPr>
          <w:rtl/>
          <w:lang w:eastAsia="zh-TW"/>
        </w:rPr>
        <w:tab/>
      </w:r>
      <w:r w:rsidR="0055788C">
        <w:rPr>
          <w:i/>
          <w:iCs/>
          <w:rtl/>
          <w:lang w:eastAsia="zh-TW"/>
        </w:rPr>
        <w:t xml:space="preserve">يرحب </w:t>
      </w:r>
      <w:r w:rsidR="0055788C">
        <w:rPr>
          <w:rtl/>
          <w:lang w:eastAsia="zh-TW"/>
        </w:rPr>
        <w:t>بعمل المقررة الخاصة في مجال الحقوق الثقافية وبإسهاماتها، ويحيط علما</w:t>
      </w:r>
      <w:r w:rsidR="006B79AE">
        <w:rPr>
          <w:rFonts w:hint="cs"/>
          <w:rtl/>
          <w:lang w:eastAsia="zh-TW"/>
        </w:rPr>
        <w:t>ً</w:t>
      </w:r>
      <w:r w:rsidR="0055788C">
        <w:rPr>
          <w:rtl/>
          <w:lang w:eastAsia="zh-TW"/>
        </w:rPr>
        <w:t xml:space="preserve"> مع التقدير بآخر تقرير قدمته إلى مجلس حقوق الإنسان</w:t>
      </w:r>
      <w:r w:rsidR="008B295B" w:rsidRPr="008B295B">
        <w:rPr>
          <w:rFonts w:hint="cs"/>
          <w:vertAlign w:val="superscript"/>
          <w:rtl/>
          <w:lang w:eastAsia="zh-TW"/>
        </w:rPr>
        <w:t>(</w:t>
      </w:r>
      <w:r w:rsidR="0055788C" w:rsidRPr="008B295B">
        <w:rPr>
          <w:rStyle w:val="FootnoteReference"/>
          <w:sz w:val="20"/>
          <w:szCs w:val="30"/>
          <w:rtl/>
          <w:lang w:eastAsia="zh-TW"/>
        </w:rPr>
        <w:footnoteReference w:id="1"/>
      </w:r>
      <w:r w:rsidR="008B295B" w:rsidRPr="008B295B">
        <w:rPr>
          <w:rFonts w:hint="cs"/>
          <w:vertAlign w:val="superscript"/>
          <w:rtl/>
          <w:lang w:eastAsia="zh-TW"/>
        </w:rPr>
        <w:t>)</w:t>
      </w:r>
      <w:r w:rsidR="008B295B">
        <w:rPr>
          <w:rFonts w:hint="cs"/>
          <w:rtl/>
          <w:lang w:eastAsia="zh-TW"/>
        </w:rPr>
        <w:t>؛</w:t>
      </w:r>
    </w:p>
    <w:p w:rsidR="0055788C" w:rsidRPr="00F76C2F" w:rsidRDefault="00E2702A" w:rsidP="00E2702A">
      <w:pPr>
        <w:pStyle w:val="SingleTxtGA"/>
        <w:rPr>
          <w:rtl/>
          <w:lang w:eastAsia="zh-TW"/>
        </w:rPr>
      </w:pPr>
      <w:r>
        <w:rPr>
          <w:rtl/>
          <w:lang w:eastAsia="zh-TW"/>
        </w:rPr>
        <w:tab/>
      </w:r>
      <w:r w:rsidR="0055788C">
        <w:rPr>
          <w:rtl/>
          <w:lang w:eastAsia="zh-TW"/>
        </w:rPr>
        <w:t>١٠-</w:t>
      </w:r>
      <w:r>
        <w:rPr>
          <w:rtl/>
          <w:lang w:eastAsia="zh-TW"/>
        </w:rPr>
        <w:tab/>
      </w:r>
      <w:r w:rsidR="0055788C">
        <w:rPr>
          <w:i/>
          <w:iCs/>
          <w:rtl/>
          <w:lang w:eastAsia="zh-TW"/>
        </w:rPr>
        <w:t xml:space="preserve">يقرر </w:t>
      </w:r>
      <w:r w:rsidR="0055788C">
        <w:rPr>
          <w:rtl/>
          <w:lang w:eastAsia="zh-TW"/>
        </w:rPr>
        <w:t>تجديد ولاية المقررة الخاصة في مجال الحقوق الثقافية، لفترة ثلاث سنوات، لتمكينها من مواصلة العمل وفقاً للولاية التي حددها مجلس حقوق الإنسان في قراره 19/6؛</w:t>
      </w:r>
    </w:p>
    <w:p w:rsidR="0055788C" w:rsidRPr="00C72534" w:rsidRDefault="00E2702A" w:rsidP="00E2702A">
      <w:pPr>
        <w:pStyle w:val="SingleTxtGA"/>
        <w:rPr>
          <w:spacing w:val="-4"/>
          <w:rtl/>
          <w:lang w:eastAsia="zh-TW"/>
        </w:rPr>
      </w:pPr>
      <w:r w:rsidRPr="00C72534">
        <w:rPr>
          <w:spacing w:val="-4"/>
          <w:rtl/>
          <w:lang w:eastAsia="zh-TW"/>
        </w:rPr>
        <w:lastRenderedPageBreak/>
        <w:tab/>
      </w:r>
      <w:r w:rsidR="0055788C" w:rsidRPr="00C72534">
        <w:rPr>
          <w:spacing w:val="-4"/>
          <w:rtl/>
          <w:lang w:eastAsia="zh-TW"/>
        </w:rPr>
        <w:t>١١-</w:t>
      </w:r>
      <w:r w:rsidRPr="00C72534">
        <w:rPr>
          <w:spacing w:val="-4"/>
          <w:rtl/>
          <w:lang w:eastAsia="zh-TW"/>
        </w:rPr>
        <w:tab/>
      </w:r>
      <w:r w:rsidR="0055788C" w:rsidRPr="00C72534">
        <w:rPr>
          <w:i/>
          <w:iCs/>
          <w:spacing w:val="-4"/>
          <w:rtl/>
          <w:lang w:eastAsia="zh-TW"/>
        </w:rPr>
        <w:t xml:space="preserve">يهيب </w:t>
      </w:r>
      <w:r w:rsidR="0055788C" w:rsidRPr="00C72534">
        <w:rPr>
          <w:spacing w:val="-4"/>
          <w:rtl/>
          <w:lang w:eastAsia="zh-TW"/>
        </w:rPr>
        <w:t>بجميع الحكومات أن تتعاون مع المقررة الخاصة وأن تساعدها في الاضطلاع بولايتها، وأن تزودها بجميع المعلومات اللازمة التي تطلبها، وأن تنظر بجدية في الاستجابة للطلبات التي تقدمها من أجل زيارة بلدانها لتمكينها من القيام بواجباتها على نحو فعال؛</w:t>
      </w:r>
    </w:p>
    <w:p w:rsidR="0055788C" w:rsidRPr="00F76C2F" w:rsidRDefault="00E2702A" w:rsidP="00E2702A">
      <w:pPr>
        <w:pStyle w:val="SingleTxtGA"/>
        <w:rPr>
          <w:rtl/>
          <w:lang w:eastAsia="zh-TW"/>
        </w:rPr>
      </w:pPr>
      <w:r>
        <w:rPr>
          <w:rtl/>
          <w:lang w:eastAsia="zh-TW"/>
        </w:rPr>
        <w:tab/>
      </w:r>
      <w:r w:rsidR="0055788C">
        <w:rPr>
          <w:rtl/>
          <w:lang w:eastAsia="zh-TW"/>
        </w:rPr>
        <w:t>١٢-</w:t>
      </w:r>
      <w:r>
        <w:rPr>
          <w:rtl/>
          <w:lang w:eastAsia="zh-TW"/>
        </w:rPr>
        <w:tab/>
      </w:r>
      <w:r w:rsidR="0055788C">
        <w:rPr>
          <w:i/>
          <w:iCs/>
          <w:rtl/>
          <w:lang w:eastAsia="zh-TW"/>
        </w:rPr>
        <w:t xml:space="preserve">يطلب </w:t>
      </w:r>
      <w:r w:rsidR="0055788C" w:rsidRPr="00C72534">
        <w:rPr>
          <w:rtl/>
          <w:lang w:eastAsia="zh-TW"/>
        </w:rPr>
        <w:t>إلى</w:t>
      </w:r>
      <w:r w:rsidR="0055788C">
        <w:rPr>
          <w:rtl/>
          <w:lang w:eastAsia="zh-TW"/>
        </w:rPr>
        <w:t xml:space="preserve"> مفوض الأمم المتحدة السامي لحقوق الإنسان توفير جميع الموارد البشرية والمالية الضرورية لتمكين المقررة الخاصة من أداء واجباتها بفعالية؛</w:t>
      </w:r>
    </w:p>
    <w:p w:rsidR="0055788C" w:rsidRPr="00F76C2F" w:rsidRDefault="00E2702A" w:rsidP="00E2702A">
      <w:pPr>
        <w:pStyle w:val="SingleTxtGA"/>
        <w:rPr>
          <w:rFonts w:hint="cs"/>
          <w:rtl/>
          <w:lang w:eastAsia="zh-TW" w:bidi="ar-DZ"/>
        </w:rPr>
      </w:pPr>
      <w:r>
        <w:rPr>
          <w:rtl/>
          <w:lang w:eastAsia="zh-TW"/>
        </w:rPr>
        <w:tab/>
      </w:r>
      <w:r w:rsidR="0055788C">
        <w:rPr>
          <w:rtl/>
          <w:lang w:eastAsia="zh-TW"/>
        </w:rPr>
        <w:t>١٣-</w:t>
      </w:r>
      <w:r>
        <w:rPr>
          <w:rtl/>
          <w:lang w:eastAsia="zh-TW"/>
        </w:rPr>
        <w:tab/>
      </w:r>
      <w:r w:rsidR="0055788C">
        <w:rPr>
          <w:i/>
          <w:iCs/>
          <w:rtl/>
          <w:lang w:eastAsia="zh-TW"/>
        </w:rPr>
        <w:t xml:space="preserve">يطلب </w:t>
      </w:r>
      <w:r w:rsidR="0055788C" w:rsidRPr="00C72534">
        <w:rPr>
          <w:rtl/>
          <w:lang w:eastAsia="zh-TW"/>
        </w:rPr>
        <w:t>إلى</w:t>
      </w:r>
      <w:r w:rsidR="0055788C">
        <w:rPr>
          <w:rtl/>
          <w:lang w:eastAsia="zh-TW"/>
        </w:rPr>
        <w:t xml:space="preserve"> المقررة الخاصة أن تقدم بانتظام تقريراً إلى مجلس حقوق الإنسان والجمعية العامة وفقاً لبرنامج عمل كل منهما؛</w:t>
      </w:r>
    </w:p>
    <w:p w:rsidR="0055788C" w:rsidRPr="00F76C2F" w:rsidRDefault="00E2702A" w:rsidP="00E2702A">
      <w:pPr>
        <w:pStyle w:val="SingleTxtGA"/>
        <w:rPr>
          <w:rtl/>
          <w:lang w:eastAsia="zh-TW"/>
        </w:rPr>
      </w:pPr>
      <w:r>
        <w:rPr>
          <w:rtl/>
          <w:lang w:eastAsia="zh-TW"/>
        </w:rPr>
        <w:tab/>
      </w:r>
      <w:r w:rsidR="0055788C">
        <w:rPr>
          <w:rtl/>
          <w:lang w:eastAsia="zh-TW"/>
        </w:rPr>
        <w:t>١٤-</w:t>
      </w:r>
      <w:r>
        <w:rPr>
          <w:rtl/>
          <w:lang w:eastAsia="zh-TW"/>
        </w:rPr>
        <w:tab/>
      </w:r>
      <w:r w:rsidR="0055788C">
        <w:rPr>
          <w:i/>
          <w:iCs/>
          <w:rtl/>
          <w:lang w:eastAsia="zh-TW"/>
        </w:rPr>
        <w:t xml:space="preserve">يطلب أيضاً </w:t>
      </w:r>
      <w:r w:rsidR="0055788C" w:rsidRPr="00C72534">
        <w:rPr>
          <w:rtl/>
          <w:lang w:eastAsia="zh-TW"/>
        </w:rPr>
        <w:t>إلى</w:t>
      </w:r>
      <w:r w:rsidR="0055788C">
        <w:rPr>
          <w:rtl/>
          <w:lang w:eastAsia="zh-TW"/>
        </w:rPr>
        <w:t xml:space="preserve"> المقرر</w:t>
      </w:r>
      <w:bookmarkStart w:id="0" w:name="_GoBack"/>
      <w:bookmarkEnd w:id="0"/>
      <w:r w:rsidR="0055788C">
        <w:rPr>
          <w:rtl/>
          <w:lang w:eastAsia="zh-TW"/>
        </w:rPr>
        <w:t>ة الخاصة أن تشارك، في نطاق ولايتها، في المحافل الدولية ذات الصلة بتنفيذ خطة عام 2030 للتنمية المستدامة، وأن تسهم في تنفيذها، بسبل منها تقديم المشورة إلى الدول والمنظمات الدولية والمجتمع المدني وسائر أصحاب المصلحة بشأن احترام الحقوق الثقافية وحمايتها وإعمالها على نحو فعال في سياق تنفيذ خطة عام 2030؛</w:t>
      </w:r>
    </w:p>
    <w:p w:rsidR="0055788C" w:rsidRDefault="00E2702A" w:rsidP="00E2702A">
      <w:pPr>
        <w:pStyle w:val="SingleTxtGA"/>
        <w:rPr>
          <w:rtl/>
          <w:lang w:eastAsia="zh-TW" w:bidi="ar-DZ"/>
        </w:rPr>
      </w:pPr>
      <w:r>
        <w:rPr>
          <w:rtl/>
          <w:lang w:eastAsia="zh-TW"/>
        </w:rPr>
        <w:tab/>
      </w:r>
      <w:r w:rsidR="0055788C">
        <w:rPr>
          <w:rtl/>
          <w:lang w:eastAsia="zh-TW"/>
        </w:rPr>
        <w:t>١٥-</w:t>
      </w:r>
      <w:r>
        <w:rPr>
          <w:rtl/>
          <w:lang w:eastAsia="zh-TW"/>
        </w:rPr>
        <w:tab/>
      </w:r>
      <w:r w:rsidR="0055788C">
        <w:rPr>
          <w:i/>
          <w:iCs/>
          <w:rtl/>
          <w:lang w:eastAsia="zh-TW"/>
        </w:rPr>
        <w:t xml:space="preserve">يقرر </w:t>
      </w:r>
      <w:r w:rsidR="0055788C">
        <w:rPr>
          <w:rtl/>
          <w:lang w:eastAsia="zh-TW"/>
        </w:rPr>
        <w:t>مواصلة النظر في هذه المسألة في إطار البند نفسه من جدول الأعمال وفقاً لبرنامج عمله.</w:t>
      </w:r>
    </w:p>
    <w:p w:rsidR="0055788C" w:rsidRPr="00E2702A" w:rsidRDefault="0055788C" w:rsidP="00E2702A">
      <w:pPr>
        <w:pStyle w:val="SingleTxtGA"/>
        <w:jc w:val="right"/>
        <w:rPr>
          <w:i/>
          <w:iCs/>
          <w:rtl/>
          <w:lang w:eastAsia="zh-TW"/>
        </w:rPr>
      </w:pPr>
      <w:r w:rsidRPr="00E2702A">
        <w:rPr>
          <w:rFonts w:hint="cs"/>
          <w:i/>
          <w:iCs/>
          <w:rtl/>
          <w:lang w:eastAsia="zh-TW"/>
        </w:rPr>
        <w:t>الجلسة 53</w:t>
      </w:r>
      <w:r w:rsidR="00E2702A" w:rsidRPr="00E2702A">
        <w:rPr>
          <w:i/>
          <w:iCs/>
          <w:rtl/>
          <w:lang w:eastAsia="zh-TW"/>
        </w:rPr>
        <w:br/>
      </w:r>
      <w:r w:rsidRPr="00E2702A">
        <w:rPr>
          <w:rFonts w:hint="cs"/>
          <w:i/>
          <w:iCs/>
          <w:rtl/>
          <w:lang w:eastAsia="zh-TW"/>
        </w:rPr>
        <w:t>22 آذار/مارس 2018</w:t>
      </w:r>
    </w:p>
    <w:p w:rsidR="0055788C" w:rsidRPr="00826711" w:rsidRDefault="0055788C" w:rsidP="00E2702A">
      <w:pPr>
        <w:pStyle w:val="SingleTxtGA"/>
        <w:rPr>
          <w:rtl/>
          <w:lang w:eastAsia="zh-TW"/>
        </w:rPr>
      </w:pPr>
      <w:r>
        <w:rPr>
          <w:rFonts w:hint="cs"/>
          <w:rtl/>
          <w:lang w:eastAsia="zh-TW"/>
        </w:rPr>
        <w:t>[اعتُمد بدون تصويت.]</w:t>
      </w:r>
    </w:p>
    <w:p w:rsidR="0055788C" w:rsidRPr="00E2702A" w:rsidRDefault="00E2702A" w:rsidP="00E2702A">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55788C" w:rsidRPr="00E2702A" w:rsidSect="001D46A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D0" w:rsidRPr="002901D9" w:rsidRDefault="00F42AD0" w:rsidP="002901D9">
      <w:pPr>
        <w:spacing w:after="60" w:line="240" w:lineRule="auto"/>
        <w:rPr>
          <w:i/>
          <w:iCs/>
        </w:rPr>
      </w:pPr>
      <w:r>
        <w:rPr>
          <w:rFonts w:hint="cs"/>
          <w:i/>
          <w:iCs/>
          <w:rtl/>
        </w:rPr>
        <w:t>الحواشي</w:t>
      </w:r>
    </w:p>
  </w:endnote>
  <w:endnote w:type="continuationSeparator" w:id="0">
    <w:p w:rsidR="00F42AD0" w:rsidRDefault="00F42AD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0" w:rsidRPr="00885D51" w:rsidRDefault="00885D51" w:rsidP="00885D51">
    <w:pPr>
      <w:pStyle w:val="Footer"/>
      <w:tabs>
        <w:tab w:val="right" w:pos="9598"/>
      </w:tabs>
      <w:rPr>
        <w:sz w:val="17"/>
      </w:rPr>
    </w:pPr>
    <w:r>
      <w:rPr>
        <w:sz w:val="17"/>
      </w:rPr>
      <w:t>GE.18-05239</w:t>
    </w:r>
    <w:r w:rsidR="00E2702A">
      <w:rPr>
        <w:sz w:val="17"/>
      </w:rPr>
      <w:tab/>
    </w:r>
    <w:r w:rsidRPr="00885D51">
      <w:rPr>
        <w:b/>
        <w:sz w:val="18"/>
      </w:rPr>
      <w:fldChar w:fldCharType="begin"/>
    </w:r>
    <w:r w:rsidRPr="00885D51">
      <w:rPr>
        <w:b/>
        <w:sz w:val="18"/>
      </w:rPr>
      <w:instrText xml:space="preserve"> PAGE  \* MERGEFORMAT </w:instrText>
    </w:r>
    <w:r w:rsidRPr="00885D51">
      <w:rPr>
        <w:b/>
        <w:sz w:val="18"/>
      </w:rPr>
      <w:fldChar w:fldCharType="separate"/>
    </w:r>
    <w:r w:rsidR="0093571A">
      <w:rPr>
        <w:b/>
        <w:noProof/>
        <w:sz w:val="18"/>
      </w:rPr>
      <w:t>2</w:t>
    </w:r>
    <w:r w:rsidRPr="00885D5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85D51" w:rsidRDefault="00885D51" w:rsidP="006959B0">
    <w:pPr>
      <w:pStyle w:val="Footer"/>
      <w:tabs>
        <w:tab w:val="right" w:pos="9599"/>
      </w:tabs>
      <w:jc w:val="left"/>
      <w:rPr>
        <w:b/>
        <w:sz w:val="18"/>
        <w:lang w:val="en-US"/>
      </w:rPr>
    </w:pPr>
    <w:r w:rsidRPr="00885D51">
      <w:rPr>
        <w:b/>
        <w:sz w:val="18"/>
        <w:lang w:val="en-US"/>
      </w:rPr>
      <w:fldChar w:fldCharType="begin"/>
    </w:r>
    <w:r w:rsidRPr="00885D51">
      <w:rPr>
        <w:b/>
        <w:sz w:val="18"/>
        <w:lang w:val="en-US"/>
      </w:rPr>
      <w:instrText xml:space="preserve"> PAGE  \* MERGEFORMAT </w:instrText>
    </w:r>
    <w:r w:rsidRPr="00885D51">
      <w:rPr>
        <w:b/>
        <w:sz w:val="18"/>
        <w:lang w:val="en-US"/>
      </w:rPr>
      <w:fldChar w:fldCharType="separate"/>
    </w:r>
    <w:r w:rsidR="0093571A">
      <w:rPr>
        <w:b/>
        <w:noProof/>
        <w:sz w:val="18"/>
        <w:lang w:val="en-US"/>
      </w:rPr>
      <w:t>3</w:t>
    </w:r>
    <w:r w:rsidRPr="00885D51">
      <w:rPr>
        <w:b/>
        <w:sz w:val="18"/>
        <w:lang w:val="en-US"/>
      </w:rPr>
      <w:fldChar w:fldCharType="end"/>
    </w:r>
    <w:r w:rsidR="00E2702A">
      <w:rPr>
        <w:b/>
        <w:sz w:val="18"/>
        <w:lang w:val="en-US"/>
      </w:rPr>
      <w:tab/>
    </w:r>
    <w:r>
      <w:rPr>
        <w:sz w:val="17"/>
        <w:lang w:val="en-US"/>
      </w:rPr>
      <w:t>GE.18-05239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1D46A0" w:rsidP="00F6741C">
    <w:pPr>
      <w:pStyle w:val="Footer"/>
      <w:spacing w:before="360"/>
      <w:jc w:val="right"/>
      <w:rPr>
        <w:sz w:val="20"/>
        <w:szCs w:val="20"/>
      </w:rPr>
    </w:pPr>
    <w:r>
      <w:rPr>
        <w:sz w:val="20"/>
        <w:szCs w:val="20"/>
      </w:rPr>
      <w:t>GE.18-05239</w:t>
    </w:r>
    <w:r w:rsidR="00FD4BC9">
      <w:rPr>
        <w:noProof/>
        <w:lang w:val="en-US" w:eastAsia="zh-CN"/>
      </w:rPr>
      <w:drawing>
        <wp:anchor distT="0" distB="0" distL="114300" distR="114300" simplePos="0" relativeHeight="251658240" behindDoc="1" locked="1" layoutInCell="0" allowOverlap="1" wp14:anchorId="2EC60427" wp14:editId="7D9A117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D46A0" w:rsidRPr="001D46A0" w:rsidRDefault="001D46A0" w:rsidP="001D46A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19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D0" w:rsidRPr="0054762C" w:rsidRDefault="00F42AD0" w:rsidP="000E524A">
      <w:pPr>
        <w:pStyle w:val="Footer"/>
        <w:bidi/>
        <w:spacing w:after="80" w:line="200" w:lineRule="exact"/>
        <w:ind w:left="680"/>
      </w:pPr>
      <w:r>
        <w:rPr>
          <w:rtl/>
        </w:rPr>
        <w:t>__________</w:t>
      </w:r>
    </w:p>
  </w:footnote>
  <w:footnote w:type="continuationSeparator" w:id="0">
    <w:p w:rsidR="00F42AD0" w:rsidRDefault="00F42AD0" w:rsidP="00656392">
      <w:pPr>
        <w:spacing w:line="240" w:lineRule="auto"/>
      </w:pPr>
      <w:r>
        <w:continuationSeparator/>
      </w:r>
    </w:p>
  </w:footnote>
  <w:footnote w:id="1">
    <w:p w:rsidR="0055788C" w:rsidRPr="00C72534" w:rsidRDefault="00C72534" w:rsidP="00C72534">
      <w:pPr>
        <w:pStyle w:val="FootnoteText"/>
        <w:widowControl w:val="0"/>
        <w:spacing w:after="60" w:line="300" w:lineRule="exact"/>
        <w:ind w:left="1247" w:right="1247" w:hanging="567"/>
        <w:textDirection w:val="tbRlV"/>
        <w:rPr>
          <w:sz w:val="18"/>
          <w:szCs w:val="26"/>
          <w:rtl/>
          <w:lang w:eastAsia="zh-TW"/>
        </w:rPr>
      </w:pPr>
      <w:r w:rsidRPr="00C72534">
        <w:rPr>
          <w:rFonts w:ascii="Traditional Arabic" w:hAnsi="Traditional Arabic"/>
          <w:sz w:val="26"/>
          <w:szCs w:val="26"/>
          <w:rtl/>
          <w:lang w:eastAsia="zh-TW"/>
        </w:rPr>
        <w:t>(</w:t>
      </w:r>
      <w:r w:rsidR="0055788C" w:rsidRPr="00C72534">
        <w:rPr>
          <w:rStyle w:val="FootnoteReference"/>
          <w:rFonts w:ascii="Traditional Arabic" w:hAnsi="Traditional Arabic"/>
          <w:sz w:val="26"/>
          <w:szCs w:val="26"/>
          <w:vertAlign w:val="baseline"/>
          <w:lang w:eastAsia="zh-TW"/>
        </w:rPr>
        <w:footnoteRef/>
      </w:r>
      <w:r w:rsidRPr="00C72534">
        <w:rPr>
          <w:rFonts w:ascii="Traditional Arabic" w:hAnsi="Traditional Arabic"/>
          <w:sz w:val="26"/>
          <w:szCs w:val="26"/>
          <w:lang w:eastAsia="zh-TW"/>
        </w:rPr>
        <w:t>(</w:t>
      </w:r>
      <w:r w:rsidR="00E2702A" w:rsidRPr="00C72534">
        <w:rPr>
          <w:sz w:val="18"/>
          <w:szCs w:val="26"/>
          <w:rtl/>
          <w:lang w:eastAsia="zh-TW"/>
        </w:rPr>
        <w:tab/>
      </w:r>
      <w:r w:rsidR="0055788C" w:rsidRPr="00C72534">
        <w:rPr>
          <w:sz w:val="18"/>
          <w:szCs w:val="26"/>
          <w:lang w:eastAsia="zh-TW"/>
        </w:rPr>
        <w:t>A/HRC/37/55</w:t>
      </w:r>
      <w:r>
        <w:rPr>
          <w:rFonts w:hint="cs"/>
          <w:sz w:val="18"/>
          <w:szCs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0" w:rsidRPr="00885D51" w:rsidRDefault="00885D51" w:rsidP="00885D51">
    <w:pPr>
      <w:pStyle w:val="Header"/>
      <w:jc w:val="right"/>
    </w:pPr>
    <w:r w:rsidRPr="00885D51">
      <w:t>A/HRC/RES/37/12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0" w:rsidRPr="00885D51" w:rsidRDefault="00885D51" w:rsidP="00885D51">
    <w:pPr>
      <w:pStyle w:val="Header"/>
      <w:jc w:val="left"/>
    </w:pPr>
    <w:r w:rsidRPr="00885D51">
      <w:t>A/HRC/RES/37/12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42AD0"/>
    <w:rsid w:val="000076D5"/>
    <w:rsid w:val="00043663"/>
    <w:rsid w:val="000505CF"/>
    <w:rsid w:val="000D701C"/>
    <w:rsid w:val="000E2A71"/>
    <w:rsid w:val="000E524A"/>
    <w:rsid w:val="00160263"/>
    <w:rsid w:val="001773DB"/>
    <w:rsid w:val="00181F96"/>
    <w:rsid w:val="001A1371"/>
    <w:rsid w:val="001B346A"/>
    <w:rsid w:val="001D46A0"/>
    <w:rsid w:val="001E1CAD"/>
    <w:rsid w:val="001E290D"/>
    <w:rsid w:val="002144FA"/>
    <w:rsid w:val="0023469A"/>
    <w:rsid w:val="00243C8A"/>
    <w:rsid w:val="00267A0E"/>
    <w:rsid w:val="00273E91"/>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5788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B79AE"/>
    <w:rsid w:val="006C104C"/>
    <w:rsid w:val="00733704"/>
    <w:rsid w:val="00740188"/>
    <w:rsid w:val="0078071A"/>
    <w:rsid w:val="007A70BB"/>
    <w:rsid w:val="00852A9A"/>
    <w:rsid w:val="00871544"/>
    <w:rsid w:val="00885D51"/>
    <w:rsid w:val="008930DB"/>
    <w:rsid w:val="00895D16"/>
    <w:rsid w:val="008B295B"/>
    <w:rsid w:val="008F49E1"/>
    <w:rsid w:val="0090370F"/>
    <w:rsid w:val="009269D2"/>
    <w:rsid w:val="0093571A"/>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72534"/>
    <w:rsid w:val="00C81B50"/>
    <w:rsid w:val="00CA655B"/>
    <w:rsid w:val="00CB3C3C"/>
    <w:rsid w:val="00CD1801"/>
    <w:rsid w:val="00D10EF1"/>
    <w:rsid w:val="00D37E75"/>
    <w:rsid w:val="00D42810"/>
    <w:rsid w:val="00D914A7"/>
    <w:rsid w:val="00DD13C3"/>
    <w:rsid w:val="00DD596E"/>
    <w:rsid w:val="00DD621E"/>
    <w:rsid w:val="00DF0575"/>
    <w:rsid w:val="00E2702A"/>
    <w:rsid w:val="00E70E04"/>
    <w:rsid w:val="00EC05A7"/>
    <w:rsid w:val="00EC4B6B"/>
    <w:rsid w:val="00ED7442"/>
    <w:rsid w:val="00EE0B18"/>
    <w:rsid w:val="00EF1EE5"/>
    <w:rsid w:val="00F42AD0"/>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4E31299-5425-43BA-B95B-8AFBAE04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55788C"/>
    <w:pPr>
      <w:suppressAutoHyphens/>
      <w:bidi w:val="0"/>
      <w:spacing w:after="120"/>
      <w:ind w:left="1134" w:right="1134"/>
      <w:jc w:val="both"/>
    </w:pPr>
    <w:rPr>
      <w:rFonts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1E45-286E-4946-80BE-EBB93A56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A/HRC/RES/37/12</vt:lpstr>
    </vt:vector>
  </TitlesOfParts>
  <Company>DCM</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A/HRC/RES/37/12</dc:title>
  <dc:subject>GE.1805239A</dc:subject>
  <dc:creator>BAH - MBOU</dc:creator>
  <cp:keywords>ODS No.1808463A</cp:keywords>
  <dc:description>Distr.: General
5 April 2018
Original: English</dc:description>
  <cp:lastModifiedBy>Generic Tpsara</cp:lastModifiedBy>
  <cp:revision>2</cp:revision>
  <dcterms:created xsi:type="dcterms:W3CDTF">2018-04-10T13:32:00Z</dcterms:created>
  <dcterms:modified xsi:type="dcterms:W3CDTF">2018-04-10T13:32:00Z</dcterms:modified>
  <cp:category>Final</cp:category>
</cp:coreProperties>
</file>