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836BD1" w:rsidRDefault="00836BD1" w:rsidP="000E62AA">
            <w:pPr>
              <w:spacing w:line="240" w:lineRule="atLeast"/>
              <w:jc w:val="right"/>
              <w:rPr>
                <w:sz w:val="20"/>
                <w:szCs w:val="21"/>
              </w:rPr>
            </w:pPr>
            <w:r w:rsidRPr="00836BD1">
              <w:rPr>
                <w:sz w:val="40"/>
                <w:szCs w:val="21"/>
              </w:rPr>
              <w:t>A</w:t>
            </w:r>
            <w:r>
              <w:rPr>
                <w:sz w:val="20"/>
                <w:szCs w:val="21"/>
              </w:rPr>
              <w:t>/</w:t>
            </w:r>
            <w:proofErr w:type="spellStart"/>
            <w:r>
              <w:rPr>
                <w:sz w:val="20"/>
                <w:szCs w:val="21"/>
              </w:rPr>
              <w:t>HRC</w:t>
            </w:r>
            <w:proofErr w:type="spellEnd"/>
            <w:r>
              <w:rPr>
                <w:sz w:val="20"/>
                <w:szCs w:val="21"/>
              </w:rPr>
              <w:t>/35/</w:t>
            </w:r>
            <w:proofErr w:type="spellStart"/>
            <w:r>
              <w:rPr>
                <w:sz w:val="20"/>
                <w:szCs w:val="21"/>
              </w:rPr>
              <w:t>L.14</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836BD1" w:rsidRPr="00836BD1" w:rsidRDefault="00A1364C" w:rsidP="00836BD1">
            <w:pPr>
              <w:spacing w:before="240" w:line="240" w:lineRule="exact"/>
              <w:rPr>
                <w:sz w:val="20"/>
              </w:rPr>
            </w:pPr>
            <w:r w:rsidRPr="00836BD1">
              <w:rPr>
                <w:sz w:val="20"/>
              </w:rPr>
              <w:t>Distr.:</w:t>
            </w:r>
            <w:r w:rsidR="00836BD1" w:rsidRPr="00836BD1">
              <w:rPr>
                <w:sz w:val="20"/>
              </w:rPr>
              <w:t xml:space="preserve"> Limited</w:t>
            </w:r>
          </w:p>
          <w:p w:rsidR="00A1364C" w:rsidRPr="00836BD1" w:rsidRDefault="00836BD1" w:rsidP="00836BD1">
            <w:pPr>
              <w:spacing w:line="240" w:lineRule="atLeast"/>
              <w:rPr>
                <w:sz w:val="20"/>
              </w:rPr>
            </w:pPr>
            <w:r w:rsidRPr="00836BD1">
              <w:rPr>
                <w:sz w:val="20"/>
              </w:rPr>
              <w:t xml:space="preserve">19 June </w:t>
            </w:r>
            <w:r w:rsidR="008B4347" w:rsidRPr="00836BD1">
              <w:rPr>
                <w:sz w:val="20"/>
              </w:rPr>
              <w:t>201</w:t>
            </w:r>
            <w:r w:rsidR="00F664DD" w:rsidRPr="00836BD1">
              <w:rPr>
                <w:sz w:val="20"/>
              </w:rPr>
              <w:t>7</w:t>
            </w:r>
          </w:p>
          <w:p w:rsidR="00A1364C" w:rsidRPr="00F124C6" w:rsidRDefault="00836BD1" w:rsidP="000E62AA">
            <w:pPr>
              <w:spacing w:line="240" w:lineRule="atLeast"/>
              <w:rPr>
                <w:sz w:val="20"/>
              </w:rPr>
            </w:pPr>
            <w:r>
              <w:rPr>
                <w:sz w:val="20"/>
              </w:rPr>
              <w:t>Chinese</w:t>
            </w:r>
          </w:p>
          <w:p w:rsidR="00A1364C" w:rsidRPr="00F124C6" w:rsidRDefault="00A1364C" w:rsidP="000E62AA">
            <w:pPr>
              <w:spacing w:line="240" w:lineRule="atLeast"/>
            </w:pPr>
            <w:r w:rsidRPr="00F124C6">
              <w:rPr>
                <w:sz w:val="20"/>
              </w:rPr>
              <w:t>Original: English</w:t>
            </w:r>
          </w:p>
        </w:tc>
      </w:tr>
    </w:tbl>
    <w:p w:rsidR="006C67F4" w:rsidRPr="002103D3" w:rsidRDefault="006C67F4" w:rsidP="006C67F4">
      <w:pPr>
        <w:spacing w:before="120"/>
        <w:rPr>
          <w:rFonts w:eastAsia="黑体"/>
          <w:b/>
          <w:spacing w:val="4"/>
          <w:sz w:val="24"/>
          <w:szCs w:val="24"/>
        </w:rPr>
      </w:pPr>
      <w:r w:rsidRPr="002103D3">
        <w:rPr>
          <w:rFonts w:eastAsia="黑体"/>
          <w:spacing w:val="4"/>
          <w:sz w:val="24"/>
          <w:szCs w:val="24"/>
          <w:lang w:val="zh-CN"/>
        </w:rPr>
        <w:t>人权理事会</w:t>
      </w:r>
    </w:p>
    <w:p w:rsidR="006C67F4" w:rsidRPr="002103D3" w:rsidRDefault="006C67F4" w:rsidP="006C67F4">
      <w:pPr>
        <w:rPr>
          <w:rFonts w:eastAsia="黑体"/>
          <w:b/>
          <w:szCs w:val="21"/>
        </w:rPr>
      </w:pPr>
      <w:r w:rsidRPr="002103D3">
        <w:rPr>
          <w:rFonts w:eastAsia="黑体"/>
          <w:szCs w:val="21"/>
          <w:lang w:val="zh-CN"/>
        </w:rPr>
        <w:t>第三十五届会议</w:t>
      </w:r>
    </w:p>
    <w:p w:rsidR="006C67F4" w:rsidRPr="002103D3" w:rsidRDefault="006C67F4" w:rsidP="006C67F4">
      <w:pPr>
        <w:rPr>
          <w:rFonts w:eastAsiaTheme="minorEastAsia"/>
          <w:szCs w:val="21"/>
        </w:rPr>
      </w:pPr>
      <w:r w:rsidRPr="002103D3">
        <w:rPr>
          <w:rFonts w:eastAsiaTheme="minorEastAsia"/>
          <w:szCs w:val="21"/>
          <w:lang w:val="zh-CN"/>
        </w:rPr>
        <w:t>2017</w:t>
      </w:r>
      <w:r w:rsidRPr="002103D3">
        <w:rPr>
          <w:rFonts w:eastAsiaTheme="minorEastAsia"/>
          <w:szCs w:val="21"/>
          <w:lang w:val="zh-CN"/>
        </w:rPr>
        <w:t>年</w:t>
      </w:r>
      <w:r w:rsidRPr="002103D3">
        <w:rPr>
          <w:rFonts w:eastAsiaTheme="minorEastAsia"/>
          <w:szCs w:val="21"/>
          <w:lang w:val="zh-CN"/>
        </w:rPr>
        <w:t>6</w:t>
      </w:r>
      <w:r w:rsidRPr="002103D3">
        <w:rPr>
          <w:rFonts w:eastAsiaTheme="minorEastAsia"/>
          <w:szCs w:val="21"/>
          <w:lang w:val="zh-CN"/>
        </w:rPr>
        <w:t>月</w:t>
      </w:r>
      <w:r w:rsidRPr="002103D3">
        <w:rPr>
          <w:rFonts w:eastAsiaTheme="minorEastAsia"/>
          <w:szCs w:val="21"/>
          <w:lang w:val="zh-CN"/>
        </w:rPr>
        <w:t>6</w:t>
      </w:r>
      <w:r w:rsidRPr="002103D3">
        <w:rPr>
          <w:rFonts w:eastAsiaTheme="minorEastAsia"/>
          <w:szCs w:val="21"/>
          <w:lang w:val="zh-CN"/>
        </w:rPr>
        <w:t>日至</w:t>
      </w:r>
      <w:r w:rsidRPr="002103D3">
        <w:rPr>
          <w:rFonts w:eastAsiaTheme="minorEastAsia"/>
          <w:szCs w:val="21"/>
          <w:lang w:val="zh-CN"/>
        </w:rPr>
        <w:t>23</w:t>
      </w:r>
      <w:r w:rsidRPr="002103D3">
        <w:rPr>
          <w:rFonts w:eastAsiaTheme="minorEastAsia"/>
          <w:szCs w:val="21"/>
          <w:lang w:val="zh-CN"/>
        </w:rPr>
        <w:t>日</w:t>
      </w:r>
    </w:p>
    <w:p w:rsidR="006C67F4" w:rsidRPr="002103D3" w:rsidRDefault="006C67F4" w:rsidP="006C67F4">
      <w:pPr>
        <w:rPr>
          <w:rFonts w:eastAsiaTheme="minorEastAsia"/>
          <w:szCs w:val="21"/>
        </w:rPr>
      </w:pPr>
      <w:r w:rsidRPr="002103D3">
        <w:rPr>
          <w:rFonts w:eastAsiaTheme="minorEastAsia"/>
          <w:szCs w:val="21"/>
          <w:lang w:val="zh-CN"/>
        </w:rPr>
        <w:t>议程项目</w:t>
      </w:r>
      <w:r w:rsidRPr="002103D3">
        <w:rPr>
          <w:rFonts w:eastAsiaTheme="minorEastAsia"/>
          <w:szCs w:val="21"/>
          <w:lang w:val="zh-CN"/>
        </w:rPr>
        <w:t>3</w:t>
      </w:r>
    </w:p>
    <w:p w:rsidR="006C67F4" w:rsidRPr="002103D3" w:rsidRDefault="006C67F4" w:rsidP="006C67F4">
      <w:pPr>
        <w:rPr>
          <w:rFonts w:eastAsia="黑体"/>
          <w:b/>
          <w:szCs w:val="21"/>
        </w:rPr>
      </w:pPr>
      <w:r w:rsidRPr="002103D3">
        <w:rPr>
          <w:rFonts w:eastAsia="黑体"/>
          <w:szCs w:val="21"/>
          <w:lang w:val="zh-CN"/>
        </w:rPr>
        <w:t>增进和保护所有人权</w:t>
      </w:r>
      <w:r w:rsidR="002103D3">
        <w:rPr>
          <w:rFonts w:hint="eastAsia"/>
          <w:spacing w:val="-50"/>
        </w:rPr>
        <w:t>―</w:t>
      </w:r>
      <w:r w:rsidR="002103D3">
        <w:rPr>
          <w:rFonts w:hint="eastAsia"/>
        </w:rPr>
        <w:t>―</w:t>
      </w:r>
      <w:r w:rsidRPr="002103D3">
        <w:rPr>
          <w:rFonts w:eastAsia="黑体"/>
          <w:szCs w:val="21"/>
          <w:lang w:val="zh-CN"/>
        </w:rPr>
        <w:t>公民权利、政治权利、</w:t>
      </w:r>
      <w:r w:rsidR="002103D3">
        <w:rPr>
          <w:rFonts w:eastAsia="黑体"/>
          <w:szCs w:val="21"/>
          <w:lang w:val="zh-CN"/>
        </w:rPr>
        <w:br/>
      </w:r>
      <w:r w:rsidRPr="002103D3">
        <w:rPr>
          <w:rFonts w:eastAsia="黑体"/>
          <w:szCs w:val="21"/>
          <w:lang w:val="zh-CN"/>
        </w:rPr>
        <w:t>经济、社会</w:t>
      </w:r>
      <w:r w:rsidRPr="002103D3">
        <w:rPr>
          <w:rFonts w:eastAsia="黑体" w:hint="eastAsia"/>
          <w:szCs w:val="21"/>
        </w:rPr>
        <w:t>及</w:t>
      </w:r>
      <w:r w:rsidRPr="002103D3">
        <w:rPr>
          <w:rFonts w:eastAsia="黑体"/>
          <w:szCs w:val="21"/>
          <w:lang w:val="zh-CN"/>
        </w:rPr>
        <w:t>文化权利，包括发展权</w:t>
      </w:r>
      <w:bookmarkStart w:id="0" w:name="_GoBack"/>
      <w:bookmarkEnd w:id="0"/>
    </w:p>
    <w:p w:rsidR="006C67F4" w:rsidRPr="00952908" w:rsidRDefault="006C67F4" w:rsidP="00952908">
      <w:pPr>
        <w:pStyle w:val="H23GC"/>
        <w:jc w:val="both"/>
      </w:pPr>
      <w:r w:rsidRPr="00952908">
        <w:rPr>
          <w:lang w:val="zh-CN"/>
        </w:rPr>
        <w:tab/>
      </w:r>
      <w:r w:rsidRPr="00952908">
        <w:rPr>
          <w:lang w:val="zh-CN"/>
        </w:rPr>
        <w:tab/>
      </w:r>
      <w:r w:rsidRPr="00952908">
        <w:rPr>
          <w:lang w:val="zh-CN"/>
        </w:rPr>
        <w:t>安道尔</w:t>
      </w:r>
      <w:r w:rsidRPr="00952908">
        <w:rPr>
          <w:rStyle w:val="a7"/>
          <w:sz w:val="22"/>
          <w:szCs w:val="22"/>
          <w:vertAlign w:val="baseline"/>
          <w:lang w:val="zh-CN"/>
        </w:rPr>
        <w:footnoteReference w:customMarkFollows="1" w:id="2"/>
        <w:t>*</w:t>
      </w:r>
      <w:r w:rsidR="00470165" w:rsidRPr="00952908">
        <w:rPr>
          <w:lang w:val="zh-CN"/>
        </w:rPr>
        <w:t>、</w:t>
      </w:r>
      <w:r w:rsidRPr="00952908">
        <w:rPr>
          <w:lang w:val="zh-CN"/>
        </w:rPr>
        <w:t>阿塞拜疆</w:t>
      </w:r>
      <w:r w:rsidRPr="00952908">
        <w:rPr>
          <w:rStyle w:val="a7"/>
          <w:sz w:val="22"/>
          <w:szCs w:val="22"/>
          <w:vertAlign w:val="baseline"/>
        </w:rPr>
        <w:t>*</w:t>
      </w:r>
      <w:r w:rsidRPr="00952908">
        <w:rPr>
          <w:lang w:val="zh-CN"/>
        </w:rPr>
        <w:t>、巴西、埃及</w:t>
      </w:r>
      <w:r w:rsidR="006160DA" w:rsidRPr="00952908">
        <w:rPr>
          <w:rStyle w:val="a7"/>
          <w:sz w:val="22"/>
          <w:szCs w:val="22"/>
          <w:lang w:val="zh-CN"/>
        </w:rPr>
        <w:footnoteReference w:customMarkFollows="1" w:id="3"/>
        <w:t>†</w:t>
      </w:r>
      <w:r w:rsidRPr="00952908">
        <w:rPr>
          <w:lang w:val="zh-CN"/>
        </w:rPr>
        <w:t>、埃塞俄比亚</w:t>
      </w:r>
      <w:r w:rsidRPr="00952908">
        <w:rPr>
          <w:rFonts w:hint="eastAsia"/>
          <w:lang w:val="zh-CN"/>
        </w:rPr>
        <w:t>、</w:t>
      </w:r>
      <w:r w:rsidRPr="00952908">
        <w:rPr>
          <w:lang w:val="zh-CN"/>
        </w:rPr>
        <w:t>斐济</w:t>
      </w:r>
      <w:r w:rsidRPr="00952908">
        <w:rPr>
          <w:rStyle w:val="a7"/>
          <w:sz w:val="22"/>
          <w:szCs w:val="22"/>
          <w:vertAlign w:val="baseline"/>
        </w:rPr>
        <w:t>*</w:t>
      </w:r>
      <w:r w:rsidRPr="00952908">
        <w:rPr>
          <w:rFonts w:hint="eastAsia"/>
          <w:lang w:val="zh-CN"/>
        </w:rPr>
        <w:t>、</w:t>
      </w:r>
      <w:r w:rsidRPr="00952908">
        <w:rPr>
          <w:lang w:val="zh-CN"/>
        </w:rPr>
        <w:t>以色列</w:t>
      </w:r>
      <w:r w:rsidRPr="00952908">
        <w:rPr>
          <w:rStyle w:val="a7"/>
          <w:sz w:val="22"/>
          <w:szCs w:val="22"/>
          <w:vertAlign w:val="baseline"/>
        </w:rPr>
        <w:t>*</w:t>
      </w:r>
      <w:r w:rsidRPr="00952908">
        <w:rPr>
          <w:rFonts w:hint="eastAsia"/>
          <w:lang w:val="zh-CN"/>
        </w:rPr>
        <w:t>、</w:t>
      </w:r>
      <w:r w:rsidRPr="00952908">
        <w:rPr>
          <w:lang w:val="zh-CN"/>
        </w:rPr>
        <w:t>日本、</w:t>
      </w:r>
      <w:r w:rsidR="00952908" w:rsidRPr="00952908">
        <w:rPr>
          <w:spacing w:val="2"/>
          <w:lang w:val="zh-CN"/>
        </w:rPr>
        <w:t>摩洛哥</w:t>
      </w:r>
      <w:r w:rsidR="00952908" w:rsidRPr="00952908">
        <w:rPr>
          <w:rStyle w:val="a7"/>
          <w:spacing w:val="2"/>
          <w:sz w:val="22"/>
          <w:szCs w:val="22"/>
          <w:vertAlign w:val="baseline"/>
        </w:rPr>
        <w:t>*</w:t>
      </w:r>
      <w:r w:rsidR="00952908" w:rsidRPr="00952908">
        <w:rPr>
          <w:rFonts w:hint="eastAsia"/>
          <w:spacing w:val="2"/>
          <w:lang w:val="zh-CN"/>
        </w:rPr>
        <w:t>、</w:t>
      </w:r>
      <w:r w:rsidRPr="00952908">
        <w:rPr>
          <w:spacing w:val="2"/>
          <w:lang w:val="zh-CN"/>
        </w:rPr>
        <w:t>大韩民国、泰国</w:t>
      </w:r>
      <w:r w:rsidRPr="00952908">
        <w:rPr>
          <w:rStyle w:val="a7"/>
          <w:spacing w:val="2"/>
          <w:sz w:val="22"/>
          <w:szCs w:val="22"/>
          <w:vertAlign w:val="baseline"/>
        </w:rPr>
        <w:t>*</w:t>
      </w:r>
      <w:r w:rsidRPr="00952908">
        <w:rPr>
          <w:spacing w:val="2"/>
          <w:lang w:val="zh-CN"/>
        </w:rPr>
        <w:t>、乌克兰</w:t>
      </w:r>
      <w:r w:rsidRPr="00952908">
        <w:rPr>
          <w:rStyle w:val="a7"/>
          <w:spacing w:val="2"/>
          <w:sz w:val="22"/>
          <w:szCs w:val="22"/>
          <w:vertAlign w:val="baseline"/>
        </w:rPr>
        <w:t>*</w:t>
      </w:r>
      <w:r w:rsidRPr="00952908">
        <w:rPr>
          <w:spacing w:val="2"/>
          <w:lang w:val="zh-CN"/>
        </w:rPr>
        <w:t>、委内瑞拉</w:t>
      </w:r>
      <w:r w:rsidR="00722169" w:rsidRPr="00952908">
        <w:rPr>
          <w:rFonts w:hint="eastAsia"/>
          <w:spacing w:val="2"/>
          <w:lang w:val="zh-CN"/>
        </w:rPr>
        <w:t>(</w:t>
      </w:r>
      <w:r w:rsidRPr="00952908">
        <w:rPr>
          <w:spacing w:val="2"/>
          <w:lang w:val="zh-CN"/>
        </w:rPr>
        <w:t>玻利瓦尔共和国</w:t>
      </w:r>
      <w:r w:rsidR="00722169" w:rsidRPr="00952908">
        <w:rPr>
          <w:rFonts w:hint="eastAsia"/>
          <w:spacing w:val="2"/>
          <w:lang w:val="zh-CN"/>
        </w:rPr>
        <w:t>)</w:t>
      </w:r>
      <w:r w:rsidRPr="00952908">
        <w:rPr>
          <w:spacing w:val="2"/>
          <w:lang w:val="zh-CN"/>
        </w:rPr>
        <w:t>、赞比亚</w:t>
      </w:r>
      <w:r w:rsidRPr="00952908">
        <w:rPr>
          <w:rStyle w:val="a7"/>
          <w:spacing w:val="2"/>
          <w:sz w:val="22"/>
          <w:szCs w:val="22"/>
          <w:vertAlign w:val="baseline"/>
        </w:rPr>
        <w:t>*</w:t>
      </w:r>
      <w:r w:rsidRPr="00952908">
        <w:rPr>
          <w:spacing w:val="2"/>
          <w:lang w:val="zh-CN"/>
        </w:rPr>
        <w:t>：</w:t>
      </w:r>
      <w:r w:rsidRPr="00952908">
        <w:rPr>
          <w:rFonts w:hint="eastAsia"/>
          <w:lang w:val="zh-CN"/>
        </w:rPr>
        <w:t>决</w:t>
      </w:r>
      <w:r w:rsidRPr="00952908">
        <w:rPr>
          <w:lang w:val="zh-CN"/>
        </w:rPr>
        <w:t>议草案</w:t>
      </w:r>
    </w:p>
    <w:p w:rsidR="006C67F4" w:rsidRPr="007A45D3" w:rsidRDefault="000F6694" w:rsidP="003558AF">
      <w:pPr>
        <w:pStyle w:val="H23GC"/>
        <w:spacing w:before="360"/>
      </w:pPr>
      <w:r>
        <w:rPr>
          <w:lang w:val="zh-CN"/>
        </w:rPr>
        <w:tab/>
      </w:r>
      <w:r>
        <w:rPr>
          <w:lang w:val="zh-CN"/>
        </w:rPr>
        <w:tab/>
      </w:r>
      <w:r w:rsidR="006C67F4">
        <w:rPr>
          <w:lang w:val="zh-CN"/>
        </w:rPr>
        <w:t>35/…</w:t>
      </w:r>
      <w:r>
        <w:rPr>
          <w:lang w:val="zh-CN"/>
        </w:rPr>
        <w:br/>
      </w:r>
      <w:r w:rsidR="006C67F4">
        <w:rPr>
          <w:lang w:val="zh-CN"/>
        </w:rPr>
        <w:t>消除对麻风病患者及其家人的歧视</w:t>
      </w:r>
    </w:p>
    <w:p w:rsidR="006C67F4" w:rsidRPr="00007337" w:rsidRDefault="006C67F4" w:rsidP="00007337">
      <w:pPr>
        <w:pStyle w:val="SingleTxtGC"/>
        <w:ind w:firstLine="431"/>
        <w:rPr>
          <w:rFonts w:eastAsia="楷体"/>
        </w:rPr>
      </w:pPr>
      <w:r w:rsidRPr="00007337">
        <w:rPr>
          <w:rFonts w:eastAsia="楷体"/>
          <w:lang w:val="zh-CN"/>
        </w:rPr>
        <w:t>人权理事会，</w:t>
      </w:r>
    </w:p>
    <w:p w:rsidR="006C67F4" w:rsidRPr="00E20404" w:rsidRDefault="006C67F4" w:rsidP="00BC7E91">
      <w:pPr>
        <w:pStyle w:val="SingleTxtGC"/>
        <w:spacing w:after="180"/>
        <w:ind w:firstLine="431"/>
      </w:pPr>
      <w:r w:rsidRPr="00007337">
        <w:rPr>
          <w:rFonts w:eastAsia="楷体"/>
          <w:lang w:val="zh-CN"/>
        </w:rPr>
        <w:t>遵循</w:t>
      </w:r>
      <w:r>
        <w:rPr>
          <w:lang w:val="zh-CN"/>
        </w:rPr>
        <w:t>《联合国宪章》的宗旨、原则和规定，</w:t>
      </w:r>
    </w:p>
    <w:p w:rsidR="006C67F4" w:rsidRPr="00E20404" w:rsidRDefault="006C67F4" w:rsidP="00BC7E91">
      <w:pPr>
        <w:pStyle w:val="SingleTxtGC"/>
        <w:spacing w:after="180"/>
        <w:ind w:firstLine="431"/>
      </w:pPr>
      <w:r w:rsidRPr="00D849C1">
        <w:rPr>
          <w:rFonts w:eastAsia="楷体"/>
          <w:lang w:val="zh-CN"/>
        </w:rPr>
        <w:t>又遵循</w:t>
      </w:r>
      <w:r>
        <w:rPr>
          <w:lang w:val="zh-CN"/>
        </w:rPr>
        <w:t>《世界人权宣言》，并回顾有关国际人权文书，包括《经济、社会、文化权利国际公约》、《公民权利和政治权利国际公约》、《残疾人权利公约》、《消除对妇女一切形式歧视公约》和《儿童权利公约》，</w:t>
      </w:r>
    </w:p>
    <w:p w:rsidR="006C67F4" w:rsidRPr="00E20404" w:rsidRDefault="006C67F4" w:rsidP="00BC7E91">
      <w:pPr>
        <w:pStyle w:val="SingleTxtGC"/>
        <w:spacing w:after="180"/>
        <w:ind w:firstLine="431"/>
      </w:pPr>
      <w:r w:rsidRPr="00D849C1">
        <w:rPr>
          <w:rFonts w:eastAsia="楷体"/>
          <w:lang w:val="zh-CN"/>
        </w:rPr>
        <w:t>回顾</w:t>
      </w:r>
      <w:r>
        <w:rPr>
          <w:lang w:val="zh-CN"/>
        </w:rPr>
        <w:t>理事会</w:t>
      </w:r>
      <w:r>
        <w:rPr>
          <w:lang w:val="zh-CN"/>
        </w:rPr>
        <w:t>2007</w:t>
      </w:r>
      <w:r>
        <w:rPr>
          <w:lang w:val="zh-CN"/>
        </w:rPr>
        <w:t>年</w:t>
      </w:r>
      <w:r>
        <w:rPr>
          <w:lang w:val="zh-CN"/>
        </w:rPr>
        <w:t>6</w:t>
      </w:r>
      <w:r>
        <w:rPr>
          <w:lang w:val="zh-CN"/>
        </w:rPr>
        <w:t>月</w:t>
      </w:r>
      <w:r>
        <w:rPr>
          <w:lang w:val="zh-CN"/>
        </w:rPr>
        <w:t>18</w:t>
      </w:r>
      <w:r>
        <w:rPr>
          <w:lang w:val="zh-CN"/>
        </w:rPr>
        <w:t>日关于人权理事会体制建设的第</w:t>
      </w:r>
      <w:r>
        <w:rPr>
          <w:lang w:val="zh-CN"/>
        </w:rPr>
        <w:t>5/1</w:t>
      </w:r>
      <w:r>
        <w:rPr>
          <w:lang w:val="zh-CN"/>
        </w:rPr>
        <w:t>号决议和关于理事会特别程序任务负责人行为守则的第</w:t>
      </w:r>
      <w:r>
        <w:rPr>
          <w:lang w:val="zh-CN"/>
        </w:rPr>
        <w:t>5/2</w:t>
      </w:r>
      <w:r>
        <w:rPr>
          <w:lang w:val="zh-CN"/>
        </w:rPr>
        <w:t>号决议，强调任务负责人应根据这两项决议及其附件履行职责，</w:t>
      </w:r>
    </w:p>
    <w:p w:rsidR="006C67F4" w:rsidRPr="00E20404" w:rsidRDefault="006C67F4" w:rsidP="00BC7E91">
      <w:pPr>
        <w:pStyle w:val="SingleTxtGC"/>
        <w:spacing w:after="180"/>
        <w:ind w:firstLine="431"/>
      </w:pPr>
      <w:r w:rsidRPr="00D849C1">
        <w:rPr>
          <w:rFonts w:eastAsia="楷体"/>
          <w:lang w:val="zh-CN"/>
        </w:rPr>
        <w:t>又回顾</w:t>
      </w:r>
      <w:r>
        <w:rPr>
          <w:lang w:val="zh-CN"/>
        </w:rPr>
        <w:t>人权理事会</w:t>
      </w:r>
      <w:r>
        <w:rPr>
          <w:lang w:val="zh-CN"/>
        </w:rPr>
        <w:t>2008</w:t>
      </w:r>
      <w:r>
        <w:rPr>
          <w:lang w:val="zh-CN"/>
        </w:rPr>
        <w:t>年</w:t>
      </w:r>
      <w:r>
        <w:rPr>
          <w:lang w:val="zh-CN"/>
        </w:rPr>
        <w:t>6</w:t>
      </w:r>
      <w:r>
        <w:rPr>
          <w:lang w:val="zh-CN"/>
        </w:rPr>
        <w:t>月</w:t>
      </w:r>
      <w:r>
        <w:rPr>
          <w:lang w:val="zh-CN"/>
        </w:rPr>
        <w:t>18</w:t>
      </w:r>
      <w:r>
        <w:rPr>
          <w:lang w:val="zh-CN"/>
        </w:rPr>
        <w:t>日第</w:t>
      </w:r>
      <w:r>
        <w:rPr>
          <w:lang w:val="zh-CN"/>
        </w:rPr>
        <w:t>8/13</w:t>
      </w:r>
      <w:r>
        <w:rPr>
          <w:lang w:val="zh-CN"/>
        </w:rPr>
        <w:t>号决议、</w:t>
      </w:r>
      <w:r>
        <w:rPr>
          <w:lang w:val="zh-CN"/>
        </w:rPr>
        <w:t>2009</w:t>
      </w:r>
      <w:r>
        <w:rPr>
          <w:lang w:val="zh-CN"/>
        </w:rPr>
        <w:t>年</w:t>
      </w:r>
      <w:r>
        <w:rPr>
          <w:lang w:val="zh-CN"/>
        </w:rPr>
        <w:t>10</w:t>
      </w:r>
      <w:r>
        <w:rPr>
          <w:lang w:val="zh-CN"/>
        </w:rPr>
        <w:t>月</w:t>
      </w:r>
      <w:r>
        <w:rPr>
          <w:lang w:val="zh-CN"/>
        </w:rPr>
        <w:t>1</w:t>
      </w:r>
      <w:r>
        <w:rPr>
          <w:lang w:val="zh-CN"/>
        </w:rPr>
        <w:t>日第</w:t>
      </w:r>
      <w:r>
        <w:rPr>
          <w:lang w:val="zh-CN"/>
        </w:rPr>
        <w:t>12/7</w:t>
      </w:r>
      <w:r>
        <w:rPr>
          <w:lang w:val="zh-CN"/>
        </w:rPr>
        <w:t>号决议、</w:t>
      </w:r>
      <w:r>
        <w:rPr>
          <w:lang w:val="zh-CN"/>
        </w:rPr>
        <w:t>2010</w:t>
      </w:r>
      <w:r>
        <w:rPr>
          <w:lang w:val="zh-CN"/>
        </w:rPr>
        <w:t>年</w:t>
      </w:r>
      <w:r>
        <w:rPr>
          <w:lang w:val="zh-CN"/>
        </w:rPr>
        <w:t>9</w:t>
      </w:r>
      <w:r>
        <w:rPr>
          <w:lang w:val="zh-CN"/>
        </w:rPr>
        <w:t>月</w:t>
      </w:r>
      <w:r>
        <w:rPr>
          <w:lang w:val="zh-CN"/>
        </w:rPr>
        <w:t>30</w:t>
      </w:r>
      <w:r>
        <w:rPr>
          <w:lang w:val="zh-CN"/>
        </w:rPr>
        <w:t>日第</w:t>
      </w:r>
      <w:r>
        <w:rPr>
          <w:lang w:val="zh-CN"/>
        </w:rPr>
        <w:t>15/10</w:t>
      </w:r>
      <w:r>
        <w:rPr>
          <w:lang w:val="zh-CN"/>
        </w:rPr>
        <w:t>号决议和</w:t>
      </w:r>
      <w:r>
        <w:rPr>
          <w:lang w:val="zh-CN"/>
        </w:rPr>
        <w:t>2015</w:t>
      </w:r>
      <w:r>
        <w:rPr>
          <w:lang w:val="zh-CN"/>
        </w:rPr>
        <w:t>年</w:t>
      </w:r>
      <w:r>
        <w:rPr>
          <w:lang w:val="zh-CN"/>
        </w:rPr>
        <w:t>7</w:t>
      </w:r>
      <w:r>
        <w:rPr>
          <w:lang w:val="zh-CN"/>
        </w:rPr>
        <w:t>月</w:t>
      </w:r>
      <w:r>
        <w:rPr>
          <w:lang w:val="zh-CN"/>
        </w:rPr>
        <w:t>2</w:t>
      </w:r>
      <w:r>
        <w:rPr>
          <w:lang w:val="zh-CN"/>
        </w:rPr>
        <w:t>日第</w:t>
      </w:r>
      <w:r>
        <w:rPr>
          <w:lang w:val="zh-CN"/>
        </w:rPr>
        <w:t>29/5</w:t>
      </w:r>
      <w:r>
        <w:rPr>
          <w:lang w:val="zh-CN"/>
        </w:rPr>
        <w:t>号决议，以及大会</w:t>
      </w:r>
      <w:r>
        <w:rPr>
          <w:lang w:val="zh-CN"/>
        </w:rPr>
        <w:t>2010</w:t>
      </w:r>
      <w:r>
        <w:rPr>
          <w:lang w:val="zh-CN"/>
        </w:rPr>
        <w:t>年</w:t>
      </w:r>
      <w:r>
        <w:rPr>
          <w:lang w:val="zh-CN"/>
        </w:rPr>
        <w:t>12</w:t>
      </w:r>
      <w:r>
        <w:rPr>
          <w:lang w:val="zh-CN"/>
        </w:rPr>
        <w:t>月</w:t>
      </w:r>
      <w:r>
        <w:rPr>
          <w:lang w:val="zh-CN"/>
        </w:rPr>
        <w:t>21</w:t>
      </w:r>
      <w:r>
        <w:rPr>
          <w:lang w:val="zh-CN"/>
        </w:rPr>
        <w:t>日第</w:t>
      </w:r>
      <w:r>
        <w:rPr>
          <w:lang w:val="zh-CN"/>
        </w:rPr>
        <w:t>65/215</w:t>
      </w:r>
      <w:r>
        <w:rPr>
          <w:lang w:val="zh-CN"/>
        </w:rPr>
        <w:t>号决议，</w:t>
      </w:r>
    </w:p>
    <w:p w:rsidR="006C67F4" w:rsidRPr="00E20404" w:rsidRDefault="006C67F4" w:rsidP="00BC7E91">
      <w:pPr>
        <w:pStyle w:val="SingleTxtGC"/>
        <w:spacing w:after="180"/>
        <w:ind w:firstLine="431"/>
      </w:pPr>
      <w:r w:rsidRPr="00D849C1">
        <w:rPr>
          <w:rFonts w:eastAsia="楷体"/>
          <w:lang w:val="zh-CN"/>
        </w:rPr>
        <w:t>还回顾</w:t>
      </w:r>
      <w:r>
        <w:rPr>
          <w:lang w:val="zh-CN"/>
        </w:rPr>
        <w:t>所有人权和基本自由都是普遍、不可分割、相互依存和相互关联的，</w:t>
      </w:r>
    </w:p>
    <w:p w:rsidR="006C67F4" w:rsidRPr="00E20404" w:rsidRDefault="006C67F4" w:rsidP="001C3B75">
      <w:pPr>
        <w:pStyle w:val="SingleTxtGC"/>
        <w:spacing w:after="160"/>
        <w:ind w:firstLine="431"/>
      </w:pPr>
      <w:r w:rsidRPr="00D849C1">
        <w:rPr>
          <w:rFonts w:eastAsia="楷体"/>
          <w:lang w:val="zh-CN"/>
        </w:rPr>
        <w:lastRenderedPageBreak/>
        <w:t>欢迎</w:t>
      </w:r>
      <w:r>
        <w:rPr>
          <w:lang w:val="zh-CN"/>
        </w:rPr>
        <w:t>世界卫生组织《</w:t>
      </w:r>
      <w:r>
        <w:rPr>
          <w:lang w:val="zh-CN"/>
        </w:rPr>
        <w:t>2016</w:t>
      </w:r>
      <w:r w:rsidR="003558AF">
        <w:t>-</w:t>
      </w:r>
      <w:r>
        <w:rPr>
          <w:lang w:val="zh-CN"/>
        </w:rPr>
        <w:t>2020</w:t>
      </w:r>
      <w:r>
        <w:rPr>
          <w:lang w:val="zh-CN"/>
        </w:rPr>
        <w:t>年全球麻风病战略》，共享快速实现无麻风病的世界的共同愿望，</w:t>
      </w:r>
    </w:p>
    <w:p w:rsidR="006C67F4" w:rsidRPr="00E20404" w:rsidRDefault="006C67F4" w:rsidP="001C3B75">
      <w:pPr>
        <w:pStyle w:val="SingleTxtGC"/>
        <w:spacing w:after="160"/>
        <w:ind w:firstLine="431"/>
        <w:rPr>
          <w:i/>
        </w:rPr>
      </w:pPr>
      <w:r w:rsidRPr="00D849C1">
        <w:rPr>
          <w:rFonts w:eastAsia="楷体"/>
          <w:lang w:val="zh-CN"/>
        </w:rPr>
        <w:t>回顾</w:t>
      </w:r>
      <w:r>
        <w:rPr>
          <w:lang w:val="zh-CN"/>
        </w:rPr>
        <w:t>麻风病可以治愈，可以通过提供早期治疗防止残疾，更好地保护麻风病人的人权，</w:t>
      </w:r>
    </w:p>
    <w:p w:rsidR="006C67F4" w:rsidRPr="00E20404" w:rsidRDefault="006C67F4" w:rsidP="001C3B75">
      <w:pPr>
        <w:pStyle w:val="SingleTxtGC"/>
        <w:spacing w:after="160"/>
        <w:ind w:firstLine="431"/>
      </w:pPr>
      <w:r w:rsidRPr="00D849C1">
        <w:rPr>
          <w:rFonts w:eastAsia="楷体"/>
          <w:lang w:val="zh-CN"/>
        </w:rPr>
        <w:t>深感关切</w:t>
      </w:r>
      <w:r>
        <w:rPr>
          <w:lang w:val="zh-CN"/>
        </w:rPr>
        <w:t>的是，在世界各地，麻风病患者及其家人在作为平等的社会成员参与方面曾面临，并在继续面临各种障碍，包括受隔离和歧视以及人权遭侵犯和践踏；意识到必须加强注意应对这些挑战，</w:t>
      </w:r>
    </w:p>
    <w:p w:rsidR="006C67F4" w:rsidRPr="004A1082" w:rsidRDefault="006C67F4" w:rsidP="001C3B75">
      <w:pPr>
        <w:pStyle w:val="SingleTxtGC"/>
        <w:spacing w:after="160"/>
        <w:ind w:firstLine="431"/>
      </w:pPr>
      <w:r w:rsidRPr="00D849C1">
        <w:rPr>
          <w:rFonts w:eastAsia="楷体"/>
          <w:lang w:val="zh-CN"/>
        </w:rPr>
        <w:t>重申</w:t>
      </w:r>
      <w:r w:rsidRPr="00E04BB9">
        <w:rPr>
          <w:spacing w:val="4"/>
          <w:lang w:val="zh-CN"/>
        </w:rPr>
        <w:t>麻风病患者及其家人，包括妇女和儿童，应该获得有尊严的待遇，且有权享有</w:t>
      </w:r>
      <w:r w:rsidRPr="00E04BB9">
        <w:t>习惯国际法、有关公约和国家</w:t>
      </w:r>
      <w:r w:rsidRPr="00E04BB9">
        <w:rPr>
          <w:spacing w:val="4"/>
          <w:lang w:val="zh-CN"/>
        </w:rPr>
        <w:t>宪法与法律所规定的所有人权和基本自由，</w:t>
      </w:r>
    </w:p>
    <w:p w:rsidR="006C67F4" w:rsidRPr="00E20404" w:rsidRDefault="006C67F4" w:rsidP="001C3B75">
      <w:pPr>
        <w:pStyle w:val="SingleTxtGC"/>
        <w:spacing w:after="160"/>
        <w:ind w:firstLine="431"/>
      </w:pPr>
      <w:r w:rsidRPr="00D849C1">
        <w:rPr>
          <w:rFonts w:eastAsia="楷体"/>
          <w:lang w:val="zh-CN"/>
        </w:rPr>
        <w:t>确认</w:t>
      </w:r>
      <w:r>
        <w:rPr>
          <w:lang w:val="zh-CN"/>
        </w:rPr>
        <w:t>麻风病患者及其家人在全世界仍然面临因有关此病的错误信息和误解而产生的多种形式的偏见和歧视，</w:t>
      </w:r>
    </w:p>
    <w:p w:rsidR="006C67F4" w:rsidRPr="00E20404" w:rsidRDefault="006C67F4" w:rsidP="001C3B75">
      <w:pPr>
        <w:pStyle w:val="SingleTxtGC"/>
        <w:spacing w:after="160"/>
        <w:ind w:firstLine="431"/>
      </w:pPr>
      <w:r w:rsidRPr="00D849C1">
        <w:rPr>
          <w:rFonts w:eastAsia="楷体"/>
          <w:lang w:val="zh-CN"/>
        </w:rPr>
        <w:t>又确认</w:t>
      </w:r>
      <w:r>
        <w:rPr>
          <w:lang w:val="zh-CN"/>
        </w:rPr>
        <w:t>需要特别注意处理对麻风病患者及其家人一切形式的歧视，</w:t>
      </w:r>
    </w:p>
    <w:p w:rsidR="006C67F4" w:rsidRPr="00E20404" w:rsidRDefault="006C67F4" w:rsidP="001C3B75">
      <w:pPr>
        <w:pStyle w:val="SingleTxtGC"/>
        <w:spacing w:after="160"/>
        <w:ind w:firstLine="431"/>
      </w:pPr>
      <w:r w:rsidRPr="00D849C1">
        <w:rPr>
          <w:rFonts w:eastAsia="楷体"/>
          <w:lang w:val="zh-CN"/>
        </w:rPr>
        <w:t>铭记</w:t>
      </w:r>
      <w:r>
        <w:rPr>
          <w:lang w:val="zh-CN"/>
        </w:rPr>
        <w:t>需要加大力度在全世界消除对麻风病患者及其家人一切形式的偏见和歧视，并促进便利于他们融入的政策，</w:t>
      </w:r>
    </w:p>
    <w:p w:rsidR="006C67F4" w:rsidRPr="00E20404" w:rsidRDefault="006C67F4" w:rsidP="001C3B75">
      <w:pPr>
        <w:pStyle w:val="SingleTxtGC"/>
        <w:spacing w:after="160"/>
        <w:ind w:firstLine="431"/>
      </w:pPr>
      <w:r w:rsidRPr="00D849C1">
        <w:rPr>
          <w:rFonts w:eastAsia="楷体"/>
          <w:lang w:val="zh-CN"/>
        </w:rPr>
        <w:t>强调</w:t>
      </w:r>
      <w:r>
        <w:rPr>
          <w:lang w:val="zh-CN"/>
        </w:rPr>
        <w:t>必须执行咨询委员会</w:t>
      </w:r>
      <w:r>
        <w:rPr>
          <w:lang w:val="zh-CN"/>
        </w:rPr>
        <w:t>2010</w:t>
      </w:r>
      <w:r>
        <w:rPr>
          <w:lang w:val="zh-CN"/>
        </w:rPr>
        <w:t>年提交的消除对麻风病患者及其家人的歧视的原则和准则，</w:t>
      </w:r>
      <w:r w:rsidRPr="00024610">
        <w:rPr>
          <w:color w:val="0000CC"/>
          <w:vertAlign w:val="superscript"/>
          <w:lang w:val="zh-CN"/>
        </w:rPr>
        <w:footnoteReference w:id="4"/>
      </w:r>
      <w:r>
        <w:rPr>
          <w:lang w:val="zh-CN"/>
        </w:rPr>
        <w:t xml:space="preserve"> </w:t>
      </w:r>
      <w:r>
        <w:rPr>
          <w:lang w:val="zh-CN"/>
        </w:rPr>
        <w:t>理事会第</w:t>
      </w:r>
      <w:r>
        <w:rPr>
          <w:lang w:val="zh-CN"/>
        </w:rPr>
        <w:t>15/10</w:t>
      </w:r>
      <w:r>
        <w:rPr>
          <w:lang w:val="zh-CN"/>
        </w:rPr>
        <w:t>号决议和大会第</w:t>
      </w:r>
      <w:r>
        <w:rPr>
          <w:lang w:val="zh-CN"/>
        </w:rPr>
        <w:t>65/215</w:t>
      </w:r>
      <w:r>
        <w:rPr>
          <w:lang w:val="zh-CN"/>
        </w:rPr>
        <w:t>号决议鼓励各国政府、联合国有关机构、各专门机构、基金</w:t>
      </w:r>
      <w:r>
        <w:rPr>
          <w:lang w:val="zh-CN"/>
        </w:rPr>
        <w:t>(</w:t>
      </w:r>
      <w:r>
        <w:rPr>
          <w:lang w:val="zh-CN"/>
        </w:rPr>
        <w:t>会</w:t>
      </w:r>
      <w:r>
        <w:rPr>
          <w:lang w:val="zh-CN"/>
        </w:rPr>
        <w:t>)</w:t>
      </w:r>
      <w:r>
        <w:rPr>
          <w:lang w:val="zh-CN"/>
        </w:rPr>
        <w:t>和计</w:t>
      </w:r>
      <w:r>
        <w:rPr>
          <w:lang w:val="zh-CN"/>
        </w:rPr>
        <w:t>(</w:t>
      </w:r>
      <w:proofErr w:type="gramStart"/>
      <w:r>
        <w:rPr>
          <w:lang w:val="zh-CN"/>
        </w:rPr>
        <w:t>规</w:t>
      </w:r>
      <w:proofErr w:type="gramEnd"/>
      <w:r>
        <w:rPr>
          <w:lang w:val="zh-CN"/>
        </w:rPr>
        <w:t>)</w:t>
      </w:r>
      <w:r>
        <w:rPr>
          <w:lang w:val="zh-CN"/>
        </w:rPr>
        <w:t>划署、其他政府间组织和国家人权机构充分考虑这些原则和准则，</w:t>
      </w:r>
      <w:bookmarkStart w:id="1" w:name="_Ref485570367"/>
      <w:bookmarkEnd w:id="1"/>
    </w:p>
    <w:p w:rsidR="006C67F4" w:rsidRPr="00E20404" w:rsidRDefault="006C67F4" w:rsidP="001C3B75">
      <w:pPr>
        <w:pStyle w:val="SingleTxtGC"/>
        <w:spacing w:after="160"/>
        <w:ind w:firstLine="431"/>
      </w:pPr>
      <w:r w:rsidRPr="00D849C1">
        <w:rPr>
          <w:rFonts w:eastAsia="楷体"/>
          <w:lang w:val="zh-CN"/>
        </w:rPr>
        <w:t>欢迎</w:t>
      </w:r>
      <w:r>
        <w:rPr>
          <w:lang w:val="zh-CN"/>
        </w:rPr>
        <w:t>咨询委员会根据理事会第</w:t>
      </w:r>
      <w:r>
        <w:rPr>
          <w:lang w:val="zh-CN"/>
        </w:rPr>
        <w:t>29/5</w:t>
      </w:r>
      <w:r>
        <w:rPr>
          <w:lang w:val="zh-CN"/>
        </w:rPr>
        <w:t>号决定提交的最后报告和其中所载的建议，</w:t>
      </w:r>
    </w:p>
    <w:p w:rsidR="006C67F4" w:rsidRPr="00E20404" w:rsidRDefault="006C67F4" w:rsidP="001C3B75">
      <w:pPr>
        <w:pStyle w:val="SingleTxtGC"/>
        <w:spacing w:after="160"/>
        <w:ind w:firstLine="431"/>
      </w:pPr>
      <w:r>
        <w:rPr>
          <w:lang w:val="zh-CN"/>
        </w:rPr>
        <w:t>1.</w:t>
      </w:r>
      <w:r w:rsidR="00024610">
        <w:t xml:space="preserve">  </w:t>
      </w:r>
      <w:r w:rsidRPr="00D849C1">
        <w:rPr>
          <w:rFonts w:eastAsia="楷体"/>
          <w:lang w:val="zh-CN"/>
        </w:rPr>
        <w:t>决定</w:t>
      </w:r>
      <w:r>
        <w:rPr>
          <w:lang w:val="zh-CN"/>
        </w:rPr>
        <w:t>任命一名消除对麻风病患者及其家人的歧视问题特别报告员，任期三年，任务如下：</w:t>
      </w:r>
    </w:p>
    <w:p w:rsidR="006C67F4" w:rsidRPr="00E20404" w:rsidRDefault="006C67F4" w:rsidP="001C3B75">
      <w:pPr>
        <w:pStyle w:val="SingleTxtGC"/>
        <w:numPr>
          <w:ilvl w:val="0"/>
          <w:numId w:val="10"/>
        </w:numPr>
        <w:tabs>
          <w:tab w:val="clear" w:pos="1134"/>
          <w:tab w:val="clear" w:pos="1565"/>
          <w:tab w:val="clear" w:pos="1996"/>
          <w:tab w:val="clear" w:pos="2427"/>
          <w:tab w:val="left" w:pos="1985"/>
        </w:tabs>
        <w:spacing w:after="160"/>
        <w:ind w:left="1134" w:firstLine="431"/>
      </w:pPr>
      <w:r>
        <w:rPr>
          <w:lang w:val="zh-CN"/>
        </w:rPr>
        <w:t>在世界所有地区有效执行消除对麻风病患者及其家人的歧视的原则和准则，实现麻风病患者及其家人享有人权方面，后续追踪并报告各国取得的进展和采取的措施，并在这方面向人权理事会提出建议；</w:t>
      </w:r>
    </w:p>
    <w:p w:rsidR="006C67F4" w:rsidRPr="00E20404" w:rsidRDefault="006C67F4" w:rsidP="001C3B75">
      <w:pPr>
        <w:pStyle w:val="SingleTxtGC"/>
        <w:numPr>
          <w:ilvl w:val="0"/>
          <w:numId w:val="10"/>
        </w:numPr>
        <w:tabs>
          <w:tab w:val="clear" w:pos="1134"/>
          <w:tab w:val="clear" w:pos="1565"/>
          <w:tab w:val="clear" w:pos="1996"/>
          <w:tab w:val="clear" w:pos="2427"/>
          <w:tab w:val="left" w:pos="1985"/>
        </w:tabs>
        <w:spacing w:after="160"/>
        <w:ind w:left="1134" w:firstLine="431"/>
      </w:pPr>
      <w:r>
        <w:rPr>
          <w:lang w:val="zh-CN"/>
        </w:rPr>
        <w:t>与各国和其他相关利益攸关方，包括联合国机构、专门机构，特别是世界卫生组织、基金</w:t>
      </w:r>
      <w:r>
        <w:rPr>
          <w:lang w:val="zh-CN"/>
        </w:rPr>
        <w:t>(</w:t>
      </w:r>
      <w:r>
        <w:rPr>
          <w:lang w:val="zh-CN"/>
        </w:rPr>
        <w:t>会</w:t>
      </w:r>
      <w:r>
        <w:rPr>
          <w:lang w:val="zh-CN"/>
        </w:rPr>
        <w:t>)</w:t>
      </w:r>
      <w:r>
        <w:rPr>
          <w:lang w:val="zh-CN"/>
        </w:rPr>
        <w:t>和计</w:t>
      </w:r>
      <w:r>
        <w:rPr>
          <w:lang w:val="zh-CN"/>
        </w:rPr>
        <w:t>(</w:t>
      </w:r>
      <w:proofErr w:type="gramStart"/>
      <w:r>
        <w:rPr>
          <w:lang w:val="zh-CN"/>
        </w:rPr>
        <w:t>规</w:t>
      </w:r>
      <w:proofErr w:type="gramEnd"/>
      <w:r>
        <w:rPr>
          <w:lang w:val="zh-CN"/>
        </w:rPr>
        <w:t>)</w:t>
      </w:r>
      <w:r>
        <w:rPr>
          <w:lang w:val="zh-CN"/>
        </w:rPr>
        <w:t>划署，其它政府间组织、区域人权机制、国家人权机构和非政府组织等开展对话和协商，以确定、交流和推广以下方面的良好做法：实现麻风病患者及其家人的权利，他们作为社会的平等成员参与，以实现无麻风病世界；</w:t>
      </w:r>
    </w:p>
    <w:p w:rsidR="006C67F4" w:rsidRPr="00E20404" w:rsidRDefault="006C67F4" w:rsidP="001C3B75">
      <w:pPr>
        <w:pStyle w:val="SingleTxtGC"/>
        <w:numPr>
          <w:ilvl w:val="0"/>
          <w:numId w:val="10"/>
        </w:numPr>
        <w:tabs>
          <w:tab w:val="clear" w:pos="1134"/>
          <w:tab w:val="clear" w:pos="1565"/>
          <w:tab w:val="clear" w:pos="1996"/>
          <w:tab w:val="clear" w:pos="2427"/>
          <w:tab w:val="left" w:pos="1985"/>
        </w:tabs>
        <w:spacing w:after="160"/>
        <w:ind w:left="1134" w:firstLine="431"/>
      </w:pPr>
      <w:r>
        <w:rPr>
          <w:lang w:val="zh-CN"/>
        </w:rPr>
        <w:t>提高对麻风病患者及其家人的权利的认识，抵制妨碍麻风病患者及其家人享有人权和基本自由并与他人平等参与社会的污名、偏见以及有害的传统习俗和信仰；</w:t>
      </w:r>
    </w:p>
    <w:p w:rsidR="006C67F4" w:rsidRPr="006E18D4" w:rsidRDefault="006C67F4" w:rsidP="001C3B75">
      <w:pPr>
        <w:pStyle w:val="SingleTxtGC"/>
        <w:numPr>
          <w:ilvl w:val="0"/>
          <w:numId w:val="10"/>
        </w:numPr>
        <w:tabs>
          <w:tab w:val="clear" w:pos="1134"/>
          <w:tab w:val="clear" w:pos="1565"/>
          <w:tab w:val="clear" w:pos="1996"/>
          <w:tab w:val="clear" w:pos="2427"/>
          <w:tab w:val="left" w:pos="1985"/>
        </w:tabs>
        <w:spacing w:after="160"/>
        <w:ind w:left="1134" w:firstLine="431"/>
      </w:pPr>
      <w:r>
        <w:rPr>
          <w:lang w:val="zh-CN"/>
        </w:rPr>
        <w:t>从人权理事会第三十八届会议起，每年向人权理事会提交报告；</w:t>
      </w:r>
    </w:p>
    <w:p w:rsidR="006C67F4" w:rsidRPr="00A52FAB" w:rsidRDefault="006C67F4" w:rsidP="00007337">
      <w:pPr>
        <w:pStyle w:val="SingleTxtGC"/>
        <w:ind w:firstLine="431"/>
      </w:pPr>
      <w:r>
        <w:rPr>
          <w:lang w:val="zh-CN"/>
        </w:rPr>
        <w:t>2.</w:t>
      </w:r>
      <w:r w:rsidR="00024610">
        <w:t xml:space="preserve">  </w:t>
      </w:r>
      <w:r w:rsidRPr="00D849C1">
        <w:rPr>
          <w:rFonts w:eastAsia="楷体"/>
          <w:lang w:val="zh-CN"/>
        </w:rPr>
        <w:t>吁请</w:t>
      </w:r>
      <w:r>
        <w:rPr>
          <w:lang w:val="zh-CN"/>
        </w:rPr>
        <w:t>各国为特别报告员履行任务提供合作，包括提供其要求的一切资料，认真考虑答应特别报告</w:t>
      </w:r>
      <w:proofErr w:type="gramStart"/>
      <w:r>
        <w:rPr>
          <w:lang w:val="zh-CN"/>
        </w:rPr>
        <w:t>员访问</w:t>
      </w:r>
      <w:proofErr w:type="gramEnd"/>
      <w:r>
        <w:rPr>
          <w:lang w:val="zh-CN"/>
        </w:rPr>
        <w:t>本国的请求，并考虑落实该任务负责人的报告中提出的建议；</w:t>
      </w:r>
    </w:p>
    <w:p w:rsidR="006C67F4" w:rsidRPr="00E20404" w:rsidRDefault="006C67F4" w:rsidP="00007337">
      <w:pPr>
        <w:pStyle w:val="SingleTxtGC"/>
        <w:ind w:firstLine="431"/>
      </w:pPr>
      <w:r>
        <w:rPr>
          <w:lang w:val="zh-CN"/>
        </w:rPr>
        <w:t>3.</w:t>
      </w:r>
      <w:r w:rsidR="00024610">
        <w:t xml:space="preserve">  </w:t>
      </w:r>
      <w:r w:rsidRPr="00D849C1">
        <w:rPr>
          <w:rFonts w:eastAsia="楷体"/>
          <w:lang w:val="zh-CN"/>
        </w:rPr>
        <w:t>鼓励</w:t>
      </w:r>
      <w:r>
        <w:rPr>
          <w:lang w:val="zh-CN"/>
        </w:rPr>
        <w:t>所有相关的利益攸关方，包括联合国机构、专门机构、基金</w:t>
      </w:r>
      <w:r>
        <w:rPr>
          <w:lang w:val="zh-CN"/>
        </w:rPr>
        <w:t>(</w:t>
      </w:r>
      <w:r>
        <w:rPr>
          <w:lang w:val="zh-CN"/>
        </w:rPr>
        <w:t>会</w:t>
      </w:r>
      <w:r>
        <w:rPr>
          <w:lang w:val="zh-CN"/>
        </w:rPr>
        <w:t>)</w:t>
      </w:r>
      <w:r>
        <w:rPr>
          <w:lang w:val="zh-CN"/>
        </w:rPr>
        <w:t>和计</w:t>
      </w:r>
      <w:r>
        <w:rPr>
          <w:lang w:val="zh-CN"/>
        </w:rPr>
        <w:t>(</w:t>
      </w:r>
      <w:proofErr w:type="gramStart"/>
      <w:r>
        <w:rPr>
          <w:lang w:val="zh-CN"/>
        </w:rPr>
        <w:t>规</w:t>
      </w:r>
      <w:proofErr w:type="gramEnd"/>
      <w:r>
        <w:rPr>
          <w:lang w:val="zh-CN"/>
        </w:rPr>
        <w:t>)</w:t>
      </w:r>
      <w:r>
        <w:rPr>
          <w:lang w:val="zh-CN"/>
        </w:rPr>
        <w:t>划署、其它国际组织、区域人权机制、国家人权机构和非政府组织与特别报告员充分合作，以便他或她能够履行任务；</w:t>
      </w:r>
    </w:p>
    <w:p w:rsidR="006C67F4" w:rsidRPr="00E20404" w:rsidRDefault="006C67F4" w:rsidP="00007337">
      <w:pPr>
        <w:pStyle w:val="SingleTxtGC"/>
        <w:ind w:firstLine="431"/>
      </w:pPr>
      <w:r>
        <w:rPr>
          <w:lang w:val="zh-CN"/>
        </w:rPr>
        <w:t>4.</w:t>
      </w:r>
      <w:r w:rsidR="00024610">
        <w:t xml:space="preserve">  </w:t>
      </w:r>
      <w:r w:rsidRPr="00D849C1">
        <w:rPr>
          <w:rFonts w:eastAsia="楷体"/>
          <w:lang w:val="zh-CN"/>
        </w:rPr>
        <w:t>请</w:t>
      </w:r>
      <w:r>
        <w:rPr>
          <w:lang w:val="zh-CN"/>
        </w:rPr>
        <w:t>秘书长和联合国人权事务高级专员向特别报告员提供切实履行任务所需的一切人力、技术和财政资源；</w:t>
      </w:r>
    </w:p>
    <w:p w:rsidR="006C67F4" w:rsidRPr="00E20404" w:rsidRDefault="006C67F4" w:rsidP="00007337">
      <w:pPr>
        <w:pStyle w:val="SingleTxtGC"/>
        <w:ind w:firstLine="431"/>
      </w:pPr>
      <w:r>
        <w:rPr>
          <w:lang w:val="zh-CN"/>
        </w:rPr>
        <w:t>5.</w:t>
      </w:r>
      <w:r w:rsidR="00024610">
        <w:t xml:space="preserve">  </w:t>
      </w:r>
      <w:r w:rsidRPr="00D849C1">
        <w:rPr>
          <w:rFonts w:eastAsia="楷体"/>
          <w:lang w:val="zh-CN"/>
        </w:rPr>
        <w:t>鼓励</w:t>
      </w:r>
      <w:r>
        <w:rPr>
          <w:lang w:val="zh-CN"/>
        </w:rPr>
        <w:t>高级专员和特别报告员与各国和有关国际组织，如世界卫生组织以及有关非政府组织合作，在适当的时间和适当的地点举办与麻风病相关的歧视问题的研讨会，以便向各国和所有其他相关利益攸关方广泛传播并使它们加深了解这些</w:t>
      </w:r>
      <w:r>
        <w:rPr>
          <w:lang w:val="zh-CN"/>
        </w:rPr>
        <w:t>“</w:t>
      </w:r>
      <w:r>
        <w:rPr>
          <w:lang w:val="zh-CN"/>
        </w:rPr>
        <w:t>原则和准则</w:t>
      </w:r>
      <w:r>
        <w:rPr>
          <w:lang w:val="zh-CN"/>
        </w:rPr>
        <w:t>”</w:t>
      </w:r>
      <w:r>
        <w:rPr>
          <w:lang w:val="zh-CN"/>
        </w:rPr>
        <w:t>，同时确保麻风病患者的实质性的参与；</w:t>
      </w:r>
    </w:p>
    <w:p w:rsidR="006C67F4" w:rsidRPr="006E18D4" w:rsidRDefault="006C67F4" w:rsidP="00007337">
      <w:pPr>
        <w:pStyle w:val="SingleTxtGC"/>
        <w:ind w:firstLine="431"/>
      </w:pPr>
      <w:r>
        <w:rPr>
          <w:lang w:val="zh-CN"/>
        </w:rPr>
        <w:t>6.</w:t>
      </w:r>
      <w:r w:rsidR="00024610">
        <w:t xml:space="preserve">  </w:t>
      </w:r>
      <w:r w:rsidRPr="00D849C1">
        <w:rPr>
          <w:rFonts w:eastAsia="楷体"/>
          <w:lang w:val="zh-CN"/>
        </w:rPr>
        <w:t>鼓励</w:t>
      </w:r>
      <w:r>
        <w:rPr>
          <w:lang w:val="zh-CN"/>
        </w:rPr>
        <w:t>各国、</w:t>
      </w:r>
      <w:proofErr w:type="gramStart"/>
      <w:r>
        <w:rPr>
          <w:lang w:val="zh-CN"/>
        </w:rPr>
        <w:t>所有利益</w:t>
      </w:r>
      <w:proofErr w:type="gramEnd"/>
      <w:r>
        <w:rPr>
          <w:lang w:val="zh-CN"/>
        </w:rPr>
        <w:t>攸关方，包括联合国机构、专门机构、如世界卫生组织，基金</w:t>
      </w:r>
      <w:r>
        <w:rPr>
          <w:lang w:val="zh-CN"/>
        </w:rPr>
        <w:t>(</w:t>
      </w:r>
      <w:r>
        <w:rPr>
          <w:lang w:val="zh-CN"/>
        </w:rPr>
        <w:t>会</w:t>
      </w:r>
      <w:r>
        <w:rPr>
          <w:lang w:val="zh-CN"/>
        </w:rPr>
        <w:t>)</w:t>
      </w:r>
      <w:r>
        <w:rPr>
          <w:lang w:val="zh-CN"/>
        </w:rPr>
        <w:t>和计</w:t>
      </w:r>
      <w:r>
        <w:rPr>
          <w:lang w:val="zh-CN"/>
        </w:rPr>
        <w:t>(</w:t>
      </w:r>
      <w:proofErr w:type="gramStart"/>
      <w:r>
        <w:rPr>
          <w:lang w:val="zh-CN"/>
        </w:rPr>
        <w:t>规</w:t>
      </w:r>
      <w:proofErr w:type="gramEnd"/>
      <w:r>
        <w:rPr>
          <w:lang w:val="zh-CN"/>
        </w:rPr>
        <w:t>)</w:t>
      </w:r>
      <w:r>
        <w:rPr>
          <w:lang w:val="zh-CN"/>
        </w:rPr>
        <w:t>划署、特别程序、其他国际组织、区域人权机制、国家人权机构和非政府组织等积极参加研讨会；</w:t>
      </w:r>
    </w:p>
    <w:p w:rsidR="006C67F4" w:rsidRPr="00402A2C" w:rsidRDefault="006C67F4" w:rsidP="00007337">
      <w:pPr>
        <w:pStyle w:val="SingleTxtGC"/>
        <w:ind w:firstLine="431"/>
      </w:pPr>
      <w:r>
        <w:rPr>
          <w:lang w:val="zh-CN"/>
        </w:rPr>
        <w:t>7.</w:t>
      </w:r>
      <w:r w:rsidR="00024610">
        <w:t xml:space="preserve">  </w:t>
      </w:r>
      <w:r w:rsidRPr="00024610">
        <w:rPr>
          <w:rFonts w:eastAsia="楷体"/>
          <w:lang w:val="zh-CN"/>
        </w:rPr>
        <w:t>决定</w:t>
      </w:r>
      <w:r>
        <w:rPr>
          <w:lang w:val="zh-CN"/>
        </w:rPr>
        <w:t>继续处理此事。</w:t>
      </w:r>
    </w:p>
    <w:p w:rsidR="00836BD1" w:rsidRPr="00024610" w:rsidRDefault="00024610" w:rsidP="0002461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36BD1" w:rsidRPr="00024610" w:rsidSect="00D45C6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C0C" w:rsidRPr="000D319F" w:rsidRDefault="003F7C0C" w:rsidP="000D319F">
      <w:pPr>
        <w:pStyle w:val="ae"/>
        <w:spacing w:after="240"/>
        <w:ind w:left="907"/>
        <w:rPr>
          <w:rFonts w:asciiTheme="majorBidi" w:eastAsia="宋体" w:hAnsiTheme="majorBidi" w:cstheme="majorBidi"/>
          <w:sz w:val="21"/>
          <w:szCs w:val="21"/>
          <w:lang w:val="en-US"/>
        </w:rPr>
      </w:pPr>
    </w:p>
    <w:p w:rsidR="003F7C0C" w:rsidRPr="000D319F" w:rsidRDefault="003F7C0C"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F7C0C" w:rsidRPr="000D319F" w:rsidRDefault="003F7C0C" w:rsidP="000D319F">
      <w:pPr>
        <w:pStyle w:val="ae"/>
      </w:pPr>
    </w:p>
  </w:endnote>
  <w:endnote w:type="continuationNotice" w:id="1">
    <w:p w:rsidR="003F7C0C" w:rsidRDefault="003F7C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D1" w:rsidRPr="00836BD1" w:rsidRDefault="00836BD1" w:rsidP="00836BD1">
    <w:pPr>
      <w:pStyle w:val="ae"/>
      <w:tabs>
        <w:tab w:val="right" w:pos="9638"/>
      </w:tabs>
      <w:rPr>
        <w:rStyle w:val="af"/>
      </w:rPr>
    </w:pPr>
    <w:r>
      <w:rPr>
        <w:rStyle w:val="af"/>
      </w:rPr>
      <w:fldChar w:fldCharType="begin"/>
    </w:r>
    <w:r>
      <w:rPr>
        <w:rStyle w:val="af"/>
      </w:rPr>
      <w:instrText xml:space="preserve"> PAGE  \* MERGEFORMAT </w:instrText>
    </w:r>
    <w:r>
      <w:rPr>
        <w:rStyle w:val="af"/>
      </w:rPr>
      <w:fldChar w:fldCharType="separate"/>
    </w:r>
    <w:r w:rsidR="00952908">
      <w:rPr>
        <w:rStyle w:val="af"/>
        <w:noProof/>
      </w:rPr>
      <w:t>2</w:t>
    </w:r>
    <w:r>
      <w:rPr>
        <w:rStyle w:val="af"/>
      </w:rPr>
      <w:fldChar w:fldCharType="end"/>
    </w:r>
    <w:r>
      <w:rPr>
        <w:rStyle w:val="af"/>
      </w:rPr>
      <w:tab/>
    </w:r>
    <w:proofErr w:type="spellStart"/>
    <w:r w:rsidRPr="00836BD1">
      <w:rPr>
        <w:rStyle w:val="af"/>
        <w:b w:val="0"/>
        <w:snapToGrid w:val="0"/>
        <w:sz w:val="16"/>
      </w:rPr>
      <w:t>GE.17</w:t>
    </w:r>
    <w:proofErr w:type="spellEnd"/>
    <w:r w:rsidRPr="00836BD1">
      <w:rPr>
        <w:rStyle w:val="af"/>
        <w:b w:val="0"/>
        <w:snapToGrid w:val="0"/>
        <w:sz w:val="16"/>
      </w:rPr>
      <w:t>-10035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D1" w:rsidRPr="00836BD1" w:rsidRDefault="00836BD1" w:rsidP="00836BD1">
    <w:pPr>
      <w:pStyle w:val="ae"/>
      <w:tabs>
        <w:tab w:val="right" w:pos="9638"/>
      </w:tabs>
      <w:rPr>
        <w:rStyle w:val="af"/>
      </w:rPr>
    </w:pPr>
    <w:proofErr w:type="spellStart"/>
    <w:r>
      <w:t>GE.17</w:t>
    </w:r>
    <w:proofErr w:type="spellEnd"/>
    <w:r>
      <w:t>-10035</w:t>
    </w:r>
    <w:r>
      <w:tab/>
    </w:r>
    <w:r>
      <w:rPr>
        <w:rStyle w:val="af"/>
      </w:rPr>
      <w:fldChar w:fldCharType="begin"/>
    </w:r>
    <w:r>
      <w:rPr>
        <w:rStyle w:val="af"/>
      </w:rPr>
      <w:instrText xml:space="preserve"> PAGE  \* MERGEFORMAT </w:instrText>
    </w:r>
    <w:r>
      <w:rPr>
        <w:rStyle w:val="af"/>
      </w:rPr>
      <w:fldChar w:fldCharType="separate"/>
    </w:r>
    <w:r w:rsidR="00952908">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836BD1" w:rsidP="00487939">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-10035</w:t>
    </w:r>
    <w:r w:rsidR="00731A42" w:rsidRPr="00EE277A">
      <w:rPr>
        <w:sz w:val="20"/>
        <w:lang w:eastAsia="zh-CN"/>
      </w:rPr>
      <w:t xml:space="preserve"> (C)</w:t>
    </w:r>
    <w:r w:rsidR="003451D8">
      <w:rPr>
        <w:sz w:val="20"/>
        <w:lang w:eastAsia="zh-CN"/>
      </w:rPr>
      <w:tab/>
      <w:t>2</w:t>
    </w:r>
    <w:r w:rsidR="008B4347">
      <w:rPr>
        <w:sz w:val="20"/>
        <w:lang w:eastAsia="zh-CN"/>
      </w:rPr>
      <w:t>00</w:t>
    </w:r>
    <w:r w:rsidR="003451D8">
      <w:rPr>
        <w:sz w:val="20"/>
        <w:lang w:eastAsia="zh-CN"/>
      </w:rPr>
      <w:t>6</w:t>
    </w:r>
    <w:r w:rsidR="008B4347">
      <w:rPr>
        <w:sz w:val="20"/>
        <w:lang w:eastAsia="zh-CN"/>
      </w:rPr>
      <w:t>1</w:t>
    </w:r>
    <w:r w:rsidR="005C00B0">
      <w:rPr>
        <w:rFonts w:eastAsiaTheme="minorEastAsia"/>
        <w:sz w:val="20"/>
        <w:lang w:eastAsia="zh-CN"/>
      </w:rPr>
      <w:t>7</w:t>
    </w:r>
    <w:r w:rsidR="00731A42">
      <w:rPr>
        <w:sz w:val="20"/>
        <w:lang w:eastAsia="zh-CN"/>
      </w:rPr>
      <w:tab/>
    </w:r>
    <w:r w:rsidR="003451D8">
      <w:rPr>
        <w:sz w:val="20"/>
        <w:lang w:eastAsia="zh-CN"/>
      </w:rPr>
      <w:t>2</w:t>
    </w:r>
    <w:r w:rsidR="00731A42">
      <w:rPr>
        <w:sz w:val="20"/>
        <w:lang w:eastAsia="zh-CN"/>
      </w:rPr>
      <w:t>00</w:t>
    </w:r>
    <w:r w:rsidR="003451D8">
      <w:rPr>
        <w:sz w:val="20"/>
        <w:lang w:eastAsia="zh-CN"/>
      </w:rPr>
      <w:t>6</w:t>
    </w:r>
    <w:r w:rsidR="00731A42">
      <w:rPr>
        <w:sz w:val="20"/>
        <w:lang w:eastAsia="zh-CN"/>
      </w:rPr>
      <w:t>1</w:t>
    </w:r>
    <w:r w:rsidR="005C00B0">
      <w:rPr>
        <w:rFonts w:eastAsiaTheme="minorEastAsia"/>
        <w:sz w:val="20"/>
        <w:lang w:eastAsia="zh-CN"/>
      </w:rPr>
      <w:t>7</w:t>
    </w:r>
  </w:p>
  <w:p w:rsidR="00056632" w:rsidRPr="00487939" w:rsidRDefault="00836BD1" w:rsidP="00487939">
    <w:pPr>
      <w:pStyle w:val="ae"/>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35/L.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C0C" w:rsidRPr="000157B1" w:rsidRDefault="003F7C0C" w:rsidP="00943B69">
      <w:pPr>
        <w:pStyle w:val="ae"/>
        <w:tabs>
          <w:tab w:val="right" w:pos="2155"/>
        </w:tabs>
        <w:spacing w:after="80" w:line="240" w:lineRule="atLeast"/>
        <w:ind w:left="680"/>
        <w:rPr>
          <w:u w:val="single"/>
          <w:lang w:eastAsia="zh-CN"/>
        </w:rPr>
      </w:pPr>
      <w:r>
        <w:rPr>
          <w:u w:val="single"/>
          <w:lang w:eastAsia="zh-CN"/>
        </w:rPr>
        <w:tab/>
      </w:r>
    </w:p>
  </w:footnote>
  <w:footnote w:type="continuationSeparator" w:id="0">
    <w:p w:rsidR="003F7C0C" w:rsidRPr="000157B1" w:rsidRDefault="003F7C0C" w:rsidP="00943B69">
      <w:pPr>
        <w:pStyle w:val="ae"/>
        <w:tabs>
          <w:tab w:val="right" w:pos="2155"/>
        </w:tabs>
        <w:spacing w:after="80" w:line="240" w:lineRule="atLeast"/>
        <w:ind w:left="680"/>
        <w:rPr>
          <w:u w:val="single"/>
          <w:lang w:eastAsia="zh-CN"/>
        </w:rPr>
      </w:pPr>
      <w:r>
        <w:rPr>
          <w:u w:val="single"/>
          <w:lang w:eastAsia="zh-CN"/>
        </w:rPr>
        <w:tab/>
      </w:r>
    </w:p>
  </w:footnote>
  <w:footnote w:type="continuationNotice" w:id="1">
    <w:p w:rsidR="003F7C0C" w:rsidRDefault="003F7C0C"/>
  </w:footnote>
  <w:footnote w:id="2">
    <w:p w:rsidR="006C67F4" w:rsidRPr="00677A48" w:rsidRDefault="000F6694" w:rsidP="006C67F4">
      <w:pPr>
        <w:pStyle w:val="a6"/>
      </w:pPr>
      <w:r w:rsidRPr="00952908">
        <w:rPr>
          <w:sz w:val="21"/>
          <w:szCs w:val="21"/>
          <w:lang w:val="zh-CN"/>
        </w:rPr>
        <w:tab/>
      </w:r>
      <w:r w:rsidR="006C67F4" w:rsidRPr="00952908">
        <w:rPr>
          <w:sz w:val="21"/>
          <w:szCs w:val="21"/>
          <w:lang w:val="zh-CN"/>
        </w:rPr>
        <w:t>*</w:t>
      </w:r>
      <w:r w:rsidRPr="00952908">
        <w:rPr>
          <w:sz w:val="21"/>
          <w:szCs w:val="21"/>
          <w:lang w:val="zh-CN"/>
        </w:rPr>
        <w:tab/>
      </w:r>
      <w:r w:rsidR="006C67F4">
        <w:rPr>
          <w:lang w:val="zh-CN"/>
        </w:rPr>
        <w:t>非人权理事会成员国。</w:t>
      </w:r>
    </w:p>
  </w:footnote>
  <w:footnote w:id="3">
    <w:p w:rsidR="006160DA" w:rsidRDefault="006160DA" w:rsidP="006160DA">
      <w:pPr>
        <w:pStyle w:val="a6"/>
      </w:pPr>
      <w:r w:rsidRPr="00677A48">
        <w:tab/>
      </w:r>
      <w:r w:rsidRPr="00952908">
        <w:rPr>
          <w:rStyle w:val="a7"/>
          <w:vertAlign w:val="baseline"/>
        </w:rPr>
        <w:t>†</w:t>
      </w:r>
      <w:r w:rsidRPr="00677A48">
        <w:tab/>
      </w:r>
      <w:r>
        <w:rPr>
          <w:lang w:val="zh-CN"/>
        </w:rPr>
        <w:t>代表属于阿拉伯国家集团的联合国会员国。</w:t>
      </w:r>
    </w:p>
  </w:footnote>
  <w:footnote w:id="4">
    <w:p w:rsidR="006C67F4" w:rsidRPr="007E0584" w:rsidRDefault="006C67F4" w:rsidP="006C67F4">
      <w:pPr>
        <w:pStyle w:val="a6"/>
      </w:pPr>
      <w:r>
        <w:rPr>
          <w:lang w:val="zh-CN"/>
        </w:rPr>
        <w:tab/>
      </w:r>
      <w:r w:rsidRPr="00677A48">
        <w:rPr>
          <w:rStyle w:val="a7"/>
          <w:lang w:val="zh-CN"/>
        </w:rPr>
        <w:footnoteRef/>
      </w:r>
      <w:r>
        <w:rPr>
          <w:lang w:val="zh-CN"/>
        </w:rPr>
        <w:tab/>
        <w:t xml:space="preserve">A/HRC/15/30, </w:t>
      </w:r>
      <w:r>
        <w:rPr>
          <w:lang w:val="zh-CN"/>
        </w:rPr>
        <w:t>附件。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836BD1" w:rsidP="00836BD1">
    <w:pPr>
      <w:pStyle w:val="af0"/>
    </w:pPr>
    <w:r>
      <w:t>A/</w:t>
    </w:r>
    <w:proofErr w:type="spellStart"/>
    <w:r>
      <w:t>HRC</w:t>
    </w:r>
    <w:proofErr w:type="spellEnd"/>
    <w:r>
      <w:t>/35/</w:t>
    </w:r>
    <w:proofErr w:type="spellStart"/>
    <w:r>
      <w:t>L.14</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836BD1" w:rsidP="00836BD1">
    <w:pPr>
      <w:pStyle w:val="af0"/>
      <w:jc w:val="right"/>
    </w:pPr>
    <w:r>
      <w:t>A/</w:t>
    </w:r>
    <w:proofErr w:type="spellStart"/>
    <w:r>
      <w:t>HRC</w:t>
    </w:r>
    <w:proofErr w:type="spellEnd"/>
    <w:r>
      <w:t>/35/</w:t>
    </w:r>
    <w:proofErr w:type="spellStart"/>
    <w:r>
      <w:t>L.14</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39B50169"/>
    <w:multiLevelType w:val="hybridMultilevel"/>
    <w:tmpl w:val="76424D9C"/>
    <w:lvl w:ilvl="0" w:tplc="41CA4244">
      <w:start w:val="1"/>
      <w:numFmt w:val="lowerLetter"/>
      <w:lvlText w:val="(%1)"/>
      <w:lvlJc w:val="left"/>
      <w:pPr>
        <w:ind w:left="1985" w:hanging="420"/>
      </w:pPr>
      <w:rPr>
        <w:rFonts w:hint="eastAsia"/>
      </w:rPr>
    </w:lvl>
    <w:lvl w:ilvl="1" w:tplc="04090019" w:tentative="1">
      <w:start w:val="1"/>
      <w:numFmt w:val="lowerLetter"/>
      <w:lvlText w:val="%2)"/>
      <w:lvlJc w:val="left"/>
      <w:pPr>
        <w:ind w:left="2405" w:hanging="420"/>
      </w:pPr>
    </w:lvl>
    <w:lvl w:ilvl="2" w:tplc="0409001B" w:tentative="1">
      <w:start w:val="1"/>
      <w:numFmt w:val="lowerRoman"/>
      <w:lvlText w:val="%3."/>
      <w:lvlJc w:val="right"/>
      <w:pPr>
        <w:ind w:left="2825" w:hanging="420"/>
      </w:pPr>
    </w:lvl>
    <w:lvl w:ilvl="3" w:tplc="0409000F" w:tentative="1">
      <w:start w:val="1"/>
      <w:numFmt w:val="decimal"/>
      <w:lvlText w:val="%4."/>
      <w:lvlJc w:val="left"/>
      <w:pPr>
        <w:ind w:left="3245" w:hanging="420"/>
      </w:pPr>
    </w:lvl>
    <w:lvl w:ilvl="4" w:tplc="04090019" w:tentative="1">
      <w:start w:val="1"/>
      <w:numFmt w:val="lowerLetter"/>
      <w:lvlText w:val="%5)"/>
      <w:lvlJc w:val="left"/>
      <w:pPr>
        <w:ind w:left="3665" w:hanging="420"/>
      </w:pPr>
    </w:lvl>
    <w:lvl w:ilvl="5" w:tplc="0409001B" w:tentative="1">
      <w:start w:val="1"/>
      <w:numFmt w:val="lowerRoman"/>
      <w:lvlText w:val="%6."/>
      <w:lvlJc w:val="right"/>
      <w:pPr>
        <w:ind w:left="4085" w:hanging="420"/>
      </w:pPr>
    </w:lvl>
    <w:lvl w:ilvl="6" w:tplc="0409000F" w:tentative="1">
      <w:start w:val="1"/>
      <w:numFmt w:val="decimal"/>
      <w:lvlText w:val="%7."/>
      <w:lvlJc w:val="left"/>
      <w:pPr>
        <w:ind w:left="4505" w:hanging="420"/>
      </w:pPr>
    </w:lvl>
    <w:lvl w:ilvl="7" w:tplc="04090019" w:tentative="1">
      <w:start w:val="1"/>
      <w:numFmt w:val="lowerLetter"/>
      <w:lvlText w:val="%8)"/>
      <w:lvlJc w:val="left"/>
      <w:pPr>
        <w:ind w:left="4925" w:hanging="420"/>
      </w:pPr>
    </w:lvl>
    <w:lvl w:ilvl="8" w:tplc="0409001B" w:tentative="1">
      <w:start w:val="1"/>
      <w:numFmt w:val="lowerRoman"/>
      <w:lvlText w:val="%9."/>
      <w:lvlJc w:val="right"/>
      <w:pPr>
        <w:ind w:left="5345" w:hanging="420"/>
      </w:pPr>
    </w:lvl>
  </w:abstractNum>
  <w:abstractNum w:abstractNumId="5">
    <w:nsid w:val="47D31B81"/>
    <w:multiLevelType w:val="hybridMultilevel"/>
    <w:tmpl w:val="C0CCD2C0"/>
    <w:lvl w:ilvl="0" w:tplc="04090001">
      <w:start w:val="1"/>
      <w:numFmt w:val="bullet"/>
      <w:lvlText w:val=""/>
      <w:lvlJc w:val="left"/>
      <w:pPr>
        <w:ind w:left="1350" w:hanging="420"/>
      </w:pPr>
      <w:rPr>
        <w:rFonts w:ascii="Wingdings" w:hAnsi="Wingdings" w:hint="default"/>
      </w:rPr>
    </w:lvl>
    <w:lvl w:ilvl="1" w:tplc="04090003" w:tentative="1">
      <w:start w:val="1"/>
      <w:numFmt w:val="bullet"/>
      <w:lvlText w:val=""/>
      <w:lvlJc w:val="left"/>
      <w:pPr>
        <w:ind w:left="1770" w:hanging="420"/>
      </w:pPr>
      <w:rPr>
        <w:rFonts w:ascii="Wingdings" w:hAnsi="Wingdings" w:hint="default"/>
      </w:rPr>
    </w:lvl>
    <w:lvl w:ilvl="2" w:tplc="04090005"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3" w:tentative="1">
      <w:start w:val="1"/>
      <w:numFmt w:val="bullet"/>
      <w:lvlText w:val=""/>
      <w:lvlJc w:val="left"/>
      <w:pPr>
        <w:ind w:left="3030" w:hanging="420"/>
      </w:pPr>
      <w:rPr>
        <w:rFonts w:ascii="Wingdings" w:hAnsi="Wingdings" w:hint="default"/>
      </w:rPr>
    </w:lvl>
    <w:lvl w:ilvl="5" w:tplc="04090005"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3" w:tentative="1">
      <w:start w:val="1"/>
      <w:numFmt w:val="bullet"/>
      <w:lvlText w:val=""/>
      <w:lvlJc w:val="left"/>
      <w:pPr>
        <w:ind w:left="4290" w:hanging="420"/>
      </w:pPr>
      <w:rPr>
        <w:rFonts w:ascii="Wingdings" w:hAnsi="Wingdings" w:hint="default"/>
      </w:rPr>
    </w:lvl>
    <w:lvl w:ilvl="8" w:tplc="04090005" w:tentative="1">
      <w:start w:val="1"/>
      <w:numFmt w:val="bullet"/>
      <w:lvlText w:val=""/>
      <w:lvlJc w:val="left"/>
      <w:pPr>
        <w:ind w:left="4710" w:hanging="420"/>
      </w:pPr>
      <w:rPr>
        <w:rFonts w:ascii="Wingdings" w:hAnsi="Wingdings" w:hint="default"/>
      </w:rPr>
    </w:lvl>
  </w:abstractNum>
  <w:abstractNum w:abstractNumId="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700C4878"/>
    <w:multiLevelType w:val="hybridMultilevel"/>
    <w:tmpl w:val="6A0CE604"/>
    <w:lvl w:ilvl="0" w:tplc="90F69A1A">
      <w:start w:val="1"/>
      <w:numFmt w:val="lowerLetter"/>
      <w:lvlText w:val="(%1)"/>
      <w:lvlJc w:val="left"/>
      <w:pPr>
        <w:ind w:left="1925" w:hanging="360"/>
      </w:pPr>
      <w:rPr>
        <w:rFonts w:hint="default"/>
      </w:rPr>
    </w:lvl>
    <w:lvl w:ilvl="1" w:tplc="04090019" w:tentative="1">
      <w:start w:val="1"/>
      <w:numFmt w:val="lowerLetter"/>
      <w:lvlText w:val="%2)"/>
      <w:lvlJc w:val="left"/>
      <w:pPr>
        <w:ind w:left="2405" w:hanging="420"/>
      </w:pPr>
    </w:lvl>
    <w:lvl w:ilvl="2" w:tplc="0409001B" w:tentative="1">
      <w:start w:val="1"/>
      <w:numFmt w:val="lowerRoman"/>
      <w:lvlText w:val="%3."/>
      <w:lvlJc w:val="right"/>
      <w:pPr>
        <w:ind w:left="2825" w:hanging="420"/>
      </w:pPr>
    </w:lvl>
    <w:lvl w:ilvl="3" w:tplc="0409000F" w:tentative="1">
      <w:start w:val="1"/>
      <w:numFmt w:val="decimal"/>
      <w:lvlText w:val="%4."/>
      <w:lvlJc w:val="left"/>
      <w:pPr>
        <w:ind w:left="3245" w:hanging="420"/>
      </w:pPr>
    </w:lvl>
    <w:lvl w:ilvl="4" w:tplc="04090019" w:tentative="1">
      <w:start w:val="1"/>
      <w:numFmt w:val="lowerLetter"/>
      <w:lvlText w:val="%5)"/>
      <w:lvlJc w:val="left"/>
      <w:pPr>
        <w:ind w:left="3665" w:hanging="420"/>
      </w:pPr>
    </w:lvl>
    <w:lvl w:ilvl="5" w:tplc="0409001B" w:tentative="1">
      <w:start w:val="1"/>
      <w:numFmt w:val="lowerRoman"/>
      <w:lvlText w:val="%6."/>
      <w:lvlJc w:val="right"/>
      <w:pPr>
        <w:ind w:left="4085" w:hanging="420"/>
      </w:pPr>
    </w:lvl>
    <w:lvl w:ilvl="6" w:tplc="0409000F" w:tentative="1">
      <w:start w:val="1"/>
      <w:numFmt w:val="decimal"/>
      <w:lvlText w:val="%7."/>
      <w:lvlJc w:val="left"/>
      <w:pPr>
        <w:ind w:left="4505" w:hanging="420"/>
      </w:pPr>
    </w:lvl>
    <w:lvl w:ilvl="7" w:tplc="04090019" w:tentative="1">
      <w:start w:val="1"/>
      <w:numFmt w:val="lowerLetter"/>
      <w:lvlText w:val="%8)"/>
      <w:lvlJc w:val="left"/>
      <w:pPr>
        <w:ind w:left="4925" w:hanging="420"/>
      </w:pPr>
    </w:lvl>
    <w:lvl w:ilvl="8" w:tplc="0409001B" w:tentative="1">
      <w:start w:val="1"/>
      <w:numFmt w:val="lowerRoman"/>
      <w:lvlText w:val="%9."/>
      <w:lvlJc w:val="right"/>
      <w:pPr>
        <w:ind w:left="5345" w:hanging="420"/>
      </w:pPr>
    </w:lvl>
  </w:abstractNum>
  <w:num w:numId="1">
    <w:abstractNumId w:val="2"/>
  </w:num>
  <w:num w:numId="2">
    <w:abstractNumId w:val="6"/>
  </w:num>
  <w:num w:numId="3">
    <w:abstractNumId w:val="3"/>
  </w:num>
  <w:num w:numId="4">
    <w:abstractNumId w:val="0"/>
  </w:num>
  <w:num w:numId="5">
    <w:abstractNumId w:val="2"/>
  </w:num>
  <w:num w:numId="6">
    <w:abstractNumId w:val="6"/>
  </w:num>
  <w:num w:numId="7">
    <w:abstractNumId w:val="3"/>
  </w:num>
  <w:num w:numId="8">
    <w:abstractNumId w:val="1"/>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0C"/>
    <w:rsid w:val="00006AC4"/>
    <w:rsid w:val="00007337"/>
    <w:rsid w:val="00011483"/>
    <w:rsid w:val="00024610"/>
    <w:rsid w:val="00054E5E"/>
    <w:rsid w:val="000D319F"/>
    <w:rsid w:val="000D6BBD"/>
    <w:rsid w:val="000E4D0E"/>
    <w:rsid w:val="000E62AA"/>
    <w:rsid w:val="000F6694"/>
    <w:rsid w:val="00144B69"/>
    <w:rsid w:val="00152D5C"/>
    <w:rsid w:val="00153E86"/>
    <w:rsid w:val="00186C47"/>
    <w:rsid w:val="001B16DD"/>
    <w:rsid w:val="001B1BD1"/>
    <w:rsid w:val="001C3B75"/>
    <w:rsid w:val="001C3EF2"/>
    <w:rsid w:val="001D17F6"/>
    <w:rsid w:val="00204B42"/>
    <w:rsid w:val="002103D3"/>
    <w:rsid w:val="0022146A"/>
    <w:rsid w:val="002231C3"/>
    <w:rsid w:val="0024417F"/>
    <w:rsid w:val="00250F8D"/>
    <w:rsid w:val="00256232"/>
    <w:rsid w:val="00261009"/>
    <w:rsid w:val="002939D6"/>
    <w:rsid w:val="002B3AC7"/>
    <w:rsid w:val="002E1C97"/>
    <w:rsid w:val="002F5834"/>
    <w:rsid w:val="00326EBF"/>
    <w:rsid w:val="00327FE4"/>
    <w:rsid w:val="003451D8"/>
    <w:rsid w:val="00346D15"/>
    <w:rsid w:val="003558AF"/>
    <w:rsid w:val="0037569F"/>
    <w:rsid w:val="003C0C9C"/>
    <w:rsid w:val="003F7C0C"/>
    <w:rsid w:val="00427F63"/>
    <w:rsid w:val="00470165"/>
    <w:rsid w:val="00474C6B"/>
    <w:rsid w:val="004B0EF7"/>
    <w:rsid w:val="004C4A0A"/>
    <w:rsid w:val="00557D9A"/>
    <w:rsid w:val="005C00B0"/>
    <w:rsid w:val="005E01D9"/>
    <w:rsid w:val="005E3084"/>
    <w:rsid w:val="005E403A"/>
    <w:rsid w:val="006160DA"/>
    <w:rsid w:val="00680656"/>
    <w:rsid w:val="006B1119"/>
    <w:rsid w:val="006B7A8F"/>
    <w:rsid w:val="006C65D8"/>
    <w:rsid w:val="006C67F4"/>
    <w:rsid w:val="006E3E46"/>
    <w:rsid w:val="006E41E9"/>
    <w:rsid w:val="006E71B1"/>
    <w:rsid w:val="00705D89"/>
    <w:rsid w:val="00722169"/>
    <w:rsid w:val="00731A42"/>
    <w:rsid w:val="00767E69"/>
    <w:rsid w:val="0077079A"/>
    <w:rsid w:val="007A5599"/>
    <w:rsid w:val="007E5DAD"/>
    <w:rsid w:val="00811540"/>
    <w:rsid w:val="00836BD1"/>
    <w:rsid w:val="00856233"/>
    <w:rsid w:val="00860F27"/>
    <w:rsid w:val="008B0560"/>
    <w:rsid w:val="008B2183"/>
    <w:rsid w:val="008B2BFA"/>
    <w:rsid w:val="008B4347"/>
    <w:rsid w:val="008C74EC"/>
    <w:rsid w:val="008D32CC"/>
    <w:rsid w:val="00923C5A"/>
    <w:rsid w:val="0093206A"/>
    <w:rsid w:val="00936F03"/>
    <w:rsid w:val="00943B69"/>
    <w:rsid w:val="00944CB3"/>
    <w:rsid w:val="00952103"/>
    <w:rsid w:val="00952908"/>
    <w:rsid w:val="00956F8A"/>
    <w:rsid w:val="009969C5"/>
    <w:rsid w:val="009B09D7"/>
    <w:rsid w:val="009D35ED"/>
    <w:rsid w:val="00A03CB6"/>
    <w:rsid w:val="00A1364C"/>
    <w:rsid w:val="00A21076"/>
    <w:rsid w:val="00A3739A"/>
    <w:rsid w:val="00A52DAF"/>
    <w:rsid w:val="00A84072"/>
    <w:rsid w:val="00A84DF2"/>
    <w:rsid w:val="00A87B40"/>
    <w:rsid w:val="00B16570"/>
    <w:rsid w:val="00B423E7"/>
    <w:rsid w:val="00B53320"/>
    <w:rsid w:val="00BC6522"/>
    <w:rsid w:val="00BC7E91"/>
    <w:rsid w:val="00BF6D17"/>
    <w:rsid w:val="00C121D5"/>
    <w:rsid w:val="00C17349"/>
    <w:rsid w:val="00C351AA"/>
    <w:rsid w:val="00C7253F"/>
    <w:rsid w:val="00C7577A"/>
    <w:rsid w:val="00C760F9"/>
    <w:rsid w:val="00D26A05"/>
    <w:rsid w:val="00D45C65"/>
    <w:rsid w:val="00D67E3B"/>
    <w:rsid w:val="00D849C1"/>
    <w:rsid w:val="00D85827"/>
    <w:rsid w:val="00D93FA6"/>
    <w:rsid w:val="00D97B98"/>
    <w:rsid w:val="00DC671F"/>
    <w:rsid w:val="00DE4DA7"/>
    <w:rsid w:val="00E04BB9"/>
    <w:rsid w:val="00E33B38"/>
    <w:rsid w:val="00E47FE5"/>
    <w:rsid w:val="00E574AF"/>
    <w:rsid w:val="00E845B2"/>
    <w:rsid w:val="00F00D09"/>
    <w:rsid w:val="00F664DD"/>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macro" w:uiPriority="0"/>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Char"/>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Char"/>
    <w:qFormat/>
    <w:rsid w:val="00D93FA6"/>
    <w:pPr>
      <w:keepNext/>
      <w:keepLines/>
      <w:widowControl w:val="0"/>
      <w:spacing w:after="320"/>
      <w:jc w:val="center"/>
      <w:outlineLvl w:val="2"/>
    </w:pPr>
    <w:rPr>
      <w:kern w:val="28"/>
      <w:u w:val="single"/>
    </w:rPr>
  </w:style>
  <w:style w:type="paragraph" w:styleId="4">
    <w:name w:val="heading 4"/>
    <w:basedOn w:val="a"/>
    <w:next w:val="a"/>
    <w:link w:val="4Char"/>
    <w:qFormat/>
    <w:rsid w:val="00D93FA6"/>
    <w:pPr>
      <w:keepNext/>
      <w:keepLines/>
      <w:widowControl w:val="0"/>
      <w:spacing w:after="240"/>
      <w:outlineLvl w:val="3"/>
    </w:pPr>
    <w:rPr>
      <w:u w:val="single"/>
    </w:rPr>
  </w:style>
  <w:style w:type="paragraph" w:styleId="5">
    <w:name w:val="heading 5"/>
    <w:basedOn w:val="a"/>
    <w:next w:val="a"/>
    <w:link w:val="5Char"/>
    <w:qFormat/>
    <w:rsid w:val="00D93FA6"/>
    <w:pPr>
      <w:spacing w:after="240"/>
      <w:outlineLvl w:val="4"/>
    </w:pPr>
    <w:rPr>
      <w:rFonts w:eastAsia="黑体"/>
      <w:bCs/>
      <w:szCs w:val="36"/>
    </w:rPr>
  </w:style>
  <w:style w:type="paragraph" w:styleId="6">
    <w:name w:val="heading 6"/>
    <w:basedOn w:val="a"/>
    <w:next w:val="a"/>
    <w:link w:val="6Char"/>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rsid w:val="00D93FA6"/>
    <w:pPr>
      <w:keepNext/>
      <w:keepLines/>
      <w:spacing w:before="240" w:after="64" w:line="320" w:lineRule="auto"/>
      <w:outlineLvl w:val="6"/>
    </w:pPr>
    <w:rPr>
      <w:b/>
      <w:bCs/>
      <w:szCs w:val="24"/>
    </w:rPr>
  </w:style>
  <w:style w:type="paragraph" w:styleId="8">
    <w:name w:val="heading 8"/>
    <w:basedOn w:val="a"/>
    <w:next w:val="a"/>
    <w:link w:val="8Char"/>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Char"/>
    <w:qFormat/>
    <w:rsid w:val="002B3AC7"/>
    <w:pPr>
      <w:keepLines/>
      <w:tabs>
        <w:tab w:val="right" w:pos="1021"/>
      </w:tabs>
      <w:spacing w:after="120" w:line="240" w:lineRule="exact"/>
      <w:ind w:left="1134" w:right="1134" w:hanging="1134"/>
    </w:pPr>
    <w:rPr>
      <w:sz w:val="18"/>
    </w:rPr>
  </w:style>
  <w:style w:type="character" w:customStyle="1" w:styleId="Char">
    <w:name w:val="脚注文本 Char"/>
    <w:aliases w:val="5_G Char"/>
    <w:basedOn w:val="a0"/>
    <w:link w:val="a6"/>
    <w:rsid w:val="002B3AC7"/>
    <w:rPr>
      <w:snapToGrid w:val="0"/>
      <w:sz w:val="18"/>
    </w:rPr>
  </w:style>
  <w:style w:type="character" w:styleId="a7">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8">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9">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a"/>
    <w:qFormat/>
    <w:rsid w:val="002B3AC7"/>
    <w:pPr>
      <w:tabs>
        <w:tab w:val="left" w:pos="1134"/>
        <w:tab w:val="left" w:pos="1565"/>
        <w:tab w:val="left" w:pos="1996"/>
        <w:tab w:val="left" w:pos="2427"/>
      </w:tabs>
      <w:spacing w:after="120"/>
      <w:ind w:left="1565" w:right="1134"/>
    </w:pPr>
  </w:style>
  <w:style w:type="paragraph" w:styleId="ab">
    <w:name w:val="endnote text"/>
    <w:basedOn w:val="a6"/>
    <w:link w:val="Char0"/>
    <w:qFormat/>
    <w:rsid w:val="00923C5A"/>
    <w:pPr>
      <w:spacing w:after="0"/>
    </w:pPr>
  </w:style>
  <w:style w:type="character" w:customStyle="1" w:styleId="Char0">
    <w:name w:val="尾注文本 Char"/>
    <w:basedOn w:val="a0"/>
    <w:link w:val="ab"/>
    <w:rsid w:val="00923C5A"/>
    <w:rPr>
      <w:snapToGrid w:val="0"/>
      <w:sz w:val="18"/>
    </w:rPr>
  </w:style>
  <w:style w:type="character" w:styleId="ac">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d">
    <w:name w:val="悬挂"/>
    <w:basedOn w:val="a"/>
    <w:qFormat/>
    <w:rsid w:val="006E41E9"/>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BF6D17"/>
    <w:pPr>
      <w:spacing w:line="240" w:lineRule="auto"/>
    </w:pPr>
    <w:rPr>
      <w:rFonts w:eastAsia="Times New Roman"/>
      <w:sz w:val="16"/>
      <w:szCs w:val="16"/>
      <w:lang w:val="en-GB" w:eastAsia="en-US"/>
    </w:rPr>
  </w:style>
  <w:style w:type="character" w:customStyle="1" w:styleId="Char1">
    <w:name w:val="页脚 Char"/>
    <w:link w:val="ae"/>
    <w:rsid w:val="00BF6D17"/>
    <w:rPr>
      <w:rFonts w:eastAsia="Times New Roman"/>
      <w:snapToGrid w:val="0"/>
      <w:sz w:val="16"/>
      <w:szCs w:val="16"/>
      <w:lang w:val="en-GB" w:eastAsia="en-US"/>
    </w:rPr>
  </w:style>
  <w:style w:type="character" w:styleId="af">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0">
    <w:name w:val="header"/>
    <w:basedOn w:val="a"/>
    <w:link w:val="Char2"/>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Char2">
    <w:name w:val="页眉 Char"/>
    <w:link w:val="af0"/>
    <w:rsid w:val="00BF6D17"/>
    <w:rPr>
      <w:rFonts w:eastAsia="Times New Roman"/>
      <w:b/>
      <w:snapToGrid w:val="0"/>
      <w:sz w:val="18"/>
      <w:szCs w:val="18"/>
      <w:lang w:val="en-GB" w:eastAsia="en-US"/>
    </w:rPr>
  </w:style>
  <w:style w:type="character" w:customStyle="1" w:styleId="1Char">
    <w:name w:val="标题 1 Char"/>
    <w:basedOn w:val="a0"/>
    <w:link w:val="1"/>
    <w:rsid w:val="00D93FA6"/>
    <w:rPr>
      <w:b/>
      <w:snapToGrid w:val="0"/>
      <w:kern w:val="32"/>
      <w:sz w:val="30"/>
    </w:rPr>
  </w:style>
  <w:style w:type="character" w:customStyle="1" w:styleId="2Char">
    <w:name w:val="标题 2 Char"/>
    <w:basedOn w:val="a0"/>
    <w:link w:val="2"/>
    <w:rsid w:val="00D93FA6"/>
    <w:rPr>
      <w:kern w:val="28"/>
      <w:sz w:val="28"/>
    </w:rPr>
  </w:style>
  <w:style w:type="character" w:customStyle="1" w:styleId="3Char">
    <w:name w:val="标题 3 Char"/>
    <w:basedOn w:val="a0"/>
    <w:link w:val="3"/>
    <w:rsid w:val="00D93FA6"/>
    <w:rPr>
      <w:kern w:val="28"/>
      <w:sz w:val="21"/>
      <w:u w:val="single"/>
    </w:rPr>
  </w:style>
  <w:style w:type="character" w:customStyle="1" w:styleId="4Char">
    <w:name w:val="标题 4 Char"/>
    <w:basedOn w:val="a0"/>
    <w:link w:val="4"/>
    <w:rsid w:val="00D93FA6"/>
    <w:rPr>
      <w:kern w:val="2"/>
      <w:sz w:val="21"/>
      <w:u w:val="single"/>
    </w:rPr>
  </w:style>
  <w:style w:type="character" w:customStyle="1" w:styleId="5Char">
    <w:name w:val="标题 5 Char"/>
    <w:basedOn w:val="a0"/>
    <w:link w:val="5"/>
    <w:rsid w:val="00D93FA6"/>
    <w:rPr>
      <w:rFonts w:eastAsia="黑体"/>
      <w:bCs/>
      <w:kern w:val="2"/>
      <w:sz w:val="21"/>
      <w:szCs w:val="36"/>
    </w:rPr>
  </w:style>
  <w:style w:type="character" w:customStyle="1" w:styleId="6Char">
    <w:name w:val="标题 6 Char"/>
    <w:basedOn w:val="a0"/>
    <w:link w:val="6"/>
    <w:rsid w:val="00D93FA6"/>
    <w:rPr>
      <w:rFonts w:ascii="Arial" w:eastAsia="黑体" w:hAnsi="Arial"/>
      <w:b/>
      <w:bCs/>
      <w:kern w:val="2"/>
      <w:sz w:val="21"/>
      <w:szCs w:val="24"/>
    </w:rPr>
  </w:style>
  <w:style w:type="character" w:customStyle="1" w:styleId="7Char">
    <w:name w:val="标题 7 Char"/>
    <w:basedOn w:val="a0"/>
    <w:link w:val="7"/>
    <w:rsid w:val="00D93FA6"/>
    <w:rPr>
      <w:b/>
      <w:bCs/>
      <w:kern w:val="2"/>
      <w:sz w:val="21"/>
      <w:szCs w:val="24"/>
    </w:rPr>
  </w:style>
  <w:style w:type="character" w:customStyle="1" w:styleId="8Char">
    <w:name w:val="标题 8 Char"/>
    <w:basedOn w:val="a0"/>
    <w:link w:val="8"/>
    <w:rsid w:val="00D93FA6"/>
    <w:rPr>
      <w:rFonts w:ascii="Arial" w:eastAsia="黑体" w:hAnsi="Arial"/>
      <w:kern w:val="2"/>
      <w:sz w:val="21"/>
      <w:szCs w:val="24"/>
    </w:rPr>
  </w:style>
  <w:style w:type="character" w:customStyle="1" w:styleId="9Char">
    <w:name w:val="标题 9 Char"/>
    <w:basedOn w:val="a0"/>
    <w:link w:val="9"/>
    <w:rsid w:val="00D93FA6"/>
    <w:rPr>
      <w:rFonts w:ascii="Arial" w:eastAsia="黑体" w:hAnsi="Arial"/>
      <w:kern w:val="2"/>
      <w:sz w:val="21"/>
      <w:szCs w:val="21"/>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semiHidden/>
    <w:rsid w:val="00D93FA6"/>
    <w:rPr>
      <w:color w:val="0000FF"/>
      <w:u w:val="none"/>
    </w:rPr>
  </w:style>
  <w:style w:type="character" w:styleId="af3">
    <w:name w:val="FollowedHyperlink"/>
    <w:semiHidden/>
    <w:rsid w:val="00D93FA6"/>
    <w:rPr>
      <w:color w:val="0000FF"/>
      <w:u w:val="none"/>
    </w:rPr>
  </w:style>
  <w:style w:type="paragraph" w:styleId="af4">
    <w:name w:val="macro"/>
    <w:link w:val="Char4"/>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Char4">
    <w:name w:val="宏文本 Char"/>
    <w:basedOn w:val="a0"/>
    <w:link w:val="af4"/>
    <w:semiHidden/>
    <w:rsid w:val="00D93FA6"/>
    <w:rPr>
      <w:kern w:val="24"/>
      <w:sz w:val="24"/>
      <w:szCs w:val="24"/>
    </w:rPr>
  </w:style>
  <w:style w:type="table" w:styleId="af5">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6C67F4"/>
    <w:pPr>
      <w:suppressAutoHyphens/>
      <w:overflowPunct/>
      <w:adjustRightInd/>
      <w:snapToGrid/>
      <w:spacing w:after="120" w:line="280" w:lineRule="exact"/>
      <w:ind w:left="1134" w:right="1134"/>
      <w:jc w:val="both"/>
    </w:pPr>
    <w:rPr>
      <w:snapToGrid/>
      <w:szCs w:val="10"/>
    </w:rPr>
  </w:style>
  <w:style w:type="paragraph" w:customStyle="1" w:styleId="H1G">
    <w:name w:val="_ H_1_G"/>
    <w:basedOn w:val="a"/>
    <w:next w:val="a"/>
    <w:link w:val="H1GChar"/>
    <w:rsid w:val="006C67F4"/>
    <w:pPr>
      <w:keepNext/>
      <w:keepLines/>
      <w:tabs>
        <w:tab w:val="right" w:pos="851"/>
      </w:tabs>
      <w:suppressAutoHyphens/>
      <w:overflowPunct/>
      <w:adjustRightInd/>
      <w:snapToGrid/>
      <w:spacing w:before="360" w:after="240" w:line="270" w:lineRule="exact"/>
      <w:ind w:left="1134" w:right="1134" w:hanging="1134"/>
      <w:jc w:val="both"/>
    </w:pPr>
    <w:rPr>
      <w:b/>
      <w:snapToGrid/>
      <w:sz w:val="24"/>
      <w:szCs w:val="10"/>
    </w:rPr>
  </w:style>
  <w:style w:type="paragraph" w:customStyle="1" w:styleId="H23G">
    <w:name w:val="_ H_2/3_G"/>
    <w:basedOn w:val="a"/>
    <w:next w:val="a"/>
    <w:rsid w:val="006C67F4"/>
    <w:pPr>
      <w:keepNext/>
      <w:keepLines/>
      <w:tabs>
        <w:tab w:val="right" w:pos="851"/>
      </w:tabs>
      <w:suppressAutoHyphens/>
      <w:overflowPunct/>
      <w:adjustRightInd/>
      <w:snapToGrid/>
      <w:spacing w:before="240" w:after="120" w:line="240" w:lineRule="exact"/>
      <w:ind w:left="1134" w:right="1134" w:hanging="1134"/>
      <w:jc w:val="both"/>
    </w:pPr>
    <w:rPr>
      <w:b/>
      <w:snapToGrid/>
      <w:szCs w:val="10"/>
    </w:rPr>
  </w:style>
  <w:style w:type="character" w:customStyle="1" w:styleId="SingleTxtGChar">
    <w:name w:val="_ Single Txt_G Char"/>
    <w:link w:val="SingleTxtG"/>
    <w:rsid w:val="006C67F4"/>
    <w:rPr>
      <w:sz w:val="21"/>
      <w:szCs w:val="10"/>
    </w:rPr>
  </w:style>
  <w:style w:type="character" w:customStyle="1" w:styleId="H1GChar">
    <w:name w:val="_ H_1_G Char"/>
    <w:link w:val="H1G"/>
    <w:rsid w:val="006C67F4"/>
    <w:rPr>
      <w:b/>
      <w:sz w:val="24"/>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macro" w:uiPriority="0"/>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Char"/>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Char"/>
    <w:qFormat/>
    <w:rsid w:val="00D93FA6"/>
    <w:pPr>
      <w:keepNext/>
      <w:keepLines/>
      <w:widowControl w:val="0"/>
      <w:spacing w:after="320"/>
      <w:jc w:val="center"/>
      <w:outlineLvl w:val="2"/>
    </w:pPr>
    <w:rPr>
      <w:kern w:val="28"/>
      <w:u w:val="single"/>
    </w:rPr>
  </w:style>
  <w:style w:type="paragraph" w:styleId="4">
    <w:name w:val="heading 4"/>
    <w:basedOn w:val="a"/>
    <w:next w:val="a"/>
    <w:link w:val="4Char"/>
    <w:qFormat/>
    <w:rsid w:val="00D93FA6"/>
    <w:pPr>
      <w:keepNext/>
      <w:keepLines/>
      <w:widowControl w:val="0"/>
      <w:spacing w:after="240"/>
      <w:outlineLvl w:val="3"/>
    </w:pPr>
    <w:rPr>
      <w:u w:val="single"/>
    </w:rPr>
  </w:style>
  <w:style w:type="paragraph" w:styleId="5">
    <w:name w:val="heading 5"/>
    <w:basedOn w:val="a"/>
    <w:next w:val="a"/>
    <w:link w:val="5Char"/>
    <w:qFormat/>
    <w:rsid w:val="00D93FA6"/>
    <w:pPr>
      <w:spacing w:after="240"/>
      <w:outlineLvl w:val="4"/>
    </w:pPr>
    <w:rPr>
      <w:rFonts w:eastAsia="黑体"/>
      <w:bCs/>
      <w:szCs w:val="36"/>
    </w:rPr>
  </w:style>
  <w:style w:type="paragraph" w:styleId="6">
    <w:name w:val="heading 6"/>
    <w:basedOn w:val="a"/>
    <w:next w:val="a"/>
    <w:link w:val="6Char"/>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rsid w:val="00D93FA6"/>
    <w:pPr>
      <w:keepNext/>
      <w:keepLines/>
      <w:spacing w:before="240" w:after="64" w:line="320" w:lineRule="auto"/>
      <w:outlineLvl w:val="6"/>
    </w:pPr>
    <w:rPr>
      <w:b/>
      <w:bCs/>
      <w:szCs w:val="24"/>
    </w:rPr>
  </w:style>
  <w:style w:type="paragraph" w:styleId="8">
    <w:name w:val="heading 8"/>
    <w:basedOn w:val="a"/>
    <w:next w:val="a"/>
    <w:link w:val="8Char"/>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Char"/>
    <w:qFormat/>
    <w:rsid w:val="002B3AC7"/>
    <w:pPr>
      <w:keepLines/>
      <w:tabs>
        <w:tab w:val="right" w:pos="1021"/>
      </w:tabs>
      <w:spacing w:after="120" w:line="240" w:lineRule="exact"/>
      <w:ind w:left="1134" w:right="1134" w:hanging="1134"/>
    </w:pPr>
    <w:rPr>
      <w:sz w:val="18"/>
    </w:rPr>
  </w:style>
  <w:style w:type="character" w:customStyle="1" w:styleId="Char">
    <w:name w:val="脚注文本 Char"/>
    <w:aliases w:val="5_G Char"/>
    <w:basedOn w:val="a0"/>
    <w:link w:val="a6"/>
    <w:rsid w:val="002B3AC7"/>
    <w:rPr>
      <w:snapToGrid w:val="0"/>
      <w:sz w:val="18"/>
    </w:rPr>
  </w:style>
  <w:style w:type="character" w:styleId="a7">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8">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9">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a"/>
    <w:qFormat/>
    <w:rsid w:val="002B3AC7"/>
    <w:pPr>
      <w:tabs>
        <w:tab w:val="left" w:pos="1134"/>
        <w:tab w:val="left" w:pos="1565"/>
        <w:tab w:val="left" w:pos="1996"/>
        <w:tab w:val="left" w:pos="2427"/>
      </w:tabs>
      <w:spacing w:after="120"/>
      <w:ind w:left="1565" w:right="1134"/>
    </w:pPr>
  </w:style>
  <w:style w:type="paragraph" w:styleId="ab">
    <w:name w:val="endnote text"/>
    <w:basedOn w:val="a6"/>
    <w:link w:val="Char0"/>
    <w:qFormat/>
    <w:rsid w:val="00923C5A"/>
    <w:pPr>
      <w:spacing w:after="0"/>
    </w:pPr>
  </w:style>
  <w:style w:type="character" w:customStyle="1" w:styleId="Char0">
    <w:name w:val="尾注文本 Char"/>
    <w:basedOn w:val="a0"/>
    <w:link w:val="ab"/>
    <w:rsid w:val="00923C5A"/>
    <w:rPr>
      <w:snapToGrid w:val="0"/>
      <w:sz w:val="18"/>
    </w:rPr>
  </w:style>
  <w:style w:type="character" w:styleId="ac">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d">
    <w:name w:val="悬挂"/>
    <w:basedOn w:val="a"/>
    <w:qFormat/>
    <w:rsid w:val="006E41E9"/>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BF6D17"/>
    <w:pPr>
      <w:spacing w:line="240" w:lineRule="auto"/>
    </w:pPr>
    <w:rPr>
      <w:rFonts w:eastAsia="Times New Roman"/>
      <w:sz w:val="16"/>
      <w:szCs w:val="16"/>
      <w:lang w:val="en-GB" w:eastAsia="en-US"/>
    </w:rPr>
  </w:style>
  <w:style w:type="character" w:customStyle="1" w:styleId="Char1">
    <w:name w:val="页脚 Char"/>
    <w:link w:val="ae"/>
    <w:rsid w:val="00BF6D17"/>
    <w:rPr>
      <w:rFonts w:eastAsia="Times New Roman"/>
      <w:snapToGrid w:val="0"/>
      <w:sz w:val="16"/>
      <w:szCs w:val="16"/>
      <w:lang w:val="en-GB" w:eastAsia="en-US"/>
    </w:rPr>
  </w:style>
  <w:style w:type="character" w:styleId="af">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0">
    <w:name w:val="header"/>
    <w:basedOn w:val="a"/>
    <w:link w:val="Char2"/>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Char2">
    <w:name w:val="页眉 Char"/>
    <w:link w:val="af0"/>
    <w:rsid w:val="00BF6D17"/>
    <w:rPr>
      <w:rFonts w:eastAsia="Times New Roman"/>
      <w:b/>
      <w:snapToGrid w:val="0"/>
      <w:sz w:val="18"/>
      <w:szCs w:val="18"/>
      <w:lang w:val="en-GB" w:eastAsia="en-US"/>
    </w:rPr>
  </w:style>
  <w:style w:type="character" w:customStyle="1" w:styleId="1Char">
    <w:name w:val="标题 1 Char"/>
    <w:basedOn w:val="a0"/>
    <w:link w:val="1"/>
    <w:rsid w:val="00D93FA6"/>
    <w:rPr>
      <w:b/>
      <w:snapToGrid w:val="0"/>
      <w:kern w:val="32"/>
      <w:sz w:val="30"/>
    </w:rPr>
  </w:style>
  <w:style w:type="character" w:customStyle="1" w:styleId="2Char">
    <w:name w:val="标题 2 Char"/>
    <w:basedOn w:val="a0"/>
    <w:link w:val="2"/>
    <w:rsid w:val="00D93FA6"/>
    <w:rPr>
      <w:kern w:val="28"/>
      <w:sz w:val="28"/>
    </w:rPr>
  </w:style>
  <w:style w:type="character" w:customStyle="1" w:styleId="3Char">
    <w:name w:val="标题 3 Char"/>
    <w:basedOn w:val="a0"/>
    <w:link w:val="3"/>
    <w:rsid w:val="00D93FA6"/>
    <w:rPr>
      <w:kern w:val="28"/>
      <w:sz w:val="21"/>
      <w:u w:val="single"/>
    </w:rPr>
  </w:style>
  <w:style w:type="character" w:customStyle="1" w:styleId="4Char">
    <w:name w:val="标题 4 Char"/>
    <w:basedOn w:val="a0"/>
    <w:link w:val="4"/>
    <w:rsid w:val="00D93FA6"/>
    <w:rPr>
      <w:kern w:val="2"/>
      <w:sz w:val="21"/>
      <w:u w:val="single"/>
    </w:rPr>
  </w:style>
  <w:style w:type="character" w:customStyle="1" w:styleId="5Char">
    <w:name w:val="标题 5 Char"/>
    <w:basedOn w:val="a0"/>
    <w:link w:val="5"/>
    <w:rsid w:val="00D93FA6"/>
    <w:rPr>
      <w:rFonts w:eastAsia="黑体"/>
      <w:bCs/>
      <w:kern w:val="2"/>
      <w:sz w:val="21"/>
      <w:szCs w:val="36"/>
    </w:rPr>
  </w:style>
  <w:style w:type="character" w:customStyle="1" w:styleId="6Char">
    <w:name w:val="标题 6 Char"/>
    <w:basedOn w:val="a0"/>
    <w:link w:val="6"/>
    <w:rsid w:val="00D93FA6"/>
    <w:rPr>
      <w:rFonts w:ascii="Arial" w:eastAsia="黑体" w:hAnsi="Arial"/>
      <w:b/>
      <w:bCs/>
      <w:kern w:val="2"/>
      <w:sz w:val="21"/>
      <w:szCs w:val="24"/>
    </w:rPr>
  </w:style>
  <w:style w:type="character" w:customStyle="1" w:styleId="7Char">
    <w:name w:val="标题 7 Char"/>
    <w:basedOn w:val="a0"/>
    <w:link w:val="7"/>
    <w:rsid w:val="00D93FA6"/>
    <w:rPr>
      <w:b/>
      <w:bCs/>
      <w:kern w:val="2"/>
      <w:sz w:val="21"/>
      <w:szCs w:val="24"/>
    </w:rPr>
  </w:style>
  <w:style w:type="character" w:customStyle="1" w:styleId="8Char">
    <w:name w:val="标题 8 Char"/>
    <w:basedOn w:val="a0"/>
    <w:link w:val="8"/>
    <w:rsid w:val="00D93FA6"/>
    <w:rPr>
      <w:rFonts w:ascii="Arial" w:eastAsia="黑体" w:hAnsi="Arial"/>
      <w:kern w:val="2"/>
      <w:sz w:val="21"/>
      <w:szCs w:val="24"/>
    </w:rPr>
  </w:style>
  <w:style w:type="character" w:customStyle="1" w:styleId="9Char">
    <w:name w:val="标题 9 Char"/>
    <w:basedOn w:val="a0"/>
    <w:link w:val="9"/>
    <w:rsid w:val="00D93FA6"/>
    <w:rPr>
      <w:rFonts w:ascii="Arial" w:eastAsia="黑体" w:hAnsi="Arial"/>
      <w:kern w:val="2"/>
      <w:sz w:val="21"/>
      <w:szCs w:val="21"/>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semiHidden/>
    <w:rsid w:val="00D93FA6"/>
    <w:rPr>
      <w:color w:val="0000FF"/>
      <w:u w:val="none"/>
    </w:rPr>
  </w:style>
  <w:style w:type="character" w:styleId="af3">
    <w:name w:val="FollowedHyperlink"/>
    <w:semiHidden/>
    <w:rsid w:val="00D93FA6"/>
    <w:rPr>
      <w:color w:val="0000FF"/>
      <w:u w:val="none"/>
    </w:rPr>
  </w:style>
  <w:style w:type="paragraph" w:styleId="af4">
    <w:name w:val="macro"/>
    <w:link w:val="Char4"/>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Char4">
    <w:name w:val="宏文本 Char"/>
    <w:basedOn w:val="a0"/>
    <w:link w:val="af4"/>
    <w:semiHidden/>
    <w:rsid w:val="00D93FA6"/>
    <w:rPr>
      <w:kern w:val="24"/>
      <w:sz w:val="24"/>
      <w:szCs w:val="24"/>
    </w:rPr>
  </w:style>
  <w:style w:type="table" w:styleId="af5">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6C67F4"/>
    <w:pPr>
      <w:suppressAutoHyphens/>
      <w:overflowPunct/>
      <w:adjustRightInd/>
      <w:snapToGrid/>
      <w:spacing w:after="120" w:line="280" w:lineRule="exact"/>
      <w:ind w:left="1134" w:right="1134"/>
      <w:jc w:val="both"/>
    </w:pPr>
    <w:rPr>
      <w:snapToGrid/>
      <w:szCs w:val="10"/>
    </w:rPr>
  </w:style>
  <w:style w:type="paragraph" w:customStyle="1" w:styleId="H1G">
    <w:name w:val="_ H_1_G"/>
    <w:basedOn w:val="a"/>
    <w:next w:val="a"/>
    <w:link w:val="H1GChar"/>
    <w:rsid w:val="006C67F4"/>
    <w:pPr>
      <w:keepNext/>
      <w:keepLines/>
      <w:tabs>
        <w:tab w:val="right" w:pos="851"/>
      </w:tabs>
      <w:suppressAutoHyphens/>
      <w:overflowPunct/>
      <w:adjustRightInd/>
      <w:snapToGrid/>
      <w:spacing w:before="360" w:after="240" w:line="270" w:lineRule="exact"/>
      <w:ind w:left="1134" w:right="1134" w:hanging="1134"/>
      <w:jc w:val="both"/>
    </w:pPr>
    <w:rPr>
      <w:b/>
      <w:snapToGrid/>
      <w:sz w:val="24"/>
      <w:szCs w:val="10"/>
    </w:rPr>
  </w:style>
  <w:style w:type="paragraph" w:customStyle="1" w:styleId="H23G">
    <w:name w:val="_ H_2/3_G"/>
    <w:basedOn w:val="a"/>
    <w:next w:val="a"/>
    <w:rsid w:val="006C67F4"/>
    <w:pPr>
      <w:keepNext/>
      <w:keepLines/>
      <w:tabs>
        <w:tab w:val="right" w:pos="851"/>
      </w:tabs>
      <w:suppressAutoHyphens/>
      <w:overflowPunct/>
      <w:adjustRightInd/>
      <w:snapToGrid/>
      <w:spacing w:before="240" w:after="120" w:line="240" w:lineRule="exact"/>
      <w:ind w:left="1134" w:right="1134" w:hanging="1134"/>
      <w:jc w:val="both"/>
    </w:pPr>
    <w:rPr>
      <w:b/>
      <w:snapToGrid/>
      <w:szCs w:val="10"/>
    </w:rPr>
  </w:style>
  <w:style w:type="character" w:customStyle="1" w:styleId="SingleTxtGChar">
    <w:name w:val="_ Single Txt_G Char"/>
    <w:link w:val="SingleTxtG"/>
    <w:rsid w:val="006C67F4"/>
    <w:rPr>
      <w:sz w:val="21"/>
      <w:szCs w:val="10"/>
    </w:rPr>
  </w:style>
  <w:style w:type="character" w:customStyle="1" w:styleId="H1GChar">
    <w:name w:val="_ H_1_G Char"/>
    <w:link w:val="H1G"/>
    <w:rsid w:val="006C67F4"/>
    <w:rPr>
      <w:b/>
      <w:sz w:val="24"/>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530B-A62D-46C6-9D82-4E5D02A9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1786</Words>
  <Characters>1929</Characters>
  <Application>Microsoft Office Word</Application>
  <DocSecurity>0</DocSecurity>
  <Lines>85</Lines>
  <Paragraphs>40</Paragraphs>
  <ScaleCrop>false</ScaleCrop>
  <Company>DCM</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1710035</dc:title>
  <dc:subject>A/HRC/35/L.14</dc:subject>
  <dc:creator>WUJS</dc:creator>
  <cp:keywords/>
  <dc:description/>
  <cp:lastModifiedBy>Ji</cp:lastModifiedBy>
  <cp:revision>2</cp:revision>
  <cp:lastPrinted>2014-05-09T11:28:00Z</cp:lastPrinted>
  <dcterms:created xsi:type="dcterms:W3CDTF">2017-06-20T10:27:00Z</dcterms:created>
  <dcterms:modified xsi:type="dcterms:W3CDTF">2017-06-20T10:27:00Z</dcterms:modified>
</cp:coreProperties>
</file>