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DB58B5" w14:paraId="739095A6" w14:textId="77777777" w:rsidTr="00702DC1">
        <w:trPr>
          <w:trHeight w:hRule="exact" w:val="851"/>
        </w:trPr>
        <w:tc>
          <w:tcPr>
            <w:tcW w:w="1276" w:type="dxa"/>
            <w:tcBorders>
              <w:bottom w:val="single" w:sz="4" w:space="0" w:color="auto"/>
            </w:tcBorders>
          </w:tcPr>
          <w:p w14:paraId="3A0057F4" w14:textId="77777777" w:rsidR="009C3792" w:rsidRPr="00DB58B5" w:rsidRDefault="009C3792" w:rsidP="00A37ED1"/>
        </w:tc>
        <w:tc>
          <w:tcPr>
            <w:tcW w:w="2268" w:type="dxa"/>
            <w:tcBorders>
              <w:bottom w:val="single" w:sz="4" w:space="0" w:color="auto"/>
            </w:tcBorders>
            <w:vAlign w:val="bottom"/>
          </w:tcPr>
          <w:p w14:paraId="3A3B0974" w14:textId="77777777" w:rsidR="009C3792" w:rsidRPr="00DB58B5" w:rsidRDefault="009C3792" w:rsidP="00702DC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5E66A81" w14:textId="77777777" w:rsidR="009C3792" w:rsidRPr="00DB58B5" w:rsidRDefault="00A37ED1" w:rsidP="00A37ED1">
            <w:pPr>
              <w:jc w:val="right"/>
            </w:pPr>
            <w:r w:rsidRPr="00A37ED1">
              <w:rPr>
                <w:sz w:val="40"/>
              </w:rPr>
              <w:t>HRI</w:t>
            </w:r>
            <w:r>
              <w:t>/CORE/QAT/2019</w:t>
            </w:r>
          </w:p>
        </w:tc>
      </w:tr>
      <w:tr w:rsidR="009C3792" w:rsidRPr="00DB58B5" w14:paraId="18A1A1D7" w14:textId="77777777" w:rsidTr="00702DC1">
        <w:trPr>
          <w:trHeight w:hRule="exact" w:val="2835"/>
        </w:trPr>
        <w:tc>
          <w:tcPr>
            <w:tcW w:w="1276" w:type="dxa"/>
            <w:tcBorders>
              <w:top w:val="single" w:sz="4" w:space="0" w:color="auto"/>
              <w:bottom w:val="single" w:sz="12" w:space="0" w:color="auto"/>
            </w:tcBorders>
          </w:tcPr>
          <w:p w14:paraId="0CCA09C1" w14:textId="77777777" w:rsidR="009C3792" w:rsidRPr="00DB58B5" w:rsidRDefault="009C3792" w:rsidP="00702DC1">
            <w:pPr>
              <w:spacing w:before="120"/>
              <w:jc w:val="center"/>
            </w:pPr>
            <w:r>
              <w:rPr>
                <w:noProof/>
                <w:lang w:eastAsia="fr-CH"/>
              </w:rPr>
              <w:drawing>
                <wp:inline distT="0" distB="0" distL="0" distR="0" wp14:anchorId="55388392" wp14:editId="741C5A3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E4DBBF" w14:textId="77777777" w:rsidR="009C3792" w:rsidRPr="00740562" w:rsidRDefault="009C3792" w:rsidP="00702DC1">
            <w:pPr>
              <w:spacing w:before="120" w:line="380" w:lineRule="exact"/>
              <w:rPr>
                <w:b/>
                <w:sz w:val="40"/>
                <w:szCs w:val="40"/>
              </w:rPr>
            </w:pPr>
            <w:r>
              <w:rPr>
                <w:b/>
                <w:sz w:val="34"/>
                <w:szCs w:val="34"/>
              </w:rPr>
              <w:t>Instruments internationaux</w:t>
            </w:r>
            <w:r w:rsidR="00A37ED1">
              <w:rPr>
                <w:b/>
                <w:sz w:val="34"/>
                <w:szCs w:val="34"/>
              </w:rPr>
              <w:t xml:space="preserve"> </w:t>
            </w:r>
            <w:r>
              <w:rPr>
                <w:b/>
                <w:sz w:val="34"/>
                <w:szCs w:val="34"/>
              </w:rPr>
              <w:br/>
              <w:t>relatifs aux droits de l’homme</w:t>
            </w:r>
          </w:p>
        </w:tc>
        <w:tc>
          <w:tcPr>
            <w:tcW w:w="2835" w:type="dxa"/>
            <w:tcBorders>
              <w:top w:val="single" w:sz="4" w:space="0" w:color="auto"/>
              <w:bottom w:val="single" w:sz="12" w:space="0" w:color="auto"/>
            </w:tcBorders>
          </w:tcPr>
          <w:p w14:paraId="0FCF15CB" w14:textId="77777777" w:rsidR="009C3792" w:rsidRDefault="00A37ED1" w:rsidP="00702DC1">
            <w:pPr>
              <w:spacing w:before="240"/>
            </w:pPr>
            <w:r>
              <w:t>Distr. générale</w:t>
            </w:r>
          </w:p>
          <w:p w14:paraId="1683B356" w14:textId="77777777" w:rsidR="00A37ED1" w:rsidRDefault="00A37ED1" w:rsidP="00A37ED1">
            <w:pPr>
              <w:spacing w:line="240" w:lineRule="exact"/>
            </w:pPr>
            <w:r>
              <w:t>15 février 2019</w:t>
            </w:r>
          </w:p>
          <w:p w14:paraId="5583B29F" w14:textId="77777777" w:rsidR="00A37ED1" w:rsidRDefault="00A37ED1" w:rsidP="00A37ED1">
            <w:pPr>
              <w:spacing w:line="240" w:lineRule="exact"/>
            </w:pPr>
            <w:r>
              <w:t>Français</w:t>
            </w:r>
          </w:p>
          <w:p w14:paraId="3868696F" w14:textId="77777777" w:rsidR="00A37ED1" w:rsidRPr="00DB58B5" w:rsidRDefault="00A37ED1" w:rsidP="00A37ED1">
            <w:pPr>
              <w:spacing w:line="240" w:lineRule="exact"/>
            </w:pPr>
            <w:r>
              <w:t>Original : arabe</w:t>
            </w:r>
          </w:p>
        </w:tc>
      </w:tr>
    </w:tbl>
    <w:p w14:paraId="0BCA78C5" w14:textId="77777777" w:rsidR="00801DAE" w:rsidRPr="00CE611F" w:rsidRDefault="00801DAE" w:rsidP="00801DAE">
      <w:pPr>
        <w:pStyle w:val="HMG"/>
        <w:rPr>
          <w:lang w:val="fr-FR"/>
        </w:rPr>
      </w:pPr>
      <w:r w:rsidRPr="00CE611F">
        <w:rPr>
          <w:lang w:val="fr-FR"/>
        </w:rPr>
        <w:tab/>
      </w:r>
      <w:r w:rsidRPr="00CE611F">
        <w:rPr>
          <w:lang w:val="fr-FR"/>
        </w:rPr>
        <w:tab/>
        <w:t xml:space="preserve">Document de base commun faisant partie intégrante des rapports présentés </w:t>
      </w:r>
      <w:r>
        <w:rPr>
          <w:lang w:val="fr-FR"/>
        </w:rPr>
        <w:br/>
      </w:r>
      <w:r w:rsidRPr="00CE611F">
        <w:rPr>
          <w:lang w:val="fr-FR"/>
        </w:rPr>
        <w:t>par les États parties</w:t>
      </w:r>
    </w:p>
    <w:p w14:paraId="7187D1DD" w14:textId="77777777" w:rsidR="00801DAE" w:rsidRPr="00CE611F" w:rsidRDefault="00801DAE" w:rsidP="00801DAE">
      <w:pPr>
        <w:pStyle w:val="HMG"/>
        <w:rPr>
          <w:lang w:val="fr-FR"/>
        </w:rPr>
      </w:pPr>
      <w:r w:rsidRPr="00CE611F">
        <w:rPr>
          <w:lang w:val="fr-FR"/>
        </w:rPr>
        <w:tab/>
      </w:r>
      <w:r w:rsidRPr="00CE611F">
        <w:rPr>
          <w:lang w:val="fr-FR"/>
        </w:rPr>
        <w:tab/>
        <w:t>Qatar</w:t>
      </w:r>
      <w:r w:rsidRPr="00801DAE">
        <w:rPr>
          <w:rStyle w:val="Appelnotedebasdep"/>
          <w:b w:val="0"/>
          <w:sz w:val="20"/>
          <w:vertAlign w:val="baseline"/>
        </w:rPr>
        <w:footnoteReference w:customMarkFollows="1" w:id="2"/>
        <w:t>*</w:t>
      </w:r>
    </w:p>
    <w:p w14:paraId="028B0340" w14:textId="77777777" w:rsidR="00A37ED1" w:rsidRDefault="00801DAE" w:rsidP="00801DAE">
      <w:pPr>
        <w:pStyle w:val="SingleTxtG"/>
        <w:jc w:val="right"/>
      </w:pPr>
      <w:r w:rsidRPr="00CE611F">
        <w:rPr>
          <w:lang w:val="fr-FR"/>
        </w:rPr>
        <w:t>[Date de réception : 10</w:t>
      </w:r>
      <w:r w:rsidR="009E4C76">
        <w:rPr>
          <w:lang w:val="fr-FR"/>
        </w:rPr>
        <w:t> </w:t>
      </w:r>
      <w:r w:rsidRPr="00CE611F">
        <w:rPr>
          <w:lang w:val="fr-FR"/>
        </w:rPr>
        <w:t>janvier 2019]</w:t>
      </w:r>
    </w:p>
    <w:p w14:paraId="2A085A62" w14:textId="77777777" w:rsidR="009E4C76" w:rsidRPr="009E4C76" w:rsidRDefault="00801DAE" w:rsidP="009E4C76">
      <w:pPr>
        <w:pStyle w:val="HChG"/>
        <w:rPr>
          <w:szCs w:val="28"/>
          <w:rtl/>
        </w:rPr>
      </w:pPr>
      <w:r>
        <w:br w:type="page"/>
      </w:r>
      <w:bookmarkStart w:id="0" w:name="_Hlk874562"/>
      <w:r w:rsidR="009E4C76" w:rsidRPr="009E4C76">
        <w:lastRenderedPageBreak/>
        <w:tab/>
        <w:t>I.</w:t>
      </w:r>
      <w:r w:rsidR="009E4C76" w:rsidRPr="009E4C76">
        <w:tab/>
        <w:t>Renseignements d’ordre général</w:t>
      </w:r>
    </w:p>
    <w:p w14:paraId="1D803AEC" w14:textId="77777777" w:rsidR="009E4C76" w:rsidRPr="009E4C76" w:rsidRDefault="009E4C76" w:rsidP="009E4C76">
      <w:pPr>
        <w:pStyle w:val="H1G"/>
        <w:rPr>
          <w:szCs w:val="24"/>
          <w:rtl/>
        </w:rPr>
      </w:pPr>
      <w:bookmarkStart w:id="1" w:name="_Toc281916557"/>
      <w:bookmarkStart w:id="2" w:name="_Toc281916772"/>
      <w:bookmarkStart w:id="3" w:name="_Toc281916928"/>
      <w:bookmarkStart w:id="4" w:name="_Toc282337880"/>
      <w:r w:rsidRPr="009E4C76">
        <w:tab/>
        <w:t>A.</w:t>
      </w:r>
      <w:bookmarkEnd w:id="1"/>
      <w:bookmarkEnd w:id="2"/>
      <w:bookmarkEnd w:id="3"/>
      <w:bookmarkEnd w:id="4"/>
      <w:r w:rsidRPr="009E4C76">
        <w:tab/>
        <w:t>Caractéristiques démographiques, économiques, sociales et culturelles</w:t>
      </w:r>
    </w:p>
    <w:p w14:paraId="5B6127A1" w14:textId="77777777" w:rsidR="009E4C76" w:rsidRPr="009E4C76" w:rsidRDefault="009E4C76" w:rsidP="009E4C76">
      <w:pPr>
        <w:pStyle w:val="H23G"/>
        <w:rPr>
          <w:rtl/>
        </w:rPr>
      </w:pPr>
      <w:bookmarkStart w:id="5" w:name="_Toc282337881"/>
      <w:r w:rsidRPr="009E4C76">
        <w:tab/>
      </w:r>
      <w:r w:rsidRPr="009E4C76">
        <w:tab/>
        <w:t>Caractéristiques géographiques et topographiques</w:t>
      </w:r>
      <w:bookmarkEnd w:id="5"/>
    </w:p>
    <w:p w14:paraId="393A38A9" w14:textId="77777777" w:rsidR="009E4C76" w:rsidRPr="002B791D" w:rsidRDefault="009E4C76" w:rsidP="009E4C76">
      <w:pPr>
        <w:pStyle w:val="SingleTxtG"/>
        <w:rPr>
          <w:rtl/>
        </w:rPr>
      </w:pPr>
      <w:r w:rsidRPr="002B791D">
        <w:t>1.</w:t>
      </w:r>
      <w:r w:rsidRPr="002B791D">
        <w:tab/>
        <w:t>Le Qatar est une péninsule située à 24° 27’ et 26° 10’ de latitude N et à 50° 45’ et 51° 40’ de longitude E, au milieu de la côte Ouest du golfe Arabique, qui s’étire au nord pour couvrir une superficie de 11 5</w:t>
      </w:r>
      <w:r w:rsidR="00BF1A68">
        <w:t>72</w:t>
      </w:r>
      <w:r w:rsidRPr="002B791D">
        <w:t> kilomètres carrés. Le territoire de l’État comporte un certain nombre d’îles, des chaînes de massifs rocheux et des eaux peu profondes le long de la côte ; parmi les îles, on peut citer notamment celles de Halul, Shira’aw, Ashat et Beshiriya. Le Qatar est une presqu’île de 185 kilomètres de long et de 85 kilomètres de large. Il est bordé par le golfe Arabique et l’Arabie Saoudite sur 60 kilomètres et par l’État des Émirats arabes unis à l’</w:t>
      </w:r>
      <w:r w:rsidR="00A00461">
        <w:t>e</w:t>
      </w:r>
      <w:r w:rsidRPr="002B791D">
        <w:t>st. Les eaux territoriales du Qatar s’étendent sur 95 milles marins vers l’Est et sur 51 milles marins vers le nord dans le golfe Arabique.</w:t>
      </w:r>
    </w:p>
    <w:p w14:paraId="099C77D3" w14:textId="77777777" w:rsidR="009E4C76" w:rsidRPr="009E4C76" w:rsidRDefault="009E4C76" w:rsidP="009E4C76">
      <w:pPr>
        <w:pStyle w:val="SingleTxtG"/>
        <w:rPr>
          <w:rtl/>
        </w:rPr>
      </w:pPr>
      <w:r w:rsidRPr="009E4C76">
        <w:t>2.</w:t>
      </w:r>
      <w:r w:rsidRPr="009E4C76">
        <w:tab/>
        <w:t>Le territoire du Qatar est essentiellement plat et rocailleux. Il comprend toutefois des collines et des dunes calcaires dans la région de Dukhan à l’ouest et de Jebel Fuwairit au nord. Dans le nord et le centre du pays, on trouve des anses et des criques, ainsi que des dépressions et des bassins, connus sous le nom d’Al-Riyadh, considérés comme les terres les plus fertiles et les plus riches en plantes naturelles du pays.</w:t>
      </w:r>
    </w:p>
    <w:p w14:paraId="52AD979E" w14:textId="77777777" w:rsidR="009E4C76" w:rsidRPr="009E4C76" w:rsidRDefault="009E4C76" w:rsidP="009E4C76">
      <w:pPr>
        <w:pStyle w:val="H23G"/>
        <w:rPr>
          <w:rtl/>
        </w:rPr>
      </w:pPr>
      <w:bookmarkStart w:id="6" w:name="_Toc282337882"/>
      <w:r w:rsidRPr="009E4C76">
        <w:tab/>
      </w:r>
      <w:r w:rsidRPr="009E4C76">
        <w:tab/>
        <w:t>Population</w:t>
      </w:r>
      <w:bookmarkEnd w:id="6"/>
    </w:p>
    <w:p w14:paraId="689E6A8D" w14:textId="77777777" w:rsidR="009E4C76" w:rsidRPr="009E4C76" w:rsidRDefault="009E4C76" w:rsidP="009E4C76">
      <w:pPr>
        <w:pStyle w:val="SingleTxtG"/>
      </w:pPr>
      <w:r w:rsidRPr="009E4C76">
        <w:t>3.</w:t>
      </w:r>
      <w:r w:rsidRPr="009E4C76">
        <w:tab/>
        <w:t>Fin septembre 2017, le Qatar comptait 2 634</w:t>
      </w:r>
      <w:r>
        <w:t> </w:t>
      </w:r>
      <w:r w:rsidRPr="009E4C76">
        <w:t>234</w:t>
      </w:r>
      <w:r>
        <w:t> </w:t>
      </w:r>
      <w:r w:rsidRPr="009E4C76">
        <w:t>habitants, dont 1 974</w:t>
      </w:r>
      <w:r>
        <w:t> </w:t>
      </w:r>
      <w:r w:rsidRPr="009E4C76">
        <w:t>041</w:t>
      </w:r>
      <w:r>
        <w:t> </w:t>
      </w:r>
      <w:r w:rsidRPr="009E4C76">
        <w:t>hommes (75 %) et 660</w:t>
      </w:r>
      <w:r>
        <w:t> </w:t>
      </w:r>
      <w:r w:rsidRPr="009E4C76">
        <w:t>193</w:t>
      </w:r>
      <w:r>
        <w:t> </w:t>
      </w:r>
      <w:r w:rsidRPr="009E4C76">
        <w:t>femmes (25 %), sachant que l’accroissement annuel de la population s’est établi à 3,2 %. Le nombre plus important d’hommes tient au fait que la plupart des habitants du pays sont des travailleurs étrangers, essentiellement de sexe masculin. Le</w:t>
      </w:r>
      <w:r>
        <w:t> </w:t>
      </w:r>
      <w:r w:rsidRPr="009E4C76">
        <w:t>tableau 1 montre l’évolution semestrielle de la population selon le genre de 2010 à 2017. La hausse du taux d’accroissement de la population reflète l’expansion de l’investissement et les progrès accomplis en matière de développement ; il est dû à l</w:t>
      </w:r>
      <w:r>
        <w:t>’</w:t>
      </w:r>
      <w:r w:rsidRPr="009E4C76">
        <w:t>afflux de travailleurs, qui permet de répondre aux besoins des projets d’infrastructure et des grands projets de développement. La figure 1 indique le nombre d’habitants du Qatar, en milliers, pour la période 2012-2016.</w:t>
      </w:r>
    </w:p>
    <w:p w14:paraId="206AA17B" w14:textId="77777777" w:rsidR="009E4C76" w:rsidRPr="009E4C76" w:rsidRDefault="009E4C76" w:rsidP="009E4C76">
      <w:pPr>
        <w:pStyle w:val="H23G"/>
        <w:rPr>
          <w:rtl/>
        </w:rPr>
      </w:pPr>
      <w:r w:rsidRPr="009E4C76">
        <w:rPr>
          <w:b w:val="0"/>
        </w:rPr>
        <w:tab/>
      </w:r>
      <w:r w:rsidRPr="009E4C76">
        <w:rPr>
          <w:b w:val="0"/>
        </w:rPr>
        <w:tab/>
        <w:t xml:space="preserve">Tableau </w:t>
      </w:r>
      <w:r w:rsidRPr="00B77307">
        <w:rPr>
          <w:b w:val="0"/>
        </w:rPr>
        <w:t xml:space="preserve">1 </w:t>
      </w:r>
      <w:r w:rsidRPr="00B77307">
        <w:rPr>
          <w:b w:val="0"/>
        </w:rPr>
        <w:br/>
      </w:r>
      <w:r w:rsidRPr="009E4C76">
        <w:t>Croissance de la population (2010-2017)</w:t>
      </w:r>
    </w:p>
    <w:tbl>
      <w:tblPr>
        <w:tblW w:w="7370" w:type="dxa"/>
        <w:tblInd w:w="1134" w:type="dxa"/>
        <w:tblLayout w:type="fixed"/>
        <w:tblCellMar>
          <w:left w:w="0" w:type="dxa"/>
          <w:right w:w="0" w:type="dxa"/>
        </w:tblCellMar>
        <w:tblLook w:val="00A0" w:firstRow="1" w:lastRow="0" w:firstColumn="1" w:lastColumn="0" w:noHBand="0" w:noVBand="0"/>
      </w:tblPr>
      <w:tblGrid>
        <w:gridCol w:w="1842"/>
        <w:gridCol w:w="1842"/>
        <w:gridCol w:w="1843"/>
        <w:gridCol w:w="1843"/>
      </w:tblGrid>
      <w:tr w:rsidR="009E4C76" w:rsidRPr="00C73F0A" w14:paraId="16CC815A" w14:textId="77777777" w:rsidTr="00C73F0A">
        <w:trPr>
          <w:tblHeader/>
        </w:trPr>
        <w:tc>
          <w:tcPr>
            <w:tcW w:w="1842" w:type="dxa"/>
            <w:tcBorders>
              <w:top w:val="single" w:sz="4" w:space="0" w:color="auto"/>
              <w:bottom w:val="single" w:sz="12" w:space="0" w:color="auto"/>
            </w:tcBorders>
            <w:shd w:val="clear" w:color="auto" w:fill="auto"/>
            <w:vAlign w:val="bottom"/>
          </w:tcPr>
          <w:p w14:paraId="35C1A1A2" w14:textId="77777777" w:rsidR="009E4C76" w:rsidRPr="00C73F0A" w:rsidRDefault="009E4C76" w:rsidP="00C73F0A">
            <w:pPr>
              <w:suppressAutoHyphens w:val="0"/>
              <w:spacing w:before="80" w:after="80" w:line="200" w:lineRule="exact"/>
              <w:rPr>
                <w:i/>
                <w:iCs/>
                <w:sz w:val="16"/>
                <w:szCs w:val="26"/>
                <w:rtl/>
                <w:lang w:val="fr-FR" w:bidi="fr-FR"/>
              </w:rPr>
            </w:pPr>
            <w:r w:rsidRPr="00C73F0A">
              <w:rPr>
                <w:i/>
                <w:sz w:val="16"/>
                <w:lang w:val="fr-FR" w:bidi="ar-QA"/>
              </w:rPr>
              <w:t>Années</w:t>
            </w:r>
          </w:p>
        </w:tc>
        <w:tc>
          <w:tcPr>
            <w:tcW w:w="1842" w:type="dxa"/>
            <w:tcBorders>
              <w:top w:val="single" w:sz="4" w:space="0" w:color="auto"/>
              <w:bottom w:val="single" w:sz="12" w:space="0" w:color="auto"/>
            </w:tcBorders>
            <w:shd w:val="clear" w:color="auto" w:fill="auto"/>
            <w:vAlign w:val="bottom"/>
          </w:tcPr>
          <w:p w14:paraId="6062954C" w14:textId="77777777" w:rsidR="009E4C76" w:rsidRPr="00C73F0A" w:rsidRDefault="009E4C76" w:rsidP="00C73F0A">
            <w:pPr>
              <w:suppressAutoHyphens w:val="0"/>
              <w:spacing w:before="80" w:after="80" w:line="200" w:lineRule="exact"/>
              <w:jc w:val="right"/>
              <w:rPr>
                <w:i/>
                <w:iCs/>
                <w:sz w:val="16"/>
                <w:szCs w:val="26"/>
                <w:rtl/>
                <w:lang w:val="fr-FR" w:bidi="fr-FR"/>
              </w:rPr>
            </w:pPr>
            <w:r w:rsidRPr="00C73F0A">
              <w:rPr>
                <w:i/>
                <w:sz w:val="16"/>
                <w:lang w:val="fr-FR" w:bidi="ar-QA"/>
              </w:rPr>
              <w:t>Hommes</w:t>
            </w:r>
          </w:p>
        </w:tc>
        <w:tc>
          <w:tcPr>
            <w:tcW w:w="1843" w:type="dxa"/>
            <w:tcBorders>
              <w:top w:val="single" w:sz="4" w:space="0" w:color="auto"/>
              <w:bottom w:val="single" w:sz="12" w:space="0" w:color="auto"/>
            </w:tcBorders>
            <w:shd w:val="clear" w:color="auto" w:fill="auto"/>
            <w:vAlign w:val="bottom"/>
          </w:tcPr>
          <w:p w14:paraId="41066F75" w14:textId="77777777" w:rsidR="009E4C76" w:rsidRPr="00C73F0A" w:rsidRDefault="009E4C76" w:rsidP="00C73F0A">
            <w:pPr>
              <w:suppressAutoHyphens w:val="0"/>
              <w:spacing w:before="80" w:after="80" w:line="200" w:lineRule="exact"/>
              <w:jc w:val="right"/>
              <w:rPr>
                <w:i/>
                <w:iCs/>
                <w:sz w:val="16"/>
                <w:szCs w:val="26"/>
                <w:rtl/>
                <w:lang w:val="fr-FR" w:bidi="fr-FR"/>
              </w:rPr>
            </w:pPr>
            <w:r w:rsidRPr="00C73F0A">
              <w:rPr>
                <w:i/>
                <w:sz w:val="16"/>
                <w:lang w:val="fr-FR" w:bidi="ar-QA"/>
              </w:rPr>
              <w:t>Femmes</w:t>
            </w:r>
          </w:p>
        </w:tc>
        <w:tc>
          <w:tcPr>
            <w:tcW w:w="1843" w:type="dxa"/>
            <w:tcBorders>
              <w:top w:val="single" w:sz="4" w:space="0" w:color="auto"/>
              <w:bottom w:val="single" w:sz="12" w:space="0" w:color="auto"/>
            </w:tcBorders>
            <w:shd w:val="clear" w:color="auto" w:fill="auto"/>
            <w:vAlign w:val="bottom"/>
          </w:tcPr>
          <w:p w14:paraId="2EEEB618" w14:textId="77777777" w:rsidR="009E4C76" w:rsidRPr="00C73F0A" w:rsidRDefault="009E4C76" w:rsidP="00C73F0A">
            <w:pPr>
              <w:suppressAutoHyphens w:val="0"/>
              <w:spacing w:before="80" w:after="80" w:line="200" w:lineRule="exact"/>
              <w:jc w:val="right"/>
              <w:rPr>
                <w:bCs/>
                <w:i/>
                <w:iCs/>
                <w:sz w:val="16"/>
                <w:szCs w:val="26"/>
                <w:rtl/>
                <w:lang w:val="fr-FR" w:bidi="fr-FR"/>
              </w:rPr>
            </w:pPr>
            <w:r w:rsidRPr="00C73F0A">
              <w:rPr>
                <w:i/>
                <w:sz w:val="16"/>
                <w:lang w:val="fr-FR" w:bidi="ar-QA"/>
              </w:rPr>
              <w:t>Total</w:t>
            </w:r>
          </w:p>
        </w:tc>
      </w:tr>
      <w:tr w:rsidR="009E4C76" w:rsidRPr="00C73F0A" w14:paraId="5A049F41" w14:textId="77777777" w:rsidTr="00C73F0A">
        <w:tc>
          <w:tcPr>
            <w:tcW w:w="1842" w:type="dxa"/>
            <w:tcBorders>
              <w:top w:val="single" w:sz="12" w:space="0" w:color="auto"/>
            </w:tcBorders>
            <w:shd w:val="clear" w:color="auto" w:fill="auto"/>
          </w:tcPr>
          <w:p w14:paraId="3E8B09E0" w14:textId="77777777" w:rsidR="009E4C76" w:rsidRPr="00C73F0A" w:rsidRDefault="009E4C76" w:rsidP="00C73F0A">
            <w:pPr>
              <w:suppressAutoHyphens w:val="0"/>
              <w:spacing w:before="40" w:after="40" w:line="220" w:lineRule="exact"/>
              <w:rPr>
                <w:sz w:val="18"/>
                <w:szCs w:val="26"/>
                <w:rtl/>
                <w:lang w:val="fr-FR" w:bidi="fr-FR"/>
              </w:rPr>
            </w:pPr>
            <w:r w:rsidRPr="00C73F0A">
              <w:rPr>
                <w:sz w:val="18"/>
                <w:lang w:val="fr-FR" w:bidi="ar-QA"/>
              </w:rPr>
              <w:t>2010</w:t>
            </w:r>
          </w:p>
        </w:tc>
        <w:tc>
          <w:tcPr>
            <w:tcW w:w="1842" w:type="dxa"/>
            <w:tcBorders>
              <w:top w:val="single" w:sz="12" w:space="0" w:color="auto"/>
            </w:tcBorders>
            <w:shd w:val="clear" w:color="auto" w:fill="auto"/>
            <w:vAlign w:val="bottom"/>
          </w:tcPr>
          <w:p w14:paraId="7706A858" w14:textId="77777777" w:rsidR="009E4C76" w:rsidRPr="00C73F0A" w:rsidRDefault="009E4C76" w:rsidP="00C73F0A">
            <w:pPr>
              <w:suppressAutoHyphens w:val="0"/>
              <w:spacing w:before="40" w:after="40" w:line="220" w:lineRule="exact"/>
              <w:jc w:val="right"/>
              <w:rPr>
                <w:sz w:val="18"/>
                <w:lang w:val="fr-FR"/>
              </w:rPr>
            </w:pPr>
            <w:r w:rsidRPr="00C73F0A">
              <w:rPr>
                <w:sz w:val="18"/>
                <w:lang w:val="fr-FR"/>
              </w:rPr>
              <w:t>1 296 110</w:t>
            </w:r>
          </w:p>
        </w:tc>
        <w:tc>
          <w:tcPr>
            <w:tcW w:w="1843" w:type="dxa"/>
            <w:tcBorders>
              <w:top w:val="single" w:sz="12" w:space="0" w:color="auto"/>
            </w:tcBorders>
            <w:shd w:val="clear" w:color="auto" w:fill="auto"/>
            <w:vAlign w:val="bottom"/>
          </w:tcPr>
          <w:p w14:paraId="55752D3B" w14:textId="77777777" w:rsidR="009E4C76" w:rsidRPr="00C73F0A" w:rsidRDefault="009E4C76" w:rsidP="00C73F0A">
            <w:pPr>
              <w:suppressAutoHyphens w:val="0"/>
              <w:spacing w:before="40" w:after="40" w:line="220" w:lineRule="exact"/>
              <w:jc w:val="right"/>
              <w:rPr>
                <w:sz w:val="18"/>
                <w:szCs w:val="26"/>
                <w:rtl/>
                <w:lang w:val="fr-FR" w:bidi="fr-FR"/>
              </w:rPr>
            </w:pPr>
            <w:r w:rsidRPr="00C73F0A">
              <w:rPr>
                <w:sz w:val="18"/>
                <w:lang w:val="fr-FR"/>
              </w:rPr>
              <w:t>418 988</w:t>
            </w:r>
          </w:p>
        </w:tc>
        <w:tc>
          <w:tcPr>
            <w:tcW w:w="1843" w:type="dxa"/>
            <w:tcBorders>
              <w:top w:val="single" w:sz="12" w:space="0" w:color="auto"/>
            </w:tcBorders>
            <w:shd w:val="clear" w:color="auto" w:fill="auto"/>
            <w:vAlign w:val="bottom"/>
          </w:tcPr>
          <w:p w14:paraId="0B55149E" w14:textId="77777777" w:rsidR="009E4C76" w:rsidRPr="00C73F0A" w:rsidRDefault="009E4C76" w:rsidP="00C73F0A">
            <w:pPr>
              <w:suppressAutoHyphens w:val="0"/>
              <w:spacing w:before="40" w:after="40" w:line="220" w:lineRule="exact"/>
              <w:jc w:val="right"/>
              <w:rPr>
                <w:bCs/>
                <w:sz w:val="18"/>
                <w:szCs w:val="26"/>
                <w:rtl/>
                <w:lang w:val="fr-FR" w:bidi="fr-FR"/>
              </w:rPr>
            </w:pPr>
            <w:r w:rsidRPr="00C73F0A">
              <w:rPr>
                <w:sz w:val="18"/>
                <w:lang w:val="fr-FR"/>
              </w:rPr>
              <w:t>1 715 098</w:t>
            </w:r>
          </w:p>
        </w:tc>
      </w:tr>
      <w:tr w:rsidR="009E4C76" w:rsidRPr="00C73F0A" w14:paraId="3394522E" w14:textId="77777777" w:rsidTr="00C73F0A">
        <w:tc>
          <w:tcPr>
            <w:tcW w:w="1842" w:type="dxa"/>
            <w:shd w:val="clear" w:color="auto" w:fill="auto"/>
          </w:tcPr>
          <w:p w14:paraId="7E5E60BE" w14:textId="77777777" w:rsidR="009E4C76" w:rsidRPr="00C73F0A" w:rsidRDefault="009E4C76" w:rsidP="00C73F0A">
            <w:pPr>
              <w:suppressAutoHyphens w:val="0"/>
              <w:spacing w:before="40" w:after="40" w:line="220" w:lineRule="exact"/>
              <w:rPr>
                <w:sz w:val="18"/>
                <w:szCs w:val="26"/>
                <w:rtl/>
                <w:lang w:val="fr-FR" w:bidi="fr-FR"/>
              </w:rPr>
            </w:pPr>
            <w:r w:rsidRPr="00C73F0A">
              <w:rPr>
                <w:sz w:val="18"/>
                <w:lang w:val="fr-FR" w:bidi="ar-QA"/>
              </w:rPr>
              <w:t>2011</w:t>
            </w:r>
          </w:p>
        </w:tc>
        <w:tc>
          <w:tcPr>
            <w:tcW w:w="1842" w:type="dxa"/>
            <w:shd w:val="clear" w:color="auto" w:fill="auto"/>
            <w:vAlign w:val="bottom"/>
          </w:tcPr>
          <w:p w14:paraId="05B25AF4" w14:textId="77777777" w:rsidR="009E4C76" w:rsidRPr="00C73F0A" w:rsidRDefault="009E4C76" w:rsidP="00C73F0A">
            <w:pPr>
              <w:suppressAutoHyphens w:val="0"/>
              <w:spacing w:before="40" w:after="40" w:line="220" w:lineRule="exact"/>
              <w:jc w:val="right"/>
              <w:rPr>
                <w:sz w:val="18"/>
                <w:szCs w:val="26"/>
                <w:rtl/>
                <w:lang w:val="fr-FR" w:bidi="fr-FR"/>
              </w:rPr>
            </w:pPr>
            <w:r w:rsidRPr="00C73F0A">
              <w:rPr>
                <w:sz w:val="18"/>
                <w:lang w:val="fr-FR"/>
              </w:rPr>
              <w:t>1 288 590</w:t>
            </w:r>
          </w:p>
        </w:tc>
        <w:tc>
          <w:tcPr>
            <w:tcW w:w="1843" w:type="dxa"/>
            <w:shd w:val="clear" w:color="auto" w:fill="auto"/>
            <w:vAlign w:val="bottom"/>
          </w:tcPr>
          <w:p w14:paraId="2657F4EB" w14:textId="77777777" w:rsidR="009E4C76" w:rsidRPr="00C73F0A" w:rsidRDefault="009E4C76" w:rsidP="00C73F0A">
            <w:pPr>
              <w:suppressAutoHyphens w:val="0"/>
              <w:spacing w:before="40" w:after="40" w:line="220" w:lineRule="exact"/>
              <w:jc w:val="right"/>
              <w:rPr>
                <w:sz w:val="18"/>
                <w:szCs w:val="26"/>
                <w:rtl/>
                <w:lang w:val="fr-FR" w:bidi="fr-FR"/>
              </w:rPr>
            </w:pPr>
            <w:r w:rsidRPr="00C73F0A">
              <w:rPr>
                <w:sz w:val="18"/>
                <w:lang w:val="fr-FR"/>
              </w:rPr>
              <w:t>444 127</w:t>
            </w:r>
          </w:p>
        </w:tc>
        <w:tc>
          <w:tcPr>
            <w:tcW w:w="1843" w:type="dxa"/>
            <w:shd w:val="clear" w:color="auto" w:fill="auto"/>
            <w:vAlign w:val="bottom"/>
          </w:tcPr>
          <w:p w14:paraId="175BB0A4" w14:textId="77777777" w:rsidR="009E4C76" w:rsidRPr="00C73F0A" w:rsidRDefault="009E4C76" w:rsidP="00C73F0A">
            <w:pPr>
              <w:suppressAutoHyphens w:val="0"/>
              <w:spacing w:before="40" w:after="40" w:line="220" w:lineRule="exact"/>
              <w:jc w:val="right"/>
              <w:rPr>
                <w:bCs/>
                <w:sz w:val="18"/>
                <w:szCs w:val="26"/>
                <w:rtl/>
                <w:lang w:val="fr-FR" w:bidi="fr-FR"/>
              </w:rPr>
            </w:pPr>
            <w:r w:rsidRPr="00C73F0A">
              <w:rPr>
                <w:sz w:val="18"/>
                <w:lang w:val="fr-FR"/>
              </w:rPr>
              <w:t>1 732 717</w:t>
            </w:r>
          </w:p>
        </w:tc>
      </w:tr>
      <w:tr w:rsidR="009E4C76" w:rsidRPr="00C73F0A" w14:paraId="501FD119" w14:textId="77777777" w:rsidTr="00C73F0A">
        <w:tc>
          <w:tcPr>
            <w:tcW w:w="1842" w:type="dxa"/>
            <w:shd w:val="clear" w:color="auto" w:fill="auto"/>
          </w:tcPr>
          <w:p w14:paraId="5C2176F1" w14:textId="77777777" w:rsidR="009E4C76" w:rsidRPr="00C73F0A" w:rsidRDefault="009E4C76" w:rsidP="00C73F0A">
            <w:pPr>
              <w:suppressAutoHyphens w:val="0"/>
              <w:spacing w:before="40" w:after="40" w:line="220" w:lineRule="exact"/>
              <w:rPr>
                <w:sz w:val="18"/>
                <w:szCs w:val="26"/>
                <w:rtl/>
                <w:lang w:val="fr-FR" w:bidi="fr-FR"/>
              </w:rPr>
            </w:pPr>
            <w:r w:rsidRPr="00C73F0A">
              <w:rPr>
                <w:sz w:val="18"/>
                <w:lang w:val="fr-FR" w:bidi="ar-QA"/>
              </w:rPr>
              <w:t>2012</w:t>
            </w:r>
          </w:p>
        </w:tc>
        <w:tc>
          <w:tcPr>
            <w:tcW w:w="1842" w:type="dxa"/>
            <w:shd w:val="clear" w:color="auto" w:fill="auto"/>
            <w:vAlign w:val="bottom"/>
          </w:tcPr>
          <w:p w14:paraId="0ADCD94A" w14:textId="77777777" w:rsidR="009E4C76" w:rsidRPr="00C73F0A" w:rsidRDefault="009E4C76" w:rsidP="00C73F0A">
            <w:pPr>
              <w:suppressAutoHyphens w:val="0"/>
              <w:spacing w:before="40" w:after="40" w:line="220" w:lineRule="exact"/>
              <w:jc w:val="right"/>
              <w:rPr>
                <w:sz w:val="18"/>
                <w:szCs w:val="26"/>
                <w:rtl/>
                <w:lang w:val="fr-FR" w:bidi="fr-FR"/>
              </w:rPr>
            </w:pPr>
            <w:r w:rsidRPr="00C73F0A">
              <w:rPr>
                <w:sz w:val="18"/>
                <w:lang w:val="fr-FR"/>
              </w:rPr>
              <w:t>1 355 199</w:t>
            </w:r>
          </w:p>
        </w:tc>
        <w:tc>
          <w:tcPr>
            <w:tcW w:w="1843" w:type="dxa"/>
            <w:shd w:val="clear" w:color="auto" w:fill="auto"/>
            <w:vAlign w:val="bottom"/>
          </w:tcPr>
          <w:p w14:paraId="5588A846" w14:textId="77777777" w:rsidR="009E4C76" w:rsidRPr="00C73F0A" w:rsidRDefault="009E4C76" w:rsidP="00C73F0A">
            <w:pPr>
              <w:suppressAutoHyphens w:val="0"/>
              <w:spacing w:before="40" w:after="40" w:line="220" w:lineRule="exact"/>
              <w:jc w:val="right"/>
              <w:rPr>
                <w:sz w:val="18"/>
                <w:szCs w:val="26"/>
                <w:rtl/>
                <w:lang w:val="fr-FR" w:bidi="fr-FR"/>
              </w:rPr>
            </w:pPr>
            <w:r w:rsidRPr="00C73F0A">
              <w:rPr>
                <w:sz w:val="18"/>
                <w:lang w:val="fr-FR"/>
              </w:rPr>
              <w:t>477 704</w:t>
            </w:r>
          </w:p>
        </w:tc>
        <w:tc>
          <w:tcPr>
            <w:tcW w:w="1843" w:type="dxa"/>
            <w:shd w:val="clear" w:color="auto" w:fill="auto"/>
            <w:vAlign w:val="bottom"/>
          </w:tcPr>
          <w:p w14:paraId="76AC6EB3" w14:textId="77777777" w:rsidR="009E4C76" w:rsidRPr="00C73F0A" w:rsidRDefault="009E4C76" w:rsidP="00C73F0A">
            <w:pPr>
              <w:suppressAutoHyphens w:val="0"/>
              <w:spacing w:before="40" w:after="40" w:line="220" w:lineRule="exact"/>
              <w:jc w:val="right"/>
              <w:rPr>
                <w:bCs/>
                <w:sz w:val="18"/>
                <w:szCs w:val="26"/>
                <w:rtl/>
                <w:lang w:val="fr-FR" w:bidi="fr-FR"/>
              </w:rPr>
            </w:pPr>
            <w:r w:rsidRPr="00C73F0A">
              <w:rPr>
                <w:sz w:val="18"/>
                <w:lang w:val="fr-FR"/>
              </w:rPr>
              <w:t>1 832 903</w:t>
            </w:r>
          </w:p>
        </w:tc>
      </w:tr>
      <w:tr w:rsidR="009E4C76" w:rsidRPr="00C73F0A" w14:paraId="3228D996" w14:textId="77777777" w:rsidTr="00C73F0A">
        <w:tc>
          <w:tcPr>
            <w:tcW w:w="1842" w:type="dxa"/>
            <w:shd w:val="clear" w:color="auto" w:fill="auto"/>
          </w:tcPr>
          <w:p w14:paraId="6FA58086" w14:textId="77777777" w:rsidR="009E4C76" w:rsidRPr="00C73F0A" w:rsidRDefault="009E4C76" w:rsidP="00C73F0A">
            <w:pPr>
              <w:suppressAutoHyphens w:val="0"/>
              <w:spacing w:before="40" w:after="40" w:line="220" w:lineRule="exact"/>
              <w:rPr>
                <w:sz w:val="18"/>
                <w:szCs w:val="26"/>
                <w:rtl/>
                <w:lang w:val="fr-FR" w:bidi="fr-FR"/>
              </w:rPr>
            </w:pPr>
            <w:r w:rsidRPr="00C73F0A">
              <w:rPr>
                <w:sz w:val="18"/>
                <w:lang w:val="fr-FR" w:bidi="ar-QA"/>
              </w:rPr>
              <w:t>2013</w:t>
            </w:r>
          </w:p>
        </w:tc>
        <w:tc>
          <w:tcPr>
            <w:tcW w:w="1842" w:type="dxa"/>
            <w:shd w:val="clear" w:color="auto" w:fill="auto"/>
            <w:vAlign w:val="bottom"/>
          </w:tcPr>
          <w:p w14:paraId="3B4089B8" w14:textId="77777777" w:rsidR="009E4C76" w:rsidRPr="00C73F0A" w:rsidRDefault="009E4C76" w:rsidP="00C73F0A">
            <w:pPr>
              <w:suppressAutoHyphens w:val="0"/>
              <w:spacing w:before="40" w:after="40" w:line="220" w:lineRule="exact"/>
              <w:jc w:val="right"/>
              <w:rPr>
                <w:sz w:val="18"/>
                <w:szCs w:val="26"/>
                <w:rtl/>
                <w:lang w:val="fr-FR" w:bidi="fr-FR"/>
              </w:rPr>
            </w:pPr>
            <w:r w:rsidRPr="00C73F0A">
              <w:rPr>
                <w:sz w:val="18"/>
                <w:lang w:val="fr-FR"/>
              </w:rPr>
              <w:t>1 477 632</w:t>
            </w:r>
          </w:p>
        </w:tc>
        <w:tc>
          <w:tcPr>
            <w:tcW w:w="1843" w:type="dxa"/>
            <w:shd w:val="clear" w:color="auto" w:fill="auto"/>
            <w:vAlign w:val="bottom"/>
          </w:tcPr>
          <w:p w14:paraId="35F02732" w14:textId="77777777" w:rsidR="009E4C76" w:rsidRPr="00C73F0A" w:rsidRDefault="009E4C76" w:rsidP="00C73F0A">
            <w:pPr>
              <w:suppressAutoHyphens w:val="0"/>
              <w:spacing w:before="40" w:after="40" w:line="220" w:lineRule="exact"/>
              <w:jc w:val="right"/>
              <w:rPr>
                <w:sz w:val="18"/>
                <w:szCs w:val="26"/>
                <w:rtl/>
                <w:lang w:val="fr-FR" w:bidi="fr-FR"/>
              </w:rPr>
            </w:pPr>
            <w:r w:rsidRPr="00C73F0A">
              <w:rPr>
                <w:sz w:val="18"/>
                <w:lang w:val="fr-FR"/>
              </w:rPr>
              <w:t>526 068</w:t>
            </w:r>
          </w:p>
        </w:tc>
        <w:tc>
          <w:tcPr>
            <w:tcW w:w="1843" w:type="dxa"/>
            <w:shd w:val="clear" w:color="auto" w:fill="auto"/>
            <w:vAlign w:val="bottom"/>
          </w:tcPr>
          <w:p w14:paraId="591C6A5A" w14:textId="77777777" w:rsidR="009E4C76" w:rsidRPr="00C73F0A" w:rsidRDefault="009E4C76" w:rsidP="00C73F0A">
            <w:pPr>
              <w:suppressAutoHyphens w:val="0"/>
              <w:spacing w:before="40" w:after="40" w:line="220" w:lineRule="exact"/>
              <w:jc w:val="right"/>
              <w:rPr>
                <w:bCs/>
                <w:sz w:val="18"/>
                <w:szCs w:val="26"/>
                <w:rtl/>
                <w:lang w:val="fr-FR" w:bidi="fr-FR"/>
              </w:rPr>
            </w:pPr>
            <w:r w:rsidRPr="00C73F0A">
              <w:rPr>
                <w:sz w:val="18"/>
                <w:lang w:val="fr-FR"/>
              </w:rPr>
              <w:t>2 003 700</w:t>
            </w:r>
          </w:p>
        </w:tc>
      </w:tr>
      <w:tr w:rsidR="009E4C76" w:rsidRPr="00C73F0A" w14:paraId="37E6B087" w14:textId="77777777" w:rsidTr="00C73F0A">
        <w:tc>
          <w:tcPr>
            <w:tcW w:w="1842" w:type="dxa"/>
            <w:shd w:val="clear" w:color="auto" w:fill="auto"/>
          </w:tcPr>
          <w:p w14:paraId="64300FA1" w14:textId="77777777" w:rsidR="009E4C76" w:rsidRPr="00C73F0A" w:rsidRDefault="009E4C76" w:rsidP="00C73F0A">
            <w:pPr>
              <w:suppressAutoHyphens w:val="0"/>
              <w:spacing w:before="40" w:after="40" w:line="220" w:lineRule="exact"/>
              <w:rPr>
                <w:sz w:val="18"/>
                <w:szCs w:val="26"/>
                <w:rtl/>
                <w:lang w:val="fr-FR" w:bidi="fr-FR"/>
              </w:rPr>
            </w:pPr>
            <w:r w:rsidRPr="00C73F0A">
              <w:rPr>
                <w:sz w:val="18"/>
                <w:lang w:val="fr-FR" w:bidi="ar-QA"/>
              </w:rPr>
              <w:t>2014</w:t>
            </w:r>
          </w:p>
        </w:tc>
        <w:tc>
          <w:tcPr>
            <w:tcW w:w="1842" w:type="dxa"/>
            <w:shd w:val="clear" w:color="auto" w:fill="auto"/>
            <w:vAlign w:val="bottom"/>
          </w:tcPr>
          <w:p w14:paraId="22D47FE9" w14:textId="77777777" w:rsidR="009E4C76" w:rsidRPr="00C73F0A" w:rsidRDefault="009E4C76" w:rsidP="00C73F0A">
            <w:pPr>
              <w:suppressAutoHyphens w:val="0"/>
              <w:spacing w:before="40" w:after="40" w:line="220" w:lineRule="exact"/>
              <w:jc w:val="right"/>
              <w:rPr>
                <w:sz w:val="18"/>
                <w:szCs w:val="26"/>
                <w:rtl/>
                <w:lang w:val="fr-FR" w:bidi="fr-FR"/>
              </w:rPr>
            </w:pPr>
            <w:r w:rsidRPr="00C73F0A">
              <w:rPr>
                <w:sz w:val="18"/>
                <w:lang w:val="fr-FR"/>
              </w:rPr>
              <w:t>1 652 037</w:t>
            </w:r>
          </w:p>
        </w:tc>
        <w:tc>
          <w:tcPr>
            <w:tcW w:w="1843" w:type="dxa"/>
            <w:shd w:val="clear" w:color="auto" w:fill="auto"/>
            <w:vAlign w:val="bottom"/>
          </w:tcPr>
          <w:p w14:paraId="4D3BE11D" w14:textId="77777777" w:rsidR="009E4C76" w:rsidRPr="00C73F0A" w:rsidRDefault="009E4C76" w:rsidP="00C73F0A">
            <w:pPr>
              <w:suppressAutoHyphens w:val="0"/>
              <w:spacing w:before="40" w:after="40" w:line="220" w:lineRule="exact"/>
              <w:jc w:val="right"/>
              <w:rPr>
                <w:sz w:val="18"/>
                <w:szCs w:val="26"/>
                <w:rtl/>
                <w:lang w:val="fr-FR" w:bidi="fr-FR"/>
              </w:rPr>
            </w:pPr>
            <w:r w:rsidRPr="00C73F0A">
              <w:rPr>
                <w:sz w:val="18"/>
                <w:lang w:val="fr-FR"/>
              </w:rPr>
              <w:t>564 143</w:t>
            </w:r>
          </w:p>
        </w:tc>
        <w:tc>
          <w:tcPr>
            <w:tcW w:w="1843" w:type="dxa"/>
            <w:shd w:val="clear" w:color="auto" w:fill="auto"/>
            <w:vAlign w:val="bottom"/>
          </w:tcPr>
          <w:p w14:paraId="0D37FCB7" w14:textId="77777777" w:rsidR="009E4C76" w:rsidRPr="00C73F0A" w:rsidRDefault="009E4C76" w:rsidP="00C73F0A">
            <w:pPr>
              <w:suppressAutoHyphens w:val="0"/>
              <w:spacing w:before="40" w:after="40" w:line="220" w:lineRule="exact"/>
              <w:jc w:val="right"/>
              <w:rPr>
                <w:bCs/>
                <w:sz w:val="18"/>
                <w:szCs w:val="26"/>
                <w:rtl/>
                <w:lang w:val="fr-FR" w:bidi="fr-FR"/>
              </w:rPr>
            </w:pPr>
            <w:r w:rsidRPr="00C73F0A">
              <w:rPr>
                <w:sz w:val="18"/>
                <w:lang w:val="fr-FR"/>
              </w:rPr>
              <w:t>2 216 180</w:t>
            </w:r>
          </w:p>
        </w:tc>
      </w:tr>
      <w:tr w:rsidR="009E4C76" w:rsidRPr="00C73F0A" w14:paraId="5A15041D" w14:textId="77777777" w:rsidTr="00C73F0A">
        <w:tc>
          <w:tcPr>
            <w:tcW w:w="1842" w:type="dxa"/>
            <w:shd w:val="clear" w:color="auto" w:fill="auto"/>
          </w:tcPr>
          <w:p w14:paraId="280EFFCA" w14:textId="77777777" w:rsidR="009E4C76" w:rsidRPr="00C73F0A" w:rsidRDefault="009E4C76" w:rsidP="00C73F0A">
            <w:pPr>
              <w:suppressAutoHyphens w:val="0"/>
              <w:spacing w:before="40" w:after="40" w:line="220" w:lineRule="exact"/>
              <w:rPr>
                <w:sz w:val="18"/>
                <w:szCs w:val="26"/>
                <w:rtl/>
                <w:lang w:val="fr-FR" w:bidi="fr-FR"/>
              </w:rPr>
            </w:pPr>
            <w:r w:rsidRPr="00C73F0A">
              <w:rPr>
                <w:sz w:val="18"/>
                <w:lang w:val="fr-FR" w:bidi="ar-QA"/>
              </w:rPr>
              <w:t>2015</w:t>
            </w:r>
          </w:p>
        </w:tc>
        <w:tc>
          <w:tcPr>
            <w:tcW w:w="1842" w:type="dxa"/>
            <w:shd w:val="clear" w:color="auto" w:fill="auto"/>
            <w:vAlign w:val="bottom"/>
          </w:tcPr>
          <w:p w14:paraId="6277AC91" w14:textId="77777777" w:rsidR="009E4C76" w:rsidRPr="00C73F0A" w:rsidRDefault="009E4C76" w:rsidP="00C73F0A">
            <w:pPr>
              <w:suppressAutoHyphens w:val="0"/>
              <w:spacing w:before="40" w:after="40" w:line="220" w:lineRule="exact"/>
              <w:jc w:val="right"/>
              <w:rPr>
                <w:sz w:val="18"/>
                <w:szCs w:val="26"/>
                <w:rtl/>
                <w:lang w:val="fr-FR" w:bidi="fr-FR"/>
              </w:rPr>
            </w:pPr>
            <w:r w:rsidRPr="00C73F0A">
              <w:rPr>
                <w:sz w:val="18"/>
                <w:lang w:val="fr-FR"/>
              </w:rPr>
              <w:t>1 840 643</w:t>
            </w:r>
          </w:p>
        </w:tc>
        <w:tc>
          <w:tcPr>
            <w:tcW w:w="1843" w:type="dxa"/>
            <w:shd w:val="clear" w:color="auto" w:fill="auto"/>
            <w:vAlign w:val="bottom"/>
          </w:tcPr>
          <w:p w14:paraId="24241BC2" w14:textId="77777777" w:rsidR="009E4C76" w:rsidRPr="00C73F0A" w:rsidRDefault="009E4C76" w:rsidP="00C73F0A">
            <w:pPr>
              <w:suppressAutoHyphens w:val="0"/>
              <w:spacing w:before="40" w:after="40" w:line="220" w:lineRule="exact"/>
              <w:jc w:val="right"/>
              <w:rPr>
                <w:sz w:val="18"/>
                <w:szCs w:val="26"/>
                <w:rtl/>
                <w:lang w:val="fr-FR" w:bidi="fr-FR"/>
              </w:rPr>
            </w:pPr>
            <w:r w:rsidRPr="00C73F0A">
              <w:rPr>
                <w:sz w:val="18"/>
                <w:lang w:val="fr-FR"/>
              </w:rPr>
              <w:t>597 147</w:t>
            </w:r>
          </w:p>
        </w:tc>
        <w:tc>
          <w:tcPr>
            <w:tcW w:w="1843" w:type="dxa"/>
            <w:shd w:val="clear" w:color="auto" w:fill="auto"/>
            <w:vAlign w:val="bottom"/>
          </w:tcPr>
          <w:p w14:paraId="1849963B" w14:textId="77777777" w:rsidR="009E4C76" w:rsidRPr="00C73F0A" w:rsidRDefault="009E4C76" w:rsidP="00C73F0A">
            <w:pPr>
              <w:suppressAutoHyphens w:val="0"/>
              <w:spacing w:before="40" w:after="40" w:line="220" w:lineRule="exact"/>
              <w:jc w:val="right"/>
              <w:rPr>
                <w:bCs/>
                <w:sz w:val="18"/>
                <w:szCs w:val="26"/>
                <w:rtl/>
                <w:lang w:val="fr-FR" w:bidi="fr-FR"/>
              </w:rPr>
            </w:pPr>
            <w:r w:rsidRPr="00C73F0A">
              <w:rPr>
                <w:sz w:val="18"/>
                <w:lang w:val="fr-FR"/>
              </w:rPr>
              <w:t>2 437 790</w:t>
            </w:r>
          </w:p>
        </w:tc>
      </w:tr>
      <w:tr w:rsidR="009E4C76" w:rsidRPr="00C73F0A" w14:paraId="41740097" w14:textId="77777777" w:rsidTr="00C73F0A">
        <w:tc>
          <w:tcPr>
            <w:tcW w:w="1842" w:type="dxa"/>
            <w:shd w:val="clear" w:color="auto" w:fill="auto"/>
          </w:tcPr>
          <w:p w14:paraId="734BAC97" w14:textId="77777777" w:rsidR="009E4C76" w:rsidRPr="00C73F0A" w:rsidRDefault="009E4C76" w:rsidP="00C73F0A">
            <w:pPr>
              <w:suppressAutoHyphens w:val="0"/>
              <w:spacing w:before="40" w:after="40" w:line="220" w:lineRule="exact"/>
              <w:rPr>
                <w:sz w:val="18"/>
                <w:szCs w:val="26"/>
                <w:rtl/>
                <w:lang w:val="fr-FR" w:bidi="fr-FR"/>
              </w:rPr>
            </w:pPr>
            <w:r w:rsidRPr="00C73F0A">
              <w:rPr>
                <w:sz w:val="18"/>
                <w:lang w:val="fr-FR" w:bidi="ar-QA"/>
              </w:rPr>
              <w:t>2016</w:t>
            </w:r>
          </w:p>
        </w:tc>
        <w:tc>
          <w:tcPr>
            <w:tcW w:w="1842" w:type="dxa"/>
            <w:shd w:val="clear" w:color="auto" w:fill="auto"/>
            <w:vAlign w:val="bottom"/>
          </w:tcPr>
          <w:p w14:paraId="392917D0" w14:textId="77777777" w:rsidR="009E4C76" w:rsidRPr="00C73F0A" w:rsidRDefault="009E4C76" w:rsidP="00C73F0A">
            <w:pPr>
              <w:suppressAutoHyphens w:val="0"/>
              <w:spacing w:before="40" w:after="40" w:line="220" w:lineRule="exact"/>
              <w:jc w:val="right"/>
              <w:rPr>
                <w:sz w:val="18"/>
                <w:szCs w:val="26"/>
                <w:rtl/>
                <w:lang w:val="fr-FR" w:bidi="fr-FR"/>
              </w:rPr>
            </w:pPr>
            <w:r w:rsidRPr="00C73F0A">
              <w:rPr>
                <w:sz w:val="18"/>
                <w:lang w:val="fr-FR"/>
              </w:rPr>
              <w:t>1 975 536</w:t>
            </w:r>
          </w:p>
        </w:tc>
        <w:tc>
          <w:tcPr>
            <w:tcW w:w="1843" w:type="dxa"/>
            <w:shd w:val="clear" w:color="auto" w:fill="auto"/>
            <w:vAlign w:val="bottom"/>
          </w:tcPr>
          <w:p w14:paraId="7883633F" w14:textId="77777777" w:rsidR="009E4C76" w:rsidRPr="00C73F0A" w:rsidRDefault="009E4C76" w:rsidP="00C73F0A">
            <w:pPr>
              <w:suppressAutoHyphens w:val="0"/>
              <w:spacing w:before="40" w:after="40" w:line="220" w:lineRule="exact"/>
              <w:jc w:val="right"/>
              <w:rPr>
                <w:sz w:val="18"/>
                <w:szCs w:val="26"/>
                <w:rtl/>
                <w:lang w:val="fr-FR" w:bidi="fr-FR"/>
              </w:rPr>
            </w:pPr>
            <w:r w:rsidRPr="00C73F0A">
              <w:rPr>
                <w:sz w:val="18"/>
                <w:lang w:val="fr-FR"/>
              </w:rPr>
              <w:t>642 098</w:t>
            </w:r>
          </w:p>
        </w:tc>
        <w:tc>
          <w:tcPr>
            <w:tcW w:w="1843" w:type="dxa"/>
            <w:shd w:val="clear" w:color="auto" w:fill="auto"/>
            <w:vAlign w:val="bottom"/>
          </w:tcPr>
          <w:p w14:paraId="63835C2C" w14:textId="77777777" w:rsidR="009E4C76" w:rsidRPr="00C73F0A" w:rsidRDefault="009E4C76" w:rsidP="00C73F0A">
            <w:pPr>
              <w:suppressAutoHyphens w:val="0"/>
              <w:spacing w:before="40" w:after="40" w:line="220" w:lineRule="exact"/>
              <w:jc w:val="right"/>
              <w:rPr>
                <w:bCs/>
                <w:sz w:val="18"/>
                <w:szCs w:val="26"/>
                <w:rtl/>
                <w:lang w:val="fr-FR" w:bidi="fr-FR"/>
              </w:rPr>
            </w:pPr>
            <w:r w:rsidRPr="00C73F0A">
              <w:rPr>
                <w:sz w:val="18"/>
                <w:lang w:val="fr-FR"/>
              </w:rPr>
              <w:t>2 617 634</w:t>
            </w:r>
          </w:p>
        </w:tc>
      </w:tr>
      <w:tr w:rsidR="009E4C76" w:rsidRPr="00C73F0A" w14:paraId="1E4A89EF" w14:textId="77777777" w:rsidTr="00C73F0A">
        <w:tc>
          <w:tcPr>
            <w:tcW w:w="1842" w:type="dxa"/>
            <w:tcBorders>
              <w:bottom w:val="single" w:sz="12" w:space="0" w:color="auto"/>
            </w:tcBorders>
            <w:shd w:val="clear" w:color="auto" w:fill="auto"/>
          </w:tcPr>
          <w:p w14:paraId="1A477D52" w14:textId="77777777" w:rsidR="009E4C76" w:rsidRPr="00C73F0A" w:rsidRDefault="009E4C76" w:rsidP="00C73F0A">
            <w:pPr>
              <w:suppressAutoHyphens w:val="0"/>
              <w:spacing w:before="40" w:after="40" w:line="220" w:lineRule="exact"/>
              <w:rPr>
                <w:sz w:val="18"/>
                <w:szCs w:val="26"/>
                <w:rtl/>
                <w:lang w:val="fr-FR" w:bidi="fr-FR"/>
              </w:rPr>
            </w:pPr>
            <w:r w:rsidRPr="00C73F0A">
              <w:rPr>
                <w:sz w:val="18"/>
                <w:lang w:val="fr-FR" w:bidi="ar-QA"/>
              </w:rPr>
              <w:t>2017</w:t>
            </w:r>
          </w:p>
        </w:tc>
        <w:tc>
          <w:tcPr>
            <w:tcW w:w="1842" w:type="dxa"/>
            <w:tcBorders>
              <w:bottom w:val="single" w:sz="12" w:space="0" w:color="auto"/>
            </w:tcBorders>
            <w:shd w:val="clear" w:color="auto" w:fill="auto"/>
            <w:vAlign w:val="bottom"/>
          </w:tcPr>
          <w:p w14:paraId="439F6BCF" w14:textId="77777777" w:rsidR="009E4C76" w:rsidRPr="00C73F0A" w:rsidRDefault="009E4C76" w:rsidP="00C73F0A">
            <w:pPr>
              <w:suppressAutoHyphens w:val="0"/>
              <w:spacing w:before="40" w:after="40" w:line="220" w:lineRule="exact"/>
              <w:jc w:val="right"/>
              <w:rPr>
                <w:sz w:val="18"/>
                <w:lang w:val="fr-FR"/>
              </w:rPr>
            </w:pPr>
            <w:r w:rsidRPr="00C73F0A">
              <w:rPr>
                <w:sz w:val="18"/>
                <w:lang w:val="fr-FR"/>
              </w:rPr>
              <w:t>2 046 047</w:t>
            </w:r>
          </w:p>
        </w:tc>
        <w:tc>
          <w:tcPr>
            <w:tcW w:w="1843" w:type="dxa"/>
            <w:tcBorders>
              <w:bottom w:val="single" w:sz="12" w:space="0" w:color="auto"/>
            </w:tcBorders>
            <w:shd w:val="clear" w:color="auto" w:fill="auto"/>
            <w:vAlign w:val="bottom"/>
          </w:tcPr>
          <w:p w14:paraId="55F7C6CE" w14:textId="77777777" w:rsidR="009E4C76" w:rsidRPr="00C73F0A" w:rsidRDefault="009E4C76" w:rsidP="00C73F0A">
            <w:pPr>
              <w:suppressAutoHyphens w:val="0"/>
              <w:spacing w:before="40" w:after="40" w:line="220" w:lineRule="exact"/>
              <w:jc w:val="right"/>
              <w:rPr>
                <w:sz w:val="18"/>
                <w:lang w:val="fr-FR"/>
              </w:rPr>
            </w:pPr>
            <w:r w:rsidRPr="00C73F0A">
              <w:rPr>
                <w:sz w:val="18"/>
                <w:lang w:val="fr-FR"/>
              </w:rPr>
              <w:t>678 559</w:t>
            </w:r>
          </w:p>
        </w:tc>
        <w:tc>
          <w:tcPr>
            <w:tcW w:w="1843" w:type="dxa"/>
            <w:tcBorders>
              <w:bottom w:val="single" w:sz="12" w:space="0" w:color="auto"/>
            </w:tcBorders>
            <w:shd w:val="clear" w:color="auto" w:fill="auto"/>
            <w:vAlign w:val="bottom"/>
          </w:tcPr>
          <w:p w14:paraId="1D92A82D" w14:textId="77777777" w:rsidR="009E4C76" w:rsidRPr="00C73F0A" w:rsidRDefault="009E4C76" w:rsidP="00C73F0A">
            <w:pPr>
              <w:suppressAutoHyphens w:val="0"/>
              <w:spacing w:before="40" w:after="40" w:line="220" w:lineRule="exact"/>
              <w:jc w:val="right"/>
              <w:rPr>
                <w:sz w:val="18"/>
                <w:lang w:val="fr-FR"/>
              </w:rPr>
            </w:pPr>
            <w:r w:rsidRPr="00C73F0A">
              <w:rPr>
                <w:sz w:val="18"/>
                <w:lang w:val="fr-FR"/>
              </w:rPr>
              <w:t>2 724 606</w:t>
            </w:r>
          </w:p>
        </w:tc>
      </w:tr>
    </w:tbl>
    <w:p w14:paraId="2C9A6985" w14:textId="77777777" w:rsidR="009E4C76" w:rsidRPr="009E4C76" w:rsidRDefault="009E4C76" w:rsidP="009E4C76">
      <w:pPr>
        <w:pStyle w:val="SingleTxtG"/>
        <w:spacing w:before="120" w:after="240"/>
        <w:ind w:firstLine="170"/>
        <w:rPr>
          <w:sz w:val="18"/>
          <w:szCs w:val="18"/>
          <w:rtl/>
        </w:rPr>
      </w:pPr>
      <w:r w:rsidRPr="009E4C76">
        <w:rPr>
          <w:i/>
          <w:sz w:val="18"/>
          <w:szCs w:val="18"/>
        </w:rPr>
        <w:t>Source</w:t>
      </w:r>
      <w:r w:rsidRPr="009E4C76">
        <w:rPr>
          <w:sz w:val="18"/>
          <w:szCs w:val="18"/>
        </w:rPr>
        <w:t> : Ministère de la planification, du développement et des statistiques, statistiques démographiques et sociales, résumés annuels, 2017.</w:t>
      </w:r>
    </w:p>
    <w:p w14:paraId="3ACEE909" w14:textId="77777777" w:rsidR="009E4C76" w:rsidRDefault="009E4C76" w:rsidP="009E4C76">
      <w:pPr>
        <w:pStyle w:val="H23G"/>
        <w:rPr>
          <w:b w:val="0"/>
          <w:sz w:val="16"/>
          <w:szCs w:val="16"/>
        </w:rPr>
      </w:pPr>
      <w:r w:rsidRPr="009E4C76">
        <w:rPr>
          <w:b w:val="0"/>
        </w:rPr>
        <w:tab/>
      </w:r>
      <w:r w:rsidRPr="009E4C76">
        <w:rPr>
          <w:b w:val="0"/>
        </w:rPr>
        <w:tab/>
        <w:t>Figure 1</w:t>
      </w:r>
      <w:r>
        <w:t xml:space="preserve"> </w:t>
      </w:r>
      <w:r w:rsidRPr="00CE611F">
        <w:br/>
        <w:t>Nombre d</w:t>
      </w:r>
      <w:r>
        <w:t>’</w:t>
      </w:r>
      <w:r w:rsidRPr="00CE611F">
        <w:t xml:space="preserve">habitants du Qatar </w:t>
      </w:r>
      <w:r>
        <w:t xml:space="preserve">(2012-2016) </w:t>
      </w:r>
      <w:r>
        <w:br/>
      </w:r>
      <w:r w:rsidRPr="009E4C76">
        <w:rPr>
          <w:b w:val="0"/>
          <w:sz w:val="16"/>
          <w:szCs w:val="16"/>
        </w:rPr>
        <w:t>(En milliers)</w:t>
      </w:r>
    </w:p>
    <w:p w14:paraId="2ECED051" w14:textId="77777777" w:rsidR="00E1732D" w:rsidRPr="00E1732D" w:rsidRDefault="00E1732D" w:rsidP="00E1732D">
      <w:pPr>
        <w:pStyle w:val="SingleTxtG"/>
      </w:pPr>
      <w:r>
        <w:rPr>
          <w:rFonts w:ascii="Traditional Arabic" w:hAnsi="Traditional Arabic"/>
          <w:noProof/>
          <w:sz w:val="30"/>
          <w:lang w:eastAsia="ru-RU"/>
        </w:rPr>
        <w:drawing>
          <wp:inline distT="0" distB="0" distL="0" distR="0" wp14:anchorId="7EBD080D" wp14:editId="34EADD79">
            <wp:extent cx="4489119" cy="2188845"/>
            <wp:effectExtent l="0" t="0" r="6985" b="1905"/>
            <wp:docPr id="10"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1A894B" w14:textId="77777777" w:rsidR="009E4C76" w:rsidRPr="00524E49" w:rsidRDefault="009E4C76" w:rsidP="00AE53A1">
      <w:pPr>
        <w:pStyle w:val="SingleTxtG"/>
        <w:spacing w:before="120" w:after="240"/>
        <w:ind w:firstLine="170"/>
        <w:rPr>
          <w:sz w:val="18"/>
          <w:szCs w:val="18"/>
          <w:rtl/>
        </w:rPr>
      </w:pPr>
      <w:r w:rsidRPr="00524E49">
        <w:rPr>
          <w:i/>
          <w:sz w:val="18"/>
          <w:szCs w:val="18"/>
        </w:rPr>
        <w:t>Source</w:t>
      </w:r>
      <w:r w:rsidR="00524E49">
        <w:rPr>
          <w:sz w:val="18"/>
          <w:szCs w:val="18"/>
        </w:rPr>
        <w:t> </w:t>
      </w:r>
      <w:r w:rsidRPr="00524E49">
        <w:rPr>
          <w:sz w:val="18"/>
          <w:szCs w:val="18"/>
        </w:rPr>
        <w:t>:</w:t>
      </w:r>
      <w:r w:rsidR="00524E49">
        <w:rPr>
          <w:sz w:val="18"/>
          <w:szCs w:val="18"/>
        </w:rPr>
        <w:t xml:space="preserve"> </w:t>
      </w:r>
      <w:r w:rsidRPr="00524E49">
        <w:rPr>
          <w:sz w:val="18"/>
          <w:szCs w:val="18"/>
        </w:rPr>
        <w:t>Ministère de la planification, du développement et des statistiques.</w:t>
      </w:r>
    </w:p>
    <w:p w14:paraId="4811E23B" w14:textId="77777777" w:rsidR="009E4C76" w:rsidRPr="003363B8" w:rsidRDefault="009E4C76" w:rsidP="003363B8">
      <w:pPr>
        <w:pStyle w:val="SingleTxtG"/>
      </w:pPr>
      <w:r w:rsidRPr="003363B8">
        <w:t>4.</w:t>
      </w:r>
      <w:r w:rsidRPr="003363B8">
        <w:tab/>
        <w:t>Le tableau</w:t>
      </w:r>
      <w:r w:rsidR="003363B8">
        <w:t> </w:t>
      </w:r>
      <w:r w:rsidRPr="003363B8">
        <w:t>2 présente la structure de la population du Qatar en 2016, selon l’âge. La</w:t>
      </w:r>
      <w:r w:rsidR="003363B8">
        <w:t> </w:t>
      </w:r>
      <w:r w:rsidRPr="003363B8">
        <w:t>figure</w:t>
      </w:r>
      <w:r w:rsidR="003363B8">
        <w:t> </w:t>
      </w:r>
      <w:r w:rsidRPr="003363B8">
        <w:t>2 illustre la pyramide des âges de l’ensemble de la population du Qatar (Qataris et étrangers), ainsi que l’évolution démographique due à l’accroissement du nombre de travailleurs étrangers, notamment de sexe masculin. La figure</w:t>
      </w:r>
      <w:r w:rsidR="003363B8">
        <w:t> </w:t>
      </w:r>
      <w:r w:rsidRPr="003363B8">
        <w:t>3 présente la pyramide des âges de l’ensemble de la population du Qatar, ventilée par sexe.</w:t>
      </w:r>
    </w:p>
    <w:p w14:paraId="7120BF0E" w14:textId="593BA404" w:rsidR="009E4C76" w:rsidRDefault="003363B8" w:rsidP="003363B8">
      <w:pPr>
        <w:pStyle w:val="H23G"/>
      </w:pPr>
      <w:r w:rsidRPr="003363B8">
        <w:rPr>
          <w:b w:val="0"/>
        </w:rPr>
        <w:tab/>
      </w:r>
      <w:r w:rsidRPr="003363B8">
        <w:rPr>
          <w:b w:val="0"/>
        </w:rPr>
        <w:tab/>
      </w:r>
      <w:r w:rsidR="009E4C76" w:rsidRPr="003363B8">
        <w:rPr>
          <w:b w:val="0"/>
        </w:rPr>
        <w:t>Tableau 2</w:t>
      </w:r>
      <w:r>
        <w:t xml:space="preserve"> </w:t>
      </w:r>
      <w:r w:rsidR="009E4C76" w:rsidRPr="003363B8">
        <w:br/>
        <w:t xml:space="preserve">Répartition de la population par tranche d’âge, nationalité et sexe </w:t>
      </w:r>
      <w:r w:rsidR="00F067A1">
        <w:br/>
      </w:r>
      <w:r w:rsidR="009E4C76" w:rsidRPr="003363B8">
        <w:t>(estimation semestrielle) (2016)</w:t>
      </w:r>
    </w:p>
    <w:tbl>
      <w:tblPr>
        <w:tblStyle w:val="Grilledutableau"/>
        <w:tblW w:w="7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428"/>
        <w:gridCol w:w="1188"/>
        <w:gridCol w:w="1188"/>
        <w:gridCol w:w="1188"/>
        <w:gridCol w:w="1188"/>
        <w:gridCol w:w="1189"/>
      </w:tblGrid>
      <w:tr w:rsidR="00E1732D" w:rsidRPr="00E1732D" w14:paraId="16C69C97" w14:textId="77777777" w:rsidTr="00F77408">
        <w:trPr>
          <w:tblHeader/>
          <w:jc w:val="center"/>
        </w:trPr>
        <w:tc>
          <w:tcPr>
            <w:tcW w:w="1428" w:type="dxa"/>
            <w:tcBorders>
              <w:top w:val="single" w:sz="4" w:space="0" w:color="auto"/>
              <w:bottom w:val="single" w:sz="12" w:space="0" w:color="auto"/>
            </w:tcBorders>
            <w:shd w:val="clear" w:color="auto" w:fill="auto"/>
            <w:vAlign w:val="bottom"/>
          </w:tcPr>
          <w:p w14:paraId="104E832F" w14:textId="77777777" w:rsidR="00E1732D" w:rsidRPr="00E1732D" w:rsidRDefault="00E1732D" w:rsidP="00E1732D">
            <w:pPr>
              <w:spacing w:before="80" w:after="80" w:line="200" w:lineRule="exact"/>
              <w:rPr>
                <w:i/>
                <w:sz w:val="16"/>
              </w:rPr>
            </w:pPr>
            <w:r>
              <w:rPr>
                <w:i/>
                <w:sz w:val="16"/>
              </w:rPr>
              <w:t>Nationalité</w:t>
            </w:r>
          </w:p>
        </w:tc>
        <w:tc>
          <w:tcPr>
            <w:tcW w:w="1188" w:type="dxa"/>
            <w:tcBorders>
              <w:top w:val="single" w:sz="4" w:space="0" w:color="auto"/>
              <w:bottom w:val="single" w:sz="12" w:space="0" w:color="auto"/>
            </w:tcBorders>
            <w:shd w:val="clear" w:color="auto" w:fill="auto"/>
            <w:vAlign w:val="bottom"/>
          </w:tcPr>
          <w:p w14:paraId="2F0B68BC" w14:textId="77777777" w:rsidR="00E1732D" w:rsidRPr="00E1732D" w:rsidRDefault="00E1732D" w:rsidP="00E1732D">
            <w:pPr>
              <w:spacing w:before="80" w:after="80" w:line="200" w:lineRule="exact"/>
              <w:rPr>
                <w:i/>
                <w:sz w:val="16"/>
              </w:rPr>
            </w:pPr>
            <w:r>
              <w:rPr>
                <w:i/>
                <w:sz w:val="16"/>
              </w:rPr>
              <w:t>Sexe</w:t>
            </w:r>
          </w:p>
        </w:tc>
        <w:tc>
          <w:tcPr>
            <w:tcW w:w="1188" w:type="dxa"/>
            <w:tcBorders>
              <w:top w:val="single" w:sz="4" w:space="0" w:color="auto"/>
              <w:bottom w:val="single" w:sz="12" w:space="0" w:color="auto"/>
            </w:tcBorders>
            <w:shd w:val="clear" w:color="auto" w:fill="auto"/>
            <w:vAlign w:val="bottom"/>
          </w:tcPr>
          <w:p w14:paraId="63BDB2C9" w14:textId="77777777" w:rsidR="00E1732D" w:rsidRPr="00E1732D" w:rsidRDefault="00E1732D" w:rsidP="00E1732D">
            <w:pPr>
              <w:spacing w:before="80" w:after="80" w:line="200" w:lineRule="exact"/>
              <w:jc w:val="right"/>
              <w:rPr>
                <w:i/>
                <w:sz w:val="16"/>
              </w:rPr>
            </w:pPr>
            <w:r>
              <w:rPr>
                <w:i/>
                <w:sz w:val="16"/>
              </w:rPr>
              <w:t>Moins de 1</w:t>
            </w:r>
            <w:r w:rsidR="00B8759D">
              <w:rPr>
                <w:i/>
                <w:sz w:val="16"/>
              </w:rPr>
              <w:t>5</w:t>
            </w:r>
            <w:r>
              <w:rPr>
                <w:i/>
                <w:sz w:val="16"/>
              </w:rPr>
              <w:t> ans</w:t>
            </w:r>
          </w:p>
        </w:tc>
        <w:tc>
          <w:tcPr>
            <w:tcW w:w="1188" w:type="dxa"/>
            <w:tcBorders>
              <w:top w:val="single" w:sz="4" w:space="0" w:color="auto"/>
              <w:bottom w:val="single" w:sz="12" w:space="0" w:color="auto"/>
            </w:tcBorders>
            <w:shd w:val="clear" w:color="auto" w:fill="auto"/>
            <w:vAlign w:val="bottom"/>
          </w:tcPr>
          <w:p w14:paraId="7F80B596" w14:textId="77777777" w:rsidR="00E1732D" w:rsidRPr="00E1732D" w:rsidRDefault="00E1732D" w:rsidP="00E1732D">
            <w:pPr>
              <w:spacing w:before="80" w:after="80" w:line="200" w:lineRule="exact"/>
              <w:jc w:val="right"/>
              <w:rPr>
                <w:i/>
                <w:sz w:val="16"/>
              </w:rPr>
            </w:pPr>
            <w:r>
              <w:rPr>
                <w:i/>
                <w:sz w:val="16"/>
              </w:rPr>
              <w:t>15 à 64 ans</w:t>
            </w:r>
          </w:p>
        </w:tc>
        <w:tc>
          <w:tcPr>
            <w:tcW w:w="1188" w:type="dxa"/>
            <w:tcBorders>
              <w:top w:val="single" w:sz="4" w:space="0" w:color="auto"/>
              <w:bottom w:val="single" w:sz="12" w:space="0" w:color="auto"/>
            </w:tcBorders>
            <w:shd w:val="clear" w:color="auto" w:fill="auto"/>
            <w:vAlign w:val="bottom"/>
          </w:tcPr>
          <w:p w14:paraId="07C34344" w14:textId="77777777" w:rsidR="00E1732D" w:rsidRPr="00E1732D" w:rsidRDefault="00E1732D" w:rsidP="00E1732D">
            <w:pPr>
              <w:spacing w:before="80" w:after="80" w:line="200" w:lineRule="exact"/>
              <w:jc w:val="right"/>
              <w:rPr>
                <w:i/>
                <w:sz w:val="16"/>
              </w:rPr>
            </w:pPr>
            <w:r>
              <w:rPr>
                <w:i/>
                <w:sz w:val="16"/>
              </w:rPr>
              <w:t>65 ans et plus</w:t>
            </w:r>
          </w:p>
        </w:tc>
        <w:tc>
          <w:tcPr>
            <w:tcW w:w="1189" w:type="dxa"/>
            <w:tcBorders>
              <w:top w:val="single" w:sz="4" w:space="0" w:color="auto"/>
              <w:bottom w:val="single" w:sz="12" w:space="0" w:color="auto"/>
            </w:tcBorders>
            <w:shd w:val="clear" w:color="auto" w:fill="auto"/>
            <w:vAlign w:val="bottom"/>
          </w:tcPr>
          <w:p w14:paraId="68F84046" w14:textId="77777777" w:rsidR="00E1732D" w:rsidRPr="00E1732D" w:rsidRDefault="00E1732D" w:rsidP="00E1732D">
            <w:pPr>
              <w:spacing w:before="80" w:after="80" w:line="200" w:lineRule="exact"/>
              <w:jc w:val="right"/>
              <w:rPr>
                <w:i/>
                <w:sz w:val="16"/>
              </w:rPr>
            </w:pPr>
            <w:r>
              <w:rPr>
                <w:i/>
                <w:sz w:val="16"/>
              </w:rPr>
              <w:t>Total</w:t>
            </w:r>
          </w:p>
        </w:tc>
      </w:tr>
      <w:tr w:rsidR="004E63E4" w:rsidRPr="00E1732D" w14:paraId="01C4B67B" w14:textId="77777777" w:rsidTr="00F77408">
        <w:trPr>
          <w:jc w:val="center"/>
        </w:trPr>
        <w:tc>
          <w:tcPr>
            <w:tcW w:w="1428" w:type="dxa"/>
            <w:tcBorders>
              <w:top w:val="single" w:sz="12" w:space="0" w:color="auto"/>
            </w:tcBorders>
            <w:shd w:val="clear" w:color="auto" w:fill="auto"/>
            <w:vAlign w:val="bottom"/>
          </w:tcPr>
          <w:p w14:paraId="5C721A8E" w14:textId="77777777" w:rsidR="004E63E4" w:rsidRPr="00E1732D" w:rsidRDefault="004E63E4" w:rsidP="004E63E4">
            <w:pPr>
              <w:spacing w:before="40" w:after="40" w:line="220" w:lineRule="exact"/>
              <w:rPr>
                <w:sz w:val="18"/>
              </w:rPr>
            </w:pPr>
            <w:r>
              <w:rPr>
                <w:sz w:val="18"/>
              </w:rPr>
              <w:t>Qataris</w:t>
            </w:r>
          </w:p>
        </w:tc>
        <w:tc>
          <w:tcPr>
            <w:tcW w:w="1188" w:type="dxa"/>
            <w:tcBorders>
              <w:top w:val="single" w:sz="12" w:space="0" w:color="auto"/>
            </w:tcBorders>
            <w:shd w:val="clear" w:color="auto" w:fill="auto"/>
            <w:vAlign w:val="bottom"/>
          </w:tcPr>
          <w:p w14:paraId="2071A14A" w14:textId="77777777" w:rsidR="004E63E4" w:rsidRPr="00E1732D" w:rsidRDefault="004E63E4" w:rsidP="004E63E4">
            <w:pPr>
              <w:spacing w:before="40" w:after="40" w:line="220" w:lineRule="exact"/>
              <w:rPr>
                <w:sz w:val="18"/>
              </w:rPr>
            </w:pPr>
            <w:r>
              <w:rPr>
                <w:sz w:val="18"/>
              </w:rPr>
              <w:t>Femmes</w:t>
            </w:r>
          </w:p>
        </w:tc>
        <w:tc>
          <w:tcPr>
            <w:tcW w:w="1188" w:type="dxa"/>
            <w:tcBorders>
              <w:top w:val="single" w:sz="12" w:space="0" w:color="auto"/>
            </w:tcBorders>
            <w:shd w:val="clear" w:color="auto" w:fill="auto"/>
            <w:vAlign w:val="bottom"/>
          </w:tcPr>
          <w:p w14:paraId="42455658" w14:textId="77777777" w:rsidR="004E63E4" w:rsidRPr="003363B8" w:rsidRDefault="004E63E4" w:rsidP="004E63E4">
            <w:pPr>
              <w:suppressAutoHyphens w:val="0"/>
              <w:spacing w:before="40" w:after="40" w:line="220" w:lineRule="exact"/>
              <w:jc w:val="right"/>
              <w:rPr>
                <w:sz w:val="18"/>
                <w:lang w:val="fr-FR"/>
              </w:rPr>
            </w:pPr>
            <w:r w:rsidRPr="003363B8">
              <w:rPr>
                <w:sz w:val="18"/>
                <w:lang w:val="fr-FR"/>
              </w:rPr>
              <w:t>36,5</w:t>
            </w:r>
          </w:p>
        </w:tc>
        <w:tc>
          <w:tcPr>
            <w:tcW w:w="1188" w:type="dxa"/>
            <w:tcBorders>
              <w:top w:val="single" w:sz="12" w:space="0" w:color="auto"/>
            </w:tcBorders>
            <w:shd w:val="clear" w:color="auto" w:fill="auto"/>
            <w:vAlign w:val="bottom"/>
          </w:tcPr>
          <w:p w14:paraId="790E4C3A" w14:textId="77777777" w:rsidR="004E63E4" w:rsidRPr="003363B8" w:rsidRDefault="004E63E4" w:rsidP="004E63E4">
            <w:pPr>
              <w:suppressAutoHyphens w:val="0"/>
              <w:spacing w:before="40" w:after="40" w:line="220" w:lineRule="exact"/>
              <w:jc w:val="right"/>
              <w:rPr>
                <w:sz w:val="18"/>
                <w:lang w:val="fr-FR"/>
              </w:rPr>
            </w:pPr>
            <w:r w:rsidRPr="003363B8">
              <w:rPr>
                <w:sz w:val="18"/>
                <w:lang w:val="fr-FR"/>
              </w:rPr>
              <w:t>59,8</w:t>
            </w:r>
          </w:p>
        </w:tc>
        <w:tc>
          <w:tcPr>
            <w:tcW w:w="1188" w:type="dxa"/>
            <w:tcBorders>
              <w:top w:val="single" w:sz="12" w:space="0" w:color="auto"/>
            </w:tcBorders>
            <w:shd w:val="clear" w:color="auto" w:fill="auto"/>
            <w:vAlign w:val="bottom"/>
          </w:tcPr>
          <w:p w14:paraId="348F3A3E" w14:textId="77777777" w:rsidR="004E63E4" w:rsidRPr="003363B8" w:rsidRDefault="004E63E4" w:rsidP="004E63E4">
            <w:pPr>
              <w:suppressAutoHyphens w:val="0"/>
              <w:spacing w:before="40" w:after="40" w:line="220" w:lineRule="exact"/>
              <w:jc w:val="right"/>
              <w:rPr>
                <w:sz w:val="18"/>
                <w:lang w:val="fr-FR" w:bidi="ar-QA"/>
              </w:rPr>
            </w:pPr>
            <w:r w:rsidRPr="003363B8">
              <w:rPr>
                <w:sz w:val="18"/>
                <w:lang w:val="fr-FR"/>
              </w:rPr>
              <w:t>3,7</w:t>
            </w:r>
          </w:p>
        </w:tc>
        <w:tc>
          <w:tcPr>
            <w:tcW w:w="1189" w:type="dxa"/>
            <w:tcBorders>
              <w:top w:val="single" w:sz="12" w:space="0" w:color="auto"/>
            </w:tcBorders>
            <w:shd w:val="clear" w:color="auto" w:fill="auto"/>
            <w:vAlign w:val="bottom"/>
          </w:tcPr>
          <w:p w14:paraId="75BA2906" w14:textId="77777777" w:rsidR="004E63E4" w:rsidRPr="00BF05FE" w:rsidRDefault="004E63E4" w:rsidP="004E63E4">
            <w:pPr>
              <w:suppressAutoHyphens w:val="0"/>
              <w:spacing w:before="40" w:after="40" w:line="220" w:lineRule="exact"/>
              <w:jc w:val="right"/>
              <w:rPr>
                <w:sz w:val="18"/>
                <w:lang w:val="fr-FR" w:bidi="ar-QA"/>
              </w:rPr>
            </w:pPr>
            <w:r w:rsidRPr="00BF05FE">
              <w:rPr>
                <w:sz w:val="18"/>
                <w:lang w:val="fr-FR" w:bidi="ar-QA"/>
              </w:rPr>
              <w:t>100</w:t>
            </w:r>
          </w:p>
        </w:tc>
      </w:tr>
      <w:tr w:rsidR="004E63E4" w:rsidRPr="00E1732D" w14:paraId="4B9212C1" w14:textId="77777777" w:rsidTr="00F77408">
        <w:trPr>
          <w:jc w:val="center"/>
        </w:trPr>
        <w:tc>
          <w:tcPr>
            <w:tcW w:w="1428" w:type="dxa"/>
            <w:shd w:val="clear" w:color="auto" w:fill="auto"/>
            <w:vAlign w:val="bottom"/>
          </w:tcPr>
          <w:p w14:paraId="7299445A" w14:textId="77777777" w:rsidR="004E63E4" w:rsidRPr="00E1732D" w:rsidRDefault="004E63E4" w:rsidP="004E63E4">
            <w:pPr>
              <w:spacing w:before="40" w:after="40" w:line="220" w:lineRule="exact"/>
              <w:rPr>
                <w:sz w:val="18"/>
              </w:rPr>
            </w:pPr>
          </w:p>
        </w:tc>
        <w:tc>
          <w:tcPr>
            <w:tcW w:w="1188" w:type="dxa"/>
            <w:shd w:val="clear" w:color="auto" w:fill="auto"/>
            <w:vAlign w:val="bottom"/>
          </w:tcPr>
          <w:p w14:paraId="7CE02F53" w14:textId="77777777" w:rsidR="004E63E4" w:rsidRPr="00E1732D" w:rsidRDefault="004E63E4" w:rsidP="004E63E4">
            <w:pPr>
              <w:spacing w:before="40" w:after="40" w:line="220" w:lineRule="exact"/>
              <w:rPr>
                <w:sz w:val="18"/>
              </w:rPr>
            </w:pPr>
            <w:r>
              <w:rPr>
                <w:sz w:val="18"/>
              </w:rPr>
              <w:t>Hommes</w:t>
            </w:r>
          </w:p>
        </w:tc>
        <w:tc>
          <w:tcPr>
            <w:tcW w:w="1188" w:type="dxa"/>
            <w:shd w:val="clear" w:color="auto" w:fill="auto"/>
            <w:vAlign w:val="bottom"/>
          </w:tcPr>
          <w:p w14:paraId="3F847305" w14:textId="77777777" w:rsidR="004E63E4" w:rsidRPr="003363B8" w:rsidRDefault="004E63E4" w:rsidP="004E63E4">
            <w:pPr>
              <w:suppressAutoHyphens w:val="0"/>
              <w:spacing w:before="40" w:after="40" w:line="220" w:lineRule="exact"/>
              <w:jc w:val="right"/>
              <w:rPr>
                <w:sz w:val="18"/>
                <w:lang w:val="fr-FR"/>
              </w:rPr>
            </w:pPr>
            <w:r w:rsidRPr="003363B8">
              <w:rPr>
                <w:sz w:val="18"/>
                <w:lang w:val="fr-FR"/>
              </w:rPr>
              <w:t>38,9</w:t>
            </w:r>
          </w:p>
        </w:tc>
        <w:tc>
          <w:tcPr>
            <w:tcW w:w="1188" w:type="dxa"/>
            <w:shd w:val="clear" w:color="auto" w:fill="auto"/>
            <w:vAlign w:val="bottom"/>
          </w:tcPr>
          <w:p w14:paraId="573D67FF" w14:textId="77777777" w:rsidR="004E63E4" w:rsidRPr="003363B8" w:rsidRDefault="004E63E4" w:rsidP="004E63E4">
            <w:pPr>
              <w:suppressAutoHyphens w:val="0"/>
              <w:spacing w:before="40" w:after="40" w:line="220" w:lineRule="exact"/>
              <w:jc w:val="right"/>
              <w:rPr>
                <w:sz w:val="18"/>
                <w:lang w:val="fr-FR"/>
              </w:rPr>
            </w:pPr>
            <w:r w:rsidRPr="003363B8">
              <w:rPr>
                <w:sz w:val="18"/>
                <w:lang w:val="fr-FR"/>
              </w:rPr>
              <w:t>57,8</w:t>
            </w:r>
          </w:p>
        </w:tc>
        <w:tc>
          <w:tcPr>
            <w:tcW w:w="1188" w:type="dxa"/>
            <w:shd w:val="clear" w:color="auto" w:fill="auto"/>
            <w:vAlign w:val="bottom"/>
          </w:tcPr>
          <w:p w14:paraId="69CB9207" w14:textId="77777777" w:rsidR="004E63E4" w:rsidRPr="003363B8" w:rsidRDefault="004E63E4" w:rsidP="004E63E4">
            <w:pPr>
              <w:suppressAutoHyphens w:val="0"/>
              <w:spacing w:before="40" w:after="40" w:line="220" w:lineRule="exact"/>
              <w:jc w:val="right"/>
              <w:rPr>
                <w:sz w:val="18"/>
                <w:lang w:val="fr-FR"/>
              </w:rPr>
            </w:pPr>
            <w:r w:rsidRPr="003363B8">
              <w:rPr>
                <w:sz w:val="18"/>
                <w:lang w:val="fr-FR"/>
              </w:rPr>
              <w:t>3,3</w:t>
            </w:r>
          </w:p>
        </w:tc>
        <w:tc>
          <w:tcPr>
            <w:tcW w:w="1189" w:type="dxa"/>
            <w:shd w:val="clear" w:color="auto" w:fill="auto"/>
            <w:vAlign w:val="bottom"/>
          </w:tcPr>
          <w:p w14:paraId="41AE0211" w14:textId="77777777" w:rsidR="004E63E4" w:rsidRPr="00BF05FE" w:rsidRDefault="004E63E4" w:rsidP="004E63E4">
            <w:pPr>
              <w:suppressAutoHyphens w:val="0"/>
              <w:spacing w:before="40" w:after="40" w:line="220" w:lineRule="exact"/>
              <w:jc w:val="right"/>
              <w:rPr>
                <w:sz w:val="18"/>
                <w:lang w:val="fr-FR" w:bidi="ar-QA"/>
              </w:rPr>
            </w:pPr>
            <w:r w:rsidRPr="00BF05FE">
              <w:rPr>
                <w:sz w:val="18"/>
                <w:lang w:val="fr-FR" w:bidi="ar-QA"/>
              </w:rPr>
              <w:t>100</w:t>
            </w:r>
          </w:p>
        </w:tc>
      </w:tr>
      <w:tr w:rsidR="004E63E4" w:rsidRPr="00E1732D" w14:paraId="64FA5A37" w14:textId="77777777" w:rsidTr="00F77408">
        <w:trPr>
          <w:jc w:val="center"/>
        </w:trPr>
        <w:tc>
          <w:tcPr>
            <w:tcW w:w="1428" w:type="dxa"/>
            <w:shd w:val="clear" w:color="auto" w:fill="auto"/>
            <w:vAlign w:val="bottom"/>
          </w:tcPr>
          <w:p w14:paraId="3DE64204" w14:textId="77777777" w:rsidR="004E63E4" w:rsidRPr="00E1732D" w:rsidRDefault="004E63E4" w:rsidP="004E63E4">
            <w:pPr>
              <w:spacing w:before="40" w:after="40" w:line="220" w:lineRule="exact"/>
              <w:rPr>
                <w:sz w:val="18"/>
              </w:rPr>
            </w:pPr>
            <w:r>
              <w:rPr>
                <w:sz w:val="18"/>
              </w:rPr>
              <w:t>Non-Qataris</w:t>
            </w:r>
          </w:p>
        </w:tc>
        <w:tc>
          <w:tcPr>
            <w:tcW w:w="1188" w:type="dxa"/>
            <w:shd w:val="clear" w:color="auto" w:fill="auto"/>
            <w:vAlign w:val="bottom"/>
          </w:tcPr>
          <w:p w14:paraId="457F6D5E" w14:textId="77777777" w:rsidR="004E63E4" w:rsidRPr="00E1732D" w:rsidRDefault="004E63E4" w:rsidP="004E63E4">
            <w:pPr>
              <w:spacing w:before="40" w:after="40" w:line="220" w:lineRule="exact"/>
              <w:rPr>
                <w:sz w:val="18"/>
              </w:rPr>
            </w:pPr>
            <w:r>
              <w:rPr>
                <w:sz w:val="18"/>
              </w:rPr>
              <w:t>Femmes</w:t>
            </w:r>
          </w:p>
        </w:tc>
        <w:tc>
          <w:tcPr>
            <w:tcW w:w="1188" w:type="dxa"/>
            <w:shd w:val="clear" w:color="auto" w:fill="auto"/>
            <w:vAlign w:val="bottom"/>
          </w:tcPr>
          <w:p w14:paraId="449387CA" w14:textId="77777777" w:rsidR="004E63E4" w:rsidRPr="003363B8" w:rsidRDefault="004E63E4" w:rsidP="004E63E4">
            <w:pPr>
              <w:suppressAutoHyphens w:val="0"/>
              <w:spacing w:before="40" w:after="40" w:line="220" w:lineRule="exact"/>
              <w:jc w:val="right"/>
              <w:rPr>
                <w:sz w:val="18"/>
                <w:lang w:val="fr-FR"/>
              </w:rPr>
            </w:pPr>
            <w:r w:rsidRPr="003363B8">
              <w:rPr>
                <w:sz w:val="18"/>
                <w:lang w:val="fr-FR"/>
              </w:rPr>
              <w:t>24,5</w:t>
            </w:r>
          </w:p>
        </w:tc>
        <w:tc>
          <w:tcPr>
            <w:tcW w:w="1188" w:type="dxa"/>
            <w:shd w:val="clear" w:color="auto" w:fill="auto"/>
            <w:vAlign w:val="bottom"/>
          </w:tcPr>
          <w:p w14:paraId="6ACD25A6" w14:textId="77777777" w:rsidR="004E63E4" w:rsidRPr="003363B8" w:rsidRDefault="004E63E4" w:rsidP="004E63E4">
            <w:pPr>
              <w:suppressAutoHyphens w:val="0"/>
              <w:spacing w:before="40" w:after="40" w:line="220" w:lineRule="exact"/>
              <w:jc w:val="right"/>
              <w:rPr>
                <w:sz w:val="18"/>
                <w:lang w:val="fr-FR"/>
              </w:rPr>
            </w:pPr>
            <w:r w:rsidRPr="003363B8">
              <w:rPr>
                <w:sz w:val="18"/>
                <w:lang w:val="fr-FR"/>
              </w:rPr>
              <w:t>74,5</w:t>
            </w:r>
          </w:p>
        </w:tc>
        <w:tc>
          <w:tcPr>
            <w:tcW w:w="1188" w:type="dxa"/>
            <w:shd w:val="clear" w:color="auto" w:fill="auto"/>
            <w:vAlign w:val="bottom"/>
          </w:tcPr>
          <w:p w14:paraId="5B2A4644" w14:textId="77777777" w:rsidR="004E63E4" w:rsidRPr="003363B8" w:rsidRDefault="004E63E4" w:rsidP="004E63E4">
            <w:pPr>
              <w:suppressAutoHyphens w:val="0"/>
              <w:spacing w:before="40" w:after="40" w:line="220" w:lineRule="exact"/>
              <w:jc w:val="right"/>
              <w:rPr>
                <w:sz w:val="18"/>
                <w:lang w:val="fr-FR"/>
              </w:rPr>
            </w:pPr>
            <w:r w:rsidRPr="003363B8">
              <w:rPr>
                <w:sz w:val="18"/>
                <w:lang w:val="fr-FR"/>
              </w:rPr>
              <w:t>1,0</w:t>
            </w:r>
          </w:p>
        </w:tc>
        <w:tc>
          <w:tcPr>
            <w:tcW w:w="1189" w:type="dxa"/>
            <w:shd w:val="clear" w:color="auto" w:fill="auto"/>
            <w:vAlign w:val="bottom"/>
          </w:tcPr>
          <w:p w14:paraId="7FD68D5E" w14:textId="77777777" w:rsidR="004E63E4" w:rsidRPr="00BF05FE" w:rsidRDefault="004E63E4" w:rsidP="004E63E4">
            <w:pPr>
              <w:suppressAutoHyphens w:val="0"/>
              <w:spacing w:before="40" w:after="40" w:line="220" w:lineRule="exact"/>
              <w:jc w:val="right"/>
              <w:rPr>
                <w:sz w:val="18"/>
                <w:lang w:val="fr-FR" w:bidi="ar-QA"/>
              </w:rPr>
            </w:pPr>
            <w:r w:rsidRPr="00BF05FE">
              <w:rPr>
                <w:sz w:val="18"/>
                <w:lang w:val="fr-FR" w:bidi="ar-QA"/>
              </w:rPr>
              <w:t>100</w:t>
            </w:r>
          </w:p>
        </w:tc>
      </w:tr>
      <w:tr w:rsidR="00586B59" w:rsidRPr="00E1732D" w14:paraId="09181661" w14:textId="77777777" w:rsidTr="00F27FE9">
        <w:trPr>
          <w:jc w:val="center"/>
        </w:trPr>
        <w:tc>
          <w:tcPr>
            <w:tcW w:w="1428" w:type="dxa"/>
            <w:tcBorders>
              <w:bottom w:val="single" w:sz="4" w:space="0" w:color="auto"/>
            </w:tcBorders>
            <w:shd w:val="clear" w:color="auto" w:fill="auto"/>
            <w:vAlign w:val="bottom"/>
          </w:tcPr>
          <w:p w14:paraId="7363CE9D" w14:textId="77777777" w:rsidR="004E63E4" w:rsidRPr="00E1732D" w:rsidRDefault="004E63E4" w:rsidP="004E63E4">
            <w:pPr>
              <w:spacing w:before="40" w:after="40" w:line="220" w:lineRule="exact"/>
              <w:rPr>
                <w:sz w:val="18"/>
              </w:rPr>
            </w:pPr>
          </w:p>
        </w:tc>
        <w:tc>
          <w:tcPr>
            <w:tcW w:w="1188" w:type="dxa"/>
            <w:tcBorders>
              <w:bottom w:val="single" w:sz="4" w:space="0" w:color="auto"/>
            </w:tcBorders>
            <w:shd w:val="clear" w:color="auto" w:fill="auto"/>
            <w:vAlign w:val="bottom"/>
          </w:tcPr>
          <w:p w14:paraId="56FA46AF" w14:textId="77777777" w:rsidR="004E63E4" w:rsidRPr="00E1732D" w:rsidRDefault="004E63E4" w:rsidP="004E63E4">
            <w:pPr>
              <w:spacing w:before="40" w:after="40" w:line="220" w:lineRule="exact"/>
              <w:rPr>
                <w:sz w:val="18"/>
              </w:rPr>
            </w:pPr>
            <w:r>
              <w:rPr>
                <w:sz w:val="18"/>
              </w:rPr>
              <w:t>Hommes</w:t>
            </w:r>
          </w:p>
        </w:tc>
        <w:tc>
          <w:tcPr>
            <w:tcW w:w="1188" w:type="dxa"/>
            <w:tcBorders>
              <w:bottom w:val="single" w:sz="4" w:space="0" w:color="auto"/>
            </w:tcBorders>
            <w:shd w:val="clear" w:color="auto" w:fill="auto"/>
            <w:vAlign w:val="bottom"/>
          </w:tcPr>
          <w:p w14:paraId="5A7685E8" w14:textId="77777777" w:rsidR="004E63E4" w:rsidRPr="003363B8" w:rsidRDefault="004E63E4" w:rsidP="004E63E4">
            <w:pPr>
              <w:suppressAutoHyphens w:val="0"/>
              <w:spacing w:before="40" w:after="40" w:line="220" w:lineRule="exact"/>
              <w:jc w:val="right"/>
              <w:rPr>
                <w:sz w:val="18"/>
                <w:lang w:val="fr-FR"/>
              </w:rPr>
            </w:pPr>
            <w:r w:rsidRPr="003363B8">
              <w:rPr>
                <w:sz w:val="18"/>
                <w:lang w:val="fr-FR"/>
              </w:rPr>
              <w:t>6,9</w:t>
            </w:r>
          </w:p>
        </w:tc>
        <w:tc>
          <w:tcPr>
            <w:tcW w:w="1188" w:type="dxa"/>
            <w:tcBorders>
              <w:bottom w:val="single" w:sz="4" w:space="0" w:color="auto"/>
            </w:tcBorders>
            <w:shd w:val="clear" w:color="auto" w:fill="auto"/>
            <w:vAlign w:val="bottom"/>
          </w:tcPr>
          <w:p w14:paraId="0FFC096C" w14:textId="77777777" w:rsidR="004E63E4" w:rsidRPr="003363B8" w:rsidRDefault="004E63E4" w:rsidP="004E63E4">
            <w:pPr>
              <w:suppressAutoHyphens w:val="0"/>
              <w:spacing w:before="40" w:after="40" w:line="220" w:lineRule="exact"/>
              <w:jc w:val="right"/>
              <w:rPr>
                <w:sz w:val="18"/>
                <w:lang w:val="fr-FR"/>
              </w:rPr>
            </w:pPr>
            <w:r w:rsidRPr="003363B8">
              <w:rPr>
                <w:sz w:val="18"/>
                <w:lang w:val="fr-FR"/>
              </w:rPr>
              <w:t>92,4</w:t>
            </w:r>
          </w:p>
        </w:tc>
        <w:tc>
          <w:tcPr>
            <w:tcW w:w="1188" w:type="dxa"/>
            <w:tcBorders>
              <w:bottom w:val="single" w:sz="4" w:space="0" w:color="auto"/>
            </w:tcBorders>
            <w:shd w:val="clear" w:color="auto" w:fill="auto"/>
            <w:vAlign w:val="bottom"/>
          </w:tcPr>
          <w:p w14:paraId="53023C8A" w14:textId="77777777" w:rsidR="004E63E4" w:rsidRPr="003363B8" w:rsidRDefault="004E63E4" w:rsidP="004E63E4">
            <w:pPr>
              <w:suppressAutoHyphens w:val="0"/>
              <w:spacing w:before="40" w:after="40" w:line="220" w:lineRule="exact"/>
              <w:jc w:val="right"/>
              <w:rPr>
                <w:sz w:val="18"/>
                <w:szCs w:val="26"/>
                <w:rtl/>
                <w:lang w:val="fr-FR" w:bidi="fr-FR"/>
              </w:rPr>
            </w:pPr>
            <w:r w:rsidRPr="003363B8">
              <w:rPr>
                <w:sz w:val="18"/>
                <w:lang w:val="fr-FR" w:bidi="ar-QA"/>
              </w:rPr>
              <w:t>0,7</w:t>
            </w:r>
          </w:p>
        </w:tc>
        <w:tc>
          <w:tcPr>
            <w:tcW w:w="1189" w:type="dxa"/>
            <w:tcBorders>
              <w:bottom w:val="single" w:sz="4" w:space="0" w:color="auto"/>
            </w:tcBorders>
            <w:shd w:val="clear" w:color="auto" w:fill="auto"/>
            <w:vAlign w:val="bottom"/>
          </w:tcPr>
          <w:p w14:paraId="17D95ED7" w14:textId="77777777" w:rsidR="004E63E4" w:rsidRPr="00BF05FE" w:rsidRDefault="004E63E4" w:rsidP="004E63E4">
            <w:pPr>
              <w:suppressAutoHyphens w:val="0"/>
              <w:spacing w:before="40" w:after="40" w:line="220" w:lineRule="exact"/>
              <w:jc w:val="right"/>
              <w:rPr>
                <w:sz w:val="18"/>
                <w:lang w:val="fr-FR" w:bidi="ar-QA"/>
              </w:rPr>
            </w:pPr>
            <w:r w:rsidRPr="00BF05FE">
              <w:rPr>
                <w:sz w:val="18"/>
                <w:lang w:val="fr-FR" w:bidi="ar-QA"/>
              </w:rPr>
              <w:t>100</w:t>
            </w:r>
          </w:p>
        </w:tc>
      </w:tr>
      <w:tr w:rsidR="004E63E4" w:rsidRPr="00E1732D" w14:paraId="7862AC13" w14:textId="77777777" w:rsidTr="00F27FE9">
        <w:trPr>
          <w:jc w:val="center"/>
        </w:trPr>
        <w:tc>
          <w:tcPr>
            <w:tcW w:w="1428" w:type="dxa"/>
            <w:vMerge w:val="restart"/>
            <w:tcBorders>
              <w:top w:val="single" w:sz="4" w:space="0" w:color="auto"/>
              <w:bottom w:val="single" w:sz="12" w:space="0" w:color="auto"/>
            </w:tcBorders>
            <w:shd w:val="clear" w:color="auto" w:fill="auto"/>
            <w:vAlign w:val="center"/>
          </w:tcPr>
          <w:p w14:paraId="7C1F4A85" w14:textId="77777777" w:rsidR="004E63E4" w:rsidRPr="00E1732D" w:rsidRDefault="004E63E4" w:rsidP="004E63E4">
            <w:pPr>
              <w:spacing w:before="80" w:after="80" w:line="220" w:lineRule="exact"/>
              <w:ind w:left="283"/>
              <w:rPr>
                <w:b/>
                <w:sz w:val="18"/>
              </w:rPr>
            </w:pPr>
            <w:r w:rsidRPr="00E1732D">
              <w:rPr>
                <w:b/>
                <w:sz w:val="18"/>
              </w:rPr>
              <w:t>Total</w:t>
            </w:r>
          </w:p>
        </w:tc>
        <w:tc>
          <w:tcPr>
            <w:tcW w:w="1188" w:type="dxa"/>
            <w:tcBorders>
              <w:top w:val="single" w:sz="4" w:space="0" w:color="auto"/>
              <w:bottom w:val="single" w:sz="4" w:space="0" w:color="auto"/>
            </w:tcBorders>
            <w:shd w:val="clear" w:color="auto" w:fill="auto"/>
            <w:vAlign w:val="bottom"/>
          </w:tcPr>
          <w:p w14:paraId="577AD4DD" w14:textId="77777777" w:rsidR="004E63E4" w:rsidRPr="00E1732D" w:rsidRDefault="004E63E4" w:rsidP="004E63E4">
            <w:pPr>
              <w:spacing w:before="80" w:after="80" w:line="220" w:lineRule="exact"/>
              <w:rPr>
                <w:b/>
                <w:sz w:val="18"/>
              </w:rPr>
            </w:pPr>
            <w:r w:rsidRPr="00E1732D">
              <w:rPr>
                <w:b/>
                <w:sz w:val="18"/>
              </w:rPr>
              <w:t>Femmes</w:t>
            </w:r>
          </w:p>
        </w:tc>
        <w:tc>
          <w:tcPr>
            <w:tcW w:w="1188" w:type="dxa"/>
            <w:tcBorders>
              <w:top w:val="single" w:sz="4" w:space="0" w:color="auto"/>
              <w:bottom w:val="single" w:sz="4" w:space="0" w:color="auto"/>
            </w:tcBorders>
            <w:shd w:val="clear" w:color="auto" w:fill="auto"/>
            <w:vAlign w:val="bottom"/>
          </w:tcPr>
          <w:p w14:paraId="1E450891" w14:textId="77777777" w:rsidR="004E63E4" w:rsidRPr="003363B8" w:rsidRDefault="004E63E4" w:rsidP="004E63E4">
            <w:pPr>
              <w:suppressAutoHyphens w:val="0"/>
              <w:spacing w:before="80" w:after="80" w:line="220" w:lineRule="exact"/>
              <w:jc w:val="right"/>
              <w:rPr>
                <w:b/>
                <w:sz w:val="18"/>
                <w:lang w:val="fr-FR"/>
              </w:rPr>
            </w:pPr>
            <w:r w:rsidRPr="003363B8">
              <w:rPr>
                <w:b/>
                <w:sz w:val="18"/>
                <w:lang w:val="fr-FR"/>
              </w:rPr>
              <w:t>27,3</w:t>
            </w:r>
          </w:p>
        </w:tc>
        <w:tc>
          <w:tcPr>
            <w:tcW w:w="1188" w:type="dxa"/>
            <w:tcBorders>
              <w:top w:val="single" w:sz="4" w:space="0" w:color="auto"/>
              <w:bottom w:val="single" w:sz="4" w:space="0" w:color="auto"/>
            </w:tcBorders>
            <w:shd w:val="clear" w:color="auto" w:fill="auto"/>
            <w:vAlign w:val="bottom"/>
          </w:tcPr>
          <w:p w14:paraId="596653D4" w14:textId="77777777" w:rsidR="004E63E4" w:rsidRPr="003363B8" w:rsidRDefault="004E63E4" w:rsidP="004E63E4">
            <w:pPr>
              <w:suppressAutoHyphens w:val="0"/>
              <w:spacing w:before="80" w:after="80" w:line="220" w:lineRule="exact"/>
              <w:jc w:val="right"/>
              <w:rPr>
                <w:b/>
                <w:sz w:val="18"/>
                <w:lang w:val="fr-FR"/>
              </w:rPr>
            </w:pPr>
            <w:r w:rsidRPr="003363B8">
              <w:rPr>
                <w:b/>
                <w:sz w:val="18"/>
                <w:lang w:val="fr-FR"/>
              </w:rPr>
              <w:t>71,7</w:t>
            </w:r>
          </w:p>
        </w:tc>
        <w:tc>
          <w:tcPr>
            <w:tcW w:w="1188" w:type="dxa"/>
            <w:tcBorders>
              <w:top w:val="single" w:sz="4" w:space="0" w:color="auto"/>
              <w:bottom w:val="single" w:sz="4" w:space="0" w:color="auto"/>
            </w:tcBorders>
            <w:shd w:val="clear" w:color="auto" w:fill="auto"/>
            <w:vAlign w:val="bottom"/>
          </w:tcPr>
          <w:p w14:paraId="45AACBD9" w14:textId="77777777" w:rsidR="004E63E4" w:rsidRPr="003363B8" w:rsidRDefault="004E63E4" w:rsidP="004E63E4">
            <w:pPr>
              <w:suppressAutoHyphens w:val="0"/>
              <w:spacing w:before="80" w:after="80" w:line="220" w:lineRule="exact"/>
              <w:jc w:val="right"/>
              <w:rPr>
                <w:b/>
                <w:sz w:val="18"/>
                <w:lang w:val="fr-FR"/>
              </w:rPr>
            </w:pPr>
            <w:r w:rsidRPr="003363B8">
              <w:rPr>
                <w:b/>
                <w:sz w:val="18"/>
                <w:lang w:val="fr-FR"/>
              </w:rPr>
              <w:t>1,6</w:t>
            </w:r>
          </w:p>
        </w:tc>
        <w:tc>
          <w:tcPr>
            <w:tcW w:w="1189" w:type="dxa"/>
            <w:tcBorders>
              <w:top w:val="single" w:sz="4" w:space="0" w:color="auto"/>
              <w:bottom w:val="single" w:sz="4" w:space="0" w:color="auto"/>
            </w:tcBorders>
            <w:shd w:val="clear" w:color="auto" w:fill="auto"/>
            <w:vAlign w:val="bottom"/>
          </w:tcPr>
          <w:p w14:paraId="445B29E2" w14:textId="77777777" w:rsidR="004E63E4" w:rsidRPr="00A06438" w:rsidRDefault="004E63E4" w:rsidP="004E63E4">
            <w:pPr>
              <w:suppressAutoHyphens w:val="0"/>
              <w:spacing w:before="80" w:after="80" w:line="220" w:lineRule="exact"/>
              <w:jc w:val="right"/>
              <w:rPr>
                <w:b/>
                <w:sz w:val="18"/>
                <w:lang w:val="fr-FR" w:bidi="ar-QA"/>
              </w:rPr>
            </w:pPr>
            <w:r w:rsidRPr="00A06438">
              <w:rPr>
                <w:b/>
                <w:sz w:val="18"/>
                <w:lang w:val="fr-FR"/>
              </w:rPr>
              <w:t>100</w:t>
            </w:r>
          </w:p>
        </w:tc>
      </w:tr>
      <w:tr w:rsidR="004E63E4" w:rsidRPr="00E1732D" w14:paraId="6C8A4FF9" w14:textId="77777777" w:rsidTr="00F27FE9">
        <w:trPr>
          <w:jc w:val="center"/>
        </w:trPr>
        <w:tc>
          <w:tcPr>
            <w:tcW w:w="1428" w:type="dxa"/>
            <w:vMerge/>
            <w:tcBorders>
              <w:top w:val="single" w:sz="12" w:space="0" w:color="auto"/>
              <w:bottom w:val="single" w:sz="12" w:space="0" w:color="auto"/>
            </w:tcBorders>
            <w:shd w:val="clear" w:color="auto" w:fill="auto"/>
            <w:vAlign w:val="bottom"/>
          </w:tcPr>
          <w:p w14:paraId="7C704118" w14:textId="77777777" w:rsidR="004E63E4" w:rsidRPr="00E1732D" w:rsidRDefault="004E63E4" w:rsidP="004E63E4">
            <w:pPr>
              <w:spacing w:before="80" w:after="80" w:line="220" w:lineRule="exact"/>
              <w:ind w:left="283"/>
              <w:rPr>
                <w:b/>
                <w:sz w:val="18"/>
              </w:rPr>
            </w:pPr>
          </w:p>
        </w:tc>
        <w:tc>
          <w:tcPr>
            <w:tcW w:w="1188" w:type="dxa"/>
            <w:tcBorders>
              <w:top w:val="single" w:sz="4" w:space="0" w:color="auto"/>
              <w:bottom w:val="single" w:sz="12" w:space="0" w:color="auto"/>
            </w:tcBorders>
            <w:shd w:val="clear" w:color="auto" w:fill="auto"/>
            <w:vAlign w:val="bottom"/>
          </w:tcPr>
          <w:p w14:paraId="797E4102" w14:textId="77777777" w:rsidR="004E63E4" w:rsidRPr="00E1732D" w:rsidRDefault="004E63E4" w:rsidP="004E63E4">
            <w:pPr>
              <w:spacing w:before="80" w:after="80" w:line="220" w:lineRule="exact"/>
              <w:rPr>
                <w:b/>
                <w:sz w:val="18"/>
              </w:rPr>
            </w:pPr>
            <w:r w:rsidRPr="00E1732D">
              <w:rPr>
                <w:b/>
                <w:sz w:val="18"/>
              </w:rPr>
              <w:t>Hommes</w:t>
            </w:r>
          </w:p>
        </w:tc>
        <w:tc>
          <w:tcPr>
            <w:tcW w:w="1188" w:type="dxa"/>
            <w:tcBorders>
              <w:top w:val="single" w:sz="4" w:space="0" w:color="auto"/>
              <w:bottom w:val="single" w:sz="12" w:space="0" w:color="auto"/>
            </w:tcBorders>
            <w:shd w:val="clear" w:color="auto" w:fill="auto"/>
            <w:vAlign w:val="bottom"/>
          </w:tcPr>
          <w:p w14:paraId="7B90DD56" w14:textId="77777777" w:rsidR="004E63E4" w:rsidRPr="003363B8" w:rsidRDefault="004E63E4" w:rsidP="004E63E4">
            <w:pPr>
              <w:suppressAutoHyphens w:val="0"/>
              <w:spacing w:before="80" w:after="80" w:line="220" w:lineRule="exact"/>
              <w:jc w:val="right"/>
              <w:rPr>
                <w:b/>
                <w:sz w:val="18"/>
                <w:lang w:val="fr-FR"/>
              </w:rPr>
            </w:pPr>
            <w:r w:rsidRPr="003363B8">
              <w:rPr>
                <w:b/>
                <w:sz w:val="18"/>
                <w:lang w:val="fr-FR"/>
              </w:rPr>
              <w:t>9,2</w:t>
            </w:r>
          </w:p>
        </w:tc>
        <w:tc>
          <w:tcPr>
            <w:tcW w:w="1188" w:type="dxa"/>
            <w:tcBorders>
              <w:top w:val="single" w:sz="4" w:space="0" w:color="auto"/>
              <w:bottom w:val="single" w:sz="12" w:space="0" w:color="auto"/>
            </w:tcBorders>
            <w:shd w:val="clear" w:color="auto" w:fill="auto"/>
            <w:vAlign w:val="bottom"/>
          </w:tcPr>
          <w:p w14:paraId="7F8836EE" w14:textId="77777777" w:rsidR="004E63E4" w:rsidRPr="003363B8" w:rsidRDefault="004E63E4" w:rsidP="004E63E4">
            <w:pPr>
              <w:suppressAutoHyphens w:val="0"/>
              <w:spacing w:before="80" w:after="80" w:line="220" w:lineRule="exact"/>
              <w:jc w:val="right"/>
              <w:rPr>
                <w:b/>
                <w:sz w:val="18"/>
                <w:lang w:val="fr-FR"/>
              </w:rPr>
            </w:pPr>
            <w:r w:rsidRPr="003363B8">
              <w:rPr>
                <w:b/>
                <w:sz w:val="18"/>
                <w:lang w:val="fr-FR"/>
              </w:rPr>
              <w:t>89,8</w:t>
            </w:r>
          </w:p>
        </w:tc>
        <w:tc>
          <w:tcPr>
            <w:tcW w:w="1188" w:type="dxa"/>
            <w:tcBorders>
              <w:top w:val="single" w:sz="4" w:space="0" w:color="auto"/>
              <w:bottom w:val="single" w:sz="12" w:space="0" w:color="auto"/>
            </w:tcBorders>
            <w:shd w:val="clear" w:color="auto" w:fill="auto"/>
            <w:vAlign w:val="bottom"/>
          </w:tcPr>
          <w:p w14:paraId="27B0510F" w14:textId="77777777" w:rsidR="004E63E4" w:rsidRPr="003363B8" w:rsidRDefault="004E63E4" w:rsidP="004E63E4">
            <w:pPr>
              <w:suppressAutoHyphens w:val="0"/>
              <w:spacing w:before="80" w:after="80" w:line="220" w:lineRule="exact"/>
              <w:jc w:val="right"/>
              <w:rPr>
                <w:b/>
                <w:bCs/>
                <w:sz w:val="18"/>
                <w:szCs w:val="26"/>
                <w:rtl/>
                <w:lang w:val="fr-FR" w:bidi="fr-FR"/>
              </w:rPr>
            </w:pPr>
            <w:r w:rsidRPr="003363B8">
              <w:rPr>
                <w:b/>
                <w:sz w:val="18"/>
                <w:lang w:val="fr-FR"/>
              </w:rPr>
              <w:t>0,9</w:t>
            </w:r>
          </w:p>
        </w:tc>
        <w:tc>
          <w:tcPr>
            <w:tcW w:w="1189" w:type="dxa"/>
            <w:tcBorders>
              <w:top w:val="single" w:sz="4" w:space="0" w:color="auto"/>
              <w:bottom w:val="single" w:sz="12" w:space="0" w:color="auto"/>
            </w:tcBorders>
            <w:shd w:val="clear" w:color="auto" w:fill="auto"/>
            <w:vAlign w:val="bottom"/>
          </w:tcPr>
          <w:p w14:paraId="32226505" w14:textId="77777777" w:rsidR="004E63E4" w:rsidRPr="003363B8" w:rsidRDefault="004E63E4" w:rsidP="004E63E4">
            <w:pPr>
              <w:suppressAutoHyphens w:val="0"/>
              <w:spacing w:before="80" w:after="80" w:line="220" w:lineRule="exact"/>
              <w:jc w:val="right"/>
              <w:rPr>
                <w:b/>
                <w:sz w:val="18"/>
                <w:lang w:val="fr-FR" w:bidi="ar-QA"/>
              </w:rPr>
            </w:pPr>
            <w:r w:rsidRPr="003363B8">
              <w:rPr>
                <w:b/>
                <w:sz w:val="18"/>
                <w:lang w:val="fr-FR"/>
              </w:rPr>
              <w:t>100</w:t>
            </w:r>
          </w:p>
        </w:tc>
      </w:tr>
    </w:tbl>
    <w:p w14:paraId="112AF786" w14:textId="77777777" w:rsidR="009E4C76" w:rsidRPr="00B90F23" w:rsidRDefault="009E4C76" w:rsidP="00B90F23">
      <w:pPr>
        <w:pStyle w:val="SingleTxtG"/>
        <w:spacing w:before="120" w:after="240"/>
        <w:ind w:firstLine="170"/>
        <w:rPr>
          <w:sz w:val="18"/>
          <w:szCs w:val="18"/>
          <w:rtl/>
        </w:rPr>
      </w:pPr>
      <w:r w:rsidRPr="00B90F23">
        <w:rPr>
          <w:i/>
          <w:sz w:val="18"/>
          <w:szCs w:val="18"/>
        </w:rPr>
        <w:t>Source</w:t>
      </w:r>
      <w:r w:rsidR="00F4346A" w:rsidRPr="00B90F23">
        <w:rPr>
          <w:sz w:val="18"/>
          <w:szCs w:val="18"/>
        </w:rPr>
        <w:t> </w:t>
      </w:r>
      <w:r w:rsidRPr="00B90F23">
        <w:rPr>
          <w:sz w:val="18"/>
          <w:szCs w:val="18"/>
        </w:rPr>
        <w:t>:</w:t>
      </w:r>
      <w:r w:rsidR="00F4346A" w:rsidRPr="00B90F23">
        <w:rPr>
          <w:sz w:val="18"/>
          <w:szCs w:val="18"/>
        </w:rPr>
        <w:t xml:space="preserve"> </w:t>
      </w:r>
      <w:r w:rsidRPr="00B90F23">
        <w:rPr>
          <w:sz w:val="18"/>
          <w:szCs w:val="18"/>
        </w:rPr>
        <w:t>Ministère de la planification, du développement et des statistiques.</w:t>
      </w:r>
    </w:p>
    <w:p w14:paraId="38669118" w14:textId="77777777" w:rsidR="00573030" w:rsidRDefault="00F4346A" w:rsidP="00365070">
      <w:pPr>
        <w:pStyle w:val="H23G"/>
        <w:spacing w:before="220" w:after="100" w:line="220" w:lineRule="exact"/>
        <w:rPr>
          <w:b w:val="0"/>
          <w:sz w:val="16"/>
          <w:szCs w:val="16"/>
        </w:rPr>
      </w:pPr>
      <w:r w:rsidRPr="00F4346A">
        <w:rPr>
          <w:b w:val="0"/>
        </w:rPr>
        <w:tab/>
      </w:r>
      <w:r w:rsidRPr="00F4346A">
        <w:rPr>
          <w:b w:val="0"/>
        </w:rPr>
        <w:tab/>
      </w:r>
      <w:r w:rsidR="009E4C76" w:rsidRPr="00F4346A">
        <w:rPr>
          <w:b w:val="0"/>
        </w:rPr>
        <w:t>Figure 2</w:t>
      </w:r>
      <w:r>
        <w:t xml:space="preserve"> </w:t>
      </w:r>
      <w:r w:rsidR="009E4C76" w:rsidRPr="00CE611F">
        <w:br/>
        <w:t>Pyramide des âges de la population totale (2016)</w:t>
      </w:r>
      <w:r w:rsidR="00573030">
        <w:t xml:space="preserve"> </w:t>
      </w:r>
      <w:r w:rsidR="00573030">
        <w:br/>
      </w:r>
      <w:r w:rsidR="00573030" w:rsidRPr="00573030">
        <w:rPr>
          <w:b w:val="0"/>
          <w:sz w:val="16"/>
          <w:szCs w:val="16"/>
        </w:rPr>
        <w:t>(En milliers)</w:t>
      </w:r>
    </w:p>
    <w:p w14:paraId="51D90F26" w14:textId="77777777" w:rsidR="00A74FBC" w:rsidRDefault="00A74FBC" w:rsidP="00A74FBC">
      <w:pPr>
        <w:pStyle w:val="SingleTxtG"/>
        <w:spacing w:after="0" w:line="240" w:lineRule="auto"/>
        <w:rPr>
          <w:i/>
          <w:sz w:val="18"/>
          <w:szCs w:val="18"/>
        </w:rPr>
      </w:pPr>
      <w:r w:rsidRPr="00CE611F">
        <w:rPr>
          <w:b/>
          <w:noProof/>
          <w:sz w:val="30"/>
          <w:lang w:val="fr-FR"/>
        </w:rPr>
        <w:drawing>
          <wp:inline distT="0" distB="0" distL="0" distR="0" wp14:anchorId="313F4373" wp14:editId="630B5A1B">
            <wp:extent cx="2600325" cy="3029585"/>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3029585"/>
                    </a:xfrm>
                    <a:prstGeom prst="rect">
                      <a:avLst/>
                    </a:prstGeom>
                    <a:noFill/>
                    <a:ln>
                      <a:noFill/>
                    </a:ln>
                  </pic:spPr>
                </pic:pic>
              </a:graphicData>
            </a:graphic>
          </wp:inline>
        </w:drawing>
      </w:r>
    </w:p>
    <w:p w14:paraId="0F26FEF2" w14:textId="77777777" w:rsidR="009E4C76" w:rsidRPr="00573030" w:rsidRDefault="009E4C76" w:rsidP="00A74FBC">
      <w:pPr>
        <w:pStyle w:val="SingleTxtG"/>
        <w:spacing w:before="120" w:after="240" w:line="240" w:lineRule="auto"/>
        <w:ind w:firstLine="170"/>
        <w:rPr>
          <w:sz w:val="18"/>
          <w:szCs w:val="18"/>
        </w:rPr>
      </w:pPr>
      <w:r w:rsidRPr="00573030">
        <w:rPr>
          <w:i/>
          <w:sz w:val="18"/>
          <w:szCs w:val="18"/>
        </w:rPr>
        <w:t>Source</w:t>
      </w:r>
      <w:r w:rsidR="00573030" w:rsidRPr="00573030">
        <w:rPr>
          <w:sz w:val="18"/>
          <w:szCs w:val="18"/>
        </w:rPr>
        <w:t> </w:t>
      </w:r>
      <w:r w:rsidRPr="00573030">
        <w:rPr>
          <w:sz w:val="18"/>
          <w:szCs w:val="18"/>
        </w:rPr>
        <w:t>:</w:t>
      </w:r>
      <w:r w:rsidR="00573030" w:rsidRPr="00573030">
        <w:rPr>
          <w:sz w:val="18"/>
          <w:szCs w:val="18"/>
        </w:rPr>
        <w:t xml:space="preserve"> </w:t>
      </w:r>
      <w:r w:rsidRPr="00573030">
        <w:rPr>
          <w:sz w:val="18"/>
          <w:szCs w:val="18"/>
        </w:rPr>
        <w:t>Ministère de la planification, du développement et des statistiques.</w:t>
      </w:r>
    </w:p>
    <w:p w14:paraId="660F5118" w14:textId="77777777" w:rsidR="009E4C76" w:rsidRDefault="00573030" w:rsidP="00365070">
      <w:pPr>
        <w:pStyle w:val="H23G"/>
        <w:spacing w:before="220" w:after="100" w:line="220" w:lineRule="exact"/>
        <w:rPr>
          <w:b w:val="0"/>
          <w:sz w:val="16"/>
          <w:szCs w:val="16"/>
        </w:rPr>
      </w:pPr>
      <w:r w:rsidRPr="00573030">
        <w:rPr>
          <w:b w:val="0"/>
        </w:rPr>
        <w:tab/>
      </w:r>
      <w:r w:rsidRPr="00573030">
        <w:rPr>
          <w:b w:val="0"/>
        </w:rPr>
        <w:tab/>
      </w:r>
      <w:r w:rsidR="009E4C76" w:rsidRPr="00573030">
        <w:rPr>
          <w:b w:val="0"/>
        </w:rPr>
        <w:t>Figure 3</w:t>
      </w:r>
      <w:r>
        <w:t xml:space="preserve"> </w:t>
      </w:r>
      <w:r w:rsidR="009E4C76" w:rsidRPr="00CE611F">
        <w:br/>
        <w:t>Pyramide des âges des Qataris (2016)</w:t>
      </w:r>
      <w:r>
        <w:t xml:space="preserve"> </w:t>
      </w:r>
      <w:r>
        <w:br/>
      </w:r>
      <w:r w:rsidRPr="00573030">
        <w:rPr>
          <w:b w:val="0"/>
          <w:sz w:val="16"/>
          <w:szCs w:val="16"/>
        </w:rPr>
        <w:t>(En milliers)</w:t>
      </w:r>
    </w:p>
    <w:p w14:paraId="74A6F4FC" w14:textId="77777777" w:rsidR="00BD39E0" w:rsidRPr="00BD39E0" w:rsidRDefault="00BD39E0" w:rsidP="00BD39E0">
      <w:pPr>
        <w:pStyle w:val="SingleTxtG"/>
        <w:spacing w:after="0" w:line="240" w:lineRule="auto"/>
        <w:rPr>
          <w:rtl/>
        </w:rPr>
      </w:pPr>
      <w:r w:rsidRPr="00D74294">
        <w:rPr>
          <w:noProof/>
          <w:lang w:eastAsia="zh-CN"/>
        </w:rPr>
        <w:drawing>
          <wp:inline distT="0" distB="0" distL="0" distR="0" wp14:anchorId="458CBB04" wp14:editId="42EF4FEF">
            <wp:extent cx="2658979" cy="3134227"/>
            <wp:effectExtent l="0" t="0" r="825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115DA2" w14:textId="77777777" w:rsidR="009E4C76" w:rsidRPr="00573030" w:rsidRDefault="009E4C76" w:rsidP="00365070">
      <w:pPr>
        <w:pStyle w:val="SingleTxtG"/>
        <w:spacing w:after="240"/>
        <w:ind w:firstLine="170"/>
        <w:rPr>
          <w:sz w:val="18"/>
          <w:szCs w:val="18"/>
        </w:rPr>
      </w:pPr>
      <w:r w:rsidRPr="00573030">
        <w:rPr>
          <w:i/>
          <w:sz w:val="18"/>
          <w:szCs w:val="18"/>
        </w:rPr>
        <w:t>Source</w:t>
      </w:r>
      <w:r w:rsidR="00573030" w:rsidRPr="00573030">
        <w:rPr>
          <w:sz w:val="18"/>
          <w:szCs w:val="18"/>
        </w:rPr>
        <w:t> </w:t>
      </w:r>
      <w:r w:rsidRPr="00573030">
        <w:rPr>
          <w:sz w:val="18"/>
          <w:szCs w:val="18"/>
        </w:rPr>
        <w:t>:</w:t>
      </w:r>
      <w:r w:rsidR="00573030" w:rsidRPr="00573030">
        <w:rPr>
          <w:sz w:val="18"/>
          <w:szCs w:val="18"/>
        </w:rPr>
        <w:t xml:space="preserve"> </w:t>
      </w:r>
      <w:r w:rsidRPr="00573030">
        <w:rPr>
          <w:sz w:val="18"/>
          <w:szCs w:val="18"/>
        </w:rPr>
        <w:t>Ministère de la planification, du développement et des statistiques.</w:t>
      </w:r>
    </w:p>
    <w:p w14:paraId="6941F3E1" w14:textId="77777777" w:rsidR="009E4C76" w:rsidRPr="00573030" w:rsidRDefault="009E4C76" w:rsidP="00573030">
      <w:pPr>
        <w:pStyle w:val="SingleTxtG"/>
        <w:rPr>
          <w:rtl/>
        </w:rPr>
      </w:pPr>
      <w:r w:rsidRPr="00573030">
        <w:t>5.</w:t>
      </w:r>
      <w:r w:rsidRPr="00573030">
        <w:tab/>
        <w:t>En comparant les figures</w:t>
      </w:r>
      <w:r w:rsidR="00573030">
        <w:t> </w:t>
      </w:r>
      <w:r w:rsidRPr="00573030">
        <w:t>2 et 3, on constate des disparités notables dans la structure démographique de la population non qatarie selon l’âge et le sexe, mais une évolution normale de la population qatarie. La majorité de la population se concentre dans le groupe d’âge des 15 à 64</w:t>
      </w:r>
      <w:r w:rsidR="00573030">
        <w:t> </w:t>
      </w:r>
      <w:r w:rsidRPr="00573030">
        <w:t>ans, composé en grande partie d’hommes non qataris. En revanche, la pyramide des âges des habitants du Qatar montre que la population est jeune et se caractérise par une forte proportion d’enfants et de jeunes de moins de 15</w:t>
      </w:r>
      <w:r w:rsidR="00573030">
        <w:t> </w:t>
      </w:r>
      <w:r w:rsidRPr="00573030">
        <w:t>ans et un faible pourcentage de personnes de plus de 65</w:t>
      </w:r>
      <w:r w:rsidR="00933419">
        <w:t> </w:t>
      </w:r>
      <w:r w:rsidRPr="00573030">
        <w:t>ans. Le tableau</w:t>
      </w:r>
      <w:r w:rsidR="00933419">
        <w:t> </w:t>
      </w:r>
      <w:r w:rsidRPr="00573030">
        <w:t>3 présente une estimation du nombre d’habitants selon le groupe d’âge en 2017.</w:t>
      </w:r>
    </w:p>
    <w:p w14:paraId="2235EB63" w14:textId="77777777" w:rsidR="009E4C76" w:rsidRDefault="00933419" w:rsidP="005B4567">
      <w:pPr>
        <w:pStyle w:val="H23G"/>
        <w:spacing w:before="220" w:after="100" w:line="220" w:lineRule="exact"/>
      </w:pPr>
      <w:r w:rsidRPr="00AA5950">
        <w:rPr>
          <w:b w:val="0"/>
          <w:sz w:val="30"/>
          <w:lang w:bidi="ar-QA"/>
        </w:rPr>
        <w:tab/>
      </w:r>
      <w:r w:rsidRPr="00AA5950">
        <w:rPr>
          <w:b w:val="0"/>
          <w:sz w:val="30"/>
          <w:lang w:bidi="ar-QA"/>
        </w:rPr>
        <w:tab/>
      </w:r>
      <w:r w:rsidR="009E4C76" w:rsidRPr="00AA5950">
        <w:rPr>
          <w:b w:val="0"/>
        </w:rPr>
        <w:t>Tableau 3</w:t>
      </w:r>
      <w:r w:rsidRPr="00933419">
        <w:t xml:space="preserve"> </w:t>
      </w:r>
      <w:r w:rsidR="009E4C76" w:rsidRPr="00933419">
        <w:br/>
        <w:t>Ventilation approximative de la population par tranche d’âge (2017)</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843"/>
        <w:gridCol w:w="1843"/>
        <w:gridCol w:w="1842"/>
        <w:gridCol w:w="1842"/>
      </w:tblGrid>
      <w:tr w:rsidR="00AA5950" w:rsidRPr="00605B0D" w14:paraId="591DBF89" w14:textId="77777777" w:rsidTr="00605B0D">
        <w:trPr>
          <w:tblHeader/>
        </w:trPr>
        <w:tc>
          <w:tcPr>
            <w:tcW w:w="1843" w:type="dxa"/>
            <w:tcBorders>
              <w:top w:val="single" w:sz="4" w:space="0" w:color="auto"/>
              <w:bottom w:val="single" w:sz="12" w:space="0" w:color="auto"/>
            </w:tcBorders>
            <w:shd w:val="clear" w:color="auto" w:fill="auto"/>
            <w:vAlign w:val="bottom"/>
          </w:tcPr>
          <w:p w14:paraId="0993F6FB" w14:textId="77777777" w:rsidR="00AA5950" w:rsidRPr="00605B0D" w:rsidRDefault="00AA5950" w:rsidP="00605B0D">
            <w:pPr>
              <w:suppressAutoHyphens w:val="0"/>
              <w:spacing w:before="80" w:after="80" w:line="200" w:lineRule="exact"/>
              <w:rPr>
                <w:i/>
                <w:sz w:val="16"/>
              </w:rPr>
            </w:pPr>
            <w:r w:rsidRPr="00605B0D">
              <w:rPr>
                <w:i/>
                <w:sz w:val="16"/>
              </w:rPr>
              <w:t>Tranche d’âge</w:t>
            </w:r>
          </w:p>
        </w:tc>
        <w:tc>
          <w:tcPr>
            <w:tcW w:w="1843" w:type="dxa"/>
            <w:tcBorders>
              <w:top w:val="single" w:sz="4" w:space="0" w:color="auto"/>
              <w:bottom w:val="single" w:sz="12" w:space="0" w:color="auto"/>
            </w:tcBorders>
            <w:shd w:val="clear" w:color="auto" w:fill="auto"/>
            <w:vAlign w:val="bottom"/>
          </w:tcPr>
          <w:p w14:paraId="0C76AFA3" w14:textId="77777777" w:rsidR="00AA5950" w:rsidRPr="00605B0D" w:rsidRDefault="00AA5950" w:rsidP="00605B0D">
            <w:pPr>
              <w:suppressAutoHyphens w:val="0"/>
              <w:spacing w:before="80" w:after="80" w:line="200" w:lineRule="exact"/>
              <w:jc w:val="right"/>
              <w:rPr>
                <w:i/>
                <w:sz w:val="16"/>
              </w:rPr>
            </w:pPr>
            <w:r w:rsidRPr="00605B0D">
              <w:rPr>
                <w:i/>
                <w:sz w:val="16"/>
              </w:rPr>
              <w:t>Hommes</w:t>
            </w:r>
          </w:p>
        </w:tc>
        <w:tc>
          <w:tcPr>
            <w:tcW w:w="1842" w:type="dxa"/>
            <w:tcBorders>
              <w:top w:val="single" w:sz="4" w:space="0" w:color="auto"/>
              <w:bottom w:val="single" w:sz="12" w:space="0" w:color="auto"/>
            </w:tcBorders>
            <w:shd w:val="clear" w:color="auto" w:fill="auto"/>
            <w:vAlign w:val="bottom"/>
          </w:tcPr>
          <w:p w14:paraId="403CB963" w14:textId="77777777" w:rsidR="00AA5950" w:rsidRPr="00605B0D" w:rsidRDefault="00AA5950" w:rsidP="00605B0D">
            <w:pPr>
              <w:suppressAutoHyphens w:val="0"/>
              <w:spacing w:before="80" w:after="80" w:line="200" w:lineRule="exact"/>
              <w:jc w:val="right"/>
              <w:rPr>
                <w:i/>
                <w:sz w:val="16"/>
              </w:rPr>
            </w:pPr>
            <w:r w:rsidRPr="00605B0D">
              <w:rPr>
                <w:i/>
                <w:sz w:val="16"/>
              </w:rPr>
              <w:t>Femmes</w:t>
            </w:r>
          </w:p>
        </w:tc>
        <w:tc>
          <w:tcPr>
            <w:tcW w:w="1842" w:type="dxa"/>
            <w:tcBorders>
              <w:top w:val="single" w:sz="4" w:space="0" w:color="auto"/>
              <w:bottom w:val="single" w:sz="12" w:space="0" w:color="auto"/>
            </w:tcBorders>
            <w:shd w:val="clear" w:color="auto" w:fill="auto"/>
            <w:vAlign w:val="bottom"/>
          </w:tcPr>
          <w:p w14:paraId="74A0D524" w14:textId="77777777" w:rsidR="00AA5950" w:rsidRPr="00605B0D" w:rsidRDefault="00AA5950" w:rsidP="00605B0D">
            <w:pPr>
              <w:suppressAutoHyphens w:val="0"/>
              <w:spacing w:before="80" w:after="80" w:line="200" w:lineRule="exact"/>
              <w:jc w:val="right"/>
              <w:rPr>
                <w:i/>
                <w:sz w:val="16"/>
              </w:rPr>
            </w:pPr>
            <w:r w:rsidRPr="00605B0D">
              <w:rPr>
                <w:i/>
                <w:sz w:val="16"/>
              </w:rPr>
              <w:t>Total</w:t>
            </w:r>
          </w:p>
        </w:tc>
      </w:tr>
      <w:tr w:rsidR="00AA5950" w:rsidRPr="00605B0D" w14:paraId="5B26B773" w14:textId="77777777" w:rsidTr="00605B0D">
        <w:tc>
          <w:tcPr>
            <w:tcW w:w="1843" w:type="dxa"/>
            <w:tcBorders>
              <w:top w:val="single" w:sz="12" w:space="0" w:color="auto"/>
            </w:tcBorders>
            <w:shd w:val="clear" w:color="auto" w:fill="auto"/>
          </w:tcPr>
          <w:p w14:paraId="6549D58A" w14:textId="77777777" w:rsidR="00AA5950" w:rsidRPr="00605B0D" w:rsidRDefault="00AA5950" w:rsidP="00605B0D">
            <w:pPr>
              <w:suppressAutoHyphens w:val="0"/>
              <w:spacing w:before="40" w:after="40" w:line="220" w:lineRule="exact"/>
              <w:rPr>
                <w:sz w:val="18"/>
                <w:rtl/>
                <w:lang w:val="fr-FR" w:bidi="fr-FR"/>
              </w:rPr>
            </w:pPr>
            <w:r w:rsidRPr="00605B0D">
              <w:rPr>
                <w:sz w:val="18"/>
                <w:lang w:val="fr-FR" w:bidi="ar-QA"/>
              </w:rPr>
              <w:t>0 an</w:t>
            </w:r>
          </w:p>
        </w:tc>
        <w:tc>
          <w:tcPr>
            <w:tcW w:w="1843" w:type="dxa"/>
            <w:tcBorders>
              <w:top w:val="single" w:sz="12" w:space="0" w:color="auto"/>
            </w:tcBorders>
            <w:shd w:val="clear" w:color="auto" w:fill="auto"/>
            <w:vAlign w:val="bottom"/>
          </w:tcPr>
          <w:p w14:paraId="5C92091D"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13 992</w:t>
            </w:r>
          </w:p>
        </w:tc>
        <w:tc>
          <w:tcPr>
            <w:tcW w:w="1842" w:type="dxa"/>
            <w:tcBorders>
              <w:top w:val="single" w:sz="12" w:space="0" w:color="auto"/>
            </w:tcBorders>
            <w:shd w:val="clear" w:color="auto" w:fill="auto"/>
            <w:vAlign w:val="bottom"/>
          </w:tcPr>
          <w:p w14:paraId="697492A5"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13 561</w:t>
            </w:r>
          </w:p>
        </w:tc>
        <w:tc>
          <w:tcPr>
            <w:tcW w:w="1842" w:type="dxa"/>
            <w:tcBorders>
              <w:top w:val="single" w:sz="12" w:space="0" w:color="auto"/>
            </w:tcBorders>
            <w:shd w:val="clear" w:color="auto" w:fill="auto"/>
            <w:vAlign w:val="bottom"/>
          </w:tcPr>
          <w:p w14:paraId="382AC079"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26 553</w:t>
            </w:r>
          </w:p>
        </w:tc>
      </w:tr>
      <w:tr w:rsidR="00AA5950" w:rsidRPr="00605B0D" w14:paraId="29E4E255" w14:textId="77777777" w:rsidTr="00605B0D">
        <w:tc>
          <w:tcPr>
            <w:tcW w:w="1843" w:type="dxa"/>
            <w:shd w:val="clear" w:color="auto" w:fill="auto"/>
          </w:tcPr>
          <w:p w14:paraId="77589A47" w14:textId="77777777" w:rsidR="00AA5950" w:rsidRPr="00605B0D" w:rsidRDefault="00AA5950" w:rsidP="00605B0D">
            <w:pPr>
              <w:suppressAutoHyphens w:val="0"/>
              <w:spacing w:before="40" w:after="40" w:line="220" w:lineRule="exact"/>
              <w:rPr>
                <w:sz w:val="18"/>
                <w:lang w:val="fr-FR" w:bidi="ar-QA"/>
              </w:rPr>
            </w:pPr>
            <w:r w:rsidRPr="00605B0D">
              <w:rPr>
                <w:sz w:val="18"/>
                <w:lang w:val="fr-FR" w:bidi="ar-QA"/>
              </w:rPr>
              <w:t>1 à 4 an(s)</w:t>
            </w:r>
          </w:p>
        </w:tc>
        <w:tc>
          <w:tcPr>
            <w:tcW w:w="1843" w:type="dxa"/>
            <w:shd w:val="clear" w:color="auto" w:fill="auto"/>
            <w:vAlign w:val="bottom"/>
          </w:tcPr>
          <w:p w14:paraId="1D239E64"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58 875</w:t>
            </w:r>
          </w:p>
        </w:tc>
        <w:tc>
          <w:tcPr>
            <w:tcW w:w="1842" w:type="dxa"/>
            <w:shd w:val="clear" w:color="auto" w:fill="auto"/>
            <w:vAlign w:val="bottom"/>
          </w:tcPr>
          <w:p w14:paraId="7A801AE5"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57 445</w:t>
            </w:r>
          </w:p>
        </w:tc>
        <w:tc>
          <w:tcPr>
            <w:tcW w:w="1842" w:type="dxa"/>
            <w:shd w:val="clear" w:color="auto" w:fill="auto"/>
            <w:vAlign w:val="bottom"/>
          </w:tcPr>
          <w:p w14:paraId="1F94C8B7"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116 320</w:t>
            </w:r>
          </w:p>
        </w:tc>
      </w:tr>
      <w:tr w:rsidR="00AA5950" w:rsidRPr="00605B0D" w14:paraId="5322FDE3" w14:textId="77777777" w:rsidTr="00605B0D">
        <w:tc>
          <w:tcPr>
            <w:tcW w:w="1843" w:type="dxa"/>
            <w:shd w:val="clear" w:color="auto" w:fill="auto"/>
          </w:tcPr>
          <w:p w14:paraId="4CCBA627" w14:textId="77777777" w:rsidR="00AA5950" w:rsidRPr="00605B0D" w:rsidRDefault="00AA5950" w:rsidP="00605B0D">
            <w:pPr>
              <w:suppressAutoHyphens w:val="0"/>
              <w:spacing w:before="40" w:after="40" w:line="220" w:lineRule="exact"/>
              <w:rPr>
                <w:sz w:val="18"/>
                <w:lang w:val="fr-FR" w:bidi="ar-QA"/>
              </w:rPr>
            </w:pPr>
            <w:r w:rsidRPr="00605B0D">
              <w:rPr>
                <w:sz w:val="18"/>
                <w:lang w:val="fr-FR" w:bidi="ar-QA"/>
              </w:rPr>
              <w:t>5 à 9 ans</w:t>
            </w:r>
          </w:p>
        </w:tc>
        <w:tc>
          <w:tcPr>
            <w:tcW w:w="1843" w:type="dxa"/>
            <w:shd w:val="clear" w:color="auto" w:fill="auto"/>
            <w:vAlign w:val="bottom"/>
          </w:tcPr>
          <w:p w14:paraId="3BB206C0"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64 510</w:t>
            </w:r>
          </w:p>
        </w:tc>
        <w:tc>
          <w:tcPr>
            <w:tcW w:w="1842" w:type="dxa"/>
            <w:shd w:val="clear" w:color="auto" w:fill="auto"/>
            <w:vAlign w:val="bottom"/>
          </w:tcPr>
          <w:p w14:paraId="37B9D2C3"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63 477</w:t>
            </w:r>
          </w:p>
        </w:tc>
        <w:tc>
          <w:tcPr>
            <w:tcW w:w="1842" w:type="dxa"/>
            <w:shd w:val="clear" w:color="auto" w:fill="auto"/>
            <w:vAlign w:val="bottom"/>
          </w:tcPr>
          <w:p w14:paraId="6ED7429A"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127 987</w:t>
            </w:r>
          </w:p>
        </w:tc>
      </w:tr>
      <w:tr w:rsidR="00AA5950" w:rsidRPr="00605B0D" w14:paraId="0752BA71" w14:textId="77777777" w:rsidTr="00605B0D">
        <w:tc>
          <w:tcPr>
            <w:tcW w:w="1843" w:type="dxa"/>
            <w:shd w:val="clear" w:color="auto" w:fill="auto"/>
          </w:tcPr>
          <w:p w14:paraId="0072D5B2" w14:textId="77777777" w:rsidR="00AA5950" w:rsidRPr="00605B0D" w:rsidRDefault="00AA5950" w:rsidP="00605B0D">
            <w:pPr>
              <w:suppressAutoHyphens w:val="0"/>
              <w:spacing w:before="40" w:after="40" w:line="220" w:lineRule="exact"/>
              <w:rPr>
                <w:sz w:val="18"/>
                <w:lang w:val="fr-FR" w:bidi="ar-QA"/>
              </w:rPr>
            </w:pPr>
            <w:r w:rsidRPr="00605B0D">
              <w:rPr>
                <w:sz w:val="18"/>
                <w:lang w:val="fr-FR" w:bidi="ar-QA"/>
              </w:rPr>
              <w:t>10 à 14 ans</w:t>
            </w:r>
          </w:p>
        </w:tc>
        <w:tc>
          <w:tcPr>
            <w:tcW w:w="1843" w:type="dxa"/>
            <w:shd w:val="clear" w:color="auto" w:fill="auto"/>
            <w:vAlign w:val="bottom"/>
          </w:tcPr>
          <w:p w14:paraId="507CB42D"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50 830</w:t>
            </w:r>
          </w:p>
        </w:tc>
        <w:tc>
          <w:tcPr>
            <w:tcW w:w="1842" w:type="dxa"/>
            <w:shd w:val="clear" w:color="auto" w:fill="auto"/>
            <w:vAlign w:val="bottom"/>
          </w:tcPr>
          <w:p w14:paraId="5B190A20"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49 670</w:t>
            </w:r>
          </w:p>
        </w:tc>
        <w:tc>
          <w:tcPr>
            <w:tcW w:w="1842" w:type="dxa"/>
            <w:shd w:val="clear" w:color="auto" w:fill="auto"/>
            <w:vAlign w:val="bottom"/>
          </w:tcPr>
          <w:p w14:paraId="6AA64284"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100 500</w:t>
            </w:r>
          </w:p>
        </w:tc>
      </w:tr>
      <w:tr w:rsidR="00AA5950" w:rsidRPr="00605B0D" w14:paraId="699D088A" w14:textId="77777777" w:rsidTr="00605B0D">
        <w:tc>
          <w:tcPr>
            <w:tcW w:w="1843" w:type="dxa"/>
            <w:shd w:val="clear" w:color="auto" w:fill="auto"/>
          </w:tcPr>
          <w:p w14:paraId="0BC73787" w14:textId="77777777" w:rsidR="00AA5950" w:rsidRPr="00605B0D" w:rsidRDefault="00AA5950" w:rsidP="00605B0D">
            <w:pPr>
              <w:suppressAutoHyphens w:val="0"/>
              <w:spacing w:before="40" w:after="40" w:line="220" w:lineRule="exact"/>
              <w:rPr>
                <w:sz w:val="18"/>
                <w:lang w:val="fr-FR" w:bidi="ar-QA"/>
              </w:rPr>
            </w:pPr>
            <w:r w:rsidRPr="00605B0D">
              <w:rPr>
                <w:sz w:val="18"/>
                <w:lang w:val="fr-FR" w:bidi="ar-QA"/>
              </w:rPr>
              <w:t>15 à 19 ans</w:t>
            </w:r>
          </w:p>
        </w:tc>
        <w:tc>
          <w:tcPr>
            <w:tcW w:w="1843" w:type="dxa"/>
            <w:shd w:val="clear" w:color="auto" w:fill="auto"/>
            <w:vAlign w:val="bottom"/>
          </w:tcPr>
          <w:p w14:paraId="74A9EB8A"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56 516</w:t>
            </w:r>
          </w:p>
        </w:tc>
        <w:tc>
          <w:tcPr>
            <w:tcW w:w="1842" w:type="dxa"/>
            <w:shd w:val="clear" w:color="auto" w:fill="auto"/>
            <w:vAlign w:val="bottom"/>
          </w:tcPr>
          <w:p w14:paraId="35BE017F"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36 041</w:t>
            </w:r>
          </w:p>
        </w:tc>
        <w:tc>
          <w:tcPr>
            <w:tcW w:w="1842" w:type="dxa"/>
            <w:shd w:val="clear" w:color="auto" w:fill="auto"/>
            <w:vAlign w:val="bottom"/>
          </w:tcPr>
          <w:p w14:paraId="554C426C"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92 557</w:t>
            </w:r>
          </w:p>
        </w:tc>
      </w:tr>
      <w:tr w:rsidR="00AA5950" w:rsidRPr="00605B0D" w14:paraId="010CD5C5" w14:textId="77777777" w:rsidTr="00605B0D">
        <w:tc>
          <w:tcPr>
            <w:tcW w:w="1843" w:type="dxa"/>
            <w:shd w:val="clear" w:color="auto" w:fill="auto"/>
          </w:tcPr>
          <w:p w14:paraId="485D9822" w14:textId="77777777" w:rsidR="00AA5950" w:rsidRPr="00605B0D" w:rsidRDefault="00AA5950" w:rsidP="00605B0D">
            <w:pPr>
              <w:suppressAutoHyphens w:val="0"/>
              <w:spacing w:before="40" w:after="40" w:line="220" w:lineRule="exact"/>
              <w:rPr>
                <w:sz w:val="18"/>
                <w:lang w:val="fr-FR" w:bidi="ar-QA"/>
              </w:rPr>
            </w:pPr>
            <w:r w:rsidRPr="00605B0D">
              <w:rPr>
                <w:sz w:val="18"/>
                <w:lang w:val="fr-FR" w:bidi="ar-QA"/>
              </w:rPr>
              <w:t>20 à 24 ans</w:t>
            </w:r>
          </w:p>
        </w:tc>
        <w:tc>
          <w:tcPr>
            <w:tcW w:w="1843" w:type="dxa"/>
            <w:shd w:val="clear" w:color="auto" w:fill="auto"/>
            <w:vAlign w:val="bottom"/>
          </w:tcPr>
          <w:p w14:paraId="49A22FCF"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237 357</w:t>
            </w:r>
          </w:p>
        </w:tc>
        <w:tc>
          <w:tcPr>
            <w:tcW w:w="1842" w:type="dxa"/>
            <w:shd w:val="clear" w:color="auto" w:fill="auto"/>
            <w:vAlign w:val="bottom"/>
          </w:tcPr>
          <w:p w14:paraId="6E1101C5"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47 023</w:t>
            </w:r>
          </w:p>
        </w:tc>
        <w:tc>
          <w:tcPr>
            <w:tcW w:w="1842" w:type="dxa"/>
            <w:shd w:val="clear" w:color="auto" w:fill="auto"/>
            <w:vAlign w:val="bottom"/>
          </w:tcPr>
          <w:p w14:paraId="1D7DE026"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284 380</w:t>
            </w:r>
          </w:p>
        </w:tc>
      </w:tr>
      <w:tr w:rsidR="00AA5950" w:rsidRPr="00605B0D" w14:paraId="35F92139" w14:textId="77777777" w:rsidTr="00605B0D">
        <w:tc>
          <w:tcPr>
            <w:tcW w:w="1843" w:type="dxa"/>
            <w:shd w:val="clear" w:color="auto" w:fill="auto"/>
          </w:tcPr>
          <w:p w14:paraId="64719060" w14:textId="77777777" w:rsidR="00AA5950" w:rsidRPr="00605B0D" w:rsidRDefault="00AA5950" w:rsidP="00605B0D">
            <w:pPr>
              <w:suppressAutoHyphens w:val="0"/>
              <w:spacing w:before="40" w:after="40" w:line="220" w:lineRule="exact"/>
              <w:rPr>
                <w:sz w:val="18"/>
                <w:lang w:val="fr-FR" w:bidi="ar-QA"/>
              </w:rPr>
            </w:pPr>
            <w:r w:rsidRPr="00605B0D">
              <w:rPr>
                <w:sz w:val="18"/>
                <w:lang w:val="fr-FR" w:bidi="ar-QA"/>
              </w:rPr>
              <w:t>25 à 29 ans</w:t>
            </w:r>
          </w:p>
        </w:tc>
        <w:tc>
          <w:tcPr>
            <w:tcW w:w="1843" w:type="dxa"/>
            <w:shd w:val="clear" w:color="auto" w:fill="auto"/>
            <w:vAlign w:val="bottom"/>
          </w:tcPr>
          <w:p w14:paraId="73BC9A59"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389 213</w:t>
            </w:r>
          </w:p>
        </w:tc>
        <w:tc>
          <w:tcPr>
            <w:tcW w:w="1842" w:type="dxa"/>
            <w:shd w:val="clear" w:color="auto" w:fill="auto"/>
            <w:vAlign w:val="bottom"/>
          </w:tcPr>
          <w:p w14:paraId="257A4E15"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92 780</w:t>
            </w:r>
          </w:p>
        </w:tc>
        <w:tc>
          <w:tcPr>
            <w:tcW w:w="1842" w:type="dxa"/>
            <w:shd w:val="clear" w:color="auto" w:fill="auto"/>
            <w:vAlign w:val="bottom"/>
          </w:tcPr>
          <w:p w14:paraId="601237F2"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481 993</w:t>
            </w:r>
          </w:p>
        </w:tc>
      </w:tr>
      <w:tr w:rsidR="00AA5950" w:rsidRPr="00605B0D" w14:paraId="0C77241D" w14:textId="77777777" w:rsidTr="00605B0D">
        <w:tc>
          <w:tcPr>
            <w:tcW w:w="1843" w:type="dxa"/>
            <w:shd w:val="clear" w:color="auto" w:fill="auto"/>
          </w:tcPr>
          <w:p w14:paraId="317C472C" w14:textId="77777777" w:rsidR="00AA5950" w:rsidRPr="00605B0D" w:rsidRDefault="00AA5950" w:rsidP="00605B0D">
            <w:pPr>
              <w:suppressAutoHyphens w:val="0"/>
              <w:spacing w:before="40" w:after="40" w:line="220" w:lineRule="exact"/>
              <w:rPr>
                <w:sz w:val="18"/>
                <w:lang w:val="fr-FR" w:bidi="ar-QA"/>
              </w:rPr>
            </w:pPr>
            <w:r w:rsidRPr="00605B0D">
              <w:rPr>
                <w:sz w:val="18"/>
                <w:lang w:val="fr-FR" w:bidi="ar-QA"/>
              </w:rPr>
              <w:t>30 à 34 ans</w:t>
            </w:r>
          </w:p>
        </w:tc>
        <w:tc>
          <w:tcPr>
            <w:tcW w:w="1843" w:type="dxa"/>
            <w:shd w:val="clear" w:color="auto" w:fill="auto"/>
            <w:vAlign w:val="bottom"/>
          </w:tcPr>
          <w:p w14:paraId="07C3370F"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361 510</w:t>
            </w:r>
          </w:p>
        </w:tc>
        <w:tc>
          <w:tcPr>
            <w:tcW w:w="1842" w:type="dxa"/>
            <w:shd w:val="clear" w:color="auto" w:fill="auto"/>
            <w:vAlign w:val="bottom"/>
          </w:tcPr>
          <w:p w14:paraId="6723E648"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95 603</w:t>
            </w:r>
          </w:p>
        </w:tc>
        <w:tc>
          <w:tcPr>
            <w:tcW w:w="1842" w:type="dxa"/>
            <w:shd w:val="clear" w:color="auto" w:fill="auto"/>
            <w:vAlign w:val="bottom"/>
          </w:tcPr>
          <w:p w14:paraId="67463BF5"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457 113</w:t>
            </w:r>
          </w:p>
        </w:tc>
      </w:tr>
      <w:tr w:rsidR="00AA5950" w:rsidRPr="00605B0D" w14:paraId="698FEEB0" w14:textId="77777777" w:rsidTr="00605B0D">
        <w:tc>
          <w:tcPr>
            <w:tcW w:w="1843" w:type="dxa"/>
            <w:shd w:val="clear" w:color="auto" w:fill="auto"/>
          </w:tcPr>
          <w:p w14:paraId="51B1148C" w14:textId="77777777" w:rsidR="00AA5950" w:rsidRPr="00605B0D" w:rsidRDefault="00AA5950" w:rsidP="00605B0D">
            <w:pPr>
              <w:suppressAutoHyphens w:val="0"/>
              <w:spacing w:before="40" w:after="40" w:line="220" w:lineRule="exact"/>
              <w:rPr>
                <w:sz w:val="18"/>
                <w:lang w:val="fr-FR" w:bidi="ar-QA"/>
              </w:rPr>
            </w:pPr>
            <w:r w:rsidRPr="00605B0D">
              <w:rPr>
                <w:sz w:val="18"/>
                <w:lang w:val="fr-FR" w:bidi="ar-QA"/>
              </w:rPr>
              <w:t>35 à 39 ans</w:t>
            </w:r>
          </w:p>
        </w:tc>
        <w:tc>
          <w:tcPr>
            <w:tcW w:w="1843" w:type="dxa"/>
            <w:shd w:val="clear" w:color="auto" w:fill="auto"/>
            <w:vAlign w:val="bottom"/>
          </w:tcPr>
          <w:p w14:paraId="116E188D"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271 350</w:t>
            </w:r>
          </w:p>
        </w:tc>
        <w:tc>
          <w:tcPr>
            <w:tcW w:w="1842" w:type="dxa"/>
            <w:shd w:val="clear" w:color="auto" w:fill="auto"/>
            <w:vAlign w:val="bottom"/>
          </w:tcPr>
          <w:p w14:paraId="47B09CF5"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76 365</w:t>
            </w:r>
          </w:p>
        </w:tc>
        <w:tc>
          <w:tcPr>
            <w:tcW w:w="1842" w:type="dxa"/>
            <w:shd w:val="clear" w:color="auto" w:fill="auto"/>
            <w:vAlign w:val="bottom"/>
          </w:tcPr>
          <w:p w14:paraId="5D8244A2"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347 715</w:t>
            </w:r>
          </w:p>
        </w:tc>
      </w:tr>
      <w:tr w:rsidR="00AA5950" w:rsidRPr="00605B0D" w14:paraId="5BA08967" w14:textId="77777777" w:rsidTr="00605B0D">
        <w:tc>
          <w:tcPr>
            <w:tcW w:w="1843" w:type="dxa"/>
            <w:shd w:val="clear" w:color="auto" w:fill="auto"/>
          </w:tcPr>
          <w:p w14:paraId="51C4CF19" w14:textId="77777777" w:rsidR="00AA5950" w:rsidRPr="00605B0D" w:rsidRDefault="00AA5950" w:rsidP="00605B0D">
            <w:pPr>
              <w:suppressAutoHyphens w:val="0"/>
              <w:spacing w:before="40" w:after="40" w:line="220" w:lineRule="exact"/>
              <w:rPr>
                <w:sz w:val="18"/>
                <w:lang w:val="fr-FR" w:bidi="ar-QA"/>
              </w:rPr>
            </w:pPr>
            <w:r w:rsidRPr="00605B0D">
              <w:rPr>
                <w:sz w:val="18"/>
                <w:lang w:val="fr-FR" w:bidi="ar-QA"/>
              </w:rPr>
              <w:t>40 à 44 ans</w:t>
            </w:r>
          </w:p>
        </w:tc>
        <w:tc>
          <w:tcPr>
            <w:tcW w:w="1843" w:type="dxa"/>
            <w:shd w:val="clear" w:color="auto" w:fill="auto"/>
            <w:vAlign w:val="bottom"/>
          </w:tcPr>
          <w:p w14:paraId="0649C0E9"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204 770</w:t>
            </w:r>
          </w:p>
        </w:tc>
        <w:tc>
          <w:tcPr>
            <w:tcW w:w="1842" w:type="dxa"/>
            <w:shd w:val="clear" w:color="auto" w:fill="auto"/>
            <w:vAlign w:val="bottom"/>
          </w:tcPr>
          <w:p w14:paraId="567A616B"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52 592</w:t>
            </w:r>
          </w:p>
        </w:tc>
        <w:tc>
          <w:tcPr>
            <w:tcW w:w="1842" w:type="dxa"/>
            <w:shd w:val="clear" w:color="auto" w:fill="auto"/>
            <w:vAlign w:val="bottom"/>
          </w:tcPr>
          <w:p w14:paraId="2FF8173F" w14:textId="77777777" w:rsidR="00AA5950" w:rsidRPr="00605B0D" w:rsidRDefault="00AA5950" w:rsidP="00605B0D">
            <w:pPr>
              <w:suppressAutoHyphens w:val="0"/>
              <w:spacing w:before="40" w:after="40" w:line="220" w:lineRule="exact"/>
              <w:jc w:val="right"/>
              <w:rPr>
                <w:sz w:val="18"/>
                <w:lang w:val="fr-FR" w:bidi="ar-QA"/>
              </w:rPr>
            </w:pPr>
            <w:r w:rsidRPr="00605B0D">
              <w:rPr>
                <w:sz w:val="18"/>
                <w:szCs w:val="28"/>
                <w:lang w:val="fr-FR" w:bidi="ar-QA"/>
              </w:rPr>
              <w:t>2</w:t>
            </w:r>
            <w:r w:rsidRPr="00605B0D">
              <w:rPr>
                <w:sz w:val="18"/>
                <w:lang w:val="fr-FR" w:bidi="ar-QA"/>
              </w:rPr>
              <w:t>57 362</w:t>
            </w:r>
          </w:p>
        </w:tc>
      </w:tr>
      <w:tr w:rsidR="00AA5950" w:rsidRPr="00605B0D" w14:paraId="22372F91" w14:textId="77777777" w:rsidTr="00605B0D">
        <w:tc>
          <w:tcPr>
            <w:tcW w:w="1843" w:type="dxa"/>
            <w:shd w:val="clear" w:color="auto" w:fill="auto"/>
          </w:tcPr>
          <w:p w14:paraId="38C41321" w14:textId="77777777" w:rsidR="00AA5950" w:rsidRPr="00605B0D" w:rsidRDefault="00AA5950" w:rsidP="00605B0D">
            <w:pPr>
              <w:suppressAutoHyphens w:val="0"/>
              <w:spacing w:before="40" w:after="40" w:line="220" w:lineRule="exact"/>
              <w:rPr>
                <w:sz w:val="18"/>
                <w:lang w:val="fr-FR" w:bidi="ar-QA"/>
              </w:rPr>
            </w:pPr>
            <w:r w:rsidRPr="00605B0D">
              <w:rPr>
                <w:sz w:val="18"/>
                <w:lang w:val="fr-FR" w:bidi="ar-QA"/>
              </w:rPr>
              <w:t>45 à 49 ans</w:t>
            </w:r>
          </w:p>
        </w:tc>
        <w:tc>
          <w:tcPr>
            <w:tcW w:w="1843" w:type="dxa"/>
            <w:shd w:val="clear" w:color="auto" w:fill="auto"/>
            <w:vAlign w:val="bottom"/>
          </w:tcPr>
          <w:p w14:paraId="551EA33E"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144 520</w:t>
            </w:r>
          </w:p>
        </w:tc>
        <w:tc>
          <w:tcPr>
            <w:tcW w:w="1842" w:type="dxa"/>
            <w:shd w:val="clear" w:color="auto" w:fill="auto"/>
            <w:vAlign w:val="bottom"/>
          </w:tcPr>
          <w:p w14:paraId="13695B97"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34 966</w:t>
            </w:r>
          </w:p>
        </w:tc>
        <w:tc>
          <w:tcPr>
            <w:tcW w:w="1842" w:type="dxa"/>
            <w:shd w:val="clear" w:color="auto" w:fill="auto"/>
            <w:vAlign w:val="bottom"/>
          </w:tcPr>
          <w:p w14:paraId="4BEB7012"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179 486</w:t>
            </w:r>
          </w:p>
        </w:tc>
      </w:tr>
      <w:tr w:rsidR="00AA5950" w:rsidRPr="00605B0D" w14:paraId="697565CD" w14:textId="77777777" w:rsidTr="00605B0D">
        <w:tc>
          <w:tcPr>
            <w:tcW w:w="1843" w:type="dxa"/>
            <w:shd w:val="clear" w:color="auto" w:fill="auto"/>
          </w:tcPr>
          <w:p w14:paraId="3A289D07" w14:textId="77777777" w:rsidR="00AA5950" w:rsidRPr="00605B0D" w:rsidRDefault="00AA5950" w:rsidP="00605B0D">
            <w:pPr>
              <w:suppressAutoHyphens w:val="0"/>
              <w:spacing w:before="40" w:after="40" w:line="220" w:lineRule="exact"/>
              <w:rPr>
                <w:sz w:val="18"/>
                <w:lang w:val="fr-FR" w:bidi="ar-QA"/>
              </w:rPr>
            </w:pPr>
            <w:r w:rsidRPr="00605B0D">
              <w:rPr>
                <w:sz w:val="18"/>
                <w:lang w:val="fr-FR" w:bidi="ar-QA"/>
              </w:rPr>
              <w:t>50 à 54 ans</w:t>
            </w:r>
          </w:p>
        </w:tc>
        <w:tc>
          <w:tcPr>
            <w:tcW w:w="1843" w:type="dxa"/>
            <w:shd w:val="clear" w:color="auto" w:fill="auto"/>
            <w:vAlign w:val="bottom"/>
          </w:tcPr>
          <w:p w14:paraId="431CD6BB"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89 760</w:t>
            </w:r>
          </w:p>
        </w:tc>
        <w:tc>
          <w:tcPr>
            <w:tcW w:w="1842" w:type="dxa"/>
            <w:shd w:val="clear" w:color="auto" w:fill="auto"/>
            <w:vAlign w:val="bottom"/>
          </w:tcPr>
          <w:p w14:paraId="44669ED2"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23 409</w:t>
            </w:r>
          </w:p>
        </w:tc>
        <w:tc>
          <w:tcPr>
            <w:tcW w:w="1842" w:type="dxa"/>
            <w:shd w:val="clear" w:color="auto" w:fill="auto"/>
            <w:vAlign w:val="bottom"/>
          </w:tcPr>
          <w:p w14:paraId="2FE7C4CB"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113 169</w:t>
            </w:r>
          </w:p>
        </w:tc>
      </w:tr>
      <w:tr w:rsidR="00AA5950" w:rsidRPr="00605B0D" w14:paraId="54E6AD92" w14:textId="77777777" w:rsidTr="00605B0D">
        <w:tc>
          <w:tcPr>
            <w:tcW w:w="1843" w:type="dxa"/>
            <w:shd w:val="clear" w:color="auto" w:fill="auto"/>
          </w:tcPr>
          <w:p w14:paraId="57CF634E" w14:textId="77777777" w:rsidR="00AA5950" w:rsidRPr="00605B0D" w:rsidRDefault="00AA5950" w:rsidP="00605B0D">
            <w:pPr>
              <w:suppressAutoHyphens w:val="0"/>
              <w:spacing w:before="40" w:after="40" w:line="220" w:lineRule="exact"/>
              <w:rPr>
                <w:sz w:val="18"/>
                <w:lang w:val="fr-FR" w:bidi="ar-QA"/>
              </w:rPr>
            </w:pPr>
            <w:r w:rsidRPr="00605B0D">
              <w:rPr>
                <w:sz w:val="18"/>
                <w:lang w:val="fr-FR" w:bidi="ar-QA"/>
              </w:rPr>
              <w:t>55 à 59 ans</w:t>
            </w:r>
          </w:p>
        </w:tc>
        <w:tc>
          <w:tcPr>
            <w:tcW w:w="1843" w:type="dxa"/>
            <w:shd w:val="clear" w:color="auto" w:fill="auto"/>
            <w:vAlign w:val="bottom"/>
          </w:tcPr>
          <w:p w14:paraId="4A218E83"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58 221</w:t>
            </w:r>
          </w:p>
        </w:tc>
        <w:tc>
          <w:tcPr>
            <w:tcW w:w="1842" w:type="dxa"/>
            <w:shd w:val="clear" w:color="auto" w:fill="auto"/>
            <w:vAlign w:val="bottom"/>
          </w:tcPr>
          <w:p w14:paraId="04651601"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15 351</w:t>
            </w:r>
          </w:p>
        </w:tc>
        <w:tc>
          <w:tcPr>
            <w:tcW w:w="1842" w:type="dxa"/>
            <w:shd w:val="clear" w:color="auto" w:fill="auto"/>
            <w:vAlign w:val="bottom"/>
          </w:tcPr>
          <w:p w14:paraId="3509D2BF"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73 572</w:t>
            </w:r>
          </w:p>
        </w:tc>
      </w:tr>
      <w:tr w:rsidR="00AA5950" w:rsidRPr="00605B0D" w14:paraId="1E57C1BE" w14:textId="77777777" w:rsidTr="00605B0D">
        <w:tc>
          <w:tcPr>
            <w:tcW w:w="1843" w:type="dxa"/>
            <w:shd w:val="clear" w:color="auto" w:fill="auto"/>
          </w:tcPr>
          <w:p w14:paraId="309D9F1E" w14:textId="77777777" w:rsidR="00AA5950" w:rsidRPr="00605B0D" w:rsidRDefault="00AA5950" w:rsidP="00605B0D">
            <w:pPr>
              <w:suppressAutoHyphens w:val="0"/>
              <w:spacing w:before="40" w:after="40" w:line="220" w:lineRule="exact"/>
              <w:rPr>
                <w:sz w:val="18"/>
                <w:lang w:val="fr-FR" w:bidi="ar-QA"/>
              </w:rPr>
            </w:pPr>
            <w:r w:rsidRPr="00605B0D">
              <w:rPr>
                <w:sz w:val="18"/>
                <w:lang w:val="fr-FR" w:bidi="ar-QA"/>
              </w:rPr>
              <w:t>60 à 64 ans</w:t>
            </w:r>
          </w:p>
        </w:tc>
        <w:tc>
          <w:tcPr>
            <w:tcW w:w="1843" w:type="dxa"/>
            <w:shd w:val="clear" w:color="auto" w:fill="auto"/>
            <w:vAlign w:val="bottom"/>
          </w:tcPr>
          <w:p w14:paraId="29EE1D03"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25 299</w:t>
            </w:r>
          </w:p>
        </w:tc>
        <w:tc>
          <w:tcPr>
            <w:tcW w:w="1842" w:type="dxa"/>
            <w:shd w:val="clear" w:color="auto" w:fill="auto"/>
            <w:vAlign w:val="bottom"/>
          </w:tcPr>
          <w:p w14:paraId="2EDBD123"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9 169</w:t>
            </w:r>
          </w:p>
        </w:tc>
        <w:tc>
          <w:tcPr>
            <w:tcW w:w="1842" w:type="dxa"/>
            <w:shd w:val="clear" w:color="auto" w:fill="auto"/>
            <w:vAlign w:val="bottom"/>
          </w:tcPr>
          <w:p w14:paraId="41F2E569"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34 468</w:t>
            </w:r>
          </w:p>
        </w:tc>
      </w:tr>
      <w:tr w:rsidR="00AA5950" w:rsidRPr="00605B0D" w14:paraId="5A11F0ED" w14:textId="77777777" w:rsidTr="00605B0D">
        <w:tc>
          <w:tcPr>
            <w:tcW w:w="1843" w:type="dxa"/>
            <w:shd w:val="clear" w:color="auto" w:fill="auto"/>
          </w:tcPr>
          <w:p w14:paraId="27B04C46" w14:textId="77777777" w:rsidR="00AA5950" w:rsidRPr="00605B0D" w:rsidRDefault="00AA5950" w:rsidP="00605B0D">
            <w:pPr>
              <w:suppressAutoHyphens w:val="0"/>
              <w:spacing w:before="40" w:after="40" w:line="220" w:lineRule="exact"/>
              <w:rPr>
                <w:sz w:val="18"/>
                <w:lang w:val="fr-FR" w:bidi="ar-QA"/>
              </w:rPr>
            </w:pPr>
            <w:r w:rsidRPr="00605B0D">
              <w:rPr>
                <w:sz w:val="18"/>
                <w:lang w:val="fr-FR" w:bidi="ar-QA"/>
              </w:rPr>
              <w:t>65 à 69 ans</w:t>
            </w:r>
          </w:p>
        </w:tc>
        <w:tc>
          <w:tcPr>
            <w:tcW w:w="1843" w:type="dxa"/>
            <w:shd w:val="clear" w:color="auto" w:fill="auto"/>
            <w:vAlign w:val="bottom"/>
          </w:tcPr>
          <w:p w14:paraId="316AE063"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10 862</w:t>
            </w:r>
          </w:p>
        </w:tc>
        <w:tc>
          <w:tcPr>
            <w:tcW w:w="1842" w:type="dxa"/>
            <w:shd w:val="clear" w:color="auto" w:fill="auto"/>
            <w:vAlign w:val="bottom"/>
          </w:tcPr>
          <w:p w14:paraId="6C2F1053"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4 708</w:t>
            </w:r>
          </w:p>
        </w:tc>
        <w:tc>
          <w:tcPr>
            <w:tcW w:w="1842" w:type="dxa"/>
            <w:shd w:val="clear" w:color="auto" w:fill="auto"/>
            <w:vAlign w:val="bottom"/>
          </w:tcPr>
          <w:p w14:paraId="6492429A"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15 570</w:t>
            </w:r>
          </w:p>
        </w:tc>
      </w:tr>
      <w:tr w:rsidR="00AA5950" w:rsidRPr="00605B0D" w14:paraId="68C77290" w14:textId="77777777" w:rsidTr="00605B0D">
        <w:tc>
          <w:tcPr>
            <w:tcW w:w="1843" w:type="dxa"/>
            <w:shd w:val="clear" w:color="auto" w:fill="auto"/>
          </w:tcPr>
          <w:p w14:paraId="7D548BE9" w14:textId="77777777" w:rsidR="00AA5950" w:rsidRPr="00605B0D" w:rsidRDefault="00AA5950" w:rsidP="00605B0D">
            <w:pPr>
              <w:suppressAutoHyphens w:val="0"/>
              <w:spacing w:before="40" w:after="40" w:line="220" w:lineRule="exact"/>
              <w:rPr>
                <w:sz w:val="18"/>
                <w:lang w:val="fr-FR" w:bidi="ar-QA"/>
              </w:rPr>
            </w:pPr>
            <w:r w:rsidRPr="00605B0D">
              <w:rPr>
                <w:sz w:val="18"/>
                <w:lang w:val="fr-FR" w:bidi="ar-QA"/>
              </w:rPr>
              <w:t>70 à 74 ans</w:t>
            </w:r>
          </w:p>
        </w:tc>
        <w:tc>
          <w:tcPr>
            <w:tcW w:w="1843" w:type="dxa"/>
            <w:shd w:val="clear" w:color="auto" w:fill="auto"/>
            <w:vAlign w:val="bottom"/>
          </w:tcPr>
          <w:p w14:paraId="2F88655A"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4 452</w:t>
            </w:r>
          </w:p>
        </w:tc>
        <w:tc>
          <w:tcPr>
            <w:tcW w:w="1842" w:type="dxa"/>
            <w:shd w:val="clear" w:color="auto" w:fill="auto"/>
            <w:vAlign w:val="bottom"/>
          </w:tcPr>
          <w:p w14:paraId="1EA50357"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2 984</w:t>
            </w:r>
          </w:p>
        </w:tc>
        <w:tc>
          <w:tcPr>
            <w:tcW w:w="1842" w:type="dxa"/>
            <w:shd w:val="clear" w:color="auto" w:fill="auto"/>
            <w:vAlign w:val="bottom"/>
          </w:tcPr>
          <w:p w14:paraId="3B7DEBAF"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7 436</w:t>
            </w:r>
          </w:p>
        </w:tc>
      </w:tr>
      <w:tr w:rsidR="00AA5950" w:rsidRPr="00605B0D" w14:paraId="14DF3F07" w14:textId="77777777" w:rsidTr="00605B0D">
        <w:tc>
          <w:tcPr>
            <w:tcW w:w="1843" w:type="dxa"/>
            <w:shd w:val="clear" w:color="auto" w:fill="auto"/>
          </w:tcPr>
          <w:p w14:paraId="4682DDEC" w14:textId="77777777" w:rsidR="00AA5950" w:rsidRPr="00605B0D" w:rsidRDefault="00AA5950" w:rsidP="00605B0D">
            <w:pPr>
              <w:suppressAutoHyphens w:val="0"/>
              <w:spacing w:before="40" w:after="40" w:line="220" w:lineRule="exact"/>
              <w:rPr>
                <w:sz w:val="18"/>
                <w:lang w:val="fr-FR" w:bidi="ar-QA"/>
              </w:rPr>
            </w:pPr>
            <w:r w:rsidRPr="00605B0D">
              <w:rPr>
                <w:sz w:val="18"/>
                <w:lang w:val="fr-FR" w:bidi="ar-QA"/>
              </w:rPr>
              <w:t>75 à 79 ans</w:t>
            </w:r>
          </w:p>
        </w:tc>
        <w:tc>
          <w:tcPr>
            <w:tcW w:w="1843" w:type="dxa"/>
            <w:shd w:val="clear" w:color="auto" w:fill="auto"/>
            <w:vAlign w:val="bottom"/>
          </w:tcPr>
          <w:p w14:paraId="258877E2"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2 141</w:t>
            </w:r>
          </w:p>
        </w:tc>
        <w:tc>
          <w:tcPr>
            <w:tcW w:w="1842" w:type="dxa"/>
            <w:shd w:val="clear" w:color="auto" w:fill="auto"/>
            <w:vAlign w:val="bottom"/>
          </w:tcPr>
          <w:p w14:paraId="7F6BE813"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1 639</w:t>
            </w:r>
          </w:p>
        </w:tc>
        <w:tc>
          <w:tcPr>
            <w:tcW w:w="1842" w:type="dxa"/>
            <w:shd w:val="clear" w:color="auto" w:fill="auto"/>
            <w:vAlign w:val="bottom"/>
          </w:tcPr>
          <w:p w14:paraId="69B30BF9"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3 780</w:t>
            </w:r>
          </w:p>
        </w:tc>
      </w:tr>
      <w:tr w:rsidR="00AA5950" w:rsidRPr="00605B0D" w14:paraId="73C8CB4E" w14:textId="77777777" w:rsidTr="00605B0D">
        <w:tc>
          <w:tcPr>
            <w:tcW w:w="1843" w:type="dxa"/>
            <w:tcBorders>
              <w:bottom w:val="single" w:sz="12" w:space="0" w:color="auto"/>
            </w:tcBorders>
            <w:shd w:val="clear" w:color="auto" w:fill="auto"/>
          </w:tcPr>
          <w:p w14:paraId="5381B4C7" w14:textId="77777777" w:rsidR="00AA5950" w:rsidRPr="00605B0D" w:rsidRDefault="00AA5950" w:rsidP="00605B0D">
            <w:pPr>
              <w:suppressAutoHyphens w:val="0"/>
              <w:spacing w:before="40" w:after="40" w:line="220" w:lineRule="exact"/>
              <w:rPr>
                <w:sz w:val="18"/>
                <w:lang w:val="fr-FR" w:bidi="ar-QA"/>
              </w:rPr>
            </w:pPr>
            <w:r w:rsidRPr="00605B0D">
              <w:rPr>
                <w:sz w:val="18"/>
                <w:lang w:val="fr-FR" w:bidi="ar-QA"/>
              </w:rPr>
              <w:t>+ de 80 ans</w:t>
            </w:r>
          </w:p>
        </w:tc>
        <w:tc>
          <w:tcPr>
            <w:tcW w:w="1843" w:type="dxa"/>
            <w:tcBorders>
              <w:bottom w:val="single" w:sz="12" w:space="0" w:color="auto"/>
            </w:tcBorders>
            <w:shd w:val="clear" w:color="auto" w:fill="auto"/>
            <w:vAlign w:val="bottom"/>
          </w:tcPr>
          <w:p w14:paraId="320109D7"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1 </w:t>
            </w:r>
            <w:r w:rsidR="00281490">
              <w:rPr>
                <w:sz w:val="18"/>
                <w:lang w:val="fr-FR" w:bidi="ar-QA"/>
              </w:rPr>
              <w:t>869</w:t>
            </w:r>
          </w:p>
        </w:tc>
        <w:tc>
          <w:tcPr>
            <w:tcW w:w="1842" w:type="dxa"/>
            <w:tcBorders>
              <w:bottom w:val="single" w:sz="12" w:space="0" w:color="auto"/>
            </w:tcBorders>
            <w:shd w:val="clear" w:color="auto" w:fill="auto"/>
            <w:vAlign w:val="bottom"/>
          </w:tcPr>
          <w:p w14:paraId="6CE344E2"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1 </w:t>
            </w:r>
            <w:r w:rsidR="00281490">
              <w:rPr>
                <w:sz w:val="18"/>
                <w:lang w:val="fr-FR" w:bidi="ar-QA"/>
              </w:rPr>
              <w:t>776</w:t>
            </w:r>
          </w:p>
        </w:tc>
        <w:tc>
          <w:tcPr>
            <w:tcW w:w="1842" w:type="dxa"/>
            <w:tcBorders>
              <w:bottom w:val="single" w:sz="12" w:space="0" w:color="auto"/>
            </w:tcBorders>
            <w:shd w:val="clear" w:color="auto" w:fill="auto"/>
            <w:vAlign w:val="bottom"/>
          </w:tcPr>
          <w:p w14:paraId="65D692C0" w14:textId="77777777" w:rsidR="00AA5950" w:rsidRPr="00605B0D" w:rsidRDefault="00AA5950" w:rsidP="00605B0D">
            <w:pPr>
              <w:suppressAutoHyphens w:val="0"/>
              <w:spacing w:before="40" w:after="40" w:line="220" w:lineRule="exact"/>
              <w:jc w:val="right"/>
              <w:rPr>
                <w:sz w:val="18"/>
                <w:lang w:val="fr-FR" w:bidi="ar-QA"/>
              </w:rPr>
            </w:pPr>
            <w:r w:rsidRPr="00605B0D">
              <w:rPr>
                <w:sz w:val="18"/>
                <w:lang w:val="fr-FR" w:bidi="ar-QA"/>
              </w:rPr>
              <w:t>3 </w:t>
            </w:r>
            <w:r w:rsidR="00FE6B78">
              <w:rPr>
                <w:sz w:val="18"/>
                <w:lang w:val="fr-FR" w:bidi="ar-QA"/>
              </w:rPr>
              <w:t>645</w:t>
            </w:r>
          </w:p>
        </w:tc>
      </w:tr>
    </w:tbl>
    <w:p w14:paraId="792C5D54" w14:textId="77777777" w:rsidR="009E4C76" w:rsidRPr="001D10EE" w:rsidRDefault="009E4C76" w:rsidP="001D10EE">
      <w:pPr>
        <w:pStyle w:val="SingleTxtG"/>
        <w:spacing w:before="120" w:after="240"/>
        <w:ind w:firstLine="170"/>
        <w:rPr>
          <w:sz w:val="18"/>
          <w:szCs w:val="18"/>
          <w:rtl/>
        </w:rPr>
      </w:pPr>
      <w:r w:rsidRPr="001D10EE">
        <w:rPr>
          <w:i/>
          <w:sz w:val="18"/>
          <w:szCs w:val="18"/>
        </w:rPr>
        <w:t>Source</w:t>
      </w:r>
      <w:r w:rsidR="001D10EE" w:rsidRPr="001D10EE">
        <w:rPr>
          <w:sz w:val="18"/>
          <w:szCs w:val="18"/>
        </w:rPr>
        <w:t> </w:t>
      </w:r>
      <w:r w:rsidRPr="001D10EE">
        <w:rPr>
          <w:sz w:val="18"/>
          <w:szCs w:val="18"/>
        </w:rPr>
        <w:t>:</w:t>
      </w:r>
      <w:r w:rsidR="001D10EE" w:rsidRPr="001D10EE">
        <w:rPr>
          <w:sz w:val="18"/>
          <w:szCs w:val="18"/>
        </w:rPr>
        <w:t xml:space="preserve"> </w:t>
      </w:r>
      <w:r w:rsidRPr="001D10EE">
        <w:rPr>
          <w:sz w:val="18"/>
          <w:szCs w:val="18"/>
        </w:rPr>
        <w:t>Ministère de la planification, du développement et des statistiques, statistiques démographiques et sociales, résumés annuels, 2017.</w:t>
      </w:r>
    </w:p>
    <w:p w14:paraId="3605523B" w14:textId="77777777" w:rsidR="009E4C76" w:rsidRPr="001D10EE" w:rsidRDefault="009E4C76" w:rsidP="001D10EE">
      <w:pPr>
        <w:pStyle w:val="SingleTxtG"/>
      </w:pPr>
      <w:r w:rsidRPr="001D10EE">
        <w:t>6.</w:t>
      </w:r>
      <w:r w:rsidRPr="001D10EE">
        <w:tab/>
        <w:t>Les statistiques de 2017 relatives aux estimations de la population selon l’âge (tableau</w:t>
      </w:r>
      <w:r w:rsidR="001D10EE">
        <w:t> </w:t>
      </w:r>
      <w:r w:rsidRPr="001D10EE">
        <w:t>3) montrent l’importance de la population masculine dans la catégorie des hommes âgés de 25 à 29</w:t>
      </w:r>
      <w:r w:rsidR="001D10EE">
        <w:t> </w:t>
      </w:r>
      <w:r w:rsidRPr="001D10EE">
        <w:t>ans (389</w:t>
      </w:r>
      <w:r w:rsidR="001D10EE">
        <w:t> </w:t>
      </w:r>
      <w:r w:rsidRPr="001D10EE">
        <w:t>213</w:t>
      </w:r>
      <w:r w:rsidR="001D10EE">
        <w:t> </w:t>
      </w:r>
      <w:r w:rsidRPr="001D10EE">
        <w:t>hommes), par rapport à la population féminine de la même tranche d’âge (92</w:t>
      </w:r>
      <w:r w:rsidR="001D10EE">
        <w:t> </w:t>
      </w:r>
      <w:r w:rsidRPr="001D10EE">
        <w:t>780</w:t>
      </w:r>
      <w:r w:rsidR="001D10EE">
        <w:t> </w:t>
      </w:r>
      <w:r w:rsidRPr="001D10EE">
        <w:t>femmes), le chiffre le plus élevé pour ce qui est des femmes concernant celles âgées de 30 à 34</w:t>
      </w:r>
      <w:r w:rsidR="001D10EE">
        <w:t> </w:t>
      </w:r>
      <w:r w:rsidRPr="001D10EE">
        <w:t>ans (95 603).</w:t>
      </w:r>
    </w:p>
    <w:p w14:paraId="05307EE0" w14:textId="77777777" w:rsidR="009E4C76" w:rsidRPr="001D10EE" w:rsidRDefault="009E4C76" w:rsidP="001D10EE">
      <w:pPr>
        <w:pStyle w:val="SingleTxtG"/>
        <w:rPr>
          <w:rtl/>
        </w:rPr>
      </w:pPr>
      <w:r w:rsidRPr="001D10EE">
        <w:t>7.</w:t>
      </w:r>
      <w:r w:rsidRPr="001D10EE">
        <w:tab/>
        <w:t>Une diminution de la population masculine et féminine est observée, respectivement, dans la catégorie des personnes âgées de 80</w:t>
      </w:r>
      <w:r w:rsidR="001D10EE">
        <w:t> </w:t>
      </w:r>
      <w:r w:rsidRPr="001D10EE">
        <w:t>ans et plus (1</w:t>
      </w:r>
      <w:r w:rsidR="001D10EE">
        <w:t> </w:t>
      </w:r>
      <w:r w:rsidRPr="001D10EE">
        <w:t>869</w:t>
      </w:r>
      <w:r w:rsidR="001D10EE">
        <w:t> </w:t>
      </w:r>
      <w:r w:rsidRPr="001D10EE">
        <w:t>hommes) et de celle des 75 à 79</w:t>
      </w:r>
      <w:r w:rsidR="001D10EE">
        <w:t> </w:t>
      </w:r>
      <w:r w:rsidRPr="001D10EE">
        <w:t>ans (1</w:t>
      </w:r>
      <w:r w:rsidR="001D10EE">
        <w:t> </w:t>
      </w:r>
      <w:r w:rsidRPr="001D10EE">
        <w:t>639</w:t>
      </w:r>
      <w:r w:rsidR="001D10EE">
        <w:t> </w:t>
      </w:r>
      <w:r w:rsidRPr="001D10EE">
        <w:t>femmes).</w:t>
      </w:r>
    </w:p>
    <w:p w14:paraId="307FF7E5" w14:textId="77777777" w:rsidR="009E4C76" w:rsidRDefault="009E4C76" w:rsidP="005B4567">
      <w:pPr>
        <w:pStyle w:val="H23G"/>
        <w:spacing w:before="220" w:after="100" w:line="220" w:lineRule="exact"/>
        <w:ind w:left="0" w:firstLine="0"/>
        <w:rPr>
          <w:lang w:bidi="ar-QA"/>
        </w:rPr>
      </w:pPr>
      <w:r w:rsidRPr="001D10EE">
        <w:rPr>
          <w:b w:val="0"/>
        </w:rPr>
        <w:t>Tableau</w:t>
      </w:r>
      <w:r w:rsidRPr="001D10EE">
        <w:rPr>
          <w:b w:val="0"/>
          <w:lang w:bidi="ar-QA"/>
        </w:rPr>
        <w:t xml:space="preserve"> 4</w:t>
      </w:r>
      <w:r w:rsidR="001D10EE">
        <w:rPr>
          <w:lang w:bidi="ar-QA"/>
        </w:rPr>
        <w:t xml:space="preserve"> </w:t>
      </w:r>
      <w:r w:rsidRPr="00CE611F">
        <w:rPr>
          <w:lang w:bidi="ar-QA"/>
        </w:rPr>
        <w:br/>
        <w:t>Population selon le sexe et la tranche d</w:t>
      </w:r>
      <w:r>
        <w:rPr>
          <w:lang w:bidi="ar-QA"/>
        </w:rPr>
        <w:t>’</w:t>
      </w:r>
      <w:r w:rsidRPr="00CE611F">
        <w:rPr>
          <w:lang w:bidi="ar-QA"/>
        </w:rPr>
        <w:t>âge (troisième trimestre 2017)</w:t>
      </w:r>
    </w:p>
    <w:tbl>
      <w:tblPr>
        <w:tblStyle w:val="TableElegant11"/>
        <w:tblW w:w="9639"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gridCol w:w="850"/>
        <w:gridCol w:w="775"/>
        <w:gridCol w:w="882"/>
        <w:gridCol w:w="895"/>
        <w:gridCol w:w="708"/>
        <w:gridCol w:w="851"/>
        <w:gridCol w:w="992"/>
        <w:gridCol w:w="709"/>
        <w:gridCol w:w="850"/>
      </w:tblGrid>
      <w:tr w:rsidR="005F3E03" w:rsidRPr="005F3E03" w14:paraId="78F9F97E" w14:textId="77777777" w:rsidTr="005F3E03">
        <w:trPr>
          <w:trHeight w:val="240"/>
          <w:tblHeader/>
        </w:trPr>
        <w:tc>
          <w:tcPr>
            <w:tcW w:w="2127" w:type="dxa"/>
            <w:vMerge w:val="restart"/>
            <w:tcBorders>
              <w:top w:val="single" w:sz="4" w:space="0" w:color="auto"/>
            </w:tcBorders>
            <w:shd w:val="clear" w:color="auto" w:fill="auto"/>
            <w:vAlign w:val="bottom"/>
          </w:tcPr>
          <w:p w14:paraId="3855DF96" w14:textId="77777777" w:rsidR="005F3E03" w:rsidRPr="005F3E03" w:rsidRDefault="005F3E03" w:rsidP="004702BD">
            <w:pPr>
              <w:pStyle w:val="SingleTxtG"/>
              <w:keepNext/>
              <w:keepLines/>
              <w:spacing w:before="80" w:after="80" w:line="200" w:lineRule="exact"/>
              <w:ind w:left="0" w:right="0"/>
              <w:jc w:val="left"/>
              <w:rPr>
                <w:bCs/>
                <w:iCs/>
                <w:caps/>
                <w:sz w:val="18"/>
              </w:rPr>
            </w:pPr>
            <w:r w:rsidRPr="005F3E03">
              <w:rPr>
                <w:i/>
                <w:iCs/>
                <w:sz w:val="16"/>
              </w:rPr>
              <w:t>Tranches d’âge</w:t>
            </w:r>
          </w:p>
        </w:tc>
        <w:tc>
          <w:tcPr>
            <w:tcW w:w="2507" w:type="dxa"/>
            <w:gridSpan w:val="3"/>
            <w:tcBorders>
              <w:top w:val="single" w:sz="4" w:space="0" w:color="auto"/>
              <w:bottom w:val="single" w:sz="4" w:space="0" w:color="auto"/>
              <w:right w:val="single" w:sz="24" w:space="0" w:color="FFFFFF" w:themeColor="background1"/>
            </w:tcBorders>
            <w:shd w:val="clear" w:color="auto" w:fill="auto"/>
            <w:vAlign w:val="bottom"/>
          </w:tcPr>
          <w:p w14:paraId="516F5DB3" w14:textId="77777777" w:rsidR="005F3E03" w:rsidRPr="005F3E03" w:rsidRDefault="005F3E03" w:rsidP="004702BD">
            <w:pPr>
              <w:pStyle w:val="SingleTxtG"/>
              <w:keepNext/>
              <w:keepLines/>
              <w:spacing w:before="80" w:after="80" w:line="200" w:lineRule="exact"/>
              <w:ind w:left="28" w:right="28"/>
              <w:jc w:val="center"/>
              <w:rPr>
                <w:i/>
                <w:iCs/>
                <w:caps/>
                <w:sz w:val="16"/>
              </w:rPr>
            </w:pPr>
            <w:r>
              <w:rPr>
                <w:i/>
                <w:sz w:val="16"/>
                <w:lang w:bidi="ar-QA"/>
              </w:rPr>
              <w:t>Juillet 2017</w:t>
            </w:r>
          </w:p>
        </w:tc>
        <w:tc>
          <w:tcPr>
            <w:tcW w:w="2454"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86A7E8F" w14:textId="77777777" w:rsidR="005F3E03" w:rsidRPr="005F3E03" w:rsidRDefault="005F3E03" w:rsidP="004702BD">
            <w:pPr>
              <w:pStyle w:val="SingleTxtG"/>
              <w:keepNext/>
              <w:keepLines/>
              <w:spacing w:before="80" w:after="80" w:line="200" w:lineRule="exact"/>
              <w:ind w:left="28" w:right="28"/>
              <w:jc w:val="center"/>
              <w:rPr>
                <w:i/>
                <w:iCs/>
                <w:caps/>
                <w:sz w:val="16"/>
              </w:rPr>
            </w:pPr>
            <w:r>
              <w:rPr>
                <w:i/>
                <w:sz w:val="16"/>
                <w:lang w:bidi="ar-QA"/>
              </w:rPr>
              <w:t>Août 2017</w:t>
            </w:r>
          </w:p>
        </w:tc>
        <w:tc>
          <w:tcPr>
            <w:tcW w:w="2551" w:type="dxa"/>
            <w:gridSpan w:val="3"/>
            <w:tcBorders>
              <w:top w:val="single" w:sz="4" w:space="0" w:color="auto"/>
              <w:left w:val="single" w:sz="24" w:space="0" w:color="FFFFFF" w:themeColor="background1"/>
              <w:bottom w:val="single" w:sz="4" w:space="0" w:color="auto"/>
            </w:tcBorders>
            <w:shd w:val="clear" w:color="auto" w:fill="auto"/>
            <w:vAlign w:val="bottom"/>
          </w:tcPr>
          <w:p w14:paraId="68860851" w14:textId="77777777" w:rsidR="005F3E03" w:rsidRPr="005F3E03" w:rsidRDefault="005F3E03" w:rsidP="004702BD">
            <w:pPr>
              <w:pStyle w:val="SingleTxtG"/>
              <w:keepNext/>
              <w:keepLines/>
              <w:spacing w:before="80" w:after="80" w:line="200" w:lineRule="exact"/>
              <w:ind w:left="28" w:right="28"/>
              <w:jc w:val="center"/>
              <w:rPr>
                <w:i/>
                <w:iCs/>
                <w:caps/>
                <w:sz w:val="16"/>
                <w:rtl/>
              </w:rPr>
            </w:pPr>
            <w:r>
              <w:rPr>
                <w:i/>
                <w:sz w:val="16"/>
                <w:lang w:bidi="ar-QA"/>
              </w:rPr>
              <w:t>Septembre 201</w:t>
            </w:r>
            <w:r>
              <w:rPr>
                <w:i/>
                <w:sz w:val="16"/>
                <w:lang w:bidi="ar-QA"/>
              </w:rPr>
              <w:t>7</w:t>
            </w:r>
          </w:p>
        </w:tc>
      </w:tr>
      <w:tr w:rsidR="005F3E03" w:rsidRPr="005F3E03" w14:paraId="4EB3294D" w14:textId="77777777" w:rsidTr="00817301">
        <w:trPr>
          <w:trHeight w:val="240"/>
          <w:tblHeader/>
        </w:trPr>
        <w:tc>
          <w:tcPr>
            <w:tcW w:w="2127" w:type="dxa"/>
            <w:vMerge/>
            <w:tcBorders>
              <w:bottom w:val="single" w:sz="12" w:space="0" w:color="auto"/>
            </w:tcBorders>
            <w:shd w:val="clear" w:color="auto" w:fill="auto"/>
          </w:tcPr>
          <w:p w14:paraId="28E55075" w14:textId="77777777" w:rsidR="005F3E03" w:rsidRPr="005F3E03" w:rsidRDefault="005F3E03" w:rsidP="005F3E03">
            <w:pPr>
              <w:pStyle w:val="SingleTxtG"/>
              <w:keepNext/>
              <w:keepLines/>
              <w:spacing w:before="80" w:after="80" w:line="200" w:lineRule="exact"/>
              <w:ind w:left="0" w:right="0"/>
              <w:jc w:val="left"/>
              <w:rPr>
                <w:i/>
                <w:iCs/>
                <w:caps/>
                <w:sz w:val="16"/>
              </w:rPr>
            </w:pPr>
          </w:p>
        </w:tc>
        <w:tc>
          <w:tcPr>
            <w:tcW w:w="850" w:type="dxa"/>
            <w:tcBorders>
              <w:top w:val="single" w:sz="4" w:space="0" w:color="auto"/>
              <w:bottom w:val="single" w:sz="12" w:space="0" w:color="auto"/>
            </w:tcBorders>
            <w:shd w:val="clear" w:color="auto" w:fill="auto"/>
            <w:vAlign w:val="bottom"/>
          </w:tcPr>
          <w:p w14:paraId="004C71BF" w14:textId="77777777" w:rsidR="005F3E03" w:rsidRPr="00605B0D" w:rsidRDefault="005F3E03" w:rsidP="005F3E03">
            <w:pPr>
              <w:spacing w:before="80" w:after="80" w:line="200" w:lineRule="exact"/>
              <w:rPr>
                <w:i/>
                <w:sz w:val="16"/>
                <w:lang w:bidi="ar-QA"/>
              </w:rPr>
            </w:pPr>
            <w:r>
              <w:rPr>
                <w:i/>
                <w:sz w:val="16"/>
                <w:lang w:bidi="ar-QA"/>
              </w:rPr>
              <w:t>Hommes</w:t>
            </w:r>
          </w:p>
        </w:tc>
        <w:tc>
          <w:tcPr>
            <w:tcW w:w="775" w:type="dxa"/>
            <w:tcBorders>
              <w:top w:val="single" w:sz="4" w:space="0" w:color="auto"/>
              <w:bottom w:val="single" w:sz="12" w:space="0" w:color="auto"/>
            </w:tcBorders>
            <w:shd w:val="clear" w:color="auto" w:fill="auto"/>
            <w:vAlign w:val="bottom"/>
          </w:tcPr>
          <w:p w14:paraId="0FB46CAE" w14:textId="77777777" w:rsidR="005F3E03" w:rsidRPr="00605B0D" w:rsidRDefault="005F3E03" w:rsidP="005F3E03">
            <w:pPr>
              <w:spacing w:before="80" w:after="80" w:line="200" w:lineRule="exact"/>
              <w:rPr>
                <w:i/>
                <w:sz w:val="16"/>
                <w:lang w:bidi="ar-QA"/>
              </w:rPr>
            </w:pPr>
            <w:r>
              <w:rPr>
                <w:i/>
                <w:sz w:val="16"/>
                <w:lang w:bidi="ar-QA"/>
              </w:rPr>
              <w:t>Femmes</w:t>
            </w:r>
          </w:p>
        </w:tc>
        <w:tc>
          <w:tcPr>
            <w:tcW w:w="882" w:type="dxa"/>
            <w:tcBorders>
              <w:top w:val="single" w:sz="4" w:space="0" w:color="auto"/>
              <w:bottom w:val="single" w:sz="12" w:space="0" w:color="auto"/>
              <w:right w:val="single" w:sz="24" w:space="0" w:color="FFFFFF" w:themeColor="background1"/>
            </w:tcBorders>
            <w:shd w:val="clear" w:color="auto" w:fill="auto"/>
            <w:vAlign w:val="bottom"/>
          </w:tcPr>
          <w:p w14:paraId="17B9FCD9" w14:textId="77777777" w:rsidR="005F3E03" w:rsidRPr="00605B0D" w:rsidRDefault="005F3E03" w:rsidP="005F3E03">
            <w:pPr>
              <w:spacing w:before="80" w:after="80" w:line="200" w:lineRule="exact"/>
              <w:rPr>
                <w:i/>
                <w:sz w:val="16"/>
                <w:lang w:bidi="ar-QA"/>
              </w:rPr>
            </w:pPr>
            <w:r>
              <w:rPr>
                <w:i/>
                <w:sz w:val="16"/>
                <w:lang w:bidi="ar-QA"/>
              </w:rPr>
              <w:t>Total</w:t>
            </w:r>
          </w:p>
        </w:tc>
        <w:tc>
          <w:tcPr>
            <w:tcW w:w="895" w:type="dxa"/>
            <w:tcBorders>
              <w:top w:val="single" w:sz="4" w:space="0" w:color="auto"/>
              <w:left w:val="single" w:sz="24" w:space="0" w:color="FFFFFF" w:themeColor="background1"/>
              <w:bottom w:val="single" w:sz="12" w:space="0" w:color="auto"/>
            </w:tcBorders>
            <w:shd w:val="clear" w:color="auto" w:fill="auto"/>
            <w:vAlign w:val="bottom"/>
          </w:tcPr>
          <w:p w14:paraId="5525C410" w14:textId="77777777" w:rsidR="005F3E03" w:rsidRPr="00605B0D" w:rsidRDefault="005F3E03" w:rsidP="005F3E03">
            <w:pPr>
              <w:spacing w:before="80" w:after="80" w:line="200" w:lineRule="exact"/>
              <w:rPr>
                <w:i/>
                <w:sz w:val="16"/>
                <w:lang w:bidi="ar-QA"/>
              </w:rPr>
            </w:pPr>
            <w:r>
              <w:rPr>
                <w:i/>
                <w:sz w:val="16"/>
                <w:lang w:bidi="ar-QA"/>
              </w:rPr>
              <w:t>Hommes</w:t>
            </w:r>
          </w:p>
        </w:tc>
        <w:tc>
          <w:tcPr>
            <w:tcW w:w="708" w:type="dxa"/>
            <w:tcBorders>
              <w:top w:val="single" w:sz="4" w:space="0" w:color="auto"/>
              <w:bottom w:val="single" w:sz="12" w:space="0" w:color="auto"/>
            </w:tcBorders>
            <w:shd w:val="clear" w:color="auto" w:fill="auto"/>
            <w:vAlign w:val="bottom"/>
          </w:tcPr>
          <w:p w14:paraId="24DF84CB" w14:textId="77777777" w:rsidR="005F3E03" w:rsidRPr="00605B0D" w:rsidRDefault="005F3E03" w:rsidP="005F3E03">
            <w:pPr>
              <w:spacing w:before="80" w:after="80" w:line="200" w:lineRule="exact"/>
              <w:rPr>
                <w:i/>
                <w:sz w:val="16"/>
                <w:lang w:bidi="ar-QA"/>
              </w:rPr>
            </w:pPr>
            <w:r>
              <w:rPr>
                <w:i/>
                <w:sz w:val="16"/>
                <w:lang w:bidi="ar-QA"/>
              </w:rPr>
              <w:t>Femmes</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14:paraId="2DF629C7" w14:textId="77777777" w:rsidR="005F3E03" w:rsidRPr="00605B0D" w:rsidRDefault="005F3E03" w:rsidP="005F3E03">
            <w:pPr>
              <w:spacing w:before="80" w:after="80" w:line="200" w:lineRule="exact"/>
              <w:rPr>
                <w:i/>
                <w:sz w:val="16"/>
                <w:lang w:bidi="ar-QA"/>
              </w:rPr>
            </w:pPr>
            <w:r>
              <w:rPr>
                <w:i/>
                <w:sz w:val="16"/>
                <w:lang w:bidi="ar-QA"/>
              </w:rPr>
              <w:t>Total</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14:paraId="57AD7C73" w14:textId="77777777" w:rsidR="005F3E03" w:rsidRPr="00605B0D" w:rsidRDefault="005F3E03" w:rsidP="005F3E03">
            <w:pPr>
              <w:spacing w:before="80" w:after="80" w:line="200" w:lineRule="exact"/>
              <w:rPr>
                <w:i/>
                <w:sz w:val="16"/>
                <w:lang w:bidi="ar-QA"/>
              </w:rPr>
            </w:pPr>
            <w:r>
              <w:rPr>
                <w:i/>
                <w:sz w:val="16"/>
                <w:lang w:bidi="ar-QA"/>
              </w:rPr>
              <w:t>Hommes</w:t>
            </w:r>
          </w:p>
        </w:tc>
        <w:tc>
          <w:tcPr>
            <w:tcW w:w="709" w:type="dxa"/>
            <w:tcBorders>
              <w:top w:val="single" w:sz="4" w:space="0" w:color="auto"/>
              <w:bottom w:val="single" w:sz="12" w:space="0" w:color="auto"/>
            </w:tcBorders>
            <w:shd w:val="clear" w:color="auto" w:fill="auto"/>
            <w:vAlign w:val="bottom"/>
          </w:tcPr>
          <w:p w14:paraId="358C3AB8" w14:textId="77777777" w:rsidR="005F3E03" w:rsidRPr="00605B0D" w:rsidRDefault="005F3E03" w:rsidP="005F3E03">
            <w:pPr>
              <w:spacing w:before="80" w:after="80" w:line="200" w:lineRule="exact"/>
              <w:rPr>
                <w:i/>
                <w:sz w:val="16"/>
                <w:lang w:bidi="ar-QA"/>
              </w:rPr>
            </w:pPr>
            <w:r>
              <w:rPr>
                <w:i/>
                <w:sz w:val="16"/>
                <w:lang w:bidi="ar-QA"/>
              </w:rPr>
              <w:t>Femmes</w:t>
            </w:r>
          </w:p>
        </w:tc>
        <w:tc>
          <w:tcPr>
            <w:tcW w:w="850" w:type="dxa"/>
            <w:tcBorders>
              <w:top w:val="single" w:sz="4" w:space="0" w:color="auto"/>
              <w:bottom w:val="single" w:sz="12" w:space="0" w:color="auto"/>
            </w:tcBorders>
            <w:shd w:val="clear" w:color="auto" w:fill="auto"/>
            <w:vAlign w:val="bottom"/>
          </w:tcPr>
          <w:p w14:paraId="5FB570BF" w14:textId="77777777" w:rsidR="005F3E03" w:rsidRPr="00605B0D" w:rsidRDefault="005F3E03" w:rsidP="005F3E03">
            <w:pPr>
              <w:spacing w:before="80" w:after="80" w:line="200" w:lineRule="exact"/>
              <w:rPr>
                <w:i/>
                <w:sz w:val="16"/>
                <w:lang w:bidi="ar-QA"/>
              </w:rPr>
            </w:pPr>
            <w:r>
              <w:rPr>
                <w:i/>
                <w:sz w:val="16"/>
                <w:lang w:bidi="ar-QA"/>
              </w:rPr>
              <w:t>Total</w:t>
            </w:r>
          </w:p>
        </w:tc>
      </w:tr>
      <w:tr w:rsidR="005F3E03" w:rsidRPr="005F3E03" w14:paraId="1C0D080E" w14:textId="77777777" w:rsidTr="004702BD">
        <w:trPr>
          <w:trHeight w:val="240"/>
        </w:trPr>
        <w:tc>
          <w:tcPr>
            <w:tcW w:w="2127" w:type="dxa"/>
            <w:tcBorders>
              <w:top w:val="single" w:sz="12" w:space="0" w:color="auto"/>
            </w:tcBorders>
            <w:shd w:val="clear" w:color="auto" w:fill="auto"/>
          </w:tcPr>
          <w:p w14:paraId="4A44479D" w14:textId="77777777" w:rsidR="005F3E03" w:rsidRPr="009A6158" w:rsidRDefault="005F3E03" w:rsidP="005F3E03">
            <w:pPr>
              <w:suppressAutoHyphens w:val="0"/>
              <w:spacing w:before="40" w:after="40" w:line="220" w:lineRule="exact"/>
              <w:jc w:val="left"/>
              <w:rPr>
                <w:sz w:val="18"/>
                <w:rtl/>
                <w:lang w:bidi="fr-FR"/>
              </w:rPr>
            </w:pPr>
            <w:r w:rsidRPr="009A6158">
              <w:rPr>
                <w:sz w:val="18"/>
                <w:lang w:bidi="ar-QA"/>
              </w:rPr>
              <w:t xml:space="preserve">&lt; 1 </w:t>
            </w:r>
          </w:p>
        </w:tc>
        <w:tc>
          <w:tcPr>
            <w:tcW w:w="850" w:type="dxa"/>
            <w:tcBorders>
              <w:top w:val="single" w:sz="12" w:space="0" w:color="auto"/>
            </w:tcBorders>
            <w:shd w:val="clear" w:color="auto" w:fill="auto"/>
          </w:tcPr>
          <w:p w14:paraId="387C274E" w14:textId="77777777" w:rsidR="005F3E03" w:rsidRPr="005F3E03" w:rsidRDefault="005F3E03" w:rsidP="005F3E03">
            <w:pPr>
              <w:pStyle w:val="SingleTxtG"/>
              <w:keepNext/>
              <w:keepLines/>
              <w:spacing w:before="40" w:after="40" w:line="220" w:lineRule="exact"/>
              <w:ind w:left="28" w:right="28"/>
              <w:jc w:val="right"/>
              <w:rPr>
                <w:bCs/>
                <w:sz w:val="18"/>
              </w:rPr>
            </w:pPr>
            <w:r w:rsidRPr="005F3E03">
              <w:rPr>
                <w:bCs/>
                <w:sz w:val="18"/>
              </w:rPr>
              <w:t>9</w:t>
            </w:r>
            <w:r>
              <w:rPr>
                <w:bCs/>
                <w:sz w:val="18"/>
              </w:rPr>
              <w:t> </w:t>
            </w:r>
            <w:r w:rsidRPr="005F3E03">
              <w:rPr>
                <w:bCs/>
                <w:sz w:val="18"/>
              </w:rPr>
              <w:t>548</w:t>
            </w:r>
          </w:p>
        </w:tc>
        <w:tc>
          <w:tcPr>
            <w:tcW w:w="775" w:type="dxa"/>
            <w:tcBorders>
              <w:top w:val="single" w:sz="12" w:space="0" w:color="auto"/>
            </w:tcBorders>
            <w:shd w:val="clear" w:color="auto" w:fill="auto"/>
          </w:tcPr>
          <w:p w14:paraId="0DFCA9F0" w14:textId="77777777" w:rsidR="005F3E03" w:rsidRPr="005F3E03" w:rsidRDefault="005F3E03" w:rsidP="005F3E03">
            <w:pPr>
              <w:pStyle w:val="SingleTxtG"/>
              <w:keepNext/>
              <w:keepLines/>
              <w:spacing w:before="40" w:after="40" w:line="220" w:lineRule="exact"/>
              <w:ind w:left="28" w:right="28"/>
              <w:jc w:val="right"/>
              <w:rPr>
                <w:bCs/>
                <w:sz w:val="18"/>
              </w:rPr>
            </w:pPr>
            <w:r w:rsidRPr="005F3E03">
              <w:rPr>
                <w:bCs/>
                <w:sz w:val="18"/>
              </w:rPr>
              <w:t>9</w:t>
            </w:r>
            <w:r>
              <w:rPr>
                <w:bCs/>
                <w:sz w:val="18"/>
              </w:rPr>
              <w:t> </w:t>
            </w:r>
            <w:r w:rsidRPr="005F3E03">
              <w:rPr>
                <w:bCs/>
                <w:sz w:val="18"/>
              </w:rPr>
              <w:t>032</w:t>
            </w:r>
          </w:p>
        </w:tc>
        <w:tc>
          <w:tcPr>
            <w:tcW w:w="882" w:type="dxa"/>
            <w:tcBorders>
              <w:top w:val="single" w:sz="12" w:space="0" w:color="auto"/>
            </w:tcBorders>
            <w:shd w:val="clear" w:color="auto" w:fill="auto"/>
            <w:vAlign w:val="bottom"/>
          </w:tcPr>
          <w:p w14:paraId="3110246B" w14:textId="77777777" w:rsidR="005F3E03" w:rsidRPr="005F3E03" w:rsidRDefault="005F3E03" w:rsidP="005F3E03">
            <w:pPr>
              <w:pStyle w:val="SingleTxtG"/>
              <w:keepNext/>
              <w:keepLines/>
              <w:spacing w:before="40" w:after="40" w:line="220" w:lineRule="exact"/>
              <w:ind w:left="28" w:right="28"/>
              <w:jc w:val="right"/>
              <w:rPr>
                <w:bCs/>
                <w:sz w:val="18"/>
              </w:rPr>
            </w:pPr>
            <w:r w:rsidRPr="005F3E03">
              <w:rPr>
                <w:bCs/>
                <w:sz w:val="18"/>
              </w:rPr>
              <w:t>18</w:t>
            </w:r>
            <w:r>
              <w:rPr>
                <w:bCs/>
                <w:sz w:val="18"/>
              </w:rPr>
              <w:t> </w:t>
            </w:r>
            <w:r w:rsidRPr="005F3E03">
              <w:rPr>
                <w:bCs/>
                <w:sz w:val="18"/>
              </w:rPr>
              <w:t>580</w:t>
            </w:r>
          </w:p>
        </w:tc>
        <w:tc>
          <w:tcPr>
            <w:tcW w:w="895" w:type="dxa"/>
            <w:tcBorders>
              <w:top w:val="single" w:sz="12" w:space="0" w:color="auto"/>
            </w:tcBorders>
            <w:shd w:val="clear" w:color="auto" w:fill="auto"/>
            <w:vAlign w:val="bottom"/>
          </w:tcPr>
          <w:p w14:paraId="5351FA9B" w14:textId="77777777" w:rsidR="005F3E03" w:rsidRPr="005F3E03" w:rsidRDefault="005F3E03" w:rsidP="005F3E03">
            <w:pPr>
              <w:pStyle w:val="SingleTxtG"/>
              <w:keepNext/>
              <w:keepLines/>
              <w:spacing w:before="40" w:after="40" w:line="220" w:lineRule="exact"/>
              <w:ind w:left="28" w:right="28"/>
              <w:jc w:val="right"/>
              <w:rPr>
                <w:sz w:val="18"/>
              </w:rPr>
            </w:pPr>
            <w:r w:rsidRPr="005F3E03">
              <w:rPr>
                <w:sz w:val="18"/>
              </w:rPr>
              <w:t>9</w:t>
            </w:r>
            <w:r>
              <w:rPr>
                <w:sz w:val="18"/>
              </w:rPr>
              <w:t> </w:t>
            </w:r>
            <w:r w:rsidRPr="005F3E03">
              <w:rPr>
                <w:sz w:val="18"/>
              </w:rPr>
              <w:t>662</w:t>
            </w:r>
          </w:p>
        </w:tc>
        <w:tc>
          <w:tcPr>
            <w:tcW w:w="708" w:type="dxa"/>
            <w:tcBorders>
              <w:top w:val="single" w:sz="12" w:space="0" w:color="auto"/>
            </w:tcBorders>
            <w:shd w:val="clear" w:color="auto" w:fill="auto"/>
            <w:vAlign w:val="bottom"/>
          </w:tcPr>
          <w:p w14:paraId="0B07EF11" w14:textId="77777777" w:rsidR="005F3E03" w:rsidRPr="005F3E03" w:rsidRDefault="005F3E03" w:rsidP="005F3E03">
            <w:pPr>
              <w:pStyle w:val="SingleTxtG"/>
              <w:keepNext/>
              <w:keepLines/>
              <w:spacing w:before="40" w:after="40" w:line="220" w:lineRule="exact"/>
              <w:ind w:left="28" w:right="28"/>
              <w:jc w:val="right"/>
              <w:rPr>
                <w:sz w:val="18"/>
              </w:rPr>
            </w:pPr>
            <w:r w:rsidRPr="005F3E03">
              <w:rPr>
                <w:sz w:val="18"/>
              </w:rPr>
              <w:t>9</w:t>
            </w:r>
            <w:r>
              <w:rPr>
                <w:sz w:val="18"/>
              </w:rPr>
              <w:t> </w:t>
            </w:r>
            <w:r w:rsidRPr="005F3E03">
              <w:rPr>
                <w:sz w:val="18"/>
              </w:rPr>
              <w:t>121</w:t>
            </w:r>
          </w:p>
        </w:tc>
        <w:tc>
          <w:tcPr>
            <w:tcW w:w="851" w:type="dxa"/>
            <w:tcBorders>
              <w:top w:val="single" w:sz="12" w:space="0" w:color="auto"/>
            </w:tcBorders>
            <w:shd w:val="clear" w:color="auto" w:fill="auto"/>
            <w:vAlign w:val="bottom"/>
          </w:tcPr>
          <w:p w14:paraId="4A6B2216" w14:textId="77777777" w:rsidR="005F3E03" w:rsidRPr="005F3E03" w:rsidRDefault="005F3E03" w:rsidP="005F3E03">
            <w:pPr>
              <w:pStyle w:val="SingleTxtG"/>
              <w:keepNext/>
              <w:keepLines/>
              <w:spacing w:before="40" w:after="40" w:line="220" w:lineRule="exact"/>
              <w:ind w:left="28" w:right="28"/>
              <w:jc w:val="right"/>
              <w:rPr>
                <w:bCs/>
                <w:sz w:val="18"/>
              </w:rPr>
            </w:pPr>
            <w:r w:rsidRPr="005F3E03">
              <w:rPr>
                <w:bCs/>
                <w:sz w:val="18"/>
              </w:rPr>
              <w:t>18</w:t>
            </w:r>
            <w:r>
              <w:rPr>
                <w:bCs/>
                <w:sz w:val="18"/>
              </w:rPr>
              <w:t> </w:t>
            </w:r>
            <w:r w:rsidRPr="005F3E03">
              <w:rPr>
                <w:bCs/>
                <w:sz w:val="18"/>
              </w:rPr>
              <w:t>783</w:t>
            </w:r>
          </w:p>
        </w:tc>
        <w:tc>
          <w:tcPr>
            <w:tcW w:w="992" w:type="dxa"/>
            <w:tcBorders>
              <w:top w:val="single" w:sz="12" w:space="0" w:color="auto"/>
            </w:tcBorders>
            <w:shd w:val="clear" w:color="auto" w:fill="auto"/>
            <w:vAlign w:val="bottom"/>
          </w:tcPr>
          <w:p w14:paraId="0B0787B4" w14:textId="77777777" w:rsidR="005F3E03" w:rsidRPr="005F3E03" w:rsidRDefault="005F3E03" w:rsidP="005F3E03">
            <w:pPr>
              <w:pStyle w:val="SingleTxtG"/>
              <w:keepNext/>
              <w:keepLines/>
              <w:spacing w:before="40" w:after="40" w:line="220" w:lineRule="exact"/>
              <w:ind w:left="28" w:right="28"/>
              <w:jc w:val="right"/>
              <w:rPr>
                <w:sz w:val="18"/>
              </w:rPr>
            </w:pPr>
            <w:r w:rsidRPr="005F3E03">
              <w:rPr>
                <w:sz w:val="18"/>
              </w:rPr>
              <w:t>11</w:t>
            </w:r>
            <w:r>
              <w:rPr>
                <w:sz w:val="18"/>
              </w:rPr>
              <w:t> </w:t>
            </w:r>
            <w:r w:rsidRPr="005F3E03">
              <w:rPr>
                <w:sz w:val="18"/>
              </w:rPr>
              <w:t>120</w:t>
            </w:r>
          </w:p>
        </w:tc>
        <w:tc>
          <w:tcPr>
            <w:tcW w:w="709" w:type="dxa"/>
            <w:tcBorders>
              <w:top w:val="single" w:sz="12" w:space="0" w:color="auto"/>
            </w:tcBorders>
            <w:shd w:val="clear" w:color="auto" w:fill="auto"/>
            <w:vAlign w:val="bottom"/>
          </w:tcPr>
          <w:p w14:paraId="3AEDB279" w14:textId="77777777" w:rsidR="005F3E03" w:rsidRPr="005F3E03" w:rsidRDefault="005F3E03" w:rsidP="005F3E03">
            <w:pPr>
              <w:pStyle w:val="SingleTxtG"/>
              <w:keepNext/>
              <w:keepLines/>
              <w:spacing w:before="40" w:after="40" w:line="220" w:lineRule="exact"/>
              <w:ind w:left="28" w:right="28"/>
              <w:jc w:val="right"/>
              <w:rPr>
                <w:sz w:val="18"/>
              </w:rPr>
            </w:pPr>
            <w:r w:rsidRPr="005F3E03">
              <w:rPr>
                <w:sz w:val="18"/>
              </w:rPr>
              <w:t>10</w:t>
            </w:r>
            <w:r>
              <w:rPr>
                <w:sz w:val="18"/>
              </w:rPr>
              <w:t> </w:t>
            </w:r>
            <w:r w:rsidRPr="005F3E03">
              <w:rPr>
                <w:sz w:val="18"/>
              </w:rPr>
              <w:t>542</w:t>
            </w:r>
          </w:p>
        </w:tc>
        <w:tc>
          <w:tcPr>
            <w:tcW w:w="850" w:type="dxa"/>
            <w:tcBorders>
              <w:top w:val="single" w:sz="12" w:space="0" w:color="auto"/>
            </w:tcBorders>
            <w:shd w:val="clear" w:color="auto" w:fill="auto"/>
            <w:vAlign w:val="bottom"/>
          </w:tcPr>
          <w:p w14:paraId="4BE49AA2" w14:textId="77777777" w:rsidR="005F3E03" w:rsidRPr="005F3E03" w:rsidRDefault="005F3E03" w:rsidP="005F3E03">
            <w:pPr>
              <w:pStyle w:val="SingleTxtG"/>
              <w:keepNext/>
              <w:keepLines/>
              <w:spacing w:before="40" w:after="40" w:line="220" w:lineRule="exact"/>
              <w:ind w:left="28" w:right="28"/>
              <w:jc w:val="right"/>
              <w:rPr>
                <w:sz w:val="18"/>
              </w:rPr>
            </w:pPr>
            <w:r w:rsidRPr="005F3E03">
              <w:rPr>
                <w:bCs/>
                <w:sz w:val="18"/>
              </w:rPr>
              <w:t>21</w:t>
            </w:r>
            <w:r>
              <w:rPr>
                <w:bCs/>
                <w:sz w:val="18"/>
              </w:rPr>
              <w:t> </w:t>
            </w:r>
            <w:r w:rsidRPr="005F3E03">
              <w:rPr>
                <w:bCs/>
                <w:sz w:val="18"/>
              </w:rPr>
              <w:t>662</w:t>
            </w:r>
          </w:p>
        </w:tc>
      </w:tr>
      <w:tr w:rsidR="005F3E03" w:rsidRPr="005F3E03" w14:paraId="31D6BF0A" w14:textId="77777777" w:rsidTr="004702BD">
        <w:trPr>
          <w:trHeight w:val="240"/>
        </w:trPr>
        <w:tc>
          <w:tcPr>
            <w:tcW w:w="2127" w:type="dxa"/>
            <w:shd w:val="clear" w:color="auto" w:fill="auto"/>
          </w:tcPr>
          <w:p w14:paraId="3AFAB456" w14:textId="77777777" w:rsidR="005F3E03" w:rsidRPr="009A6158" w:rsidRDefault="005F3E03" w:rsidP="005F3E03">
            <w:pPr>
              <w:suppressAutoHyphens w:val="0"/>
              <w:spacing w:before="40" w:after="40" w:line="220" w:lineRule="exact"/>
              <w:jc w:val="left"/>
              <w:rPr>
                <w:sz w:val="18"/>
                <w:rtl/>
                <w:lang w:bidi="fr-FR"/>
              </w:rPr>
            </w:pPr>
            <w:r w:rsidRPr="009A6158">
              <w:rPr>
                <w:sz w:val="18"/>
                <w:lang w:bidi="ar-QA"/>
              </w:rPr>
              <w:t>1 à 4 ans</w:t>
            </w:r>
          </w:p>
        </w:tc>
        <w:tc>
          <w:tcPr>
            <w:tcW w:w="850" w:type="dxa"/>
            <w:shd w:val="clear" w:color="auto" w:fill="auto"/>
          </w:tcPr>
          <w:p w14:paraId="3EE52A5F" w14:textId="77777777" w:rsidR="005F3E03" w:rsidRPr="005F3E03" w:rsidRDefault="005F3E03" w:rsidP="005F3E03">
            <w:pPr>
              <w:pStyle w:val="SingleTxtG"/>
              <w:keepNext/>
              <w:keepLines/>
              <w:spacing w:before="40" w:after="40" w:line="220" w:lineRule="exact"/>
              <w:ind w:left="28" w:right="28"/>
              <w:jc w:val="right"/>
              <w:rPr>
                <w:bCs/>
                <w:sz w:val="18"/>
              </w:rPr>
            </w:pPr>
            <w:r w:rsidRPr="005F3E03">
              <w:rPr>
                <w:bCs/>
                <w:sz w:val="18"/>
              </w:rPr>
              <w:t>44</w:t>
            </w:r>
            <w:r>
              <w:rPr>
                <w:bCs/>
                <w:sz w:val="18"/>
              </w:rPr>
              <w:t> </w:t>
            </w:r>
            <w:r w:rsidRPr="005F3E03">
              <w:rPr>
                <w:bCs/>
                <w:sz w:val="18"/>
              </w:rPr>
              <w:t>331</w:t>
            </w:r>
          </w:p>
        </w:tc>
        <w:tc>
          <w:tcPr>
            <w:tcW w:w="775" w:type="dxa"/>
            <w:shd w:val="clear" w:color="auto" w:fill="auto"/>
          </w:tcPr>
          <w:p w14:paraId="78976443" w14:textId="77777777" w:rsidR="005F3E03" w:rsidRPr="005F3E03" w:rsidRDefault="005F3E03" w:rsidP="005F3E03">
            <w:pPr>
              <w:pStyle w:val="SingleTxtG"/>
              <w:keepNext/>
              <w:keepLines/>
              <w:spacing w:before="40" w:after="40" w:line="220" w:lineRule="exact"/>
              <w:ind w:left="28" w:right="28"/>
              <w:jc w:val="right"/>
              <w:rPr>
                <w:bCs/>
                <w:sz w:val="18"/>
              </w:rPr>
            </w:pPr>
            <w:r w:rsidRPr="005F3E03">
              <w:t>42</w:t>
            </w:r>
            <w:r>
              <w:t> </w:t>
            </w:r>
            <w:r w:rsidRPr="005F3E03">
              <w:t>407</w:t>
            </w:r>
          </w:p>
        </w:tc>
        <w:tc>
          <w:tcPr>
            <w:tcW w:w="882" w:type="dxa"/>
            <w:shd w:val="clear" w:color="auto" w:fill="auto"/>
            <w:vAlign w:val="bottom"/>
          </w:tcPr>
          <w:p w14:paraId="62EE51CD" w14:textId="77777777" w:rsidR="005F3E03" w:rsidRPr="005F3E03" w:rsidRDefault="005F3E03" w:rsidP="005F3E03">
            <w:pPr>
              <w:pStyle w:val="SingleTxtG"/>
              <w:keepNext/>
              <w:keepLines/>
              <w:spacing w:before="40" w:after="40" w:line="220" w:lineRule="exact"/>
              <w:ind w:left="28" w:right="28"/>
              <w:jc w:val="right"/>
              <w:rPr>
                <w:bCs/>
                <w:sz w:val="18"/>
              </w:rPr>
            </w:pPr>
            <w:r w:rsidRPr="005F3E03">
              <w:rPr>
                <w:bCs/>
                <w:sz w:val="18"/>
              </w:rPr>
              <w:t>86</w:t>
            </w:r>
            <w:r>
              <w:rPr>
                <w:bCs/>
                <w:sz w:val="18"/>
              </w:rPr>
              <w:t> </w:t>
            </w:r>
            <w:r w:rsidRPr="005F3E03">
              <w:rPr>
                <w:bCs/>
                <w:sz w:val="18"/>
              </w:rPr>
              <w:t>738</w:t>
            </w:r>
          </w:p>
        </w:tc>
        <w:tc>
          <w:tcPr>
            <w:tcW w:w="895" w:type="dxa"/>
            <w:shd w:val="clear" w:color="auto" w:fill="auto"/>
            <w:vAlign w:val="bottom"/>
          </w:tcPr>
          <w:p w14:paraId="6BC5223A" w14:textId="77777777" w:rsidR="005F3E03" w:rsidRPr="005F3E03" w:rsidRDefault="005F3E03" w:rsidP="005F3E03">
            <w:pPr>
              <w:pStyle w:val="SingleTxtG"/>
              <w:keepNext/>
              <w:keepLines/>
              <w:spacing w:before="40" w:after="40" w:line="220" w:lineRule="exact"/>
              <w:ind w:left="28" w:right="28"/>
              <w:jc w:val="right"/>
              <w:rPr>
                <w:sz w:val="18"/>
              </w:rPr>
            </w:pPr>
            <w:r w:rsidRPr="005F3E03">
              <w:rPr>
                <w:sz w:val="18"/>
              </w:rPr>
              <w:t>46</w:t>
            </w:r>
            <w:r>
              <w:rPr>
                <w:sz w:val="18"/>
              </w:rPr>
              <w:t> </w:t>
            </w:r>
            <w:r w:rsidRPr="005F3E03">
              <w:rPr>
                <w:sz w:val="18"/>
              </w:rPr>
              <w:t>030</w:t>
            </w:r>
          </w:p>
        </w:tc>
        <w:tc>
          <w:tcPr>
            <w:tcW w:w="708" w:type="dxa"/>
            <w:shd w:val="clear" w:color="auto" w:fill="auto"/>
            <w:vAlign w:val="bottom"/>
          </w:tcPr>
          <w:p w14:paraId="04BEF579" w14:textId="77777777" w:rsidR="005F3E03" w:rsidRPr="005F3E03" w:rsidRDefault="005F3E03" w:rsidP="005F3E03">
            <w:pPr>
              <w:pStyle w:val="SingleTxtG"/>
              <w:keepNext/>
              <w:keepLines/>
              <w:spacing w:before="40" w:after="40" w:line="220" w:lineRule="exact"/>
              <w:ind w:left="28" w:right="28"/>
              <w:jc w:val="right"/>
              <w:rPr>
                <w:sz w:val="18"/>
              </w:rPr>
            </w:pPr>
            <w:r w:rsidRPr="005F3E03">
              <w:rPr>
                <w:sz w:val="18"/>
              </w:rPr>
              <w:t>44</w:t>
            </w:r>
            <w:r>
              <w:rPr>
                <w:sz w:val="18"/>
              </w:rPr>
              <w:t> </w:t>
            </w:r>
            <w:r w:rsidRPr="005F3E03">
              <w:rPr>
                <w:sz w:val="18"/>
              </w:rPr>
              <w:t>435</w:t>
            </w:r>
          </w:p>
        </w:tc>
        <w:tc>
          <w:tcPr>
            <w:tcW w:w="851" w:type="dxa"/>
            <w:shd w:val="clear" w:color="auto" w:fill="auto"/>
            <w:vAlign w:val="bottom"/>
          </w:tcPr>
          <w:p w14:paraId="2CDBD3BD" w14:textId="77777777" w:rsidR="005F3E03" w:rsidRPr="005F3E03" w:rsidRDefault="005F3E03" w:rsidP="005F3E03">
            <w:pPr>
              <w:pStyle w:val="SingleTxtG"/>
              <w:keepNext/>
              <w:keepLines/>
              <w:spacing w:before="40" w:after="40" w:line="220" w:lineRule="exact"/>
              <w:ind w:left="28" w:right="28"/>
              <w:jc w:val="right"/>
              <w:rPr>
                <w:bCs/>
                <w:sz w:val="18"/>
              </w:rPr>
            </w:pPr>
            <w:r w:rsidRPr="005F3E03">
              <w:rPr>
                <w:bCs/>
                <w:sz w:val="18"/>
              </w:rPr>
              <w:t>90</w:t>
            </w:r>
            <w:r>
              <w:rPr>
                <w:bCs/>
                <w:sz w:val="18"/>
              </w:rPr>
              <w:t> </w:t>
            </w:r>
            <w:r w:rsidRPr="005F3E03">
              <w:rPr>
                <w:bCs/>
                <w:sz w:val="18"/>
              </w:rPr>
              <w:t>465</w:t>
            </w:r>
          </w:p>
        </w:tc>
        <w:tc>
          <w:tcPr>
            <w:tcW w:w="992" w:type="dxa"/>
            <w:shd w:val="clear" w:color="auto" w:fill="auto"/>
            <w:vAlign w:val="bottom"/>
          </w:tcPr>
          <w:p w14:paraId="0856B6A8" w14:textId="77777777" w:rsidR="005F3E03" w:rsidRPr="005F3E03" w:rsidRDefault="005F3E03" w:rsidP="005F3E03">
            <w:pPr>
              <w:pStyle w:val="SingleTxtG"/>
              <w:keepNext/>
              <w:keepLines/>
              <w:spacing w:before="40" w:after="40" w:line="220" w:lineRule="exact"/>
              <w:ind w:left="28" w:right="28"/>
              <w:jc w:val="right"/>
              <w:rPr>
                <w:sz w:val="18"/>
              </w:rPr>
            </w:pPr>
            <w:r w:rsidRPr="005F3E03">
              <w:rPr>
                <w:sz w:val="18"/>
              </w:rPr>
              <w:t>56</w:t>
            </w:r>
            <w:r>
              <w:rPr>
                <w:sz w:val="18"/>
              </w:rPr>
              <w:t> </w:t>
            </w:r>
            <w:r w:rsidRPr="005F3E03">
              <w:rPr>
                <w:sz w:val="18"/>
              </w:rPr>
              <w:t>092</w:t>
            </w:r>
          </w:p>
        </w:tc>
        <w:tc>
          <w:tcPr>
            <w:tcW w:w="709" w:type="dxa"/>
            <w:shd w:val="clear" w:color="auto" w:fill="auto"/>
            <w:vAlign w:val="bottom"/>
          </w:tcPr>
          <w:p w14:paraId="01A9F8F7" w14:textId="77777777" w:rsidR="005F3E03" w:rsidRPr="005F3E03" w:rsidRDefault="005F3E03" w:rsidP="005F3E03">
            <w:pPr>
              <w:pStyle w:val="SingleTxtG"/>
              <w:keepNext/>
              <w:keepLines/>
              <w:spacing w:before="40" w:after="40" w:line="220" w:lineRule="exact"/>
              <w:ind w:left="28" w:right="28"/>
              <w:jc w:val="right"/>
              <w:rPr>
                <w:sz w:val="18"/>
              </w:rPr>
            </w:pPr>
            <w:r w:rsidRPr="005F3E03">
              <w:rPr>
                <w:sz w:val="18"/>
              </w:rPr>
              <w:t>53</w:t>
            </w:r>
            <w:r>
              <w:rPr>
                <w:sz w:val="18"/>
              </w:rPr>
              <w:t> </w:t>
            </w:r>
            <w:r w:rsidRPr="005F3E03">
              <w:rPr>
                <w:sz w:val="18"/>
              </w:rPr>
              <w:t>787</w:t>
            </w:r>
          </w:p>
        </w:tc>
        <w:tc>
          <w:tcPr>
            <w:tcW w:w="850" w:type="dxa"/>
            <w:shd w:val="clear" w:color="auto" w:fill="auto"/>
            <w:vAlign w:val="bottom"/>
          </w:tcPr>
          <w:p w14:paraId="70C0DC77" w14:textId="77777777" w:rsidR="005F3E03" w:rsidRPr="005F3E03" w:rsidRDefault="005F3E03" w:rsidP="005F3E03">
            <w:pPr>
              <w:pStyle w:val="SingleTxtG"/>
              <w:keepNext/>
              <w:keepLines/>
              <w:spacing w:before="40" w:after="40" w:line="220" w:lineRule="exact"/>
              <w:ind w:left="28" w:right="28"/>
              <w:jc w:val="right"/>
              <w:rPr>
                <w:sz w:val="18"/>
              </w:rPr>
            </w:pPr>
            <w:r w:rsidRPr="005F3E03">
              <w:rPr>
                <w:bCs/>
                <w:sz w:val="18"/>
              </w:rPr>
              <w:t>109</w:t>
            </w:r>
            <w:r>
              <w:rPr>
                <w:bCs/>
                <w:sz w:val="18"/>
              </w:rPr>
              <w:t> </w:t>
            </w:r>
            <w:r w:rsidRPr="005F3E03">
              <w:rPr>
                <w:bCs/>
                <w:sz w:val="18"/>
              </w:rPr>
              <w:t>879</w:t>
            </w:r>
          </w:p>
        </w:tc>
      </w:tr>
      <w:tr w:rsidR="005F3E03" w:rsidRPr="005F3E03" w14:paraId="14A81F66" w14:textId="77777777" w:rsidTr="004702BD">
        <w:trPr>
          <w:trHeight w:val="240"/>
        </w:trPr>
        <w:tc>
          <w:tcPr>
            <w:tcW w:w="2127" w:type="dxa"/>
            <w:shd w:val="clear" w:color="auto" w:fill="auto"/>
          </w:tcPr>
          <w:p w14:paraId="166BA0C0" w14:textId="77777777" w:rsidR="005F3E03" w:rsidRPr="009A6158" w:rsidRDefault="005F3E03" w:rsidP="005F3E03">
            <w:pPr>
              <w:suppressAutoHyphens w:val="0"/>
              <w:spacing w:before="40" w:after="40" w:line="220" w:lineRule="exact"/>
              <w:jc w:val="left"/>
              <w:rPr>
                <w:sz w:val="18"/>
                <w:rtl/>
                <w:lang w:bidi="fr-FR"/>
              </w:rPr>
            </w:pPr>
            <w:r w:rsidRPr="009A6158">
              <w:rPr>
                <w:sz w:val="18"/>
                <w:lang w:bidi="ar-QA"/>
              </w:rPr>
              <w:t>5 à 9 ans</w:t>
            </w:r>
          </w:p>
        </w:tc>
        <w:tc>
          <w:tcPr>
            <w:tcW w:w="850" w:type="dxa"/>
            <w:shd w:val="clear" w:color="auto" w:fill="auto"/>
          </w:tcPr>
          <w:p w14:paraId="3A02AF7B" w14:textId="77777777" w:rsidR="005F3E03" w:rsidRPr="005F3E03" w:rsidRDefault="005F3E03" w:rsidP="005F3E03">
            <w:pPr>
              <w:pStyle w:val="SingleTxtG"/>
              <w:keepNext/>
              <w:keepLines/>
              <w:spacing w:before="40" w:after="40" w:line="220" w:lineRule="exact"/>
              <w:ind w:left="28" w:right="28"/>
              <w:jc w:val="right"/>
              <w:rPr>
                <w:bCs/>
                <w:sz w:val="18"/>
              </w:rPr>
            </w:pPr>
            <w:r w:rsidRPr="005F3E03">
              <w:rPr>
                <w:bCs/>
                <w:sz w:val="18"/>
              </w:rPr>
              <w:t>47</w:t>
            </w:r>
            <w:r>
              <w:rPr>
                <w:bCs/>
                <w:sz w:val="18"/>
              </w:rPr>
              <w:t> </w:t>
            </w:r>
            <w:r w:rsidRPr="005F3E03">
              <w:rPr>
                <w:bCs/>
                <w:sz w:val="18"/>
              </w:rPr>
              <w:t>203</w:t>
            </w:r>
          </w:p>
        </w:tc>
        <w:tc>
          <w:tcPr>
            <w:tcW w:w="775" w:type="dxa"/>
            <w:shd w:val="clear" w:color="auto" w:fill="auto"/>
          </w:tcPr>
          <w:p w14:paraId="1412D156" w14:textId="77777777" w:rsidR="005F3E03" w:rsidRPr="005F3E03" w:rsidRDefault="005F3E03" w:rsidP="005F3E03">
            <w:pPr>
              <w:pStyle w:val="SingleTxtG"/>
              <w:keepNext/>
              <w:keepLines/>
              <w:spacing w:before="40" w:after="40" w:line="220" w:lineRule="exact"/>
              <w:ind w:left="28" w:right="28"/>
              <w:jc w:val="right"/>
              <w:rPr>
                <w:bCs/>
                <w:sz w:val="18"/>
              </w:rPr>
            </w:pPr>
            <w:r w:rsidRPr="005F3E03">
              <w:rPr>
                <w:bCs/>
                <w:sz w:val="18"/>
              </w:rPr>
              <w:t>45</w:t>
            </w:r>
            <w:r>
              <w:rPr>
                <w:bCs/>
                <w:sz w:val="18"/>
              </w:rPr>
              <w:t> </w:t>
            </w:r>
            <w:r w:rsidRPr="005F3E03">
              <w:rPr>
                <w:bCs/>
                <w:sz w:val="18"/>
              </w:rPr>
              <w:t>414</w:t>
            </w:r>
          </w:p>
        </w:tc>
        <w:tc>
          <w:tcPr>
            <w:tcW w:w="882" w:type="dxa"/>
            <w:shd w:val="clear" w:color="auto" w:fill="auto"/>
            <w:vAlign w:val="bottom"/>
          </w:tcPr>
          <w:p w14:paraId="30F586F1" w14:textId="77777777" w:rsidR="005F3E03" w:rsidRPr="005F3E03" w:rsidRDefault="005F3E03" w:rsidP="005F3E03">
            <w:pPr>
              <w:pStyle w:val="SingleTxtG"/>
              <w:keepNext/>
              <w:keepLines/>
              <w:spacing w:before="40" w:after="40" w:line="220" w:lineRule="exact"/>
              <w:ind w:left="28" w:right="28"/>
              <w:jc w:val="right"/>
              <w:rPr>
                <w:bCs/>
                <w:sz w:val="18"/>
              </w:rPr>
            </w:pPr>
            <w:r w:rsidRPr="005F3E03">
              <w:rPr>
                <w:bCs/>
                <w:sz w:val="18"/>
              </w:rPr>
              <w:t>92</w:t>
            </w:r>
            <w:r>
              <w:rPr>
                <w:bCs/>
                <w:sz w:val="18"/>
              </w:rPr>
              <w:t> </w:t>
            </w:r>
            <w:r w:rsidRPr="005F3E03">
              <w:rPr>
                <w:bCs/>
                <w:sz w:val="18"/>
              </w:rPr>
              <w:t>617</w:t>
            </w:r>
          </w:p>
        </w:tc>
        <w:tc>
          <w:tcPr>
            <w:tcW w:w="895" w:type="dxa"/>
            <w:shd w:val="clear" w:color="auto" w:fill="auto"/>
            <w:vAlign w:val="bottom"/>
          </w:tcPr>
          <w:p w14:paraId="564695F4" w14:textId="77777777" w:rsidR="005F3E03" w:rsidRPr="005F3E03" w:rsidRDefault="005F3E03" w:rsidP="005F3E03">
            <w:pPr>
              <w:pStyle w:val="SingleTxtG"/>
              <w:keepNext/>
              <w:keepLines/>
              <w:spacing w:before="40" w:after="40" w:line="220" w:lineRule="exact"/>
              <w:ind w:left="28" w:right="28"/>
              <w:jc w:val="right"/>
              <w:rPr>
                <w:sz w:val="18"/>
              </w:rPr>
            </w:pPr>
            <w:r w:rsidRPr="005F3E03">
              <w:rPr>
                <w:sz w:val="18"/>
              </w:rPr>
              <w:t>51</w:t>
            </w:r>
            <w:r>
              <w:rPr>
                <w:sz w:val="18"/>
              </w:rPr>
              <w:t> </w:t>
            </w:r>
            <w:r w:rsidRPr="005F3E03">
              <w:rPr>
                <w:sz w:val="18"/>
              </w:rPr>
              <w:t>931</w:t>
            </w:r>
          </w:p>
        </w:tc>
        <w:tc>
          <w:tcPr>
            <w:tcW w:w="708" w:type="dxa"/>
            <w:shd w:val="clear" w:color="auto" w:fill="auto"/>
            <w:vAlign w:val="bottom"/>
          </w:tcPr>
          <w:p w14:paraId="6CF399A4" w14:textId="77777777" w:rsidR="005F3E03" w:rsidRPr="005F3E03" w:rsidRDefault="005F3E03" w:rsidP="005F3E03">
            <w:pPr>
              <w:pStyle w:val="SingleTxtG"/>
              <w:keepNext/>
              <w:keepLines/>
              <w:spacing w:before="40" w:after="40" w:line="220" w:lineRule="exact"/>
              <w:ind w:left="28" w:right="28"/>
              <w:jc w:val="right"/>
              <w:rPr>
                <w:sz w:val="18"/>
              </w:rPr>
            </w:pPr>
            <w:r w:rsidRPr="005F3E03">
              <w:rPr>
                <w:sz w:val="18"/>
              </w:rPr>
              <w:t>50</w:t>
            </w:r>
            <w:r>
              <w:rPr>
                <w:sz w:val="18"/>
              </w:rPr>
              <w:t> </w:t>
            </w:r>
            <w:r w:rsidRPr="005F3E03">
              <w:rPr>
                <w:sz w:val="18"/>
              </w:rPr>
              <w:t>047</w:t>
            </w:r>
          </w:p>
        </w:tc>
        <w:tc>
          <w:tcPr>
            <w:tcW w:w="851" w:type="dxa"/>
            <w:shd w:val="clear" w:color="auto" w:fill="auto"/>
            <w:vAlign w:val="bottom"/>
          </w:tcPr>
          <w:p w14:paraId="585A06E9" w14:textId="77777777" w:rsidR="005F3E03" w:rsidRPr="005F3E03" w:rsidRDefault="005F3E03" w:rsidP="005F3E03">
            <w:pPr>
              <w:pStyle w:val="SingleTxtG"/>
              <w:keepNext/>
              <w:keepLines/>
              <w:spacing w:before="40" w:after="40" w:line="220" w:lineRule="exact"/>
              <w:ind w:left="28" w:right="28"/>
              <w:jc w:val="right"/>
              <w:rPr>
                <w:bCs/>
                <w:sz w:val="18"/>
              </w:rPr>
            </w:pPr>
            <w:r w:rsidRPr="005F3E03">
              <w:rPr>
                <w:bCs/>
                <w:sz w:val="18"/>
              </w:rPr>
              <w:t>101</w:t>
            </w:r>
            <w:r>
              <w:rPr>
                <w:bCs/>
                <w:sz w:val="18"/>
              </w:rPr>
              <w:t> </w:t>
            </w:r>
            <w:r w:rsidRPr="005F3E03">
              <w:rPr>
                <w:bCs/>
                <w:sz w:val="18"/>
              </w:rPr>
              <w:t>978</w:t>
            </w:r>
          </w:p>
        </w:tc>
        <w:tc>
          <w:tcPr>
            <w:tcW w:w="992" w:type="dxa"/>
            <w:shd w:val="clear" w:color="auto" w:fill="auto"/>
            <w:vAlign w:val="bottom"/>
          </w:tcPr>
          <w:p w14:paraId="10C80CDD" w14:textId="77777777" w:rsidR="005F3E03" w:rsidRPr="005F3E03" w:rsidRDefault="005F3E03" w:rsidP="005F3E03">
            <w:pPr>
              <w:pStyle w:val="SingleTxtG"/>
              <w:keepNext/>
              <w:keepLines/>
              <w:spacing w:before="40" w:after="40" w:line="220" w:lineRule="exact"/>
              <w:ind w:left="28" w:right="28"/>
              <w:jc w:val="right"/>
              <w:rPr>
                <w:sz w:val="18"/>
              </w:rPr>
            </w:pPr>
            <w:r w:rsidRPr="005F3E03">
              <w:rPr>
                <w:sz w:val="18"/>
              </w:rPr>
              <w:t>66</w:t>
            </w:r>
            <w:r>
              <w:rPr>
                <w:sz w:val="18"/>
              </w:rPr>
              <w:t> </w:t>
            </w:r>
            <w:r w:rsidRPr="005F3E03">
              <w:rPr>
                <w:sz w:val="18"/>
              </w:rPr>
              <w:t>648</w:t>
            </w:r>
          </w:p>
        </w:tc>
        <w:tc>
          <w:tcPr>
            <w:tcW w:w="709" w:type="dxa"/>
            <w:shd w:val="clear" w:color="auto" w:fill="auto"/>
            <w:vAlign w:val="bottom"/>
          </w:tcPr>
          <w:p w14:paraId="65A22332" w14:textId="77777777" w:rsidR="005F3E03" w:rsidRPr="005F3E03" w:rsidRDefault="005F3E03" w:rsidP="005F3E03">
            <w:pPr>
              <w:pStyle w:val="SingleTxtG"/>
              <w:keepNext/>
              <w:keepLines/>
              <w:spacing w:before="40" w:after="40" w:line="220" w:lineRule="exact"/>
              <w:ind w:left="28" w:right="28"/>
              <w:jc w:val="right"/>
              <w:rPr>
                <w:sz w:val="18"/>
              </w:rPr>
            </w:pPr>
            <w:r w:rsidRPr="005F3E03">
              <w:rPr>
                <w:sz w:val="18"/>
              </w:rPr>
              <w:t>64</w:t>
            </w:r>
            <w:r>
              <w:rPr>
                <w:sz w:val="18"/>
              </w:rPr>
              <w:t> </w:t>
            </w:r>
            <w:r w:rsidRPr="005F3E03">
              <w:rPr>
                <w:sz w:val="18"/>
              </w:rPr>
              <w:t>071</w:t>
            </w:r>
          </w:p>
        </w:tc>
        <w:tc>
          <w:tcPr>
            <w:tcW w:w="850" w:type="dxa"/>
            <w:shd w:val="clear" w:color="auto" w:fill="auto"/>
            <w:vAlign w:val="bottom"/>
          </w:tcPr>
          <w:p w14:paraId="182D15C0" w14:textId="77777777" w:rsidR="005F3E03" w:rsidRPr="005F3E03" w:rsidRDefault="005F3E03" w:rsidP="005F3E03">
            <w:pPr>
              <w:pStyle w:val="SingleTxtG"/>
              <w:keepNext/>
              <w:keepLines/>
              <w:spacing w:before="40" w:after="40" w:line="220" w:lineRule="exact"/>
              <w:ind w:left="28" w:right="28"/>
              <w:jc w:val="right"/>
              <w:rPr>
                <w:sz w:val="18"/>
              </w:rPr>
            </w:pPr>
            <w:r w:rsidRPr="005F3E03">
              <w:rPr>
                <w:bCs/>
                <w:sz w:val="18"/>
              </w:rPr>
              <w:t>130</w:t>
            </w:r>
            <w:r>
              <w:rPr>
                <w:bCs/>
                <w:sz w:val="18"/>
              </w:rPr>
              <w:t> </w:t>
            </w:r>
            <w:r w:rsidRPr="005F3E03">
              <w:rPr>
                <w:bCs/>
                <w:sz w:val="18"/>
              </w:rPr>
              <w:t>719</w:t>
            </w:r>
          </w:p>
        </w:tc>
      </w:tr>
      <w:tr w:rsidR="005F3E03" w:rsidRPr="005F3E03" w14:paraId="4CBD65B9" w14:textId="77777777" w:rsidTr="004702BD">
        <w:trPr>
          <w:trHeight w:val="240"/>
        </w:trPr>
        <w:tc>
          <w:tcPr>
            <w:tcW w:w="2127" w:type="dxa"/>
            <w:shd w:val="clear" w:color="auto" w:fill="auto"/>
          </w:tcPr>
          <w:p w14:paraId="10C94BD2" w14:textId="77777777" w:rsidR="005F3E03" w:rsidRPr="009A6158" w:rsidRDefault="005F3E03" w:rsidP="005F3E03">
            <w:pPr>
              <w:suppressAutoHyphens w:val="0"/>
              <w:spacing w:before="40" w:after="40" w:line="220" w:lineRule="exact"/>
              <w:jc w:val="left"/>
              <w:rPr>
                <w:sz w:val="18"/>
                <w:rtl/>
                <w:lang w:bidi="fr-FR"/>
              </w:rPr>
            </w:pPr>
            <w:r w:rsidRPr="009A6158">
              <w:rPr>
                <w:sz w:val="18"/>
                <w:lang w:bidi="ar-QA"/>
              </w:rPr>
              <w:t>10 à 14 ans</w:t>
            </w:r>
          </w:p>
        </w:tc>
        <w:tc>
          <w:tcPr>
            <w:tcW w:w="850" w:type="dxa"/>
            <w:shd w:val="clear" w:color="auto" w:fill="auto"/>
          </w:tcPr>
          <w:p w14:paraId="156E80DF" w14:textId="77777777" w:rsidR="005F3E03" w:rsidRPr="005F3E03" w:rsidRDefault="005F3E03" w:rsidP="005F3E03">
            <w:pPr>
              <w:pStyle w:val="SingleTxtG"/>
              <w:keepNext/>
              <w:keepLines/>
              <w:spacing w:before="40" w:after="40" w:line="220" w:lineRule="exact"/>
              <w:ind w:left="28" w:right="28"/>
              <w:jc w:val="right"/>
              <w:rPr>
                <w:bCs/>
                <w:sz w:val="18"/>
              </w:rPr>
            </w:pPr>
            <w:r w:rsidRPr="005F3E03">
              <w:rPr>
                <w:bCs/>
                <w:sz w:val="18"/>
              </w:rPr>
              <w:t>37</w:t>
            </w:r>
            <w:r>
              <w:rPr>
                <w:bCs/>
                <w:sz w:val="18"/>
              </w:rPr>
              <w:t> </w:t>
            </w:r>
            <w:r w:rsidRPr="005F3E03">
              <w:rPr>
                <w:bCs/>
                <w:sz w:val="18"/>
              </w:rPr>
              <w:t>178</w:t>
            </w:r>
          </w:p>
        </w:tc>
        <w:tc>
          <w:tcPr>
            <w:tcW w:w="775" w:type="dxa"/>
            <w:shd w:val="clear" w:color="auto" w:fill="auto"/>
          </w:tcPr>
          <w:p w14:paraId="4B52ACB9" w14:textId="77777777" w:rsidR="005F3E03" w:rsidRPr="005F3E03" w:rsidRDefault="005F3E03" w:rsidP="005F3E03">
            <w:pPr>
              <w:pStyle w:val="SingleTxtG"/>
              <w:keepNext/>
              <w:keepLines/>
              <w:spacing w:before="40" w:after="40" w:line="220" w:lineRule="exact"/>
              <w:ind w:left="28" w:right="28"/>
              <w:jc w:val="right"/>
              <w:rPr>
                <w:bCs/>
                <w:sz w:val="18"/>
              </w:rPr>
            </w:pPr>
            <w:r w:rsidRPr="005F3E03">
              <w:rPr>
                <w:bCs/>
                <w:sz w:val="18"/>
              </w:rPr>
              <w:t>35</w:t>
            </w:r>
            <w:r>
              <w:rPr>
                <w:bCs/>
                <w:sz w:val="18"/>
              </w:rPr>
              <w:t> </w:t>
            </w:r>
            <w:r w:rsidRPr="005F3E03">
              <w:rPr>
                <w:bCs/>
                <w:sz w:val="18"/>
              </w:rPr>
              <w:t>166</w:t>
            </w:r>
          </w:p>
        </w:tc>
        <w:tc>
          <w:tcPr>
            <w:tcW w:w="882" w:type="dxa"/>
            <w:shd w:val="clear" w:color="auto" w:fill="auto"/>
            <w:vAlign w:val="bottom"/>
          </w:tcPr>
          <w:p w14:paraId="3DB91A83" w14:textId="77777777" w:rsidR="005F3E03" w:rsidRPr="005F3E03" w:rsidRDefault="005F3E03" w:rsidP="005F3E03">
            <w:pPr>
              <w:pStyle w:val="SingleTxtG"/>
              <w:keepNext/>
              <w:keepLines/>
              <w:spacing w:before="40" w:after="40" w:line="220" w:lineRule="exact"/>
              <w:ind w:left="28" w:right="28"/>
              <w:jc w:val="right"/>
              <w:rPr>
                <w:bCs/>
                <w:sz w:val="18"/>
              </w:rPr>
            </w:pPr>
            <w:r w:rsidRPr="005F3E03">
              <w:rPr>
                <w:bCs/>
                <w:sz w:val="18"/>
              </w:rPr>
              <w:t>72</w:t>
            </w:r>
            <w:r>
              <w:rPr>
                <w:bCs/>
                <w:sz w:val="18"/>
              </w:rPr>
              <w:t> </w:t>
            </w:r>
            <w:r w:rsidRPr="005F3E03">
              <w:rPr>
                <w:bCs/>
                <w:sz w:val="18"/>
              </w:rPr>
              <w:t>344</w:t>
            </w:r>
          </w:p>
        </w:tc>
        <w:tc>
          <w:tcPr>
            <w:tcW w:w="895" w:type="dxa"/>
            <w:shd w:val="clear" w:color="auto" w:fill="auto"/>
            <w:vAlign w:val="bottom"/>
          </w:tcPr>
          <w:p w14:paraId="013ADD40" w14:textId="77777777" w:rsidR="005F3E03" w:rsidRPr="005F3E03" w:rsidRDefault="005F3E03" w:rsidP="005F3E03">
            <w:pPr>
              <w:pStyle w:val="SingleTxtG"/>
              <w:keepNext/>
              <w:keepLines/>
              <w:spacing w:before="40" w:after="40" w:line="220" w:lineRule="exact"/>
              <w:ind w:left="28" w:right="28"/>
              <w:jc w:val="right"/>
              <w:rPr>
                <w:sz w:val="18"/>
              </w:rPr>
            </w:pPr>
            <w:r w:rsidRPr="005F3E03">
              <w:rPr>
                <w:sz w:val="18"/>
              </w:rPr>
              <w:t>40</w:t>
            </w:r>
            <w:r>
              <w:rPr>
                <w:sz w:val="18"/>
              </w:rPr>
              <w:t> </w:t>
            </w:r>
            <w:r w:rsidRPr="005F3E03">
              <w:rPr>
                <w:sz w:val="18"/>
              </w:rPr>
              <w:t>611</w:t>
            </w:r>
          </w:p>
        </w:tc>
        <w:tc>
          <w:tcPr>
            <w:tcW w:w="708" w:type="dxa"/>
            <w:shd w:val="clear" w:color="auto" w:fill="auto"/>
            <w:vAlign w:val="bottom"/>
          </w:tcPr>
          <w:p w14:paraId="4A468291" w14:textId="77777777" w:rsidR="005F3E03" w:rsidRPr="005F3E03" w:rsidRDefault="005F3E03" w:rsidP="005F3E03">
            <w:pPr>
              <w:pStyle w:val="SingleTxtG"/>
              <w:keepNext/>
              <w:keepLines/>
              <w:spacing w:before="40" w:after="40" w:line="220" w:lineRule="exact"/>
              <w:ind w:left="28" w:right="28"/>
              <w:jc w:val="right"/>
              <w:rPr>
                <w:sz w:val="18"/>
              </w:rPr>
            </w:pPr>
            <w:r w:rsidRPr="005F3E03">
              <w:rPr>
                <w:sz w:val="18"/>
              </w:rPr>
              <w:t>38</w:t>
            </w:r>
            <w:r>
              <w:rPr>
                <w:sz w:val="18"/>
              </w:rPr>
              <w:t> </w:t>
            </w:r>
            <w:r w:rsidRPr="005F3E03">
              <w:rPr>
                <w:sz w:val="18"/>
              </w:rPr>
              <w:t>519</w:t>
            </w:r>
          </w:p>
        </w:tc>
        <w:tc>
          <w:tcPr>
            <w:tcW w:w="851" w:type="dxa"/>
            <w:shd w:val="clear" w:color="auto" w:fill="auto"/>
            <w:vAlign w:val="bottom"/>
          </w:tcPr>
          <w:p w14:paraId="0E0BD5DD" w14:textId="77777777" w:rsidR="005F3E03" w:rsidRPr="005F3E03" w:rsidRDefault="005F3E03" w:rsidP="005F3E03">
            <w:pPr>
              <w:pStyle w:val="SingleTxtG"/>
              <w:keepNext/>
              <w:keepLines/>
              <w:spacing w:before="40" w:after="40" w:line="220" w:lineRule="exact"/>
              <w:ind w:left="28" w:right="28"/>
              <w:jc w:val="right"/>
              <w:rPr>
                <w:bCs/>
                <w:sz w:val="18"/>
              </w:rPr>
            </w:pPr>
            <w:r w:rsidRPr="005F3E03">
              <w:rPr>
                <w:bCs/>
                <w:sz w:val="18"/>
              </w:rPr>
              <w:t>79</w:t>
            </w:r>
            <w:r>
              <w:rPr>
                <w:bCs/>
                <w:sz w:val="18"/>
              </w:rPr>
              <w:t> </w:t>
            </w:r>
            <w:r w:rsidRPr="005F3E03">
              <w:rPr>
                <w:bCs/>
                <w:sz w:val="18"/>
              </w:rPr>
              <w:t>130</w:t>
            </w:r>
          </w:p>
        </w:tc>
        <w:tc>
          <w:tcPr>
            <w:tcW w:w="992" w:type="dxa"/>
            <w:shd w:val="clear" w:color="auto" w:fill="auto"/>
            <w:vAlign w:val="bottom"/>
          </w:tcPr>
          <w:p w14:paraId="77182E69" w14:textId="77777777" w:rsidR="005F3E03" w:rsidRPr="005F3E03" w:rsidRDefault="005F3E03" w:rsidP="005F3E03">
            <w:pPr>
              <w:pStyle w:val="SingleTxtG"/>
              <w:keepNext/>
              <w:keepLines/>
              <w:spacing w:before="40" w:after="40" w:line="220" w:lineRule="exact"/>
              <w:ind w:left="28" w:right="28"/>
              <w:jc w:val="right"/>
              <w:rPr>
                <w:sz w:val="18"/>
              </w:rPr>
            </w:pPr>
            <w:r w:rsidRPr="005F3E03">
              <w:rPr>
                <w:sz w:val="18"/>
              </w:rPr>
              <w:t>50</w:t>
            </w:r>
            <w:r>
              <w:rPr>
                <w:sz w:val="18"/>
              </w:rPr>
              <w:t> </w:t>
            </w:r>
            <w:r w:rsidRPr="005F3E03">
              <w:rPr>
                <w:sz w:val="18"/>
              </w:rPr>
              <w:t>983</w:t>
            </w:r>
          </w:p>
        </w:tc>
        <w:tc>
          <w:tcPr>
            <w:tcW w:w="709" w:type="dxa"/>
            <w:shd w:val="clear" w:color="auto" w:fill="auto"/>
            <w:vAlign w:val="bottom"/>
          </w:tcPr>
          <w:p w14:paraId="75B97C02" w14:textId="77777777" w:rsidR="005F3E03" w:rsidRPr="005F3E03" w:rsidRDefault="005F3E03" w:rsidP="005F3E03">
            <w:pPr>
              <w:pStyle w:val="SingleTxtG"/>
              <w:keepNext/>
              <w:keepLines/>
              <w:spacing w:before="40" w:after="40" w:line="220" w:lineRule="exact"/>
              <w:ind w:left="28" w:right="28"/>
              <w:jc w:val="right"/>
              <w:rPr>
                <w:sz w:val="18"/>
              </w:rPr>
            </w:pPr>
            <w:r w:rsidRPr="005F3E03">
              <w:rPr>
                <w:sz w:val="18"/>
              </w:rPr>
              <w:t>48</w:t>
            </w:r>
            <w:r>
              <w:rPr>
                <w:sz w:val="18"/>
              </w:rPr>
              <w:t> </w:t>
            </w:r>
            <w:r w:rsidRPr="005F3E03">
              <w:rPr>
                <w:sz w:val="18"/>
              </w:rPr>
              <w:t>601</w:t>
            </w:r>
          </w:p>
        </w:tc>
        <w:tc>
          <w:tcPr>
            <w:tcW w:w="850" w:type="dxa"/>
            <w:shd w:val="clear" w:color="auto" w:fill="auto"/>
            <w:vAlign w:val="bottom"/>
          </w:tcPr>
          <w:p w14:paraId="67D76152" w14:textId="77777777" w:rsidR="005F3E03" w:rsidRPr="005F3E03" w:rsidRDefault="005F3E03" w:rsidP="005F3E03">
            <w:pPr>
              <w:pStyle w:val="SingleTxtG"/>
              <w:keepNext/>
              <w:keepLines/>
              <w:spacing w:before="40" w:after="40" w:line="220" w:lineRule="exact"/>
              <w:ind w:left="28" w:right="28"/>
              <w:jc w:val="right"/>
              <w:rPr>
                <w:sz w:val="18"/>
              </w:rPr>
            </w:pPr>
            <w:r w:rsidRPr="005F3E03">
              <w:rPr>
                <w:bCs/>
                <w:sz w:val="18"/>
              </w:rPr>
              <w:t>99</w:t>
            </w:r>
            <w:r>
              <w:rPr>
                <w:bCs/>
                <w:sz w:val="18"/>
              </w:rPr>
              <w:t> </w:t>
            </w:r>
            <w:r w:rsidRPr="005F3E03">
              <w:rPr>
                <w:bCs/>
                <w:sz w:val="18"/>
              </w:rPr>
              <w:t>584</w:t>
            </w:r>
          </w:p>
        </w:tc>
      </w:tr>
      <w:tr w:rsidR="005F3E03" w:rsidRPr="005F3E03" w14:paraId="4FC84732" w14:textId="77777777" w:rsidTr="004702BD">
        <w:trPr>
          <w:trHeight w:val="240"/>
        </w:trPr>
        <w:tc>
          <w:tcPr>
            <w:tcW w:w="2127" w:type="dxa"/>
            <w:shd w:val="clear" w:color="auto" w:fill="auto"/>
          </w:tcPr>
          <w:p w14:paraId="18F4495E" w14:textId="77777777" w:rsidR="005F3E03" w:rsidRPr="009A6158" w:rsidRDefault="005F3E03" w:rsidP="005F3E03">
            <w:pPr>
              <w:suppressAutoHyphens w:val="0"/>
              <w:spacing w:before="40" w:after="40" w:line="220" w:lineRule="exact"/>
              <w:jc w:val="left"/>
              <w:rPr>
                <w:sz w:val="18"/>
                <w:rtl/>
                <w:lang w:bidi="fr-FR"/>
              </w:rPr>
            </w:pPr>
            <w:r w:rsidRPr="009A6158">
              <w:rPr>
                <w:sz w:val="18"/>
                <w:lang w:bidi="ar-QA"/>
              </w:rPr>
              <w:t>15 à 19 ans</w:t>
            </w:r>
          </w:p>
        </w:tc>
        <w:tc>
          <w:tcPr>
            <w:tcW w:w="850" w:type="dxa"/>
            <w:shd w:val="clear" w:color="auto" w:fill="auto"/>
          </w:tcPr>
          <w:p w14:paraId="6EAF68D9" w14:textId="77777777" w:rsidR="005F3E03" w:rsidRPr="005F3E03" w:rsidRDefault="005F3E03" w:rsidP="005F3E03">
            <w:pPr>
              <w:pStyle w:val="SingleTxtG"/>
              <w:keepNext/>
              <w:keepLines/>
              <w:spacing w:before="40" w:after="40" w:line="220" w:lineRule="exact"/>
              <w:ind w:left="28" w:right="28"/>
              <w:jc w:val="right"/>
              <w:rPr>
                <w:bCs/>
                <w:sz w:val="18"/>
              </w:rPr>
            </w:pPr>
            <w:r w:rsidRPr="005F3E03">
              <w:rPr>
                <w:bCs/>
                <w:sz w:val="18"/>
              </w:rPr>
              <w:t>40</w:t>
            </w:r>
            <w:r>
              <w:rPr>
                <w:bCs/>
                <w:sz w:val="18"/>
              </w:rPr>
              <w:t> </w:t>
            </w:r>
            <w:r w:rsidRPr="005F3E03">
              <w:rPr>
                <w:bCs/>
                <w:sz w:val="18"/>
              </w:rPr>
              <w:t>810</w:t>
            </w:r>
          </w:p>
        </w:tc>
        <w:tc>
          <w:tcPr>
            <w:tcW w:w="775" w:type="dxa"/>
            <w:shd w:val="clear" w:color="auto" w:fill="auto"/>
          </w:tcPr>
          <w:p w14:paraId="5A563488" w14:textId="77777777" w:rsidR="005F3E03" w:rsidRPr="005F3E03" w:rsidRDefault="005F3E03" w:rsidP="005F3E03">
            <w:pPr>
              <w:pStyle w:val="SingleTxtG"/>
              <w:keepNext/>
              <w:keepLines/>
              <w:spacing w:before="40" w:after="40" w:line="220" w:lineRule="exact"/>
              <w:ind w:left="28" w:right="28"/>
              <w:jc w:val="right"/>
              <w:rPr>
                <w:bCs/>
                <w:sz w:val="18"/>
              </w:rPr>
            </w:pPr>
            <w:r w:rsidRPr="005F3E03">
              <w:rPr>
                <w:bCs/>
                <w:sz w:val="18"/>
              </w:rPr>
              <w:t>27</w:t>
            </w:r>
            <w:r>
              <w:rPr>
                <w:bCs/>
                <w:sz w:val="18"/>
              </w:rPr>
              <w:t> </w:t>
            </w:r>
            <w:r w:rsidRPr="005F3E03">
              <w:rPr>
                <w:bCs/>
                <w:sz w:val="18"/>
              </w:rPr>
              <w:t>839</w:t>
            </w:r>
          </w:p>
        </w:tc>
        <w:tc>
          <w:tcPr>
            <w:tcW w:w="882" w:type="dxa"/>
            <w:shd w:val="clear" w:color="auto" w:fill="auto"/>
            <w:vAlign w:val="bottom"/>
          </w:tcPr>
          <w:p w14:paraId="382A2E3B" w14:textId="77777777" w:rsidR="005F3E03" w:rsidRPr="005F3E03" w:rsidRDefault="005F3E03" w:rsidP="005F3E03">
            <w:pPr>
              <w:pStyle w:val="SingleTxtG"/>
              <w:keepNext/>
              <w:keepLines/>
              <w:spacing w:before="40" w:after="40" w:line="220" w:lineRule="exact"/>
              <w:ind w:left="28" w:right="28"/>
              <w:jc w:val="right"/>
              <w:rPr>
                <w:bCs/>
                <w:sz w:val="18"/>
              </w:rPr>
            </w:pPr>
            <w:r w:rsidRPr="005F3E03">
              <w:rPr>
                <w:bCs/>
                <w:sz w:val="18"/>
              </w:rPr>
              <w:t>68</w:t>
            </w:r>
            <w:r>
              <w:rPr>
                <w:bCs/>
                <w:sz w:val="18"/>
              </w:rPr>
              <w:t> </w:t>
            </w:r>
            <w:r w:rsidRPr="005F3E03">
              <w:rPr>
                <w:bCs/>
                <w:sz w:val="18"/>
              </w:rPr>
              <w:t>649</w:t>
            </w:r>
          </w:p>
        </w:tc>
        <w:tc>
          <w:tcPr>
            <w:tcW w:w="895" w:type="dxa"/>
            <w:shd w:val="clear" w:color="auto" w:fill="auto"/>
            <w:vAlign w:val="bottom"/>
          </w:tcPr>
          <w:p w14:paraId="453C6BB2" w14:textId="77777777" w:rsidR="005F3E03" w:rsidRPr="005F3E03" w:rsidRDefault="005F3E03" w:rsidP="005F3E03">
            <w:pPr>
              <w:pStyle w:val="SingleTxtG"/>
              <w:keepNext/>
              <w:keepLines/>
              <w:spacing w:before="40" w:after="40" w:line="220" w:lineRule="exact"/>
              <w:ind w:left="28" w:right="28"/>
              <w:jc w:val="right"/>
              <w:rPr>
                <w:sz w:val="18"/>
              </w:rPr>
            </w:pPr>
            <w:r w:rsidRPr="005F3E03">
              <w:rPr>
                <w:sz w:val="18"/>
              </w:rPr>
              <w:t>41</w:t>
            </w:r>
            <w:r>
              <w:rPr>
                <w:sz w:val="18"/>
              </w:rPr>
              <w:t> </w:t>
            </w:r>
            <w:r w:rsidRPr="005F3E03">
              <w:rPr>
                <w:sz w:val="18"/>
              </w:rPr>
              <w:t>421</w:t>
            </w:r>
          </w:p>
        </w:tc>
        <w:tc>
          <w:tcPr>
            <w:tcW w:w="708" w:type="dxa"/>
            <w:shd w:val="clear" w:color="auto" w:fill="auto"/>
            <w:vAlign w:val="bottom"/>
          </w:tcPr>
          <w:p w14:paraId="39FC5279" w14:textId="77777777" w:rsidR="005F3E03" w:rsidRPr="005F3E03" w:rsidRDefault="005F3E03" w:rsidP="005F3E03">
            <w:pPr>
              <w:pStyle w:val="SingleTxtG"/>
              <w:keepNext/>
              <w:keepLines/>
              <w:spacing w:before="40" w:after="40" w:line="220" w:lineRule="exact"/>
              <w:ind w:left="28" w:right="28"/>
              <w:jc w:val="right"/>
              <w:rPr>
                <w:sz w:val="18"/>
              </w:rPr>
            </w:pPr>
            <w:r w:rsidRPr="005F3E03">
              <w:rPr>
                <w:sz w:val="18"/>
              </w:rPr>
              <w:t>29</w:t>
            </w:r>
            <w:r>
              <w:rPr>
                <w:sz w:val="18"/>
              </w:rPr>
              <w:t> </w:t>
            </w:r>
            <w:r w:rsidRPr="005F3E03">
              <w:rPr>
                <w:sz w:val="18"/>
              </w:rPr>
              <w:t>121</w:t>
            </w:r>
          </w:p>
        </w:tc>
        <w:tc>
          <w:tcPr>
            <w:tcW w:w="851" w:type="dxa"/>
            <w:shd w:val="clear" w:color="auto" w:fill="auto"/>
            <w:vAlign w:val="bottom"/>
          </w:tcPr>
          <w:p w14:paraId="1FF4B863" w14:textId="77777777" w:rsidR="005F3E03" w:rsidRPr="005F3E03" w:rsidRDefault="005F3E03" w:rsidP="005F3E03">
            <w:pPr>
              <w:pStyle w:val="SingleTxtG"/>
              <w:keepNext/>
              <w:keepLines/>
              <w:spacing w:before="40" w:after="40" w:line="220" w:lineRule="exact"/>
              <w:ind w:left="28" w:right="28"/>
              <w:jc w:val="right"/>
              <w:rPr>
                <w:bCs/>
                <w:sz w:val="18"/>
              </w:rPr>
            </w:pPr>
            <w:r w:rsidRPr="005F3E03">
              <w:rPr>
                <w:bCs/>
                <w:sz w:val="18"/>
              </w:rPr>
              <w:t>70</w:t>
            </w:r>
            <w:r>
              <w:rPr>
                <w:bCs/>
                <w:sz w:val="18"/>
              </w:rPr>
              <w:t> </w:t>
            </w:r>
            <w:r w:rsidRPr="005F3E03">
              <w:rPr>
                <w:bCs/>
                <w:sz w:val="18"/>
              </w:rPr>
              <w:t>542</w:t>
            </w:r>
          </w:p>
        </w:tc>
        <w:tc>
          <w:tcPr>
            <w:tcW w:w="992" w:type="dxa"/>
            <w:shd w:val="clear" w:color="auto" w:fill="auto"/>
            <w:vAlign w:val="bottom"/>
          </w:tcPr>
          <w:p w14:paraId="0A526BEF" w14:textId="77777777" w:rsidR="005F3E03" w:rsidRPr="005F3E03" w:rsidRDefault="005F3E03" w:rsidP="005F3E03">
            <w:pPr>
              <w:pStyle w:val="SingleTxtG"/>
              <w:keepNext/>
              <w:keepLines/>
              <w:spacing w:before="40" w:after="40" w:line="220" w:lineRule="exact"/>
              <w:ind w:left="28" w:right="28"/>
              <w:jc w:val="right"/>
              <w:rPr>
                <w:sz w:val="18"/>
              </w:rPr>
            </w:pPr>
            <w:r w:rsidRPr="005F3E03">
              <w:rPr>
                <w:sz w:val="18"/>
              </w:rPr>
              <w:t>44</w:t>
            </w:r>
            <w:r>
              <w:rPr>
                <w:sz w:val="18"/>
              </w:rPr>
              <w:t> </w:t>
            </w:r>
            <w:r w:rsidRPr="005F3E03">
              <w:rPr>
                <w:sz w:val="18"/>
              </w:rPr>
              <w:t>857</w:t>
            </w:r>
          </w:p>
        </w:tc>
        <w:tc>
          <w:tcPr>
            <w:tcW w:w="709" w:type="dxa"/>
            <w:shd w:val="clear" w:color="auto" w:fill="auto"/>
            <w:vAlign w:val="bottom"/>
          </w:tcPr>
          <w:p w14:paraId="17036B9F" w14:textId="77777777" w:rsidR="005F3E03" w:rsidRPr="005F3E03" w:rsidRDefault="005F3E03" w:rsidP="005F3E03">
            <w:pPr>
              <w:pStyle w:val="SingleTxtG"/>
              <w:keepNext/>
              <w:keepLines/>
              <w:spacing w:before="40" w:after="40" w:line="220" w:lineRule="exact"/>
              <w:ind w:left="28" w:right="28"/>
              <w:jc w:val="right"/>
              <w:rPr>
                <w:sz w:val="18"/>
              </w:rPr>
            </w:pPr>
            <w:r w:rsidRPr="005F3E03">
              <w:rPr>
                <w:sz w:val="18"/>
              </w:rPr>
              <w:t>33</w:t>
            </w:r>
            <w:r>
              <w:rPr>
                <w:sz w:val="18"/>
              </w:rPr>
              <w:t> </w:t>
            </w:r>
            <w:r w:rsidRPr="005F3E03">
              <w:rPr>
                <w:sz w:val="18"/>
              </w:rPr>
              <w:t>724</w:t>
            </w:r>
          </w:p>
        </w:tc>
        <w:tc>
          <w:tcPr>
            <w:tcW w:w="850" w:type="dxa"/>
            <w:shd w:val="clear" w:color="auto" w:fill="auto"/>
            <w:vAlign w:val="bottom"/>
          </w:tcPr>
          <w:p w14:paraId="79446449" w14:textId="77777777" w:rsidR="005F3E03" w:rsidRPr="005F3E03" w:rsidRDefault="005F3E03" w:rsidP="005F3E03">
            <w:pPr>
              <w:pStyle w:val="SingleTxtG"/>
              <w:keepNext/>
              <w:keepLines/>
              <w:spacing w:before="40" w:after="40" w:line="220" w:lineRule="exact"/>
              <w:ind w:left="28" w:right="28"/>
              <w:jc w:val="right"/>
              <w:rPr>
                <w:sz w:val="18"/>
              </w:rPr>
            </w:pPr>
            <w:r w:rsidRPr="005F3E03">
              <w:rPr>
                <w:bCs/>
                <w:sz w:val="18"/>
              </w:rPr>
              <w:t>78</w:t>
            </w:r>
            <w:r>
              <w:rPr>
                <w:bCs/>
                <w:sz w:val="18"/>
              </w:rPr>
              <w:t> </w:t>
            </w:r>
            <w:r w:rsidRPr="005F3E03">
              <w:rPr>
                <w:bCs/>
                <w:sz w:val="18"/>
              </w:rPr>
              <w:t>581</w:t>
            </w:r>
          </w:p>
        </w:tc>
      </w:tr>
      <w:tr w:rsidR="005F3E03" w:rsidRPr="005F3E03" w14:paraId="227C557C" w14:textId="77777777" w:rsidTr="004702BD">
        <w:trPr>
          <w:trHeight w:val="240"/>
        </w:trPr>
        <w:tc>
          <w:tcPr>
            <w:tcW w:w="2127" w:type="dxa"/>
            <w:shd w:val="clear" w:color="auto" w:fill="auto"/>
          </w:tcPr>
          <w:p w14:paraId="51601A9C" w14:textId="77777777" w:rsidR="005F3E03" w:rsidRPr="009A6158" w:rsidRDefault="005F3E03" w:rsidP="005F3E03">
            <w:pPr>
              <w:suppressAutoHyphens w:val="0"/>
              <w:spacing w:before="40" w:after="40" w:line="220" w:lineRule="exact"/>
              <w:jc w:val="left"/>
              <w:rPr>
                <w:sz w:val="18"/>
                <w:rtl/>
                <w:lang w:bidi="fr-FR"/>
              </w:rPr>
            </w:pPr>
            <w:r w:rsidRPr="009A6158">
              <w:rPr>
                <w:sz w:val="18"/>
                <w:lang w:bidi="ar-QA"/>
              </w:rPr>
              <w:t>20 à 24 ans</w:t>
            </w:r>
          </w:p>
        </w:tc>
        <w:tc>
          <w:tcPr>
            <w:tcW w:w="850" w:type="dxa"/>
            <w:shd w:val="clear" w:color="auto" w:fill="auto"/>
          </w:tcPr>
          <w:p w14:paraId="6EE9BD84" w14:textId="77777777" w:rsidR="005F3E03" w:rsidRPr="005F3E03" w:rsidRDefault="005F3E03" w:rsidP="005F3E03">
            <w:pPr>
              <w:pStyle w:val="SingleTxtG"/>
              <w:spacing w:before="40" w:after="40" w:line="220" w:lineRule="exact"/>
              <w:ind w:left="28" w:right="28"/>
              <w:jc w:val="right"/>
              <w:rPr>
                <w:bCs/>
                <w:sz w:val="18"/>
              </w:rPr>
            </w:pPr>
            <w:r w:rsidRPr="005F3E03">
              <w:rPr>
                <w:bCs/>
                <w:sz w:val="18"/>
              </w:rPr>
              <w:t>232</w:t>
            </w:r>
            <w:r>
              <w:rPr>
                <w:bCs/>
                <w:sz w:val="18"/>
              </w:rPr>
              <w:t> </w:t>
            </w:r>
            <w:r w:rsidRPr="005F3E03">
              <w:rPr>
                <w:bCs/>
                <w:sz w:val="18"/>
              </w:rPr>
              <w:t>616</w:t>
            </w:r>
          </w:p>
        </w:tc>
        <w:tc>
          <w:tcPr>
            <w:tcW w:w="775" w:type="dxa"/>
            <w:shd w:val="clear" w:color="auto" w:fill="auto"/>
          </w:tcPr>
          <w:p w14:paraId="181871E8" w14:textId="77777777" w:rsidR="005F3E03" w:rsidRPr="005F3E03" w:rsidRDefault="005F3E03" w:rsidP="005F3E03">
            <w:pPr>
              <w:pStyle w:val="SingleTxtG"/>
              <w:spacing w:before="40" w:after="40" w:line="220" w:lineRule="exact"/>
              <w:ind w:left="28" w:right="28"/>
              <w:jc w:val="right"/>
              <w:rPr>
                <w:bCs/>
                <w:sz w:val="18"/>
              </w:rPr>
            </w:pPr>
            <w:r w:rsidRPr="005F3E03">
              <w:rPr>
                <w:bCs/>
                <w:sz w:val="18"/>
              </w:rPr>
              <w:t>40</w:t>
            </w:r>
            <w:r>
              <w:rPr>
                <w:bCs/>
                <w:sz w:val="18"/>
              </w:rPr>
              <w:t> </w:t>
            </w:r>
            <w:r w:rsidRPr="005F3E03">
              <w:rPr>
                <w:bCs/>
                <w:sz w:val="18"/>
              </w:rPr>
              <w:t>361</w:t>
            </w:r>
          </w:p>
        </w:tc>
        <w:tc>
          <w:tcPr>
            <w:tcW w:w="882" w:type="dxa"/>
            <w:shd w:val="clear" w:color="auto" w:fill="auto"/>
            <w:vAlign w:val="bottom"/>
          </w:tcPr>
          <w:p w14:paraId="7CD69BFB" w14:textId="77777777" w:rsidR="005F3E03" w:rsidRPr="005F3E03" w:rsidRDefault="005F3E03" w:rsidP="005F3E03">
            <w:pPr>
              <w:pStyle w:val="SingleTxtG"/>
              <w:spacing w:before="40" w:after="40" w:line="220" w:lineRule="exact"/>
              <w:ind w:left="28" w:right="28"/>
              <w:jc w:val="right"/>
              <w:rPr>
                <w:bCs/>
                <w:sz w:val="18"/>
              </w:rPr>
            </w:pPr>
            <w:r w:rsidRPr="005F3E03">
              <w:rPr>
                <w:bCs/>
                <w:sz w:val="18"/>
              </w:rPr>
              <w:t>272</w:t>
            </w:r>
            <w:r>
              <w:rPr>
                <w:bCs/>
                <w:sz w:val="18"/>
              </w:rPr>
              <w:t> </w:t>
            </w:r>
            <w:r w:rsidRPr="005F3E03">
              <w:rPr>
                <w:bCs/>
                <w:sz w:val="18"/>
              </w:rPr>
              <w:t>977</w:t>
            </w:r>
          </w:p>
        </w:tc>
        <w:tc>
          <w:tcPr>
            <w:tcW w:w="895" w:type="dxa"/>
            <w:shd w:val="clear" w:color="auto" w:fill="auto"/>
            <w:vAlign w:val="bottom"/>
          </w:tcPr>
          <w:p w14:paraId="502AF00F" w14:textId="77777777" w:rsidR="005F3E03" w:rsidRPr="005F3E03" w:rsidRDefault="005F3E03" w:rsidP="005F3E03">
            <w:pPr>
              <w:pStyle w:val="SingleTxtG"/>
              <w:spacing w:before="40" w:after="40" w:line="220" w:lineRule="exact"/>
              <w:ind w:left="28" w:right="28"/>
              <w:jc w:val="right"/>
              <w:rPr>
                <w:sz w:val="18"/>
              </w:rPr>
            </w:pPr>
            <w:r w:rsidRPr="005F3E03">
              <w:rPr>
                <w:sz w:val="18"/>
              </w:rPr>
              <w:t>228</w:t>
            </w:r>
            <w:r>
              <w:rPr>
                <w:sz w:val="18"/>
              </w:rPr>
              <w:t> </w:t>
            </w:r>
            <w:r w:rsidRPr="005F3E03">
              <w:rPr>
                <w:sz w:val="18"/>
              </w:rPr>
              <w:t>697</w:t>
            </w:r>
          </w:p>
        </w:tc>
        <w:tc>
          <w:tcPr>
            <w:tcW w:w="708" w:type="dxa"/>
            <w:shd w:val="clear" w:color="auto" w:fill="auto"/>
            <w:vAlign w:val="bottom"/>
          </w:tcPr>
          <w:p w14:paraId="1A483D4D" w14:textId="77777777" w:rsidR="005F3E03" w:rsidRPr="005F3E03" w:rsidRDefault="005F3E03" w:rsidP="005F3E03">
            <w:pPr>
              <w:pStyle w:val="SingleTxtG"/>
              <w:spacing w:before="40" w:after="40" w:line="220" w:lineRule="exact"/>
              <w:ind w:left="28" w:right="28"/>
              <w:jc w:val="right"/>
              <w:rPr>
                <w:sz w:val="18"/>
              </w:rPr>
            </w:pPr>
            <w:r w:rsidRPr="005F3E03">
              <w:rPr>
                <w:sz w:val="18"/>
              </w:rPr>
              <w:t>40</w:t>
            </w:r>
            <w:r>
              <w:rPr>
                <w:sz w:val="18"/>
              </w:rPr>
              <w:t> </w:t>
            </w:r>
            <w:r w:rsidRPr="005F3E03">
              <w:rPr>
                <w:sz w:val="18"/>
              </w:rPr>
              <w:t>074</w:t>
            </w:r>
          </w:p>
        </w:tc>
        <w:tc>
          <w:tcPr>
            <w:tcW w:w="851" w:type="dxa"/>
            <w:shd w:val="clear" w:color="auto" w:fill="auto"/>
            <w:vAlign w:val="bottom"/>
          </w:tcPr>
          <w:p w14:paraId="6064823F" w14:textId="77777777" w:rsidR="005F3E03" w:rsidRPr="005F3E03" w:rsidRDefault="005F3E03" w:rsidP="005F3E03">
            <w:pPr>
              <w:pStyle w:val="SingleTxtG"/>
              <w:spacing w:before="40" w:after="40" w:line="220" w:lineRule="exact"/>
              <w:ind w:left="28" w:right="28"/>
              <w:jc w:val="right"/>
              <w:rPr>
                <w:bCs/>
                <w:sz w:val="18"/>
              </w:rPr>
            </w:pPr>
            <w:r w:rsidRPr="005F3E03">
              <w:rPr>
                <w:bCs/>
                <w:sz w:val="18"/>
              </w:rPr>
              <w:t>268</w:t>
            </w:r>
            <w:r>
              <w:rPr>
                <w:bCs/>
                <w:sz w:val="18"/>
              </w:rPr>
              <w:t> </w:t>
            </w:r>
            <w:r w:rsidRPr="005F3E03">
              <w:rPr>
                <w:bCs/>
                <w:sz w:val="18"/>
              </w:rPr>
              <w:t>771</w:t>
            </w:r>
          </w:p>
        </w:tc>
        <w:tc>
          <w:tcPr>
            <w:tcW w:w="992" w:type="dxa"/>
            <w:shd w:val="clear" w:color="auto" w:fill="auto"/>
            <w:vAlign w:val="bottom"/>
          </w:tcPr>
          <w:p w14:paraId="0AE58B79" w14:textId="77777777" w:rsidR="005F3E03" w:rsidRPr="005F3E03" w:rsidRDefault="005F3E03" w:rsidP="005F3E03">
            <w:pPr>
              <w:pStyle w:val="SingleTxtG"/>
              <w:spacing w:before="40" w:after="40" w:line="220" w:lineRule="exact"/>
              <w:ind w:left="28" w:right="28"/>
              <w:jc w:val="right"/>
              <w:rPr>
                <w:sz w:val="18"/>
              </w:rPr>
            </w:pPr>
            <w:r w:rsidRPr="005F3E03">
              <w:rPr>
                <w:sz w:val="18"/>
              </w:rPr>
              <w:t>225</w:t>
            </w:r>
            <w:r>
              <w:rPr>
                <w:sz w:val="18"/>
              </w:rPr>
              <w:t> </w:t>
            </w:r>
            <w:r w:rsidRPr="005F3E03">
              <w:rPr>
                <w:sz w:val="18"/>
              </w:rPr>
              <w:t>745</w:t>
            </w:r>
          </w:p>
        </w:tc>
        <w:tc>
          <w:tcPr>
            <w:tcW w:w="709" w:type="dxa"/>
            <w:shd w:val="clear" w:color="auto" w:fill="auto"/>
            <w:vAlign w:val="bottom"/>
          </w:tcPr>
          <w:p w14:paraId="2324599B" w14:textId="77777777" w:rsidR="005F3E03" w:rsidRPr="005F3E03" w:rsidRDefault="005F3E03" w:rsidP="005F3E03">
            <w:pPr>
              <w:pStyle w:val="SingleTxtG"/>
              <w:spacing w:before="40" w:after="40" w:line="220" w:lineRule="exact"/>
              <w:ind w:left="28" w:right="28"/>
              <w:jc w:val="right"/>
              <w:rPr>
                <w:sz w:val="18"/>
              </w:rPr>
            </w:pPr>
            <w:r w:rsidRPr="005F3E03">
              <w:rPr>
                <w:sz w:val="18"/>
              </w:rPr>
              <w:t>42</w:t>
            </w:r>
            <w:r>
              <w:rPr>
                <w:sz w:val="18"/>
              </w:rPr>
              <w:t> </w:t>
            </w:r>
            <w:r w:rsidRPr="005F3E03">
              <w:rPr>
                <w:sz w:val="18"/>
              </w:rPr>
              <w:t>159</w:t>
            </w:r>
          </w:p>
        </w:tc>
        <w:tc>
          <w:tcPr>
            <w:tcW w:w="850" w:type="dxa"/>
            <w:shd w:val="clear" w:color="auto" w:fill="auto"/>
            <w:vAlign w:val="bottom"/>
          </w:tcPr>
          <w:p w14:paraId="448E4F13" w14:textId="77777777" w:rsidR="005F3E03" w:rsidRPr="005F3E03" w:rsidRDefault="005F3E03" w:rsidP="005F3E03">
            <w:pPr>
              <w:pStyle w:val="SingleTxtG"/>
              <w:spacing w:before="40" w:after="40" w:line="220" w:lineRule="exact"/>
              <w:ind w:left="28" w:right="28"/>
              <w:jc w:val="right"/>
              <w:rPr>
                <w:sz w:val="18"/>
              </w:rPr>
            </w:pPr>
            <w:r w:rsidRPr="005F3E03">
              <w:rPr>
                <w:bCs/>
                <w:sz w:val="18"/>
              </w:rPr>
              <w:t>267</w:t>
            </w:r>
            <w:r>
              <w:rPr>
                <w:bCs/>
                <w:sz w:val="18"/>
              </w:rPr>
              <w:t> </w:t>
            </w:r>
            <w:r w:rsidRPr="005F3E03">
              <w:rPr>
                <w:bCs/>
                <w:sz w:val="18"/>
              </w:rPr>
              <w:t>904</w:t>
            </w:r>
          </w:p>
        </w:tc>
      </w:tr>
      <w:tr w:rsidR="005F3E03" w:rsidRPr="005F3E03" w14:paraId="2AF293F7" w14:textId="77777777" w:rsidTr="004702BD">
        <w:trPr>
          <w:trHeight w:val="240"/>
        </w:trPr>
        <w:tc>
          <w:tcPr>
            <w:tcW w:w="2127" w:type="dxa"/>
            <w:shd w:val="clear" w:color="auto" w:fill="auto"/>
          </w:tcPr>
          <w:p w14:paraId="16E837C3" w14:textId="77777777" w:rsidR="005F3E03" w:rsidRPr="009A6158" w:rsidRDefault="005F3E03" w:rsidP="005F3E03">
            <w:pPr>
              <w:suppressAutoHyphens w:val="0"/>
              <w:spacing w:before="40" w:after="40" w:line="220" w:lineRule="exact"/>
              <w:jc w:val="left"/>
              <w:rPr>
                <w:sz w:val="18"/>
                <w:rtl/>
                <w:lang w:bidi="fr-FR"/>
              </w:rPr>
            </w:pPr>
            <w:r w:rsidRPr="009A6158">
              <w:rPr>
                <w:sz w:val="18"/>
                <w:lang w:bidi="ar-QA"/>
              </w:rPr>
              <w:t>25 à 64 ans</w:t>
            </w:r>
          </w:p>
        </w:tc>
        <w:tc>
          <w:tcPr>
            <w:tcW w:w="850" w:type="dxa"/>
            <w:shd w:val="clear" w:color="auto" w:fill="auto"/>
          </w:tcPr>
          <w:p w14:paraId="65AFF2C7" w14:textId="77777777" w:rsidR="005F3E03" w:rsidRPr="005F3E03" w:rsidRDefault="005F3E03" w:rsidP="005F3E03">
            <w:pPr>
              <w:pStyle w:val="SingleTxtG"/>
              <w:spacing w:before="40" w:after="40" w:line="220" w:lineRule="exact"/>
              <w:ind w:left="28" w:right="28"/>
              <w:jc w:val="right"/>
              <w:rPr>
                <w:bCs/>
                <w:sz w:val="18"/>
              </w:rPr>
            </w:pPr>
            <w:r w:rsidRPr="005F3E03">
              <w:rPr>
                <w:bCs/>
                <w:sz w:val="18"/>
              </w:rPr>
              <w:t>1</w:t>
            </w:r>
            <w:r>
              <w:rPr>
                <w:bCs/>
                <w:sz w:val="18"/>
              </w:rPr>
              <w:t> </w:t>
            </w:r>
            <w:r w:rsidRPr="005F3E03">
              <w:rPr>
                <w:bCs/>
                <w:sz w:val="18"/>
              </w:rPr>
              <w:t>494</w:t>
            </w:r>
            <w:r>
              <w:rPr>
                <w:bCs/>
                <w:sz w:val="18"/>
              </w:rPr>
              <w:t> </w:t>
            </w:r>
            <w:r w:rsidRPr="005F3E03">
              <w:rPr>
                <w:bCs/>
                <w:sz w:val="18"/>
              </w:rPr>
              <w:t>963</w:t>
            </w:r>
          </w:p>
        </w:tc>
        <w:tc>
          <w:tcPr>
            <w:tcW w:w="775" w:type="dxa"/>
            <w:shd w:val="clear" w:color="auto" w:fill="auto"/>
          </w:tcPr>
          <w:p w14:paraId="2A01AC50" w14:textId="77777777" w:rsidR="005F3E03" w:rsidRPr="005F3E03" w:rsidRDefault="005F3E03" w:rsidP="005F3E03">
            <w:pPr>
              <w:pStyle w:val="SingleTxtG"/>
              <w:spacing w:before="40" w:after="40" w:line="220" w:lineRule="exact"/>
              <w:ind w:left="28" w:right="28"/>
              <w:jc w:val="right"/>
              <w:rPr>
                <w:bCs/>
                <w:sz w:val="18"/>
              </w:rPr>
            </w:pPr>
            <w:r w:rsidRPr="005F3E03">
              <w:rPr>
                <w:bCs/>
                <w:sz w:val="18"/>
              </w:rPr>
              <w:t>337</w:t>
            </w:r>
            <w:r>
              <w:rPr>
                <w:bCs/>
                <w:sz w:val="18"/>
              </w:rPr>
              <w:t> </w:t>
            </w:r>
            <w:r w:rsidRPr="005F3E03">
              <w:rPr>
                <w:bCs/>
                <w:sz w:val="18"/>
              </w:rPr>
              <w:t>162</w:t>
            </w:r>
          </w:p>
        </w:tc>
        <w:tc>
          <w:tcPr>
            <w:tcW w:w="882" w:type="dxa"/>
            <w:shd w:val="clear" w:color="auto" w:fill="auto"/>
            <w:vAlign w:val="bottom"/>
          </w:tcPr>
          <w:p w14:paraId="1D3C41BF" w14:textId="77777777" w:rsidR="005F3E03" w:rsidRPr="005F3E03" w:rsidRDefault="005F3E03" w:rsidP="005F3E03">
            <w:pPr>
              <w:pStyle w:val="SingleTxtG"/>
              <w:spacing w:before="40" w:after="40" w:line="220" w:lineRule="exact"/>
              <w:ind w:left="28" w:right="28"/>
              <w:jc w:val="right"/>
              <w:rPr>
                <w:bCs/>
                <w:sz w:val="18"/>
              </w:rPr>
            </w:pPr>
            <w:r w:rsidRPr="005F3E03">
              <w:rPr>
                <w:bCs/>
                <w:sz w:val="18"/>
              </w:rPr>
              <w:t>1</w:t>
            </w:r>
            <w:r>
              <w:rPr>
                <w:bCs/>
                <w:sz w:val="18"/>
              </w:rPr>
              <w:t> </w:t>
            </w:r>
            <w:r w:rsidRPr="005F3E03">
              <w:rPr>
                <w:bCs/>
                <w:sz w:val="18"/>
              </w:rPr>
              <w:t>832</w:t>
            </w:r>
            <w:r>
              <w:rPr>
                <w:bCs/>
                <w:sz w:val="18"/>
              </w:rPr>
              <w:t> </w:t>
            </w:r>
            <w:r w:rsidRPr="005F3E03">
              <w:rPr>
                <w:bCs/>
                <w:sz w:val="18"/>
              </w:rPr>
              <w:t>125</w:t>
            </w:r>
          </w:p>
        </w:tc>
        <w:tc>
          <w:tcPr>
            <w:tcW w:w="895" w:type="dxa"/>
            <w:shd w:val="clear" w:color="auto" w:fill="auto"/>
            <w:vAlign w:val="bottom"/>
          </w:tcPr>
          <w:p w14:paraId="2BB2F735" w14:textId="77777777" w:rsidR="005F3E03" w:rsidRPr="005F3E03" w:rsidRDefault="005F3E03" w:rsidP="005F3E03">
            <w:pPr>
              <w:pStyle w:val="SingleTxtG"/>
              <w:spacing w:before="40" w:after="40" w:line="220" w:lineRule="exact"/>
              <w:ind w:left="28" w:right="28"/>
              <w:jc w:val="right"/>
              <w:rPr>
                <w:sz w:val="18"/>
              </w:rPr>
            </w:pPr>
            <w:r w:rsidRPr="005F3E03">
              <w:rPr>
                <w:sz w:val="18"/>
              </w:rPr>
              <w:t>1</w:t>
            </w:r>
            <w:r>
              <w:rPr>
                <w:sz w:val="18"/>
              </w:rPr>
              <w:t> </w:t>
            </w:r>
            <w:r w:rsidRPr="005F3E03">
              <w:rPr>
                <w:sz w:val="18"/>
              </w:rPr>
              <w:t>442</w:t>
            </w:r>
            <w:r>
              <w:rPr>
                <w:sz w:val="18"/>
              </w:rPr>
              <w:t> </w:t>
            </w:r>
            <w:r w:rsidRPr="005F3E03">
              <w:rPr>
                <w:sz w:val="18"/>
              </w:rPr>
              <w:t>043</w:t>
            </w:r>
          </w:p>
        </w:tc>
        <w:tc>
          <w:tcPr>
            <w:tcW w:w="708" w:type="dxa"/>
            <w:shd w:val="clear" w:color="auto" w:fill="auto"/>
            <w:vAlign w:val="bottom"/>
          </w:tcPr>
          <w:p w14:paraId="0BC27649" w14:textId="77777777" w:rsidR="005F3E03" w:rsidRPr="005F3E03" w:rsidRDefault="005F3E03" w:rsidP="005F3E03">
            <w:pPr>
              <w:pStyle w:val="SingleTxtG"/>
              <w:spacing w:before="40" w:after="40" w:line="220" w:lineRule="exact"/>
              <w:ind w:left="28" w:right="28"/>
              <w:jc w:val="right"/>
              <w:rPr>
                <w:sz w:val="18"/>
              </w:rPr>
            </w:pPr>
            <w:r w:rsidRPr="005F3E03">
              <w:rPr>
                <w:sz w:val="18"/>
              </w:rPr>
              <w:t>347</w:t>
            </w:r>
            <w:r>
              <w:rPr>
                <w:sz w:val="18"/>
              </w:rPr>
              <w:t> </w:t>
            </w:r>
            <w:r w:rsidRPr="005F3E03">
              <w:rPr>
                <w:sz w:val="18"/>
              </w:rPr>
              <w:t>681</w:t>
            </w:r>
          </w:p>
        </w:tc>
        <w:tc>
          <w:tcPr>
            <w:tcW w:w="851" w:type="dxa"/>
            <w:shd w:val="clear" w:color="auto" w:fill="auto"/>
            <w:vAlign w:val="bottom"/>
          </w:tcPr>
          <w:p w14:paraId="3E4093AE" w14:textId="77777777" w:rsidR="005F3E03" w:rsidRPr="005F3E03" w:rsidRDefault="005F3E03" w:rsidP="005F3E03">
            <w:pPr>
              <w:pStyle w:val="SingleTxtG"/>
              <w:spacing w:before="40" w:after="40" w:line="220" w:lineRule="exact"/>
              <w:ind w:left="28" w:right="28"/>
              <w:jc w:val="right"/>
              <w:rPr>
                <w:bCs/>
                <w:sz w:val="18"/>
              </w:rPr>
            </w:pPr>
            <w:r w:rsidRPr="005F3E03">
              <w:rPr>
                <w:bCs/>
                <w:sz w:val="18"/>
              </w:rPr>
              <w:t>1</w:t>
            </w:r>
            <w:r>
              <w:rPr>
                <w:bCs/>
                <w:sz w:val="18"/>
              </w:rPr>
              <w:t> </w:t>
            </w:r>
            <w:r w:rsidRPr="005F3E03">
              <w:rPr>
                <w:bCs/>
                <w:sz w:val="18"/>
              </w:rPr>
              <w:t>789</w:t>
            </w:r>
            <w:r>
              <w:rPr>
                <w:bCs/>
                <w:sz w:val="18"/>
              </w:rPr>
              <w:t> </w:t>
            </w:r>
            <w:r w:rsidRPr="005F3E03">
              <w:rPr>
                <w:bCs/>
                <w:sz w:val="18"/>
              </w:rPr>
              <w:t>724</w:t>
            </w:r>
          </w:p>
        </w:tc>
        <w:tc>
          <w:tcPr>
            <w:tcW w:w="992" w:type="dxa"/>
            <w:shd w:val="clear" w:color="auto" w:fill="auto"/>
            <w:vAlign w:val="bottom"/>
          </w:tcPr>
          <w:p w14:paraId="4E6E46C9" w14:textId="77777777" w:rsidR="005F3E03" w:rsidRPr="005F3E03" w:rsidRDefault="005F3E03" w:rsidP="005F3E03">
            <w:pPr>
              <w:pStyle w:val="SingleTxtG"/>
              <w:spacing w:before="40" w:after="40" w:line="220" w:lineRule="exact"/>
              <w:ind w:left="28" w:right="28"/>
              <w:jc w:val="right"/>
              <w:rPr>
                <w:sz w:val="18"/>
              </w:rPr>
            </w:pPr>
            <w:r w:rsidRPr="005F3E03">
              <w:rPr>
                <w:sz w:val="18"/>
              </w:rPr>
              <w:t>1</w:t>
            </w:r>
            <w:r>
              <w:rPr>
                <w:sz w:val="18"/>
              </w:rPr>
              <w:t> </w:t>
            </w:r>
            <w:r w:rsidRPr="005F3E03">
              <w:rPr>
                <w:sz w:val="18"/>
              </w:rPr>
              <w:t>501</w:t>
            </w:r>
            <w:r>
              <w:rPr>
                <w:sz w:val="18"/>
              </w:rPr>
              <w:t> </w:t>
            </w:r>
            <w:r w:rsidRPr="005F3E03">
              <w:rPr>
                <w:sz w:val="18"/>
              </w:rPr>
              <w:t>086</w:t>
            </w:r>
          </w:p>
        </w:tc>
        <w:tc>
          <w:tcPr>
            <w:tcW w:w="709" w:type="dxa"/>
            <w:shd w:val="clear" w:color="auto" w:fill="auto"/>
            <w:vAlign w:val="bottom"/>
          </w:tcPr>
          <w:p w14:paraId="779E7F48" w14:textId="77777777" w:rsidR="005F3E03" w:rsidRPr="005F3E03" w:rsidRDefault="005F3E03" w:rsidP="005F3E03">
            <w:pPr>
              <w:pStyle w:val="SingleTxtG"/>
              <w:spacing w:before="40" w:after="40" w:line="220" w:lineRule="exact"/>
              <w:ind w:left="28" w:right="28"/>
              <w:jc w:val="right"/>
              <w:rPr>
                <w:sz w:val="18"/>
              </w:rPr>
            </w:pPr>
            <w:r w:rsidRPr="005F3E03">
              <w:rPr>
                <w:sz w:val="18"/>
              </w:rPr>
              <w:t>396</w:t>
            </w:r>
            <w:r>
              <w:rPr>
                <w:sz w:val="18"/>
              </w:rPr>
              <w:t> </w:t>
            </w:r>
            <w:r w:rsidRPr="005F3E03">
              <w:rPr>
                <w:sz w:val="18"/>
              </w:rPr>
              <w:t>344</w:t>
            </w:r>
          </w:p>
        </w:tc>
        <w:tc>
          <w:tcPr>
            <w:tcW w:w="850" w:type="dxa"/>
            <w:shd w:val="clear" w:color="auto" w:fill="auto"/>
            <w:vAlign w:val="bottom"/>
          </w:tcPr>
          <w:p w14:paraId="1685ED70" w14:textId="77777777" w:rsidR="005F3E03" w:rsidRPr="005F3E03" w:rsidRDefault="005F3E03" w:rsidP="005F3E03">
            <w:pPr>
              <w:pStyle w:val="SingleTxtG"/>
              <w:spacing w:before="40" w:after="40" w:line="220" w:lineRule="exact"/>
              <w:ind w:left="28" w:right="28"/>
              <w:jc w:val="right"/>
              <w:rPr>
                <w:sz w:val="18"/>
              </w:rPr>
            </w:pPr>
            <w:r w:rsidRPr="005F3E03">
              <w:rPr>
                <w:bCs/>
                <w:sz w:val="18"/>
              </w:rPr>
              <w:t>1</w:t>
            </w:r>
            <w:r>
              <w:rPr>
                <w:bCs/>
                <w:sz w:val="18"/>
              </w:rPr>
              <w:t> </w:t>
            </w:r>
            <w:r w:rsidRPr="005F3E03">
              <w:rPr>
                <w:bCs/>
                <w:sz w:val="18"/>
              </w:rPr>
              <w:t>897</w:t>
            </w:r>
            <w:r>
              <w:rPr>
                <w:bCs/>
                <w:sz w:val="18"/>
              </w:rPr>
              <w:t> </w:t>
            </w:r>
            <w:r w:rsidRPr="005F3E03">
              <w:rPr>
                <w:bCs/>
                <w:sz w:val="18"/>
              </w:rPr>
              <w:t>430</w:t>
            </w:r>
          </w:p>
        </w:tc>
      </w:tr>
      <w:tr w:rsidR="000D34DE" w:rsidRPr="005F3E03" w14:paraId="31A4CB59" w14:textId="77777777" w:rsidTr="000D34DE">
        <w:trPr>
          <w:trHeight w:val="240"/>
        </w:trPr>
        <w:tc>
          <w:tcPr>
            <w:tcW w:w="2127" w:type="dxa"/>
            <w:tcBorders>
              <w:bottom w:val="single" w:sz="4" w:space="0" w:color="auto"/>
            </w:tcBorders>
            <w:shd w:val="clear" w:color="auto" w:fill="auto"/>
          </w:tcPr>
          <w:p w14:paraId="37234000" w14:textId="77777777" w:rsidR="005F3E03" w:rsidRPr="009A6158" w:rsidRDefault="005F3E03" w:rsidP="005F3E03">
            <w:pPr>
              <w:suppressAutoHyphens w:val="0"/>
              <w:spacing w:before="40" w:after="40" w:line="220" w:lineRule="exact"/>
              <w:jc w:val="left"/>
              <w:rPr>
                <w:sz w:val="18"/>
                <w:rtl/>
                <w:lang w:bidi="fr-FR"/>
              </w:rPr>
            </w:pPr>
            <w:r w:rsidRPr="009A6158">
              <w:rPr>
                <w:sz w:val="18"/>
                <w:lang w:bidi="ar-QA"/>
              </w:rPr>
              <w:t>+ de 65 ans</w:t>
            </w:r>
          </w:p>
        </w:tc>
        <w:tc>
          <w:tcPr>
            <w:tcW w:w="850" w:type="dxa"/>
            <w:tcBorders>
              <w:bottom w:val="single" w:sz="4" w:space="0" w:color="auto"/>
            </w:tcBorders>
            <w:shd w:val="clear" w:color="auto" w:fill="auto"/>
          </w:tcPr>
          <w:p w14:paraId="5E5B0E99" w14:textId="77777777" w:rsidR="005F3E03" w:rsidRPr="005F3E03" w:rsidRDefault="005F3E03" w:rsidP="005F3E03">
            <w:pPr>
              <w:pStyle w:val="SingleTxtG"/>
              <w:spacing w:before="40" w:after="40" w:line="220" w:lineRule="exact"/>
              <w:ind w:left="28" w:right="28"/>
              <w:jc w:val="right"/>
              <w:rPr>
                <w:bCs/>
                <w:sz w:val="18"/>
              </w:rPr>
            </w:pPr>
            <w:r w:rsidRPr="005F3E03">
              <w:rPr>
                <w:bCs/>
                <w:sz w:val="18"/>
              </w:rPr>
              <w:t>17</w:t>
            </w:r>
            <w:r>
              <w:rPr>
                <w:bCs/>
                <w:sz w:val="18"/>
              </w:rPr>
              <w:t> </w:t>
            </w:r>
            <w:r w:rsidRPr="005F3E03">
              <w:rPr>
                <w:bCs/>
                <w:sz w:val="18"/>
              </w:rPr>
              <w:t>284</w:t>
            </w:r>
          </w:p>
        </w:tc>
        <w:tc>
          <w:tcPr>
            <w:tcW w:w="775" w:type="dxa"/>
            <w:tcBorders>
              <w:bottom w:val="single" w:sz="4" w:space="0" w:color="auto"/>
            </w:tcBorders>
            <w:shd w:val="clear" w:color="auto" w:fill="auto"/>
          </w:tcPr>
          <w:p w14:paraId="664BF22D" w14:textId="77777777" w:rsidR="005F3E03" w:rsidRPr="005F3E03" w:rsidRDefault="005F3E03" w:rsidP="005F3E03">
            <w:pPr>
              <w:pStyle w:val="SingleTxtG"/>
              <w:spacing w:before="40" w:after="40" w:line="220" w:lineRule="exact"/>
              <w:ind w:left="28" w:right="28"/>
              <w:jc w:val="right"/>
              <w:rPr>
                <w:bCs/>
                <w:sz w:val="18"/>
              </w:rPr>
            </w:pPr>
            <w:r w:rsidRPr="005F3E03">
              <w:rPr>
                <w:bCs/>
                <w:sz w:val="18"/>
              </w:rPr>
              <w:t>10</w:t>
            </w:r>
            <w:r>
              <w:rPr>
                <w:bCs/>
                <w:sz w:val="18"/>
              </w:rPr>
              <w:t> </w:t>
            </w:r>
            <w:r w:rsidRPr="005F3E03">
              <w:rPr>
                <w:bCs/>
                <w:sz w:val="18"/>
              </w:rPr>
              <w:t>605</w:t>
            </w:r>
          </w:p>
        </w:tc>
        <w:tc>
          <w:tcPr>
            <w:tcW w:w="882" w:type="dxa"/>
            <w:tcBorders>
              <w:bottom w:val="single" w:sz="4" w:space="0" w:color="auto"/>
            </w:tcBorders>
            <w:shd w:val="clear" w:color="auto" w:fill="auto"/>
            <w:vAlign w:val="bottom"/>
          </w:tcPr>
          <w:p w14:paraId="0A968616" w14:textId="77777777" w:rsidR="005F3E03" w:rsidRPr="005F3E03" w:rsidRDefault="005F3E03" w:rsidP="005F3E03">
            <w:pPr>
              <w:pStyle w:val="SingleTxtG"/>
              <w:spacing w:before="40" w:after="40" w:line="220" w:lineRule="exact"/>
              <w:ind w:left="28" w:right="28"/>
              <w:jc w:val="right"/>
              <w:rPr>
                <w:bCs/>
                <w:sz w:val="18"/>
              </w:rPr>
            </w:pPr>
            <w:r w:rsidRPr="005F3E03">
              <w:rPr>
                <w:bCs/>
                <w:sz w:val="18"/>
              </w:rPr>
              <w:t>27</w:t>
            </w:r>
            <w:r>
              <w:rPr>
                <w:bCs/>
                <w:sz w:val="18"/>
              </w:rPr>
              <w:t> </w:t>
            </w:r>
            <w:r w:rsidRPr="005F3E03">
              <w:rPr>
                <w:bCs/>
                <w:sz w:val="18"/>
              </w:rPr>
              <w:t>889</w:t>
            </w:r>
          </w:p>
        </w:tc>
        <w:tc>
          <w:tcPr>
            <w:tcW w:w="895" w:type="dxa"/>
            <w:tcBorders>
              <w:bottom w:val="single" w:sz="4" w:space="0" w:color="auto"/>
            </w:tcBorders>
            <w:shd w:val="clear" w:color="auto" w:fill="auto"/>
            <w:vAlign w:val="bottom"/>
          </w:tcPr>
          <w:p w14:paraId="4BA2B662" w14:textId="77777777" w:rsidR="005F3E03" w:rsidRPr="005F3E03" w:rsidRDefault="005F3E03" w:rsidP="005F3E03">
            <w:pPr>
              <w:pStyle w:val="SingleTxtG"/>
              <w:spacing w:before="40" w:after="40" w:line="220" w:lineRule="exact"/>
              <w:ind w:left="28" w:right="28"/>
              <w:jc w:val="right"/>
              <w:rPr>
                <w:sz w:val="18"/>
              </w:rPr>
            </w:pPr>
            <w:r w:rsidRPr="005F3E03">
              <w:rPr>
                <w:sz w:val="18"/>
              </w:rPr>
              <w:t>16</w:t>
            </w:r>
            <w:r>
              <w:rPr>
                <w:sz w:val="18"/>
              </w:rPr>
              <w:t> </w:t>
            </w:r>
            <w:r w:rsidRPr="005F3E03">
              <w:rPr>
                <w:sz w:val="18"/>
              </w:rPr>
              <w:t>497</w:t>
            </w:r>
          </w:p>
        </w:tc>
        <w:tc>
          <w:tcPr>
            <w:tcW w:w="708" w:type="dxa"/>
            <w:tcBorders>
              <w:bottom w:val="single" w:sz="4" w:space="0" w:color="auto"/>
            </w:tcBorders>
            <w:shd w:val="clear" w:color="auto" w:fill="auto"/>
            <w:vAlign w:val="bottom"/>
          </w:tcPr>
          <w:p w14:paraId="3C3BB6E0" w14:textId="77777777" w:rsidR="005F3E03" w:rsidRPr="005F3E03" w:rsidRDefault="005F3E03" w:rsidP="005F3E03">
            <w:pPr>
              <w:pStyle w:val="SingleTxtG"/>
              <w:spacing w:before="40" w:after="40" w:line="220" w:lineRule="exact"/>
              <w:ind w:left="28" w:right="28"/>
              <w:jc w:val="right"/>
              <w:rPr>
                <w:sz w:val="18"/>
              </w:rPr>
            </w:pPr>
            <w:r w:rsidRPr="005F3E03">
              <w:rPr>
                <w:sz w:val="18"/>
              </w:rPr>
              <w:t>10</w:t>
            </w:r>
            <w:r>
              <w:rPr>
                <w:sz w:val="18"/>
              </w:rPr>
              <w:t> </w:t>
            </w:r>
            <w:r w:rsidRPr="005F3E03">
              <w:rPr>
                <w:sz w:val="18"/>
              </w:rPr>
              <w:t>438</w:t>
            </w:r>
          </w:p>
        </w:tc>
        <w:tc>
          <w:tcPr>
            <w:tcW w:w="851" w:type="dxa"/>
            <w:tcBorders>
              <w:bottom w:val="single" w:sz="4" w:space="0" w:color="auto"/>
            </w:tcBorders>
            <w:shd w:val="clear" w:color="auto" w:fill="auto"/>
            <w:vAlign w:val="bottom"/>
          </w:tcPr>
          <w:p w14:paraId="59E39115" w14:textId="77777777" w:rsidR="005F3E03" w:rsidRPr="005F3E03" w:rsidRDefault="005F3E03" w:rsidP="005F3E03">
            <w:pPr>
              <w:pStyle w:val="SingleTxtG"/>
              <w:spacing w:before="40" w:after="40" w:line="220" w:lineRule="exact"/>
              <w:ind w:left="28" w:right="28"/>
              <w:jc w:val="right"/>
              <w:rPr>
                <w:bCs/>
                <w:sz w:val="18"/>
              </w:rPr>
            </w:pPr>
            <w:r w:rsidRPr="005F3E03">
              <w:rPr>
                <w:bCs/>
                <w:sz w:val="18"/>
              </w:rPr>
              <w:t>26</w:t>
            </w:r>
            <w:r>
              <w:rPr>
                <w:bCs/>
                <w:sz w:val="18"/>
              </w:rPr>
              <w:t> </w:t>
            </w:r>
            <w:r w:rsidRPr="005F3E03">
              <w:rPr>
                <w:bCs/>
                <w:sz w:val="18"/>
              </w:rPr>
              <w:t>935</w:t>
            </w:r>
          </w:p>
        </w:tc>
        <w:tc>
          <w:tcPr>
            <w:tcW w:w="992" w:type="dxa"/>
            <w:tcBorders>
              <w:bottom w:val="single" w:sz="4" w:space="0" w:color="auto"/>
            </w:tcBorders>
            <w:shd w:val="clear" w:color="auto" w:fill="auto"/>
            <w:vAlign w:val="bottom"/>
          </w:tcPr>
          <w:p w14:paraId="0A41A714" w14:textId="77777777" w:rsidR="005F3E03" w:rsidRPr="005F3E03" w:rsidRDefault="005F3E03" w:rsidP="005F3E03">
            <w:pPr>
              <w:pStyle w:val="SingleTxtG"/>
              <w:spacing w:before="40" w:after="40" w:line="220" w:lineRule="exact"/>
              <w:ind w:left="28" w:right="28"/>
              <w:jc w:val="right"/>
              <w:rPr>
                <w:sz w:val="18"/>
              </w:rPr>
            </w:pPr>
            <w:r w:rsidRPr="005F3E03">
              <w:rPr>
                <w:sz w:val="18"/>
              </w:rPr>
              <w:t>17</w:t>
            </w:r>
            <w:r>
              <w:rPr>
                <w:sz w:val="18"/>
              </w:rPr>
              <w:t> </w:t>
            </w:r>
            <w:r w:rsidRPr="005F3E03">
              <w:rPr>
                <w:sz w:val="18"/>
              </w:rPr>
              <w:t>510</w:t>
            </w:r>
          </w:p>
        </w:tc>
        <w:tc>
          <w:tcPr>
            <w:tcW w:w="709" w:type="dxa"/>
            <w:tcBorders>
              <w:bottom w:val="single" w:sz="4" w:space="0" w:color="auto"/>
            </w:tcBorders>
            <w:shd w:val="clear" w:color="auto" w:fill="auto"/>
            <w:vAlign w:val="bottom"/>
          </w:tcPr>
          <w:p w14:paraId="13B35295" w14:textId="77777777" w:rsidR="005F3E03" w:rsidRPr="005F3E03" w:rsidRDefault="005F3E03" w:rsidP="005F3E03">
            <w:pPr>
              <w:pStyle w:val="SingleTxtG"/>
              <w:spacing w:before="40" w:after="40" w:line="220" w:lineRule="exact"/>
              <w:ind w:left="28" w:right="28"/>
              <w:jc w:val="right"/>
              <w:rPr>
                <w:sz w:val="18"/>
              </w:rPr>
            </w:pPr>
            <w:r w:rsidRPr="005F3E03">
              <w:rPr>
                <w:sz w:val="18"/>
              </w:rPr>
              <w:t>10</w:t>
            </w:r>
            <w:r>
              <w:rPr>
                <w:sz w:val="18"/>
              </w:rPr>
              <w:t> </w:t>
            </w:r>
            <w:r w:rsidRPr="005F3E03">
              <w:rPr>
                <w:sz w:val="18"/>
              </w:rPr>
              <w:t>965</w:t>
            </w:r>
          </w:p>
        </w:tc>
        <w:tc>
          <w:tcPr>
            <w:tcW w:w="850" w:type="dxa"/>
            <w:tcBorders>
              <w:bottom w:val="single" w:sz="4" w:space="0" w:color="auto"/>
            </w:tcBorders>
            <w:shd w:val="clear" w:color="auto" w:fill="auto"/>
            <w:vAlign w:val="bottom"/>
          </w:tcPr>
          <w:p w14:paraId="6173C6F7" w14:textId="77777777" w:rsidR="005F3E03" w:rsidRPr="005F3E03" w:rsidRDefault="005F3E03" w:rsidP="005F3E03">
            <w:pPr>
              <w:pStyle w:val="SingleTxtG"/>
              <w:spacing w:before="40" w:after="40" w:line="220" w:lineRule="exact"/>
              <w:ind w:left="28" w:right="28"/>
              <w:jc w:val="right"/>
              <w:rPr>
                <w:sz w:val="18"/>
              </w:rPr>
            </w:pPr>
            <w:r w:rsidRPr="005F3E03">
              <w:rPr>
                <w:bCs/>
                <w:sz w:val="18"/>
              </w:rPr>
              <w:t>28</w:t>
            </w:r>
            <w:r>
              <w:rPr>
                <w:bCs/>
                <w:sz w:val="18"/>
              </w:rPr>
              <w:t> </w:t>
            </w:r>
            <w:r w:rsidRPr="005F3E03">
              <w:rPr>
                <w:bCs/>
                <w:sz w:val="18"/>
              </w:rPr>
              <w:t>475</w:t>
            </w:r>
          </w:p>
        </w:tc>
      </w:tr>
      <w:tr w:rsidR="005F3E03" w:rsidRPr="000D34DE" w14:paraId="4BBBC24D" w14:textId="77777777" w:rsidTr="004702BD">
        <w:trPr>
          <w:trHeight w:val="240"/>
        </w:trPr>
        <w:tc>
          <w:tcPr>
            <w:tcW w:w="2127" w:type="dxa"/>
            <w:tcBorders>
              <w:top w:val="single" w:sz="4" w:space="0" w:color="auto"/>
              <w:bottom w:val="single" w:sz="12" w:space="0" w:color="auto"/>
            </w:tcBorders>
            <w:shd w:val="clear" w:color="auto" w:fill="auto"/>
          </w:tcPr>
          <w:p w14:paraId="1A19D21A" w14:textId="77777777" w:rsidR="005F3E03" w:rsidRPr="000D34DE" w:rsidRDefault="005F3E03" w:rsidP="000D34DE">
            <w:pPr>
              <w:pStyle w:val="SingleTxtG"/>
              <w:spacing w:before="80" w:after="80" w:line="220" w:lineRule="exact"/>
              <w:ind w:left="283" w:right="0"/>
              <w:jc w:val="left"/>
              <w:rPr>
                <w:b/>
                <w:bCs/>
                <w:sz w:val="18"/>
              </w:rPr>
            </w:pPr>
            <w:r w:rsidRPr="000D34DE">
              <w:rPr>
                <w:b/>
                <w:bCs/>
                <w:sz w:val="18"/>
              </w:rPr>
              <w:t>Total</w:t>
            </w:r>
          </w:p>
        </w:tc>
        <w:tc>
          <w:tcPr>
            <w:tcW w:w="850" w:type="dxa"/>
            <w:tcBorders>
              <w:top w:val="single" w:sz="4" w:space="0" w:color="auto"/>
              <w:bottom w:val="single" w:sz="12" w:space="0" w:color="auto"/>
            </w:tcBorders>
            <w:shd w:val="clear" w:color="auto" w:fill="auto"/>
          </w:tcPr>
          <w:p w14:paraId="6B9DEED5" w14:textId="77777777" w:rsidR="005F3E03" w:rsidRPr="000D34DE" w:rsidRDefault="005F3E03" w:rsidP="000D34DE">
            <w:pPr>
              <w:pStyle w:val="SingleTxtG"/>
              <w:spacing w:before="80" w:after="80" w:line="220" w:lineRule="exact"/>
              <w:ind w:left="0" w:right="0"/>
              <w:jc w:val="right"/>
              <w:rPr>
                <w:b/>
                <w:bCs/>
                <w:sz w:val="18"/>
              </w:rPr>
            </w:pPr>
            <w:r w:rsidRPr="000D34DE">
              <w:rPr>
                <w:b/>
                <w:bCs/>
                <w:sz w:val="18"/>
              </w:rPr>
              <w:t>1</w:t>
            </w:r>
            <w:r w:rsidRPr="000D34DE">
              <w:rPr>
                <w:b/>
                <w:bCs/>
                <w:sz w:val="18"/>
              </w:rPr>
              <w:t> </w:t>
            </w:r>
            <w:r w:rsidRPr="000D34DE">
              <w:rPr>
                <w:b/>
                <w:bCs/>
                <w:sz w:val="18"/>
              </w:rPr>
              <w:t>923</w:t>
            </w:r>
            <w:r w:rsidRPr="000D34DE">
              <w:rPr>
                <w:b/>
                <w:bCs/>
                <w:sz w:val="18"/>
              </w:rPr>
              <w:t> </w:t>
            </w:r>
            <w:r w:rsidRPr="000D34DE">
              <w:rPr>
                <w:b/>
                <w:bCs/>
                <w:sz w:val="18"/>
              </w:rPr>
              <w:t>933</w:t>
            </w:r>
          </w:p>
        </w:tc>
        <w:tc>
          <w:tcPr>
            <w:tcW w:w="775" w:type="dxa"/>
            <w:tcBorders>
              <w:top w:val="single" w:sz="4" w:space="0" w:color="auto"/>
              <w:bottom w:val="single" w:sz="12" w:space="0" w:color="auto"/>
            </w:tcBorders>
            <w:shd w:val="clear" w:color="auto" w:fill="auto"/>
          </w:tcPr>
          <w:p w14:paraId="24E054D8" w14:textId="77777777" w:rsidR="005F3E03" w:rsidRPr="000D34DE" w:rsidRDefault="005F3E03" w:rsidP="000D34DE">
            <w:pPr>
              <w:pStyle w:val="SingleTxtG"/>
              <w:spacing w:before="80" w:after="80" w:line="220" w:lineRule="exact"/>
              <w:ind w:left="0" w:right="0"/>
              <w:jc w:val="right"/>
              <w:rPr>
                <w:b/>
                <w:bCs/>
                <w:sz w:val="18"/>
              </w:rPr>
            </w:pPr>
            <w:r w:rsidRPr="000D34DE">
              <w:rPr>
                <w:b/>
                <w:bCs/>
                <w:sz w:val="18"/>
              </w:rPr>
              <w:t>547</w:t>
            </w:r>
            <w:r w:rsidRPr="000D34DE">
              <w:rPr>
                <w:b/>
                <w:bCs/>
                <w:sz w:val="18"/>
              </w:rPr>
              <w:t> </w:t>
            </w:r>
            <w:r w:rsidRPr="000D34DE">
              <w:rPr>
                <w:b/>
                <w:bCs/>
                <w:sz w:val="18"/>
              </w:rPr>
              <w:t>986</w:t>
            </w:r>
          </w:p>
        </w:tc>
        <w:tc>
          <w:tcPr>
            <w:tcW w:w="882" w:type="dxa"/>
            <w:tcBorders>
              <w:top w:val="single" w:sz="4" w:space="0" w:color="auto"/>
              <w:bottom w:val="single" w:sz="12" w:space="0" w:color="auto"/>
            </w:tcBorders>
            <w:shd w:val="clear" w:color="auto" w:fill="auto"/>
            <w:vAlign w:val="bottom"/>
          </w:tcPr>
          <w:p w14:paraId="4D23B8DC" w14:textId="77777777" w:rsidR="005F3E03" w:rsidRPr="000D34DE" w:rsidRDefault="005F3E03" w:rsidP="000D34DE">
            <w:pPr>
              <w:pStyle w:val="SingleTxtG"/>
              <w:spacing w:before="80" w:after="80" w:line="220" w:lineRule="exact"/>
              <w:ind w:left="0" w:right="0"/>
              <w:jc w:val="right"/>
              <w:rPr>
                <w:b/>
                <w:bCs/>
                <w:sz w:val="18"/>
              </w:rPr>
            </w:pPr>
            <w:r w:rsidRPr="000D34DE">
              <w:rPr>
                <w:b/>
                <w:bCs/>
                <w:sz w:val="18"/>
              </w:rPr>
              <w:t>2</w:t>
            </w:r>
            <w:r w:rsidRPr="000D34DE">
              <w:rPr>
                <w:b/>
                <w:bCs/>
                <w:sz w:val="18"/>
              </w:rPr>
              <w:t> </w:t>
            </w:r>
            <w:r w:rsidRPr="000D34DE">
              <w:rPr>
                <w:b/>
                <w:bCs/>
                <w:sz w:val="18"/>
              </w:rPr>
              <w:t>471</w:t>
            </w:r>
            <w:r w:rsidRPr="000D34DE">
              <w:rPr>
                <w:b/>
                <w:bCs/>
                <w:sz w:val="18"/>
              </w:rPr>
              <w:t> </w:t>
            </w:r>
            <w:r w:rsidRPr="000D34DE">
              <w:rPr>
                <w:b/>
                <w:bCs/>
                <w:sz w:val="18"/>
              </w:rPr>
              <w:t>919</w:t>
            </w:r>
          </w:p>
        </w:tc>
        <w:tc>
          <w:tcPr>
            <w:tcW w:w="895" w:type="dxa"/>
            <w:tcBorders>
              <w:top w:val="single" w:sz="4" w:space="0" w:color="auto"/>
              <w:bottom w:val="single" w:sz="12" w:space="0" w:color="auto"/>
            </w:tcBorders>
            <w:shd w:val="clear" w:color="auto" w:fill="auto"/>
            <w:vAlign w:val="bottom"/>
          </w:tcPr>
          <w:p w14:paraId="6E77BA51" w14:textId="77777777" w:rsidR="005F3E03" w:rsidRPr="000D34DE" w:rsidRDefault="005F3E03" w:rsidP="000D34DE">
            <w:pPr>
              <w:pStyle w:val="SingleTxtG"/>
              <w:spacing w:before="80" w:after="80" w:line="220" w:lineRule="exact"/>
              <w:ind w:left="0" w:right="0"/>
              <w:jc w:val="right"/>
              <w:rPr>
                <w:b/>
                <w:bCs/>
                <w:sz w:val="18"/>
              </w:rPr>
            </w:pPr>
            <w:r w:rsidRPr="000D34DE">
              <w:rPr>
                <w:b/>
                <w:bCs/>
                <w:sz w:val="18"/>
              </w:rPr>
              <w:t>1</w:t>
            </w:r>
            <w:r w:rsidRPr="000D34DE">
              <w:rPr>
                <w:b/>
                <w:bCs/>
                <w:sz w:val="18"/>
              </w:rPr>
              <w:t> </w:t>
            </w:r>
            <w:r w:rsidRPr="000D34DE">
              <w:rPr>
                <w:b/>
                <w:bCs/>
                <w:sz w:val="18"/>
              </w:rPr>
              <w:t>876</w:t>
            </w:r>
            <w:r w:rsidRPr="000D34DE">
              <w:rPr>
                <w:b/>
                <w:bCs/>
                <w:sz w:val="18"/>
              </w:rPr>
              <w:t> </w:t>
            </w:r>
            <w:r w:rsidRPr="000D34DE">
              <w:rPr>
                <w:b/>
                <w:bCs/>
                <w:sz w:val="18"/>
              </w:rPr>
              <w:t>892</w:t>
            </w:r>
          </w:p>
        </w:tc>
        <w:tc>
          <w:tcPr>
            <w:tcW w:w="708" w:type="dxa"/>
            <w:tcBorders>
              <w:top w:val="single" w:sz="4" w:space="0" w:color="auto"/>
              <w:bottom w:val="single" w:sz="12" w:space="0" w:color="auto"/>
            </w:tcBorders>
            <w:shd w:val="clear" w:color="auto" w:fill="auto"/>
            <w:vAlign w:val="bottom"/>
          </w:tcPr>
          <w:p w14:paraId="0233B2EF" w14:textId="77777777" w:rsidR="005F3E03" w:rsidRPr="000D34DE" w:rsidRDefault="005F3E03" w:rsidP="000D34DE">
            <w:pPr>
              <w:pStyle w:val="SingleTxtG"/>
              <w:spacing w:before="80" w:after="80" w:line="220" w:lineRule="exact"/>
              <w:ind w:left="0" w:right="0"/>
              <w:jc w:val="right"/>
              <w:rPr>
                <w:b/>
                <w:bCs/>
                <w:sz w:val="18"/>
              </w:rPr>
            </w:pPr>
            <w:r w:rsidRPr="000D34DE">
              <w:rPr>
                <w:b/>
                <w:bCs/>
                <w:sz w:val="18"/>
              </w:rPr>
              <w:t>569</w:t>
            </w:r>
            <w:r w:rsidRPr="000D34DE">
              <w:rPr>
                <w:b/>
                <w:bCs/>
                <w:sz w:val="18"/>
              </w:rPr>
              <w:t> </w:t>
            </w:r>
            <w:r w:rsidRPr="000D34DE">
              <w:rPr>
                <w:b/>
                <w:bCs/>
                <w:sz w:val="18"/>
              </w:rPr>
              <w:t>436</w:t>
            </w:r>
          </w:p>
        </w:tc>
        <w:tc>
          <w:tcPr>
            <w:tcW w:w="851" w:type="dxa"/>
            <w:tcBorders>
              <w:top w:val="single" w:sz="4" w:space="0" w:color="auto"/>
              <w:bottom w:val="single" w:sz="12" w:space="0" w:color="auto"/>
            </w:tcBorders>
            <w:shd w:val="clear" w:color="auto" w:fill="auto"/>
            <w:vAlign w:val="bottom"/>
          </w:tcPr>
          <w:p w14:paraId="146437E5" w14:textId="77777777" w:rsidR="005F3E03" w:rsidRPr="000D34DE" w:rsidRDefault="005F3E03" w:rsidP="000D34DE">
            <w:pPr>
              <w:pStyle w:val="SingleTxtG"/>
              <w:spacing w:before="80" w:after="80" w:line="220" w:lineRule="exact"/>
              <w:ind w:left="0" w:right="0"/>
              <w:jc w:val="right"/>
              <w:rPr>
                <w:b/>
                <w:bCs/>
                <w:sz w:val="18"/>
              </w:rPr>
            </w:pPr>
            <w:r w:rsidRPr="000D34DE">
              <w:rPr>
                <w:b/>
                <w:bCs/>
                <w:sz w:val="18"/>
              </w:rPr>
              <w:t>2</w:t>
            </w:r>
            <w:r w:rsidRPr="000D34DE">
              <w:rPr>
                <w:b/>
                <w:bCs/>
                <w:sz w:val="18"/>
              </w:rPr>
              <w:t> </w:t>
            </w:r>
            <w:r w:rsidRPr="000D34DE">
              <w:rPr>
                <w:b/>
                <w:bCs/>
                <w:sz w:val="18"/>
              </w:rPr>
              <w:t>446</w:t>
            </w:r>
            <w:r w:rsidRPr="000D34DE">
              <w:rPr>
                <w:b/>
                <w:bCs/>
                <w:sz w:val="18"/>
              </w:rPr>
              <w:t> </w:t>
            </w:r>
            <w:r w:rsidRPr="000D34DE">
              <w:rPr>
                <w:b/>
                <w:bCs/>
                <w:sz w:val="18"/>
              </w:rPr>
              <w:t>328</w:t>
            </w:r>
          </w:p>
        </w:tc>
        <w:tc>
          <w:tcPr>
            <w:tcW w:w="992" w:type="dxa"/>
            <w:tcBorders>
              <w:top w:val="single" w:sz="4" w:space="0" w:color="auto"/>
              <w:bottom w:val="single" w:sz="12" w:space="0" w:color="auto"/>
            </w:tcBorders>
            <w:shd w:val="clear" w:color="auto" w:fill="auto"/>
            <w:vAlign w:val="bottom"/>
          </w:tcPr>
          <w:p w14:paraId="63C10117" w14:textId="77777777" w:rsidR="005F3E03" w:rsidRPr="000D34DE" w:rsidRDefault="005F3E03" w:rsidP="000D34DE">
            <w:pPr>
              <w:pStyle w:val="SingleTxtG"/>
              <w:spacing w:before="80" w:after="80" w:line="220" w:lineRule="exact"/>
              <w:ind w:left="0" w:right="0"/>
              <w:jc w:val="right"/>
              <w:rPr>
                <w:b/>
                <w:bCs/>
                <w:sz w:val="18"/>
              </w:rPr>
            </w:pPr>
            <w:r w:rsidRPr="000D34DE">
              <w:rPr>
                <w:b/>
                <w:bCs/>
                <w:sz w:val="18"/>
              </w:rPr>
              <w:t>1</w:t>
            </w:r>
            <w:r w:rsidRPr="000D34DE">
              <w:rPr>
                <w:b/>
                <w:bCs/>
                <w:sz w:val="18"/>
              </w:rPr>
              <w:t> </w:t>
            </w:r>
            <w:r w:rsidRPr="000D34DE">
              <w:rPr>
                <w:b/>
                <w:bCs/>
                <w:sz w:val="18"/>
              </w:rPr>
              <w:t>974</w:t>
            </w:r>
            <w:r w:rsidRPr="000D34DE">
              <w:rPr>
                <w:b/>
                <w:bCs/>
                <w:sz w:val="18"/>
              </w:rPr>
              <w:t> </w:t>
            </w:r>
            <w:r w:rsidRPr="000D34DE">
              <w:rPr>
                <w:b/>
                <w:bCs/>
                <w:sz w:val="18"/>
              </w:rPr>
              <w:t>041</w:t>
            </w:r>
          </w:p>
        </w:tc>
        <w:tc>
          <w:tcPr>
            <w:tcW w:w="709" w:type="dxa"/>
            <w:tcBorders>
              <w:top w:val="single" w:sz="4" w:space="0" w:color="auto"/>
              <w:bottom w:val="single" w:sz="12" w:space="0" w:color="auto"/>
            </w:tcBorders>
            <w:shd w:val="clear" w:color="auto" w:fill="auto"/>
            <w:vAlign w:val="bottom"/>
          </w:tcPr>
          <w:p w14:paraId="7E53C956" w14:textId="77777777" w:rsidR="005F3E03" w:rsidRPr="000D34DE" w:rsidRDefault="005F3E03" w:rsidP="000D34DE">
            <w:pPr>
              <w:pStyle w:val="SingleTxtG"/>
              <w:spacing w:before="80" w:after="80" w:line="220" w:lineRule="exact"/>
              <w:ind w:left="0" w:right="0"/>
              <w:jc w:val="right"/>
              <w:rPr>
                <w:b/>
                <w:bCs/>
                <w:sz w:val="18"/>
              </w:rPr>
            </w:pPr>
            <w:r w:rsidRPr="000D34DE">
              <w:rPr>
                <w:b/>
                <w:bCs/>
                <w:sz w:val="18"/>
              </w:rPr>
              <w:t>660</w:t>
            </w:r>
            <w:r w:rsidRPr="000D34DE">
              <w:rPr>
                <w:b/>
                <w:bCs/>
                <w:sz w:val="18"/>
              </w:rPr>
              <w:t> </w:t>
            </w:r>
            <w:r w:rsidRPr="000D34DE">
              <w:rPr>
                <w:b/>
                <w:bCs/>
                <w:sz w:val="18"/>
              </w:rPr>
              <w:t>193</w:t>
            </w:r>
          </w:p>
        </w:tc>
        <w:tc>
          <w:tcPr>
            <w:tcW w:w="850" w:type="dxa"/>
            <w:tcBorders>
              <w:top w:val="single" w:sz="4" w:space="0" w:color="auto"/>
              <w:bottom w:val="single" w:sz="12" w:space="0" w:color="auto"/>
            </w:tcBorders>
            <w:shd w:val="clear" w:color="auto" w:fill="auto"/>
            <w:vAlign w:val="bottom"/>
          </w:tcPr>
          <w:p w14:paraId="6F5FDD5A" w14:textId="77777777" w:rsidR="005F3E03" w:rsidRPr="000D34DE" w:rsidRDefault="005F3E03" w:rsidP="000D34DE">
            <w:pPr>
              <w:pStyle w:val="SingleTxtG"/>
              <w:spacing w:before="80" w:after="80" w:line="220" w:lineRule="exact"/>
              <w:ind w:left="0" w:right="0"/>
              <w:jc w:val="right"/>
              <w:rPr>
                <w:b/>
                <w:bCs/>
                <w:sz w:val="18"/>
              </w:rPr>
            </w:pPr>
            <w:r w:rsidRPr="000D34DE">
              <w:rPr>
                <w:b/>
                <w:bCs/>
                <w:sz w:val="18"/>
              </w:rPr>
              <w:t>2</w:t>
            </w:r>
            <w:r w:rsidRPr="000D34DE">
              <w:rPr>
                <w:b/>
                <w:bCs/>
                <w:sz w:val="18"/>
              </w:rPr>
              <w:t> </w:t>
            </w:r>
            <w:r w:rsidRPr="000D34DE">
              <w:rPr>
                <w:b/>
                <w:bCs/>
                <w:sz w:val="18"/>
              </w:rPr>
              <w:t>634</w:t>
            </w:r>
            <w:r w:rsidRPr="000D34DE">
              <w:rPr>
                <w:b/>
                <w:bCs/>
                <w:sz w:val="18"/>
              </w:rPr>
              <w:t> </w:t>
            </w:r>
            <w:r w:rsidRPr="000D34DE">
              <w:rPr>
                <w:b/>
                <w:bCs/>
                <w:sz w:val="18"/>
              </w:rPr>
              <w:t>234</w:t>
            </w:r>
          </w:p>
        </w:tc>
      </w:tr>
    </w:tbl>
    <w:p w14:paraId="7D19E081" w14:textId="77777777" w:rsidR="009E4C76" w:rsidRPr="00B678B7" w:rsidRDefault="009E4C76" w:rsidP="00B678B7">
      <w:pPr>
        <w:pStyle w:val="SingleTxtG"/>
        <w:spacing w:before="120" w:after="240"/>
        <w:ind w:left="0" w:right="0" w:firstLine="170"/>
        <w:rPr>
          <w:sz w:val="18"/>
          <w:szCs w:val="18"/>
          <w:rtl/>
        </w:rPr>
      </w:pPr>
      <w:r w:rsidRPr="00B678B7">
        <w:rPr>
          <w:i/>
          <w:sz w:val="18"/>
          <w:szCs w:val="18"/>
        </w:rPr>
        <w:t>Source</w:t>
      </w:r>
      <w:r w:rsidR="00B678B7" w:rsidRPr="00B678B7">
        <w:rPr>
          <w:sz w:val="18"/>
          <w:szCs w:val="18"/>
        </w:rPr>
        <w:t> </w:t>
      </w:r>
      <w:r w:rsidRPr="00B678B7">
        <w:rPr>
          <w:sz w:val="18"/>
          <w:szCs w:val="18"/>
        </w:rPr>
        <w:t>:</w:t>
      </w:r>
      <w:r w:rsidR="00B678B7" w:rsidRPr="00B678B7">
        <w:rPr>
          <w:sz w:val="18"/>
          <w:szCs w:val="18"/>
        </w:rPr>
        <w:t xml:space="preserve"> </w:t>
      </w:r>
      <w:r w:rsidRPr="00B678B7">
        <w:rPr>
          <w:sz w:val="18"/>
          <w:szCs w:val="18"/>
        </w:rPr>
        <w:t>Ministère de la planification, du développement et des statistiques, statistiques démographiques et sociales, publication au</w:t>
      </w:r>
      <w:r w:rsidR="001441D6">
        <w:rPr>
          <w:sz w:val="18"/>
          <w:szCs w:val="18"/>
        </w:rPr>
        <w:t> </w:t>
      </w:r>
      <w:r w:rsidRPr="00B678B7">
        <w:rPr>
          <w:sz w:val="18"/>
          <w:szCs w:val="18"/>
        </w:rPr>
        <w:t>troisième trimestre 2017.</w:t>
      </w:r>
    </w:p>
    <w:p w14:paraId="64C6C194" w14:textId="77777777" w:rsidR="009E4C76" w:rsidRPr="003A2DA2" w:rsidRDefault="009E4C76" w:rsidP="003A2DA2">
      <w:pPr>
        <w:pStyle w:val="SingleTxtG"/>
        <w:rPr>
          <w:rtl/>
        </w:rPr>
      </w:pPr>
      <w:r w:rsidRPr="003A2DA2">
        <w:t>8.</w:t>
      </w:r>
      <w:r w:rsidRPr="003A2DA2">
        <w:tab/>
        <w:t>Le tableau</w:t>
      </w:r>
      <w:r w:rsidR="003A2DA2" w:rsidRPr="003A2DA2">
        <w:t> </w:t>
      </w:r>
      <w:r w:rsidRPr="003A2DA2">
        <w:t>4 montre que l’effectif de la population âgée de 25 à 64</w:t>
      </w:r>
      <w:r w:rsidR="003A2DA2" w:rsidRPr="003A2DA2">
        <w:t> </w:t>
      </w:r>
      <w:r w:rsidRPr="003A2DA2">
        <w:t>ans a atteint son niveau le plus élevé en juillet, août et septembre 2017, soit respectivement 1 832 125, 1 789 724 et 1 897</w:t>
      </w:r>
      <w:r w:rsidR="003A2DA2" w:rsidRPr="003A2DA2">
        <w:t> </w:t>
      </w:r>
      <w:r w:rsidRPr="003A2DA2">
        <w:t>430</w:t>
      </w:r>
      <w:r w:rsidR="003A2DA2" w:rsidRPr="003A2DA2">
        <w:t> </w:t>
      </w:r>
      <w:r w:rsidRPr="003A2DA2">
        <w:t>personnes.</w:t>
      </w:r>
    </w:p>
    <w:p w14:paraId="37FD2967" w14:textId="77777777" w:rsidR="009E4C76" w:rsidRPr="003A2DA2" w:rsidRDefault="009E4C76" w:rsidP="003A2DA2">
      <w:pPr>
        <w:pStyle w:val="H23G"/>
        <w:rPr>
          <w:rtl/>
        </w:rPr>
      </w:pPr>
      <w:r w:rsidRPr="003A2DA2">
        <w:tab/>
      </w:r>
      <w:r w:rsidRPr="003A2DA2">
        <w:tab/>
        <w:t>Taux de fécondité</w:t>
      </w:r>
    </w:p>
    <w:p w14:paraId="062A17B5" w14:textId="77777777" w:rsidR="009E4C76" w:rsidRPr="003A2DA2" w:rsidRDefault="009E4C76" w:rsidP="003A2DA2">
      <w:pPr>
        <w:pStyle w:val="SingleTxtG"/>
      </w:pPr>
      <w:r w:rsidRPr="003A2DA2">
        <w:t>9.</w:t>
      </w:r>
      <w:r w:rsidRPr="003A2DA2">
        <w:tab/>
        <w:t>Les données statistiques indiquent que le taux de fécondité synthétique des femmes qataries s’est stabilisé</w:t>
      </w:r>
      <w:r w:rsidR="009B0440">
        <w:t xml:space="preserve"> à</w:t>
      </w:r>
      <w:r w:rsidRPr="003A2DA2">
        <w:t xml:space="preserve"> 3,2 % au cours des dernières années, tandis que le nombre moyen de naissances chez les femmes qataries est de 3, sachant que cet indicateur est lié au niveau d’éducation, à l’augmentation de l’âge moyen du premier mariage et à la contribution accrue des femmes à l’activité économique.</w:t>
      </w:r>
    </w:p>
    <w:p w14:paraId="17DC3294" w14:textId="77777777" w:rsidR="009E4C76" w:rsidRPr="00CE611F" w:rsidRDefault="003A2DA2" w:rsidP="003A2DA2">
      <w:pPr>
        <w:pStyle w:val="H23G"/>
        <w:rPr>
          <w:bCs/>
          <w:rtl/>
          <w:lang w:bidi="fr-FR"/>
        </w:rPr>
      </w:pPr>
      <w:r w:rsidRPr="003A2DA2">
        <w:rPr>
          <w:b w:val="0"/>
          <w:lang w:bidi="ar-QA"/>
        </w:rPr>
        <w:tab/>
      </w:r>
      <w:r w:rsidRPr="003A2DA2">
        <w:rPr>
          <w:b w:val="0"/>
          <w:lang w:bidi="ar-QA"/>
        </w:rPr>
        <w:tab/>
      </w:r>
      <w:r w:rsidR="009E4C76" w:rsidRPr="003A2DA2">
        <w:rPr>
          <w:b w:val="0"/>
          <w:lang w:bidi="ar-QA"/>
        </w:rPr>
        <w:t>Tableau 5</w:t>
      </w:r>
      <w:r>
        <w:rPr>
          <w:lang w:bidi="ar-QA"/>
        </w:rPr>
        <w:t xml:space="preserve"> </w:t>
      </w:r>
      <w:r w:rsidR="009E4C76" w:rsidRPr="00CE611F">
        <w:rPr>
          <w:lang w:bidi="ar-QA"/>
        </w:rPr>
        <w:br/>
        <w:t>Taux synthétique de fécondité</w:t>
      </w:r>
    </w:p>
    <w:tbl>
      <w:tblPr>
        <w:tblW w:w="7370" w:type="dxa"/>
        <w:tblInd w:w="1134" w:type="dxa"/>
        <w:tblLayout w:type="fixed"/>
        <w:tblCellMar>
          <w:left w:w="0" w:type="dxa"/>
          <w:right w:w="0" w:type="dxa"/>
        </w:tblCellMar>
        <w:tblLook w:val="00A0" w:firstRow="1" w:lastRow="0" w:firstColumn="1" w:lastColumn="0" w:noHBand="0" w:noVBand="0"/>
      </w:tblPr>
      <w:tblGrid>
        <w:gridCol w:w="3685"/>
        <w:gridCol w:w="3685"/>
      </w:tblGrid>
      <w:tr w:rsidR="009E4C76" w:rsidRPr="003A2DA2" w14:paraId="6F836696" w14:textId="77777777" w:rsidTr="003A2DA2">
        <w:trPr>
          <w:tblHeader/>
        </w:trPr>
        <w:tc>
          <w:tcPr>
            <w:tcW w:w="3628" w:type="dxa"/>
            <w:tcBorders>
              <w:top w:val="single" w:sz="4" w:space="0" w:color="auto"/>
              <w:bottom w:val="single" w:sz="12" w:space="0" w:color="auto"/>
            </w:tcBorders>
            <w:shd w:val="clear" w:color="auto" w:fill="auto"/>
            <w:vAlign w:val="bottom"/>
          </w:tcPr>
          <w:p w14:paraId="758D179A" w14:textId="77777777" w:rsidR="009E4C76" w:rsidRPr="003A2DA2" w:rsidRDefault="009E4C76" w:rsidP="003A2DA2">
            <w:pPr>
              <w:suppressAutoHyphens w:val="0"/>
              <w:spacing w:before="80" w:after="80" w:line="200" w:lineRule="exact"/>
              <w:rPr>
                <w:i/>
                <w:iCs/>
                <w:sz w:val="16"/>
                <w:szCs w:val="26"/>
                <w:rtl/>
                <w:lang w:val="fr-FR" w:bidi="fr-FR"/>
              </w:rPr>
            </w:pPr>
            <w:r w:rsidRPr="003A2DA2">
              <w:rPr>
                <w:i/>
                <w:sz w:val="16"/>
                <w:lang w:val="fr-FR" w:bidi="ar-QA"/>
              </w:rPr>
              <w:t>Année</w:t>
            </w:r>
          </w:p>
        </w:tc>
        <w:tc>
          <w:tcPr>
            <w:tcW w:w="3628" w:type="dxa"/>
            <w:tcBorders>
              <w:top w:val="single" w:sz="4" w:space="0" w:color="auto"/>
              <w:bottom w:val="single" w:sz="12" w:space="0" w:color="auto"/>
            </w:tcBorders>
            <w:shd w:val="clear" w:color="auto" w:fill="auto"/>
            <w:vAlign w:val="bottom"/>
          </w:tcPr>
          <w:p w14:paraId="40CF65DB" w14:textId="77777777" w:rsidR="009E4C76" w:rsidRPr="003A2DA2" w:rsidRDefault="009E4C76" w:rsidP="003A2DA2">
            <w:pPr>
              <w:suppressAutoHyphens w:val="0"/>
              <w:spacing w:before="80" w:after="80" w:line="200" w:lineRule="exact"/>
              <w:jc w:val="right"/>
              <w:rPr>
                <w:i/>
                <w:iCs/>
                <w:sz w:val="16"/>
                <w:szCs w:val="26"/>
                <w:rtl/>
                <w:lang w:val="fr-FR" w:bidi="fr-FR"/>
              </w:rPr>
            </w:pPr>
            <w:r w:rsidRPr="003A2DA2">
              <w:rPr>
                <w:i/>
                <w:sz w:val="16"/>
                <w:lang w:val="fr-FR" w:bidi="ar-QA"/>
              </w:rPr>
              <w:t>Moyenne</w:t>
            </w:r>
          </w:p>
        </w:tc>
      </w:tr>
      <w:tr w:rsidR="009E4C76" w:rsidRPr="003A2DA2" w14:paraId="549014E9" w14:textId="77777777" w:rsidTr="003A2DA2">
        <w:tc>
          <w:tcPr>
            <w:tcW w:w="3628" w:type="dxa"/>
            <w:tcBorders>
              <w:top w:val="single" w:sz="12" w:space="0" w:color="auto"/>
            </w:tcBorders>
            <w:shd w:val="clear" w:color="auto" w:fill="auto"/>
          </w:tcPr>
          <w:p w14:paraId="1F037524" w14:textId="77777777" w:rsidR="009E4C76" w:rsidRPr="003A2DA2" w:rsidRDefault="009E4C76" w:rsidP="003A2DA2">
            <w:pPr>
              <w:suppressAutoHyphens w:val="0"/>
              <w:spacing w:before="40" w:after="40" w:line="220" w:lineRule="exact"/>
              <w:rPr>
                <w:sz w:val="18"/>
                <w:szCs w:val="26"/>
                <w:rtl/>
                <w:lang w:val="fr-FR" w:bidi="fr-FR"/>
              </w:rPr>
            </w:pPr>
            <w:r w:rsidRPr="003A2DA2">
              <w:rPr>
                <w:sz w:val="18"/>
                <w:lang w:val="fr-FR" w:bidi="ar-QA"/>
              </w:rPr>
              <w:t>2012</w:t>
            </w:r>
          </w:p>
        </w:tc>
        <w:tc>
          <w:tcPr>
            <w:tcW w:w="3628" w:type="dxa"/>
            <w:tcBorders>
              <w:top w:val="single" w:sz="12" w:space="0" w:color="auto"/>
            </w:tcBorders>
            <w:shd w:val="clear" w:color="auto" w:fill="auto"/>
            <w:vAlign w:val="bottom"/>
          </w:tcPr>
          <w:p w14:paraId="62B1A83D" w14:textId="77777777" w:rsidR="009E4C76" w:rsidRPr="003A2DA2" w:rsidRDefault="009E4C76" w:rsidP="003A2DA2">
            <w:pPr>
              <w:suppressAutoHyphens w:val="0"/>
              <w:spacing w:before="40" w:after="40" w:line="220" w:lineRule="exact"/>
              <w:jc w:val="right"/>
              <w:rPr>
                <w:sz w:val="18"/>
                <w:szCs w:val="26"/>
                <w:rtl/>
                <w:lang w:val="fr-FR" w:bidi="fr-FR"/>
              </w:rPr>
            </w:pPr>
            <w:r w:rsidRPr="003A2DA2">
              <w:rPr>
                <w:sz w:val="18"/>
                <w:lang w:val="fr-FR" w:bidi="ar-QA"/>
              </w:rPr>
              <w:t>3,2</w:t>
            </w:r>
          </w:p>
        </w:tc>
      </w:tr>
      <w:tr w:rsidR="009E4C76" w:rsidRPr="003A2DA2" w14:paraId="03FFB1F4" w14:textId="77777777" w:rsidTr="003A2DA2">
        <w:tc>
          <w:tcPr>
            <w:tcW w:w="3628" w:type="dxa"/>
            <w:shd w:val="clear" w:color="auto" w:fill="auto"/>
          </w:tcPr>
          <w:p w14:paraId="367F05F0" w14:textId="77777777" w:rsidR="009E4C76" w:rsidRPr="003A2DA2" w:rsidRDefault="009E4C76" w:rsidP="003A2DA2">
            <w:pPr>
              <w:suppressAutoHyphens w:val="0"/>
              <w:spacing w:before="40" w:after="40" w:line="220" w:lineRule="exact"/>
              <w:rPr>
                <w:sz w:val="18"/>
                <w:szCs w:val="26"/>
                <w:rtl/>
                <w:lang w:val="fr-FR" w:bidi="fr-FR"/>
              </w:rPr>
            </w:pPr>
            <w:r w:rsidRPr="003A2DA2">
              <w:rPr>
                <w:sz w:val="18"/>
                <w:lang w:val="fr-FR" w:bidi="ar-QA"/>
              </w:rPr>
              <w:t>2013</w:t>
            </w:r>
          </w:p>
        </w:tc>
        <w:tc>
          <w:tcPr>
            <w:tcW w:w="3628" w:type="dxa"/>
            <w:shd w:val="clear" w:color="auto" w:fill="auto"/>
            <w:vAlign w:val="bottom"/>
          </w:tcPr>
          <w:p w14:paraId="4213931E" w14:textId="77777777" w:rsidR="009E4C76" w:rsidRPr="003A2DA2" w:rsidRDefault="009E4C76" w:rsidP="003A2DA2">
            <w:pPr>
              <w:suppressAutoHyphens w:val="0"/>
              <w:spacing w:before="40" w:after="40" w:line="220" w:lineRule="exact"/>
              <w:jc w:val="right"/>
              <w:rPr>
                <w:sz w:val="18"/>
                <w:szCs w:val="26"/>
                <w:rtl/>
                <w:lang w:val="fr-FR" w:bidi="fr-FR"/>
              </w:rPr>
            </w:pPr>
            <w:r w:rsidRPr="003A2DA2">
              <w:rPr>
                <w:sz w:val="18"/>
                <w:lang w:val="fr-FR" w:bidi="ar-QA"/>
              </w:rPr>
              <w:t>3,2</w:t>
            </w:r>
          </w:p>
        </w:tc>
      </w:tr>
      <w:tr w:rsidR="009E4C76" w:rsidRPr="003A2DA2" w14:paraId="3DE4FCFC" w14:textId="77777777" w:rsidTr="003A2DA2">
        <w:tc>
          <w:tcPr>
            <w:tcW w:w="3628" w:type="dxa"/>
            <w:shd w:val="clear" w:color="auto" w:fill="auto"/>
          </w:tcPr>
          <w:p w14:paraId="035A9F22" w14:textId="77777777" w:rsidR="009E4C76" w:rsidRPr="003A2DA2" w:rsidRDefault="009E4C76" w:rsidP="003A2DA2">
            <w:pPr>
              <w:suppressAutoHyphens w:val="0"/>
              <w:spacing w:before="40" w:after="40" w:line="220" w:lineRule="exact"/>
              <w:rPr>
                <w:sz w:val="18"/>
                <w:szCs w:val="26"/>
                <w:rtl/>
                <w:lang w:val="fr-FR" w:bidi="fr-FR"/>
              </w:rPr>
            </w:pPr>
            <w:r w:rsidRPr="003A2DA2">
              <w:rPr>
                <w:sz w:val="18"/>
                <w:lang w:val="fr-FR" w:bidi="ar-QA"/>
              </w:rPr>
              <w:t>2014</w:t>
            </w:r>
          </w:p>
        </w:tc>
        <w:tc>
          <w:tcPr>
            <w:tcW w:w="3628" w:type="dxa"/>
            <w:shd w:val="clear" w:color="auto" w:fill="auto"/>
            <w:vAlign w:val="bottom"/>
          </w:tcPr>
          <w:p w14:paraId="46978563" w14:textId="77777777" w:rsidR="009E4C76" w:rsidRPr="003A2DA2" w:rsidRDefault="009E4C76" w:rsidP="003A2DA2">
            <w:pPr>
              <w:suppressAutoHyphens w:val="0"/>
              <w:spacing w:before="40" w:after="40" w:line="220" w:lineRule="exact"/>
              <w:jc w:val="right"/>
              <w:rPr>
                <w:sz w:val="18"/>
                <w:szCs w:val="26"/>
                <w:rtl/>
                <w:lang w:val="fr-FR" w:bidi="fr-FR"/>
              </w:rPr>
            </w:pPr>
            <w:r w:rsidRPr="003A2DA2">
              <w:rPr>
                <w:sz w:val="18"/>
                <w:lang w:val="fr-FR" w:bidi="ar-QA"/>
              </w:rPr>
              <w:t>3,2</w:t>
            </w:r>
          </w:p>
        </w:tc>
      </w:tr>
      <w:tr w:rsidR="009E4C76" w:rsidRPr="003A2DA2" w14:paraId="1DDD3549" w14:textId="77777777" w:rsidTr="003A2DA2">
        <w:tc>
          <w:tcPr>
            <w:tcW w:w="3628" w:type="dxa"/>
            <w:shd w:val="clear" w:color="auto" w:fill="auto"/>
          </w:tcPr>
          <w:p w14:paraId="14CA171B" w14:textId="77777777" w:rsidR="009E4C76" w:rsidRPr="003A2DA2" w:rsidRDefault="009E4C76" w:rsidP="003A2DA2">
            <w:pPr>
              <w:suppressAutoHyphens w:val="0"/>
              <w:spacing w:before="40" w:after="40" w:line="220" w:lineRule="exact"/>
              <w:rPr>
                <w:sz w:val="18"/>
                <w:szCs w:val="26"/>
                <w:rtl/>
                <w:lang w:val="fr-FR" w:bidi="fr-FR"/>
              </w:rPr>
            </w:pPr>
            <w:r w:rsidRPr="003A2DA2">
              <w:rPr>
                <w:sz w:val="18"/>
                <w:lang w:val="fr-FR" w:bidi="ar-QA"/>
              </w:rPr>
              <w:t>2015</w:t>
            </w:r>
          </w:p>
        </w:tc>
        <w:tc>
          <w:tcPr>
            <w:tcW w:w="3628" w:type="dxa"/>
            <w:shd w:val="clear" w:color="auto" w:fill="auto"/>
            <w:vAlign w:val="bottom"/>
          </w:tcPr>
          <w:p w14:paraId="27E52C32" w14:textId="77777777" w:rsidR="009E4C76" w:rsidRPr="003A2DA2" w:rsidRDefault="009E4C76" w:rsidP="003A2DA2">
            <w:pPr>
              <w:suppressAutoHyphens w:val="0"/>
              <w:spacing w:before="40" w:after="40" w:line="220" w:lineRule="exact"/>
              <w:jc w:val="right"/>
              <w:rPr>
                <w:sz w:val="18"/>
                <w:szCs w:val="26"/>
                <w:rtl/>
                <w:lang w:val="fr-FR" w:bidi="fr-FR"/>
              </w:rPr>
            </w:pPr>
            <w:r w:rsidRPr="003A2DA2">
              <w:rPr>
                <w:sz w:val="18"/>
                <w:lang w:val="fr-FR" w:bidi="ar-QA"/>
              </w:rPr>
              <w:t>3,2</w:t>
            </w:r>
          </w:p>
        </w:tc>
      </w:tr>
      <w:tr w:rsidR="009E4C76" w:rsidRPr="003A2DA2" w14:paraId="55BB347C" w14:textId="77777777" w:rsidTr="003A2DA2">
        <w:tc>
          <w:tcPr>
            <w:tcW w:w="3628" w:type="dxa"/>
            <w:tcBorders>
              <w:bottom w:val="single" w:sz="12" w:space="0" w:color="auto"/>
            </w:tcBorders>
            <w:shd w:val="clear" w:color="auto" w:fill="auto"/>
          </w:tcPr>
          <w:p w14:paraId="4A51F10F" w14:textId="77777777" w:rsidR="009E4C76" w:rsidRPr="003A2DA2" w:rsidRDefault="009E4C76" w:rsidP="003A2DA2">
            <w:pPr>
              <w:suppressAutoHyphens w:val="0"/>
              <w:spacing w:before="40" w:after="40" w:line="220" w:lineRule="exact"/>
              <w:rPr>
                <w:sz w:val="18"/>
                <w:szCs w:val="26"/>
                <w:rtl/>
                <w:lang w:val="fr-FR" w:bidi="fr-FR"/>
              </w:rPr>
            </w:pPr>
            <w:r w:rsidRPr="003A2DA2">
              <w:rPr>
                <w:sz w:val="18"/>
                <w:lang w:val="fr-FR" w:bidi="ar-QA"/>
              </w:rPr>
              <w:t>2016</w:t>
            </w:r>
          </w:p>
        </w:tc>
        <w:tc>
          <w:tcPr>
            <w:tcW w:w="3628" w:type="dxa"/>
            <w:tcBorders>
              <w:bottom w:val="single" w:sz="12" w:space="0" w:color="auto"/>
            </w:tcBorders>
            <w:shd w:val="clear" w:color="auto" w:fill="auto"/>
            <w:vAlign w:val="bottom"/>
          </w:tcPr>
          <w:p w14:paraId="4499A77D" w14:textId="77777777" w:rsidR="009E4C76" w:rsidRPr="003A2DA2" w:rsidRDefault="009E4C76" w:rsidP="003A2DA2">
            <w:pPr>
              <w:suppressAutoHyphens w:val="0"/>
              <w:spacing w:before="40" w:after="40" w:line="220" w:lineRule="exact"/>
              <w:jc w:val="right"/>
              <w:rPr>
                <w:sz w:val="18"/>
                <w:szCs w:val="26"/>
                <w:rtl/>
                <w:lang w:val="fr-FR" w:bidi="fr-FR"/>
              </w:rPr>
            </w:pPr>
            <w:r w:rsidRPr="003A2DA2">
              <w:rPr>
                <w:sz w:val="18"/>
                <w:lang w:val="fr-FR" w:bidi="ar-QA"/>
              </w:rPr>
              <w:t>3,0</w:t>
            </w:r>
          </w:p>
        </w:tc>
      </w:tr>
    </w:tbl>
    <w:p w14:paraId="09D95D3B" w14:textId="77777777" w:rsidR="009E4C76" w:rsidRPr="003A2DA2" w:rsidRDefault="009E4C76" w:rsidP="003A2DA2">
      <w:pPr>
        <w:pStyle w:val="SingleTxtG"/>
        <w:spacing w:before="120" w:after="240"/>
        <w:ind w:firstLine="170"/>
        <w:rPr>
          <w:sz w:val="18"/>
          <w:szCs w:val="18"/>
        </w:rPr>
      </w:pPr>
      <w:r w:rsidRPr="003A2DA2">
        <w:rPr>
          <w:i/>
          <w:sz w:val="18"/>
          <w:szCs w:val="18"/>
        </w:rPr>
        <w:t>Source</w:t>
      </w:r>
      <w:r w:rsidR="003A2DA2" w:rsidRPr="003A2DA2">
        <w:rPr>
          <w:sz w:val="18"/>
          <w:szCs w:val="18"/>
        </w:rPr>
        <w:t> </w:t>
      </w:r>
      <w:r w:rsidRPr="003A2DA2">
        <w:rPr>
          <w:sz w:val="18"/>
          <w:szCs w:val="18"/>
        </w:rPr>
        <w:t>:</w:t>
      </w:r>
      <w:r w:rsidR="003A2DA2" w:rsidRPr="003A2DA2">
        <w:rPr>
          <w:sz w:val="18"/>
          <w:szCs w:val="18"/>
        </w:rPr>
        <w:t xml:space="preserve"> </w:t>
      </w:r>
      <w:r w:rsidRPr="003A2DA2">
        <w:rPr>
          <w:sz w:val="18"/>
          <w:szCs w:val="18"/>
        </w:rPr>
        <w:t>Ministère de la planification, du développement et des statistiques, statistiques de l’état civil, bulletin annuel des na</w:t>
      </w:r>
      <w:r w:rsidR="00CC3665">
        <w:rPr>
          <w:sz w:val="18"/>
          <w:szCs w:val="18"/>
        </w:rPr>
        <w:t>6</w:t>
      </w:r>
      <w:r w:rsidRPr="003A2DA2">
        <w:rPr>
          <w:sz w:val="18"/>
          <w:szCs w:val="18"/>
        </w:rPr>
        <w:t>ssances et décès, 201</w:t>
      </w:r>
      <w:r w:rsidR="00A666F3">
        <w:rPr>
          <w:sz w:val="18"/>
          <w:szCs w:val="18"/>
        </w:rPr>
        <w:t>6</w:t>
      </w:r>
      <w:r w:rsidRPr="003A2DA2">
        <w:rPr>
          <w:sz w:val="18"/>
          <w:szCs w:val="18"/>
        </w:rPr>
        <w:t>.</w:t>
      </w:r>
    </w:p>
    <w:p w14:paraId="72DA4E49" w14:textId="77777777" w:rsidR="009E4C76" w:rsidRPr="00CE611F" w:rsidRDefault="003A2DA2" w:rsidP="003A2DA2">
      <w:pPr>
        <w:pStyle w:val="H23G"/>
        <w:rPr>
          <w:bCs/>
          <w:rtl/>
          <w:lang w:bidi="fr-FR"/>
        </w:rPr>
      </w:pPr>
      <w:r w:rsidRPr="004F15DD">
        <w:rPr>
          <w:b w:val="0"/>
        </w:rPr>
        <w:tab/>
      </w:r>
      <w:r w:rsidRPr="004F15DD">
        <w:rPr>
          <w:b w:val="0"/>
        </w:rPr>
        <w:tab/>
      </w:r>
      <w:r w:rsidR="009E4C76" w:rsidRPr="004F15DD">
        <w:rPr>
          <w:b w:val="0"/>
        </w:rPr>
        <w:t>Tableau 6</w:t>
      </w:r>
      <w:r w:rsidR="004F15DD">
        <w:t xml:space="preserve"> </w:t>
      </w:r>
      <w:r w:rsidR="009E4C76" w:rsidRPr="00CE611F">
        <w:br/>
        <w:t>Évolution du taux d</w:t>
      </w:r>
      <w:r w:rsidR="009E4C76">
        <w:t>’</w:t>
      </w:r>
      <w:r w:rsidR="009E4C76" w:rsidRPr="00CE611F">
        <w:t>accroissement de la population (2007-2016)</w:t>
      </w:r>
    </w:p>
    <w:tbl>
      <w:tblPr>
        <w:tblW w:w="7370" w:type="dxa"/>
        <w:tblInd w:w="1134" w:type="dxa"/>
        <w:tblLayout w:type="fixed"/>
        <w:tblCellMar>
          <w:left w:w="0" w:type="dxa"/>
          <w:right w:w="0" w:type="dxa"/>
        </w:tblCellMar>
        <w:tblLook w:val="00A0" w:firstRow="1" w:lastRow="0" w:firstColumn="1" w:lastColumn="0" w:noHBand="0" w:noVBand="0"/>
      </w:tblPr>
      <w:tblGrid>
        <w:gridCol w:w="2032"/>
        <w:gridCol w:w="2516"/>
        <w:gridCol w:w="2822"/>
      </w:tblGrid>
      <w:tr w:rsidR="009E4C76" w:rsidRPr="004F15DD" w14:paraId="031CE024" w14:textId="77777777" w:rsidTr="004F15DD">
        <w:trPr>
          <w:tblHeader/>
        </w:trPr>
        <w:tc>
          <w:tcPr>
            <w:tcW w:w="2001" w:type="dxa"/>
            <w:tcBorders>
              <w:top w:val="single" w:sz="4" w:space="0" w:color="auto"/>
              <w:bottom w:val="single" w:sz="12" w:space="0" w:color="auto"/>
            </w:tcBorders>
            <w:shd w:val="clear" w:color="auto" w:fill="auto"/>
            <w:noWrap/>
            <w:vAlign w:val="bottom"/>
          </w:tcPr>
          <w:p w14:paraId="3BFA4D04" w14:textId="77777777" w:rsidR="009E4C76" w:rsidRPr="004F15DD" w:rsidRDefault="009E4C76" w:rsidP="004F15DD">
            <w:pPr>
              <w:suppressAutoHyphens w:val="0"/>
              <w:spacing w:before="80" w:after="80" w:line="200" w:lineRule="exact"/>
              <w:rPr>
                <w:i/>
                <w:iCs/>
                <w:sz w:val="16"/>
                <w:szCs w:val="26"/>
                <w:rtl/>
                <w:lang w:val="fr-FR" w:bidi="fr-FR"/>
              </w:rPr>
            </w:pPr>
            <w:r w:rsidRPr="004F15DD">
              <w:rPr>
                <w:i/>
                <w:sz w:val="16"/>
                <w:lang w:val="fr-FR"/>
              </w:rPr>
              <w:t>Année</w:t>
            </w:r>
          </w:p>
        </w:tc>
        <w:tc>
          <w:tcPr>
            <w:tcW w:w="2477" w:type="dxa"/>
            <w:tcBorders>
              <w:top w:val="single" w:sz="4" w:space="0" w:color="auto"/>
              <w:bottom w:val="single" w:sz="12" w:space="0" w:color="auto"/>
            </w:tcBorders>
            <w:shd w:val="clear" w:color="auto" w:fill="auto"/>
            <w:noWrap/>
            <w:vAlign w:val="bottom"/>
          </w:tcPr>
          <w:p w14:paraId="0C696E18" w14:textId="77777777" w:rsidR="009E4C76" w:rsidRPr="004F15DD" w:rsidRDefault="009E4C76" w:rsidP="004F15DD">
            <w:pPr>
              <w:suppressAutoHyphens w:val="0"/>
              <w:spacing w:before="80" w:after="80" w:line="200" w:lineRule="exact"/>
              <w:jc w:val="right"/>
              <w:rPr>
                <w:i/>
                <w:sz w:val="16"/>
                <w:lang w:val="fr-FR" w:bidi="ar-QA"/>
              </w:rPr>
            </w:pPr>
            <w:r w:rsidRPr="004F15DD">
              <w:rPr>
                <w:i/>
                <w:sz w:val="16"/>
                <w:lang w:val="fr-FR"/>
              </w:rPr>
              <w:t>Nombre d’habitants</w:t>
            </w:r>
          </w:p>
        </w:tc>
        <w:tc>
          <w:tcPr>
            <w:tcW w:w="2778" w:type="dxa"/>
            <w:tcBorders>
              <w:top w:val="single" w:sz="4" w:space="0" w:color="auto"/>
              <w:bottom w:val="single" w:sz="12" w:space="0" w:color="auto"/>
            </w:tcBorders>
            <w:shd w:val="clear" w:color="auto" w:fill="auto"/>
            <w:noWrap/>
            <w:vAlign w:val="bottom"/>
          </w:tcPr>
          <w:p w14:paraId="43B147D0" w14:textId="77777777" w:rsidR="009E4C76" w:rsidRPr="004F15DD" w:rsidRDefault="009E4C76" w:rsidP="004F15DD">
            <w:pPr>
              <w:suppressAutoHyphens w:val="0"/>
              <w:spacing w:before="80" w:after="80" w:line="200" w:lineRule="exact"/>
              <w:jc w:val="right"/>
              <w:rPr>
                <w:i/>
                <w:sz w:val="16"/>
                <w:lang w:val="fr-FR" w:bidi="ar-QA"/>
              </w:rPr>
            </w:pPr>
            <w:r w:rsidRPr="004F15DD">
              <w:rPr>
                <w:i/>
                <w:sz w:val="16"/>
                <w:lang w:val="fr-FR"/>
              </w:rPr>
              <w:t>Taux d’accroissement</w:t>
            </w:r>
          </w:p>
        </w:tc>
      </w:tr>
      <w:tr w:rsidR="009E4C76" w:rsidRPr="004F15DD" w14:paraId="1E76AB98" w14:textId="77777777" w:rsidTr="004F15DD">
        <w:tc>
          <w:tcPr>
            <w:tcW w:w="2001" w:type="dxa"/>
            <w:tcBorders>
              <w:top w:val="single" w:sz="12" w:space="0" w:color="auto"/>
            </w:tcBorders>
            <w:shd w:val="clear" w:color="auto" w:fill="auto"/>
            <w:noWrap/>
          </w:tcPr>
          <w:p w14:paraId="05CF75EF" w14:textId="77777777" w:rsidR="009E4C76" w:rsidRPr="004F15DD" w:rsidRDefault="009E4C76" w:rsidP="004F15DD">
            <w:pPr>
              <w:suppressAutoHyphens w:val="0"/>
              <w:spacing w:before="40" w:after="40" w:line="220" w:lineRule="exact"/>
              <w:rPr>
                <w:sz w:val="18"/>
                <w:lang w:val="fr-FR" w:bidi="ar-QA"/>
              </w:rPr>
            </w:pPr>
            <w:r w:rsidRPr="004F15DD">
              <w:rPr>
                <w:sz w:val="18"/>
                <w:lang w:val="fr-FR" w:bidi="ar-QA"/>
              </w:rPr>
              <w:t>2007</w:t>
            </w:r>
          </w:p>
        </w:tc>
        <w:tc>
          <w:tcPr>
            <w:tcW w:w="2477" w:type="dxa"/>
            <w:tcBorders>
              <w:top w:val="single" w:sz="12" w:space="0" w:color="auto"/>
            </w:tcBorders>
            <w:shd w:val="clear" w:color="auto" w:fill="auto"/>
            <w:noWrap/>
            <w:vAlign w:val="bottom"/>
          </w:tcPr>
          <w:p w14:paraId="02EC15CA" w14:textId="77777777" w:rsidR="009E4C76" w:rsidRPr="004F15DD" w:rsidRDefault="009E4C76" w:rsidP="004F15DD">
            <w:pPr>
              <w:suppressAutoHyphens w:val="0"/>
              <w:spacing w:before="40" w:after="40" w:line="220" w:lineRule="exact"/>
              <w:jc w:val="right"/>
              <w:rPr>
                <w:sz w:val="18"/>
                <w:lang w:val="fr-FR" w:bidi="ar-QA"/>
              </w:rPr>
            </w:pPr>
            <w:r w:rsidRPr="004F15DD">
              <w:rPr>
                <w:sz w:val="18"/>
                <w:lang w:val="fr-FR" w:bidi="ar-QA"/>
              </w:rPr>
              <w:t xml:space="preserve">1 218 250 </w:t>
            </w:r>
          </w:p>
        </w:tc>
        <w:tc>
          <w:tcPr>
            <w:tcW w:w="2778" w:type="dxa"/>
            <w:tcBorders>
              <w:top w:val="single" w:sz="12" w:space="0" w:color="auto"/>
            </w:tcBorders>
            <w:shd w:val="clear" w:color="auto" w:fill="auto"/>
            <w:noWrap/>
            <w:vAlign w:val="bottom"/>
          </w:tcPr>
          <w:p w14:paraId="360CA730" w14:textId="77777777" w:rsidR="009E4C76" w:rsidRPr="004F15DD" w:rsidRDefault="009E4C76" w:rsidP="004F15DD">
            <w:pPr>
              <w:suppressAutoHyphens w:val="0"/>
              <w:spacing w:before="40" w:after="40" w:line="220" w:lineRule="exact"/>
              <w:jc w:val="right"/>
              <w:rPr>
                <w:sz w:val="18"/>
                <w:lang w:val="fr-FR" w:bidi="ar-QA"/>
              </w:rPr>
            </w:pPr>
            <w:r w:rsidRPr="004F15DD">
              <w:rPr>
                <w:sz w:val="18"/>
                <w:lang w:val="fr-FR" w:bidi="ar-QA"/>
              </w:rPr>
              <w:t>16,8</w:t>
            </w:r>
          </w:p>
        </w:tc>
      </w:tr>
      <w:tr w:rsidR="009E4C76" w:rsidRPr="004F15DD" w14:paraId="0A876AF0" w14:textId="77777777" w:rsidTr="004F15DD">
        <w:tc>
          <w:tcPr>
            <w:tcW w:w="2001" w:type="dxa"/>
            <w:shd w:val="clear" w:color="auto" w:fill="auto"/>
            <w:noWrap/>
          </w:tcPr>
          <w:p w14:paraId="49A1B0EC" w14:textId="77777777" w:rsidR="009E4C76" w:rsidRPr="004F15DD" w:rsidRDefault="009E4C76" w:rsidP="004F15DD">
            <w:pPr>
              <w:suppressAutoHyphens w:val="0"/>
              <w:spacing w:before="40" w:after="40" w:line="220" w:lineRule="exact"/>
              <w:rPr>
                <w:sz w:val="18"/>
                <w:lang w:val="fr-FR" w:bidi="ar-QA"/>
              </w:rPr>
            </w:pPr>
            <w:r w:rsidRPr="004F15DD">
              <w:rPr>
                <w:sz w:val="18"/>
                <w:lang w:val="fr-FR" w:bidi="ar-QA"/>
              </w:rPr>
              <w:t>2008</w:t>
            </w:r>
          </w:p>
        </w:tc>
        <w:tc>
          <w:tcPr>
            <w:tcW w:w="2477" w:type="dxa"/>
            <w:shd w:val="clear" w:color="auto" w:fill="auto"/>
            <w:noWrap/>
            <w:vAlign w:val="bottom"/>
          </w:tcPr>
          <w:p w14:paraId="5B0D2B3E" w14:textId="77777777" w:rsidR="009E4C76" w:rsidRPr="004F15DD" w:rsidRDefault="009E4C76" w:rsidP="004F15DD">
            <w:pPr>
              <w:suppressAutoHyphens w:val="0"/>
              <w:spacing w:before="40" w:after="40" w:line="220" w:lineRule="exact"/>
              <w:jc w:val="right"/>
              <w:rPr>
                <w:sz w:val="18"/>
                <w:lang w:val="fr-FR" w:bidi="ar-QA"/>
              </w:rPr>
            </w:pPr>
            <w:r w:rsidRPr="004F15DD">
              <w:rPr>
                <w:sz w:val="18"/>
                <w:lang w:val="fr-FR" w:bidi="ar-QA"/>
              </w:rPr>
              <w:t xml:space="preserve">1 448 479 </w:t>
            </w:r>
          </w:p>
        </w:tc>
        <w:tc>
          <w:tcPr>
            <w:tcW w:w="2778" w:type="dxa"/>
            <w:shd w:val="clear" w:color="auto" w:fill="auto"/>
            <w:noWrap/>
            <w:vAlign w:val="bottom"/>
          </w:tcPr>
          <w:p w14:paraId="2340DDBD" w14:textId="77777777" w:rsidR="009E4C76" w:rsidRPr="004F15DD" w:rsidRDefault="009E4C76" w:rsidP="004F15DD">
            <w:pPr>
              <w:suppressAutoHyphens w:val="0"/>
              <w:spacing w:before="40" w:after="40" w:line="220" w:lineRule="exact"/>
              <w:jc w:val="right"/>
              <w:rPr>
                <w:sz w:val="18"/>
                <w:lang w:val="fr-FR" w:bidi="ar-QA"/>
              </w:rPr>
            </w:pPr>
            <w:r w:rsidRPr="004F15DD">
              <w:rPr>
                <w:sz w:val="18"/>
                <w:lang w:val="fr-FR" w:bidi="ar-QA"/>
              </w:rPr>
              <w:t>18,9</w:t>
            </w:r>
          </w:p>
        </w:tc>
      </w:tr>
      <w:tr w:rsidR="009E4C76" w:rsidRPr="004F15DD" w14:paraId="029B1D2C" w14:textId="77777777" w:rsidTr="004F15DD">
        <w:tc>
          <w:tcPr>
            <w:tcW w:w="2001" w:type="dxa"/>
            <w:shd w:val="clear" w:color="auto" w:fill="auto"/>
            <w:noWrap/>
          </w:tcPr>
          <w:p w14:paraId="081E3369" w14:textId="77777777" w:rsidR="009E4C76" w:rsidRPr="004F15DD" w:rsidRDefault="009E4C76" w:rsidP="004F15DD">
            <w:pPr>
              <w:suppressAutoHyphens w:val="0"/>
              <w:spacing w:before="40" w:after="40" w:line="220" w:lineRule="exact"/>
              <w:rPr>
                <w:sz w:val="18"/>
                <w:lang w:val="fr-FR" w:bidi="ar-QA"/>
              </w:rPr>
            </w:pPr>
            <w:r w:rsidRPr="004F15DD">
              <w:rPr>
                <w:sz w:val="18"/>
                <w:lang w:val="fr-FR" w:bidi="ar-QA"/>
              </w:rPr>
              <w:t>2009</w:t>
            </w:r>
          </w:p>
        </w:tc>
        <w:tc>
          <w:tcPr>
            <w:tcW w:w="2477" w:type="dxa"/>
            <w:shd w:val="clear" w:color="auto" w:fill="auto"/>
            <w:noWrap/>
            <w:vAlign w:val="bottom"/>
          </w:tcPr>
          <w:p w14:paraId="09A6FBCB" w14:textId="77777777" w:rsidR="009E4C76" w:rsidRPr="004F15DD" w:rsidRDefault="009E4C76" w:rsidP="004F15DD">
            <w:pPr>
              <w:suppressAutoHyphens w:val="0"/>
              <w:spacing w:before="40" w:after="40" w:line="220" w:lineRule="exact"/>
              <w:jc w:val="right"/>
              <w:rPr>
                <w:sz w:val="18"/>
                <w:lang w:val="fr-FR" w:bidi="ar-QA"/>
              </w:rPr>
            </w:pPr>
            <w:r w:rsidRPr="004F15DD">
              <w:rPr>
                <w:sz w:val="18"/>
                <w:lang w:val="fr-FR" w:bidi="ar-QA"/>
              </w:rPr>
              <w:t xml:space="preserve">1 638 626 </w:t>
            </w:r>
          </w:p>
        </w:tc>
        <w:tc>
          <w:tcPr>
            <w:tcW w:w="2778" w:type="dxa"/>
            <w:shd w:val="clear" w:color="auto" w:fill="auto"/>
            <w:noWrap/>
            <w:vAlign w:val="bottom"/>
          </w:tcPr>
          <w:p w14:paraId="66165A82" w14:textId="77777777" w:rsidR="009E4C76" w:rsidRPr="004F15DD" w:rsidRDefault="009E4C76" w:rsidP="004F15DD">
            <w:pPr>
              <w:suppressAutoHyphens w:val="0"/>
              <w:spacing w:before="40" w:after="40" w:line="220" w:lineRule="exact"/>
              <w:jc w:val="right"/>
              <w:rPr>
                <w:sz w:val="18"/>
                <w:lang w:val="fr-FR" w:bidi="ar-QA"/>
              </w:rPr>
            </w:pPr>
            <w:r w:rsidRPr="004F15DD">
              <w:rPr>
                <w:sz w:val="18"/>
                <w:lang w:val="fr-FR" w:bidi="ar-QA"/>
              </w:rPr>
              <w:t>13,1</w:t>
            </w:r>
          </w:p>
        </w:tc>
      </w:tr>
      <w:tr w:rsidR="009E4C76" w:rsidRPr="004F15DD" w14:paraId="4A2790BA" w14:textId="77777777" w:rsidTr="004F15DD">
        <w:tc>
          <w:tcPr>
            <w:tcW w:w="2001" w:type="dxa"/>
            <w:shd w:val="clear" w:color="auto" w:fill="auto"/>
            <w:noWrap/>
          </w:tcPr>
          <w:p w14:paraId="13BAE2B3" w14:textId="77777777" w:rsidR="009E4C76" w:rsidRPr="004F15DD" w:rsidRDefault="009E4C76" w:rsidP="004F15DD">
            <w:pPr>
              <w:suppressAutoHyphens w:val="0"/>
              <w:spacing w:before="40" w:after="40" w:line="220" w:lineRule="exact"/>
              <w:rPr>
                <w:sz w:val="18"/>
                <w:lang w:val="fr-FR" w:bidi="ar-QA"/>
              </w:rPr>
            </w:pPr>
            <w:r w:rsidRPr="004F15DD">
              <w:rPr>
                <w:sz w:val="18"/>
                <w:lang w:val="fr-FR" w:bidi="ar-QA"/>
              </w:rPr>
              <w:t>2010</w:t>
            </w:r>
          </w:p>
        </w:tc>
        <w:tc>
          <w:tcPr>
            <w:tcW w:w="2477" w:type="dxa"/>
            <w:shd w:val="clear" w:color="auto" w:fill="auto"/>
            <w:noWrap/>
            <w:vAlign w:val="bottom"/>
          </w:tcPr>
          <w:p w14:paraId="0397ABF9" w14:textId="77777777" w:rsidR="009E4C76" w:rsidRPr="004F15DD" w:rsidRDefault="009E4C76" w:rsidP="004F15DD">
            <w:pPr>
              <w:suppressAutoHyphens w:val="0"/>
              <w:spacing w:before="40" w:after="40" w:line="220" w:lineRule="exact"/>
              <w:jc w:val="right"/>
              <w:rPr>
                <w:sz w:val="18"/>
                <w:lang w:val="fr-FR" w:bidi="ar-QA"/>
              </w:rPr>
            </w:pPr>
            <w:r w:rsidRPr="004F15DD">
              <w:rPr>
                <w:sz w:val="18"/>
                <w:lang w:val="fr-FR" w:bidi="ar-QA"/>
              </w:rPr>
              <w:t xml:space="preserve">1 715 098 </w:t>
            </w:r>
          </w:p>
        </w:tc>
        <w:tc>
          <w:tcPr>
            <w:tcW w:w="2778" w:type="dxa"/>
            <w:shd w:val="clear" w:color="auto" w:fill="auto"/>
            <w:noWrap/>
            <w:vAlign w:val="bottom"/>
          </w:tcPr>
          <w:p w14:paraId="6CAD29C0" w14:textId="77777777" w:rsidR="009E4C76" w:rsidRPr="004F15DD" w:rsidRDefault="009E4C76" w:rsidP="004F15DD">
            <w:pPr>
              <w:suppressAutoHyphens w:val="0"/>
              <w:spacing w:before="40" w:after="40" w:line="220" w:lineRule="exact"/>
              <w:jc w:val="right"/>
              <w:rPr>
                <w:sz w:val="18"/>
                <w:lang w:val="fr-FR" w:bidi="ar-QA"/>
              </w:rPr>
            </w:pPr>
            <w:r w:rsidRPr="004F15DD">
              <w:rPr>
                <w:sz w:val="18"/>
                <w:lang w:val="fr-FR" w:bidi="ar-QA"/>
              </w:rPr>
              <w:t>4,6</w:t>
            </w:r>
          </w:p>
        </w:tc>
      </w:tr>
      <w:tr w:rsidR="009E4C76" w:rsidRPr="004F15DD" w14:paraId="4C64E8F4" w14:textId="77777777" w:rsidTr="004F15DD">
        <w:tc>
          <w:tcPr>
            <w:tcW w:w="2001" w:type="dxa"/>
            <w:shd w:val="clear" w:color="auto" w:fill="auto"/>
            <w:noWrap/>
          </w:tcPr>
          <w:p w14:paraId="6AE811A6" w14:textId="77777777" w:rsidR="009E4C76" w:rsidRPr="004F15DD" w:rsidRDefault="009E4C76" w:rsidP="004F15DD">
            <w:pPr>
              <w:suppressAutoHyphens w:val="0"/>
              <w:spacing w:before="40" w:after="40" w:line="220" w:lineRule="exact"/>
              <w:rPr>
                <w:sz w:val="18"/>
                <w:lang w:val="fr-FR" w:bidi="ar-QA"/>
              </w:rPr>
            </w:pPr>
            <w:r w:rsidRPr="004F15DD">
              <w:rPr>
                <w:sz w:val="18"/>
                <w:lang w:val="fr-FR" w:bidi="ar-QA"/>
              </w:rPr>
              <w:t>2011</w:t>
            </w:r>
          </w:p>
        </w:tc>
        <w:tc>
          <w:tcPr>
            <w:tcW w:w="2477" w:type="dxa"/>
            <w:shd w:val="clear" w:color="auto" w:fill="auto"/>
            <w:noWrap/>
            <w:vAlign w:val="bottom"/>
          </w:tcPr>
          <w:p w14:paraId="63FA0497" w14:textId="77777777" w:rsidR="009E4C76" w:rsidRPr="004F15DD" w:rsidRDefault="009E4C76" w:rsidP="004F15DD">
            <w:pPr>
              <w:suppressAutoHyphens w:val="0"/>
              <w:spacing w:before="40" w:after="40" w:line="220" w:lineRule="exact"/>
              <w:jc w:val="right"/>
              <w:rPr>
                <w:sz w:val="18"/>
                <w:lang w:val="fr-FR" w:bidi="ar-QA"/>
              </w:rPr>
            </w:pPr>
            <w:r w:rsidRPr="004F15DD">
              <w:rPr>
                <w:sz w:val="18"/>
                <w:lang w:val="fr-FR" w:bidi="ar-QA"/>
              </w:rPr>
              <w:t xml:space="preserve">1 732 717 </w:t>
            </w:r>
          </w:p>
        </w:tc>
        <w:tc>
          <w:tcPr>
            <w:tcW w:w="2778" w:type="dxa"/>
            <w:shd w:val="clear" w:color="auto" w:fill="auto"/>
            <w:noWrap/>
            <w:vAlign w:val="bottom"/>
          </w:tcPr>
          <w:p w14:paraId="098EF54B" w14:textId="77777777" w:rsidR="009E4C76" w:rsidRPr="004F15DD" w:rsidRDefault="009E4C76" w:rsidP="004F15DD">
            <w:pPr>
              <w:suppressAutoHyphens w:val="0"/>
              <w:spacing w:before="40" w:after="40" w:line="220" w:lineRule="exact"/>
              <w:jc w:val="right"/>
              <w:rPr>
                <w:sz w:val="18"/>
                <w:lang w:val="fr-FR" w:bidi="ar-QA"/>
              </w:rPr>
            </w:pPr>
            <w:r w:rsidRPr="004F15DD">
              <w:rPr>
                <w:sz w:val="18"/>
                <w:lang w:val="fr-FR" w:bidi="ar-QA"/>
              </w:rPr>
              <w:t>1,0</w:t>
            </w:r>
          </w:p>
        </w:tc>
      </w:tr>
      <w:tr w:rsidR="009E4C76" w:rsidRPr="004F15DD" w14:paraId="001CA791" w14:textId="77777777" w:rsidTr="004F15DD">
        <w:tc>
          <w:tcPr>
            <w:tcW w:w="2001" w:type="dxa"/>
            <w:shd w:val="clear" w:color="auto" w:fill="auto"/>
            <w:noWrap/>
          </w:tcPr>
          <w:p w14:paraId="5649C702" w14:textId="77777777" w:rsidR="009E4C76" w:rsidRPr="004F15DD" w:rsidRDefault="009E4C76" w:rsidP="004F15DD">
            <w:pPr>
              <w:suppressAutoHyphens w:val="0"/>
              <w:spacing w:before="40" w:after="40" w:line="220" w:lineRule="exact"/>
              <w:rPr>
                <w:sz w:val="18"/>
                <w:lang w:val="fr-FR" w:bidi="ar-QA"/>
              </w:rPr>
            </w:pPr>
            <w:r w:rsidRPr="004F15DD">
              <w:rPr>
                <w:sz w:val="18"/>
                <w:lang w:val="fr-FR" w:bidi="ar-QA"/>
              </w:rPr>
              <w:t>2012</w:t>
            </w:r>
          </w:p>
        </w:tc>
        <w:tc>
          <w:tcPr>
            <w:tcW w:w="2477" w:type="dxa"/>
            <w:shd w:val="clear" w:color="auto" w:fill="auto"/>
            <w:noWrap/>
            <w:vAlign w:val="bottom"/>
          </w:tcPr>
          <w:p w14:paraId="676486EB" w14:textId="77777777" w:rsidR="009E4C76" w:rsidRPr="004F15DD" w:rsidRDefault="009E4C76" w:rsidP="004F15DD">
            <w:pPr>
              <w:suppressAutoHyphens w:val="0"/>
              <w:spacing w:before="40" w:after="40" w:line="220" w:lineRule="exact"/>
              <w:jc w:val="right"/>
              <w:rPr>
                <w:sz w:val="18"/>
                <w:lang w:val="fr-FR" w:bidi="ar-QA"/>
              </w:rPr>
            </w:pPr>
            <w:r w:rsidRPr="004F15DD">
              <w:rPr>
                <w:sz w:val="18"/>
                <w:lang w:val="fr-FR" w:bidi="ar-QA"/>
              </w:rPr>
              <w:t xml:space="preserve">1 832 903 </w:t>
            </w:r>
          </w:p>
        </w:tc>
        <w:tc>
          <w:tcPr>
            <w:tcW w:w="2778" w:type="dxa"/>
            <w:shd w:val="clear" w:color="auto" w:fill="auto"/>
            <w:noWrap/>
            <w:vAlign w:val="bottom"/>
          </w:tcPr>
          <w:p w14:paraId="1698D47E" w14:textId="77777777" w:rsidR="009E4C76" w:rsidRPr="004F15DD" w:rsidRDefault="009E4C76" w:rsidP="004F15DD">
            <w:pPr>
              <w:suppressAutoHyphens w:val="0"/>
              <w:spacing w:before="40" w:after="40" w:line="220" w:lineRule="exact"/>
              <w:jc w:val="right"/>
              <w:rPr>
                <w:sz w:val="18"/>
                <w:lang w:val="fr-FR" w:bidi="ar-QA"/>
              </w:rPr>
            </w:pPr>
            <w:r w:rsidRPr="004F15DD">
              <w:rPr>
                <w:sz w:val="18"/>
                <w:lang w:val="fr-FR" w:bidi="ar-QA"/>
              </w:rPr>
              <w:t>5,8</w:t>
            </w:r>
          </w:p>
        </w:tc>
      </w:tr>
      <w:tr w:rsidR="009E4C76" w:rsidRPr="004F15DD" w14:paraId="757EC298" w14:textId="77777777" w:rsidTr="004F15DD">
        <w:tc>
          <w:tcPr>
            <w:tcW w:w="2001" w:type="dxa"/>
            <w:shd w:val="clear" w:color="auto" w:fill="auto"/>
            <w:noWrap/>
          </w:tcPr>
          <w:p w14:paraId="66550538" w14:textId="77777777" w:rsidR="009E4C76" w:rsidRPr="004F15DD" w:rsidRDefault="009E4C76" w:rsidP="004F15DD">
            <w:pPr>
              <w:suppressAutoHyphens w:val="0"/>
              <w:spacing w:before="40" w:after="40" w:line="220" w:lineRule="exact"/>
              <w:rPr>
                <w:sz w:val="18"/>
                <w:lang w:val="fr-FR" w:bidi="ar-QA"/>
              </w:rPr>
            </w:pPr>
            <w:r w:rsidRPr="004F15DD">
              <w:rPr>
                <w:sz w:val="18"/>
                <w:lang w:val="fr-FR" w:bidi="ar-QA"/>
              </w:rPr>
              <w:t>2013</w:t>
            </w:r>
          </w:p>
        </w:tc>
        <w:tc>
          <w:tcPr>
            <w:tcW w:w="2477" w:type="dxa"/>
            <w:shd w:val="clear" w:color="auto" w:fill="auto"/>
            <w:noWrap/>
            <w:vAlign w:val="bottom"/>
          </w:tcPr>
          <w:p w14:paraId="66B6213D" w14:textId="77777777" w:rsidR="009E4C76" w:rsidRPr="004F15DD" w:rsidRDefault="009E4C76" w:rsidP="004F15DD">
            <w:pPr>
              <w:suppressAutoHyphens w:val="0"/>
              <w:spacing w:before="40" w:after="40" w:line="220" w:lineRule="exact"/>
              <w:jc w:val="right"/>
              <w:rPr>
                <w:sz w:val="18"/>
                <w:lang w:val="fr-FR" w:bidi="ar-QA"/>
              </w:rPr>
            </w:pPr>
            <w:r w:rsidRPr="004F15DD">
              <w:rPr>
                <w:sz w:val="18"/>
                <w:lang w:val="fr-FR" w:bidi="ar-QA"/>
              </w:rPr>
              <w:t xml:space="preserve">2 003 700 </w:t>
            </w:r>
          </w:p>
        </w:tc>
        <w:tc>
          <w:tcPr>
            <w:tcW w:w="2778" w:type="dxa"/>
            <w:shd w:val="clear" w:color="auto" w:fill="auto"/>
            <w:noWrap/>
            <w:vAlign w:val="bottom"/>
          </w:tcPr>
          <w:p w14:paraId="74261EF6" w14:textId="77777777" w:rsidR="009E4C76" w:rsidRPr="004F15DD" w:rsidRDefault="009E4C76" w:rsidP="004F15DD">
            <w:pPr>
              <w:suppressAutoHyphens w:val="0"/>
              <w:spacing w:before="40" w:after="40" w:line="220" w:lineRule="exact"/>
              <w:jc w:val="right"/>
              <w:rPr>
                <w:sz w:val="18"/>
                <w:lang w:val="fr-FR" w:bidi="ar-QA"/>
              </w:rPr>
            </w:pPr>
            <w:r w:rsidRPr="004F15DD">
              <w:rPr>
                <w:sz w:val="18"/>
                <w:lang w:val="fr-FR" w:bidi="ar-QA"/>
              </w:rPr>
              <w:t>9,3</w:t>
            </w:r>
          </w:p>
        </w:tc>
      </w:tr>
      <w:tr w:rsidR="009E4C76" w:rsidRPr="004F15DD" w14:paraId="1775D165" w14:textId="77777777" w:rsidTr="004F15DD">
        <w:tc>
          <w:tcPr>
            <w:tcW w:w="2001" w:type="dxa"/>
            <w:shd w:val="clear" w:color="auto" w:fill="auto"/>
            <w:noWrap/>
          </w:tcPr>
          <w:p w14:paraId="1AFC2B8B" w14:textId="77777777" w:rsidR="009E4C76" w:rsidRPr="004F15DD" w:rsidRDefault="009E4C76" w:rsidP="004F15DD">
            <w:pPr>
              <w:suppressAutoHyphens w:val="0"/>
              <w:spacing w:before="40" w:after="40" w:line="220" w:lineRule="exact"/>
              <w:rPr>
                <w:sz w:val="18"/>
                <w:lang w:val="fr-FR" w:bidi="ar-QA"/>
              </w:rPr>
            </w:pPr>
            <w:r w:rsidRPr="004F15DD">
              <w:rPr>
                <w:sz w:val="18"/>
                <w:lang w:val="fr-FR" w:bidi="ar-QA"/>
              </w:rPr>
              <w:t>2014</w:t>
            </w:r>
          </w:p>
        </w:tc>
        <w:tc>
          <w:tcPr>
            <w:tcW w:w="2477" w:type="dxa"/>
            <w:shd w:val="clear" w:color="auto" w:fill="auto"/>
            <w:noWrap/>
            <w:vAlign w:val="bottom"/>
          </w:tcPr>
          <w:p w14:paraId="571F43BE" w14:textId="77777777" w:rsidR="009E4C76" w:rsidRPr="004F15DD" w:rsidRDefault="009E4C76" w:rsidP="004F15DD">
            <w:pPr>
              <w:suppressAutoHyphens w:val="0"/>
              <w:spacing w:before="40" w:after="40" w:line="220" w:lineRule="exact"/>
              <w:jc w:val="right"/>
              <w:rPr>
                <w:sz w:val="18"/>
                <w:lang w:val="fr-FR" w:bidi="ar-QA"/>
              </w:rPr>
            </w:pPr>
            <w:r w:rsidRPr="004F15DD">
              <w:rPr>
                <w:sz w:val="18"/>
                <w:lang w:val="fr-FR" w:bidi="ar-QA"/>
              </w:rPr>
              <w:t xml:space="preserve">2 216 180 </w:t>
            </w:r>
          </w:p>
        </w:tc>
        <w:tc>
          <w:tcPr>
            <w:tcW w:w="2778" w:type="dxa"/>
            <w:shd w:val="clear" w:color="auto" w:fill="auto"/>
            <w:noWrap/>
            <w:vAlign w:val="bottom"/>
          </w:tcPr>
          <w:p w14:paraId="6576BE77" w14:textId="77777777" w:rsidR="009E4C76" w:rsidRPr="004F15DD" w:rsidRDefault="009E4C76" w:rsidP="004F15DD">
            <w:pPr>
              <w:suppressAutoHyphens w:val="0"/>
              <w:spacing w:before="40" w:after="40" w:line="220" w:lineRule="exact"/>
              <w:jc w:val="right"/>
              <w:rPr>
                <w:sz w:val="18"/>
                <w:lang w:val="fr-FR" w:bidi="ar-QA"/>
              </w:rPr>
            </w:pPr>
            <w:r w:rsidRPr="004F15DD">
              <w:rPr>
                <w:sz w:val="18"/>
                <w:lang w:val="fr-FR" w:bidi="ar-QA"/>
              </w:rPr>
              <w:t>10,1</w:t>
            </w:r>
          </w:p>
        </w:tc>
      </w:tr>
      <w:tr w:rsidR="009E4C76" w:rsidRPr="004F15DD" w14:paraId="48056206" w14:textId="77777777" w:rsidTr="004F15DD">
        <w:tc>
          <w:tcPr>
            <w:tcW w:w="2001" w:type="dxa"/>
            <w:shd w:val="clear" w:color="auto" w:fill="auto"/>
            <w:noWrap/>
          </w:tcPr>
          <w:p w14:paraId="1DEED454" w14:textId="77777777" w:rsidR="009E4C76" w:rsidRPr="004F15DD" w:rsidRDefault="009E4C76" w:rsidP="004F15DD">
            <w:pPr>
              <w:suppressAutoHyphens w:val="0"/>
              <w:spacing w:before="40" w:after="40" w:line="220" w:lineRule="exact"/>
              <w:rPr>
                <w:sz w:val="18"/>
                <w:lang w:val="fr-FR" w:bidi="ar-QA"/>
              </w:rPr>
            </w:pPr>
            <w:r w:rsidRPr="004F15DD">
              <w:rPr>
                <w:sz w:val="18"/>
                <w:lang w:val="fr-FR" w:bidi="ar-QA"/>
              </w:rPr>
              <w:t>2015</w:t>
            </w:r>
          </w:p>
        </w:tc>
        <w:tc>
          <w:tcPr>
            <w:tcW w:w="2477" w:type="dxa"/>
            <w:shd w:val="clear" w:color="auto" w:fill="auto"/>
            <w:noWrap/>
            <w:vAlign w:val="bottom"/>
          </w:tcPr>
          <w:p w14:paraId="6E545CAD" w14:textId="77777777" w:rsidR="009E4C76" w:rsidRPr="004F15DD" w:rsidRDefault="009E4C76" w:rsidP="004F15DD">
            <w:pPr>
              <w:suppressAutoHyphens w:val="0"/>
              <w:spacing w:before="40" w:after="40" w:line="220" w:lineRule="exact"/>
              <w:jc w:val="right"/>
              <w:rPr>
                <w:sz w:val="18"/>
                <w:lang w:val="fr-FR" w:bidi="ar-QA"/>
              </w:rPr>
            </w:pPr>
            <w:r w:rsidRPr="004F15DD">
              <w:rPr>
                <w:sz w:val="18"/>
                <w:lang w:val="fr-FR" w:bidi="ar-QA"/>
              </w:rPr>
              <w:t xml:space="preserve">2 437 790 </w:t>
            </w:r>
          </w:p>
        </w:tc>
        <w:tc>
          <w:tcPr>
            <w:tcW w:w="2778" w:type="dxa"/>
            <w:shd w:val="clear" w:color="auto" w:fill="auto"/>
            <w:noWrap/>
            <w:vAlign w:val="bottom"/>
          </w:tcPr>
          <w:p w14:paraId="35744199" w14:textId="77777777" w:rsidR="009E4C76" w:rsidRPr="004F15DD" w:rsidRDefault="009E4C76" w:rsidP="004F15DD">
            <w:pPr>
              <w:suppressAutoHyphens w:val="0"/>
              <w:spacing w:before="40" w:after="40" w:line="220" w:lineRule="exact"/>
              <w:jc w:val="right"/>
              <w:rPr>
                <w:sz w:val="18"/>
                <w:lang w:val="fr-FR" w:bidi="ar-QA"/>
              </w:rPr>
            </w:pPr>
            <w:r w:rsidRPr="004F15DD">
              <w:rPr>
                <w:sz w:val="18"/>
                <w:lang w:val="fr-FR" w:bidi="ar-QA"/>
              </w:rPr>
              <w:t>9,5</w:t>
            </w:r>
          </w:p>
        </w:tc>
      </w:tr>
      <w:tr w:rsidR="009E4C76" w:rsidRPr="004F15DD" w14:paraId="2787D310" w14:textId="77777777" w:rsidTr="004F15DD">
        <w:tc>
          <w:tcPr>
            <w:tcW w:w="2001" w:type="dxa"/>
            <w:tcBorders>
              <w:bottom w:val="single" w:sz="12" w:space="0" w:color="auto"/>
            </w:tcBorders>
            <w:shd w:val="clear" w:color="auto" w:fill="auto"/>
            <w:noWrap/>
          </w:tcPr>
          <w:p w14:paraId="118E590C" w14:textId="77777777" w:rsidR="009E4C76" w:rsidRPr="004F15DD" w:rsidRDefault="009E4C76" w:rsidP="004F15DD">
            <w:pPr>
              <w:suppressAutoHyphens w:val="0"/>
              <w:spacing w:before="40" w:after="40" w:line="220" w:lineRule="exact"/>
              <w:rPr>
                <w:sz w:val="18"/>
                <w:lang w:val="fr-FR" w:bidi="ar-QA"/>
              </w:rPr>
            </w:pPr>
            <w:r w:rsidRPr="004F15DD">
              <w:rPr>
                <w:sz w:val="18"/>
                <w:lang w:val="fr-FR" w:bidi="ar-QA"/>
              </w:rPr>
              <w:t>2016</w:t>
            </w:r>
          </w:p>
        </w:tc>
        <w:tc>
          <w:tcPr>
            <w:tcW w:w="2477" w:type="dxa"/>
            <w:tcBorders>
              <w:bottom w:val="single" w:sz="12" w:space="0" w:color="auto"/>
            </w:tcBorders>
            <w:shd w:val="clear" w:color="auto" w:fill="auto"/>
            <w:noWrap/>
            <w:vAlign w:val="bottom"/>
          </w:tcPr>
          <w:p w14:paraId="1CFAE52C" w14:textId="77777777" w:rsidR="009E4C76" w:rsidRPr="004F15DD" w:rsidRDefault="009E4C76" w:rsidP="004F15DD">
            <w:pPr>
              <w:suppressAutoHyphens w:val="0"/>
              <w:spacing w:before="40" w:after="40" w:line="220" w:lineRule="exact"/>
              <w:jc w:val="right"/>
              <w:rPr>
                <w:sz w:val="18"/>
                <w:lang w:val="fr-FR" w:bidi="ar-QA"/>
              </w:rPr>
            </w:pPr>
            <w:r w:rsidRPr="004F15DD">
              <w:rPr>
                <w:sz w:val="18"/>
                <w:lang w:val="fr-FR" w:bidi="ar-QA"/>
              </w:rPr>
              <w:t xml:space="preserve">2 617 634 </w:t>
            </w:r>
          </w:p>
        </w:tc>
        <w:tc>
          <w:tcPr>
            <w:tcW w:w="2778" w:type="dxa"/>
            <w:tcBorders>
              <w:bottom w:val="single" w:sz="12" w:space="0" w:color="auto"/>
            </w:tcBorders>
            <w:shd w:val="clear" w:color="auto" w:fill="auto"/>
            <w:noWrap/>
            <w:vAlign w:val="bottom"/>
          </w:tcPr>
          <w:p w14:paraId="60368B38" w14:textId="77777777" w:rsidR="009E4C76" w:rsidRPr="004F15DD" w:rsidRDefault="009E4C76" w:rsidP="004F15DD">
            <w:pPr>
              <w:suppressAutoHyphens w:val="0"/>
              <w:spacing w:before="40" w:after="40" w:line="220" w:lineRule="exact"/>
              <w:jc w:val="right"/>
              <w:rPr>
                <w:sz w:val="18"/>
                <w:lang w:val="fr-FR" w:bidi="ar-QA"/>
              </w:rPr>
            </w:pPr>
            <w:r w:rsidRPr="004F15DD">
              <w:rPr>
                <w:sz w:val="18"/>
                <w:lang w:val="fr-FR" w:bidi="ar-QA"/>
              </w:rPr>
              <w:t>7,1</w:t>
            </w:r>
          </w:p>
        </w:tc>
      </w:tr>
    </w:tbl>
    <w:p w14:paraId="20B8DFFC" w14:textId="77777777" w:rsidR="009E4C76" w:rsidRPr="004F15DD" w:rsidRDefault="009E4C76" w:rsidP="004F15DD">
      <w:pPr>
        <w:pStyle w:val="SingleTxtG"/>
        <w:spacing w:before="120" w:after="240"/>
        <w:ind w:firstLine="170"/>
        <w:rPr>
          <w:sz w:val="18"/>
          <w:szCs w:val="18"/>
        </w:rPr>
      </w:pPr>
      <w:r w:rsidRPr="004F15DD">
        <w:rPr>
          <w:i/>
          <w:sz w:val="18"/>
          <w:szCs w:val="18"/>
        </w:rPr>
        <w:t>Source</w:t>
      </w:r>
      <w:r w:rsidR="004F15DD" w:rsidRPr="004F15DD">
        <w:rPr>
          <w:sz w:val="18"/>
          <w:szCs w:val="18"/>
        </w:rPr>
        <w:t> </w:t>
      </w:r>
      <w:r w:rsidRPr="004F15DD">
        <w:rPr>
          <w:sz w:val="18"/>
          <w:szCs w:val="18"/>
        </w:rPr>
        <w:t>:</w:t>
      </w:r>
      <w:r w:rsidR="004F15DD" w:rsidRPr="004F15DD">
        <w:rPr>
          <w:sz w:val="18"/>
          <w:szCs w:val="18"/>
        </w:rPr>
        <w:t xml:space="preserve"> </w:t>
      </w:r>
      <w:r w:rsidRPr="004F15DD">
        <w:rPr>
          <w:sz w:val="18"/>
          <w:szCs w:val="18"/>
        </w:rPr>
        <w:t>Ministère de la planification, du développement et des statistiques, statistiques démographiques et sociales, le Qatar en chiffres, 2017.</w:t>
      </w:r>
    </w:p>
    <w:p w14:paraId="6F7591D9" w14:textId="77777777" w:rsidR="009E4C76" w:rsidRPr="00CE611F" w:rsidRDefault="004F15DD" w:rsidP="007F3E06">
      <w:pPr>
        <w:pStyle w:val="H23G"/>
        <w:rPr>
          <w:bCs/>
          <w:rtl/>
          <w:lang w:bidi="fr-FR"/>
        </w:rPr>
      </w:pPr>
      <w:r w:rsidRPr="004F15DD">
        <w:rPr>
          <w:b w:val="0"/>
        </w:rPr>
        <w:tab/>
      </w:r>
      <w:r w:rsidRPr="004F15DD">
        <w:rPr>
          <w:b w:val="0"/>
        </w:rPr>
        <w:tab/>
      </w:r>
      <w:r w:rsidR="009E4C76" w:rsidRPr="004F15DD">
        <w:rPr>
          <w:b w:val="0"/>
        </w:rPr>
        <w:t>Tableau 7</w:t>
      </w:r>
      <w:r w:rsidRPr="004F15DD">
        <w:rPr>
          <w:b w:val="0"/>
        </w:rPr>
        <w:t xml:space="preserve"> </w:t>
      </w:r>
      <w:r w:rsidR="009E4C76" w:rsidRPr="004F15DD">
        <w:rPr>
          <w:b w:val="0"/>
        </w:rPr>
        <w:br/>
      </w:r>
      <w:r w:rsidR="009E4C76" w:rsidRPr="00CE611F">
        <w:t>Densité de la population, 2015</w:t>
      </w:r>
    </w:p>
    <w:tbl>
      <w:tblPr>
        <w:tblW w:w="7370" w:type="dxa"/>
        <w:tblInd w:w="1134" w:type="dxa"/>
        <w:tblLayout w:type="fixed"/>
        <w:tblCellMar>
          <w:left w:w="0" w:type="dxa"/>
          <w:right w:w="0" w:type="dxa"/>
        </w:tblCellMar>
        <w:tblLook w:val="00A0" w:firstRow="1" w:lastRow="0" w:firstColumn="1" w:lastColumn="0" w:noHBand="0" w:noVBand="0"/>
      </w:tblPr>
      <w:tblGrid>
        <w:gridCol w:w="697"/>
        <w:gridCol w:w="3071"/>
        <w:gridCol w:w="3602"/>
      </w:tblGrid>
      <w:tr w:rsidR="009E4C76" w:rsidRPr="007F3E06" w14:paraId="72E0DEEF" w14:textId="77777777" w:rsidTr="007F3E06">
        <w:trPr>
          <w:tblHeader/>
        </w:trPr>
        <w:tc>
          <w:tcPr>
            <w:tcW w:w="594" w:type="dxa"/>
            <w:tcBorders>
              <w:top w:val="single" w:sz="4" w:space="0" w:color="auto"/>
              <w:bottom w:val="single" w:sz="12" w:space="0" w:color="auto"/>
            </w:tcBorders>
            <w:shd w:val="clear" w:color="auto" w:fill="auto"/>
            <w:vAlign w:val="bottom"/>
          </w:tcPr>
          <w:p w14:paraId="0C6920BB" w14:textId="77777777" w:rsidR="009E4C76" w:rsidRPr="007F3E06" w:rsidRDefault="009E4C76" w:rsidP="007F3E06">
            <w:pPr>
              <w:keepNext/>
              <w:keepLines/>
              <w:suppressAutoHyphens w:val="0"/>
              <w:spacing w:before="80" w:after="80" w:line="200" w:lineRule="exact"/>
              <w:rPr>
                <w:i/>
                <w:sz w:val="16"/>
                <w:lang w:val="fr-FR" w:bidi="ar-QA"/>
              </w:rPr>
            </w:pPr>
            <w:r w:rsidRPr="007F3E06">
              <w:rPr>
                <w:i/>
                <w:sz w:val="16"/>
                <w:lang w:val="fr-FR"/>
              </w:rPr>
              <w:t>N°</w:t>
            </w:r>
          </w:p>
        </w:tc>
        <w:tc>
          <w:tcPr>
            <w:tcW w:w="2617" w:type="dxa"/>
            <w:tcBorders>
              <w:top w:val="single" w:sz="4" w:space="0" w:color="auto"/>
              <w:bottom w:val="single" w:sz="12" w:space="0" w:color="auto"/>
            </w:tcBorders>
            <w:shd w:val="clear" w:color="auto" w:fill="auto"/>
            <w:vAlign w:val="bottom"/>
          </w:tcPr>
          <w:p w14:paraId="381952D1" w14:textId="77777777" w:rsidR="009E4C76" w:rsidRPr="007F3E06" w:rsidRDefault="009E4C76" w:rsidP="007F3E06">
            <w:pPr>
              <w:keepNext/>
              <w:keepLines/>
              <w:suppressAutoHyphens w:val="0"/>
              <w:spacing w:before="80" w:after="80" w:line="200" w:lineRule="exact"/>
              <w:jc w:val="right"/>
              <w:rPr>
                <w:i/>
                <w:sz w:val="16"/>
                <w:lang w:val="fr-FR" w:bidi="ar-QA"/>
              </w:rPr>
            </w:pPr>
            <w:r w:rsidRPr="007F3E06">
              <w:rPr>
                <w:i/>
                <w:sz w:val="16"/>
                <w:lang w:val="fr-FR"/>
              </w:rPr>
              <w:t>Municipalité</w:t>
            </w:r>
          </w:p>
        </w:tc>
        <w:tc>
          <w:tcPr>
            <w:tcW w:w="3070" w:type="dxa"/>
            <w:tcBorders>
              <w:top w:val="single" w:sz="4" w:space="0" w:color="auto"/>
              <w:bottom w:val="single" w:sz="12" w:space="0" w:color="auto"/>
            </w:tcBorders>
            <w:shd w:val="clear" w:color="auto" w:fill="auto"/>
            <w:vAlign w:val="bottom"/>
          </w:tcPr>
          <w:p w14:paraId="3E8AEE33" w14:textId="77777777" w:rsidR="009E4C76" w:rsidRPr="007F3E06" w:rsidRDefault="009E4C76" w:rsidP="007F3E06">
            <w:pPr>
              <w:keepNext/>
              <w:keepLines/>
              <w:suppressAutoHyphens w:val="0"/>
              <w:spacing w:before="80" w:after="80" w:line="200" w:lineRule="exact"/>
              <w:jc w:val="right"/>
              <w:rPr>
                <w:i/>
                <w:sz w:val="16"/>
                <w:lang w:val="fr-FR" w:bidi="ar-QA"/>
              </w:rPr>
            </w:pPr>
            <w:r w:rsidRPr="007F3E06">
              <w:rPr>
                <w:i/>
                <w:sz w:val="16"/>
                <w:lang w:val="fr-FR"/>
              </w:rPr>
              <w:t xml:space="preserve">Nombre d’habitants au </w:t>
            </w:r>
            <w:r w:rsidR="00197971">
              <w:rPr>
                <w:i/>
                <w:sz w:val="16"/>
                <w:lang w:val="fr-FR"/>
              </w:rPr>
              <w:t>k</w:t>
            </w:r>
            <w:r w:rsidRPr="007F3E06">
              <w:rPr>
                <w:i/>
                <w:sz w:val="16"/>
                <w:lang w:val="fr-FR"/>
              </w:rPr>
              <w:t>m</w:t>
            </w:r>
            <w:r w:rsidRPr="007F3E06">
              <w:rPr>
                <w:i/>
                <w:sz w:val="16"/>
                <w:vertAlign w:val="superscript"/>
                <w:lang w:val="fr-FR"/>
              </w:rPr>
              <w:t>2</w:t>
            </w:r>
          </w:p>
        </w:tc>
      </w:tr>
      <w:tr w:rsidR="009E4C76" w:rsidRPr="007F3E06" w14:paraId="0F5D05E9" w14:textId="77777777" w:rsidTr="007F3E06">
        <w:tc>
          <w:tcPr>
            <w:tcW w:w="594" w:type="dxa"/>
            <w:tcBorders>
              <w:top w:val="single" w:sz="12" w:space="0" w:color="auto"/>
            </w:tcBorders>
            <w:shd w:val="clear" w:color="auto" w:fill="auto"/>
          </w:tcPr>
          <w:p w14:paraId="37D570CF" w14:textId="77777777" w:rsidR="009E4C76" w:rsidRPr="007F3E06" w:rsidRDefault="009E4C76" w:rsidP="007F3E06">
            <w:pPr>
              <w:keepNext/>
              <w:keepLines/>
              <w:suppressAutoHyphens w:val="0"/>
              <w:spacing w:before="40" w:after="40" w:line="220" w:lineRule="exact"/>
              <w:rPr>
                <w:sz w:val="18"/>
                <w:lang w:val="fr-FR" w:bidi="ar-QA"/>
              </w:rPr>
            </w:pPr>
            <w:r w:rsidRPr="007F3E06">
              <w:rPr>
                <w:sz w:val="18"/>
                <w:lang w:val="fr-FR" w:bidi="ar-QA"/>
              </w:rPr>
              <w:t>1</w:t>
            </w:r>
          </w:p>
        </w:tc>
        <w:tc>
          <w:tcPr>
            <w:tcW w:w="2617" w:type="dxa"/>
            <w:tcBorders>
              <w:top w:val="single" w:sz="12" w:space="0" w:color="auto"/>
            </w:tcBorders>
            <w:shd w:val="clear" w:color="auto" w:fill="auto"/>
            <w:vAlign w:val="bottom"/>
          </w:tcPr>
          <w:p w14:paraId="125583F4" w14:textId="77777777" w:rsidR="009E4C76" w:rsidRPr="007F3E06" w:rsidRDefault="009E4C76" w:rsidP="007F3E06">
            <w:pPr>
              <w:keepNext/>
              <w:keepLines/>
              <w:suppressAutoHyphens w:val="0"/>
              <w:spacing w:before="40" w:after="40" w:line="220" w:lineRule="exact"/>
              <w:jc w:val="right"/>
              <w:rPr>
                <w:sz w:val="18"/>
                <w:lang w:val="fr-FR" w:bidi="ar-QA"/>
              </w:rPr>
            </w:pPr>
            <w:r w:rsidRPr="007F3E06">
              <w:rPr>
                <w:sz w:val="18"/>
                <w:lang w:val="fr-FR"/>
              </w:rPr>
              <w:t xml:space="preserve">Doha </w:t>
            </w:r>
          </w:p>
        </w:tc>
        <w:tc>
          <w:tcPr>
            <w:tcW w:w="3070" w:type="dxa"/>
            <w:tcBorders>
              <w:top w:val="single" w:sz="12" w:space="0" w:color="auto"/>
            </w:tcBorders>
            <w:shd w:val="clear" w:color="auto" w:fill="auto"/>
            <w:vAlign w:val="bottom"/>
          </w:tcPr>
          <w:p w14:paraId="75B3D771" w14:textId="77777777" w:rsidR="009E4C76" w:rsidRPr="007F3E06" w:rsidRDefault="009E4C76" w:rsidP="007F3E06">
            <w:pPr>
              <w:keepNext/>
              <w:keepLines/>
              <w:suppressAutoHyphens w:val="0"/>
              <w:spacing w:before="40" w:after="40" w:line="220" w:lineRule="exact"/>
              <w:jc w:val="right"/>
              <w:rPr>
                <w:sz w:val="18"/>
                <w:lang w:val="fr-FR" w:bidi="ar-QA"/>
              </w:rPr>
            </w:pPr>
            <w:r w:rsidRPr="007F3E06">
              <w:rPr>
                <w:sz w:val="18"/>
                <w:lang w:val="fr-FR" w:bidi="ar-QA"/>
              </w:rPr>
              <w:t>4 354,3</w:t>
            </w:r>
          </w:p>
        </w:tc>
      </w:tr>
      <w:tr w:rsidR="009E4C76" w:rsidRPr="007F3E06" w14:paraId="1DE55991" w14:textId="77777777" w:rsidTr="007F3E06">
        <w:tc>
          <w:tcPr>
            <w:tcW w:w="594" w:type="dxa"/>
            <w:shd w:val="clear" w:color="auto" w:fill="auto"/>
          </w:tcPr>
          <w:p w14:paraId="7EB878DC" w14:textId="77777777" w:rsidR="009E4C76" w:rsidRPr="007F3E06" w:rsidRDefault="009E4C76" w:rsidP="007F3E06">
            <w:pPr>
              <w:suppressAutoHyphens w:val="0"/>
              <w:spacing w:before="40" w:after="40" w:line="220" w:lineRule="exact"/>
              <w:rPr>
                <w:sz w:val="18"/>
                <w:lang w:val="fr-FR" w:bidi="ar-QA"/>
              </w:rPr>
            </w:pPr>
            <w:r w:rsidRPr="007F3E06">
              <w:rPr>
                <w:sz w:val="18"/>
                <w:lang w:val="fr-FR" w:bidi="ar-QA"/>
              </w:rPr>
              <w:t>2</w:t>
            </w:r>
          </w:p>
        </w:tc>
        <w:tc>
          <w:tcPr>
            <w:tcW w:w="2617" w:type="dxa"/>
            <w:shd w:val="clear" w:color="auto" w:fill="auto"/>
            <w:vAlign w:val="bottom"/>
          </w:tcPr>
          <w:p w14:paraId="06017920" w14:textId="77777777" w:rsidR="009E4C76" w:rsidRPr="007F3E06" w:rsidRDefault="009E4C76" w:rsidP="007F3E06">
            <w:pPr>
              <w:suppressAutoHyphens w:val="0"/>
              <w:spacing w:before="40" w:after="40" w:line="220" w:lineRule="exact"/>
              <w:jc w:val="right"/>
              <w:rPr>
                <w:sz w:val="18"/>
                <w:lang w:val="fr-FR" w:bidi="ar-QA"/>
              </w:rPr>
            </w:pPr>
            <w:r w:rsidRPr="007F3E06">
              <w:rPr>
                <w:sz w:val="18"/>
                <w:lang w:val="fr-FR"/>
              </w:rPr>
              <w:t>Al</w:t>
            </w:r>
            <w:r w:rsidR="00A666F3">
              <w:rPr>
                <w:sz w:val="18"/>
                <w:lang w:val="fr-FR"/>
              </w:rPr>
              <w:t>-</w:t>
            </w:r>
            <w:r w:rsidRPr="007F3E06">
              <w:rPr>
                <w:sz w:val="18"/>
                <w:lang w:val="fr-FR"/>
              </w:rPr>
              <w:t>Rayyan</w:t>
            </w:r>
          </w:p>
        </w:tc>
        <w:tc>
          <w:tcPr>
            <w:tcW w:w="3070" w:type="dxa"/>
            <w:shd w:val="clear" w:color="auto" w:fill="auto"/>
            <w:vAlign w:val="bottom"/>
          </w:tcPr>
          <w:p w14:paraId="01907501" w14:textId="77777777" w:rsidR="009E4C76" w:rsidRPr="007F3E06" w:rsidRDefault="009E4C76" w:rsidP="007F3E06">
            <w:pPr>
              <w:suppressAutoHyphens w:val="0"/>
              <w:spacing w:before="40" w:after="40" w:line="220" w:lineRule="exact"/>
              <w:jc w:val="right"/>
              <w:rPr>
                <w:sz w:val="18"/>
                <w:lang w:val="fr-FR" w:bidi="ar-QA"/>
              </w:rPr>
            </w:pPr>
            <w:r w:rsidRPr="007F3E06">
              <w:rPr>
                <w:sz w:val="18"/>
                <w:lang w:val="fr-FR" w:bidi="ar-QA"/>
              </w:rPr>
              <w:t>247,2</w:t>
            </w:r>
          </w:p>
        </w:tc>
      </w:tr>
      <w:tr w:rsidR="009E4C76" w:rsidRPr="007F3E06" w14:paraId="6D0A4122" w14:textId="77777777" w:rsidTr="007F3E06">
        <w:tc>
          <w:tcPr>
            <w:tcW w:w="594" w:type="dxa"/>
            <w:shd w:val="clear" w:color="auto" w:fill="auto"/>
          </w:tcPr>
          <w:p w14:paraId="02A9DDFB" w14:textId="77777777" w:rsidR="009E4C76" w:rsidRPr="007F3E06" w:rsidRDefault="009E4C76" w:rsidP="007F3E06">
            <w:pPr>
              <w:suppressAutoHyphens w:val="0"/>
              <w:spacing w:before="40" w:after="40" w:line="220" w:lineRule="exact"/>
              <w:rPr>
                <w:sz w:val="18"/>
                <w:lang w:val="fr-FR" w:bidi="ar-QA"/>
              </w:rPr>
            </w:pPr>
            <w:r w:rsidRPr="007F3E06">
              <w:rPr>
                <w:sz w:val="18"/>
                <w:lang w:val="fr-FR" w:bidi="ar-QA"/>
              </w:rPr>
              <w:t>3</w:t>
            </w:r>
          </w:p>
        </w:tc>
        <w:tc>
          <w:tcPr>
            <w:tcW w:w="2617" w:type="dxa"/>
            <w:shd w:val="clear" w:color="auto" w:fill="auto"/>
            <w:vAlign w:val="bottom"/>
          </w:tcPr>
          <w:p w14:paraId="49B59E0B" w14:textId="77777777" w:rsidR="009E4C76" w:rsidRPr="007F3E06" w:rsidRDefault="009E4C76" w:rsidP="007F3E06">
            <w:pPr>
              <w:suppressAutoHyphens w:val="0"/>
              <w:spacing w:before="40" w:after="40" w:line="220" w:lineRule="exact"/>
              <w:jc w:val="right"/>
              <w:rPr>
                <w:sz w:val="18"/>
                <w:lang w:val="fr-FR" w:bidi="ar-QA"/>
              </w:rPr>
            </w:pPr>
            <w:r w:rsidRPr="007F3E06">
              <w:rPr>
                <w:sz w:val="18"/>
                <w:lang w:val="fr-FR"/>
              </w:rPr>
              <w:t>Al</w:t>
            </w:r>
            <w:r w:rsidR="00A666F3">
              <w:rPr>
                <w:sz w:val="18"/>
                <w:lang w:val="fr-FR"/>
              </w:rPr>
              <w:t>-</w:t>
            </w:r>
            <w:r w:rsidRPr="007F3E06">
              <w:rPr>
                <w:sz w:val="18"/>
                <w:lang w:val="fr-FR"/>
              </w:rPr>
              <w:t>Wakra</w:t>
            </w:r>
          </w:p>
        </w:tc>
        <w:tc>
          <w:tcPr>
            <w:tcW w:w="3070" w:type="dxa"/>
            <w:shd w:val="clear" w:color="auto" w:fill="auto"/>
            <w:vAlign w:val="bottom"/>
          </w:tcPr>
          <w:p w14:paraId="577CE281" w14:textId="77777777" w:rsidR="009E4C76" w:rsidRPr="007F3E06" w:rsidRDefault="009E4C76" w:rsidP="007F3E06">
            <w:pPr>
              <w:suppressAutoHyphens w:val="0"/>
              <w:spacing w:before="40" w:after="40" w:line="220" w:lineRule="exact"/>
              <w:jc w:val="right"/>
              <w:rPr>
                <w:sz w:val="18"/>
                <w:lang w:val="fr-FR" w:bidi="ar-QA"/>
              </w:rPr>
            </w:pPr>
            <w:r w:rsidRPr="007F3E06">
              <w:rPr>
                <w:sz w:val="18"/>
                <w:lang w:val="fr-FR" w:bidi="ar-QA"/>
              </w:rPr>
              <w:t>116,0</w:t>
            </w:r>
          </w:p>
        </w:tc>
      </w:tr>
      <w:tr w:rsidR="009E4C76" w:rsidRPr="007F3E06" w14:paraId="6A4B8745" w14:textId="77777777" w:rsidTr="007F3E06">
        <w:tc>
          <w:tcPr>
            <w:tcW w:w="594" w:type="dxa"/>
            <w:shd w:val="clear" w:color="auto" w:fill="auto"/>
          </w:tcPr>
          <w:p w14:paraId="3D71A020" w14:textId="77777777" w:rsidR="009E4C76" w:rsidRPr="007F3E06" w:rsidRDefault="009E4C76" w:rsidP="007F3E06">
            <w:pPr>
              <w:suppressAutoHyphens w:val="0"/>
              <w:spacing w:before="40" w:after="40" w:line="220" w:lineRule="exact"/>
              <w:rPr>
                <w:sz w:val="18"/>
                <w:lang w:val="fr-FR" w:bidi="ar-QA"/>
              </w:rPr>
            </w:pPr>
            <w:r w:rsidRPr="007F3E06">
              <w:rPr>
                <w:sz w:val="18"/>
                <w:lang w:val="fr-FR" w:bidi="ar-QA"/>
              </w:rPr>
              <w:t>4</w:t>
            </w:r>
          </w:p>
        </w:tc>
        <w:tc>
          <w:tcPr>
            <w:tcW w:w="2617" w:type="dxa"/>
            <w:shd w:val="clear" w:color="auto" w:fill="auto"/>
            <w:vAlign w:val="bottom"/>
          </w:tcPr>
          <w:p w14:paraId="4B18BF52" w14:textId="77777777" w:rsidR="009E4C76" w:rsidRPr="007F3E06" w:rsidRDefault="009E4C76" w:rsidP="007F3E06">
            <w:pPr>
              <w:suppressAutoHyphens w:val="0"/>
              <w:spacing w:before="40" w:after="40" w:line="220" w:lineRule="exact"/>
              <w:jc w:val="right"/>
              <w:rPr>
                <w:sz w:val="18"/>
                <w:lang w:val="fr-FR" w:bidi="ar-QA"/>
              </w:rPr>
            </w:pPr>
            <w:r w:rsidRPr="007F3E06">
              <w:rPr>
                <w:sz w:val="18"/>
                <w:lang w:val="fr-FR"/>
              </w:rPr>
              <w:t xml:space="preserve">Umm Salal </w:t>
            </w:r>
          </w:p>
        </w:tc>
        <w:tc>
          <w:tcPr>
            <w:tcW w:w="3070" w:type="dxa"/>
            <w:shd w:val="clear" w:color="auto" w:fill="auto"/>
            <w:vAlign w:val="bottom"/>
          </w:tcPr>
          <w:p w14:paraId="0F708283" w14:textId="77777777" w:rsidR="009E4C76" w:rsidRPr="007F3E06" w:rsidRDefault="009E4C76" w:rsidP="007F3E06">
            <w:pPr>
              <w:suppressAutoHyphens w:val="0"/>
              <w:spacing w:before="40" w:after="40" w:line="220" w:lineRule="exact"/>
              <w:jc w:val="right"/>
              <w:rPr>
                <w:sz w:val="18"/>
                <w:lang w:val="fr-FR" w:bidi="ar-QA"/>
              </w:rPr>
            </w:pPr>
            <w:r w:rsidRPr="007F3E06">
              <w:rPr>
                <w:sz w:val="18"/>
                <w:lang w:val="fr-FR" w:bidi="ar-QA"/>
              </w:rPr>
              <w:t>285,2</w:t>
            </w:r>
          </w:p>
        </w:tc>
      </w:tr>
      <w:tr w:rsidR="009E4C76" w:rsidRPr="007F3E06" w14:paraId="1FDF5413" w14:textId="77777777" w:rsidTr="007F3E06">
        <w:tc>
          <w:tcPr>
            <w:tcW w:w="594" w:type="dxa"/>
            <w:shd w:val="clear" w:color="auto" w:fill="auto"/>
          </w:tcPr>
          <w:p w14:paraId="6E915E4C" w14:textId="77777777" w:rsidR="009E4C76" w:rsidRPr="007F3E06" w:rsidRDefault="009E4C76" w:rsidP="007F3E06">
            <w:pPr>
              <w:suppressAutoHyphens w:val="0"/>
              <w:spacing w:before="40" w:after="40" w:line="220" w:lineRule="exact"/>
              <w:rPr>
                <w:sz w:val="18"/>
                <w:lang w:val="fr-FR" w:bidi="ar-QA"/>
              </w:rPr>
            </w:pPr>
            <w:r w:rsidRPr="007F3E06">
              <w:rPr>
                <w:sz w:val="18"/>
                <w:lang w:val="fr-FR" w:bidi="ar-QA"/>
              </w:rPr>
              <w:t>5</w:t>
            </w:r>
          </w:p>
        </w:tc>
        <w:tc>
          <w:tcPr>
            <w:tcW w:w="2617" w:type="dxa"/>
            <w:shd w:val="clear" w:color="auto" w:fill="auto"/>
            <w:vAlign w:val="bottom"/>
          </w:tcPr>
          <w:p w14:paraId="59DB6997" w14:textId="77777777" w:rsidR="009E4C76" w:rsidRPr="007F3E06" w:rsidRDefault="009E4C76" w:rsidP="007F3E06">
            <w:pPr>
              <w:suppressAutoHyphens w:val="0"/>
              <w:spacing w:before="40" w:after="40" w:line="220" w:lineRule="exact"/>
              <w:jc w:val="right"/>
              <w:rPr>
                <w:sz w:val="18"/>
                <w:lang w:val="fr-FR" w:bidi="ar-QA"/>
              </w:rPr>
            </w:pPr>
            <w:r w:rsidRPr="007F3E06">
              <w:rPr>
                <w:sz w:val="18"/>
                <w:lang w:val="fr-FR"/>
              </w:rPr>
              <w:t>Al</w:t>
            </w:r>
            <w:r w:rsidR="00A666F3">
              <w:rPr>
                <w:sz w:val="18"/>
                <w:lang w:val="fr-FR"/>
              </w:rPr>
              <w:t>-</w:t>
            </w:r>
            <w:r w:rsidRPr="007F3E06">
              <w:rPr>
                <w:sz w:val="18"/>
                <w:lang w:val="fr-FR"/>
              </w:rPr>
              <w:t>Khor et Al</w:t>
            </w:r>
            <w:r w:rsidR="00A666F3">
              <w:rPr>
                <w:sz w:val="18"/>
                <w:lang w:val="fr-FR"/>
              </w:rPr>
              <w:t>-</w:t>
            </w:r>
            <w:r w:rsidRPr="007F3E06">
              <w:rPr>
                <w:sz w:val="18"/>
                <w:lang w:val="fr-FR"/>
              </w:rPr>
              <w:t>Dhakhira</w:t>
            </w:r>
          </w:p>
        </w:tc>
        <w:tc>
          <w:tcPr>
            <w:tcW w:w="3070" w:type="dxa"/>
            <w:shd w:val="clear" w:color="auto" w:fill="auto"/>
            <w:vAlign w:val="bottom"/>
          </w:tcPr>
          <w:p w14:paraId="516EB9EB" w14:textId="77777777" w:rsidR="009E4C76" w:rsidRPr="007F3E06" w:rsidRDefault="009E4C76" w:rsidP="007F3E06">
            <w:pPr>
              <w:suppressAutoHyphens w:val="0"/>
              <w:spacing w:before="40" w:after="40" w:line="220" w:lineRule="exact"/>
              <w:jc w:val="right"/>
              <w:rPr>
                <w:sz w:val="18"/>
                <w:lang w:val="fr-FR" w:bidi="ar-QA"/>
              </w:rPr>
            </w:pPr>
            <w:r w:rsidRPr="007F3E06">
              <w:rPr>
                <w:sz w:val="18"/>
                <w:lang w:val="fr-FR" w:bidi="ar-QA"/>
              </w:rPr>
              <w:t>126,1</w:t>
            </w:r>
          </w:p>
        </w:tc>
      </w:tr>
      <w:tr w:rsidR="009E4C76" w:rsidRPr="007F3E06" w14:paraId="36D7FE0D" w14:textId="77777777" w:rsidTr="007F3E06">
        <w:tc>
          <w:tcPr>
            <w:tcW w:w="594" w:type="dxa"/>
            <w:shd w:val="clear" w:color="auto" w:fill="auto"/>
          </w:tcPr>
          <w:p w14:paraId="55A91F5D" w14:textId="77777777" w:rsidR="009E4C76" w:rsidRPr="007F3E06" w:rsidRDefault="009E4C76" w:rsidP="00954D0E">
            <w:pPr>
              <w:keepNext/>
              <w:keepLines/>
              <w:suppressAutoHyphens w:val="0"/>
              <w:spacing w:before="40" w:after="40" w:line="220" w:lineRule="exact"/>
              <w:rPr>
                <w:sz w:val="18"/>
                <w:lang w:val="fr-FR" w:bidi="ar-QA"/>
              </w:rPr>
            </w:pPr>
            <w:r w:rsidRPr="007F3E06">
              <w:rPr>
                <w:sz w:val="18"/>
                <w:lang w:val="fr-FR" w:bidi="ar-QA"/>
              </w:rPr>
              <w:t>6</w:t>
            </w:r>
          </w:p>
        </w:tc>
        <w:tc>
          <w:tcPr>
            <w:tcW w:w="2617" w:type="dxa"/>
            <w:shd w:val="clear" w:color="auto" w:fill="auto"/>
            <w:vAlign w:val="bottom"/>
          </w:tcPr>
          <w:p w14:paraId="5425110B" w14:textId="77777777" w:rsidR="009E4C76" w:rsidRPr="007F3E06" w:rsidRDefault="009E4C76" w:rsidP="00954D0E">
            <w:pPr>
              <w:keepNext/>
              <w:keepLines/>
              <w:suppressAutoHyphens w:val="0"/>
              <w:spacing w:before="40" w:after="40" w:line="220" w:lineRule="exact"/>
              <w:jc w:val="right"/>
              <w:rPr>
                <w:sz w:val="18"/>
                <w:lang w:val="fr-FR" w:bidi="ar-QA"/>
              </w:rPr>
            </w:pPr>
            <w:r w:rsidRPr="007F3E06">
              <w:rPr>
                <w:sz w:val="18"/>
                <w:lang w:val="fr-FR"/>
              </w:rPr>
              <w:t>Al</w:t>
            </w:r>
            <w:r w:rsidR="009C688A">
              <w:rPr>
                <w:sz w:val="18"/>
                <w:lang w:val="fr-FR"/>
              </w:rPr>
              <w:t>-</w:t>
            </w:r>
            <w:r w:rsidRPr="007F3E06">
              <w:rPr>
                <w:sz w:val="18"/>
                <w:lang w:val="fr-FR"/>
              </w:rPr>
              <w:t>Shamal</w:t>
            </w:r>
          </w:p>
        </w:tc>
        <w:tc>
          <w:tcPr>
            <w:tcW w:w="3070" w:type="dxa"/>
            <w:shd w:val="clear" w:color="auto" w:fill="auto"/>
            <w:vAlign w:val="bottom"/>
          </w:tcPr>
          <w:p w14:paraId="2D0BC02B" w14:textId="77777777" w:rsidR="009E4C76" w:rsidRPr="007F3E06" w:rsidRDefault="009E4C76" w:rsidP="00954D0E">
            <w:pPr>
              <w:keepNext/>
              <w:keepLines/>
              <w:suppressAutoHyphens w:val="0"/>
              <w:spacing w:before="40" w:after="40" w:line="220" w:lineRule="exact"/>
              <w:jc w:val="right"/>
              <w:rPr>
                <w:sz w:val="18"/>
                <w:lang w:val="fr-FR" w:bidi="ar-QA"/>
              </w:rPr>
            </w:pPr>
            <w:r w:rsidRPr="007F3E06">
              <w:rPr>
                <w:sz w:val="18"/>
                <w:lang w:val="fr-FR" w:bidi="ar-QA"/>
              </w:rPr>
              <w:t>10,2</w:t>
            </w:r>
          </w:p>
        </w:tc>
      </w:tr>
      <w:tr w:rsidR="009E4C76" w:rsidRPr="007F3E06" w14:paraId="6A9B8CFB" w14:textId="77777777" w:rsidTr="007F3E06">
        <w:tc>
          <w:tcPr>
            <w:tcW w:w="594" w:type="dxa"/>
            <w:shd w:val="clear" w:color="auto" w:fill="auto"/>
          </w:tcPr>
          <w:p w14:paraId="1739F6B1" w14:textId="77777777" w:rsidR="009E4C76" w:rsidRPr="007F3E06" w:rsidRDefault="009E4C76" w:rsidP="00954D0E">
            <w:pPr>
              <w:keepNext/>
              <w:keepLines/>
              <w:suppressAutoHyphens w:val="0"/>
              <w:spacing w:before="40" w:after="40" w:line="220" w:lineRule="exact"/>
              <w:rPr>
                <w:sz w:val="18"/>
                <w:lang w:val="fr-FR" w:bidi="ar-QA"/>
              </w:rPr>
            </w:pPr>
            <w:r w:rsidRPr="007F3E06">
              <w:rPr>
                <w:sz w:val="18"/>
                <w:lang w:val="fr-FR" w:bidi="ar-QA"/>
              </w:rPr>
              <w:t>7</w:t>
            </w:r>
          </w:p>
        </w:tc>
        <w:tc>
          <w:tcPr>
            <w:tcW w:w="2617" w:type="dxa"/>
            <w:shd w:val="clear" w:color="auto" w:fill="auto"/>
            <w:vAlign w:val="bottom"/>
          </w:tcPr>
          <w:p w14:paraId="25B9A018" w14:textId="77777777" w:rsidR="009E4C76" w:rsidRPr="007F3E06" w:rsidRDefault="009E4C76" w:rsidP="00954D0E">
            <w:pPr>
              <w:keepNext/>
              <w:keepLines/>
              <w:suppressAutoHyphens w:val="0"/>
              <w:spacing w:before="40" w:after="40" w:line="220" w:lineRule="exact"/>
              <w:jc w:val="right"/>
              <w:rPr>
                <w:sz w:val="18"/>
                <w:lang w:val="fr-FR" w:bidi="ar-QA"/>
              </w:rPr>
            </w:pPr>
            <w:r w:rsidRPr="007F3E06">
              <w:rPr>
                <w:sz w:val="18"/>
                <w:lang w:val="fr-FR"/>
              </w:rPr>
              <w:t>Al</w:t>
            </w:r>
            <w:r w:rsidR="009C688A">
              <w:rPr>
                <w:sz w:val="18"/>
                <w:lang w:val="fr-FR"/>
              </w:rPr>
              <w:t>-</w:t>
            </w:r>
            <w:r w:rsidRPr="007F3E06">
              <w:rPr>
                <w:sz w:val="18"/>
                <w:lang w:val="fr-FR"/>
              </w:rPr>
              <w:t>Dhaayen</w:t>
            </w:r>
          </w:p>
        </w:tc>
        <w:tc>
          <w:tcPr>
            <w:tcW w:w="3070" w:type="dxa"/>
            <w:shd w:val="clear" w:color="auto" w:fill="auto"/>
            <w:vAlign w:val="bottom"/>
          </w:tcPr>
          <w:p w14:paraId="5D3F909C" w14:textId="77777777" w:rsidR="009E4C76" w:rsidRPr="007F3E06" w:rsidRDefault="009E4C76" w:rsidP="00954D0E">
            <w:pPr>
              <w:keepNext/>
              <w:keepLines/>
              <w:suppressAutoHyphens w:val="0"/>
              <w:spacing w:before="40" w:after="40" w:line="220" w:lineRule="exact"/>
              <w:jc w:val="right"/>
              <w:rPr>
                <w:sz w:val="18"/>
                <w:lang w:val="fr-FR" w:bidi="ar-QA"/>
              </w:rPr>
            </w:pPr>
            <w:r w:rsidRPr="007F3E06">
              <w:rPr>
                <w:sz w:val="18"/>
                <w:lang w:val="fr-FR" w:bidi="ar-QA"/>
              </w:rPr>
              <w:t>187,2</w:t>
            </w:r>
          </w:p>
        </w:tc>
      </w:tr>
      <w:tr w:rsidR="009E4C76" w:rsidRPr="007F3E06" w14:paraId="72AC9BA3" w14:textId="77777777" w:rsidTr="00197971">
        <w:tc>
          <w:tcPr>
            <w:tcW w:w="594" w:type="dxa"/>
            <w:tcBorders>
              <w:bottom w:val="single" w:sz="4" w:space="0" w:color="auto"/>
            </w:tcBorders>
            <w:shd w:val="clear" w:color="auto" w:fill="auto"/>
          </w:tcPr>
          <w:p w14:paraId="6C7C70FE" w14:textId="77777777" w:rsidR="009E4C76" w:rsidRPr="007F3E06" w:rsidRDefault="009E4C76" w:rsidP="007F3E06">
            <w:pPr>
              <w:suppressAutoHyphens w:val="0"/>
              <w:spacing w:before="40" w:after="40" w:line="220" w:lineRule="exact"/>
              <w:rPr>
                <w:sz w:val="18"/>
                <w:lang w:val="fr-FR" w:bidi="ar-QA"/>
              </w:rPr>
            </w:pPr>
            <w:r w:rsidRPr="007F3E06">
              <w:rPr>
                <w:sz w:val="18"/>
                <w:lang w:val="fr-FR" w:bidi="ar-QA"/>
              </w:rPr>
              <w:t>8</w:t>
            </w:r>
          </w:p>
        </w:tc>
        <w:tc>
          <w:tcPr>
            <w:tcW w:w="2617" w:type="dxa"/>
            <w:tcBorders>
              <w:bottom w:val="single" w:sz="4" w:space="0" w:color="auto"/>
            </w:tcBorders>
            <w:shd w:val="clear" w:color="auto" w:fill="auto"/>
            <w:vAlign w:val="bottom"/>
          </w:tcPr>
          <w:p w14:paraId="7D07AB1E" w14:textId="77777777" w:rsidR="009E4C76" w:rsidRPr="007F3E06" w:rsidRDefault="009E4C76" w:rsidP="007F3E06">
            <w:pPr>
              <w:suppressAutoHyphens w:val="0"/>
              <w:spacing w:before="40" w:after="40" w:line="220" w:lineRule="exact"/>
              <w:jc w:val="right"/>
              <w:rPr>
                <w:sz w:val="18"/>
                <w:lang w:val="fr-FR" w:bidi="ar-QA"/>
              </w:rPr>
            </w:pPr>
            <w:r w:rsidRPr="007F3E06">
              <w:rPr>
                <w:sz w:val="18"/>
                <w:lang w:val="fr-FR"/>
              </w:rPr>
              <w:t>Al</w:t>
            </w:r>
            <w:r w:rsidR="009C688A">
              <w:rPr>
                <w:sz w:val="18"/>
                <w:lang w:val="fr-FR"/>
              </w:rPr>
              <w:t>-</w:t>
            </w:r>
            <w:r w:rsidRPr="007F3E06">
              <w:rPr>
                <w:sz w:val="18"/>
                <w:lang w:val="fr-FR"/>
              </w:rPr>
              <w:t>Shahaniya</w:t>
            </w:r>
          </w:p>
        </w:tc>
        <w:tc>
          <w:tcPr>
            <w:tcW w:w="3070" w:type="dxa"/>
            <w:tcBorders>
              <w:bottom w:val="single" w:sz="4" w:space="0" w:color="auto"/>
            </w:tcBorders>
            <w:shd w:val="clear" w:color="auto" w:fill="auto"/>
            <w:vAlign w:val="bottom"/>
          </w:tcPr>
          <w:p w14:paraId="2A3C9F00" w14:textId="77777777" w:rsidR="009E4C76" w:rsidRPr="007F3E06" w:rsidRDefault="009E4C76" w:rsidP="007F3E06">
            <w:pPr>
              <w:suppressAutoHyphens w:val="0"/>
              <w:spacing w:before="40" w:after="40" w:line="220" w:lineRule="exact"/>
              <w:jc w:val="right"/>
              <w:rPr>
                <w:sz w:val="18"/>
                <w:lang w:val="fr-FR" w:bidi="ar-QA"/>
              </w:rPr>
            </w:pPr>
            <w:r w:rsidRPr="007F3E06">
              <w:rPr>
                <w:sz w:val="18"/>
                <w:lang w:val="fr-FR" w:bidi="ar-QA"/>
              </w:rPr>
              <w:t>56,7</w:t>
            </w:r>
          </w:p>
        </w:tc>
      </w:tr>
      <w:tr w:rsidR="009E4C76" w:rsidRPr="00197971" w14:paraId="128A004D" w14:textId="77777777" w:rsidTr="00197971">
        <w:tc>
          <w:tcPr>
            <w:tcW w:w="3211" w:type="dxa"/>
            <w:gridSpan w:val="2"/>
            <w:tcBorders>
              <w:top w:val="single" w:sz="4" w:space="0" w:color="auto"/>
              <w:bottom w:val="single" w:sz="12" w:space="0" w:color="auto"/>
            </w:tcBorders>
            <w:shd w:val="clear" w:color="auto" w:fill="auto"/>
          </w:tcPr>
          <w:p w14:paraId="62DBB7D8" w14:textId="77777777" w:rsidR="009E4C76" w:rsidRPr="00197971" w:rsidRDefault="009E4C76" w:rsidP="00197971">
            <w:pPr>
              <w:suppressAutoHyphens w:val="0"/>
              <w:spacing w:before="80" w:after="80" w:line="220" w:lineRule="exact"/>
              <w:ind w:left="283"/>
              <w:rPr>
                <w:b/>
                <w:sz w:val="18"/>
                <w:lang w:val="fr-FR" w:bidi="ar-QA"/>
              </w:rPr>
            </w:pPr>
            <w:r w:rsidRPr="00197971">
              <w:rPr>
                <w:b/>
                <w:sz w:val="18"/>
                <w:lang w:val="fr-FR"/>
              </w:rPr>
              <w:t>Total</w:t>
            </w:r>
          </w:p>
        </w:tc>
        <w:tc>
          <w:tcPr>
            <w:tcW w:w="3070" w:type="dxa"/>
            <w:tcBorders>
              <w:top w:val="single" w:sz="4" w:space="0" w:color="auto"/>
              <w:bottom w:val="single" w:sz="12" w:space="0" w:color="auto"/>
            </w:tcBorders>
            <w:shd w:val="clear" w:color="auto" w:fill="auto"/>
            <w:vAlign w:val="bottom"/>
          </w:tcPr>
          <w:p w14:paraId="2228CE95" w14:textId="77777777" w:rsidR="009E4C76" w:rsidRPr="00197971" w:rsidRDefault="009E4C76" w:rsidP="00197971">
            <w:pPr>
              <w:suppressAutoHyphens w:val="0"/>
              <w:spacing w:before="80" w:after="80" w:line="220" w:lineRule="exact"/>
              <w:jc w:val="right"/>
              <w:rPr>
                <w:b/>
                <w:sz w:val="18"/>
                <w:lang w:val="fr-FR" w:bidi="ar-QA"/>
              </w:rPr>
            </w:pPr>
            <w:r w:rsidRPr="00197971">
              <w:rPr>
                <w:b/>
                <w:sz w:val="18"/>
                <w:lang w:val="fr-FR" w:bidi="ar-QA"/>
              </w:rPr>
              <w:t>206,8</w:t>
            </w:r>
          </w:p>
        </w:tc>
      </w:tr>
    </w:tbl>
    <w:p w14:paraId="533A391A" w14:textId="77777777" w:rsidR="009E4C76" w:rsidRPr="00197971" w:rsidRDefault="009E4C76" w:rsidP="00197971">
      <w:pPr>
        <w:pStyle w:val="SingleTxtG"/>
        <w:spacing w:before="120" w:after="240"/>
        <w:ind w:firstLine="170"/>
        <w:rPr>
          <w:sz w:val="18"/>
          <w:szCs w:val="18"/>
          <w:rtl/>
        </w:rPr>
      </w:pPr>
      <w:r w:rsidRPr="00197971">
        <w:rPr>
          <w:i/>
          <w:sz w:val="18"/>
          <w:szCs w:val="18"/>
        </w:rPr>
        <w:t>Source</w:t>
      </w:r>
      <w:r w:rsidR="00197971" w:rsidRPr="00197971">
        <w:rPr>
          <w:sz w:val="18"/>
          <w:szCs w:val="18"/>
        </w:rPr>
        <w:t> </w:t>
      </w:r>
      <w:r w:rsidRPr="00197971">
        <w:rPr>
          <w:sz w:val="18"/>
          <w:szCs w:val="18"/>
        </w:rPr>
        <w:t>:</w:t>
      </w:r>
      <w:r w:rsidR="00197971" w:rsidRPr="00197971">
        <w:rPr>
          <w:sz w:val="18"/>
          <w:szCs w:val="18"/>
        </w:rPr>
        <w:t xml:space="preserve"> </w:t>
      </w:r>
      <w:r w:rsidRPr="00197971">
        <w:rPr>
          <w:sz w:val="18"/>
          <w:szCs w:val="18"/>
        </w:rPr>
        <w:t>Ministère de la planification, du développement et des statistiques, statistiques démographiques et sociales, le Qatar en chiffres, 2017.</w:t>
      </w:r>
    </w:p>
    <w:p w14:paraId="7BAD7DF2" w14:textId="77777777" w:rsidR="009E4C76" w:rsidRPr="00197971" w:rsidRDefault="009E4C76" w:rsidP="00197971">
      <w:pPr>
        <w:pStyle w:val="SingleTxtG"/>
        <w:rPr>
          <w:rtl/>
        </w:rPr>
      </w:pPr>
      <w:r w:rsidRPr="00197971">
        <w:t>10.</w:t>
      </w:r>
      <w:r w:rsidRPr="00197971">
        <w:tab/>
        <w:t>Le tableau</w:t>
      </w:r>
      <w:r w:rsidR="00197971">
        <w:t> </w:t>
      </w:r>
      <w:r w:rsidRPr="00197971">
        <w:t>7 montre que la densité de la population a fortement augmenté à Doha pour atteindre 4 354,3</w:t>
      </w:r>
      <w:r w:rsidR="00197971">
        <w:t> </w:t>
      </w:r>
      <w:r w:rsidRPr="00197971">
        <w:t>habitants au kilomètre carré en 2015, en raison de plusieurs facteurs, notamment économiques, grâce au développement que connaît le pays, en particulier dans cette municipalité. La densité de la population est également élevée dans les villes d’Al</w:t>
      </w:r>
      <w:r w:rsidR="00197971">
        <w:t> </w:t>
      </w:r>
      <w:r w:rsidRPr="00197971">
        <w:t>Rayyan et d’Umm Salal, avec respectivement 247,2 et 285,2</w:t>
      </w:r>
      <w:r w:rsidR="00197971">
        <w:t> </w:t>
      </w:r>
      <w:r w:rsidRPr="00197971">
        <w:t xml:space="preserve">habitants au kilomètre carré, étant donné la vocation résidentielle de ces municipalités. </w:t>
      </w:r>
      <w:r w:rsidR="006A62E7">
        <w:t>Le</w:t>
      </w:r>
      <w:r w:rsidRPr="00197971">
        <w:t>s autres municipalités</w:t>
      </w:r>
      <w:r w:rsidR="006A62E7">
        <w:t xml:space="preserve"> </w:t>
      </w:r>
      <w:r w:rsidRPr="00197971">
        <w:t>ont dans l’ensemble la même densité de population.</w:t>
      </w:r>
    </w:p>
    <w:p w14:paraId="49C5B582" w14:textId="77777777" w:rsidR="009E4C76" w:rsidRPr="00CE611F" w:rsidRDefault="00197971" w:rsidP="00197971">
      <w:pPr>
        <w:pStyle w:val="H23G"/>
      </w:pPr>
      <w:r w:rsidRPr="00197971">
        <w:rPr>
          <w:b w:val="0"/>
        </w:rPr>
        <w:tab/>
      </w:r>
      <w:r w:rsidRPr="00197971">
        <w:rPr>
          <w:b w:val="0"/>
        </w:rPr>
        <w:tab/>
      </w:r>
      <w:r w:rsidR="009E4C76" w:rsidRPr="00197971">
        <w:rPr>
          <w:b w:val="0"/>
        </w:rPr>
        <w:t>Tableau 8</w:t>
      </w:r>
      <w:r w:rsidRPr="00F06AA1">
        <w:rPr>
          <w:b w:val="0"/>
        </w:rPr>
        <w:t xml:space="preserve"> </w:t>
      </w:r>
      <w:r w:rsidR="009E4C76" w:rsidRPr="00CE611F">
        <w:br/>
        <w:t>Espérance de vie à la naissance des Qataris, 2016</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2456"/>
        <w:gridCol w:w="2457"/>
        <w:gridCol w:w="2457"/>
      </w:tblGrid>
      <w:tr w:rsidR="009E4C76" w:rsidRPr="00197971" w14:paraId="4FC83FB8" w14:textId="77777777" w:rsidTr="00197971">
        <w:trPr>
          <w:tblHeader/>
        </w:trPr>
        <w:tc>
          <w:tcPr>
            <w:tcW w:w="2418" w:type="dxa"/>
            <w:shd w:val="clear" w:color="auto" w:fill="auto"/>
            <w:vAlign w:val="bottom"/>
          </w:tcPr>
          <w:p w14:paraId="40D11B29" w14:textId="77777777" w:rsidR="009E4C76" w:rsidRPr="00197971" w:rsidRDefault="009E4C76" w:rsidP="00197971">
            <w:pPr>
              <w:suppressAutoHyphens w:val="0"/>
              <w:spacing w:before="80" w:after="80" w:line="200" w:lineRule="exact"/>
              <w:rPr>
                <w:i/>
                <w:iCs/>
                <w:sz w:val="16"/>
                <w:szCs w:val="26"/>
                <w:rtl/>
                <w:lang w:val="fr-FR" w:bidi="fr-FR"/>
              </w:rPr>
            </w:pPr>
            <w:r w:rsidRPr="00197971">
              <w:rPr>
                <w:i/>
                <w:sz w:val="16"/>
                <w:lang w:val="fr-FR"/>
              </w:rPr>
              <w:t>Hommes</w:t>
            </w:r>
          </w:p>
        </w:tc>
        <w:tc>
          <w:tcPr>
            <w:tcW w:w="2419" w:type="dxa"/>
            <w:shd w:val="clear" w:color="auto" w:fill="auto"/>
            <w:vAlign w:val="bottom"/>
          </w:tcPr>
          <w:p w14:paraId="310BD30E" w14:textId="77777777" w:rsidR="009E4C76" w:rsidRPr="00197971" w:rsidRDefault="009E4C76" w:rsidP="00197971">
            <w:pPr>
              <w:suppressAutoHyphens w:val="0"/>
              <w:spacing w:before="80" w:after="80" w:line="200" w:lineRule="exact"/>
              <w:jc w:val="right"/>
              <w:rPr>
                <w:i/>
                <w:iCs/>
                <w:sz w:val="16"/>
                <w:szCs w:val="26"/>
                <w:rtl/>
                <w:lang w:val="fr-FR" w:bidi="fr-FR"/>
              </w:rPr>
            </w:pPr>
            <w:r w:rsidRPr="00197971">
              <w:rPr>
                <w:i/>
                <w:sz w:val="16"/>
                <w:lang w:val="fr-FR"/>
              </w:rPr>
              <w:t>Femmes</w:t>
            </w:r>
          </w:p>
        </w:tc>
        <w:tc>
          <w:tcPr>
            <w:tcW w:w="2419" w:type="dxa"/>
            <w:shd w:val="clear" w:color="auto" w:fill="auto"/>
            <w:vAlign w:val="bottom"/>
          </w:tcPr>
          <w:p w14:paraId="2DAC8DCA" w14:textId="77777777" w:rsidR="009E4C76" w:rsidRPr="00197971" w:rsidRDefault="009E4C76" w:rsidP="00197971">
            <w:pPr>
              <w:suppressAutoHyphens w:val="0"/>
              <w:spacing w:before="80" w:after="80" w:line="200" w:lineRule="exact"/>
              <w:jc w:val="right"/>
              <w:rPr>
                <w:bCs/>
                <w:i/>
                <w:iCs/>
                <w:sz w:val="16"/>
                <w:szCs w:val="26"/>
                <w:rtl/>
                <w:lang w:val="fr-FR" w:bidi="fr-FR"/>
              </w:rPr>
            </w:pPr>
            <w:r w:rsidRPr="00197971">
              <w:rPr>
                <w:i/>
                <w:sz w:val="16"/>
                <w:lang w:val="fr-FR"/>
              </w:rPr>
              <w:t>Total</w:t>
            </w:r>
          </w:p>
        </w:tc>
      </w:tr>
      <w:tr w:rsidR="009E4C76" w:rsidRPr="006461A7" w14:paraId="62902AA5" w14:textId="77777777" w:rsidTr="00197971">
        <w:tc>
          <w:tcPr>
            <w:tcW w:w="2418" w:type="dxa"/>
            <w:shd w:val="clear" w:color="auto" w:fill="auto"/>
          </w:tcPr>
          <w:p w14:paraId="50415EAB" w14:textId="77777777" w:rsidR="009E4C76" w:rsidRPr="00197971" w:rsidRDefault="009E4C76" w:rsidP="00197971">
            <w:pPr>
              <w:suppressAutoHyphens w:val="0"/>
              <w:spacing w:before="40" w:after="40" w:line="220" w:lineRule="exact"/>
              <w:rPr>
                <w:sz w:val="18"/>
                <w:szCs w:val="26"/>
                <w:rtl/>
                <w:lang w:val="fr-FR" w:bidi="fr-FR"/>
              </w:rPr>
            </w:pPr>
            <w:r w:rsidRPr="00197971">
              <w:rPr>
                <w:sz w:val="18"/>
                <w:lang w:val="fr-FR" w:bidi="ar-QA"/>
              </w:rPr>
              <w:t>78,9</w:t>
            </w:r>
          </w:p>
        </w:tc>
        <w:tc>
          <w:tcPr>
            <w:tcW w:w="2419" w:type="dxa"/>
            <w:shd w:val="clear" w:color="auto" w:fill="auto"/>
            <w:vAlign w:val="bottom"/>
          </w:tcPr>
          <w:p w14:paraId="76D9A461" w14:textId="77777777" w:rsidR="009E4C76" w:rsidRPr="00197971" w:rsidRDefault="009E4C76" w:rsidP="00197971">
            <w:pPr>
              <w:suppressAutoHyphens w:val="0"/>
              <w:spacing w:before="40" w:after="40" w:line="220" w:lineRule="exact"/>
              <w:jc w:val="right"/>
              <w:rPr>
                <w:sz w:val="18"/>
                <w:szCs w:val="26"/>
                <w:rtl/>
                <w:lang w:val="fr-FR" w:bidi="fr-FR"/>
              </w:rPr>
            </w:pPr>
            <w:r w:rsidRPr="00197971">
              <w:rPr>
                <w:sz w:val="18"/>
                <w:lang w:val="fr-FR" w:bidi="ar-QA"/>
              </w:rPr>
              <w:t>82,3</w:t>
            </w:r>
          </w:p>
        </w:tc>
        <w:tc>
          <w:tcPr>
            <w:tcW w:w="2419" w:type="dxa"/>
            <w:shd w:val="clear" w:color="auto" w:fill="auto"/>
            <w:vAlign w:val="bottom"/>
          </w:tcPr>
          <w:p w14:paraId="16840A69" w14:textId="77777777" w:rsidR="009E4C76" w:rsidRPr="006461A7" w:rsidRDefault="009E4C76" w:rsidP="00197971">
            <w:pPr>
              <w:suppressAutoHyphens w:val="0"/>
              <w:spacing w:before="40" w:after="40" w:line="220" w:lineRule="exact"/>
              <w:jc w:val="right"/>
              <w:rPr>
                <w:bCs/>
                <w:sz w:val="18"/>
                <w:szCs w:val="26"/>
                <w:rtl/>
                <w:lang w:val="fr-FR" w:bidi="fr-FR"/>
              </w:rPr>
            </w:pPr>
            <w:r w:rsidRPr="006461A7">
              <w:rPr>
                <w:sz w:val="18"/>
                <w:lang w:val="fr-FR" w:bidi="ar-QA"/>
              </w:rPr>
              <w:t>80,5</w:t>
            </w:r>
          </w:p>
        </w:tc>
      </w:tr>
    </w:tbl>
    <w:p w14:paraId="4FC0E73D" w14:textId="77777777" w:rsidR="009E4C76" w:rsidRPr="00197971" w:rsidRDefault="009E4C76" w:rsidP="00197971">
      <w:pPr>
        <w:pStyle w:val="SingleTxtG"/>
        <w:spacing w:before="120" w:after="240"/>
        <w:ind w:firstLine="170"/>
        <w:rPr>
          <w:sz w:val="18"/>
          <w:szCs w:val="18"/>
          <w:rtl/>
        </w:rPr>
      </w:pPr>
      <w:r w:rsidRPr="00197971">
        <w:rPr>
          <w:i/>
          <w:sz w:val="18"/>
          <w:szCs w:val="18"/>
        </w:rPr>
        <w:t>Source</w:t>
      </w:r>
      <w:r w:rsidR="00197971" w:rsidRPr="00197971">
        <w:rPr>
          <w:sz w:val="18"/>
          <w:szCs w:val="18"/>
        </w:rPr>
        <w:t> </w:t>
      </w:r>
      <w:r w:rsidRPr="00197971">
        <w:rPr>
          <w:sz w:val="18"/>
          <w:szCs w:val="18"/>
        </w:rPr>
        <w:t xml:space="preserve">: Ministère de la planification, du développement et des statistiques, </w:t>
      </w:r>
      <w:r w:rsidR="00F06AA1" w:rsidRPr="00A43C9F">
        <w:rPr>
          <w:sz w:val="18"/>
          <w:szCs w:val="18"/>
        </w:rPr>
        <w:t>bulletin annuel des statistiques de l’état civil, naissances et décès, 2016</w:t>
      </w:r>
      <w:r w:rsidRPr="00197971">
        <w:rPr>
          <w:sz w:val="18"/>
          <w:szCs w:val="18"/>
        </w:rPr>
        <w:t>.</w:t>
      </w:r>
    </w:p>
    <w:p w14:paraId="3673ED32" w14:textId="77777777" w:rsidR="009E4C76" w:rsidRPr="00197971" w:rsidRDefault="009E4C76" w:rsidP="00197971">
      <w:pPr>
        <w:pStyle w:val="SingleTxtG"/>
      </w:pPr>
      <w:r w:rsidRPr="00197971">
        <w:t>11.</w:t>
      </w:r>
      <w:r w:rsidRPr="00197971">
        <w:tab/>
        <w:t>Le tableau</w:t>
      </w:r>
      <w:r w:rsidR="00197971">
        <w:t> </w:t>
      </w:r>
      <w:r w:rsidRPr="00197971">
        <w:t>8 indique qu’au Qatar, en 2016, l’espérance de vie à la naissance était de</w:t>
      </w:r>
      <w:r w:rsidR="00197971">
        <w:t> </w:t>
      </w:r>
      <w:r w:rsidRPr="00197971">
        <w:t>78,9</w:t>
      </w:r>
      <w:r w:rsidR="00197971">
        <w:t> </w:t>
      </w:r>
      <w:r w:rsidRPr="00197971">
        <w:t>ans pour les hommes et de 82,3</w:t>
      </w:r>
      <w:r w:rsidR="00197971">
        <w:t> </w:t>
      </w:r>
      <w:r w:rsidRPr="00197971">
        <w:t>ans pour les femmes.</w:t>
      </w:r>
    </w:p>
    <w:p w14:paraId="185F6F6F" w14:textId="77777777" w:rsidR="009E4C76" w:rsidRPr="00CE611F" w:rsidRDefault="00A43C9F" w:rsidP="00A43C9F">
      <w:pPr>
        <w:pStyle w:val="H23G"/>
      </w:pPr>
      <w:r w:rsidRPr="00A43C9F">
        <w:rPr>
          <w:b w:val="0"/>
        </w:rPr>
        <w:tab/>
      </w:r>
      <w:r w:rsidRPr="00A43C9F">
        <w:rPr>
          <w:b w:val="0"/>
        </w:rPr>
        <w:tab/>
      </w:r>
      <w:r w:rsidR="009E4C76" w:rsidRPr="00A43C9F">
        <w:rPr>
          <w:b w:val="0"/>
        </w:rPr>
        <w:t>Tableau 9</w:t>
      </w:r>
      <w:r w:rsidRPr="00F06AA1">
        <w:rPr>
          <w:b w:val="0"/>
        </w:rPr>
        <w:t xml:space="preserve"> </w:t>
      </w:r>
      <w:r w:rsidR="009E4C76" w:rsidRPr="00CE611F">
        <w:br/>
        <w:t>Taux de mortalité infantile selon le genre (2007-2016)</w:t>
      </w:r>
    </w:p>
    <w:tbl>
      <w:tblPr>
        <w:bidiVisual/>
        <w:tblW w:w="7370" w:type="dxa"/>
        <w:tblInd w:w="1134" w:type="dxa"/>
        <w:tblLayout w:type="fixed"/>
        <w:tblCellMar>
          <w:left w:w="0" w:type="dxa"/>
          <w:right w:w="0" w:type="dxa"/>
        </w:tblCellMar>
        <w:tblLook w:val="00A0" w:firstRow="1" w:lastRow="0" w:firstColumn="1" w:lastColumn="0" w:noHBand="0" w:noVBand="0"/>
      </w:tblPr>
      <w:tblGrid>
        <w:gridCol w:w="1821"/>
        <w:gridCol w:w="1577"/>
        <w:gridCol w:w="1580"/>
        <w:gridCol w:w="2392"/>
      </w:tblGrid>
      <w:tr w:rsidR="009E4C76" w:rsidRPr="00A43C9F" w14:paraId="4AE3A45C" w14:textId="77777777" w:rsidTr="00303A58">
        <w:trPr>
          <w:tblHeader/>
        </w:trPr>
        <w:tc>
          <w:tcPr>
            <w:tcW w:w="3377" w:type="pct"/>
            <w:gridSpan w:val="3"/>
            <w:tcBorders>
              <w:top w:val="single" w:sz="4" w:space="0" w:color="auto"/>
              <w:bottom w:val="single" w:sz="4" w:space="0" w:color="auto"/>
            </w:tcBorders>
            <w:shd w:val="clear" w:color="auto" w:fill="auto"/>
            <w:vAlign w:val="bottom"/>
          </w:tcPr>
          <w:p w14:paraId="2042A7C1" w14:textId="77777777" w:rsidR="009E4C76" w:rsidRPr="00A43C9F" w:rsidRDefault="009E4C76" w:rsidP="00303A58">
            <w:pPr>
              <w:suppressAutoHyphens w:val="0"/>
              <w:spacing w:before="80" w:after="80" w:line="200" w:lineRule="exact"/>
              <w:jc w:val="center"/>
              <w:rPr>
                <w:i/>
                <w:sz w:val="16"/>
                <w:lang w:val="fr-FR" w:bidi="ar-QA"/>
              </w:rPr>
            </w:pPr>
            <w:r w:rsidRPr="00A43C9F">
              <w:rPr>
                <w:i/>
                <w:sz w:val="16"/>
                <w:lang w:val="fr-FR"/>
              </w:rPr>
              <w:t>Total</w:t>
            </w:r>
          </w:p>
        </w:tc>
        <w:tc>
          <w:tcPr>
            <w:tcW w:w="1623" w:type="pct"/>
            <w:vMerge w:val="restart"/>
            <w:tcBorders>
              <w:top w:val="single" w:sz="4" w:space="0" w:color="auto"/>
              <w:bottom w:val="single" w:sz="12" w:space="0" w:color="auto"/>
            </w:tcBorders>
            <w:shd w:val="clear" w:color="auto" w:fill="auto"/>
            <w:vAlign w:val="bottom"/>
          </w:tcPr>
          <w:p w14:paraId="382A53F5" w14:textId="77777777" w:rsidR="009E4C76" w:rsidRPr="00A43C9F" w:rsidRDefault="009E4C76" w:rsidP="00303A58">
            <w:pPr>
              <w:suppressAutoHyphens w:val="0"/>
              <w:spacing w:before="80" w:after="80" w:line="200" w:lineRule="exact"/>
              <w:rPr>
                <w:i/>
                <w:sz w:val="16"/>
                <w:lang w:val="fr-FR" w:bidi="ar-QA"/>
              </w:rPr>
            </w:pPr>
            <w:r w:rsidRPr="00A43C9F">
              <w:rPr>
                <w:i/>
                <w:sz w:val="16"/>
                <w:lang w:val="fr-FR" w:bidi="ar-QA"/>
              </w:rPr>
              <w:t>Année</w:t>
            </w:r>
          </w:p>
        </w:tc>
      </w:tr>
      <w:tr w:rsidR="009E4C76" w:rsidRPr="00A43C9F" w14:paraId="3223D44D" w14:textId="77777777" w:rsidTr="00303A58">
        <w:trPr>
          <w:tblHeader/>
        </w:trPr>
        <w:tc>
          <w:tcPr>
            <w:tcW w:w="1235" w:type="pct"/>
            <w:tcBorders>
              <w:top w:val="single" w:sz="4" w:space="0" w:color="auto"/>
              <w:bottom w:val="single" w:sz="12" w:space="0" w:color="auto"/>
            </w:tcBorders>
            <w:shd w:val="clear" w:color="auto" w:fill="auto"/>
          </w:tcPr>
          <w:p w14:paraId="1A254CC5" w14:textId="77777777" w:rsidR="009E4C76" w:rsidRPr="006461A7" w:rsidRDefault="009E4C76" w:rsidP="006461A7">
            <w:pPr>
              <w:suppressAutoHyphens w:val="0"/>
              <w:spacing w:before="80" w:after="80" w:line="200" w:lineRule="exact"/>
              <w:jc w:val="right"/>
              <w:rPr>
                <w:i/>
                <w:sz w:val="16"/>
                <w:rtl/>
                <w:lang w:val="fr-FR" w:bidi="fr-FR"/>
              </w:rPr>
            </w:pPr>
            <w:r w:rsidRPr="006461A7">
              <w:rPr>
                <w:i/>
                <w:sz w:val="16"/>
                <w:lang w:val="fr-FR"/>
              </w:rPr>
              <w:t>Total</w:t>
            </w:r>
          </w:p>
        </w:tc>
        <w:tc>
          <w:tcPr>
            <w:tcW w:w="1070" w:type="pct"/>
            <w:tcBorders>
              <w:top w:val="single" w:sz="4" w:space="0" w:color="auto"/>
              <w:bottom w:val="single" w:sz="12" w:space="0" w:color="auto"/>
            </w:tcBorders>
            <w:shd w:val="clear" w:color="auto" w:fill="auto"/>
          </w:tcPr>
          <w:p w14:paraId="23FED1E6" w14:textId="77777777" w:rsidR="009E4C76" w:rsidRPr="006461A7" w:rsidRDefault="009E4C76" w:rsidP="006461A7">
            <w:pPr>
              <w:suppressAutoHyphens w:val="0"/>
              <w:spacing w:before="80" w:after="80" w:line="200" w:lineRule="exact"/>
              <w:jc w:val="right"/>
              <w:rPr>
                <w:i/>
                <w:sz w:val="16"/>
                <w:rtl/>
                <w:lang w:val="fr-FR" w:bidi="fr-FR"/>
              </w:rPr>
            </w:pPr>
            <w:r w:rsidRPr="006461A7">
              <w:rPr>
                <w:i/>
                <w:sz w:val="16"/>
                <w:lang w:val="fr-FR"/>
              </w:rPr>
              <w:t>Filles</w:t>
            </w:r>
          </w:p>
        </w:tc>
        <w:tc>
          <w:tcPr>
            <w:tcW w:w="1072" w:type="pct"/>
            <w:tcBorders>
              <w:top w:val="single" w:sz="4" w:space="0" w:color="auto"/>
              <w:bottom w:val="single" w:sz="12" w:space="0" w:color="auto"/>
            </w:tcBorders>
            <w:shd w:val="clear" w:color="auto" w:fill="auto"/>
          </w:tcPr>
          <w:p w14:paraId="01C71E1B" w14:textId="77777777" w:rsidR="009E4C76" w:rsidRPr="006461A7" w:rsidRDefault="009E4C76" w:rsidP="006461A7">
            <w:pPr>
              <w:suppressAutoHyphens w:val="0"/>
              <w:spacing w:before="80" w:after="80" w:line="200" w:lineRule="exact"/>
              <w:jc w:val="right"/>
              <w:rPr>
                <w:i/>
                <w:sz w:val="16"/>
                <w:rtl/>
                <w:lang w:val="fr-FR" w:bidi="fr-FR"/>
              </w:rPr>
            </w:pPr>
            <w:r w:rsidRPr="006461A7">
              <w:rPr>
                <w:i/>
                <w:sz w:val="16"/>
                <w:lang w:val="fr-FR"/>
              </w:rPr>
              <w:t>Garçons</w:t>
            </w:r>
          </w:p>
        </w:tc>
        <w:tc>
          <w:tcPr>
            <w:tcW w:w="1623" w:type="pct"/>
            <w:vMerge/>
            <w:tcBorders>
              <w:top w:val="single" w:sz="12" w:space="0" w:color="auto"/>
              <w:bottom w:val="single" w:sz="12" w:space="0" w:color="auto"/>
            </w:tcBorders>
            <w:shd w:val="clear" w:color="auto" w:fill="auto"/>
            <w:vAlign w:val="bottom"/>
          </w:tcPr>
          <w:p w14:paraId="4EDA921A" w14:textId="77777777" w:rsidR="009E4C76" w:rsidRPr="00A43C9F" w:rsidRDefault="009E4C76" w:rsidP="00303A58">
            <w:pPr>
              <w:suppressAutoHyphens w:val="0"/>
              <w:spacing w:before="40" w:after="40" w:line="220" w:lineRule="exact"/>
              <w:rPr>
                <w:b/>
                <w:sz w:val="18"/>
                <w:lang w:val="fr-FR" w:bidi="ar-QA"/>
              </w:rPr>
            </w:pPr>
          </w:p>
        </w:tc>
      </w:tr>
      <w:tr w:rsidR="009E4C76" w:rsidRPr="00A43C9F" w14:paraId="6E879B1D" w14:textId="77777777" w:rsidTr="00303A58">
        <w:tc>
          <w:tcPr>
            <w:tcW w:w="1235" w:type="pct"/>
            <w:tcBorders>
              <w:top w:val="single" w:sz="12" w:space="0" w:color="auto"/>
            </w:tcBorders>
            <w:shd w:val="clear" w:color="auto" w:fill="auto"/>
            <w:noWrap/>
          </w:tcPr>
          <w:p w14:paraId="23946B2F" w14:textId="77777777" w:rsidR="009E4C76" w:rsidRPr="006461A7" w:rsidRDefault="009E4C76" w:rsidP="006461A7">
            <w:pPr>
              <w:suppressAutoHyphens w:val="0"/>
              <w:spacing w:before="40" w:after="40" w:line="220" w:lineRule="exact"/>
              <w:jc w:val="right"/>
              <w:rPr>
                <w:sz w:val="18"/>
                <w:lang w:val="fr-FR" w:bidi="ar-QA"/>
              </w:rPr>
            </w:pPr>
            <w:r w:rsidRPr="006461A7">
              <w:rPr>
                <w:sz w:val="18"/>
                <w:lang w:val="fr-FR" w:bidi="ar-QA"/>
              </w:rPr>
              <w:t>7,5</w:t>
            </w:r>
          </w:p>
        </w:tc>
        <w:tc>
          <w:tcPr>
            <w:tcW w:w="1070" w:type="pct"/>
            <w:tcBorders>
              <w:top w:val="single" w:sz="12" w:space="0" w:color="auto"/>
            </w:tcBorders>
            <w:shd w:val="clear" w:color="auto" w:fill="auto"/>
            <w:noWrap/>
          </w:tcPr>
          <w:p w14:paraId="0FE0C26B" w14:textId="77777777" w:rsidR="009E4C76" w:rsidRPr="00A43C9F" w:rsidRDefault="009E4C76" w:rsidP="006461A7">
            <w:pPr>
              <w:suppressAutoHyphens w:val="0"/>
              <w:spacing w:before="40" w:after="40" w:line="220" w:lineRule="exact"/>
              <w:jc w:val="right"/>
              <w:rPr>
                <w:sz w:val="18"/>
                <w:lang w:val="fr-FR" w:bidi="ar-QA"/>
              </w:rPr>
            </w:pPr>
            <w:r w:rsidRPr="00A43C9F">
              <w:rPr>
                <w:sz w:val="18"/>
                <w:lang w:val="fr-FR" w:bidi="ar-QA"/>
              </w:rPr>
              <w:t>7,9</w:t>
            </w:r>
          </w:p>
        </w:tc>
        <w:tc>
          <w:tcPr>
            <w:tcW w:w="1072" w:type="pct"/>
            <w:tcBorders>
              <w:top w:val="single" w:sz="12" w:space="0" w:color="auto"/>
            </w:tcBorders>
            <w:shd w:val="clear" w:color="auto" w:fill="auto"/>
            <w:noWrap/>
          </w:tcPr>
          <w:p w14:paraId="3C8F3C44" w14:textId="77777777" w:rsidR="009E4C76" w:rsidRPr="00A43C9F" w:rsidRDefault="009E4C76" w:rsidP="006461A7">
            <w:pPr>
              <w:suppressAutoHyphens w:val="0"/>
              <w:spacing w:before="40" w:after="40" w:line="220" w:lineRule="exact"/>
              <w:jc w:val="right"/>
              <w:rPr>
                <w:sz w:val="18"/>
                <w:szCs w:val="26"/>
                <w:rtl/>
                <w:lang w:val="fr-FR" w:bidi="fr-FR"/>
              </w:rPr>
            </w:pPr>
            <w:r w:rsidRPr="00A43C9F">
              <w:rPr>
                <w:sz w:val="18"/>
                <w:lang w:val="fr-FR" w:bidi="ar-QA"/>
              </w:rPr>
              <w:t>7,1</w:t>
            </w:r>
          </w:p>
        </w:tc>
        <w:tc>
          <w:tcPr>
            <w:tcW w:w="1623" w:type="pct"/>
            <w:tcBorders>
              <w:top w:val="single" w:sz="12" w:space="0" w:color="auto"/>
            </w:tcBorders>
            <w:shd w:val="clear" w:color="auto" w:fill="auto"/>
            <w:vAlign w:val="bottom"/>
          </w:tcPr>
          <w:p w14:paraId="5E07DBC9" w14:textId="77777777" w:rsidR="009E4C76" w:rsidRPr="00A43C9F" w:rsidRDefault="009E4C76" w:rsidP="00303A58">
            <w:pPr>
              <w:suppressAutoHyphens w:val="0"/>
              <w:spacing w:before="40" w:after="40" w:line="220" w:lineRule="exact"/>
              <w:rPr>
                <w:sz w:val="18"/>
                <w:lang w:val="fr-FR" w:bidi="ar-QA"/>
              </w:rPr>
            </w:pPr>
            <w:r w:rsidRPr="00A43C9F">
              <w:rPr>
                <w:sz w:val="18"/>
                <w:lang w:val="fr-FR"/>
              </w:rPr>
              <w:t>2007</w:t>
            </w:r>
          </w:p>
        </w:tc>
      </w:tr>
      <w:tr w:rsidR="009E4C76" w:rsidRPr="00A43C9F" w14:paraId="1E17C6E9" w14:textId="77777777" w:rsidTr="00A43C9F">
        <w:tc>
          <w:tcPr>
            <w:tcW w:w="1235" w:type="pct"/>
            <w:shd w:val="clear" w:color="auto" w:fill="auto"/>
            <w:noWrap/>
          </w:tcPr>
          <w:p w14:paraId="6356935B" w14:textId="77777777" w:rsidR="009E4C76" w:rsidRPr="006461A7" w:rsidRDefault="009E4C76" w:rsidP="006461A7">
            <w:pPr>
              <w:suppressAutoHyphens w:val="0"/>
              <w:spacing w:before="40" w:after="40" w:line="220" w:lineRule="exact"/>
              <w:jc w:val="right"/>
              <w:rPr>
                <w:sz w:val="18"/>
                <w:lang w:val="fr-FR" w:bidi="ar-QA"/>
              </w:rPr>
            </w:pPr>
            <w:r w:rsidRPr="006461A7">
              <w:rPr>
                <w:sz w:val="18"/>
                <w:lang w:val="fr-FR" w:bidi="ar-QA"/>
              </w:rPr>
              <w:t>7,7</w:t>
            </w:r>
          </w:p>
        </w:tc>
        <w:tc>
          <w:tcPr>
            <w:tcW w:w="1070" w:type="pct"/>
            <w:shd w:val="clear" w:color="auto" w:fill="auto"/>
            <w:noWrap/>
          </w:tcPr>
          <w:p w14:paraId="0B5FF296" w14:textId="77777777" w:rsidR="009E4C76" w:rsidRPr="00A43C9F" w:rsidRDefault="009E4C76" w:rsidP="006461A7">
            <w:pPr>
              <w:suppressAutoHyphens w:val="0"/>
              <w:spacing w:before="40" w:after="40" w:line="220" w:lineRule="exact"/>
              <w:jc w:val="right"/>
              <w:rPr>
                <w:sz w:val="18"/>
                <w:lang w:val="fr-FR" w:bidi="ar-QA"/>
              </w:rPr>
            </w:pPr>
            <w:r w:rsidRPr="00A43C9F">
              <w:rPr>
                <w:sz w:val="18"/>
                <w:lang w:val="fr-FR" w:bidi="ar-QA"/>
              </w:rPr>
              <w:t>6,9</w:t>
            </w:r>
          </w:p>
        </w:tc>
        <w:tc>
          <w:tcPr>
            <w:tcW w:w="1072" w:type="pct"/>
            <w:shd w:val="clear" w:color="auto" w:fill="auto"/>
            <w:noWrap/>
          </w:tcPr>
          <w:p w14:paraId="7AEA26E0" w14:textId="77777777" w:rsidR="009E4C76" w:rsidRPr="00A43C9F" w:rsidRDefault="009E4C76" w:rsidP="006461A7">
            <w:pPr>
              <w:suppressAutoHyphens w:val="0"/>
              <w:spacing w:before="40" w:after="40" w:line="220" w:lineRule="exact"/>
              <w:jc w:val="right"/>
              <w:rPr>
                <w:sz w:val="18"/>
                <w:lang w:val="fr-FR" w:bidi="ar-QA"/>
              </w:rPr>
            </w:pPr>
            <w:r w:rsidRPr="00A43C9F">
              <w:rPr>
                <w:sz w:val="18"/>
                <w:lang w:val="fr-FR" w:bidi="ar-QA"/>
              </w:rPr>
              <w:t>8,4</w:t>
            </w:r>
          </w:p>
        </w:tc>
        <w:tc>
          <w:tcPr>
            <w:tcW w:w="1623" w:type="pct"/>
            <w:shd w:val="clear" w:color="auto" w:fill="auto"/>
            <w:vAlign w:val="bottom"/>
          </w:tcPr>
          <w:p w14:paraId="03E25D09" w14:textId="77777777" w:rsidR="009E4C76" w:rsidRPr="00A43C9F" w:rsidRDefault="009E4C76" w:rsidP="00303A58">
            <w:pPr>
              <w:suppressAutoHyphens w:val="0"/>
              <w:spacing w:before="40" w:after="40" w:line="220" w:lineRule="exact"/>
              <w:rPr>
                <w:sz w:val="18"/>
                <w:lang w:val="fr-FR" w:bidi="ar-QA"/>
              </w:rPr>
            </w:pPr>
            <w:r w:rsidRPr="00A43C9F">
              <w:rPr>
                <w:sz w:val="18"/>
                <w:lang w:val="fr-FR"/>
              </w:rPr>
              <w:t>2008</w:t>
            </w:r>
          </w:p>
        </w:tc>
      </w:tr>
      <w:tr w:rsidR="009E4C76" w:rsidRPr="00A43C9F" w14:paraId="02251B19" w14:textId="77777777" w:rsidTr="00A43C9F">
        <w:tc>
          <w:tcPr>
            <w:tcW w:w="1235" w:type="pct"/>
            <w:shd w:val="clear" w:color="auto" w:fill="auto"/>
            <w:noWrap/>
          </w:tcPr>
          <w:p w14:paraId="1136ABAB" w14:textId="77777777" w:rsidR="009E4C76" w:rsidRPr="006461A7" w:rsidRDefault="009E4C76" w:rsidP="006461A7">
            <w:pPr>
              <w:suppressAutoHyphens w:val="0"/>
              <w:spacing w:before="40" w:after="40" w:line="220" w:lineRule="exact"/>
              <w:jc w:val="right"/>
              <w:rPr>
                <w:sz w:val="18"/>
                <w:lang w:val="fr-FR" w:bidi="ar-QA"/>
              </w:rPr>
            </w:pPr>
            <w:r w:rsidRPr="006461A7">
              <w:rPr>
                <w:sz w:val="18"/>
                <w:lang w:val="fr-FR" w:bidi="ar-QA"/>
              </w:rPr>
              <w:t>7,1</w:t>
            </w:r>
          </w:p>
        </w:tc>
        <w:tc>
          <w:tcPr>
            <w:tcW w:w="1070" w:type="pct"/>
            <w:shd w:val="clear" w:color="auto" w:fill="auto"/>
            <w:noWrap/>
          </w:tcPr>
          <w:p w14:paraId="79647C7C" w14:textId="77777777" w:rsidR="009E4C76" w:rsidRPr="00A43C9F" w:rsidRDefault="009E4C76" w:rsidP="006461A7">
            <w:pPr>
              <w:suppressAutoHyphens w:val="0"/>
              <w:spacing w:before="40" w:after="40" w:line="220" w:lineRule="exact"/>
              <w:jc w:val="right"/>
              <w:rPr>
                <w:sz w:val="18"/>
                <w:lang w:val="fr-FR" w:bidi="ar-QA"/>
              </w:rPr>
            </w:pPr>
            <w:r w:rsidRPr="00A43C9F">
              <w:rPr>
                <w:sz w:val="18"/>
                <w:lang w:val="fr-FR" w:bidi="ar-QA"/>
              </w:rPr>
              <w:t>6,5</w:t>
            </w:r>
          </w:p>
        </w:tc>
        <w:tc>
          <w:tcPr>
            <w:tcW w:w="1072" w:type="pct"/>
            <w:shd w:val="clear" w:color="auto" w:fill="auto"/>
            <w:noWrap/>
          </w:tcPr>
          <w:p w14:paraId="1F08982F" w14:textId="77777777" w:rsidR="009E4C76" w:rsidRPr="00A43C9F" w:rsidRDefault="009E4C76" w:rsidP="006461A7">
            <w:pPr>
              <w:suppressAutoHyphens w:val="0"/>
              <w:spacing w:before="40" w:after="40" w:line="220" w:lineRule="exact"/>
              <w:jc w:val="right"/>
              <w:rPr>
                <w:sz w:val="18"/>
                <w:lang w:val="fr-FR" w:bidi="ar-QA"/>
              </w:rPr>
            </w:pPr>
            <w:r w:rsidRPr="00A43C9F">
              <w:rPr>
                <w:sz w:val="18"/>
                <w:lang w:val="fr-FR" w:bidi="ar-QA"/>
              </w:rPr>
              <w:t>7,7</w:t>
            </w:r>
          </w:p>
        </w:tc>
        <w:tc>
          <w:tcPr>
            <w:tcW w:w="1623" w:type="pct"/>
            <w:shd w:val="clear" w:color="auto" w:fill="auto"/>
            <w:vAlign w:val="bottom"/>
          </w:tcPr>
          <w:p w14:paraId="27C315B9" w14:textId="77777777" w:rsidR="009E4C76" w:rsidRPr="00A43C9F" w:rsidRDefault="009E4C76" w:rsidP="00303A58">
            <w:pPr>
              <w:suppressAutoHyphens w:val="0"/>
              <w:spacing w:before="40" w:after="40" w:line="220" w:lineRule="exact"/>
              <w:rPr>
                <w:sz w:val="18"/>
                <w:lang w:val="fr-FR" w:bidi="ar-QA"/>
              </w:rPr>
            </w:pPr>
            <w:r w:rsidRPr="00A43C9F">
              <w:rPr>
                <w:sz w:val="18"/>
                <w:lang w:val="fr-FR"/>
              </w:rPr>
              <w:t>2009</w:t>
            </w:r>
          </w:p>
        </w:tc>
      </w:tr>
      <w:tr w:rsidR="009E4C76" w:rsidRPr="00A43C9F" w14:paraId="2999E8B4" w14:textId="77777777" w:rsidTr="00A43C9F">
        <w:tc>
          <w:tcPr>
            <w:tcW w:w="1235" w:type="pct"/>
            <w:shd w:val="clear" w:color="auto" w:fill="auto"/>
            <w:noWrap/>
          </w:tcPr>
          <w:p w14:paraId="648D4D18" w14:textId="77777777" w:rsidR="009E4C76" w:rsidRPr="006461A7" w:rsidRDefault="009E4C76" w:rsidP="006461A7">
            <w:pPr>
              <w:suppressAutoHyphens w:val="0"/>
              <w:spacing w:before="40" w:after="40" w:line="220" w:lineRule="exact"/>
              <w:jc w:val="right"/>
              <w:rPr>
                <w:sz w:val="18"/>
                <w:lang w:val="fr-FR" w:bidi="ar-QA"/>
              </w:rPr>
            </w:pPr>
            <w:r w:rsidRPr="006461A7">
              <w:rPr>
                <w:sz w:val="18"/>
                <w:lang w:val="fr-FR" w:bidi="ar-QA"/>
              </w:rPr>
              <w:t>6,8</w:t>
            </w:r>
          </w:p>
        </w:tc>
        <w:tc>
          <w:tcPr>
            <w:tcW w:w="1070" w:type="pct"/>
            <w:shd w:val="clear" w:color="auto" w:fill="auto"/>
            <w:noWrap/>
          </w:tcPr>
          <w:p w14:paraId="1BD388B6" w14:textId="77777777" w:rsidR="009E4C76" w:rsidRPr="00A43C9F" w:rsidRDefault="009E4C76" w:rsidP="006461A7">
            <w:pPr>
              <w:suppressAutoHyphens w:val="0"/>
              <w:spacing w:before="40" w:after="40" w:line="220" w:lineRule="exact"/>
              <w:jc w:val="right"/>
              <w:rPr>
                <w:sz w:val="18"/>
                <w:lang w:val="fr-FR" w:bidi="ar-QA"/>
              </w:rPr>
            </w:pPr>
            <w:r w:rsidRPr="00A43C9F">
              <w:rPr>
                <w:sz w:val="18"/>
                <w:lang w:val="fr-FR" w:bidi="ar-QA"/>
              </w:rPr>
              <w:t>6,7</w:t>
            </w:r>
          </w:p>
        </w:tc>
        <w:tc>
          <w:tcPr>
            <w:tcW w:w="1072" w:type="pct"/>
            <w:shd w:val="clear" w:color="auto" w:fill="auto"/>
            <w:noWrap/>
          </w:tcPr>
          <w:p w14:paraId="1D306352" w14:textId="77777777" w:rsidR="009E4C76" w:rsidRPr="00A43C9F" w:rsidRDefault="009E4C76" w:rsidP="006461A7">
            <w:pPr>
              <w:suppressAutoHyphens w:val="0"/>
              <w:spacing w:before="40" w:after="40" w:line="220" w:lineRule="exact"/>
              <w:jc w:val="right"/>
              <w:rPr>
                <w:sz w:val="18"/>
                <w:lang w:val="fr-FR" w:bidi="ar-QA"/>
              </w:rPr>
            </w:pPr>
            <w:r w:rsidRPr="00A43C9F">
              <w:rPr>
                <w:sz w:val="18"/>
                <w:lang w:val="fr-FR" w:bidi="ar-QA"/>
              </w:rPr>
              <w:t>6,9</w:t>
            </w:r>
          </w:p>
        </w:tc>
        <w:tc>
          <w:tcPr>
            <w:tcW w:w="1623" w:type="pct"/>
            <w:shd w:val="clear" w:color="auto" w:fill="auto"/>
            <w:vAlign w:val="bottom"/>
          </w:tcPr>
          <w:p w14:paraId="645EF2EA" w14:textId="77777777" w:rsidR="009E4C76" w:rsidRPr="00A43C9F" w:rsidRDefault="009E4C76" w:rsidP="00303A58">
            <w:pPr>
              <w:suppressAutoHyphens w:val="0"/>
              <w:spacing w:before="40" w:after="40" w:line="220" w:lineRule="exact"/>
              <w:rPr>
                <w:sz w:val="18"/>
                <w:lang w:val="fr-FR" w:bidi="ar-QA"/>
              </w:rPr>
            </w:pPr>
            <w:r w:rsidRPr="00A43C9F">
              <w:rPr>
                <w:sz w:val="18"/>
                <w:lang w:val="fr-FR"/>
              </w:rPr>
              <w:t>2010</w:t>
            </w:r>
          </w:p>
        </w:tc>
      </w:tr>
      <w:tr w:rsidR="009E4C76" w:rsidRPr="00A43C9F" w14:paraId="0F6EA01C" w14:textId="77777777" w:rsidTr="00A43C9F">
        <w:tc>
          <w:tcPr>
            <w:tcW w:w="1235" w:type="pct"/>
            <w:shd w:val="clear" w:color="auto" w:fill="auto"/>
            <w:noWrap/>
          </w:tcPr>
          <w:p w14:paraId="1081183C" w14:textId="77777777" w:rsidR="009E4C76" w:rsidRPr="006461A7" w:rsidRDefault="009E4C76" w:rsidP="006461A7">
            <w:pPr>
              <w:suppressAutoHyphens w:val="0"/>
              <w:spacing w:before="40" w:after="40" w:line="220" w:lineRule="exact"/>
              <w:jc w:val="right"/>
              <w:rPr>
                <w:sz w:val="18"/>
                <w:lang w:val="fr-FR" w:bidi="ar-QA"/>
              </w:rPr>
            </w:pPr>
            <w:r w:rsidRPr="006461A7">
              <w:rPr>
                <w:sz w:val="18"/>
                <w:lang w:val="fr-FR" w:bidi="ar-QA"/>
              </w:rPr>
              <w:t>7,6</w:t>
            </w:r>
          </w:p>
        </w:tc>
        <w:tc>
          <w:tcPr>
            <w:tcW w:w="1070" w:type="pct"/>
            <w:shd w:val="clear" w:color="auto" w:fill="auto"/>
            <w:noWrap/>
          </w:tcPr>
          <w:p w14:paraId="438B7D47" w14:textId="77777777" w:rsidR="009E4C76" w:rsidRPr="00A43C9F" w:rsidRDefault="009E4C76" w:rsidP="006461A7">
            <w:pPr>
              <w:suppressAutoHyphens w:val="0"/>
              <w:spacing w:before="40" w:after="40" w:line="220" w:lineRule="exact"/>
              <w:jc w:val="right"/>
              <w:rPr>
                <w:sz w:val="18"/>
                <w:lang w:val="fr-FR" w:bidi="ar-QA"/>
              </w:rPr>
            </w:pPr>
            <w:r w:rsidRPr="00A43C9F">
              <w:rPr>
                <w:sz w:val="18"/>
                <w:lang w:val="fr-FR" w:bidi="ar-QA"/>
              </w:rPr>
              <w:t>6,2</w:t>
            </w:r>
          </w:p>
        </w:tc>
        <w:tc>
          <w:tcPr>
            <w:tcW w:w="1072" w:type="pct"/>
            <w:shd w:val="clear" w:color="auto" w:fill="auto"/>
            <w:noWrap/>
          </w:tcPr>
          <w:p w14:paraId="5951F192" w14:textId="77777777" w:rsidR="009E4C76" w:rsidRPr="00A43C9F" w:rsidRDefault="009E4C76" w:rsidP="006461A7">
            <w:pPr>
              <w:suppressAutoHyphens w:val="0"/>
              <w:spacing w:before="40" w:after="40" w:line="220" w:lineRule="exact"/>
              <w:jc w:val="right"/>
              <w:rPr>
                <w:sz w:val="18"/>
                <w:lang w:val="fr-FR" w:bidi="ar-QA"/>
              </w:rPr>
            </w:pPr>
            <w:r w:rsidRPr="00A43C9F">
              <w:rPr>
                <w:sz w:val="18"/>
                <w:lang w:val="fr-FR" w:bidi="ar-QA"/>
              </w:rPr>
              <w:t>8,9</w:t>
            </w:r>
          </w:p>
        </w:tc>
        <w:tc>
          <w:tcPr>
            <w:tcW w:w="1623" w:type="pct"/>
            <w:shd w:val="clear" w:color="auto" w:fill="auto"/>
            <w:vAlign w:val="bottom"/>
          </w:tcPr>
          <w:p w14:paraId="37AD53A5" w14:textId="77777777" w:rsidR="009E4C76" w:rsidRPr="00A43C9F" w:rsidRDefault="009E4C76" w:rsidP="006461A7">
            <w:pPr>
              <w:suppressAutoHyphens w:val="0"/>
              <w:spacing w:before="40" w:after="40" w:line="220" w:lineRule="exact"/>
              <w:rPr>
                <w:sz w:val="18"/>
                <w:lang w:val="fr-FR" w:bidi="ar-QA"/>
              </w:rPr>
            </w:pPr>
            <w:r w:rsidRPr="00A43C9F">
              <w:rPr>
                <w:sz w:val="18"/>
                <w:lang w:val="fr-FR"/>
              </w:rPr>
              <w:t>2011</w:t>
            </w:r>
          </w:p>
        </w:tc>
      </w:tr>
      <w:tr w:rsidR="009E4C76" w:rsidRPr="00A43C9F" w14:paraId="05C4B579" w14:textId="77777777" w:rsidTr="00A43C9F">
        <w:tc>
          <w:tcPr>
            <w:tcW w:w="1235" w:type="pct"/>
            <w:shd w:val="clear" w:color="auto" w:fill="auto"/>
            <w:noWrap/>
          </w:tcPr>
          <w:p w14:paraId="22010A5F" w14:textId="77777777" w:rsidR="009E4C76" w:rsidRPr="006461A7" w:rsidRDefault="009E4C76" w:rsidP="006461A7">
            <w:pPr>
              <w:suppressAutoHyphens w:val="0"/>
              <w:spacing w:before="40" w:after="40" w:line="220" w:lineRule="exact"/>
              <w:jc w:val="right"/>
              <w:rPr>
                <w:sz w:val="18"/>
                <w:lang w:val="fr-FR" w:bidi="ar-QA"/>
              </w:rPr>
            </w:pPr>
            <w:r w:rsidRPr="006461A7">
              <w:rPr>
                <w:sz w:val="18"/>
                <w:lang w:val="fr-FR" w:bidi="ar-QA"/>
              </w:rPr>
              <w:t>6,9</w:t>
            </w:r>
          </w:p>
        </w:tc>
        <w:tc>
          <w:tcPr>
            <w:tcW w:w="1070" w:type="pct"/>
            <w:shd w:val="clear" w:color="auto" w:fill="auto"/>
            <w:noWrap/>
          </w:tcPr>
          <w:p w14:paraId="1CF79AD5" w14:textId="77777777" w:rsidR="009E4C76" w:rsidRPr="00A43C9F" w:rsidRDefault="009E4C76" w:rsidP="006461A7">
            <w:pPr>
              <w:suppressAutoHyphens w:val="0"/>
              <w:spacing w:before="40" w:after="40" w:line="220" w:lineRule="exact"/>
              <w:jc w:val="right"/>
              <w:rPr>
                <w:sz w:val="18"/>
                <w:lang w:val="fr-FR" w:bidi="ar-QA"/>
              </w:rPr>
            </w:pPr>
            <w:r w:rsidRPr="00A43C9F">
              <w:rPr>
                <w:sz w:val="18"/>
                <w:lang w:val="fr-FR" w:bidi="ar-QA"/>
              </w:rPr>
              <w:t>5,2</w:t>
            </w:r>
          </w:p>
        </w:tc>
        <w:tc>
          <w:tcPr>
            <w:tcW w:w="1072" w:type="pct"/>
            <w:shd w:val="clear" w:color="auto" w:fill="auto"/>
            <w:noWrap/>
          </w:tcPr>
          <w:p w14:paraId="61FB9952" w14:textId="77777777" w:rsidR="009E4C76" w:rsidRPr="00A43C9F" w:rsidRDefault="009E4C76" w:rsidP="006461A7">
            <w:pPr>
              <w:suppressAutoHyphens w:val="0"/>
              <w:spacing w:before="40" w:after="40" w:line="220" w:lineRule="exact"/>
              <w:jc w:val="right"/>
              <w:rPr>
                <w:sz w:val="18"/>
                <w:lang w:val="fr-FR" w:bidi="ar-QA"/>
              </w:rPr>
            </w:pPr>
            <w:r w:rsidRPr="00A43C9F">
              <w:rPr>
                <w:sz w:val="18"/>
                <w:lang w:val="fr-FR" w:bidi="ar-QA"/>
              </w:rPr>
              <w:t>8,5</w:t>
            </w:r>
          </w:p>
        </w:tc>
        <w:tc>
          <w:tcPr>
            <w:tcW w:w="1623" w:type="pct"/>
            <w:shd w:val="clear" w:color="auto" w:fill="auto"/>
            <w:vAlign w:val="bottom"/>
          </w:tcPr>
          <w:p w14:paraId="0C35C49F" w14:textId="77777777" w:rsidR="009E4C76" w:rsidRPr="00A43C9F" w:rsidRDefault="009E4C76" w:rsidP="006461A7">
            <w:pPr>
              <w:suppressAutoHyphens w:val="0"/>
              <w:spacing w:before="40" w:after="40" w:line="220" w:lineRule="exact"/>
              <w:rPr>
                <w:sz w:val="18"/>
                <w:lang w:val="fr-FR" w:bidi="ar-QA"/>
              </w:rPr>
            </w:pPr>
            <w:r w:rsidRPr="00A43C9F">
              <w:rPr>
                <w:sz w:val="18"/>
                <w:lang w:val="fr-FR"/>
              </w:rPr>
              <w:t>2012</w:t>
            </w:r>
          </w:p>
        </w:tc>
      </w:tr>
      <w:tr w:rsidR="009E4C76" w:rsidRPr="00A43C9F" w14:paraId="27B1F8AF" w14:textId="77777777" w:rsidTr="00A43C9F">
        <w:tc>
          <w:tcPr>
            <w:tcW w:w="1235" w:type="pct"/>
            <w:shd w:val="clear" w:color="auto" w:fill="auto"/>
            <w:noWrap/>
          </w:tcPr>
          <w:p w14:paraId="66728ECA" w14:textId="77777777" w:rsidR="009E4C76" w:rsidRPr="006461A7" w:rsidRDefault="009E4C76" w:rsidP="006461A7">
            <w:pPr>
              <w:suppressAutoHyphens w:val="0"/>
              <w:spacing w:before="40" w:after="40" w:line="220" w:lineRule="exact"/>
              <w:jc w:val="right"/>
              <w:rPr>
                <w:sz w:val="18"/>
                <w:lang w:val="fr-FR" w:bidi="ar-QA"/>
              </w:rPr>
            </w:pPr>
            <w:r w:rsidRPr="006461A7">
              <w:rPr>
                <w:sz w:val="18"/>
                <w:lang w:val="fr-FR" w:bidi="ar-QA"/>
              </w:rPr>
              <w:t>6,7</w:t>
            </w:r>
          </w:p>
        </w:tc>
        <w:tc>
          <w:tcPr>
            <w:tcW w:w="1070" w:type="pct"/>
            <w:shd w:val="clear" w:color="auto" w:fill="auto"/>
            <w:noWrap/>
          </w:tcPr>
          <w:p w14:paraId="53DCBF30" w14:textId="77777777" w:rsidR="009E4C76" w:rsidRPr="00A43C9F" w:rsidRDefault="009E4C76" w:rsidP="006461A7">
            <w:pPr>
              <w:suppressAutoHyphens w:val="0"/>
              <w:spacing w:before="40" w:after="40" w:line="220" w:lineRule="exact"/>
              <w:jc w:val="right"/>
              <w:rPr>
                <w:sz w:val="18"/>
                <w:lang w:val="fr-FR" w:bidi="ar-QA"/>
              </w:rPr>
            </w:pPr>
            <w:r w:rsidRPr="00A43C9F">
              <w:rPr>
                <w:sz w:val="18"/>
                <w:lang w:val="fr-FR" w:bidi="ar-QA"/>
              </w:rPr>
              <w:t>5,2</w:t>
            </w:r>
          </w:p>
        </w:tc>
        <w:tc>
          <w:tcPr>
            <w:tcW w:w="1072" w:type="pct"/>
            <w:shd w:val="clear" w:color="auto" w:fill="auto"/>
            <w:noWrap/>
          </w:tcPr>
          <w:p w14:paraId="569F6C2D" w14:textId="77777777" w:rsidR="009E4C76" w:rsidRPr="00A43C9F" w:rsidRDefault="009E4C76" w:rsidP="006461A7">
            <w:pPr>
              <w:suppressAutoHyphens w:val="0"/>
              <w:spacing w:before="40" w:after="40" w:line="220" w:lineRule="exact"/>
              <w:jc w:val="right"/>
              <w:rPr>
                <w:sz w:val="18"/>
                <w:lang w:val="fr-FR" w:bidi="ar-QA"/>
              </w:rPr>
            </w:pPr>
            <w:r w:rsidRPr="00A43C9F">
              <w:rPr>
                <w:sz w:val="18"/>
                <w:lang w:val="fr-FR" w:bidi="ar-QA"/>
              </w:rPr>
              <w:t>8,1</w:t>
            </w:r>
          </w:p>
        </w:tc>
        <w:tc>
          <w:tcPr>
            <w:tcW w:w="1623" w:type="pct"/>
            <w:shd w:val="clear" w:color="auto" w:fill="auto"/>
            <w:vAlign w:val="bottom"/>
          </w:tcPr>
          <w:p w14:paraId="3D05EF16" w14:textId="77777777" w:rsidR="009E4C76" w:rsidRPr="00A43C9F" w:rsidRDefault="009E4C76" w:rsidP="00303A58">
            <w:pPr>
              <w:suppressAutoHyphens w:val="0"/>
              <w:spacing w:before="40" w:after="40" w:line="220" w:lineRule="exact"/>
              <w:rPr>
                <w:sz w:val="18"/>
                <w:lang w:val="fr-FR" w:bidi="ar-QA"/>
              </w:rPr>
            </w:pPr>
            <w:r w:rsidRPr="00A43C9F">
              <w:rPr>
                <w:sz w:val="18"/>
                <w:lang w:val="fr-FR"/>
              </w:rPr>
              <w:t>2013</w:t>
            </w:r>
          </w:p>
        </w:tc>
      </w:tr>
      <w:tr w:rsidR="009E4C76" w:rsidRPr="00A43C9F" w14:paraId="631BA246" w14:textId="77777777" w:rsidTr="00A43C9F">
        <w:tc>
          <w:tcPr>
            <w:tcW w:w="1235" w:type="pct"/>
            <w:shd w:val="clear" w:color="auto" w:fill="auto"/>
            <w:noWrap/>
          </w:tcPr>
          <w:p w14:paraId="719E154F" w14:textId="77777777" w:rsidR="009E4C76" w:rsidRPr="006461A7" w:rsidRDefault="009E4C76" w:rsidP="006461A7">
            <w:pPr>
              <w:suppressAutoHyphens w:val="0"/>
              <w:spacing w:before="40" w:after="40" w:line="220" w:lineRule="exact"/>
              <w:jc w:val="right"/>
              <w:rPr>
                <w:sz w:val="18"/>
                <w:lang w:val="fr-FR" w:bidi="ar-QA"/>
              </w:rPr>
            </w:pPr>
            <w:r w:rsidRPr="006461A7">
              <w:rPr>
                <w:sz w:val="18"/>
                <w:lang w:val="fr-FR" w:bidi="ar-QA"/>
              </w:rPr>
              <w:t>6,6</w:t>
            </w:r>
          </w:p>
        </w:tc>
        <w:tc>
          <w:tcPr>
            <w:tcW w:w="1070" w:type="pct"/>
            <w:shd w:val="clear" w:color="auto" w:fill="auto"/>
            <w:noWrap/>
          </w:tcPr>
          <w:p w14:paraId="58A45954" w14:textId="77777777" w:rsidR="009E4C76" w:rsidRPr="00A43C9F" w:rsidRDefault="009E4C76" w:rsidP="006461A7">
            <w:pPr>
              <w:suppressAutoHyphens w:val="0"/>
              <w:spacing w:before="40" w:after="40" w:line="220" w:lineRule="exact"/>
              <w:jc w:val="right"/>
              <w:rPr>
                <w:sz w:val="18"/>
                <w:lang w:val="fr-FR" w:bidi="ar-QA"/>
              </w:rPr>
            </w:pPr>
            <w:r w:rsidRPr="00A43C9F">
              <w:rPr>
                <w:sz w:val="18"/>
                <w:lang w:val="fr-FR" w:bidi="ar-QA"/>
              </w:rPr>
              <w:t>6,7</w:t>
            </w:r>
          </w:p>
        </w:tc>
        <w:tc>
          <w:tcPr>
            <w:tcW w:w="1072" w:type="pct"/>
            <w:shd w:val="clear" w:color="auto" w:fill="auto"/>
            <w:noWrap/>
          </w:tcPr>
          <w:p w14:paraId="3403DF6E" w14:textId="77777777" w:rsidR="009E4C76" w:rsidRPr="00A43C9F" w:rsidRDefault="009E4C76" w:rsidP="006461A7">
            <w:pPr>
              <w:suppressAutoHyphens w:val="0"/>
              <w:spacing w:before="40" w:after="40" w:line="220" w:lineRule="exact"/>
              <w:jc w:val="right"/>
              <w:rPr>
                <w:sz w:val="18"/>
                <w:lang w:val="fr-FR" w:bidi="ar-QA"/>
              </w:rPr>
            </w:pPr>
            <w:r w:rsidRPr="00A43C9F">
              <w:rPr>
                <w:sz w:val="18"/>
                <w:lang w:val="fr-FR" w:bidi="ar-QA"/>
              </w:rPr>
              <w:t>6,6</w:t>
            </w:r>
          </w:p>
        </w:tc>
        <w:tc>
          <w:tcPr>
            <w:tcW w:w="1623" w:type="pct"/>
            <w:shd w:val="clear" w:color="auto" w:fill="auto"/>
            <w:vAlign w:val="bottom"/>
          </w:tcPr>
          <w:p w14:paraId="139F58BA" w14:textId="77777777" w:rsidR="009E4C76" w:rsidRPr="00A43C9F" w:rsidRDefault="009E4C76" w:rsidP="00303A58">
            <w:pPr>
              <w:suppressAutoHyphens w:val="0"/>
              <w:spacing w:before="40" w:after="40" w:line="220" w:lineRule="exact"/>
              <w:rPr>
                <w:sz w:val="18"/>
                <w:lang w:val="fr-FR" w:bidi="ar-QA"/>
              </w:rPr>
            </w:pPr>
            <w:r w:rsidRPr="00A43C9F">
              <w:rPr>
                <w:sz w:val="18"/>
                <w:lang w:val="fr-FR"/>
              </w:rPr>
              <w:t>2014</w:t>
            </w:r>
          </w:p>
        </w:tc>
      </w:tr>
      <w:tr w:rsidR="009E4C76" w:rsidRPr="00A43C9F" w14:paraId="11FB43EE" w14:textId="77777777" w:rsidTr="00303A58">
        <w:tc>
          <w:tcPr>
            <w:tcW w:w="1235" w:type="pct"/>
            <w:shd w:val="clear" w:color="auto" w:fill="auto"/>
            <w:noWrap/>
          </w:tcPr>
          <w:p w14:paraId="362D34F1" w14:textId="77777777" w:rsidR="009E4C76" w:rsidRPr="006461A7" w:rsidRDefault="009E4C76" w:rsidP="006461A7">
            <w:pPr>
              <w:suppressAutoHyphens w:val="0"/>
              <w:spacing w:before="40" w:after="40" w:line="220" w:lineRule="exact"/>
              <w:jc w:val="right"/>
              <w:rPr>
                <w:sz w:val="18"/>
                <w:lang w:val="fr-FR" w:bidi="ar-QA"/>
              </w:rPr>
            </w:pPr>
            <w:r w:rsidRPr="006461A7">
              <w:rPr>
                <w:sz w:val="18"/>
                <w:lang w:val="fr-FR" w:bidi="ar-QA"/>
              </w:rPr>
              <w:t>7,4</w:t>
            </w:r>
          </w:p>
        </w:tc>
        <w:tc>
          <w:tcPr>
            <w:tcW w:w="1070" w:type="pct"/>
            <w:shd w:val="clear" w:color="auto" w:fill="auto"/>
            <w:noWrap/>
          </w:tcPr>
          <w:p w14:paraId="7F54CF66" w14:textId="77777777" w:rsidR="009E4C76" w:rsidRPr="00A43C9F" w:rsidRDefault="009E4C76" w:rsidP="006461A7">
            <w:pPr>
              <w:suppressAutoHyphens w:val="0"/>
              <w:spacing w:before="40" w:after="40" w:line="220" w:lineRule="exact"/>
              <w:jc w:val="right"/>
              <w:rPr>
                <w:sz w:val="18"/>
                <w:lang w:val="fr-FR" w:bidi="ar-QA"/>
              </w:rPr>
            </w:pPr>
            <w:r w:rsidRPr="00A43C9F">
              <w:rPr>
                <w:sz w:val="18"/>
                <w:lang w:val="fr-FR" w:bidi="ar-QA"/>
              </w:rPr>
              <w:t>7,3</w:t>
            </w:r>
          </w:p>
        </w:tc>
        <w:tc>
          <w:tcPr>
            <w:tcW w:w="1072" w:type="pct"/>
            <w:shd w:val="clear" w:color="auto" w:fill="auto"/>
            <w:noWrap/>
          </w:tcPr>
          <w:p w14:paraId="73A571B0" w14:textId="77777777" w:rsidR="009E4C76" w:rsidRPr="00A43C9F" w:rsidRDefault="009E4C76" w:rsidP="006461A7">
            <w:pPr>
              <w:suppressAutoHyphens w:val="0"/>
              <w:spacing w:before="40" w:after="40" w:line="220" w:lineRule="exact"/>
              <w:jc w:val="right"/>
              <w:rPr>
                <w:sz w:val="18"/>
                <w:lang w:val="fr-FR" w:bidi="ar-QA"/>
              </w:rPr>
            </w:pPr>
            <w:r w:rsidRPr="00A43C9F">
              <w:rPr>
                <w:sz w:val="18"/>
                <w:lang w:val="fr-FR" w:bidi="ar-QA"/>
              </w:rPr>
              <w:t>7,5</w:t>
            </w:r>
          </w:p>
        </w:tc>
        <w:tc>
          <w:tcPr>
            <w:tcW w:w="1623" w:type="pct"/>
            <w:shd w:val="clear" w:color="auto" w:fill="auto"/>
            <w:vAlign w:val="bottom"/>
          </w:tcPr>
          <w:p w14:paraId="2D077409" w14:textId="77777777" w:rsidR="009E4C76" w:rsidRPr="00A43C9F" w:rsidRDefault="009E4C76" w:rsidP="00303A58">
            <w:pPr>
              <w:suppressAutoHyphens w:val="0"/>
              <w:spacing w:before="40" w:after="40" w:line="220" w:lineRule="exact"/>
              <w:rPr>
                <w:sz w:val="18"/>
                <w:lang w:val="fr-FR" w:bidi="ar-QA"/>
              </w:rPr>
            </w:pPr>
            <w:r w:rsidRPr="00A43C9F">
              <w:rPr>
                <w:sz w:val="18"/>
                <w:lang w:val="fr-FR"/>
              </w:rPr>
              <w:t>2015</w:t>
            </w:r>
          </w:p>
        </w:tc>
      </w:tr>
      <w:tr w:rsidR="009E4C76" w:rsidRPr="00A43C9F" w14:paraId="700FABC4" w14:textId="77777777" w:rsidTr="00303A58">
        <w:tc>
          <w:tcPr>
            <w:tcW w:w="1235" w:type="pct"/>
            <w:tcBorders>
              <w:bottom w:val="single" w:sz="12" w:space="0" w:color="auto"/>
            </w:tcBorders>
            <w:shd w:val="clear" w:color="auto" w:fill="auto"/>
            <w:noWrap/>
          </w:tcPr>
          <w:p w14:paraId="6F69BFF3" w14:textId="77777777" w:rsidR="009E4C76" w:rsidRPr="006461A7" w:rsidRDefault="009E4C76" w:rsidP="006461A7">
            <w:pPr>
              <w:suppressAutoHyphens w:val="0"/>
              <w:spacing w:before="40" w:after="40" w:line="220" w:lineRule="exact"/>
              <w:jc w:val="right"/>
              <w:rPr>
                <w:sz w:val="18"/>
                <w:lang w:val="fr-FR" w:bidi="ar-QA"/>
              </w:rPr>
            </w:pPr>
            <w:r w:rsidRPr="006461A7">
              <w:rPr>
                <w:sz w:val="18"/>
                <w:lang w:val="fr-FR" w:bidi="ar-QA"/>
              </w:rPr>
              <w:t>6,0</w:t>
            </w:r>
          </w:p>
        </w:tc>
        <w:tc>
          <w:tcPr>
            <w:tcW w:w="1070" w:type="pct"/>
            <w:tcBorders>
              <w:bottom w:val="single" w:sz="12" w:space="0" w:color="auto"/>
            </w:tcBorders>
            <w:shd w:val="clear" w:color="auto" w:fill="auto"/>
            <w:noWrap/>
          </w:tcPr>
          <w:p w14:paraId="46F5B9D9" w14:textId="77777777" w:rsidR="009E4C76" w:rsidRPr="00A43C9F" w:rsidRDefault="009E4C76" w:rsidP="006461A7">
            <w:pPr>
              <w:suppressAutoHyphens w:val="0"/>
              <w:spacing w:before="40" w:after="40" w:line="220" w:lineRule="exact"/>
              <w:jc w:val="right"/>
              <w:rPr>
                <w:sz w:val="18"/>
                <w:lang w:val="fr-FR" w:bidi="ar-QA"/>
              </w:rPr>
            </w:pPr>
            <w:r w:rsidRPr="00A43C9F">
              <w:rPr>
                <w:sz w:val="18"/>
                <w:lang w:val="fr-FR" w:bidi="ar-QA"/>
              </w:rPr>
              <w:t>6,0</w:t>
            </w:r>
          </w:p>
        </w:tc>
        <w:tc>
          <w:tcPr>
            <w:tcW w:w="1072" w:type="pct"/>
            <w:tcBorders>
              <w:bottom w:val="single" w:sz="12" w:space="0" w:color="auto"/>
            </w:tcBorders>
            <w:shd w:val="clear" w:color="auto" w:fill="auto"/>
            <w:noWrap/>
          </w:tcPr>
          <w:p w14:paraId="5BE79B50" w14:textId="77777777" w:rsidR="009E4C76" w:rsidRPr="00A43C9F" w:rsidRDefault="009E4C76" w:rsidP="006461A7">
            <w:pPr>
              <w:suppressAutoHyphens w:val="0"/>
              <w:spacing w:before="40" w:after="40" w:line="220" w:lineRule="exact"/>
              <w:jc w:val="right"/>
              <w:rPr>
                <w:sz w:val="18"/>
                <w:lang w:val="fr-FR" w:bidi="ar-QA"/>
              </w:rPr>
            </w:pPr>
            <w:r w:rsidRPr="00A43C9F">
              <w:rPr>
                <w:sz w:val="18"/>
                <w:lang w:val="fr-FR" w:bidi="ar-QA"/>
              </w:rPr>
              <w:t>6,0</w:t>
            </w:r>
          </w:p>
        </w:tc>
        <w:tc>
          <w:tcPr>
            <w:tcW w:w="1623" w:type="pct"/>
            <w:tcBorders>
              <w:bottom w:val="single" w:sz="12" w:space="0" w:color="auto"/>
            </w:tcBorders>
            <w:shd w:val="clear" w:color="auto" w:fill="auto"/>
            <w:vAlign w:val="bottom"/>
          </w:tcPr>
          <w:p w14:paraId="5F3E31F7" w14:textId="77777777" w:rsidR="009E4C76" w:rsidRPr="00A43C9F" w:rsidRDefault="009E4C76" w:rsidP="00303A58">
            <w:pPr>
              <w:suppressAutoHyphens w:val="0"/>
              <w:spacing w:before="40" w:after="40" w:line="220" w:lineRule="exact"/>
              <w:rPr>
                <w:sz w:val="18"/>
                <w:lang w:val="fr-FR" w:bidi="ar-QA"/>
              </w:rPr>
            </w:pPr>
            <w:r w:rsidRPr="00A43C9F">
              <w:rPr>
                <w:sz w:val="18"/>
                <w:lang w:val="fr-FR"/>
              </w:rPr>
              <w:t>2016</w:t>
            </w:r>
          </w:p>
        </w:tc>
      </w:tr>
    </w:tbl>
    <w:p w14:paraId="243D72A5" w14:textId="77777777" w:rsidR="009E4C76" w:rsidRPr="00A43C9F" w:rsidRDefault="009E4C76" w:rsidP="00A43C9F">
      <w:pPr>
        <w:pStyle w:val="SingleTxtG"/>
        <w:spacing w:before="120" w:after="240"/>
        <w:ind w:firstLine="170"/>
        <w:rPr>
          <w:sz w:val="18"/>
          <w:szCs w:val="18"/>
        </w:rPr>
      </w:pPr>
      <w:r w:rsidRPr="00A43C9F">
        <w:rPr>
          <w:i/>
          <w:sz w:val="18"/>
          <w:szCs w:val="18"/>
        </w:rPr>
        <w:t>Source</w:t>
      </w:r>
      <w:r w:rsidR="00A43C9F" w:rsidRPr="00A43C9F">
        <w:rPr>
          <w:sz w:val="18"/>
          <w:szCs w:val="18"/>
        </w:rPr>
        <w:t> </w:t>
      </w:r>
      <w:r w:rsidRPr="00A43C9F">
        <w:rPr>
          <w:sz w:val="18"/>
          <w:szCs w:val="18"/>
        </w:rPr>
        <w:t>:</w:t>
      </w:r>
      <w:r w:rsidR="00A43C9F" w:rsidRPr="00A43C9F">
        <w:rPr>
          <w:sz w:val="18"/>
          <w:szCs w:val="18"/>
        </w:rPr>
        <w:t xml:space="preserve"> </w:t>
      </w:r>
      <w:r w:rsidRPr="00A43C9F">
        <w:rPr>
          <w:sz w:val="18"/>
          <w:szCs w:val="18"/>
        </w:rPr>
        <w:t>Ministère de la planification, du développement et des statistiques, bulletin annuel des statistiques de l’état civil, naissances et décès, 2016.</w:t>
      </w:r>
    </w:p>
    <w:p w14:paraId="6463E1E8" w14:textId="77777777" w:rsidR="009E4C76" w:rsidRPr="007F482E" w:rsidRDefault="009E4C76" w:rsidP="007F482E">
      <w:pPr>
        <w:pStyle w:val="SingleTxtG"/>
      </w:pPr>
      <w:r w:rsidRPr="007F482E">
        <w:t>12.</w:t>
      </w:r>
      <w:r w:rsidRPr="007F482E">
        <w:tab/>
        <w:t>Le taux de mortalité infantile est un indicateur efficace, sachant qu’il enregistre le nombre de décès survenus dans</w:t>
      </w:r>
      <w:r w:rsidR="007F482E">
        <w:t xml:space="preserve"> </w:t>
      </w:r>
      <w:r w:rsidRPr="007F482E">
        <w:t xml:space="preserve">la première année de vie pour 1 000 naissances vivantes. Ainsi, le taux de mortalité infantile reflète non seulement l’efficacité des soins prénatals et postnatals, mais constitue aussi un indicateur sûr des conditions sociales, économiques et environnementales dans lesquelles vit un enfant. Les statistiques </w:t>
      </w:r>
      <w:r w:rsidRPr="00D96750">
        <w:t>montrent qu’en</w:t>
      </w:r>
      <w:r w:rsidR="000412AF" w:rsidRPr="00D96750">
        <w:t>tre 2007 et</w:t>
      </w:r>
      <w:r w:rsidRPr="00D96750">
        <w:t xml:space="preserve"> 2016, le taux de mortalité infantile a diminué, passant de 7,1 à 6 pour les</w:t>
      </w:r>
      <w:r w:rsidRPr="007F482E">
        <w:t xml:space="preserve"> deux sexes.</w:t>
      </w:r>
    </w:p>
    <w:p w14:paraId="66DE636F" w14:textId="77777777" w:rsidR="009E4C76" w:rsidRPr="007F482E" w:rsidRDefault="009E4C76" w:rsidP="007F482E">
      <w:pPr>
        <w:pStyle w:val="SingleTxtG"/>
        <w:rPr>
          <w:rtl/>
        </w:rPr>
      </w:pPr>
      <w:r w:rsidRPr="007F482E">
        <w:t>13.</w:t>
      </w:r>
      <w:r w:rsidRPr="007F482E">
        <w:tab/>
        <w:t xml:space="preserve">Une large majorité de la population du Qatar est </w:t>
      </w:r>
      <w:hyperlink r:id="rId12" w:tooltip="الإسلام" w:history="1">
        <w:r w:rsidRPr="007F482E">
          <w:t>musulmane</w:t>
        </w:r>
      </w:hyperlink>
      <w:r w:rsidRPr="007F482E">
        <w:t>, de rite sunnite. D’autres confessions sont également présentes dans le pays, car pour réaliser ses plans de développement ambitieux, le Qatar accueille une importante main-d’œuvre étrangère de différents niveaux et spécialités, originaire de diverses régions du monde, qui représente plus des quatre cinquièmes de la population du pays et dont les membres cohabitent les uns avec les autres nonobstant leurs différences en matière de religion, de culture et de modes de vie. Ainsi, l’expérience du Qatar montre que la forte proportion d’expatriés et la grande diversité de nationalités, de religions et de cultures ne constitue pas un obstacle à la coexistence pacifique entre les différentes composantes de la société, mais représente plutôt un surcroît de richesse pour la société qatarie, qui est de ce fait devenue un exemple de cohabitation entre personnes de diverses croyances et cultures.</w:t>
      </w:r>
    </w:p>
    <w:p w14:paraId="7C999793" w14:textId="77777777" w:rsidR="009E4C76" w:rsidRPr="007F482E" w:rsidRDefault="009E4C76" w:rsidP="007F482E">
      <w:pPr>
        <w:pStyle w:val="H23G"/>
        <w:rPr>
          <w:rtl/>
        </w:rPr>
      </w:pPr>
      <w:bookmarkStart w:id="7" w:name="_Toc282337883"/>
      <w:r w:rsidRPr="007F482E">
        <w:tab/>
      </w:r>
      <w:r w:rsidRPr="007F482E">
        <w:tab/>
        <w:t>Données historiques</w:t>
      </w:r>
      <w:bookmarkEnd w:id="7"/>
    </w:p>
    <w:p w14:paraId="2B58E514" w14:textId="77777777" w:rsidR="009E4C76" w:rsidRPr="007F482E" w:rsidRDefault="009E4C76" w:rsidP="007F482E">
      <w:pPr>
        <w:pStyle w:val="SingleTxtG"/>
      </w:pPr>
      <w:r w:rsidRPr="007F482E">
        <w:t>14.</w:t>
      </w:r>
      <w:r w:rsidRPr="007F482E">
        <w:tab/>
        <w:t>Le règne de la famille Al</w:t>
      </w:r>
      <w:r w:rsidR="007F482E">
        <w:t> </w:t>
      </w:r>
      <w:r w:rsidRPr="007F482E">
        <w:t>Thani au Qatar remonte au début du 18</w:t>
      </w:r>
      <w:r w:rsidRPr="007F482E">
        <w:rPr>
          <w:vertAlign w:val="superscript"/>
        </w:rPr>
        <w:t>e</w:t>
      </w:r>
      <w:r w:rsidR="007F482E">
        <w:t> </w:t>
      </w:r>
      <w:r w:rsidRPr="007F482E">
        <w:t xml:space="preserve">siècle, le </w:t>
      </w:r>
      <w:hyperlink r:id="rId13" w:anchor="jassim#jassim" w:history="1">
        <w:r w:rsidRPr="007F482E">
          <w:t>Cheikh Jassim Bin Mohamed Al</w:t>
        </w:r>
        <w:r w:rsidR="007F482E">
          <w:t> </w:t>
        </w:r>
        <w:r w:rsidRPr="007F482E">
          <w:t>Thani</w:t>
        </w:r>
      </w:hyperlink>
      <w:r w:rsidRPr="007F482E">
        <w:t xml:space="preserve"> qui a régné sur le pays de 1878 à 1913 étant considéré comme le fondateur de l’État moderne du Qatar. La fête nationale du Qatar correspond au 18</w:t>
      </w:r>
      <w:r w:rsidR="00B90CE1">
        <w:t> </w:t>
      </w:r>
      <w:r w:rsidRPr="007F482E">
        <w:t>décembre de chaque année, jour de son accession au pouvoir. Le déclenchement de la</w:t>
      </w:r>
      <w:r w:rsidR="00B90CE1">
        <w:t> P</w:t>
      </w:r>
      <w:r w:rsidRPr="007F482E">
        <w:t xml:space="preserve">remière </w:t>
      </w:r>
      <w:r w:rsidR="00B90CE1">
        <w:t>G</w:t>
      </w:r>
      <w:r w:rsidRPr="007F482E">
        <w:t>uerre mondiale et ses conséquences ont conduit le Qatar à conclure en 1916 un traité avec la Grande-Bretagne aux termes duquel cette dernière s’engageait à assurer la protection du Qatar et de ses habitants. L’influence britannique dans le pays était réduite au contrôle d’un certain nombre de questions administratives jusqu’à l’indépendance du Qatar en 1971.</w:t>
      </w:r>
    </w:p>
    <w:p w14:paraId="0C5901B7" w14:textId="77777777" w:rsidR="009E4C76" w:rsidRPr="007F482E" w:rsidRDefault="009E4C76" w:rsidP="007F482E">
      <w:pPr>
        <w:pStyle w:val="SingleTxtG"/>
        <w:rPr>
          <w:rtl/>
        </w:rPr>
      </w:pPr>
      <w:r w:rsidRPr="007F482E">
        <w:rPr>
          <w:spacing w:val="-1"/>
        </w:rPr>
        <w:t>15.</w:t>
      </w:r>
      <w:r w:rsidRPr="007F482E">
        <w:rPr>
          <w:spacing w:val="-1"/>
        </w:rPr>
        <w:tab/>
        <w:t>Il convient de considérer le Qatar comme un État moderne, sachant notamment que dans le domaine éducatif, la première école de garçons fondée sur un enseignement et des principes pédagogiques modernes a ouvert ses portes au début de l’année scolaire 1950</w:t>
      </w:r>
      <w:r w:rsidR="00DE671C">
        <w:rPr>
          <w:spacing w:val="-1"/>
        </w:rPr>
        <w:t>/</w:t>
      </w:r>
      <w:r w:rsidRPr="007F482E">
        <w:rPr>
          <w:spacing w:val="-1"/>
        </w:rPr>
        <w:t>51</w:t>
      </w:r>
      <w:r w:rsidRPr="007F482E">
        <w:t xml:space="preserve"> et comportait 4 classes primaires pour 190</w:t>
      </w:r>
      <w:r w:rsidR="00B90CE1">
        <w:t> </w:t>
      </w:r>
      <w:r w:rsidRPr="007F482E">
        <w:t>élèves. Pour sa part, la première école primaire de filles a ouvert ses portes au début de l’année scolaire 1953</w:t>
      </w:r>
      <w:r w:rsidR="00DE671C">
        <w:t>/</w:t>
      </w:r>
      <w:r w:rsidRPr="007F482E">
        <w:t>54. Le « Ministère du savoir » a</w:t>
      </w:r>
      <w:r w:rsidR="00B90CE1">
        <w:t> </w:t>
      </w:r>
      <w:r w:rsidRPr="007F482E">
        <w:t>été le premier département ministériel du pays, créé au début de l’année scolaire 1957</w:t>
      </w:r>
      <w:r w:rsidR="00DE671C">
        <w:t>/</w:t>
      </w:r>
      <w:r w:rsidRPr="007F482E">
        <w:t>58. Il a posé les bases du système scolaire universel et gratuit concernant tous les niveaux d’enseignement et a institué l’enseignement primaire obligatoire. Quant à l’enseignement supérieur, il a été lancé en 1973 par la mise en place de deux facultés pour filles et garçons, dont le nombre total ne dépassait guère 150</w:t>
      </w:r>
      <w:r w:rsidR="007F482E">
        <w:t> </w:t>
      </w:r>
      <w:r w:rsidRPr="007F482E">
        <w:t xml:space="preserve">étudiants. L’Université du Qatar (publique) a ensuite vu le jour en 1977. Actuellement, l’Université compte </w:t>
      </w:r>
      <w:r w:rsidR="007F482E">
        <w:t>sept</w:t>
      </w:r>
      <w:r w:rsidRPr="007F482E">
        <w:t xml:space="preserve"> facultés, à savoir la faculté des lettres et des sciences, la faculté d’ingénierie, la faculté de gestion et d’économie, la faculté de la charia et des études islamiques, la faculté de droit, la faculté de l’éducation et la faculté de pharmacie.</w:t>
      </w:r>
    </w:p>
    <w:p w14:paraId="4DA38DF7" w14:textId="77777777" w:rsidR="009E4C76" w:rsidRPr="007F482E" w:rsidRDefault="009E4C76" w:rsidP="007F482E">
      <w:pPr>
        <w:pStyle w:val="SingleTxtG"/>
        <w:rPr>
          <w:rtl/>
        </w:rPr>
      </w:pPr>
      <w:r w:rsidRPr="007F482E">
        <w:t>16.</w:t>
      </w:r>
      <w:r w:rsidRPr="007F482E">
        <w:tab/>
        <w:t>En ce qui concerne le secteur de la santé, le premier hôpital a ouvert ses portes en</w:t>
      </w:r>
      <w:r w:rsidR="007F482E">
        <w:t> </w:t>
      </w:r>
      <w:r w:rsidRPr="007F482E">
        <w:t>1945, suivi par la mise en place d’un service médical public et gratuit en 1951. Un</w:t>
      </w:r>
      <w:r w:rsidR="007F482E">
        <w:t> </w:t>
      </w:r>
      <w:r w:rsidRPr="007F482E">
        <w:t>département de santé publique a été créé en 1953 pour superviser l’ensemble du secteur sanitaire. En 1954, trois centres de santé publique ont vu le jour et tous les citoyens, ainsi que les fonctionnaires non-ressortissants, ont le droit de bénéficier de soins médicaux à</w:t>
      </w:r>
      <w:r w:rsidR="007F482E">
        <w:t> </w:t>
      </w:r>
      <w:r w:rsidRPr="007F482E">
        <w:t>l’étranger, pris en charge par l’État, lorsque ces traitements ne sont pas disponibles à</w:t>
      </w:r>
      <w:r w:rsidR="007F482E">
        <w:t> </w:t>
      </w:r>
      <w:r w:rsidRPr="007F482E">
        <w:t>l’échelle locale. Des hôpitaux publics spécialisés ont continué à voir le jour, bien que le</w:t>
      </w:r>
      <w:r w:rsidR="007F482E">
        <w:t> </w:t>
      </w:r>
      <w:r w:rsidRPr="007F482E">
        <w:t>Ministère de la santé n’ait été créé qu’en 1970.</w:t>
      </w:r>
    </w:p>
    <w:p w14:paraId="168A1752" w14:textId="77777777" w:rsidR="009E4C76" w:rsidRPr="00CE611F" w:rsidRDefault="009E4C76" w:rsidP="007F482E">
      <w:pPr>
        <w:pStyle w:val="SingleTxtG"/>
        <w:rPr>
          <w:lang w:bidi="ar-QA"/>
        </w:rPr>
      </w:pPr>
      <w:r w:rsidRPr="00CE611F">
        <w:rPr>
          <w:lang w:bidi="ar-QA"/>
        </w:rPr>
        <w:t>17.</w:t>
      </w:r>
      <w:r w:rsidRPr="00CE611F">
        <w:rPr>
          <w:lang w:bidi="ar-QA"/>
        </w:rPr>
        <w:tab/>
        <w:t>Le Qatar a connu une croissance globale dans tous les secteurs depuis 1995. L</w:t>
      </w:r>
      <w:r>
        <w:rPr>
          <w:lang w:bidi="ar-QA"/>
        </w:rPr>
        <w:t>’</w:t>
      </w:r>
      <w:r w:rsidRPr="00CE611F">
        <w:rPr>
          <w:lang w:bidi="ar-QA"/>
        </w:rPr>
        <w:t>objectif était d</w:t>
      </w:r>
      <w:r>
        <w:rPr>
          <w:lang w:bidi="ar-QA"/>
        </w:rPr>
        <w:t>’</w:t>
      </w:r>
      <w:r w:rsidRPr="00CE611F">
        <w:rPr>
          <w:lang w:bidi="ar-QA"/>
        </w:rPr>
        <w:t>achever la construction d</w:t>
      </w:r>
      <w:r>
        <w:rPr>
          <w:lang w:bidi="ar-QA"/>
        </w:rPr>
        <w:t>’</w:t>
      </w:r>
      <w:r w:rsidRPr="00CE611F">
        <w:rPr>
          <w:lang w:bidi="ar-QA"/>
        </w:rPr>
        <w:t>un État moderne en renforçant le rôle du</w:t>
      </w:r>
      <w:r w:rsidR="007F482E">
        <w:rPr>
          <w:lang w:bidi="ar-QA"/>
        </w:rPr>
        <w:t> </w:t>
      </w:r>
      <w:r w:rsidRPr="00CE611F">
        <w:rPr>
          <w:lang w:bidi="ar-QA"/>
        </w:rPr>
        <w:t>Conseil de la Shura et de la démocratie et en incitant les citoyens à prendre leur destin en mains et à élaborer les politiques de leur pays. Dans cette perspective, l</w:t>
      </w:r>
      <w:r>
        <w:rPr>
          <w:lang w:bidi="ar-QA"/>
        </w:rPr>
        <w:t>’</w:t>
      </w:r>
      <w:r w:rsidRPr="00CE611F">
        <w:rPr>
          <w:lang w:bidi="ar-QA"/>
        </w:rPr>
        <w:t>Émir a adopté le</w:t>
      </w:r>
      <w:r w:rsidR="007F482E">
        <w:rPr>
          <w:lang w:bidi="ar-QA"/>
        </w:rPr>
        <w:t> </w:t>
      </w:r>
      <w:r w:rsidRPr="00CE611F">
        <w:rPr>
          <w:lang w:bidi="ar-QA"/>
        </w:rPr>
        <w:t xml:space="preserve">décret </w:t>
      </w:r>
      <w:r w:rsidR="007F482E">
        <w:rPr>
          <w:lang w:bidi="ar-QA"/>
        </w:rPr>
        <w:t>n</w:t>
      </w:r>
      <w:r w:rsidR="007F482E" w:rsidRPr="007F482E">
        <w:rPr>
          <w:vertAlign w:val="superscript"/>
          <w:lang w:bidi="ar-QA"/>
        </w:rPr>
        <w:t>o</w:t>
      </w:r>
      <w:r w:rsidR="007F482E">
        <w:rPr>
          <w:lang w:bidi="ar-QA"/>
        </w:rPr>
        <w:t> </w:t>
      </w:r>
      <w:r w:rsidRPr="00CE611F">
        <w:rPr>
          <w:lang w:bidi="ar-QA"/>
        </w:rPr>
        <w:t>11 de 1999, portant création d</w:t>
      </w:r>
      <w:r>
        <w:rPr>
          <w:lang w:bidi="ar-QA"/>
        </w:rPr>
        <w:t>’</w:t>
      </w:r>
      <w:r w:rsidRPr="00CE611F">
        <w:rPr>
          <w:lang w:bidi="ar-QA"/>
        </w:rPr>
        <w:t>un comité d</w:t>
      </w:r>
      <w:r>
        <w:rPr>
          <w:lang w:bidi="ar-QA"/>
        </w:rPr>
        <w:t>’</w:t>
      </w:r>
      <w:r w:rsidRPr="00CE611F">
        <w:rPr>
          <w:lang w:bidi="ar-QA"/>
        </w:rPr>
        <w:t>élaboration de la Constitution permanente, dont la rédaction a été achevée en 2002. En avril 2003, le peuple du Qatar dans son ensemble (hommes et femmes) a doté le pays d</w:t>
      </w:r>
      <w:r>
        <w:rPr>
          <w:lang w:bidi="ar-QA"/>
        </w:rPr>
        <w:t>’</w:t>
      </w:r>
      <w:r w:rsidRPr="00CE611F">
        <w:rPr>
          <w:lang w:bidi="ar-QA"/>
        </w:rPr>
        <w:t>une Constitution permanente lors d</w:t>
      </w:r>
      <w:r>
        <w:rPr>
          <w:lang w:bidi="ar-QA"/>
        </w:rPr>
        <w:t>’</w:t>
      </w:r>
      <w:r w:rsidRPr="00CE611F">
        <w:rPr>
          <w:lang w:bidi="ar-QA"/>
        </w:rPr>
        <w:t>un référendum approuvé par 96,64°% des électeurs ayant le droit de vote.</w:t>
      </w:r>
    </w:p>
    <w:p w14:paraId="4AAD6F6B" w14:textId="77777777" w:rsidR="009E4C76" w:rsidRPr="00CE611F" w:rsidRDefault="009E4C76" w:rsidP="007F482E">
      <w:pPr>
        <w:pStyle w:val="SingleTxtG"/>
        <w:rPr>
          <w:rtl/>
          <w:lang w:bidi="fr-FR"/>
        </w:rPr>
      </w:pPr>
      <w:r w:rsidRPr="00CE611F">
        <w:t>18.</w:t>
      </w:r>
      <w:r w:rsidRPr="00CE611F">
        <w:tab/>
      </w:r>
      <w:r w:rsidRPr="00CE611F">
        <w:rPr>
          <w:lang w:bidi="ar-QA"/>
        </w:rPr>
        <w:t>En se fondant sur la Constitution et sur une volonté politique résolue, le Qatar s</w:t>
      </w:r>
      <w:r>
        <w:rPr>
          <w:lang w:bidi="ar-QA"/>
        </w:rPr>
        <w:t>’</w:t>
      </w:r>
      <w:r w:rsidRPr="00CE611F">
        <w:rPr>
          <w:lang w:bidi="ar-QA"/>
        </w:rPr>
        <w:t>est employé à promouvoir l</w:t>
      </w:r>
      <w:r>
        <w:rPr>
          <w:lang w:bidi="ar-QA"/>
        </w:rPr>
        <w:t>’</w:t>
      </w:r>
      <w:r w:rsidRPr="00CE611F">
        <w:rPr>
          <w:lang w:bidi="ar-QA"/>
        </w:rPr>
        <w:t>égalité des sexes selon une approche progressive intégrant les nobles valeurs de l</w:t>
      </w:r>
      <w:r>
        <w:rPr>
          <w:lang w:bidi="ar-QA"/>
        </w:rPr>
        <w:t>’</w:t>
      </w:r>
      <w:r w:rsidRPr="00CE611F">
        <w:rPr>
          <w:lang w:bidi="ar-QA"/>
        </w:rPr>
        <w:t>islam et les exigences de l</w:t>
      </w:r>
      <w:r>
        <w:rPr>
          <w:lang w:bidi="ar-QA"/>
        </w:rPr>
        <w:t>’</w:t>
      </w:r>
      <w:r w:rsidRPr="00CE611F">
        <w:rPr>
          <w:lang w:bidi="ar-QA"/>
        </w:rPr>
        <w:t>ouverture et de la modernité. La question de l</w:t>
      </w:r>
      <w:r>
        <w:rPr>
          <w:lang w:bidi="ar-QA"/>
        </w:rPr>
        <w:t>’</w:t>
      </w:r>
      <w:r w:rsidRPr="00CE611F">
        <w:rPr>
          <w:lang w:bidi="ar-QA"/>
        </w:rPr>
        <w:t>intégration des femmes dans le processus de développement en tant que contributrices et bénéficiaires de ses fruits est devenue une priorité nationale. Cela a contribué à faire passer le taux d</w:t>
      </w:r>
      <w:r>
        <w:rPr>
          <w:lang w:bidi="ar-QA"/>
        </w:rPr>
        <w:t>’</w:t>
      </w:r>
      <w:r w:rsidRPr="00CE611F">
        <w:rPr>
          <w:lang w:bidi="ar-QA"/>
        </w:rPr>
        <w:t>activité de la population féminine du pays à plus de 36 %, soit l</w:t>
      </w:r>
      <w:r>
        <w:rPr>
          <w:lang w:bidi="ar-QA"/>
        </w:rPr>
        <w:t>’</w:t>
      </w:r>
      <w:r w:rsidRPr="00CE611F">
        <w:rPr>
          <w:lang w:bidi="ar-QA"/>
        </w:rPr>
        <w:t>un des taux les plus élevés des pays arabes, sachant que les femmes accèdent également aux plus hauts postes de décision. Ainsi, plusieurs Qataries ont occupé des postes ministériels, la première d</w:t>
      </w:r>
      <w:r>
        <w:rPr>
          <w:lang w:bidi="ar-QA"/>
        </w:rPr>
        <w:t>’</w:t>
      </w:r>
      <w:r w:rsidRPr="00CE611F">
        <w:rPr>
          <w:lang w:bidi="ar-QA"/>
        </w:rPr>
        <w:t>entre elles étant S.</w:t>
      </w:r>
      <w:r w:rsidR="007F482E">
        <w:rPr>
          <w:lang w:bidi="ar-QA"/>
        </w:rPr>
        <w:t> </w:t>
      </w:r>
      <w:r w:rsidRPr="00CE611F">
        <w:rPr>
          <w:lang w:bidi="ar-QA"/>
        </w:rPr>
        <w:t>E.</w:t>
      </w:r>
      <w:r w:rsidR="007F482E">
        <w:rPr>
          <w:lang w:bidi="ar-QA"/>
        </w:rPr>
        <w:t> </w:t>
      </w:r>
      <w:r w:rsidRPr="00CE611F">
        <w:rPr>
          <w:lang w:bidi="ar-QA"/>
        </w:rPr>
        <w:t>Sheikha Al Mahmoud, nommée Ministre de l</w:t>
      </w:r>
      <w:r>
        <w:rPr>
          <w:lang w:bidi="ar-QA"/>
        </w:rPr>
        <w:t>’</w:t>
      </w:r>
      <w:r w:rsidRPr="00CE611F">
        <w:rPr>
          <w:lang w:bidi="ar-QA"/>
        </w:rPr>
        <w:t>éducation du Qatar en</w:t>
      </w:r>
      <w:r w:rsidR="007F482E">
        <w:rPr>
          <w:lang w:bidi="ar-QA"/>
        </w:rPr>
        <w:t> </w:t>
      </w:r>
      <w:r w:rsidRPr="00CE611F">
        <w:rPr>
          <w:lang w:bidi="ar-QA"/>
        </w:rPr>
        <w:t>2003 et première femme titulaire d</w:t>
      </w:r>
      <w:r>
        <w:rPr>
          <w:lang w:bidi="ar-QA"/>
        </w:rPr>
        <w:t>’</w:t>
      </w:r>
      <w:r w:rsidRPr="00CE611F">
        <w:rPr>
          <w:lang w:bidi="ar-QA"/>
        </w:rPr>
        <w:t>un portefeuille ministériel dans un État du Golfe jusqu</w:t>
      </w:r>
      <w:r>
        <w:rPr>
          <w:lang w:bidi="ar-QA"/>
        </w:rPr>
        <w:t>’</w:t>
      </w:r>
      <w:r w:rsidRPr="00CE611F">
        <w:rPr>
          <w:lang w:bidi="ar-QA"/>
        </w:rPr>
        <w:t>en 2009. Depuis, d</w:t>
      </w:r>
      <w:r>
        <w:rPr>
          <w:lang w:bidi="ar-QA"/>
        </w:rPr>
        <w:t>’</w:t>
      </w:r>
      <w:r w:rsidRPr="00CE611F">
        <w:rPr>
          <w:lang w:bidi="ar-QA"/>
        </w:rPr>
        <w:t>autres femmes ont occupé des fauteuils ministériels au Qatar, tels que celui de la santé publique et celui des communications et des technologies de l</w:t>
      </w:r>
      <w:r>
        <w:rPr>
          <w:lang w:bidi="ar-QA"/>
        </w:rPr>
        <w:t>’</w:t>
      </w:r>
      <w:r w:rsidRPr="00CE611F">
        <w:rPr>
          <w:lang w:bidi="ar-QA"/>
        </w:rPr>
        <w:t>information.</w:t>
      </w:r>
      <w:r w:rsidRPr="00CE611F">
        <w:t xml:space="preserve"> En outre, la nomination de quatre femmes au Conseil de la Shura (décret de l</w:t>
      </w:r>
      <w:r>
        <w:t>’</w:t>
      </w:r>
      <w:r w:rsidRPr="00CE611F">
        <w:t xml:space="preserve">Émir </w:t>
      </w:r>
      <w:r w:rsidR="007F482E">
        <w:t>n</w:t>
      </w:r>
      <w:r w:rsidR="007F482E" w:rsidRPr="007F482E">
        <w:rPr>
          <w:vertAlign w:val="superscript"/>
        </w:rPr>
        <w:t>o</w:t>
      </w:r>
      <w:r w:rsidR="007F482E">
        <w:t> </w:t>
      </w:r>
      <w:r w:rsidRPr="00CE611F">
        <w:t>22 de 2017) témoigne de l</w:t>
      </w:r>
      <w:r>
        <w:t>’</w:t>
      </w:r>
      <w:r w:rsidRPr="00CE611F">
        <w:t>importance accordée au rôle de la femme au sein de l</w:t>
      </w:r>
      <w:r>
        <w:t>’</w:t>
      </w:r>
      <w:r w:rsidRPr="00CE611F">
        <w:t>appareil législatif d</w:t>
      </w:r>
      <w:r>
        <w:t>’</w:t>
      </w:r>
      <w:r w:rsidRPr="00CE611F">
        <w:t>État, ainsi qu</w:t>
      </w:r>
      <w:r>
        <w:t>’</w:t>
      </w:r>
      <w:r w:rsidRPr="00CE611F">
        <w:t>à ses droits consacrés par la Constitution.</w:t>
      </w:r>
    </w:p>
    <w:p w14:paraId="7A983269" w14:textId="77777777" w:rsidR="009E4C76" w:rsidRPr="00CE611F" w:rsidRDefault="009E4C76" w:rsidP="007F482E">
      <w:pPr>
        <w:pStyle w:val="SingleTxtG"/>
        <w:rPr>
          <w:lang w:bidi="ar-QA"/>
        </w:rPr>
      </w:pPr>
      <w:r w:rsidRPr="00CE611F">
        <w:rPr>
          <w:lang w:bidi="ar-QA"/>
        </w:rPr>
        <w:t>19.</w:t>
      </w:r>
      <w:r w:rsidRPr="00CE611F">
        <w:rPr>
          <w:lang w:bidi="ar-QA"/>
        </w:rPr>
        <w:tab/>
        <w:t>Le décret de l</w:t>
      </w:r>
      <w:r>
        <w:rPr>
          <w:lang w:bidi="ar-QA"/>
        </w:rPr>
        <w:t>’</w:t>
      </w:r>
      <w:r w:rsidRPr="00CE611F">
        <w:rPr>
          <w:lang w:bidi="ar-QA"/>
        </w:rPr>
        <w:t xml:space="preserve">Émir </w:t>
      </w:r>
      <w:r w:rsidR="007F482E">
        <w:rPr>
          <w:lang w:bidi="ar-QA"/>
        </w:rPr>
        <w:t>n</w:t>
      </w:r>
      <w:r w:rsidR="007F482E" w:rsidRPr="007F482E">
        <w:rPr>
          <w:vertAlign w:val="superscript"/>
          <w:lang w:bidi="ar-QA"/>
        </w:rPr>
        <w:t>o</w:t>
      </w:r>
      <w:r w:rsidR="007F482E">
        <w:rPr>
          <w:lang w:bidi="ar-QA"/>
        </w:rPr>
        <w:t> </w:t>
      </w:r>
      <w:r w:rsidRPr="00CE611F">
        <w:rPr>
          <w:lang w:bidi="ar-QA"/>
        </w:rPr>
        <w:t>44 de 2008 portant adoption de la vision globale du développement, intitulée « Vision nationale du Qatar pour 2030 », a été édicté et son entrée en vigueur, ainsi que sa publication au Journal officiel, ont eu lieu. L</w:t>
      </w:r>
      <w:r>
        <w:rPr>
          <w:lang w:bidi="ar-QA"/>
        </w:rPr>
        <w:t>’</w:t>
      </w:r>
      <w:r w:rsidRPr="00CE611F">
        <w:rPr>
          <w:lang w:bidi="ar-QA"/>
        </w:rPr>
        <w:t>objectif de la « Vision » est de transformer le Qatar en un pays avancé capable d</w:t>
      </w:r>
      <w:r>
        <w:rPr>
          <w:lang w:bidi="ar-QA"/>
        </w:rPr>
        <w:t>’</w:t>
      </w:r>
      <w:r w:rsidRPr="00CE611F">
        <w:rPr>
          <w:lang w:bidi="ar-QA"/>
        </w:rPr>
        <w:t>atteindre un développement durable. La « Vision nationale du Qatar » se fonde sur les principes de la</w:t>
      </w:r>
      <w:r w:rsidR="007F482E">
        <w:rPr>
          <w:lang w:bidi="ar-QA"/>
        </w:rPr>
        <w:t> </w:t>
      </w:r>
      <w:r w:rsidRPr="00CE611F">
        <w:rPr>
          <w:lang w:bidi="ar-QA"/>
        </w:rPr>
        <w:t>Constitution et les orientations des dirigeants politiques ; elle vise à établir une société basée sur la justice, l</w:t>
      </w:r>
      <w:r>
        <w:rPr>
          <w:lang w:bidi="ar-QA"/>
        </w:rPr>
        <w:t>’</w:t>
      </w:r>
      <w:r w:rsidRPr="00CE611F">
        <w:rPr>
          <w:lang w:bidi="ar-QA"/>
        </w:rPr>
        <w:t>équité, l</w:t>
      </w:r>
      <w:r>
        <w:rPr>
          <w:lang w:bidi="ar-QA"/>
        </w:rPr>
        <w:t>’</w:t>
      </w:r>
      <w:r w:rsidRPr="00CE611F">
        <w:rPr>
          <w:lang w:bidi="ar-QA"/>
        </w:rPr>
        <w:t>égalité et la protection des libertés publiques, des valeurs éthiques et religieuses et des traditions, ainsi que sur l</w:t>
      </w:r>
      <w:r>
        <w:rPr>
          <w:lang w:bidi="ar-QA"/>
        </w:rPr>
        <w:t>’</w:t>
      </w:r>
      <w:r w:rsidRPr="00CE611F">
        <w:rPr>
          <w:lang w:bidi="ar-QA"/>
        </w:rPr>
        <w:t>égalité des chances et l</w:t>
      </w:r>
      <w:r>
        <w:rPr>
          <w:lang w:bidi="ar-QA"/>
        </w:rPr>
        <w:t>’</w:t>
      </w:r>
      <w:r w:rsidRPr="00CE611F">
        <w:rPr>
          <w:lang w:bidi="ar-QA"/>
        </w:rPr>
        <w:t>instauration de la sécurité et de la stabilité.</w:t>
      </w:r>
    </w:p>
    <w:p w14:paraId="3BD2DE7B" w14:textId="77777777" w:rsidR="009E4C76" w:rsidRPr="00CE611F" w:rsidRDefault="009E4C76" w:rsidP="007F482E">
      <w:pPr>
        <w:pStyle w:val="SingleTxtG"/>
        <w:rPr>
          <w:rtl/>
          <w:lang w:bidi="fr-FR"/>
        </w:rPr>
      </w:pPr>
      <w:r w:rsidRPr="00CE611F">
        <w:rPr>
          <w:lang w:bidi="ar-QA"/>
        </w:rPr>
        <w:t>20.</w:t>
      </w:r>
      <w:r w:rsidRPr="00CE611F">
        <w:rPr>
          <w:lang w:bidi="ar-QA"/>
        </w:rPr>
        <w:tab/>
        <w:t>La « Vision » repose sur quatre piliers, dont le premier concerne le développement humain de la population du Qatar, afin qu</w:t>
      </w:r>
      <w:r>
        <w:rPr>
          <w:lang w:bidi="ar-QA"/>
        </w:rPr>
        <w:t>’</w:t>
      </w:r>
      <w:r w:rsidRPr="00CE611F">
        <w:rPr>
          <w:lang w:bidi="ar-QA"/>
        </w:rPr>
        <w:t>elle soit en mesure de construire une société prospère. Le deuxième pilier consiste à assurer le développement social, en vue d</w:t>
      </w:r>
      <w:r>
        <w:rPr>
          <w:lang w:bidi="ar-QA"/>
        </w:rPr>
        <w:t>’</w:t>
      </w:r>
      <w:r w:rsidRPr="00CE611F">
        <w:rPr>
          <w:lang w:bidi="ar-QA"/>
        </w:rPr>
        <w:t>édifier une société juste et sûre, fondée sur le respect des valeurs morales et la protection sociale, capable de communiquer et d</w:t>
      </w:r>
      <w:r>
        <w:rPr>
          <w:lang w:bidi="ar-QA"/>
        </w:rPr>
        <w:t>’</w:t>
      </w:r>
      <w:r w:rsidRPr="00CE611F">
        <w:rPr>
          <w:lang w:bidi="ar-QA"/>
        </w:rPr>
        <w:t>interagir avec les autres communautés. Le troisième pilier est le développement économique, visant à construire une économie nationale compétitive et diversifiée capable de répondre aux besoins des citoyens de l</w:t>
      </w:r>
      <w:r>
        <w:rPr>
          <w:lang w:bidi="ar-QA"/>
        </w:rPr>
        <w:t>’</w:t>
      </w:r>
      <w:r w:rsidRPr="00CE611F">
        <w:rPr>
          <w:lang w:bidi="ar-QA"/>
        </w:rPr>
        <w:t>État du Qatar. Le quatrième pilier est représenté par le développement environnemental, pour concilier le développement économique et social avec la protection de l</w:t>
      </w:r>
      <w:r>
        <w:rPr>
          <w:lang w:bidi="ar-QA"/>
        </w:rPr>
        <w:t>’</w:t>
      </w:r>
      <w:r w:rsidRPr="00CE611F">
        <w:rPr>
          <w:lang w:bidi="ar-QA"/>
        </w:rPr>
        <w:t>environnement. La « Vision » permet également de définir les orientations générales d</w:t>
      </w:r>
      <w:r>
        <w:rPr>
          <w:lang w:bidi="ar-QA"/>
        </w:rPr>
        <w:t>’</w:t>
      </w:r>
      <w:r w:rsidRPr="00CE611F">
        <w:rPr>
          <w:lang w:bidi="ar-QA"/>
        </w:rPr>
        <w:t xml:space="preserve">élaboration des futures stratégies et de leurs plans de mise en </w:t>
      </w:r>
      <w:r w:rsidR="007F482E" w:rsidRPr="00CE611F">
        <w:rPr>
          <w:lang w:bidi="ar-QA"/>
        </w:rPr>
        <w:t>œuvre</w:t>
      </w:r>
      <w:r w:rsidRPr="00CE611F">
        <w:rPr>
          <w:lang w:bidi="ar-QA"/>
        </w:rPr>
        <w:t>.</w:t>
      </w:r>
      <w:bookmarkStart w:id="8" w:name="_Toc282337884"/>
    </w:p>
    <w:p w14:paraId="23ADE3BC" w14:textId="77777777" w:rsidR="009E4C76" w:rsidRPr="00CE611F" w:rsidRDefault="009E4C76" w:rsidP="007F482E">
      <w:pPr>
        <w:pStyle w:val="SingleTxtG"/>
        <w:rPr>
          <w:rtl/>
          <w:lang w:bidi="fr-FR"/>
        </w:rPr>
      </w:pPr>
      <w:r w:rsidRPr="00CE611F">
        <w:t>21.</w:t>
      </w:r>
      <w:r w:rsidRPr="00CE611F">
        <w:tab/>
        <w:t xml:space="preserve">La « Vision nationale » et les diverses stratégies destinées à la mettre en </w:t>
      </w:r>
      <w:r w:rsidR="003054A0">
        <w:t xml:space="preserve">œuvre </w:t>
      </w:r>
      <w:r w:rsidRPr="00CE611F">
        <w:t>constituent un cadre solide propice à la réalisation des droits de l</w:t>
      </w:r>
      <w:r>
        <w:t>’</w:t>
      </w:r>
      <w:r w:rsidRPr="00CE611F">
        <w:t>homme inscrits dans les instruments internationaux ; l</w:t>
      </w:r>
      <w:r>
        <w:t>’</w:t>
      </w:r>
      <w:r w:rsidRPr="00CE611F">
        <w:t>exécution de ces programmes faisant principalement l</w:t>
      </w:r>
      <w:r>
        <w:t>’</w:t>
      </w:r>
      <w:r w:rsidRPr="00CE611F">
        <w:t xml:space="preserve">objet de </w:t>
      </w:r>
      <w:r w:rsidRPr="00CE611F">
        <w:rPr>
          <w:bCs/>
        </w:rPr>
        <w:t>la première Stratégie nationale de développement (2011-2016) et de la deuxième Stratégie nationale de développement (2018-2022),</w:t>
      </w:r>
      <w:r w:rsidRPr="00CE611F">
        <w:rPr>
          <w:b/>
        </w:rPr>
        <w:t xml:space="preserve"> </w:t>
      </w:r>
      <w:r w:rsidRPr="00CE611F">
        <w:t>auxquelles s</w:t>
      </w:r>
      <w:r>
        <w:t>’</w:t>
      </w:r>
      <w:r w:rsidRPr="00CE611F">
        <w:t>ajoutent d</w:t>
      </w:r>
      <w:r>
        <w:t>’</w:t>
      </w:r>
      <w:r w:rsidRPr="00CE611F">
        <w:t>autres politiques sectorielles, parmi lesquelles il convient notamment de citer les suivantes :</w:t>
      </w:r>
    </w:p>
    <w:p w14:paraId="61066EF9" w14:textId="77777777" w:rsidR="007F482E" w:rsidRPr="008F3A82" w:rsidRDefault="007F482E" w:rsidP="009E4C76">
      <w:pPr>
        <w:pStyle w:val="Bullet1G"/>
        <w:rPr>
          <w:spacing w:val="-1"/>
          <w:lang w:val="fr-FR" w:bidi="fr-FR"/>
        </w:rPr>
      </w:pPr>
      <w:r w:rsidRPr="008F3A82">
        <w:rPr>
          <w:spacing w:val="-1"/>
          <w:lang w:val="fr-FR"/>
        </w:rPr>
        <w:t>L</w:t>
      </w:r>
      <w:r w:rsidR="009E4C76" w:rsidRPr="008F3A82">
        <w:rPr>
          <w:spacing w:val="-1"/>
          <w:lang w:val="fr-FR"/>
        </w:rPr>
        <w:t>a</w:t>
      </w:r>
      <w:r w:rsidR="009E4C76" w:rsidRPr="002C62F4">
        <w:rPr>
          <w:spacing w:val="-1"/>
          <w:lang w:val="fr-FR"/>
        </w:rPr>
        <w:t xml:space="preserve"> </w:t>
      </w:r>
      <w:r w:rsidR="009E4C76" w:rsidRPr="008F3A82">
        <w:rPr>
          <w:bCs/>
          <w:spacing w:val="-1"/>
          <w:lang w:val="fr-FR"/>
        </w:rPr>
        <w:t>Stratégie de l’emploi (2018-2022),</w:t>
      </w:r>
      <w:r w:rsidR="009E4C76" w:rsidRPr="008F3A82">
        <w:rPr>
          <w:spacing w:val="-1"/>
        </w:rPr>
        <w:t xml:space="preserve"> </w:t>
      </w:r>
      <w:r w:rsidR="009E4C76" w:rsidRPr="008F3A82">
        <w:rPr>
          <w:spacing w:val="-1"/>
          <w:lang w:val="fr-FR"/>
        </w:rPr>
        <w:t>qui vise à mettre en place un marché du travail compétitif permettant à tous les habitants du Qatar de participer au développement, d’édifier une société prospère et de répondre aux besoins des générations actuelles sans compromettre la capacité des générations futures à répondre aux leurs, grâce à la participation effective des travailleurs au marché du travail, à l’augmentation de la productivité, au recrutement et au maintien d’une main d’</w:t>
      </w:r>
      <w:r w:rsidRPr="008F3A82">
        <w:rPr>
          <w:spacing w:val="-1"/>
          <w:lang w:val="fr-FR"/>
        </w:rPr>
        <w:t>œuvre</w:t>
      </w:r>
      <w:r w:rsidR="009E4C76" w:rsidRPr="008F3A82">
        <w:rPr>
          <w:spacing w:val="-1"/>
          <w:lang w:val="fr-FR"/>
        </w:rPr>
        <w:t xml:space="preserve"> hautement qualifiée, ainsi qu’à la mise en place d’un système d’information moderne et transparent </w:t>
      </w:r>
      <w:r w:rsidR="009E4C76" w:rsidRPr="008F3A82">
        <w:rPr>
          <w:lang w:val="fr-FR"/>
        </w:rPr>
        <w:t>fournissant des données sur les offres et les demandes d’emploi et de formation</w:t>
      </w:r>
      <w:r w:rsidRPr="008F3A82">
        <w:rPr>
          <w:lang w:val="fr-FR"/>
        </w:rPr>
        <w:t> ;</w:t>
      </w:r>
    </w:p>
    <w:p w14:paraId="4EDC31D4" w14:textId="77777777" w:rsidR="009E4C76" w:rsidRPr="008F3A82" w:rsidRDefault="007F482E" w:rsidP="007F482E">
      <w:pPr>
        <w:pStyle w:val="Bullet1G"/>
        <w:rPr>
          <w:spacing w:val="-2"/>
          <w:rtl/>
          <w:lang w:val="fr-FR" w:bidi="fr-FR"/>
        </w:rPr>
      </w:pPr>
      <w:r w:rsidRPr="008F3A82">
        <w:rPr>
          <w:spacing w:val="-2"/>
        </w:rPr>
        <w:t>L</w:t>
      </w:r>
      <w:r w:rsidR="009E4C76" w:rsidRPr="008F3A82">
        <w:rPr>
          <w:spacing w:val="-2"/>
        </w:rPr>
        <w:t>a</w:t>
      </w:r>
      <w:r w:rsidR="009E4C76" w:rsidRPr="002C62F4">
        <w:rPr>
          <w:spacing w:val="-2"/>
          <w:lang w:val="fr-FR"/>
        </w:rPr>
        <w:t xml:space="preserve"> </w:t>
      </w:r>
      <w:r w:rsidR="009E4C76" w:rsidRPr="008F3A82">
        <w:rPr>
          <w:spacing w:val="-2"/>
          <w:lang w:val="fr-FR"/>
        </w:rPr>
        <w:t xml:space="preserve">Stratégie de la cohésion familiale et de l’autonomisation de la femme (2011-2016), qui a pour but de renforcer la cohésion familiale, de rationaliser le recours aux employés de maison, de réduire la violence domestique, d’apporter protection et soutien aux familles touchées par la violence, de soutenir et d’aider les familles vivant dans de mauvaises conditions économiques et sociales, d’apporter aide et soutien aux femmes afin qu’elles puissent concilier leurs responsabilités professionnelles et </w:t>
      </w:r>
      <w:r w:rsidR="009E4C76" w:rsidRPr="008F3A82">
        <w:rPr>
          <w:lang w:val="fr-FR"/>
        </w:rPr>
        <w:t>familiales et de promouvoir l’autonomisation des femmes dans tous les domaines</w:t>
      </w:r>
      <w:r w:rsidRPr="008F3A82">
        <w:rPr>
          <w:lang w:val="fr-FR"/>
        </w:rPr>
        <w:t> ;</w:t>
      </w:r>
    </w:p>
    <w:p w14:paraId="70707704" w14:textId="77777777" w:rsidR="009E4C76" w:rsidRPr="00CE611F" w:rsidRDefault="007F482E" w:rsidP="007F482E">
      <w:pPr>
        <w:pStyle w:val="Bullet1G"/>
        <w:rPr>
          <w:lang w:val="fr-FR"/>
        </w:rPr>
      </w:pPr>
      <w:r>
        <w:rPr>
          <w:lang w:val="fr-FR"/>
        </w:rPr>
        <w:t>L</w:t>
      </w:r>
      <w:r w:rsidR="009E4C76" w:rsidRPr="00CE611F">
        <w:rPr>
          <w:lang w:val="fr-FR"/>
        </w:rPr>
        <w:t>a</w:t>
      </w:r>
      <w:r w:rsidR="009E4C76" w:rsidRPr="002C62F4">
        <w:rPr>
          <w:lang w:val="fr-FR"/>
        </w:rPr>
        <w:t xml:space="preserve"> </w:t>
      </w:r>
      <w:r w:rsidR="009E4C76" w:rsidRPr="00CE611F">
        <w:rPr>
          <w:bCs/>
          <w:lang w:val="fr-FR"/>
        </w:rPr>
        <w:t>Stratégie nationale pour la santé (2018-2022),</w:t>
      </w:r>
      <w:r w:rsidR="009E4C76" w:rsidRPr="00CE611F">
        <w:rPr>
          <w:lang w:val="fr-FR"/>
        </w:rPr>
        <w:t xml:space="preserve"> qui a pour objectif d</w:t>
      </w:r>
      <w:r w:rsidR="009E4C76">
        <w:rPr>
          <w:lang w:val="fr-FR"/>
        </w:rPr>
        <w:t>’</w:t>
      </w:r>
      <w:r w:rsidR="009E4C76" w:rsidRPr="00CE611F">
        <w:rPr>
          <w:lang w:val="fr-FR"/>
        </w:rPr>
        <w:t>apporter des changements au système de santé, en vue d</w:t>
      </w:r>
      <w:r w:rsidR="009E4C76">
        <w:rPr>
          <w:lang w:val="fr-FR"/>
        </w:rPr>
        <w:t>’</w:t>
      </w:r>
      <w:r w:rsidR="009E4C76" w:rsidRPr="00CE611F">
        <w:rPr>
          <w:lang w:val="fr-FR"/>
        </w:rPr>
        <w:t>une protection généralisée effective, à</w:t>
      </w:r>
      <w:r w:rsidR="00C47984">
        <w:rPr>
          <w:lang w:val="fr-FR"/>
        </w:rPr>
        <w:t> </w:t>
      </w:r>
      <w:r w:rsidR="009E4C76" w:rsidRPr="00CE611F">
        <w:rPr>
          <w:lang w:val="fr-FR"/>
        </w:rPr>
        <w:t>un coût raisonnable par rapport au reste du monde, accessible à tous et tenant compte des besoins des différents groupes de la population (hommes, femmes et enfants), qui se décline en 35</w:t>
      </w:r>
      <w:r>
        <w:rPr>
          <w:lang w:val="fr-FR"/>
        </w:rPr>
        <w:t> </w:t>
      </w:r>
      <w:r w:rsidR="009E4C76" w:rsidRPr="00CE611F">
        <w:rPr>
          <w:lang w:val="fr-FR"/>
        </w:rPr>
        <w:t>projets</w:t>
      </w:r>
      <w:r>
        <w:rPr>
          <w:lang w:val="fr-FR"/>
        </w:rPr>
        <w:t> ;</w:t>
      </w:r>
    </w:p>
    <w:p w14:paraId="2592CEF6" w14:textId="77777777" w:rsidR="009E4C76" w:rsidRPr="00CE611F" w:rsidRDefault="007F482E" w:rsidP="007F482E">
      <w:pPr>
        <w:pStyle w:val="Bullet1G"/>
        <w:rPr>
          <w:rtl/>
          <w:lang w:val="fr-FR" w:bidi="fr-FR"/>
        </w:rPr>
      </w:pPr>
      <w:r>
        <w:rPr>
          <w:lang w:val="fr-FR"/>
        </w:rPr>
        <w:t>L</w:t>
      </w:r>
      <w:r w:rsidR="009E4C76" w:rsidRPr="00CE611F">
        <w:rPr>
          <w:lang w:val="fr-FR"/>
        </w:rPr>
        <w:t xml:space="preserve">a </w:t>
      </w:r>
      <w:r w:rsidR="009E4C76" w:rsidRPr="00CE611F">
        <w:rPr>
          <w:bCs/>
          <w:lang w:val="fr-FR"/>
        </w:rPr>
        <w:t>Stratégie nationale des soins de santé primaires (2013-2018),</w:t>
      </w:r>
      <w:r w:rsidR="009E4C76" w:rsidRPr="00CE611F">
        <w:rPr>
          <w:lang w:val="fr-FR"/>
        </w:rPr>
        <w:t xml:space="preserve"> qui vise à relever les défis sanitaires des années à venir en réalisant les huit objectifs suivants, à savoir le renforcement de la santé, les examens médicaux de dépistage, les soins d</w:t>
      </w:r>
      <w:r w:rsidR="009E4C76">
        <w:rPr>
          <w:lang w:val="fr-FR"/>
        </w:rPr>
        <w:t>’</w:t>
      </w:r>
      <w:r w:rsidR="009E4C76" w:rsidRPr="00CE611F">
        <w:rPr>
          <w:lang w:val="fr-FR"/>
        </w:rPr>
        <w:t>urgence, la prise en charge des maladies chroniques non contagieuses, les soins à domicile, la santé mentale, la santé maternelle et infantile et la santé des enfants et adolescents ;</w:t>
      </w:r>
    </w:p>
    <w:p w14:paraId="0C1A8C9C" w14:textId="77777777" w:rsidR="009E4C76" w:rsidRPr="00CE611F" w:rsidRDefault="007F482E" w:rsidP="007F482E">
      <w:pPr>
        <w:pStyle w:val="Bullet1G"/>
        <w:rPr>
          <w:lang w:val="fr-FR" w:bidi="ar-QA"/>
        </w:rPr>
      </w:pPr>
      <w:r>
        <w:rPr>
          <w:lang w:val="fr-FR" w:bidi="ar-QA"/>
        </w:rPr>
        <w:t>L</w:t>
      </w:r>
      <w:r w:rsidR="009E4C76" w:rsidRPr="00CE611F">
        <w:rPr>
          <w:lang w:val="fr-FR" w:bidi="ar-QA"/>
        </w:rPr>
        <w:t>a</w:t>
      </w:r>
      <w:r w:rsidR="009E4C76" w:rsidRPr="00236079">
        <w:rPr>
          <w:lang w:val="fr-FR" w:bidi="ar-QA"/>
        </w:rPr>
        <w:t xml:space="preserve"> </w:t>
      </w:r>
      <w:r w:rsidR="009E4C76" w:rsidRPr="00CE611F">
        <w:rPr>
          <w:bCs/>
          <w:lang w:val="fr-FR" w:bidi="ar-QA"/>
        </w:rPr>
        <w:t>Stratégie d</w:t>
      </w:r>
      <w:r w:rsidR="009E4C76">
        <w:rPr>
          <w:bCs/>
          <w:lang w:val="fr-FR" w:bidi="ar-QA"/>
        </w:rPr>
        <w:t>’</w:t>
      </w:r>
      <w:r w:rsidR="009E4C76" w:rsidRPr="00CE611F">
        <w:rPr>
          <w:bCs/>
          <w:lang w:val="fr-FR" w:bidi="ar-QA"/>
        </w:rPr>
        <w:t>éducation et de formation (2011-2016),</w:t>
      </w:r>
      <w:r w:rsidR="009E4C76" w:rsidRPr="00CE611F">
        <w:rPr>
          <w:lang w:val="fr-FR"/>
        </w:rPr>
        <w:t xml:space="preserve"> qui cherche à mettre en place un système éducatif de niveau international capable de répondre aux besoins des citoyens et de la société qatarie, ainsi que des programmes d</w:t>
      </w:r>
      <w:r w:rsidR="009E4C76">
        <w:rPr>
          <w:lang w:val="fr-FR"/>
        </w:rPr>
        <w:t>’</w:t>
      </w:r>
      <w:r w:rsidR="009E4C76" w:rsidRPr="00CE611F">
        <w:rPr>
          <w:lang w:val="fr-FR"/>
        </w:rPr>
        <w:t>éducation et de formation adaptés aux exigences actuelles et futures du marché du travail, tout en offrant à tous des possibilités d</w:t>
      </w:r>
      <w:r w:rsidR="009E4C76">
        <w:rPr>
          <w:lang w:val="fr-FR"/>
        </w:rPr>
        <w:t>’</w:t>
      </w:r>
      <w:r w:rsidR="009E4C76" w:rsidRPr="00CE611F">
        <w:rPr>
          <w:lang w:val="fr-FR"/>
        </w:rPr>
        <w:t>éducation et de formation de qualité correspondant aux aspirations et aux capacités de chaque individu et des programmes de formation continue ; sachant qu</w:t>
      </w:r>
      <w:r w:rsidR="009E4C76">
        <w:rPr>
          <w:lang w:val="fr-FR"/>
        </w:rPr>
        <w:t>’</w:t>
      </w:r>
      <w:r w:rsidR="009E4C76" w:rsidRPr="00CE611F">
        <w:rPr>
          <w:lang w:val="fr-FR"/>
        </w:rPr>
        <w:t>elle vise également à mettre en place un réseau national d</w:t>
      </w:r>
      <w:r w:rsidR="009E4C76">
        <w:rPr>
          <w:lang w:val="fr-FR"/>
        </w:rPr>
        <w:t>’</w:t>
      </w:r>
      <w:r w:rsidR="009E4C76" w:rsidRPr="00CE611F">
        <w:rPr>
          <w:lang w:val="fr-FR"/>
        </w:rPr>
        <w:t>enseignement formel et informel permettant de doter les enfants et les jeunes Qataris des compétences nécessaires et de la motivation suffisante pour participer à l</w:t>
      </w:r>
      <w:r w:rsidR="009E4C76">
        <w:rPr>
          <w:lang w:val="fr-FR"/>
        </w:rPr>
        <w:t>’</w:t>
      </w:r>
      <w:r w:rsidR="009E4C76" w:rsidRPr="00CE611F">
        <w:rPr>
          <w:lang w:val="fr-FR"/>
        </w:rPr>
        <w:t>édification et aux progrès de leur société, grâce à la consolidation des valeurs et traditions de la société qatarie et à la préservation de son patrimoine, à la promotion de la créativité et de l</w:t>
      </w:r>
      <w:r w:rsidR="009E4C76">
        <w:rPr>
          <w:lang w:val="fr-FR"/>
        </w:rPr>
        <w:t>’</w:t>
      </w:r>
      <w:r w:rsidR="009E4C76" w:rsidRPr="00CE611F">
        <w:rPr>
          <w:lang w:val="fr-FR"/>
        </w:rPr>
        <w:t>esprit d</w:t>
      </w:r>
      <w:r w:rsidR="009E4C76">
        <w:rPr>
          <w:lang w:val="fr-FR"/>
        </w:rPr>
        <w:t>’</w:t>
      </w:r>
      <w:r w:rsidR="009E4C76" w:rsidRPr="00CE611F">
        <w:rPr>
          <w:lang w:val="fr-FR"/>
        </w:rPr>
        <w:t>innovation des nouvelles générations, ainsi qu</w:t>
      </w:r>
      <w:r w:rsidR="009E4C76">
        <w:rPr>
          <w:lang w:val="fr-FR"/>
        </w:rPr>
        <w:t>’</w:t>
      </w:r>
      <w:r w:rsidR="009E4C76" w:rsidRPr="00CE611F">
        <w:rPr>
          <w:lang w:val="fr-FR"/>
        </w:rPr>
        <w:t>au renforcement de leurs capacités, au développement de l</w:t>
      </w:r>
      <w:r w:rsidR="009E4C76">
        <w:rPr>
          <w:lang w:val="fr-FR"/>
        </w:rPr>
        <w:t>’</w:t>
      </w:r>
      <w:r w:rsidR="009E4C76" w:rsidRPr="00CE611F">
        <w:rPr>
          <w:lang w:val="fr-FR"/>
        </w:rPr>
        <w:t>esprit d</w:t>
      </w:r>
      <w:r w:rsidR="009E4C76">
        <w:rPr>
          <w:lang w:val="fr-FR"/>
        </w:rPr>
        <w:t>’</w:t>
      </w:r>
      <w:r w:rsidR="009E4C76" w:rsidRPr="00CE611F">
        <w:rPr>
          <w:lang w:val="fr-FR"/>
        </w:rPr>
        <w:t>appartenance et de citoyenneté et de la participation à un large éventail d</w:t>
      </w:r>
      <w:r w:rsidR="009E4C76">
        <w:rPr>
          <w:lang w:val="fr-FR"/>
        </w:rPr>
        <w:t>’</w:t>
      </w:r>
      <w:r w:rsidR="009E4C76" w:rsidRPr="00CE611F">
        <w:rPr>
          <w:lang w:val="fr-FR"/>
        </w:rPr>
        <w:t>activités culturelles et sportives ; de même qu</w:t>
      </w:r>
      <w:r w:rsidR="009E4C76">
        <w:rPr>
          <w:lang w:val="fr-FR"/>
        </w:rPr>
        <w:t>’</w:t>
      </w:r>
      <w:r w:rsidR="009E4C76" w:rsidRPr="00CE611F">
        <w:rPr>
          <w:lang w:val="fr-FR"/>
        </w:rPr>
        <w:t>elle a pour objectif de créer des institutions éducatives modernes et indépendantes, administrées de manière efficace et autonome, conformément à des orientations générales et à un régime de redevabilité, dotées d</w:t>
      </w:r>
      <w:r w:rsidR="009E4C76">
        <w:rPr>
          <w:lang w:val="fr-FR"/>
        </w:rPr>
        <w:t>’</w:t>
      </w:r>
      <w:r w:rsidR="009E4C76" w:rsidRPr="00CE611F">
        <w:rPr>
          <w:lang w:val="fr-FR"/>
        </w:rPr>
        <w:t>un système de financement de la recherche efficace, fondé sur le principe du partenariat entre le secteur public et le secteur privé, en collaboration avec les institutions nationales spécialisées et les centres de recherches internationaux réputés, de manière à ce qu</w:t>
      </w:r>
      <w:r w:rsidR="009E4C76">
        <w:rPr>
          <w:lang w:val="fr-FR"/>
        </w:rPr>
        <w:t>’</w:t>
      </w:r>
      <w:r w:rsidR="009E4C76" w:rsidRPr="00CE611F">
        <w:rPr>
          <w:lang w:val="fr-FR"/>
        </w:rPr>
        <w:t>elles puissent se positionner à l</w:t>
      </w:r>
      <w:r w:rsidR="009E4C76">
        <w:rPr>
          <w:lang w:val="fr-FR"/>
        </w:rPr>
        <w:t>’</w:t>
      </w:r>
      <w:r w:rsidR="009E4C76" w:rsidRPr="00CE611F">
        <w:rPr>
          <w:lang w:val="fr-FR"/>
        </w:rPr>
        <w:t>échelle internationale dans le domaine des activités culturelles et intellectuelles et en matière de recherche scientifique ;</w:t>
      </w:r>
    </w:p>
    <w:p w14:paraId="7190FCF5" w14:textId="77777777" w:rsidR="009E4C76" w:rsidRPr="00CE611F" w:rsidRDefault="007F482E" w:rsidP="007F482E">
      <w:pPr>
        <w:pStyle w:val="Bullet1G"/>
        <w:rPr>
          <w:rtl/>
          <w:lang w:val="fr-FR" w:bidi="fr-FR"/>
        </w:rPr>
      </w:pPr>
      <w:r>
        <w:rPr>
          <w:lang w:val="fr-FR" w:bidi="ar"/>
        </w:rPr>
        <w:t>L</w:t>
      </w:r>
      <w:r w:rsidR="009E4C76" w:rsidRPr="00CE611F">
        <w:rPr>
          <w:lang w:val="fr-FR" w:bidi="ar"/>
        </w:rPr>
        <w:t>a</w:t>
      </w:r>
      <w:r w:rsidR="009E4C76" w:rsidRPr="00236079">
        <w:rPr>
          <w:lang w:val="fr-FR" w:bidi="ar"/>
        </w:rPr>
        <w:t xml:space="preserve"> </w:t>
      </w:r>
      <w:r w:rsidR="009E4C76" w:rsidRPr="00CE611F">
        <w:rPr>
          <w:bCs/>
          <w:lang w:val="fr-FR" w:bidi="ar"/>
        </w:rPr>
        <w:t>Stratégie pour la protection sociale (2011-2016),</w:t>
      </w:r>
      <w:r w:rsidR="009E4C76" w:rsidRPr="00AF2C43">
        <w:rPr>
          <w:lang w:val="fr-FR"/>
        </w:rPr>
        <w:t xml:space="preserve"> </w:t>
      </w:r>
      <w:r w:rsidR="009E4C76" w:rsidRPr="00CE611F">
        <w:rPr>
          <w:lang w:val="fr-FR"/>
        </w:rPr>
        <w:t>qui vise à réaffirmer l</w:t>
      </w:r>
      <w:r w:rsidR="009E4C76">
        <w:rPr>
          <w:lang w:val="fr-FR"/>
        </w:rPr>
        <w:t>’</w:t>
      </w:r>
      <w:r w:rsidR="009E4C76" w:rsidRPr="00CE611F">
        <w:rPr>
          <w:lang w:val="fr-FR"/>
        </w:rPr>
        <w:t>engagement du pays en faveur des valeurs et principes arabo-musulmans, de manière à préserver la famille qatarie et de l</w:t>
      </w:r>
      <w:r w:rsidR="009E4C76">
        <w:rPr>
          <w:lang w:val="fr-FR"/>
        </w:rPr>
        <w:t>’</w:t>
      </w:r>
      <w:r w:rsidR="009E4C76" w:rsidRPr="00CE611F">
        <w:rPr>
          <w:lang w:val="fr-FR"/>
        </w:rPr>
        <w:t>ériger en moteur du développement social ;</w:t>
      </w:r>
    </w:p>
    <w:p w14:paraId="62453D5C" w14:textId="77777777" w:rsidR="009E4C76" w:rsidRPr="00CE611F" w:rsidRDefault="007F482E" w:rsidP="007F482E">
      <w:pPr>
        <w:pStyle w:val="Bullet1G"/>
        <w:rPr>
          <w:lang w:val="fr-FR" w:bidi="ar-QA"/>
        </w:rPr>
      </w:pPr>
      <w:r>
        <w:rPr>
          <w:lang w:val="fr-FR" w:bidi="ar-QA"/>
        </w:rPr>
        <w:t>L</w:t>
      </w:r>
      <w:r w:rsidR="009E4C76" w:rsidRPr="00CE611F">
        <w:rPr>
          <w:lang w:val="fr-FR" w:bidi="ar-QA"/>
        </w:rPr>
        <w:t>a</w:t>
      </w:r>
      <w:r w:rsidR="009E4C76" w:rsidRPr="00236079">
        <w:rPr>
          <w:lang w:val="fr-FR" w:bidi="ar-QA"/>
        </w:rPr>
        <w:t xml:space="preserve"> </w:t>
      </w:r>
      <w:r w:rsidR="009E4C76" w:rsidRPr="00CE611F">
        <w:rPr>
          <w:bCs/>
          <w:lang w:val="fr-FR" w:bidi="ar-QA"/>
        </w:rPr>
        <w:t>Stratégie nationale de sécurité routière (2013-2022)</w:t>
      </w:r>
      <w:r w:rsidR="009E4C76" w:rsidRPr="00CE611F">
        <w:rPr>
          <w:bCs/>
          <w:lang w:val="fr-FR"/>
        </w:rPr>
        <w:t>,</w:t>
      </w:r>
      <w:r w:rsidR="009E4C76" w:rsidRPr="00CE611F">
        <w:rPr>
          <w:lang w:val="fr-FR"/>
        </w:rPr>
        <w:t xml:space="preserve"> qui a pour objectif la réduction du nombre de victimes d</w:t>
      </w:r>
      <w:r w:rsidR="009E4C76">
        <w:rPr>
          <w:lang w:val="fr-FR"/>
        </w:rPr>
        <w:t>’</w:t>
      </w:r>
      <w:r w:rsidR="009E4C76" w:rsidRPr="00CE611F">
        <w:rPr>
          <w:lang w:val="fr-FR"/>
        </w:rPr>
        <w:t xml:space="preserve">accidents de la circulation, en particulier le nombre de décès et de blessés graves, en vue de la réalisation de la </w:t>
      </w:r>
      <w:r w:rsidR="00236079">
        <w:rPr>
          <w:lang w:val="fr-FR"/>
        </w:rPr>
        <w:t>« </w:t>
      </w:r>
      <w:r w:rsidR="009E4C76" w:rsidRPr="00CE611F">
        <w:rPr>
          <w:lang w:val="fr-FR"/>
        </w:rPr>
        <w:t>Vision</w:t>
      </w:r>
      <w:r w:rsidR="00236079">
        <w:rPr>
          <w:lang w:val="fr-FR"/>
        </w:rPr>
        <w:t> »</w:t>
      </w:r>
      <w:r w:rsidR="009E4C76" w:rsidRPr="00CE611F">
        <w:rPr>
          <w:lang w:val="fr-FR"/>
        </w:rPr>
        <w:t xml:space="preserve"> à long terme du Qatar en matière de sécurité routière ; sachant qu</w:t>
      </w:r>
      <w:r w:rsidR="009E4C76">
        <w:rPr>
          <w:lang w:val="fr-FR"/>
        </w:rPr>
        <w:t>’</w:t>
      </w:r>
      <w:r w:rsidR="009E4C76" w:rsidRPr="00CE611F">
        <w:rPr>
          <w:lang w:val="fr-FR"/>
        </w:rPr>
        <w:t>elle repose sur une perspective globale et commune à toutes les parties prenantes concernées et constitue un cadre permettant de définir les engagements nécessaires, ainsi qu</w:t>
      </w:r>
      <w:r w:rsidR="009E4C76">
        <w:rPr>
          <w:lang w:val="fr-FR"/>
        </w:rPr>
        <w:t>’</w:t>
      </w:r>
      <w:r w:rsidR="009E4C76" w:rsidRPr="00CE611F">
        <w:rPr>
          <w:lang w:val="fr-FR"/>
        </w:rPr>
        <w:t>un référentiel pour la réalisation d</w:t>
      </w:r>
      <w:r w:rsidR="009E4C76">
        <w:rPr>
          <w:lang w:val="fr-FR"/>
        </w:rPr>
        <w:t>’</w:t>
      </w:r>
      <w:r w:rsidR="009E4C76" w:rsidRPr="00CE611F">
        <w:rPr>
          <w:lang w:val="fr-FR"/>
        </w:rPr>
        <w:t>initiatives de sécurité routière de priorité élevée et dont l</w:t>
      </w:r>
      <w:r w:rsidR="009E4C76">
        <w:rPr>
          <w:lang w:val="fr-FR"/>
        </w:rPr>
        <w:t>’</w:t>
      </w:r>
      <w:r w:rsidR="009E4C76" w:rsidRPr="00CE611F">
        <w:rPr>
          <w:lang w:val="fr-FR"/>
        </w:rPr>
        <w:t>efficacité a été prouvée, venant compléter d</w:t>
      </w:r>
      <w:r w:rsidR="009E4C76">
        <w:rPr>
          <w:lang w:val="fr-FR"/>
        </w:rPr>
        <w:t>’</w:t>
      </w:r>
      <w:r w:rsidR="009E4C76" w:rsidRPr="00CE611F">
        <w:rPr>
          <w:lang w:val="fr-FR"/>
        </w:rPr>
        <w:t xml:space="preserve">autres politiques publiques appliquées au Qatar, telles que la </w:t>
      </w:r>
      <w:r w:rsidR="002866C8">
        <w:rPr>
          <w:lang w:val="fr-FR"/>
        </w:rPr>
        <w:t>S</w:t>
      </w:r>
      <w:r w:rsidR="009E4C76" w:rsidRPr="00CE611F">
        <w:rPr>
          <w:lang w:val="fr-FR"/>
        </w:rPr>
        <w:t xml:space="preserve">tratégie de mise en </w:t>
      </w:r>
      <w:r w:rsidRPr="00CE611F">
        <w:rPr>
          <w:lang w:val="fr-FR"/>
        </w:rPr>
        <w:t>œuvre</w:t>
      </w:r>
      <w:r w:rsidR="009E4C76" w:rsidRPr="00CE611F">
        <w:rPr>
          <w:lang w:val="fr-FR"/>
        </w:rPr>
        <w:t xml:space="preserve"> du plan directeur des réseaux de transports durables et de gestion des besoins dans le domaine des transports ; étant précisé que cette stratégie se fonde sur un Plan d</w:t>
      </w:r>
      <w:r w:rsidR="009E4C76">
        <w:rPr>
          <w:lang w:val="fr-FR"/>
        </w:rPr>
        <w:t>’</w:t>
      </w:r>
      <w:r w:rsidR="009E4C76" w:rsidRPr="00CE611F">
        <w:rPr>
          <w:lang w:val="fr-FR"/>
        </w:rPr>
        <w:t>action national pour la sécurité routière au Qatar (2013-2017) en cours d</w:t>
      </w:r>
      <w:r w:rsidR="009E4C76">
        <w:rPr>
          <w:lang w:val="fr-FR"/>
        </w:rPr>
        <w:t>’</w:t>
      </w:r>
      <w:r w:rsidR="009E4C76" w:rsidRPr="00CE611F">
        <w:rPr>
          <w:lang w:val="fr-FR"/>
        </w:rPr>
        <w:t xml:space="preserve">exécution par </w:t>
      </w:r>
      <w:r w:rsidR="002866C8">
        <w:rPr>
          <w:lang w:val="fr-FR"/>
        </w:rPr>
        <w:t>13 </w:t>
      </w:r>
      <w:r w:rsidR="009E4C76" w:rsidRPr="00CE611F">
        <w:rPr>
          <w:lang w:val="fr-FR"/>
        </w:rPr>
        <w:t>organismes qataris, l</w:t>
      </w:r>
      <w:r w:rsidR="009E4C76">
        <w:rPr>
          <w:lang w:val="fr-FR"/>
        </w:rPr>
        <w:t>’</w:t>
      </w:r>
      <w:r w:rsidR="009E4C76" w:rsidRPr="00CE611F">
        <w:rPr>
          <w:lang w:val="fr-FR"/>
        </w:rPr>
        <w:t>objectif poursuivi étant de doter le pays de l</w:t>
      </w:r>
      <w:r w:rsidR="009E4C76">
        <w:rPr>
          <w:lang w:val="fr-FR"/>
        </w:rPr>
        <w:t>’</w:t>
      </w:r>
      <w:r w:rsidR="009E4C76" w:rsidRPr="00CE611F">
        <w:rPr>
          <w:lang w:val="fr-FR"/>
        </w:rPr>
        <w:t>un des réseaux routiers les plus sûrs au monde grâce à un ambitieux programme d</w:t>
      </w:r>
      <w:r w:rsidR="009E4C76">
        <w:rPr>
          <w:lang w:val="fr-FR"/>
        </w:rPr>
        <w:t>’</w:t>
      </w:r>
      <w:r w:rsidR="009E4C76" w:rsidRPr="00CE611F">
        <w:rPr>
          <w:lang w:val="fr-FR"/>
        </w:rPr>
        <w:t>activités et de projets ayant vocation à être réalisés au cours des cinq prochaines années ;</w:t>
      </w:r>
    </w:p>
    <w:p w14:paraId="154FE417" w14:textId="77777777" w:rsidR="009E4C76" w:rsidRPr="00CE611F" w:rsidRDefault="007F482E" w:rsidP="007F482E">
      <w:pPr>
        <w:pStyle w:val="Bullet1G"/>
        <w:rPr>
          <w:lang w:val="fr-FR" w:bidi="ar-QA"/>
        </w:rPr>
      </w:pPr>
      <w:r>
        <w:rPr>
          <w:lang w:val="fr-FR" w:bidi="ar-QA"/>
        </w:rPr>
        <w:t>L</w:t>
      </w:r>
      <w:r w:rsidR="009E4C76" w:rsidRPr="00CE611F">
        <w:rPr>
          <w:lang w:val="fr-FR" w:bidi="ar-QA"/>
        </w:rPr>
        <w:t>a</w:t>
      </w:r>
      <w:r w:rsidR="009E4C76" w:rsidRPr="007F482E">
        <w:rPr>
          <w:lang w:val="fr-FR" w:bidi="ar-QA"/>
        </w:rPr>
        <w:t xml:space="preserve"> </w:t>
      </w:r>
      <w:r w:rsidR="009E4C76" w:rsidRPr="00CE611F">
        <w:rPr>
          <w:bCs/>
          <w:lang w:val="fr-FR" w:bidi="ar-QA"/>
        </w:rPr>
        <w:t>Stratégie nationale de lutte contre l</w:t>
      </w:r>
      <w:r w:rsidR="009E4C76">
        <w:rPr>
          <w:bCs/>
          <w:lang w:val="fr-FR" w:bidi="ar-QA"/>
        </w:rPr>
        <w:t>’</w:t>
      </w:r>
      <w:r w:rsidR="009E4C76" w:rsidRPr="00CE611F">
        <w:rPr>
          <w:bCs/>
          <w:lang w:val="fr-FR" w:bidi="ar-QA"/>
        </w:rPr>
        <w:t>autisme (2017-2021)</w:t>
      </w:r>
      <w:r w:rsidR="009E4C76" w:rsidRPr="00CE611F">
        <w:rPr>
          <w:bCs/>
          <w:lang w:val="fr-FR"/>
        </w:rPr>
        <w:t>,</w:t>
      </w:r>
      <w:r w:rsidR="009E4C76" w:rsidRPr="00CE611F">
        <w:rPr>
          <w:lang w:val="fr-FR"/>
        </w:rPr>
        <w:t xml:space="preserve"> qui vise à établir une méthodologie globale et intégrée de protection des personnes autistes de tout âge ;</w:t>
      </w:r>
    </w:p>
    <w:p w14:paraId="34EE0EE3" w14:textId="77777777" w:rsidR="009E4C76" w:rsidRPr="00CE611F" w:rsidRDefault="007F482E" w:rsidP="007F482E">
      <w:pPr>
        <w:pStyle w:val="Bullet1G"/>
        <w:rPr>
          <w:rtl/>
          <w:lang w:val="fr-FR" w:bidi="fr-FR"/>
        </w:rPr>
      </w:pPr>
      <w:r>
        <w:rPr>
          <w:lang w:val="fr-FR" w:bidi="ar-QA"/>
        </w:rPr>
        <w:t>L</w:t>
      </w:r>
      <w:r w:rsidR="009E4C76" w:rsidRPr="00CE611F">
        <w:rPr>
          <w:lang w:val="fr-FR" w:bidi="ar-QA"/>
        </w:rPr>
        <w:t xml:space="preserve">a </w:t>
      </w:r>
      <w:r w:rsidR="009E4C76" w:rsidRPr="00CE611F">
        <w:rPr>
          <w:bCs/>
          <w:lang w:val="fr-FR" w:bidi="ar-QA"/>
        </w:rPr>
        <w:t>Politique démographique de l</w:t>
      </w:r>
      <w:r w:rsidR="009E4C76">
        <w:rPr>
          <w:bCs/>
          <w:lang w:val="fr-FR" w:bidi="ar-QA"/>
        </w:rPr>
        <w:t>’</w:t>
      </w:r>
      <w:r w:rsidR="009E4C76" w:rsidRPr="00CE611F">
        <w:rPr>
          <w:bCs/>
          <w:lang w:val="fr-FR" w:bidi="ar-QA"/>
        </w:rPr>
        <w:t>État du Qatar (2017-2022),</w:t>
      </w:r>
      <w:r w:rsidR="009E4C76" w:rsidRPr="00CE611F">
        <w:rPr>
          <w:lang w:val="fr-FR" w:bidi="ar-QA"/>
        </w:rPr>
        <w:t xml:space="preserve"> qui a pour objectif de réguler le taux élevé d</w:t>
      </w:r>
      <w:r w:rsidR="009E4C76">
        <w:rPr>
          <w:lang w:val="fr-FR" w:bidi="ar-QA"/>
        </w:rPr>
        <w:t>’</w:t>
      </w:r>
      <w:r w:rsidR="009E4C76" w:rsidRPr="00CE611F">
        <w:rPr>
          <w:lang w:val="fr-FR" w:bidi="ar-QA"/>
        </w:rPr>
        <w:t>accroissement de la population et de réduire le déséquilibre de la composition de la population et ses effets, incluant notamment un axe centré sur les femmes et l</w:t>
      </w:r>
      <w:r w:rsidR="009E4C76">
        <w:rPr>
          <w:lang w:val="fr-FR" w:bidi="ar-QA"/>
        </w:rPr>
        <w:t>’</w:t>
      </w:r>
      <w:r w:rsidR="009E4C76" w:rsidRPr="00CE611F">
        <w:rPr>
          <w:lang w:val="fr-FR" w:bidi="ar-QA"/>
        </w:rPr>
        <w:t>enfance, dont l</w:t>
      </w:r>
      <w:r w:rsidR="009E4C76">
        <w:rPr>
          <w:lang w:val="fr-FR" w:bidi="ar-QA"/>
        </w:rPr>
        <w:t>’</w:t>
      </w:r>
      <w:r w:rsidR="009E4C76" w:rsidRPr="00CE611F">
        <w:rPr>
          <w:lang w:val="fr-FR" w:bidi="ar-QA"/>
        </w:rPr>
        <w:t xml:space="preserve">enjeu principal consiste à renforcer la participation sociale des femmes et à mettre en place les conditions adéquates </w:t>
      </w:r>
      <w:r w:rsidR="009E4C76" w:rsidRPr="00CE611F">
        <w:rPr>
          <w:lang w:val="fr-FR"/>
        </w:rPr>
        <w:t>favorisant une plus grande contribution de celles-ci à la vie active, tout en préservant la cohésion familiale et en créant un environnement favorable à l</w:t>
      </w:r>
      <w:r w:rsidR="009E4C76">
        <w:rPr>
          <w:lang w:val="fr-FR"/>
        </w:rPr>
        <w:t>’</w:t>
      </w:r>
      <w:r w:rsidR="009E4C76" w:rsidRPr="00CE611F">
        <w:rPr>
          <w:lang w:val="fr-FR"/>
        </w:rPr>
        <w:t>épanouissement des enfants.</w:t>
      </w:r>
    </w:p>
    <w:p w14:paraId="2BBDEDB6" w14:textId="77777777" w:rsidR="009E4C76" w:rsidRPr="00CE611F" w:rsidRDefault="009E4C76" w:rsidP="007F482E">
      <w:pPr>
        <w:pStyle w:val="H23G"/>
        <w:rPr>
          <w:rtl/>
          <w:lang w:bidi="fr-FR"/>
        </w:rPr>
      </w:pPr>
      <w:r w:rsidRPr="00CE611F">
        <w:tab/>
      </w:r>
      <w:r w:rsidRPr="00CE611F">
        <w:tab/>
        <w:t>Indicateurs socioéconomiques</w:t>
      </w:r>
      <w:bookmarkEnd w:id="8"/>
    </w:p>
    <w:p w14:paraId="30553164" w14:textId="77777777" w:rsidR="009E4C76" w:rsidRPr="00CE611F" w:rsidRDefault="009E4C76" w:rsidP="005D0B7C">
      <w:pPr>
        <w:pStyle w:val="SingleTxtG"/>
        <w:rPr>
          <w:rtl/>
          <w:lang w:bidi="fr-FR"/>
        </w:rPr>
      </w:pPr>
      <w:r w:rsidRPr="00CE611F">
        <w:rPr>
          <w:lang w:bidi="ar"/>
        </w:rPr>
        <w:t>22.</w:t>
      </w:r>
      <w:r w:rsidRPr="00CE611F">
        <w:rPr>
          <w:lang w:bidi="ar"/>
        </w:rPr>
        <w:tab/>
      </w:r>
      <w:r w:rsidRPr="00CE611F">
        <w:rPr>
          <w:lang w:bidi="ar-QA"/>
        </w:rPr>
        <w:t>Le Qatar s</w:t>
      </w:r>
      <w:r>
        <w:rPr>
          <w:lang w:bidi="ar-QA"/>
        </w:rPr>
        <w:t>’</w:t>
      </w:r>
      <w:r w:rsidRPr="00CE611F">
        <w:rPr>
          <w:lang w:bidi="ar-QA"/>
        </w:rPr>
        <w:t>emploie à fournir des statistiques actualisées, documentées et fiables, par le biais du Ministère de la planification, du développement et des statistiques, créé par le décret de l</w:t>
      </w:r>
      <w:r>
        <w:rPr>
          <w:lang w:bidi="ar-QA"/>
        </w:rPr>
        <w:t>’</w:t>
      </w:r>
      <w:r w:rsidRPr="00CE611F">
        <w:rPr>
          <w:lang w:bidi="ar-QA"/>
        </w:rPr>
        <w:t xml:space="preserve">Émir </w:t>
      </w:r>
      <w:r w:rsidR="00DF5F36">
        <w:rPr>
          <w:lang w:bidi="ar-QA"/>
        </w:rPr>
        <w:t>n</w:t>
      </w:r>
      <w:r w:rsidR="00DF5F36" w:rsidRPr="00DF5F36">
        <w:rPr>
          <w:vertAlign w:val="superscript"/>
          <w:lang w:bidi="ar-QA"/>
        </w:rPr>
        <w:t>o</w:t>
      </w:r>
      <w:r w:rsidR="00DF5F36">
        <w:rPr>
          <w:lang w:bidi="ar-QA"/>
        </w:rPr>
        <w:t> </w:t>
      </w:r>
      <w:r w:rsidRPr="00CE611F">
        <w:rPr>
          <w:lang w:bidi="ar-QA"/>
        </w:rPr>
        <w:t>4 de 2013 portant nomination du nouveau Gouvernement, sachant que ce nouveau département a été formé au moyen de la fusion du Secrétariat général pour la planification du développement et du Bureau des statistiques. Le Ministère de la planification, du développement et des statistiques est chargé d</w:t>
      </w:r>
      <w:r>
        <w:rPr>
          <w:lang w:bidi="ar-QA"/>
        </w:rPr>
        <w:t>’</w:t>
      </w:r>
      <w:r w:rsidRPr="00CE611F">
        <w:rPr>
          <w:lang w:bidi="ar-QA"/>
        </w:rPr>
        <w:t>élaborer et de développer la</w:t>
      </w:r>
      <w:r w:rsidR="00DE671C">
        <w:rPr>
          <w:lang w:bidi="ar-QA"/>
        </w:rPr>
        <w:t xml:space="preserve"> « </w:t>
      </w:r>
      <w:r w:rsidRPr="00CE611F">
        <w:rPr>
          <w:lang w:bidi="ar-QA"/>
        </w:rPr>
        <w:t>Vision</w:t>
      </w:r>
      <w:r w:rsidR="00DE671C">
        <w:rPr>
          <w:lang w:bidi="ar-QA"/>
        </w:rPr>
        <w:t> »</w:t>
      </w:r>
      <w:r w:rsidRPr="00CE611F">
        <w:rPr>
          <w:lang w:bidi="ar-QA"/>
        </w:rPr>
        <w:t xml:space="preserve"> globale de l</w:t>
      </w:r>
      <w:r>
        <w:rPr>
          <w:lang w:bidi="ar-QA"/>
        </w:rPr>
        <w:t>’</w:t>
      </w:r>
      <w:r w:rsidRPr="00CE611F">
        <w:rPr>
          <w:lang w:bidi="ar-QA"/>
        </w:rPr>
        <w:t>État, en collaboration avec les autorités compétentes, d</w:t>
      </w:r>
      <w:r>
        <w:rPr>
          <w:lang w:bidi="ar-QA"/>
        </w:rPr>
        <w:t>’</w:t>
      </w:r>
      <w:r w:rsidRPr="00CE611F">
        <w:rPr>
          <w:lang w:bidi="ar-QA"/>
        </w:rPr>
        <w:t>élaborer les stratégies nationales de développement et d</w:t>
      </w:r>
      <w:r>
        <w:rPr>
          <w:lang w:bidi="ar-QA"/>
        </w:rPr>
        <w:t>’</w:t>
      </w:r>
      <w:r w:rsidRPr="00CE611F">
        <w:rPr>
          <w:lang w:bidi="ar-QA"/>
        </w:rPr>
        <w:t>assurer le suivi de leur mise en œuvre, conjointement avec les autorités concernées, de réaliser des études concernant ces stratégies et les politiques démographiques, d</w:t>
      </w:r>
      <w:r>
        <w:rPr>
          <w:lang w:bidi="ar-QA"/>
        </w:rPr>
        <w:t>’</w:t>
      </w:r>
      <w:r w:rsidRPr="00CE611F">
        <w:rPr>
          <w:lang w:bidi="ar-QA"/>
        </w:rPr>
        <w:t>établir un lien entre les priorités de développement et le budget général de l</w:t>
      </w:r>
      <w:r>
        <w:rPr>
          <w:lang w:bidi="ar-QA"/>
        </w:rPr>
        <w:t>’</w:t>
      </w:r>
      <w:r w:rsidRPr="00CE611F">
        <w:rPr>
          <w:lang w:bidi="ar-QA"/>
        </w:rPr>
        <w:t>État, d</w:t>
      </w:r>
      <w:r>
        <w:rPr>
          <w:lang w:bidi="ar-QA"/>
        </w:rPr>
        <w:t>’</w:t>
      </w:r>
      <w:r w:rsidRPr="00CE611F">
        <w:rPr>
          <w:lang w:bidi="ar-QA"/>
        </w:rPr>
        <w:t xml:space="preserve">assurer le suivi des progrès réalisés dans la mise en </w:t>
      </w:r>
      <w:r w:rsidR="00DF5F36" w:rsidRPr="00CE611F">
        <w:rPr>
          <w:lang w:bidi="ar-QA"/>
        </w:rPr>
        <w:t>œuvre</w:t>
      </w:r>
      <w:r w:rsidRPr="00CE611F">
        <w:rPr>
          <w:lang w:bidi="ar-QA"/>
        </w:rPr>
        <w:t xml:space="preserve"> des plans</w:t>
      </w:r>
      <w:r w:rsidRPr="00CE611F">
        <w:rPr>
          <w:lang w:bidi="ar"/>
        </w:rPr>
        <w:t xml:space="preserve">, </w:t>
      </w:r>
      <w:r w:rsidRPr="00CE611F">
        <w:rPr>
          <w:lang w:bidi="ar-QA"/>
        </w:rPr>
        <w:t>de mettre en place un système statistique intégré, d</w:t>
      </w:r>
      <w:r>
        <w:rPr>
          <w:lang w:bidi="ar-QA"/>
        </w:rPr>
        <w:t>’</w:t>
      </w:r>
      <w:r w:rsidRPr="00CE611F">
        <w:rPr>
          <w:lang w:bidi="ar-QA"/>
        </w:rPr>
        <w:t>établir, de gérer et de superviser les statistiques publiques, de réaliser divers recensements et enquêtes et de publier les données et résultats statistiques</w:t>
      </w:r>
      <w:r w:rsidRPr="00CE611F">
        <w:rPr>
          <w:lang w:bidi="ar"/>
        </w:rPr>
        <w:t>.</w:t>
      </w:r>
    </w:p>
    <w:p w14:paraId="4F548DBD" w14:textId="77777777" w:rsidR="009E4C76" w:rsidRPr="00DF5F36" w:rsidRDefault="009E4C76" w:rsidP="005D0B7C">
      <w:pPr>
        <w:pStyle w:val="SingleTxtG"/>
        <w:rPr>
          <w:rtl/>
          <w:lang w:bidi="fr-FR"/>
        </w:rPr>
      </w:pPr>
      <w:r w:rsidRPr="00DF5F36">
        <w:rPr>
          <w:lang w:bidi="ar"/>
        </w:rPr>
        <w:t>23.</w:t>
      </w:r>
      <w:r w:rsidRPr="00DF5F36">
        <w:rPr>
          <w:lang w:bidi="ar"/>
        </w:rPr>
        <w:tab/>
      </w:r>
      <w:r w:rsidRPr="00DF5F36">
        <w:rPr>
          <w:lang w:bidi="ar-QA"/>
        </w:rPr>
        <w:t>La période actuelle représente une étape exceptionnelle dans l’histoire du Qatar, caractérisée par une progression rapide vers un développement global et inclusif dans tous les secteurs, permettant au pays d’afficher une croissance de 2,2 % de son produit intérieur brut réel en 2016, date à laquelle cet indicateur a atteint 796 milliards de riyals, contre 779 milliards en</w:t>
      </w:r>
      <w:r w:rsidR="008F3A82">
        <w:rPr>
          <w:lang w:bidi="ar-QA"/>
        </w:rPr>
        <w:t xml:space="preserve"> </w:t>
      </w:r>
      <w:r w:rsidRPr="00DF5F36">
        <w:rPr>
          <w:lang w:bidi="ar-QA"/>
        </w:rPr>
        <w:t>2015. Le Qatar figure parmi les pays à niveau de développement élevé, puisqu’il est classé au trente-troisième rang mondial par le rapport du Programme des Nations</w:t>
      </w:r>
      <w:r w:rsidR="00DF5F36" w:rsidRPr="00DF5F36">
        <w:rPr>
          <w:lang w:bidi="ar-QA"/>
        </w:rPr>
        <w:t> </w:t>
      </w:r>
      <w:r w:rsidRPr="00DF5F36">
        <w:rPr>
          <w:lang w:bidi="ar-QA"/>
        </w:rPr>
        <w:t>Unies pour le développement (PNUD) sur le développement humain de 2016. Cette nouvelle position reflète l’ampleur du développement et les avancées considérables et régulières que connaît le pays en matière de développement humain. Le rapport a souligné que l’indice de développement humain du Qatar avait progressé, passant de 0,855 en 2015 à</w:t>
      </w:r>
      <w:r w:rsidR="00DF5F36">
        <w:rPr>
          <w:lang w:bidi="ar-QA"/>
        </w:rPr>
        <w:t> </w:t>
      </w:r>
      <w:r w:rsidRPr="00DF5F36">
        <w:rPr>
          <w:lang w:bidi="ar-QA"/>
        </w:rPr>
        <w:t>0,856 en 2016, ce qui rend compte des progrès accomplis dans les domaines de l’éducation, de la santé et du PIB. En ce qui concerne l’éducation, le rapport souligne la hausse du taux d’alphabétisation des adultes des deux sexes, qui a atteint 96,7 % en 2015, puis 97,8 % en 2016. Le taux d’inscription dans l’enseignement supérieur pour les jeunes gens en âge d’aller à l’université s’est établi à 16 % en 2016, après avoir atteint 14 % en</w:t>
      </w:r>
      <w:r w:rsidR="00DF5F36">
        <w:rPr>
          <w:lang w:bidi="ar-QA"/>
        </w:rPr>
        <w:t> </w:t>
      </w:r>
      <w:r w:rsidRPr="00DF5F36">
        <w:rPr>
          <w:lang w:bidi="ar-QA"/>
        </w:rPr>
        <w:t>2015. Selon le rapport, la moyenne du revenu par personne par rapport au revenu national brut (RNB) a augmenté de 66,18</w:t>
      </w:r>
      <w:r w:rsidR="00DF5F36">
        <w:rPr>
          <w:lang w:bidi="ar-QA"/>
        </w:rPr>
        <w:t> </w:t>
      </w:r>
      <w:r w:rsidRPr="00DF5F36">
        <w:rPr>
          <w:lang w:bidi="ar-QA"/>
        </w:rPr>
        <w:t>dollars en 2015, puis de 57,82</w:t>
      </w:r>
      <w:r w:rsidR="00DF5F36">
        <w:rPr>
          <w:lang w:bidi="ar-QA"/>
        </w:rPr>
        <w:t> </w:t>
      </w:r>
      <w:r w:rsidRPr="00DF5F36">
        <w:rPr>
          <w:lang w:bidi="ar-QA"/>
        </w:rPr>
        <w:t>dollars en 2016. Par ailleurs, le taux d’emploi des personnes âgées de plus de 15</w:t>
      </w:r>
      <w:r w:rsidR="00DF5F36">
        <w:rPr>
          <w:lang w:bidi="ar-QA"/>
        </w:rPr>
        <w:t> </w:t>
      </w:r>
      <w:r w:rsidRPr="00DF5F36">
        <w:rPr>
          <w:lang w:bidi="ar-QA"/>
        </w:rPr>
        <w:t xml:space="preserve">ans a atteint un niveau élevé (84,6 %), ce qui place le Qatar devant la Norvège en ce qui concerne l’indicateur du développement humain en </w:t>
      </w:r>
      <w:r w:rsidRPr="00DF5F36">
        <w:rPr>
          <w:lang w:bidi="ar"/>
        </w:rPr>
        <w:t>2016</w:t>
      </w:r>
      <w:r w:rsidRPr="00DF5F36">
        <w:rPr>
          <w:lang w:bidi="ar-QA"/>
        </w:rPr>
        <w:t>.</w:t>
      </w:r>
      <w:r w:rsidRPr="00DF5F36">
        <w:rPr>
          <w:lang w:bidi="ar"/>
        </w:rPr>
        <w:t xml:space="preserve"> Le </w:t>
      </w:r>
      <w:r w:rsidRPr="00DF5F36">
        <w:rPr>
          <w:lang w:bidi="ar-QA"/>
        </w:rPr>
        <w:t xml:space="preserve">taux de chômage des jeunes âgés de </w:t>
      </w:r>
      <w:r w:rsidRPr="00DF5F36">
        <w:rPr>
          <w:lang w:bidi="ar"/>
        </w:rPr>
        <w:t>15 à 24</w:t>
      </w:r>
      <w:r w:rsidR="00DF5F36">
        <w:rPr>
          <w:lang w:bidi="ar"/>
        </w:rPr>
        <w:t> </w:t>
      </w:r>
      <w:r w:rsidRPr="00DF5F36">
        <w:rPr>
          <w:lang w:bidi="ar-QA"/>
        </w:rPr>
        <w:t>ans</w:t>
      </w:r>
      <w:r w:rsidRPr="00DF5F36">
        <w:rPr>
          <w:lang w:bidi="ar"/>
        </w:rPr>
        <w:t xml:space="preserve"> a baissé, passant </w:t>
      </w:r>
      <w:r w:rsidRPr="00DF5F36">
        <w:rPr>
          <w:lang w:bidi="ar-QA"/>
        </w:rPr>
        <w:t xml:space="preserve">de </w:t>
      </w:r>
      <w:r w:rsidRPr="00DF5F36">
        <w:rPr>
          <w:lang w:bidi="ar"/>
        </w:rPr>
        <w:t>1,1 </w:t>
      </w:r>
      <w:r w:rsidRPr="00DF5F36">
        <w:rPr>
          <w:lang w:bidi="ar-QA"/>
        </w:rPr>
        <w:t>%</w:t>
      </w:r>
      <w:r w:rsidRPr="00DF5F36">
        <w:rPr>
          <w:lang w:bidi="ar"/>
        </w:rPr>
        <w:t xml:space="preserve"> </w:t>
      </w:r>
      <w:r w:rsidRPr="00DF5F36">
        <w:rPr>
          <w:lang w:bidi="ar-QA"/>
        </w:rPr>
        <w:t xml:space="preserve">en </w:t>
      </w:r>
      <w:r w:rsidRPr="00DF5F36">
        <w:rPr>
          <w:lang w:bidi="ar"/>
        </w:rPr>
        <w:t>2015</w:t>
      </w:r>
      <w:r w:rsidRPr="00DF5F36">
        <w:rPr>
          <w:lang w:bidi="ar-QA"/>
        </w:rPr>
        <w:t xml:space="preserve"> à </w:t>
      </w:r>
      <w:r w:rsidRPr="00DF5F36">
        <w:rPr>
          <w:lang w:bidi="ar"/>
        </w:rPr>
        <w:t>0,8 </w:t>
      </w:r>
      <w:r w:rsidRPr="00DF5F36">
        <w:rPr>
          <w:lang w:bidi="ar-QA"/>
        </w:rPr>
        <w:t>%</w:t>
      </w:r>
      <w:r w:rsidRPr="00DF5F36">
        <w:rPr>
          <w:lang w:bidi="ar"/>
        </w:rPr>
        <w:t xml:space="preserve"> </w:t>
      </w:r>
      <w:r w:rsidRPr="00DF5F36">
        <w:rPr>
          <w:lang w:bidi="ar-QA"/>
        </w:rPr>
        <w:t>en</w:t>
      </w:r>
      <w:r w:rsidRPr="00DF5F36">
        <w:rPr>
          <w:lang w:bidi="ar"/>
        </w:rPr>
        <w:t xml:space="preserve"> 2016. </w:t>
      </w:r>
      <w:r w:rsidRPr="00DF5F36">
        <w:rPr>
          <w:lang w:bidi="ar-QA"/>
        </w:rPr>
        <w:t xml:space="preserve">Le rapport souligne que le taux d’utilisation d’Internet a augmenté, puisqu’il a atteint </w:t>
      </w:r>
      <w:r w:rsidRPr="00DF5F36">
        <w:rPr>
          <w:lang w:bidi="ar"/>
        </w:rPr>
        <w:t>92,9 </w:t>
      </w:r>
      <w:r w:rsidRPr="00DF5F36">
        <w:rPr>
          <w:lang w:bidi="ar-QA"/>
        </w:rPr>
        <w:t xml:space="preserve">% en </w:t>
      </w:r>
      <w:r w:rsidRPr="00DF5F36">
        <w:rPr>
          <w:lang w:bidi="ar"/>
        </w:rPr>
        <w:t>2016</w:t>
      </w:r>
      <w:r w:rsidRPr="00DF5F36">
        <w:rPr>
          <w:lang w:bidi="ar-QA"/>
        </w:rPr>
        <w:t xml:space="preserve"> contre</w:t>
      </w:r>
      <w:r w:rsidRPr="00DF5F36">
        <w:rPr>
          <w:lang w:bidi="ar"/>
        </w:rPr>
        <w:t xml:space="preserve"> 91,5 </w:t>
      </w:r>
      <w:r w:rsidRPr="00DF5F36">
        <w:rPr>
          <w:lang w:bidi="ar-QA"/>
        </w:rPr>
        <w:t>%</w:t>
      </w:r>
      <w:r w:rsidRPr="00DF5F36">
        <w:rPr>
          <w:lang w:bidi="ar"/>
        </w:rPr>
        <w:t xml:space="preserve"> </w:t>
      </w:r>
      <w:r w:rsidRPr="00DF5F36">
        <w:rPr>
          <w:lang w:bidi="ar-QA"/>
        </w:rPr>
        <w:t>en</w:t>
      </w:r>
      <w:r w:rsidR="00DF5F36">
        <w:rPr>
          <w:lang w:bidi="ar-QA"/>
        </w:rPr>
        <w:t> </w:t>
      </w:r>
      <w:r w:rsidRPr="00DF5F36">
        <w:rPr>
          <w:lang w:bidi="ar"/>
        </w:rPr>
        <w:t>2015</w:t>
      </w:r>
      <w:r w:rsidRPr="00DF5F36">
        <w:rPr>
          <w:lang w:bidi="ar-QA"/>
        </w:rPr>
        <w:t>.</w:t>
      </w:r>
      <w:r w:rsidRPr="00DF5F36">
        <w:rPr>
          <w:lang w:bidi="ar"/>
        </w:rPr>
        <w:t xml:space="preserve"> </w:t>
      </w:r>
      <w:r w:rsidRPr="00DF5F36">
        <w:rPr>
          <w:lang w:bidi="ar-QA"/>
        </w:rPr>
        <w:t xml:space="preserve">Le taux moyen de fécondité des femmes en âge de procréer a baissé entre </w:t>
      </w:r>
      <w:r w:rsidRPr="00DF5F36">
        <w:rPr>
          <w:lang w:bidi="ar"/>
        </w:rPr>
        <w:t xml:space="preserve">2010 </w:t>
      </w:r>
      <w:r w:rsidRPr="00DF5F36">
        <w:rPr>
          <w:lang w:bidi="ar-QA"/>
        </w:rPr>
        <w:t>et</w:t>
      </w:r>
      <w:r w:rsidR="00DF5F36">
        <w:rPr>
          <w:lang w:bidi="ar-QA"/>
        </w:rPr>
        <w:t> </w:t>
      </w:r>
      <w:r w:rsidRPr="00DF5F36">
        <w:rPr>
          <w:lang w:bidi="ar"/>
        </w:rPr>
        <w:t>2015,</w:t>
      </w:r>
      <w:r w:rsidRPr="00DF5F36">
        <w:rPr>
          <w:lang w:bidi="ar-QA"/>
        </w:rPr>
        <w:t xml:space="preserve"> pour s’établir à </w:t>
      </w:r>
      <w:r w:rsidRPr="00DF5F36">
        <w:rPr>
          <w:lang w:bidi="ar"/>
        </w:rPr>
        <w:t>2,1</w:t>
      </w:r>
      <w:r w:rsidR="00DF5F36">
        <w:rPr>
          <w:lang w:bidi="ar"/>
        </w:rPr>
        <w:t> </w:t>
      </w:r>
      <w:r w:rsidRPr="00DF5F36">
        <w:rPr>
          <w:lang w:bidi="ar-QA"/>
        </w:rPr>
        <w:t>enfants par femme</w:t>
      </w:r>
      <w:r w:rsidRPr="00DF5F36">
        <w:rPr>
          <w:lang w:bidi="ar"/>
        </w:rPr>
        <w:t>,</w:t>
      </w:r>
      <w:r w:rsidRPr="00DF5F36">
        <w:rPr>
          <w:lang w:bidi="ar-QA"/>
        </w:rPr>
        <w:t xml:space="preserve"> mais il reste élevé par rapport à celui de la</w:t>
      </w:r>
      <w:r w:rsidR="00DF5F36">
        <w:rPr>
          <w:lang w:bidi="ar-QA"/>
        </w:rPr>
        <w:t> </w:t>
      </w:r>
      <w:r w:rsidRPr="00DF5F36">
        <w:rPr>
          <w:lang w:bidi="ar-QA"/>
        </w:rPr>
        <w:t xml:space="preserve">Norvège </w:t>
      </w:r>
      <w:r w:rsidRPr="00DF5F36">
        <w:rPr>
          <w:lang w:bidi="ar"/>
        </w:rPr>
        <w:t>(1,8</w:t>
      </w:r>
      <w:r w:rsidR="00DF5F36">
        <w:rPr>
          <w:lang w:bidi="ar"/>
        </w:rPr>
        <w:t> </w:t>
      </w:r>
      <w:r w:rsidRPr="00DF5F36">
        <w:rPr>
          <w:lang w:bidi="ar-QA"/>
        </w:rPr>
        <w:t>enfant par femme</w:t>
      </w:r>
      <w:r w:rsidRPr="00DF5F36">
        <w:rPr>
          <w:lang w:bidi="ar"/>
        </w:rPr>
        <w:t xml:space="preserve">), </w:t>
      </w:r>
      <w:r w:rsidRPr="00DF5F36">
        <w:rPr>
          <w:lang w:bidi="ar-QA"/>
        </w:rPr>
        <w:t>de Hong</w:t>
      </w:r>
      <w:r w:rsidR="00DF5F36">
        <w:rPr>
          <w:lang w:bidi="ar-QA"/>
        </w:rPr>
        <w:t> </w:t>
      </w:r>
      <w:r w:rsidRPr="00DF5F36">
        <w:rPr>
          <w:lang w:bidi="ar-QA"/>
        </w:rPr>
        <w:t xml:space="preserve">Kong </w:t>
      </w:r>
      <w:r w:rsidRPr="00DF5F36">
        <w:rPr>
          <w:lang w:bidi="ar"/>
        </w:rPr>
        <w:t>(1,2</w:t>
      </w:r>
      <w:r w:rsidR="00DF5F36">
        <w:rPr>
          <w:lang w:bidi="ar"/>
        </w:rPr>
        <w:t> </w:t>
      </w:r>
      <w:r w:rsidRPr="00DF5F36">
        <w:rPr>
          <w:lang w:bidi="ar-QA"/>
        </w:rPr>
        <w:t>enfant par femme</w:t>
      </w:r>
      <w:r w:rsidRPr="00DF5F36">
        <w:rPr>
          <w:lang w:bidi="ar"/>
        </w:rPr>
        <w:t xml:space="preserve">), </w:t>
      </w:r>
      <w:r w:rsidRPr="00DF5F36">
        <w:rPr>
          <w:lang w:bidi="ar-QA"/>
        </w:rPr>
        <w:t xml:space="preserve">et de Singapour </w:t>
      </w:r>
      <w:r w:rsidRPr="00DF5F36">
        <w:rPr>
          <w:lang w:bidi="ar"/>
        </w:rPr>
        <w:t>(1,2</w:t>
      </w:r>
      <w:r w:rsidR="00DF5F36">
        <w:rPr>
          <w:lang w:bidi="ar"/>
        </w:rPr>
        <w:t> </w:t>
      </w:r>
      <w:r w:rsidRPr="00DF5F36">
        <w:rPr>
          <w:lang w:bidi="ar-QA"/>
        </w:rPr>
        <w:t>enfant par femme</w:t>
      </w:r>
      <w:r w:rsidRPr="00DF5F36">
        <w:rPr>
          <w:lang w:bidi="ar"/>
        </w:rPr>
        <w:t>).</w:t>
      </w:r>
    </w:p>
    <w:p w14:paraId="79CE5F47" w14:textId="77777777" w:rsidR="009E4C76" w:rsidRPr="00CE611F" w:rsidRDefault="009E4C76" w:rsidP="005D0B7C">
      <w:pPr>
        <w:pStyle w:val="SingleTxtG"/>
        <w:rPr>
          <w:lang w:bidi="ar-QA"/>
        </w:rPr>
      </w:pPr>
      <w:r w:rsidRPr="00CE611F">
        <w:rPr>
          <w:lang w:bidi="ar-QA"/>
        </w:rPr>
        <w:t>24.</w:t>
      </w:r>
      <w:r w:rsidRPr="00CE611F">
        <w:rPr>
          <w:lang w:bidi="ar-QA"/>
        </w:rPr>
        <w:tab/>
        <w:t>Le Qatar analyse régulièrement le niveau de réalisation des objectifs du Millénaire pour le développement. Il a publié cinq rapports d</w:t>
      </w:r>
      <w:r>
        <w:rPr>
          <w:lang w:bidi="ar-QA"/>
        </w:rPr>
        <w:t>’</w:t>
      </w:r>
      <w:r w:rsidRPr="00CE611F">
        <w:rPr>
          <w:lang w:bidi="ar-QA"/>
        </w:rPr>
        <w:t>évaluation à cet égard, dont le dernier en janvier 2017. Ce rapport a montré que le pays a atteint la plupart des objectifs du Millénaire pour le développement et accompli des progrès tangibles dans la réalisation des objectifs restants, sachant que les réalisations les plus importantes mentionnées dans le cinquième rapport sont les suivantes :</w:t>
      </w:r>
    </w:p>
    <w:p w14:paraId="7D2A1BE7" w14:textId="77777777" w:rsidR="009E4C76" w:rsidRPr="00CE611F" w:rsidRDefault="00DF5F36" w:rsidP="00DF5F36">
      <w:pPr>
        <w:pStyle w:val="Bullet1G"/>
        <w:rPr>
          <w:lang w:val="fr-FR" w:bidi="ar-QA"/>
        </w:rPr>
      </w:pPr>
      <w:bookmarkStart w:id="9" w:name="_Toc281916558"/>
      <w:bookmarkStart w:id="10" w:name="_Toc281916773"/>
      <w:bookmarkStart w:id="11" w:name="_Toc281916929"/>
      <w:bookmarkStart w:id="12" w:name="_Toc282337885"/>
      <w:r>
        <w:rPr>
          <w:lang w:val="fr-FR" w:bidi="ar-QA"/>
        </w:rPr>
        <w:t>L</w:t>
      </w:r>
      <w:r w:rsidR="009E4C76">
        <w:rPr>
          <w:lang w:val="fr-FR" w:bidi="ar-QA"/>
        </w:rPr>
        <w:t>’</w:t>
      </w:r>
      <w:r w:rsidR="009E4C76" w:rsidRPr="00CE611F">
        <w:rPr>
          <w:lang w:val="fr-FR" w:bidi="ar-QA"/>
        </w:rPr>
        <w:t>absence de pauvreté, car l</w:t>
      </w:r>
      <w:r w:rsidR="009E4C76">
        <w:rPr>
          <w:lang w:val="fr-FR" w:bidi="ar-QA"/>
        </w:rPr>
        <w:t>’</w:t>
      </w:r>
      <w:r w:rsidR="009E4C76" w:rsidRPr="00CE611F">
        <w:rPr>
          <w:lang w:val="fr-FR" w:bidi="ar-QA"/>
        </w:rPr>
        <w:t>État a réussi à assurer de bonnes conditions de vie à</w:t>
      </w:r>
      <w:r w:rsidR="003432A6">
        <w:rPr>
          <w:lang w:val="fr-FR" w:bidi="ar-QA"/>
        </w:rPr>
        <w:t> </w:t>
      </w:r>
      <w:r w:rsidR="009E4C76" w:rsidRPr="00CE611F">
        <w:rPr>
          <w:lang w:val="fr-FR" w:bidi="ar-QA"/>
        </w:rPr>
        <w:t>tous les citoyens et résidents ;</w:t>
      </w:r>
    </w:p>
    <w:p w14:paraId="537D6986" w14:textId="77777777" w:rsidR="009E4C76" w:rsidRPr="00CE611F" w:rsidRDefault="00DF5F36" w:rsidP="00DF5F36">
      <w:pPr>
        <w:pStyle w:val="Bullet1G"/>
        <w:rPr>
          <w:lang w:val="fr-FR" w:bidi="ar-QA"/>
        </w:rPr>
      </w:pPr>
      <w:r>
        <w:rPr>
          <w:lang w:val="fr-FR" w:bidi="ar-QA"/>
        </w:rPr>
        <w:t>L</w:t>
      </w:r>
      <w:r w:rsidR="009E4C76" w:rsidRPr="00CE611F">
        <w:rPr>
          <w:lang w:val="fr-FR" w:bidi="ar-QA"/>
        </w:rPr>
        <w:t>a réalisation quasi intégrale de l</w:t>
      </w:r>
      <w:r w:rsidR="009E4C76">
        <w:rPr>
          <w:lang w:val="fr-FR" w:bidi="ar-QA"/>
        </w:rPr>
        <w:t>’</w:t>
      </w:r>
      <w:r w:rsidR="009E4C76" w:rsidRPr="00CE611F">
        <w:rPr>
          <w:lang w:val="fr-FR" w:bidi="ar-QA"/>
        </w:rPr>
        <w:t>objectif</w:t>
      </w:r>
      <w:r>
        <w:rPr>
          <w:lang w:val="fr-FR" w:bidi="ar-QA"/>
        </w:rPr>
        <w:t> </w:t>
      </w:r>
      <w:r w:rsidR="009E4C76" w:rsidRPr="00CE611F">
        <w:rPr>
          <w:lang w:val="fr-FR" w:bidi="ar-QA"/>
        </w:rPr>
        <w:t>2 sur l</w:t>
      </w:r>
      <w:r w:rsidR="009E4C76">
        <w:rPr>
          <w:lang w:val="fr-FR" w:bidi="ar-QA"/>
        </w:rPr>
        <w:t>’</w:t>
      </w:r>
      <w:r w:rsidR="009E4C76" w:rsidRPr="00CE611F">
        <w:rPr>
          <w:lang w:val="fr-FR" w:bidi="ar-QA"/>
        </w:rPr>
        <w:t>éducation primaire pour tous les enfants des deux sexes avant 2015, le taux de scolarisation dans le cycle primaire étant de 91 % ;</w:t>
      </w:r>
    </w:p>
    <w:p w14:paraId="0D461638" w14:textId="77777777" w:rsidR="009E4C76" w:rsidRPr="00CE611F" w:rsidRDefault="00DF5F36" w:rsidP="00DF5F36">
      <w:pPr>
        <w:pStyle w:val="Bullet1G"/>
        <w:rPr>
          <w:lang w:val="fr-FR" w:bidi="ar-QA"/>
        </w:rPr>
      </w:pPr>
      <w:r>
        <w:rPr>
          <w:lang w:val="fr-FR" w:bidi="ar-QA"/>
        </w:rPr>
        <w:t>L</w:t>
      </w:r>
      <w:r w:rsidR="009E4C76">
        <w:rPr>
          <w:lang w:val="fr-FR" w:bidi="ar-QA"/>
        </w:rPr>
        <w:t>’</w:t>
      </w:r>
      <w:r w:rsidR="009E4C76" w:rsidRPr="00CE611F">
        <w:rPr>
          <w:lang w:val="fr-FR" w:bidi="ar-QA"/>
        </w:rPr>
        <w:t>avancée dans la réalisation de l</w:t>
      </w:r>
      <w:r w:rsidR="009E4C76">
        <w:rPr>
          <w:lang w:val="fr-FR" w:bidi="ar-QA"/>
        </w:rPr>
        <w:t>’</w:t>
      </w:r>
      <w:r w:rsidR="009E4C76" w:rsidRPr="00CE611F">
        <w:rPr>
          <w:lang w:val="fr-FR" w:bidi="ar-QA"/>
        </w:rPr>
        <w:t>objectif</w:t>
      </w:r>
      <w:r>
        <w:rPr>
          <w:lang w:val="fr-FR" w:bidi="ar-QA"/>
        </w:rPr>
        <w:t> </w:t>
      </w:r>
      <w:r w:rsidR="009E4C76" w:rsidRPr="00CE611F">
        <w:rPr>
          <w:lang w:val="fr-FR" w:bidi="ar-QA"/>
        </w:rPr>
        <w:t>3 sur l</w:t>
      </w:r>
      <w:r w:rsidR="009E4C76">
        <w:rPr>
          <w:lang w:val="fr-FR" w:bidi="ar-QA"/>
        </w:rPr>
        <w:t>’</w:t>
      </w:r>
      <w:r w:rsidR="009E4C76" w:rsidRPr="00CE611F">
        <w:rPr>
          <w:lang w:val="fr-FR" w:bidi="ar-QA"/>
        </w:rPr>
        <w:t>égalité des sexes dans l</w:t>
      </w:r>
      <w:r w:rsidR="009E4C76">
        <w:rPr>
          <w:lang w:val="fr-FR" w:bidi="ar-QA"/>
        </w:rPr>
        <w:t>’</w:t>
      </w:r>
      <w:r w:rsidR="009E4C76" w:rsidRPr="00CE611F">
        <w:rPr>
          <w:lang w:val="fr-FR" w:bidi="ar-QA"/>
        </w:rPr>
        <w:t>enseignement supérieur, puisque l</w:t>
      </w:r>
      <w:r w:rsidR="009E4C76">
        <w:rPr>
          <w:lang w:val="fr-FR" w:bidi="ar-QA"/>
        </w:rPr>
        <w:t>’</w:t>
      </w:r>
      <w:r w:rsidR="009E4C76" w:rsidRPr="00CE611F">
        <w:rPr>
          <w:lang w:val="fr-FR" w:bidi="ar-QA"/>
        </w:rPr>
        <w:t>indice de parité des sexes dans ce secteur a atteint 1,94 ;</w:t>
      </w:r>
    </w:p>
    <w:p w14:paraId="54CF2255" w14:textId="77777777" w:rsidR="009E4C76" w:rsidRPr="00CE611F" w:rsidRDefault="00DF5F36" w:rsidP="00DF5F36">
      <w:pPr>
        <w:pStyle w:val="Bullet1G"/>
        <w:rPr>
          <w:lang w:val="fr-FR" w:bidi="ar-QA"/>
        </w:rPr>
      </w:pPr>
      <w:r>
        <w:rPr>
          <w:lang w:val="fr-FR" w:bidi="ar-QA"/>
        </w:rPr>
        <w:t>L</w:t>
      </w:r>
      <w:r w:rsidR="009E4C76" w:rsidRPr="00CE611F">
        <w:rPr>
          <w:lang w:val="fr-FR" w:bidi="ar-QA"/>
        </w:rPr>
        <w:t>a réalisation de l</w:t>
      </w:r>
      <w:r w:rsidR="009E4C76">
        <w:rPr>
          <w:lang w:val="fr-FR" w:bidi="ar-QA"/>
        </w:rPr>
        <w:t>’</w:t>
      </w:r>
      <w:r w:rsidR="009E4C76" w:rsidRPr="00CE611F">
        <w:rPr>
          <w:lang w:val="fr-FR" w:bidi="ar-QA"/>
        </w:rPr>
        <w:t>objectif</w:t>
      </w:r>
      <w:r>
        <w:rPr>
          <w:lang w:val="fr-FR" w:bidi="ar-QA"/>
        </w:rPr>
        <w:t> </w:t>
      </w:r>
      <w:r w:rsidR="009E4C76" w:rsidRPr="00CE611F">
        <w:rPr>
          <w:lang w:val="fr-FR" w:bidi="ar-QA"/>
        </w:rPr>
        <w:t>4, puisque le taux de mortalité des enfants de moins de</w:t>
      </w:r>
      <w:r w:rsidR="003432A6">
        <w:rPr>
          <w:lang w:val="fr-FR" w:bidi="ar-QA"/>
        </w:rPr>
        <w:t> </w:t>
      </w:r>
      <w:r w:rsidR="009E4C76" w:rsidRPr="00CE611F">
        <w:rPr>
          <w:lang w:val="fr-FR" w:bidi="ar-QA"/>
        </w:rPr>
        <w:t>5</w:t>
      </w:r>
      <w:r w:rsidR="003432A6">
        <w:rPr>
          <w:lang w:val="fr-FR" w:bidi="ar-QA"/>
        </w:rPr>
        <w:t> </w:t>
      </w:r>
      <w:r w:rsidR="009E4C76" w:rsidRPr="00CE611F">
        <w:rPr>
          <w:lang w:val="fr-FR" w:bidi="ar-QA"/>
        </w:rPr>
        <w:t>ans a baissé des deux tiers ;</w:t>
      </w:r>
    </w:p>
    <w:p w14:paraId="2964F55D" w14:textId="77777777" w:rsidR="009E4C76" w:rsidRPr="00CE611F" w:rsidRDefault="00DF5F36" w:rsidP="00DF5F36">
      <w:pPr>
        <w:pStyle w:val="Bullet1G"/>
        <w:rPr>
          <w:lang w:val="fr-FR" w:bidi="ar-QA"/>
        </w:rPr>
      </w:pPr>
      <w:r>
        <w:rPr>
          <w:lang w:val="fr-FR" w:bidi="ar-QA"/>
        </w:rPr>
        <w:t>L</w:t>
      </w:r>
      <w:r w:rsidR="009E4C76" w:rsidRPr="00CE611F">
        <w:rPr>
          <w:lang w:val="fr-FR" w:bidi="ar-QA"/>
        </w:rPr>
        <w:t>e dépassement de l</w:t>
      </w:r>
      <w:r w:rsidR="009E4C76">
        <w:rPr>
          <w:lang w:val="fr-FR" w:bidi="ar-QA"/>
        </w:rPr>
        <w:t>’</w:t>
      </w:r>
      <w:r w:rsidR="009E4C76" w:rsidRPr="00CE611F">
        <w:rPr>
          <w:lang w:val="fr-FR" w:bidi="ar-QA"/>
        </w:rPr>
        <w:t>objectif de réduction des trois-quarts du taux de mortalité maternelle ;</w:t>
      </w:r>
    </w:p>
    <w:p w14:paraId="2125CC80" w14:textId="77777777" w:rsidR="009E4C76" w:rsidRPr="00CE611F" w:rsidRDefault="00DF5F36" w:rsidP="00DF5F36">
      <w:pPr>
        <w:pStyle w:val="Bullet1G"/>
        <w:rPr>
          <w:lang w:val="fr-FR" w:bidi="ar-QA"/>
        </w:rPr>
      </w:pPr>
      <w:r>
        <w:rPr>
          <w:lang w:val="fr-FR" w:bidi="ar-QA"/>
        </w:rPr>
        <w:t>L</w:t>
      </w:r>
      <w:r w:rsidR="009E4C76" w:rsidRPr="00CE611F">
        <w:rPr>
          <w:lang w:val="fr-FR" w:bidi="ar-QA"/>
        </w:rPr>
        <w:t>a réalisation de l</w:t>
      </w:r>
      <w:r w:rsidR="009E4C76">
        <w:rPr>
          <w:lang w:val="fr-FR" w:bidi="ar-QA"/>
        </w:rPr>
        <w:t>’</w:t>
      </w:r>
      <w:r w:rsidR="009E4C76" w:rsidRPr="00CE611F">
        <w:rPr>
          <w:lang w:val="fr-FR" w:bidi="ar-QA"/>
        </w:rPr>
        <w:t>objectif d</w:t>
      </w:r>
      <w:r w:rsidR="009E4C76">
        <w:rPr>
          <w:lang w:val="fr-FR" w:bidi="ar-QA"/>
        </w:rPr>
        <w:t>’</w:t>
      </w:r>
      <w:r w:rsidR="009E4C76" w:rsidRPr="00CE611F">
        <w:rPr>
          <w:lang w:val="fr-FR" w:bidi="ar-QA"/>
        </w:rPr>
        <w:t>éradication du paludisme et des maladies contagieuses ;</w:t>
      </w:r>
    </w:p>
    <w:p w14:paraId="42230A90" w14:textId="77777777" w:rsidR="009E4C76" w:rsidRPr="00CE611F" w:rsidRDefault="00DF5F36" w:rsidP="00DF5F36">
      <w:pPr>
        <w:pStyle w:val="Bullet1G"/>
        <w:rPr>
          <w:lang w:val="fr-FR" w:bidi="ar-QA"/>
        </w:rPr>
      </w:pPr>
      <w:r>
        <w:rPr>
          <w:lang w:val="fr-FR" w:bidi="ar-QA"/>
        </w:rPr>
        <w:t>L</w:t>
      </w:r>
      <w:r w:rsidR="009E4C76" w:rsidRPr="00CE611F">
        <w:rPr>
          <w:lang w:val="fr-FR" w:bidi="ar-QA"/>
        </w:rPr>
        <w:t>a réalisation d</w:t>
      </w:r>
      <w:r w:rsidR="009E4C76">
        <w:rPr>
          <w:lang w:val="fr-FR" w:bidi="ar-QA"/>
        </w:rPr>
        <w:t>’</w:t>
      </w:r>
      <w:r w:rsidR="009E4C76" w:rsidRPr="00CE611F">
        <w:rPr>
          <w:lang w:val="fr-FR" w:bidi="ar-QA"/>
        </w:rPr>
        <w:t>une grande partie des éléments de l</w:t>
      </w:r>
      <w:r w:rsidR="009E4C76">
        <w:rPr>
          <w:lang w:val="fr-FR" w:bidi="ar-QA"/>
        </w:rPr>
        <w:t>’</w:t>
      </w:r>
      <w:r w:rsidR="009E4C76" w:rsidRPr="00CE611F">
        <w:rPr>
          <w:lang w:val="fr-FR" w:bidi="ar-QA"/>
        </w:rPr>
        <w:t>objectif relatif à la durabilité environnementale.</w:t>
      </w:r>
    </w:p>
    <w:p w14:paraId="55591BC4" w14:textId="77777777" w:rsidR="009E4C76" w:rsidRPr="00CE611F" w:rsidRDefault="009E4C76" w:rsidP="00B7563E">
      <w:pPr>
        <w:pStyle w:val="H23G"/>
        <w:rPr>
          <w:rtl/>
          <w:lang w:bidi="fr-FR"/>
        </w:rPr>
      </w:pPr>
      <w:r w:rsidRPr="00CE611F">
        <w:rPr>
          <w:lang w:bidi="ar-QA"/>
        </w:rPr>
        <w:tab/>
      </w:r>
      <w:r w:rsidRPr="00CE611F">
        <w:rPr>
          <w:lang w:bidi="ar-QA"/>
        </w:rPr>
        <w:tab/>
        <w:t>Taux de scolarisation net et brut</w:t>
      </w:r>
    </w:p>
    <w:p w14:paraId="568B05CB" w14:textId="77777777" w:rsidR="009E4C76" w:rsidRPr="00CE611F" w:rsidRDefault="009E4C76" w:rsidP="005D0B7C">
      <w:pPr>
        <w:pStyle w:val="SingleTxtG"/>
      </w:pPr>
      <w:r w:rsidRPr="00CE611F">
        <w:t>25.</w:t>
      </w:r>
      <w:r w:rsidRPr="00CE611F">
        <w:tab/>
      </w:r>
      <w:r w:rsidRPr="00CE611F">
        <w:rPr>
          <w:spacing w:val="-2"/>
          <w:lang w:bidi="ar-QA"/>
        </w:rPr>
        <w:t>En 2016-2017, le taux de scolarisation brut des garçons dans l</w:t>
      </w:r>
      <w:r>
        <w:rPr>
          <w:spacing w:val="-2"/>
          <w:lang w:bidi="ar-QA"/>
        </w:rPr>
        <w:t>’</w:t>
      </w:r>
      <w:r w:rsidRPr="00CE611F">
        <w:rPr>
          <w:spacing w:val="-2"/>
          <w:lang w:bidi="ar-QA"/>
        </w:rPr>
        <w:t>enseignement primaire était de 106,2 contre 106,0 pour les filles, avec un indice de parité de 100 %. La même année, le taux de scolarisation net des garçons était de 96,3 contre 96,5 pour les filles, avec un indice de parité de 100,2 %</w:t>
      </w:r>
      <w:r w:rsidRPr="00CE611F">
        <w:t>.</w:t>
      </w:r>
    </w:p>
    <w:p w14:paraId="2E6A238D" w14:textId="77777777" w:rsidR="009E4C76" w:rsidRDefault="00B7563E" w:rsidP="00B7563E">
      <w:pPr>
        <w:pStyle w:val="H23G"/>
        <w:rPr>
          <w:lang w:bidi="ar-QA"/>
        </w:rPr>
      </w:pPr>
      <w:r w:rsidRPr="00B7563E">
        <w:rPr>
          <w:b w:val="0"/>
          <w:lang w:bidi="ar-QA"/>
        </w:rPr>
        <w:tab/>
      </w:r>
      <w:r w:rsidRPr="00B7563E">
        <w:rPr>
          <w:b w:val="0"/>
          <w:lang w:bidi="ar-QA"/>
        </w:rPr>
        <w:tab/>
      </w:r>
      <w:r w:rsidR="009E4C76" w:rsidRPr="00B7563E">
        <w:rPr>
          <w:b w:val="0"/>
          <w:lang w:bidi="ar-QA"/>
        </w:rPr>
        <w:t>Tableau 10</w:t>
      </w:r>
      <w:r>
        <w:rPr>
          <w:b w:val="0"/>
          <w:lang w:bidi="ar-QA"/>
        </w:rPr>
        <w:t xml:space="preserve"> </w:t>
      </w:r>
      <w:r w:rsidR="009E4C76" w:rsidRPr="00CE611F">
        <w:rPr>
          <w:lang w:bidi="ar-QA"/>
        </w:rPr>
        <w:br/>
        <w:t>Taux de scolarisation brut et net dans l</w:t>
      </w:r>
      <w:r w:rsidR="009E4C76">
        <w:rPr>
          <w:lang w:bidi="ar-QA"/>
        </w:rPr>
        <w:t>’</w:t>
      </w:r>
      <w:r w:rsidR="009E4C76" w:rsidRPr="00CE611F">
        <w:rPr>
          <w:lang w:bidi="ar-QA"/>
        </w:rPr>
        <w:t>enseignement primaire selon la nationalité (2010</w:t>
      </w:r>
      <w:r w:rsidR="00AA3221">
        <w:rPr>
          <w:lang w:bidi="ar-QA"/>
        </w:rPr>
        <w:t>/</w:t>
      </w:r>
      <w:r w:rsidR="009E4C76" w:rsidRPr="00CE611F">
        <w:rPr>
          <w:lang w:bidi="ar-QA"/>
        </w:rPr>
        <w:t>11 à 2016</w:t>
      </w:r>
      <w:r w:rsidR="00AA3221">
        <w:rPr>
          <w:lang w:bidi="ar-QA"/>
        </w:rPr>
        <w:t>/</w:t>
      </w:r>
      <w:r w:rsidR="009E4C76" w:rsidRPr="00CE611F">
        <w:rPr>
          <w:lang w:bidi="ar-QA"/>
        </w:rPr>
        <w:t>17)</w:t>
      </w:r>
    </w:p>
    <w:tbl>
      <w:tblPr>
        <w:tblStyle w:val="Grilledutableau"/>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474"/>
        <w:gridCol w:w="1564"/>
        <w:gridCol w:w="1553"/>
        <w:gridCol w:w="1390"/>
        <w:gridCol w:w="1390"/>
      </w:tblGrid>
      <w:tr w:rsidR="00B55773" w:rsidRPr="00B7563E" w14:paraId="5C78A3FE" w14:textId="77777777" w:rsidTr="009D277F">
        <w:trPr>
          <w:tblHeader/>
        </w:trPr>
        <w:tc>
          <w:tcPr>
            <w:tcW w:w="1474" w:type="dxa"/>
            <w:vMerge w:val="restart"/>
            <w:tcBorders>
              <w:top w:val="single" w:sz="4" w:space="0" w:color="auto"/>
            </w:tcBorders>
            <w:shd w:val="clear" w:color="auto" w:fill="auto"/>
            <w:vAlign w:val="bottom"/>
          </w:tcPr>
          <w:p w14:paraId="38E293CB" w14:textId="77777777" w:rsidR="00B55773" w:rsidRPr="00B7563E" w:rsidRDefault="00B55773" w:rsidP="00B7563E">
            <w:pPr>
              <w:spacing w:before="80" w:after="80" w:line="200" w:lineRule="exact"/>
              <w:rPr>
                <w:i/>
                <w:sz w:val="16"/>
                <w:lang w:bidi="ar-QA"/>
              </w:rPr>
            </w:pPr>
            <w:r>
              <w:rPr>
                <w:i/>
                <w:sz w:val="16"/>
                <w:lang w:bidi="ar-QA"/>
              </w:rPr>
              <w:t>Année</w:t>
            </w:r>
          </w:p>
        </w:tc>
        <w:tc>
          <w:tcPr>
            <w:tcW w:w="3117" w:type="dxa"/>
            <w:gridSpan w:val="2"/>
            <w:tcBorders>
              <w:top w:val="single" w:sz="4" w:space="0" w:color="auto"/>
              <w:bottom w:val="single" w:sz="4" w:space="0" w:color="auto"/>
              <w:right w:val="single" w:sz="24" w:space="0" w:color="FFFFFF" w:themeColor="background1"/>
            </w:tcBorders>
            <w:shd w:val="clear" w:color="auto" w:fill="auto"/>
            <w:vAlign w:val="bottom"/>
          </w:tcPr>
          <w:p w14:paraId="674C95BB" w14:textId="77777777" w:rsidR="00B55773" w:rsidRPr="00B7563E" w:rsidRDefault="00B55773" w:rsidP="00B55773">
            <w:pPr>
              <w:spacing w:before="80" w:after="80" w:line="200" w:lineRule="exact"/>
              <w:jc w:val="center"/>
              <w:rPr>
                <w:i/>
                <w:sz w:val="16"/>
                <w:lang w:bidi="ar-QA"/>
              </w:rPr>
            </w:pPr>
            <w:r w:rsidRPr="00B7563E">
              <w:rPr>
                <w:i/>
                <w:sz w:val="16"/>
                <w:lang w:val="fr-FR" w:bidi="ar-QA"/>
              </w:rPr>
              <w:t>Taux de scolarisation brut</w:t>
            </w:r>
          </w:p>
        </w:tc>
        <w:tc>
          <w:tcPr>
            <w:tcW w:w="2779" w:type="dxa"/>
            <w:gridSpan w:val="2"/>
            <w:tcBorders>
              <w:top w:val="single" w:sz="4" w:space="0" w:color="auto"/>
              <w:left w:val="single" w:sz="24" w:space="0" w:color="FFFFFF" w:themeColor="background1"/>
              <w:bottom w:val="single" w:sz="4" w:space="0" w:color="auto"/>
            </w:tcBorders>
            <w:shd w:val="clear" w:color="auto" w:fill="auto"/>
            <w:vAlign w:val="bottom"/>
          </w:tcPr>
          <w:p w14:paraId="00190F9D" w14:textId="77777777" w:rsidR="00B55773" w:rsidRPr="00B7563E" w:rsidRDefault="00B55773" w:rsidP="00B55773">
            <w:pPr>
              <w:spacing w:before="80" w:after="80" w:line="200" w:lineRule="exact"/>
              <w:jc w:val="center"/>
              <w:rPr>
                <w:i/>
                <w:sz w:val="16"/>
                <w:lang w:bidi="ar-QA"/>
              </w:rPr>
            </w:pPr>
            <w:r w:rsidRPr="00B7563E">
              <w:rPr>
                <w:i/>
                <w:sz w:val="16"/>
                <w:lang w:val="fr-FR" w:bidi="ar-QA"/>
              </w:rPr>
              <w:t>Taux de scolarisation net</w:t>
            </w:r>
          </w:p>
        </w:tc>
      </w:tr>
      <w:tr w:rsidR="00B7563E" w:rsidRPr="00B7563E" w14:paraId="70B8F352" w14:textId="77777777" w:rsidTr="009D277F">
        <w:trPr>
          <w:tblHeader/>
        </w:trPr>
        <w:tc>
          <w:tcPr>
            <w:tcW w:w="1474" w:type="dxa"/>
            <w:vMerge/>
            <w:tcBorders>
              <w:bottom w:val="single" w:sz="12" w:space="0" w:color="auto"/>
            </w:tcBorders>
            <w:shd w:val="clear" w:color="auto" w:fill="auto"/>
            <w:vAlign w:val="bottom"/>
          </w:tcPr>
          <w:p w14:paraId="1B383CB1" w14:textId="77777777" w:rsidR="00B7563E" w:rsidRPr="00B7563E" w:rsidRDefault="00B7563E" w:rsidP="00B7563E">
            <w:pPr>
              <w:spacing w:before="80" w:after="80" w:line="200" w:lineRule="exact"/>
              <w:rPr>
                <w:i/>
                <w:sz w:val="16"/>
                <w:lang w:bidi="ar-QA"/>
              </w:rPr>
            </w:pPr>
          </w:p>
        </w:tc>
        <w:tc>
          <w:tcPr>
            <w:tcW w:w="1564" w:type="dxa"/>
            <w:tcBorders>
              <w:top w:val="single" w:sz="4" w:space="0" w:color="auto"/>
              <w:bottom w:val="single" w:sz="12" w:space="0" w:color="auto"/>
            </w:tcBorders>
            <w:shd w:val="clear" w:color="auto" w:fill="auto"/>
            <w:vAlign w:val="bottom"/>
          </w:tcPr>
          <w:p w14:paraId="577D0540" w14:textId="77777777" w:rsidR="00B7563E" w:rsidRPr="00B7563E" w:rsidRDefault="00B7563E" w:rsidP="00B7563E">
            <w:pPr>
              <w:spacing w:before="80" w:after="80" w:line="200" w:lineRule="exact"/>
              <w:jc w:val="right"/>
              <w:rPr>
                <w:i/>
                <w:sz w:val="16"/>
                <w:lang w:bidi="ar-QA"/>
              </w:rPr>
            </w:pPr>
            <w:r>
              <w:rPr>
                <w:i/>
                <w:sz w:val="16"/>
                <w:lang w:bidi="ar-QA"/>
              </w:rPr>
              <w:t>Qataris</w:t>
            </w:r>
          </w:p>
        </w:tc>
        <w:tc>
          <w:tcPr>
            <w:tcW w:w="1553" w:type="dxa"/>
            <w:tcBorders>
              <w:top w:val="single" w:sz="4" w:space="0" w:color="auto"/>
              <w:bottom w:val="single" w:sz="12" w:space="0" w:color="auto"/>
              <w:right w:val="single" w:sz="24" w:space="0" w:color="FFFFFF" w:themeColor="background1"/>
            </w:tcBorders>
            <w:shd w:val="clear" w:color="auto" w:fill="auto"/>
            <w:vAlign w:val="bottom"/>
          </w:tcPr>
          <w:p w14:paraId="723F55DE" w14:textId="77777777" w:rsidR="00B7563E" w:rsidRPr="00B7563E" w:rsidRDefault="00B7563E" w:rsidP="00B7563E">
            <w:pPr>
              <w:spacing w:before="80" w:after="80" w:line="200" w:lineRule="exact"/>
              <w:jc w:val="right"/>
              <w:rPr>
                <w:i/>
                <w:sz w:val="16"/>
                <w:lang w:bidi="ar-QA"/>
              </w:rPr>
            </w:pPr>
            <w:r>
              <w:rPr>
                <w:i/>
                <w:sz w:val="16"/>
                <w:lang w:bidi="ar-QA"/>
              </w:rPr>
              <w:t>Non</w:t>
            </w:r>
            <w:r w:rsidR="005E0DDE">
              <w:rPr>
                <w:i/>
                <w:sz w:val="16"/>
                <w:lang w:bidi="ar-QA"/>
              </w:rPr>
              <w:t>-Q</w:t>
            </w:r>
            <w:r>
              <w:rPr>
                <w:i/>
                <w:sz w:val="16"/>
                <w:lang w:bidi="ar-QA"/>
              </w:rPr>
              <w:t>ataris</w:t>
            </w:r>
          </w:p>
        </w:tc>
        <w:tc>
          <w:tcPr>
            <w:tcW w:w="1390" w:type="dxa"/>
            <w:tcBorders>
              <w:top w:val="single" w:sz="4" w:space="0" w:color="auto"/>
              <w:left w:val="single" w:sz="24" w:space="0" w:color="FFFFFF" w:themeColor="background1"/>
              <w:bottom w:val="single" w:sz="12" w:space="0" w:color="auto"/>
            </w:tcBorders>
            <w:shd w:val="clear" w:color="auto" w:fill="auto"/>
            <w:vAlign w:val="bottom"/>
          </w:tcPr>
          <w:p w14:paraId="02CE1BE4" w14:textId="77777777" w:rsidR="00B7563E" w:rsidRPr="00B7563E" w:rsidRDefault="00B7563E" w:rsidP="00B7563E">
            <w:pPr>
              <w:spacing w:before="80" w:after="80" w:line="200" w:lineRule="exact"/>
              <w:jc w:val="right"/>
              <w:rPr>
                <w:i/>
                <w:sz w:val="16"/>
                <w:lang w:bidi="ar-QA"/>
              </w:rPr>
            </w:pPr>
            <w:r>
              <w:rPr>
                <w:i/>
                <w:sz w:val="16"/>
                <w:lang w:bidi="ar-QA"/>
              </w:rPr>
              <w:t>Qataris</w:t>
            </w:r>
          </w:p>
        </w:tc>
        <w:tc>
          <w:tcPr>
            <w:tcW w:w="1390" w:type="dxa"/>
            <w:tcBorders>
              <w:top w:val="single" w:sz="4" w:space="0" w:color="auto"/>
              <w:bottom w:val="single" w:sz="12" w:space="0" w:color="auto"/>
            </w:tcBorders>
            <w:shd w:val="clear" w:color="auto" w:fill="auto"/>
            <w:vAlign w:val="bottom"/>
          </w:tcPr>
          <w:p w14:paraId="38109F38" w14:textId="77777777" w:rsidR="00B7563E" w:rsidRPr="00B7563E" w:rsidRDefault="00B7563E" w:rsidP="00B7563E">
            <w:pPr>
              <w:spacing w:before="80" w:after="80" w:line="200" w:lineRule="exact"/>
              <w:jc w:val="right"/>
              <w:rPr>
                <w:i/>
                <w:sz w:val="16"/>
                <w:lang w:bidi="ar-QA"/>
              </w:rPr>
            </w:pPr>
            <w:r>
              <w:rPr>
                <w:i/>
                <w:sz w:val="16"/>
                <w:lang w:bidi="ar-QA"/>
              </w:rPr>
              <w:t>Non</w:t>
            </w:r>
            <w:r w:rsidR="005E0DDE">
              <w:rPr>
                <w:i/>
                <w:sz w:val="16"/>
                <w:lang w:bidi="ar-QA"/>
              </w:rPr>
              <w:t>-Q</w:t>
            </w:r>
            <w:r>
              <w:rPr>
                <w:i/>
                <w:sz w:val="16"/>
                <w:lang w:bidi="ar-QA"/>
              </w:rPr>
              <w:t>ataris</w:t>
            </w:r>
          </w:p>
        </w:tc>
      </w:tr>
      <w:tr w:rsidR="0075769E" w14:paraId="219140AF" w14:textId="77777777" w:rsidTr="009D277F">
        <w:tc>
          <w:tcPr>
            <w:tcW w:w="1474" w:type="dxa"/>
            <w:tcBorders>
              <w:top w:val="single" w:sz="12" w:space="0" w:color="auto"/>
            </w:tcBorders>
            <w:shd w:val="clear" w:color="auto" w:fill="auto"/>
            <w:vAlign w:val="bottom"/>
          </w:tcPr>
          <w:p w14:paraId="025B88AE" w14:textId="77777777" w:rsidR="0075769E" w:rsidRPr="00B7563E" w:rsidRDefault="0075769E" w:rsidP="0075769E">
            <w:pPr>
              <w:suppressAutoHyphens w:val="0"/>
              <w:spacing w:before="40" w:after="40" w:line="220" w:lineRule="exact"/>
              <w:rPr>
                <w:sz w:val="18"/>
                <w:lang w:val="fr-FR" w:bidi="ar-QA"/>
              </w:rPr>
            </w:pPr>
            <w:r w:rsidRPr="00B7563E">
              <w:rPr>
                <w:sz w:val="18"/>
                <w:lang w:val="fr-FR" w:bidi="ar-QA"/>
              </w:rPr>
              <w:t>2010</w:t>
            </w:r>
            <w:r w:rsidR="00C47FEF">
              <w:rPr>
                <w:sz w:val="18"/>
                <w:lang w:val="fr-FR" w:bidi="ar-QA"/>
              </w:rPr>
              <w:t>/</w:t>
            </w:r>
            <w:r w:rsidRPr="00B7563E">
              <w:rPr>
                <w:sz w:val="18"/>
                <w:lang w:val="fr-FR" w:bidi="ar-QA"/>
              </w:rPr>
              <w:t>11</w:t>
            </w:r>
          </w:p>
        </w:tc>
        <w:tc>
          <w:tcPr>
            <w:tcW w:w="1564" w:type="dxa"/>
            <w:tcBorders>
              <w:top w:val="single" w:sz="12" w:space="0" w:color="auto"/>
            </w:tcBorders>
            <w:shd w:val="clear" w:color="auto" w:fill="auto"/>
          </w:tcPr>
          <w:p w14:paraId="0C97204E" w14:textId="77777777" w:rsidR="0075769E" w:rsidRPr="00B7563E" w:rsidRDefault="0075769E" w:rsidP="0075769E">
            <w:pPr>
              <w:suppressAutoHyphens w:val="0"/>
              <w:spacing w:before="40" w:after="40" w:line="220" w:lineRule="exact"/>
              <w:jc w:val="right"/>
              <w:rPr>
                <w:sz w:val="18"/>
                <w:lang w:val="fr-FR" w:bidi="ar-QA"/>
              </w:rPr>
            </w:pPr>
            <w:r>
              <w:rPr>
                <w:sz w:val="18"/>
                <w:lang w:val="fr-FR" w:bidi="ar-QA"/>
              </w:rPr>
              <w:t>94,5</w:t>
            </w:r>
          </w:p>
        </w:tc>
        <w:tc>
          <w:tcPr>
            <w:tcW w:w="1553" w:type="dxa"/>
            <w:tcBorders>
              <w:top w:val="single" w:sz="12" w:space="0" w:color="auto"/>
            </w:tcBorders>
            <w:shd w:val="clear" w:color="auto" w:fill="auto"/>
            <w:vAlign w:val="bottom"/>
          </w:tcPr>
          <w:p w14:paraId="1CBF0072" w14:textId="77777777" w:rsidR="0075769E" w:rsidRPr="00B7563E" w:rsidRDefault="0075769E" w:rsidP="0075769E">
            <w:pPr>
              <w:suppressAutoHyphens w:val="0"/>
              <w:spacing w:before="40" w:after="40" w:line="220" w:lineRule="exact"/>
              <w:jc w:val="right"/>
              <w:rPr>
                <w:sz w:val="18"/>
                <w:lang w:val="fr-FR" w:bidi="ar-QA"/>
              </w:rPr>
            </w:pPr>
            <w:r w:rsidRPr="00B7563E">
              <w:rPr>
                <w:sz w:val="18"/>
                <w:lang w:val="fr-FR" w:bidi="ar-QA"/>
              </w:rPr>
              <w:t>102,3</w:t>
            </w:r>
          </w:p>
        </w:tc>
        <w:tc>
          <w:tcPr>
            <w:tcW w:w="1390" w:type="dxa"/>
            <w:tcBorders>
              <w:top w:val="single" w:sz="12" w:space="0" w:color="auto"/>
            </w:tcBorders>
            <w:shd w:val="clear" w:color="auto" w:fill="auto"/>
          </w:tcPr>
          <w:p w14:paraId="6680D10C" w14:textId="77777777" w:rsidR="0075769E" w:rsidRPr="00B7563E" w:rsidRDefault="0075769E" w:rsidP="0075769E">
            <w:pPr>
              <w:suppressAutoHyphens w:val="0"/>
              <w:spacing w:before="40" w:after="40" w:line="220" w:lineRule="exact"/>
              <w:jc w:val="right"/>
              <w:rPr>
                <w:sz w:val="18"/>
                <w:lang w:val="fr-FR" w:bidi="ar-QA"/>
              </w:rPr>
            </w:pPr>
            <w:r w:rsidRPr="00B7563E">
              <w:rPr>
                <w:sz w:val="18"/>
                <w:lang w:val="fr-FR" w:bidi="ar-QA"/>
              </w:rPr>
              <w:t>86,8</w:t>
            </w:r>
          </w:p>
        </w:tc>
        <w:tc>
          <w:tcPr>
            <w:tcW w:w="1390" w:type="dxa"/>
            <w:tcBorders>
              <w:top w:val="single" w:sz="12" w:space="0" w:color="auto"/>
            </w:tcBorders>
            <w:shd w:val="clear" w:color="auto" w:fill="auto"/>
            <w:vAlign w:val="bottom"/>
          </w:tcPr>
          <w:p w14:paraId="76E09A6D" w14:textId="77777777" w:rsidR="0075769E" w:rsidRPr="00B7563E" w:rsidRDefault="0075769E" w:rsidP="0075769E">
            <w:pPr>
              <w:suppressAutoHyphens w:val="0"/>
              <w:spacing w:before="40" w:after="40" w:line="220" w:lineRule="exact"/>
              <w:jc w:val="right"/>
              <w:rPr>
                <w:sz w:val="18"/>
                <w:lang w:val="fr-FR" w:bidi="ar-QA"/>
              </w:rPr>
            </w:pPr>
            <w:r>
              <w:rPr>
                <w:sz w:val="18"/>
                <w:lang w:val="fr-FR" w:bidi="ar-QA"/>
              </w:rPr>
              <w:t>92,7</w:t>
            </w:r>
          </w:p>
        </w:tc>
      </w:tr>
      <w:tr w:rsidR="0075769E" w14:paraId="7A274C97" w14:textId="77777777" w:rsidTr="009D277F">
        <w:tc>
          <w:tcPr>
            <w:tcW w:w="1474" w:type="dxa"/>
            <w:shd w:val="clear" w:color="auto" w:fill="auto"/>
            <w:vAlign w:val="bottom"/>
          </w:tcPr>
          <w:p w14:paraId="5C6B416E" w14:textId="77777777" w:rsidR="0075769E" w:rsidRPr="00B7563E" w:rsidRDefault="0075769E" w:rsidP="0075769E">
            <w:pPr>
              <w:suppressAutoHyphens w:val="0"/>
              <w:spacing w:before="40" w:after="40" w:line="220" w:lineRule="exact"/>
              <w:rPr>
                <w:sz w:val="18"/>
                <w:lang w:val="fr-FR" w:bidi="ar-QA"/>
              </w:rPr>
            </w:pPr>
            <w:r w:rsidRPr="00B7563E">
              <w:rPr>
                <w:sz w:val="18"/>
                <w:lang w:val="fr-FR" w:bidi="ar-QA"/>
              </w:rPr>
              <w:t>2011</w:t>
            </w:r>
            <w:r w:rsidR="00C47FEF">
              <w:rPr>
                <w:sz w:val="18"/>
                <w:lang w:val="fr-FR" w:bidi="ar-QA"/>
              </w:rPr>
              <w:t>/1</w:t>
            </w:r>
            <w:r w:rsidRPr="00B7563E">
              <w:rPr>
                <w:sz w:val="18"/>
                <w:lang w:val="fr-FR" w:bidi="ar-QA"/>
              </w:rPr>
              <w:t>2</w:t>
            </w:r>
          </w:p>
        </w:tc>
        <w:tc>
          <w:tcPr>
            <w:tcW w:w="1564" w:type="dxa"/>
            <w:shd w:val="clear" w:color="auto" w:fill="auto"/>
          </w:tcPr>
          <w:p w14:paraId="19B9FA38" w14:textId="77777777" w:rsidR="0075769E" w:rsidRPr="00B7563E" w:rsidRDefault="0075769E" w:rsidP="0075769E">
            <w:pPr>
              <w:suppressAutoHyphens w:val="0"/>
              <w:spacing w:before="40" w:after="40" w:line="220" w:lineRule="exact"/>
              <w:jc w:val="right"/>
              <w:rPr>
                <w:sz w:val="18"/>
                <w:lang w:val="fr-FR" w:bidi="ar-QA"/>
              </w:rPr>
            </w:pPr>
            <w:r w:rsidRPr="00B7563E">
              <w:rPr>
                <w:sz w:val="18"/>
                <w:lang w:val="fr-FR" w:bidi="ar-QA"/>
              </w:rPr>
              <w:t>96,</w:t>
            </w:r>
            <w:r>
              <w:rPr>
                <w:sz w:val="18"/>
                <w:lang w:val="fr-FR" w:bidi="ar-QA"/>
              </w:rPr>
              <w:t>9</w:t>
            </w:r>
          </w:p>
        </w:tc>
        <w:tc>
          <w:tcPr>
            <w:tcW w:w="1553" w:type="dxa"/>
            <w:shd w:val="clear" w:color="auto" w:fill="auto"/>
            <w:vAlign w:val="bottom"/>
          </w:tcPr>
          <w:p w14:paraId="0EC10758" w14:textId="77777777" w:rsidR="0075769E" w:rsidRPr="00B7563E" w:rsidRDefault="0075769E" w:rsidP="0075769E">
            <w:pPr>
              <w:suppressAutoHyphens w:val="0"/>
              <w:spacing w:before="40" w:after="40" w:line="220" w:lineRule="exact"/>
              <w:jc w:val="right"/>
              <w:rPr>
                <w:sz w:val="18"/>
                <w:lang w:val="fr-FR" w:bidi="ar-QA"/>
              </w:rPr>
            </w:pPr>
            <w:r w:rsidRPr="00B7563E">
              <w:rPr>
                <w:sz w:val="18"/>
                <w:lang w:val="fr-FR" w:bidi="ar-QA"/>
              </w:rPr>
              <w:t>105,9</w:t>
            </w:r>
          </w:p>
        </w:tc>
        <w:tc>
          <w:tcPr>
            <w:tcW w:w="1390" w:type="dxa"/>
            <w:shd w:val="clear" w:color="auto" w:fill="auto"/>
          </w:tcPr>
          <w:p w14:paraId="1E437C02" w14:textId="77777777" w:rsidR="0075769E" w:rsidRPr="00B7563E" w:rsidRDefault="0075769E" w:rsidP="0075769E">
            <w:pPr>
              <w:suppressAutoHyphens w:val="0"/>
              <w:spacing w:before="40" w:after="40" w:line="220" w:lineRule="exact"/>
              <w:jc w:val="right"/>
              <w:rPr>
                <w:sz w:val="18"/>
                <w:lang w:val="fr-FR" w:bidi="ar-QA"/>
              </w:rPr>
            </w:pPr>
            <w:r w:rsidRPr="00B7563E">
              <w:rPr>
                <w:sz w:val="18"/>
                <w:lang w:val="fr-FR" w:bidi="ar-QA"/>
              </w:rPr>
              <w:t>89,4</w:t>
            </w:r>
          </w:p>
        </w:tc>
        <w:tc>
          <w:tcPr>
            <w:tcW w:w="1390" w:type="dxa"/>
            <w:shd w:val="clear" w:color="auto" w:fill="auto"/>
            <w:vAlign w:val="bottom"/>
          </w:tcPr>
          <w:p w14:paraId="1DF925AE" w14:textId="77777777" w:rsidR="0075769E" w:rsidRPr="00B7563E" w:rsidRDefault="0075769E" w:rsidP="0075769E">
            <w:pPr>
              <w:suppressAutoHyphens w:val="0"/>
              <w:spacing w:before="40" w:after="40" w:line="220" w:lineRule="exact"/>
              <w:jc w:val="right"/>
              <w:rPr>
                <w:sz w:val="18"/>
                <w:lang w:val="fr-FR" w:bidi="ar-QA"/>
              </w:rPr>
            </w:pPr>
            <w:r>
              <w:rPr>
                <w:sz w:val="18"/>
                <w:lang w:val="fr-FR" w:bidi="ar-QA"/>
              </w:rPr>
              <w:t>96,4</w:t>
            </w:r>
          </w:p>
        </w:tc>
      </w:tr>
      <w:tr w:rsidR="0075769E" w14:paraId="4F94BAE5" w14:textId="77777777" w:rsidTr="009D277F">
        <w:tc>
          <w:tcPr>
            <w:tcW w:w="1474" w:type="dxa"/>
            <w:shd w:val="clear" w:color="auto" w:fill="auto"/>
            <w:vAlign w:val="bottom"/>
          </w:tcPr>
          <w:p w14:paraId="50B22887" w14:textId="77777777" w:rsidR="0075769E" w:rsidRPr="00B7563E" w:rsidRDefault="0075769E" w:rsidP="0075769E">
            <w:pPr>
              <w:suppressAutoHyphens w:val="0"/>
              <w:spacing w:before="40" w:after="40" w:line="220" w:lineRule="exact"/>
              <w:rPr>
                <w:sz w:val="18"/>
                <w:lang w:val="fr-FR" w:bidi="ar-QA"/>
              </w:rPr>
            </w:pPr>
            <w:r w:rsidRPr="00B7563E">
              <w:rPr>
                <w:sz w:val="18"/>
                <w:lang w:val="fr-FR" w:bidi="ar-QA"/>
              </w:rPr>
              <w:t>2012</w:t>
            </w:r>
            <w:r w:rsidR="00C47FEF">
              <w:rPr>
                <w:sz w:val="18"/>
                <w:lang w:val="fr-FR" w:bidi="ar-QA"/>
              </w:rPr>
              <w:t>/</w:t>
            </w:r>
            <w:r w:rsidRPr="00B7563E">
              <w:rPr>
                <w:sz w:val="18"/>
                <w:lang w:val="fr-FR" w:bidi="ar-QA"/>
              </w:rPr>
              <w:t>13</w:t>
            </w:r>
          </w:p>
        </w:tc>
        <w:tc>
          <w:tcPr>
            <w:tcW w:w="1564" w:type="dxa"/>
            <w:shd w:val="clear" w:color="auto" w:fill="auto"/>
          </w:tcPr>
          <w:p w14:paraId="5DC99DA1" w14:textId="77777777" w:rsidR="0075769E" w:rsidRPr="00B7563E" w:rsidRDefault="0075769E" w:rsidP="0075769E">
            <w:pPr>
              <w:suppressAutoHyphens w:val="0"/>
              <w:spacing w:before="40" w:after="40" w:line="220" w:lineRule="exact"/>
              <w:jc w:val="right"/>
              <w:rPr>
                <w:sz w:val="18"/>
                <w:lang w:val="fr-FR" w:bidi="ar-QA"/>
              </w:rPr>
            </w:pPr>
            <w:r w:rsidRPr="00B7563E">
              <w:rPr>
                <w:sz w:val="18"/>
                <w:lang w:val="fr-FR" w:bidi="ar-QA"/>
              </w:rPr>
              <w:t>9</w:t>
            </w:r>
            <w:r>
              <w:rPr>
                <w:sz w:val="18"/>
                <w:lang w:val="fr-FR" w:bidi="ar-QA"/>
              </w:rPr>
              <w:t>8,0</w:t>
            </w:r>
          </w:p>
        </w:tc>
        <w:tc>
          <w:tcPr>
            <w:tcW w:w="1553" w:type="dxa"/>
            <w:shd w:val="clear" w:color="auto" w:fill="auto"/>
            <w:vAlign w:val="bottom"/>
          </w:tcPr>
          <w:p w14:paraId="1AB11A7C" w14:textId="77777777" w:rsidR="0075769E" w:rsidRPr="00B7563E" w:rsidRDefault="0075769E" w:rsidP="0075769E">
            <w:pPr>
              <w:suppressAutoHyphens w:val="0"/>
              <w:spacing w:before="40" w:after="40" w:line="220" w:lineRule="exact"/>
              <w:jc w:val="right"/>
              <w:rPr>
                <w:sz w:val="18"/>
                <w:lang w:val="fr-FR" w:bidi="ar-QA"/>
              </w:rPr>
            </w:pPr>
            <w:r w:rsidRPr="00B7563E">
              <w:rPr>
                <w:sz w:val="18"/>
                <w:lang w:val="fr-FR" w:bidi="ar-QA"/>
              </w:rPr>
              <w:t>101,3</w:t>
            </w:r>
          </w:p>
        </w:tc>
        <w:tc>
          <w:tcPr>
            <w:tcW w:w="1390" w:type="dxa"/>
            <w:shd w:val="clear" w:color="auto" w:fill="auto"/>
          </w:tcPr>
          <w:p w14:paraId="1751B73B" w14:textId="77777777" w:rsidR="0075769E" w:rsidRPr="00B7563E" w:rsidRDefault="0075769E" w:rsidP="0075769E">
            <w:pPr>
              <w:suppressAutoHyphens w:val="0"/>
              <w:spacing w:before="40" w:after="40" w:line="220" w:lineRule="exact"/>
              <w:jc w:val="right"/>
              <w:rPr>
                <w:sz w:val="18"/>
                <w:lang w:val="fr-FR" w:bidi="ar-QA"/>
              </w:rPr>
            </w:pPr>
            <w:r w:rsidRPr="00B7563E">
              <w:rPr>
                <w:sz w:val="18"/>
                <w:lang w:val="fr-FR" w:bidi="ar-QA"/>
              </w:rPr>
              <w:t>89,9</w:t>
            </w:r>
          </w:p>
        </w:tc>
        <w:tc>
          <w:tcPr>
            <w:tcW w:w="1390" w:type="dxa"/>
            <w:shd w:val="clear" w:color="auto" w:fill="auto"/>
            <w:vAlign w:val="bottom"/>
          </w:tcPr>
          <w:p w14:paraId="34EEFE0B" w14:textId="77777777" w:rsidR="0075769E" w:rsidRPr="00B7563E" w:rsidRDefault="0075769E" w:rsidP="0075769E">
            <w:pPr>
              <w:suppressAutoHyphens w:val="0"/>
              <w:spacing w:before="40" w:after="40" w:line="220" w:lineRule="exact"/>
              <w:jc w:val="right"/>
              <w:rPr>
                <w:sz w:val="18"/>
                <w:lang w:val="fr-FR" w:bidi="ar-QA"/>
              </w:rPr>
            </w:pPr>
            <w:r>
              <w:rPr>
                <w:sz w:val="18"/>
                <w:lang w:val="fr-FR" w:bidi="ar-QA"/>
              </w:rPr>
              <w:t>92,5</w:t>
            </w:r>
          </w:p>
        </w:tc>
      </w:tr>
      <w:tr w:rsidR="0075769E" w14:paraId="7070A397" w14:textId="77777777" w:rsidTr="009D277F">
        <w:tc>
          <w:tcPr>
            <w:tcW w:w="1474" w:type="dxa"/>
            <w:shd w:val="clear" w:color="auto" w:fill="auto"/>
            <w:vAlign w:val="bottom"/>
          </w:tcPr>
          <w:p w14:paraId="17D2C74C" w14:textId="77777777" w:rsidR="0075769E" w:rsidRPr="00B7563E" w:rsidRDefault="0075769E" w:rsidP="0075769E">
            <w:pPr>
              <w:suppressAutoHyphens w:val="0"/>
              <w:spacing w:before="40" w:after="40" w:line="220" w:lineRule="exact"/>
              <w:rPr>
                <w:sz w:val="18"/>
                <w:lang w:val="fr-FR" w:bidi="ar-QA"/>
              </w:rPr>
            </w:pPr>
            <w:r w:rsidRPr="00B7563E">
              <w:rPr>
                <w:sz w:val="18"/>
                <w:lang w:val="fr-FR" w:bidi="ar-QA"/>
              </w:rPr>
              <w:t>2013</w:t>
            </w:r>
            <w:r w:rsidR="00C47FEF">
              <w:rPr>
                <w:sz w:val="18"/>
                <w:lang w:val="fr-FR" w:bidi="ar-QA"/>
              </w:rPr>
              <w:t>/</w:t>
            </w:r>
            <w:r w:rsidRPr="00B7563E">
              <w:rPr>
                <w:sz w:val="18"/>
                <w:lang w:val="fr-FR" w:bidi="ar-QA"/>
              </w:rPr>
              <w:t>14</w:t>
            </w:r>
          </w:p>
        </w:tc>
        <w:tc>
          <w:tcPr>
            <w:tcW w:w="1564" w:type="dxa"/>
            <w:shd w:val="clear" w:color="auto" w:fill="auto"/>
          </w:tcPr>
          <w:p w14:paraId="0C347BDD" w14:textId="77777777" w:rsidR="0075769E" w:rsidRPr="00B7563E" w:rsidRDefault="0075769E" w:rsidP="0075769E">
            <w:pPr>
              <w:suppressAutoHyphens w:val="0"/>
              <w:spacing w:before="40" w:after="40" w:line="220" w:lineRule="exact"/>
              <w:jc w:val="right"/>
              <w:rPr>
                <w:sz w:val="18"/>
                <w:lang w:val="fr-FR" w:bidi="ar-QA"/>
              </w:rPr>
            </w:pPr>
            <w:r>
              <w:rPr>
                <w:sz w:val="18"/>
                <w:lang w:val="fr-FR" w:bidi="ar-QA"/>
              </w:rPr>
              <w:t>100,8</w:t>
            </w:r>
          </w:p>
        </w:tc>
        <w:tc>
          <w:tcPr>
            <w:tcW w:w="1553" w:type="dxa"/>
            <w:shd w:val="clear" w:color="auto" w:fill="auto"/>
            <w:vAlign w:val="bottom"/>
          </w:tcPr>
          <w:p w14:paraId="54808B2D" w14:textId="77777777" w:rsidR="0075769E" w:rsidRPr="00B7563E" w:rsidRDefault="0075769E" w:rsidP="0075769E">
            <w:pPr>
              <w:suppressAutoHyphens w:val="0"/>
              <w:spacing w:before="40" w:after="40" w:line="220" w:lineRule="exact"/>
              <w:jc w:val="right"/>
              <w:rPr>
                <w:sz w:val="18"/>
                <w:lang w:val="fr-FR" w:bidi="ar-QA"/>
              </w:rPr>
            </w:pPr>
            <w:r w:rsidRPr="00B7563E">
              <w:rPr>
                <w:sz w:val="18"/>
                <w:lang w:val="fr-FR" w:bidi="ar-QA"/>
              </w:rPr>
              <w:t>102,7</w:t>
            </w:r>
          </w:p>
        </w:tc>
        <w:tc>
          <w:tcPr>
            <w:tcW w:w="1390" w:type="dxa"/>
            <w:shd w:val="clear" w:color="auto" w:fill="auto"/>
          </w:tcPr>
          <w:p w14:paraId="62681889" w14:textId="77777777" w:rsidR="0075769E" w:rsidRPr="00B7563E" w:rsidRDefault="0075769E" w:rsidP="0075769E">
            <w:pPr>
              <w:suppressAutoHyphens w:val="0"/>
              <w:spacing w:before="40" w:after="40" w:line="220" w:lineRule="exact"/>
              <w:jc w:val="right"/>
              <w:rPr>
                <w:sz w:val="18"/>
                <w:lang w:val="fr-FR" w:bidi="ar-QA"/>
              </w:rPr>
            </w:pPr>
            <w:r w:rsidRPr="00B7563E">
              <w:rPr>
                <w:sz w:val="18"/>
                <w:lang w:val="fr-FR" w:bidi="ar-QA"/>
              </w:rPr>
              <w:t>91,9</w:t>
            </w:r>
          </w:p>
        </w:tc>
        <w:tc>
          <w:tcPr>
            <w:tcW w:w="1390" w:type="dxa"/>
            <w:shd w:val="clear" w:color="auto" w:fill="auto"/>
            <w:vAlign w:val="bottom"/>
          </w:tcPr>
          <w:p w14:paraId="4E821BC8" w14:textId="77777777" w:rsidR="0075769E" w:rsidRPr="00B7563E" w:rsidRDefault="0075769E" w:rsidP="0075769E">
            <w:pPr>
              <w:suppressAutoHyphens w:val="0"/>
              <w:spacing w:before="40" w:after="40" w:line="220" w:lineRule="exact"/>
              <w:jc w:val="right"/>
              <w:rPr>
                <w:sz w:val="18"/>
                <w:lang w:val="fr-FR" w:bidi="ar-QA"/>
              </w:rPr>
            </w:pPr>
            <w:r>
              <w:rPr>
                <w:sz w:val="18"/>
                <w:lang w:val="fr-FR" w:bidi="ar-QA"/>
              </w:rPr>
              <w:t>93,0</w:t>
            </w:r>
          </w:p>
        </w:tc>
      </w:tr>
      <w:tr w:rsidR="0075769E" w14:paraId="488E9095" w14:textId="77777777" w:rsidTr="009D277F">
        <w:tc>
          <w:tcPr>
            <w:tcW w:w="1474" w:type="dxa"/>
            <w:shd w:val="clear" w:color="auto" w:fill="auto"/>
            <w:vAlign w:val="bottom"/>
          </w:tcPr>
          <w:p w14:paraId="2C40D330" w14:textId="77777777" w:rsidR="0075769E" w:rsidRPr="00B7563E" w:rsidRDefault="0075769E" w:rsidP="00E46B1F">
            <w:pPr>
              <w:suppressAutoHyphens w:val="0"/>
              <w:spacing w:before="40" w:after="40" w:line="220" w:lineRule="exact"/>
              <w:rPr>
                <w:sz w:val="18"/>
                <w:lang w:val="fr-FR" w:bidi="ar-QA"/>
              </w:rPr>
            </w:pPr>
            <w:r w:rsidRPr="00B7563E">
              <w:rPr>
                <w:sz w:val="18"/>
                <w:lang w:val="fr-FR" w:bidi="ar-QA"/>
              </w:rPr>
              <w:t>2014</w:t>
            </w:r>
            <w:r w:rsidR="00C47FEF">
              <w:rPr>
                <w:sz w:val="18"/>
                <w:lang w:val="fr-FR" w:bidi="ar-QA"/>
              </w:rPr>
              <w:t>/</w:t>
            </w:r>
            <w:r w:rsidRPr="00B7563E">
              <w:rPr>
                <w:sz w:val="18"/>
                <w:lang w:val="fr-FR" w:bidi="ar-QA"/>
              </w:rPr>
              <w:t>15</w:t>
            </w:r>
          </w:p>
        </w:tc>
        <w:tc>
          <w:tcPr>
            <w:tcW w:w="1564" w:type="dxa"/>
            <w:shd w:val="clear" w:color="auto" w:fill="auto"/>
          </w:tcPr>
          <w:p w14:paraId="4DF2B1AD" w14:textId="77777777" w:rsidR="0075769E" w:rsidRPr="00B7563E" w:rsidRDefault="0075769E" w:rsidP="00E46B1F">
            <w:pPr>
              <w:suppressAutoHyphens w:val="0"/>
              <w:spacing w:before="40" w:after="40" w:line="220" w:lineRule="exact"/>
              <w:jc w:val="right"/>
              <w:rPr>
                <w:sz w:val="18"/>
                <w:lang w:val="fr-FR" w:bidi="ar-QA"/>
              </w:rPr>
            </w:pPr>
            <w:r>
              <w:rPr>
                <w:sz w:val="18"/>
                <w:lang w:val="fr-FR" w:bidi="ar-QA"/>
              </w:rPr>
              <w:t>102,5</w:t>
            </w:r>
          </w:p>
        </w:tc>
        <w:tc>
          <w:tcPr>
            <w:tcW w:w="1553" w:type="dxa"/>
            <w:shd w:val="clear" w:color="auto" w:fill="auto"/>
            <w:vAlign w:val="bottom"/>
          </w:tcPr>
          <w:p w14:paraId="7297207F" w14:textId="77777777" w:rsidR="0075769E" w:rsidRPr="00B7563E" w:rsidRDefault="0075769E" w:rsidP="00E46B1F">
            <w:pPr>
              <w:suppressAutoHyphens w:val="0"/>
              <w:spacing w:before="40" w:after="40" w:line="220" w:lineRule="exact"/>
              <w:jc w:val="right"/>
              <w:rPr>
                <w:sz w:val="18"/>
                <w:lang w:val="fr-FR" w:bidi="ar-QA"/>
              </w:rPr>
            </w:pPr>
            <w:r w:rsidRPr="00B7563E">
              <w:rPr>
                <w:sz w:val="18"/>
                <w:lang w:val="fr-FR" w:bidi="ar-QA"/>
              </w:rPr>
              <w:t>100,4</w:t>
            </w:r>
          </w:p>
        </w:tc>
        <w:tc>
          <w:tcPr>
            <w:tcW w:w="1390" w:type="dxa"/>
            <w:shd w:val="clear" w:color="auto" w:fill="auto"/>
          </w:tcPr>
          <w:p w14:paraId="2AC6A27F" w14:textId="77777777" w:rsidR="0075769E" w:rsidRPr="00B7563E" w:rsidRDefault="0075769E" w:rsidP="00E46B1F">
            <w:pPr>
              <w:suppressAutoHyphens w:val="0"/>
              <w:spacing w:before="40" w:after="40" w:line="220" w:lineRule="exact"/>
              <w:jc w:val="right"/>
              <w:rPr>
                <w:sz w:val="18"/>
                <w:lang w:val="fr-FR" w:bidi="ar-QA"/>
              </w:rPr>
            </w:pPr>
            <w:r w:rsidRPr="00B7563E">
              <w:rPr>
                <w:sz w:val="18"/>
                <w:lang w:val="fr-FR" w:bidi="ar-QA"/>
              </w:rPr>
              <w:t>92,9</w:t>
            </w:r>
          </w:p>
        </w:tc>
        <w:tc>
          <w:tcPr>
            <w:tcW w:w="1390" w:type="dxa"/>
            <w:shd w:val="clear" w:color="auto" w:fill="auto"/>
            <w:vAlign w:val="bottom"/>
          </w:tcPr>
          <w:p w14:paraId="2154AD71" w14:textId="77777777" w:rsidR="0075769E" w:rsidRPr="00B7563E" w:rsidRDefault="0075769E" w:rsidP="00E46B1F">
            <w:pPr>
              <w:suppressAutoHyphens w:val="0"/>
              <w:spacing w:before="40" w:after="40" w:line="220" w:lineRule="exact"/>
              <w:jc w:val="right"/>
              <w:rPr>
                <w:sz w:val="18"/>
                <w:lang w:val="fr-FR" w:bidi="ar-QA"/>
              </w:rPr>
            </w:pPr>
            <w:r>
              <w:rPr>
                <w:sz w:val="18"/>
                <w:lang w:val="fr-FR" w:bidi="ar-QA"/>
              </w:rPr>
              <w:t>90,4</w:t>
            </w:r>
          </w:p>
        </w:tc>
      </w:tr>
      <w:tr w:rsidR="0075769E" w14:paraId="6104B3D4" w14:textId="77777777" w:rsidTr="009D277F">
        <w:tc>
          <w:tcPr>
            <w:tcW w:w="1474" w:type="dxa"/>
            <w:shd w:val="clear" w:color="auto" w:fill="auto"/>
            <w:vAlign w:val="bottom"/>
          </w:tcPr>
          <w:p w14:paraId="204D7760" w14:textId="77777777" w:rsidR="0075769E" w:rsidRPr="00B7563E" w:rsidRDefault="0075769E" w:rsidP="0075769E">
            <w:pPr>
              <w:suppressAutoHyphens w:val="0"/>
              <w:spacing w:before="40" w:after="40" w:line="220" w:lineRule="exact"/>
              <w:rPr>
                <w:sz w:val="18"/>
                <w:lang w:val="fr-FR" w:bidi="ar-QA"/>
              </w:rPr>
            </w:pPr>
            <w:r w:rsidRPr="00B7563E">
              <w:rPr>
                <w:sz w:val="18"/>
                <w:lang w:val="fr-FR" w:bidi="ar-QA"/>
              </w:rPr>
              <w:t>2015</w:t>
            </w:r>
            <w:r w:rsidR="00C47FEF">
              <w:rPr>
                <w:sz w:val="18"/>
                <w:lang w:val="fr-FR" w:bidi="ar-QA"/>
              </w:rPr>
              <w:t>/</w:t>
            </w:r>
            <w:r w:rsidRPr="00B7563E">
              <w:rPr>
                <w:sz w:val="18"/>
                <w:lang w:val="fr-FR" w:bidi="ar-QA"/>
              </w:rPr>
              <w:t>16</w:t>
            </w:r>
          </w:p>
        </w:tc>
        <w:tc>
          <w:tcPr>
            <w:tcW w:w="1564" w:type="dxa"/>
            <w:shd w:val="clear" w:color="auto" w:fill="auto"/>
          </w:tcPr>
          <w:p w14:paraId="56E97025" w14:textId="77777777" w:rsidR="0075769E" w:rsidRPr="00B7563E" w:rsidRDefault="0075769E" w:rsidP="0075769E">
            <w:pPr>
              <w:suppressAutoHyphens w:val="0"/>
              <w:spacing w:before="40" w:after="40" w:line="220" w:lineRule="exact"/>
              <w:jc w:val="right"/>
              <w:rPr>
                <w:sz w:val="18"/>
                <w:szCs w:val="26"/>
                <w:rtl/>
                <w:lang w:val="fr-FR" w:bidi="fr-FR"/>
              </w:rPr>
            </w:pPr>
            <w:r>
              <w:rPr>
                <w:sz w:val="18"/>
                <w:szCs w:val="26"/>
                <w:lang w:val="fr-FR" w:bidi="fr-FR"/>
              </w:rPr>
              <w:t>103,3</w:t>
            </w:r>
          </w:p>
        </w:tc>
        <w:tc>
          <w:tcPr>
            <w:tcW w:w="1553" w:type="dxa"/>
            <w:shd w:val="clear" w:color="auto" w:fill="auto"/>
            <w:vAlign w:val="bottom"/>
          </w:tcPr>
          <w:p w14:paraId="54802637" w14:textId="77777777" w:rsidR="0075769E" w:rsidRPr="00B7563E" w:rsidRDefault="0075769E" w:rsidP="0075769E">
            <w:pPr>
              <w:suppressAutoHyphens w:val="0"/>
              <w:spacing w:before="40" w:after="40" w:line="220" w:lineRule="exact"/>
              <w:jc w:val="right"/>
              <w:rPr>
                <w:sz w:val="18"/>
                <w:lang w:val="fr-FR" w:bidi="ar-QA"/>
              </w:rPr>
            </w:pPr>
            <w:r w:rsidRPr="00B7563E">
              <w:rPr>
                <w:sz w:val="18"/>
                <w:lang w:val="fr-FR" w:bidi="ar-QA"/>
              </w:rPr>
              <w:t>103,9</w:t>
            </w:r>
          </w:p>
        </w:tc>
        <w:tc>
          <w:tcPr>
            <w:tcW w:w="1390" w:type="dxa"/>
            <w:shd w:val="clear" w:color="auto" w:fill="auto"/>
          </w:tcPr>
          <w:p w14:paraId="5346DF99" w14:textId="77777777" w:rsidR="0075769E" w:rsidRPr="00B7563E" w:rsidRDefault="0075769E" w:rsidP="0075769E">
            <w:pPr>
              <w:suppressAutoHyphens w:val="0"/>
              <w:spacing w:before="40" w:after="40" w:line="220" w:lineRule="exact"/>
              <w:jc w:val="right"/>
              <w:rPr>
                <w:sz w:val="18"/>
                <w:szCs w:val="26"/>
                <w:rtl/>
                <w:lang w:val="fr-FR" w:bidi="fr-FR"/>
              </w:rPr>
            </w:pPr>
            <w:r w:rsidRPr="00B7563E">
              <w:rPr>
                <w:sz w:val="18"/>
                <w:lang w:val="fr-FR" w:bidi="ar-QA"/>
              </w:rPr>
              <w:t>93,7</w:t>
            </w:r>
          </w:p>
        </w:tc>
        <w:tc>
          <w:tcPr>
            <w:tcW w:w="1390" w:type="dxa"/>
            <w:shd w:val="clear" w:color="auto" w:fill="auto"/>
            <w:vAlign w:val="bottom"/>
          </w:tcPr>
          <w:p w14:paraId="60FCE5B1" w14:textId="77777777" w:rsidR="0075769E" w:rsidRPr="00B7563E" w:rsidRDefault="0075769E" w:rsidP="0075769E">
            <w:pPr>
              <w:suppressAutoHyphens w:val="0"/>
              <w:spacing w:before="40" w:after="40" w:line="220" w:lineRule="exact"/>
              <w:jc w:val="right"/>
              <w:rPr>
                <w:sz w:val="18"/>
                <w:lang w:val="fr-FR" w:bidi="ar-QA"/>
              </w:rPr>
            </w:pPr>
            <w:r>
              <w:rPr>
                <w:sz w:val="18"/>
                <w:lang w:val="fr-FR" w:bidi="ar-QA"/>
              </w:rPr>
              <w:t>94,1</w:t>
            </w:r>
          </w:p>
        </w:tc>
      </w:tr>
      <w:tr w:rsidR="0075769E" w14:paraId="0D6DFC47" w14:textId="77777777" w:rsidTr="009D277F">
        <w:tc>
          <w:tcPr>
            <w:tcW w:w="1474" w:type="dxa"/>
            <w:tcBorders>
              <w:bottom w:val="single" w:sz="12" w:space="0" w:color="auto"/>
            </w:tcBorders>
            <w:shd w:val="clear" w:color="auto" w:fill="auto"/>
            <w:vAlign w:val="bottom"/>
          </w:tcPr>
          <w:p w14:paraId="0C73C7E0" w14:textId="77777777" w:rsidR="0075769E" w:rsidRPr="00B7563E" w:rsidRDefault="0075769E" w:rsidP="0075769E">
            <w:pPr>
              <w:suppressAutoHyphens w:val="0"/>
              <w:spacing w:before="40" w:after="40" w:line="220" w:lineRule="exact"/>
              <w:rPr>
                <w:sz w:val="18"/>
                <w:szCs w:val="26"/>
                <w:rtl/>
                <w:lang w:val="fr-FR" w:bidi="fr-FR"/>
              </w:rPr>
            </w:pPr>
            <w:r w:rsidRPr="00B7563E">
              <w:rPr>
                <w:sz w:val="18"/>
                <w:lang w:val="fr-FR" w:bidi="ar-QA"/>
              </w:rPr>
              <w:t>2016</w:t>
            </w:r>
            <w:r w:rsidR="00C47FEF">
              <w:rPr>
                <w:sz w:val="18"/>
                <w:lang w:val="fr-FR" w:bidi="ar-QA"/>
              </w:rPr>
              <w:t>/</w:t>
            </w:r>
            <w:r w:rsidRPr="00B7563E">
              <w:rPr>
                <w:sz w:val="18"/>
                <w:lang w:val="fr-FR" w:bidi="ar-QA"/>
              </w:rPr>
              <w:t>17</w:t>
            </w:r>
          </w:p>
        </w:tc>
        <w:tc>
          <w:tcPr>
            <w:tcW w:w="1564" w:type="dxa"/>
            <w:tcBorders>
              <w:bottom w:val="single" w:sz="12" w:space="0" w:color="auto"/>
            </w:tcBorders>
            <w:shd w:val="clear" w:color="auto" w:fill="auto"/>
          </w:tcPr>
          <w:p w14:paraId="50C79984" w14:textId="77777777" w:rsidR="0075769E" w:rsidRPr="00B7563E" w:rsidRDefault="0075769E" w:rsidP="0075769E">
            <w:pPr>
              <w:suppressAutoHyphens w:val="0"/>
              <w:spacing w:before="40" w:after="40" w:line="220" w:lineRule="exact"/>
              <w:jc w:val="right"/>
              <w:rPr>
                <w:sz w:val="18"/>
                <w:szCs w:val="26"/>
                <w:rtl/>
                <w:lang w:val="fr-FR" w:bidi="fr-FR"/>
              </w:rPr>
            </w:pPr>
            <w:r>
              <w:rPr>
                <w:sz w:val="18"/>
                <w:szCs w:val="26"/>
                <w:lang w:val="fr-FR" w:bidi="fr-FR"/>
              </w:rPr>
              <w:t>102,1</w:t>
            </w:r>
          </w:p>
        </w:tc>
        <w:tc>
          <w:tcPr>
            <w:tcW w:w="1553" w:type="dxa"/>
            <w:tcBorders>
              <w:bottom w:val="single" w:sz="12" w:space="0" w:color="auto"/>
            </w:tcBorders>
            <w:shd w:val="clear" w:color="auto" w:fill="auto"/>
            <w:vAlign w:val="bottom"/>
          </w:tcPr>
          <w:p w14:paraId="14593F30" w14:textId="77777777" w:rsidR="0075769E" w:rsidRPr="00B7563E" w:rsidRDefault="0075769E" w:rsidP="0075769E">
            <w:pPr>
              <w:suppressAutoHyphens w:val="0"/>
              <w:spacing w:before="40" w:after="40" w:line="220" w:lineRule="exact"/>
              <w:jc w:val="right"/>
              <w:rPr>
                <w:sz w:val="18"/>
                <w:lang w:val="fr-FR" w:bidi="ar-QA"/>
              </w:rPr>
            </w:pPr>
            <w:r w:rsidRPr="00B7563E">
              <w:rPr>
                <w:sz w:val="18"/>
                <w:lang w:val="fr-FR" w:bidi="ar-QA"/>
              </w:rPr>
              <w:t>108,0</w:t>
            </w:r>
          </w:p>
        </w:tc>
        <w:tc>
          <w:tcPr>
            <w:tcW w:w="1390" w:type="dxa"/>
            <w:tcBorders>
              <w:bottom w:val="single" w:sz="12" w:space="0" w:color="auto"/>
            </w:tcBorders>
            <w:shd w:val="clear" w:color="auto" w:fill="auto"/>
          </w:tcPr>
          <w:p w14:paraId="3ED9CCEF" w14:textId="77777777" w:rsidR="0075769E" w:rsidRPr="00B7563E" w:rsidRDefault="0075769E" w:rsidP="0075769E">
            <w:pPr>
              <w:suppressAutoHyphens w:val="0"/>
              <w:spacing w:before="40" w:after="40" w:line="220" w:lineRule="exact"/>
              <w:jc w:val="right"/>
              <w:rPr>
                <w:sz w:val="18"/>
                <w:szCs w:val="26"/>
                <w:rtl/>
                <w:lang w:val="fr-FR" w:bidi="fr-FR"/>
              </w:rPr>
            </w:pPr>
            <w:r w:rsidRPr="00B7563E">
              <w:rPr>
                <w:sz w:val="18"/>
                <w:lang w:val="fr-FR" w:bidi="ar-QA"/>
              </w:rPr>
              <w:t>92,7</w:t>
            </w:r>
          </w:p>
        </w:tc>
        <w:tc>
          <w:tcPr>
            <w:tcW w:w="1390" w:type="dxa"/>
            <w:tcBorders>
              <w:bottom w:val="single" w:sz="12" w:space="0" w:color="auto"/>
            </w:tcBorders>
            <w:shd w:val="clear" w:color="auto" w:fill="auto"/>
            <w:vAlign w:val="bottom"/>
          </w:tcPr>
          <w:p w14:paraId="4497C504" w14:textId="77777777" w:rsidR="0075769E" w:rsidRPr="00B7563E" w:rsidRDefault="0075769E" w:rsidP="0075769E">
            <w:pPr>
              <w:suppressAutoHyphens w:val="0"/>
              <w:spacing w:before="40" w:after="40" w:line="220" w:lineRule="exact"/>
              <w:jc w:val="right"/>
              <w:rPr>
                <w:sz w:val="18"/>
                <w:lang w:val="fr-FR" w:bidi="ar-QA"/>
              </w:rPr>
            </w:pPr>
            <w:r>
              <w:rPr>
                <w:sz w:val="18"/>
                <w:lang w:val="fr-FR" w:bidi="ar-QA"/>
              </w:rPr>
              <w:t>98,1</w:t>
            </w:r>
          </w:p>
        </w:tc>
      </w:tr>
    </w:tbl>
    <w:p w14:paraId="4F73F0C1" w14:textId="77777777" w:rsidR="009E4C76" w:rsidRPr="007D6893" w:rsidRDefault="009E4C76" w:rsidP="00E6041B">
      <w:pPr>
        <w:pStyle w:val="SingleTxtG"/>
        <w:spacing w:before="120" w:after="0"/>
        <w:ind w:firstLine="170"/>
        <w:rPr>
          <w:sz w:val="18"/>
          <w:szCs w:val="18"/>
        </w:rPr>
      </w:pPr>
      <w:r w:rsidRPr="007D6893">
        <w:rPr>
          <w:i/>
          <w:sz w:val="18"/>
          <w:szCs w:val="18"/>
        </w:rPr>
        <w:t>Source</w:t>
      </w:r>
      <w:r w:rsidRPr="007D6893">
        <w:rPr>
          <w:sz w:val="18"/>
          <w:szCs w:val="18"/>
        </w:rPr>
        <w:t> :</w:t>
      </w:r>
      <w:r w:rsidR="007D6893" w:rsidRPr="007D6893">
        <w:rPr>
          <w:sz w:val="18"/>
          <w:szCs w:val="18"/>
        </w:rPr>
        <w:t xml:space="preserve"> </w:t>
      </w:r>
      <w:r w:rsidRPr="007D6893">
        <w:rPr>
          <w:sz w:val="18"/>
          <w:szCs w:val="18"/>
        </w:rPr>
        <w:t>Ministère de la planification, du développement et des statistiques, L’éducation au Qatar : aperçu statistique, 2017.</w:t>
      </w:r>
    </w:p>
    <w:p w14:paraId="2DE80876" w14:textId="77777777" w:rsidR="009E4C76" w:rsidRPr="007D6893" w:rsidRDefault="009E4C76" w:rsidP="007D6893">
      <w:pPr>
        <w:pStyle w:val="SingleTxtG"/>
        <w:spacing w:after="240"/>
        <w:ind w:firstLine="170"/>
        <w:rPr>
          <w:sz w:val="18"/>
          <w:szCs w:val="18"/>
          <w:rtl/>
        </w:rPr>
      </w:pPr>
      <w:r w:rsidRPr="007D6893">
        <w:rPr>
          <w:i/>
          <w:sz w:val="18"/>
          <w:szCs w:val="18"/>
        </w:rPr>
        <w:t>Source</w:t>
      </w:r>
      <w:r w:rsidRPr="007D6893">
        <w:rPr>
          <w:sz w:val="18"/>
          <w:szCs w:val="18"/>
        </w:rPr>
        <w:t> :</w:t>
      </w:r>
      <w:r w:rsidR="007D6893" w:rsidRPr="007D6893">
        <w:rPr>
          <w:sz w:val="18"/>
          <w:szCs w:val="18"/>
        </w:rPr>
        <w:t xml:space="preserve"> </w:t>
      </w:r>
      <w:r w:rsidRPr="007D6893">
        <w:rPr>
          <w:sz w:val="18"/>
          <w:szCs w:val="18"/>
        </w:rPr>
        <w:t>Ministère de la planification, du développement et des statistiques, Annuaire statistique, niveau d’éducation (2015</w:t>
      </w:r>
      <w:r w:rsidR="00F8623C">
        <w:rPr>
          <w:sz w:val="18"/>
          <w:szCs w:val="18"/>
        </w:rPr>
        <w:t>/</w:t>
      </w:r>
      <w:r w:rsidRPr="007D6893">
        <w:rPr>
          <w:sz w:val="18"/>
          <w:szCs w:val="18"/>
        </w:rPr>
        <w:t>16 et 2016</w:t>
      </w:r>
      <w:r w:rsidR="00F8623C">
        <w:rPr>
          <w:sz w:val="18"/>
          <w:szCs w:val="18"/>
        </w:rPr>
        <w:t>/</w:t>
      </w:r>
      <w:r w:rsidRPr="007D6893">
        <w:rPr>
          <w:sz w:val="18"/>
          <w:szCs w:val="18"/>
        </w:rPr>
        <w:t>17).</w:t>
      </w:r>
    </w:p>
    <w:p w14:paraId="3999635F" w14:textId="77777777" w:rsidR="009E4C76" w:rsidRPr="00CE611F" w:rsidRDefault="009E4C76" w:rsidP="007D312F">
      <w:pPr>
        <w:pStyle w:val="H23G"/>
        <w:rPr>
          <w:rtl/>
          <w:lang w:bidi="fr-FR"/>
        </w:rPr>
      </w:pPr>
      <w:r w:rsidRPr="00CE611F">
        <w:tab/>
      </w:r>
      <w:r w:rsidRPr="00CE611F">
        <w:tab/>
        <w:t>Enseignants au niveau de l</w:t>
      </w:r>
      <w:r>
        <w:t>’</w:t>
      </w:r>
      <w:r w:rsidRPr="00CE611F">
        <w:t>enseignement secondaire</w:t>
      </w:r>
    </w:p>
    <w:p w14:paraId="4C85F872" w14:textId="77777777" w:rsidR="009E4C76" w:rsidRPr="00CE611F" w:rsidRDefault="009E4C76" w:rsidP="005D0B7C">
      <w:pPr>
        <w:pStyle w:val="SingleTxtG"/>
        <w:rPr>
          <w:rtl/>
          <w:lang w:bidi="fr-FR"/>
        </w:rPr>
      </w:pPr>
      <w:r w:rsidRPr="00CE611F">
        <w:rPr>
          <w:lang w:bidi="ar-QA"/>
        </w:rPr>
        <w:t>26.</w:t>
      </w:r>
      <w:r w:rsidRPr="00CE611F">
        <w:rPr>
          <w:lang w:bidi="ar-QA"/>
        </w:rPr>
        <w:tab/>
        <w:t>Entre 2010</w:t>
      </w:r>
      <w:r w:rsidR="00335B00">
        <w:rPr>
          <w:lang w:bidi="ar-QA"/>
        </w:rPr>
        <w:t>/</w:t>
      </w:r>
      <w:r w:rsidRPr="00CE611F">
        <w:rPr>
          <w:lang w:bidi="ar-QA"/>
        </w:rPr>
        <w:t>11 et 2015</w:t>
      </w:r>
      <w:r w:rsidR="00335B00">
        <w:rPr>
          <w:lang w:bidi="ar-QA"/>
        </w:rPr>
        <w:t>/</w:t>
      </w:r>
      <w:r w:rsidRPr="00CE611F">
        <w:rPr>
          <w:lang w:bidi="ar-QA"/>
        </w:rPr>
        <w:t>16, le nombre d</w:t>
      </w:r>
      <w:r>
        <w:rPr>
          <w:lang w:bidi="ar-QA"/>
        </w:rPr>
        <w:t>’</w:t>
      </w:r>
      <w:r w:rsidRPr="00CE611F">
        <w:rPr>
          <w:lang w:bidi="ar-QA"/>
        </w:rPr>
        <w:t>enseignants du secondaire a augmenté, passant de 4 392 à 4</w:t>
      </w:r>
      <w:r w:rsidR="007D312F">
        <w:rPr>
          <w:lang w:bidi="ar-QA"/>
        </w:rPr>
        <w:t> </w:t>
      </w:r>
      <w:r w:rsidRPr="00CE611F">
        <w:rPr>
          <w:lang w:bidi="ar-QA"/>
        </w:rPr>
        <w:t>902</w:t>
      </w:r>
      <w:r w:rsidR="007D312F">
        <w:rPr>
          <w:lang w:bidi="ar-QA"/>
        </w:rPr>
        <w:t> </w:t>
      </w:r>
      <w:r w:rsidRPr="00CE611F">
        <w:rPr>
          <w:lang w:bidi="ar-QA"/>
        </w:rPr>
        <w:t>enseignants, 14 % de cet effectif étant formé de Qataris et 86 % de non-Qataris. En 2015</w:t>
      </w:r>
      <w:r w:rsidR="00335B00">
        <w:rPr>
          <w:lang w:bidi="ar-QA"/>
        </w:rPr>
        <w:t>/</w:t>
      </w:r>
      <w:r w:rsidRPr="00CE611F">
        <w:rPr>
          <w:lang w:bidi="ar-QA"/>
        </w:rPr>
        <w:t>16, il y avait 1</w:t>
      </w:r>
      <w:r w:rsidR="007D312F">
        <w:rPr>
          <w:lang w:bidi="ar-QA"/>
        </w:rPr>
        <w:t> </w:t>
      </w:r>
      <w:r w:rsidRPr="00CE611F">
        <w:rPr>
          <w:lang w:bidi="ar-QA"/>
        </w:rPr>
        <w:t>691</w:t>
      </w:r>
      <w:r w:rsidR="007D312F">
        <w:rPr>
          <w:lang w:bidi="ar-QA"/>
        </w:rPr>
        <w:t> </w:t>
      </w:r>
      <w:r w:rsidRPr="00CE611F">
        <w:rPr>
          <w:lang w:bidi="ar-QA"/>
        </w:rPr>
        <w:t>enseignants dans les écoles de garçons, 1</w:t>
      </w:r>
      <w:r w:rsidR="007D312F">
        <w:rPr>
          <w:lang w:bidi="ar-QA"/>
        </w:rPr>
        <w:t> </w:t>
      </w:r>
      <w:r w:rsidRPr="00CE611F">
        <w:rPr>
          <w:lang w:bidi="ar-QA"/>
        </w:rPr>
        <w:t>652</w:t>
      </w:r>
      <w:r w:rsidR="007D312F">
        <w:rPr>
          <w:lang w:bidi="ar-QA"/>
        </w:rPr>
        <w:t> </w:t>
      </w:r>
      <w:r w:rsidRPr="00CE611F">
        <w:rPr>
          <w:lang w:bidi="ar-QA"/>
        </w:rPr>
        <w:t>enseignants dans les écoles de filles et 1</w:t>
      </w:r>
      <w:r w:rsidR="007D312F">
        <w:rPr>
          <w:lang w:bidi="ar-QA"/>
        </w:rPr>
        <w:t> </w:t>
      </w:r>
      <w:r w:rsidRPr="00CE611F">
        <w:rPr>
          <w:lang w:bidi="ar-QA"/>
        </w:rPr>
        <w:t>559</w:t>
      </w:r>
      <w:r w:rsidR="007D312F">
        <w:rPr>
          <w:lang w:bidi="ar-QA"/>
        </w:rPr>
        <w:t> </w:t>
      </w:r>
      <w:r w:rsidRPr="00CE611F">
        <w:rPr>
          <w:lang w:bidi="ar-QA"/>
        </w:rPr>
        <w:t>enseignants dans les écoles mixtes.</w:t>
      </w:r>
    </w:p>
    <w:p w14:paraId="4A990B73" w14:textId="77777777" w:rsidR="009E4C76" w:rsidRPr="00CE611F" w:rsidRDefault="009E4C76" w:rsidP="007D312F">
      <w:pPr>
        <w:pStyle w:val="H23G"/>
        <w:rPr>
          <w:rtl/>
          <w:lang w:bidi="fr-FR"/>
        </w:rPr>
      </w:pPr>
      <w:r w:rsidRPr="00CE611F">
        <w:tab/>
      </w:r>
      <w:r w:rsidRPr="00CE611F">
        <w:tab/>
        <w:t>Taux de scolarisation net et brut</w:t>
      </w:r>
    </w:p>
    <w:p w14:paraId="6C59130A" w14:textId="77777777" w:rsidR="009E4C76" w:rsidRPr="00CE611F" w:rsidRDefault="009E4C76" w:rsidP="005D0B7C">
      <w:pPr>
        <w:pStyle w:val="SingleTxtG"/>
        <w:rPr>
          <w:rtl/>
          <w:lang w:bidi="fr-FR"/>
        </w:rPr>
      </w:pPr>
      <w:r w:rsidRPr="00CE611F">
        <w:t>27.</w:t>
      </w:r>
      <w:r w:rsidRPr="00CE611F">
        <w:tab/>
        <w:t>En 2016</w:t>
      </w:r>
      <w:r w:rsidR="00FF661D">
        <w:t>/</w:t>
      </w:r>
      <w:r w:rsidRPr="00CE611F">
        <w:t>17, le taux de scolarisation brut des garçons dans l</w:t>
      </w:r>
      <w:r>
        <w:t>’</w:t>
      </w:r>
      <w:r w:rsidRPr="00CE611F">
        <w:t>enseignement secondaire était de 104,1 contre 102,6 pour les filles, avec un indice de parité de 103,4 %. La même année, le taux de scolarisation net des garçons et des filles était de 84,8, avec un indice de parité de 100 %.</w:t>
      </w:r>
    </w:p>
    <w:p w14:paraId="303C65CA" w14:textId="77777777" w:rsidR="009E4C76" w:rsidRDefault="009E4C76" w:rsidP="00DE4847">
      <w:pPr>
        <w:pStyle w:val="SingleTxtG"/>
        <w:jc w:val="left"/>
        <w:rPr>
          <w:b/>
          <w:lang w:bidi="ar-QA"/>
        </w:rPr>
      </w:pPr>
      <w:r w:rsidRPr="00CE611F">
        <w:rPr>
          <w:lang w:bidi="ar-QA"/>
        </w:rPr>
        <w:t>Tableau 11</w:t>
      </w:r>
      <w:r w:rsidR="00E46B1F" w:rsidRPr="00E46B1F">
        <w:rPr>
          <w:lang w:bidi="ar-QA"/>
        </w:rPr>
        <w:t xml:space="preserve"> </w:t>
      </w:r>
      <w:r w:rsidRPr="00CE611F">
        <w:rPr>
          <w:b/>
          <w:lang w:bidi="ar-QA"/>
        </w:rPr>
        <w:br/>
        <w:t>Taux de scolarisation brut et net au niveau de l</w:t>
      </w:r>
      <w:r>
        <w:rPr>
          <w:b/>
          <w:lang w:bidi="ar-QA"/>
        </w:rPr>
        <w:t>’</w:t>
      </w:r>
      <w:r w:rsidRPr="00CE611F">
        <w:rPr>
          <w:b/>
          <w:lang w:bidi="ar-QA"/>
        </w:rPr>
        <w:t xml:space="preserve">enseignement secondaire </w:t>
      </w:r>
      <w:r w:rsidR="00C7600A">
        <w:rPr>
          <w:b/>
          <w:lang w:bidi="ar-QA"/>
        </w:rPr>
        <w:br/>
      </w:r>
      <w:r w:rsidRPr="00CE611F">
        <w:rPr>
          <w:b/>
          <w:lang w:bidi="ar-QA"/>
        </w:rPr>
        <w:t>selon la nationalité</w:t>
      </w:r>
      <w:r w:rsidR="00C7600A">
        <w:rPr>
          <w:b/>
          <w:lang w:bidi="ar-QA"/>
        </w:rPr>
        <w:t xml:space="preserve"> </w:t>
      </w:r>
      <w:r w:rsidRPr="00CE611F">
        <w:rPr>
          <w:b/>
          <w:lang w:bidi="ar-QA"/>
        </w:rPr>
        <w:t>(2010</w:t>
      </w:r>
      <w:r w:rsidR="00EA4012">
        <w:rPr>
          <w:b/>
          <w:lang w:bidi="ar-QA"/>
        </w:rPr>
        <w:t>/</w:t>
      </w:r>
      <w:r w:rsidRPr="00CE611F">
        <w:rPr>
          <w:b/>
          <w:lang w:bidi="ar-QA"/>
        </w:rPr>
        <w:t>11 à 2016</w:t>
      </w:r>
      <w:r w:rsidR="00EA4012">
        <w:rPr>
          <w:b/>
          <w:lang w:bidi="ar-QA"/>
        </w:rPr>
        <w:t>/</w:t>
      </w:r>
      <w:r w:rsidRPr="00CE611F">
        <w:rPr>
          <w:b/>
          <w:lang w:bidi="ar-QA"/>
        </w:rPr>
        <w:t>17)</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474"/>
        <w:gridCol w:w="1474"/>
        <w:gridCol w:w="1474"/>
        <w:gridCol w:w="1474"/>
        <w:gridCol w:w="1474"/>
      </w:tblGrid>
      <w:tr w:rsidR="00EB0D48" w:rsidRPr="002D181B" w14:paraId="4B44E672" w14:textId="77777777" w:rsidTr="000A5789">
        <w:trPr>
          <w:tblHeader/>
        </w:trPr>
        <w:tc>
          <w:tcPr>
            <w:tcW w:w="1474" w:type="dxa"/>
            <w:vMerge w:val="restart"/>
            <w:tcBorders>
              <w:top w:val="single" w:sz="12" w:space="0" w:color="auto"/>
            </w:tcBorders>
            <w:shd w:val="clear" w:color="auto" w:fill="auto"/>
            <w:vAlign w:val="bottom"/>
          </w:tcPr>
          <w:p w14:paraId="1819B34D" w14:textId="77777777" w:rsidR="00EB0D48" w:rsidRPr="00B7563E" w:rsidRDefault="00EB0D48" w:rsidP="00DE4847">
            <w:pPr>
              <w:spacing w:before="80" w:after="80" w:line="200" w:lineRule="exact"/>
              <w:rPr>
                <w:i/>
                <w:sz w:val="16"/>
                <w:lang w:bidi="ar-QA"/>
              </w:rPr>
            </w:pPr>
            <w:r>
              <w:rPr>
                <w:i/>
                <w:sz w:val="16"/>
                <w:lang w:bidi="ar-QA"/>
              </w:rPr>
              <w:t>Année</w:t>
            </w:r>
          </w:p>
        </w:tc>
        <w:tc>
          <w:tcPr>
            <w:tcW w:w="2948" w:type="dxa"/>
            <w:gridSpan w:val="2"/>
            <w:tcBorders>
              <w:top w:val="single" w:sz="12" w:space="0" w:color="auto"/>
              <w:bottom w:val="single" w:sz="4" w:space="0" w:color="auto"/>
              <w:right w:val="single" w:sz="24" w:space="0" w:color="FFFFFF" w:themeColor="background1"/>
            </w:tcBorders>
            <w:shd w:val="clear" w:color="auto" w:fill="auto"/>
            <w:vAlign w:val="bottom"/>
          </w:tcPr>
          <w:p w14:paraId="2D005E4D" w14:textId="77777777" w:rsidR="00EB0D48" w:rsidRPr="00B7563E" w:rsidRDefault="00EB0D48" w:rsidP="00DE4847">
            <w:pPr>
              <w:spacing w:before="80" w:after="80" w:line="200" w:lineRule="exact"/>
              <w:jc w:val="center"/>
              <w:rPr>
                <w:i/>
                <w:sz w:val="16"/>
                <w:lang w:bidi="ar-QA"/>
              </w:rPr>
            </w:pPr>
            <w:r w:rsidRPr="00B7563E">
              <w:rPr>
                <w:i/>
                <w:sz w:val="16"/>
                <w:lang w:val="fr-FR" w:bidi="ar-QA"/>
              </w:rPr>
              <w:t>Taux de scolarisation brut</w:t>
            </w:r>
          </w:p>
        </w:tc>
        <w:tc>
          <w:tcPr>
            <w:tcW w:w="2948" w:type="dxa"/>
            <w:gridSpan w:val="2"/>
            <w:tcBorders>
              <w:top w:val="single" w:sz="12" w:space="0" w:color="auto"/>
              <w:left w:val="single" w:sz="24" w:space="0" w:color="FFFFFF" w:themeColor="background1"/>
              <w:bottom w:val="single" w:sz="4" w:space="0" w:color="auto"/>
            </w:tcBorders>
            <w:shd w:val="clear" w:color="auto" w:fill="auto"/>
            <w:vAlign w:val="bottom"/>
          </w:tcPr>
          <w:p w14:paraId="022E74D6" w14:textId="77777777" w:rsidR="00EB0D48" w:rsidRPr="00B7563E" w:rsidRDefault="00EB0D48" w:rsidP="00DE4847">
            <w:pPr>
              <w:spacing w:before="80" w:after="80" w:line="200" w:lineRule="exact"/>
              <w:jc w:val="center"/>
              <w:rPr>
                <w:i/>
                <w:sz w:val="16"/>
                <w:lang w:bidi="ar-QA"/>
              </w:rPr>
            </w:pPr>
            <w:r w:rsidRPr="00B7563E">
              <w:rPr>
                <w:i/>
                <w:sz w:val="16"/>
                <w:lang w:val="fr-FR" w:bidi="ar-QA"/>
              </w:rPr>
              <w:t>Taux de scolarisation net</w:t>
            </w:r>
          </w:p>
        </w:tc>
      </w:tr>
      <w:tr w:rsidR="00EB0D48" w:rsidRPr="002D181B" w14:paraId="5292A310" w14:textId="77777777" w:rsidTr="000A5789">
        <w:trPr>
          <w:tblHeader/>
        </w:trPr>
        <w:tc>
          <w:tcPr>
            <w:tcW w:w="1474" w:type="dxa"/>
            <w:vMerge/>
            <w:tcBorders>
              <w:bottom w:val="single" w:sz="12" w:space="0" w:color="auto"/>
            </w:tcBorders>
            <w:shd w:val="clear" w:color="auto" w:fill="auto"/>
            <w:vAlign w:val="bottom"/>
          </w:tcPr>
          <w:p w14:paraId="2D497FCE" w14:textId="77777777" w:rsidR="00EB0D48" w:rsidRPr="00B7563E" w:rsidRDefault="00EB0D48" w:rsidP="00DE4847">
            <w:pPr>
              <w:spacing w:before="80" w:after="80" w:line="200" w:lineRule="exact"/>
              <w:rPr>
                <w:i/>
                <w:sz w:val="16"/>
                <w:lang w:bidi="ar-QA"/>
              </w:rPr>
            </w:pPr>
          </w:p>
        </w:tc>
        <w:tc>
          <w:tcPr>
            <w:tcW w:w="1474" w:type="dxa"/>
            <w:tcBorders>
              <w:top w:val="single" w:sz="4" w:space="0" w:color="auto"/>
              <w:bottom w:val="single" w:sz="12" w:space="0" w:color="auto"/>
            </w:tcBorders>
            <w:shd w:val="clear" w:color="auto" w:fill="auto"/>
            <w:vAlign w:val="bottom"/>
          </w:tcPr>
          <w:p w14:paraId="77B8CAE3" w14:textId="77777777" w:rsidR="00EB0D48" w:rsidRPr="00B7563E" w:rsidRDefault="00EB0D48" w:rsidP="00DE4847">
            <w:pPr>
              <w:spacing w:before="80" w:after="80" w:line="200" w:lineRule="exact"/>
              <w:jc w:val="right"/>
              <w:rPr>
                <w:i/>
                <w:sz w:val="16"/>
                <w:lang w:bidi="ar-QA"/>
              </w:rPr>
            </w:pPr>
            <w:r>
              <w:rPr>
                <w:i/>
                <w:sz w:val="16"/>
                <w:lang w:bidi="ar-QA"/>
              </w:rPr>
              <w:t>Qataris</w:t>
            </w:r>
          </w:p>
        </w:tc>
        <w:tc>
          <w:tcPr>
            <w:tcW w:w="1474" w:type="dxa"/>
            <w:tcBorders>
              <w:top w:val="single" w:sz="4" w:space="0" w:color="auto"/>
              <w:bottom w:val="single" w:sz="12" w:space="0" w:color="auto"/>
              <w:right w:val="single" w:sz="24" w:space="0" w:color="FFFFFF" w:themeColor="background1"/>
            </w:tcBorders>
            <w:shd w:val="clear" w:color="auto" w:fill="auto"/>
            <w:vAlign w:val="bottom"/>
          </w:tcPr>
          <w:p w14:paraId="074C6A7E" w14:textId="008A5AA7" w:rsidR="00EB0D48" w:rsidRPr="00B7563E" w:rsidRDefault="00EB0D48" w:rsidP="00DE4847">
            <w:pPr>
              <w:spacing w:before="80" w:after="80" w:line="200" w:lineRule="exact"/>
              <w:jc w:val="right"/>
              <w:rPr>
                <w:i/>
                <w:sz w:val="16"/>
                <w:lang w:bidi="ar-QA"/>
              </w:rPr>
            </w:pPr>
            <w:r>
              <w:rPr>
                <w:i/>
                <w:sz w:val="16"/>
                <w:lang w:bidi="ar-QA"/>
              </w:rPr>
              <w:t>Non</w:t>
            </w:r>
            <w:r w:rsidR="009107BC">
              <w:rPr>
                <w:i/>
                <w:sz w:val="16"/>
                <w:lang w:bidi="ar-QA"/>
              </w:rPr>
              <w:t>-</w:t>
            </w:r>
            <w:r w:rsidR="008C6BB6">
              <w:rPr>
                <w:i/>
                <w:sz w:val="16"/>
                <w:lang w:bidi="ar-QA"/>
              </w:rPr>
              <w:t>Q</w:t>
            </w:r>
            <w:r>
              <w:rPr>
                <w:i/>
                <w:sz w:val="16"/>
                <w:lang w:bidi="ar-QA"/>
              </w:rPr>
              <w:t>ataris</w:t>
            </w:r>
          </w:p>
        </w:tc>
        <w:tc>
          <w:tcPr>
            <w:tcW w:w="1474" w:type="dxa"/>
            <w:tcBorders>
              <w:top w:val="single" w:sz="4" w:space="0" w:color="auto"/>
              <w:left w:val="single" w:sz="24" w:space="0" w:color="FFFFFF" w:themeColor="background1"/>
              <w:bottom w:val="single" w:sz="12" w:space="0" w:color="auto"/>
            </w:tcBorders>
            <w:shd w:val="clear" w:color="auto" w:fill="auto"/>
            <w:vAlign w:val="bottom"/>
          </w:tcPr>
          <w:p w14:paraId="199E195A" w14:textId="77777777" w:rsidR="00EB0D48" w:rsidRPr="00B7563E" w:rsidRDefault="0049139B" w:rsidP="00DE4847">
            <w:pPr>
              <w:spacing w:before="80" w:after="80" w:line="200" w:lineRule="exact"/>
              <w:jc w:val="right"/>
              <w:rPr>
                <w:i/>
                <w:sz w:val="16"/>
                <w:lang w:bidi="ar-QA"/>
              </w:rPr>
            </w:pPr>
            <w:r>
              <w:rPr>
                <w:i/>
                <w:sz w:val="16"/>
                <w:lang w:bidi="ar-QA"/>
              </w:rPr>
              <w:t>Qataris</w:t>
            </w:r>
          </w:p>
        </w:tc>
        <w:tc>
          <w:tcPr>
            <w:tcW w:w="1474" w:type="dxa"/>
            <w:tcBorders>
              <w:top w:val="single" w:sz="4" w:space="0" w:color="auto"/>
              <w:bottom w:val="single" w:sz="12" w:space="0" w:color="auto"/>
            </w:tcBorders>
            <w:shd w:val="clear" w:color="auto" w:fill="auto"/>
            <w:vAlign w:val="bottom"/>
          </w:tcPr>
          <w:p w14:paraId="613F404D" w14:textId="77777777" w:rsidR="00EB0D48" w:rsidRPr="00B7563E" w:rsidRDefault="0049139B" w:rsidP="00DE4847">
            <w:pPr>
              <w:spacing w:before="80" w:after="80" w:line="200" w:lineRule="exact"/>
              <w:jc w:val="right"/>
              <w:rPr>
                <w:i/>
                <w:sz w:val="16"/>
                <w:lang w:bidi="ar-QA"/>
              </w:rPr>
            </w:pPr>
            <w:r>
              <w:rPr>
                <w:i/>
                <w:sz w:val="16"/>
                <w:lang w:bidi="ar-QA"/>
              </w:rPr>
              <w:t>Non-</w:t>
            </w:r>
            <w:r w:rsidR="00EB0D48">
              <w:rPr>
                <w:i/>
                <w:sz w:val="16"/>
                <w:lang w:bidi="ar-QA"/>
              </w:rPr>
              <w:t>Qataris</w:t>
            </w:r>
          </w:p>
        </w:tc>
      </w:tr>
      <w:tr w:rsidR="00CA3589" w:rsidRPr="002D181B" w14:paraId="6D7E8603" w14:textId="77777777" w:rsidTr="00855F80">
        <w:tc>
          <w:tcPr>
            <w:tcW w:w="1474" w:type="dxa"/>
            <w:tcBorders>
              <w:top w:val="single" w:sz="12" w:space="0" w:color="auto"/>
            </w:tcBorders>
            <w:shd w:val="clear" w:color="auto" w:fill="auto"/>
            <w:vAlign w:val="bottom"/>
          </w:tcPr>
          <w:p w14:paraId="5E867587" w14:textId="77777777" w:rsidR="00CA3589" w:rsidRPr="00C7600A" w:rsidRDefault="00CA3589" w:rsidP="00DE4847">
            <w:pPr>
              <w:suppressAutoHyphens w:val="0"/>
              <w:spacing w:before="40" w:after="40" w:line="220" w:lineRule="exact"/>
              <w:rPr>
                <w:sz w:val="18"/>
                <w:lang w:val="fr-FR" w:bidi="ar-QA"/>
              </w:rPr>
            </w:pPr>
            <w:r w:rsidRPr="00C7600A">
              <w:rPr>
                <w:sz w:val="18"/>
                <w:lang w:val="fr-FR" w:bidi="ar-QA"/>
              </w:rPr>
              <w:t>2010</w:t>
            </w:r>
            <w:r w:rsidR="008D5D4D">
              <w:rPr>
                <w:sz w:val="18"/>
                <w:lang w:val="fr-FR" w:bidi="ar-QA"/>
              </w:rPr>
              <w:t>/</w:t>
            </w:r>
            <w:r w:rsidRPr="00C7600A">
              <w:rPr>
                <w:sz w:val="18"/>
                <w:lang w:val="fr-FR" w:bidi="ar-QA"/>
              </w:rPr>
              <w:t>11</w:t>
            </w:r>
          </w:p>
        </w:tc>
        <w:tc>
          <w:tcPr>
            <w:tcW w:w="1474" w:type="dxa"/>
            <w:tcBorders>
              <w:top w:val="single" w:sz="12" w:space="0" w:color="auto"/>
            </w:tcBorders>
            <w:shd w:val="clear" w:color="auto" w:fill="auto"/>
            <w:vAlign w:val="bottom"/>
          </w:tcPr>
          <w:p w14:paraId="67579847" w14:textId="77777777" w:rsidR="00CA3589" w:rsidRPr="00C7600A" w:rsidRDefault="00CA3589" w:rsidP="00DE4847">
            <w:pPr>
              <w:suppressAutoHyphens w:val="0"/>
              <w:spacing w:before="40" w:after="40" w:line="220" w:lineRule="exact"/>
              <w:jc w:val="right"/>
              <w:rPr>
                <w:sz w:val="18"/>
                <w:lang w:val="fr-FR" w:bidi="ar-QA"/>
              </w:rPr>
            </w:pPr>
            <w:r w:rsidRPr="00C7600A">
              <w:rPr>
                <w:sz w:val="18"/>
                <w:lang w:val="fr-FR" w:bidi="ar-QA"/>
              </w:rPr>
              <w:t>96,0</w:t>
            </w:r>
          </w:p>
        </w:tc>
        <w:tc>
          <w:tcPr>
            <w:tcW w:w="1474" w:type="dxa"/>
            <w:tcBorders>
              <w:top w:val="single" w:sz="12" w:space="0" w:color="auto"/>
            </w:tcBorders>
            <w:shd w:val="clear" w:color="auto" w:fill="auto"/>
            <w:vAlign w:val="bottom"/>
          </w:tcPr>
          <w:p w14:paraId="2679CCA3" w14:textId="77777777" w:rsidR="00CA3589" w:rsidRPr="00C7600A" w:rsidRDefault="00CA3589" w:rsidP="00DE4847">
            <w:pPr>
              <w:suppressAutoHyphens w:val="0"/>
              <w:spacing w:before="40" w:after="40" w:line="220" w:lineRule="exact"/>
              <w:jc w:val="right"/>
              <w:rPr>
                <w:sz w:val="18"/>
                <w:lang w:val="fr-FR" w:bidi="ar-QA"/>
              </w:rPr>
            </w:pPr>
            <w:r w:rsidRPr="00C7600A">
              <w:rPr>
                <w:sz w:val="18"/>
                <w:lang w:val="fr-FR" w:bidi="ar-QA"/>
              </w:rPr>
              <w:t>99,4</w:t>
            </w:r>
          </w:p>
        </w:tc>
        <w:tc>
          <w:tcPr>
            <w:tcW w:w="1474" w:type="dxa"/>
            <w:tcBorders>
              <w:top w:val="single" w:sz="12" w:space="0" w:color="auto"/>
            </w:tcBorders>
            <w:shd w:val="clear" w:color="auto" w:fill="auto"/>
          </w:tcPr>
          <w:p w14:paraId="29AC51D2" w14:textId="77777777" w:rsidR="00CA3589" w:rsidRPr="00C7600A" w:rsidRDefault="00CA3589" w:rsidP="00DE4847">
            <w:pPr>
              <w:suppressAutoHyphens w:val="0"/>
              <w:spacing w:before="40" w:after="40" w:line="220" w:lineRule="exact"/>
              <w:jc w:val="right"/>
              <w:rPr>
                <w:sz w:val="18"/>
                <w:lang w:val="fr-FR" w:bidi="ar-QA"/>
              </w:rPr>
            </w:pPr>
            <w:r w:rsidRPr="00C7600A">
              <w:rPr>
                <w:sz w:val="18"/>
                <w:lang w:val="fr-FR" w:bidi="ar-QA"/>
              </w:rPr>
              <w:t>77,8</w:t>
            </w:r>
          </w:p>
        </w:tc>
        <w:tc>
          <w:tcPr>
            <w:tcW w:w="1474" w:type="dxa"/>
            <w:tcBorders>
              <w:top w:val="single" w:sz="12" w:space="0" w:color="auto"/>
            </w:tcBorders>
            <w:shd w:val="clear" w:color="auto" w:fill="auto"/>
          </w:tcPr>
          <w:p w14:paraId="52CBBF80" w14:textId="77777777" w:rsidR="00CA3589" w:rsidRPr="00C7600A" w:rsidRDefault="00CA3589" w:rsidP="00DE4847">
            <w:pPr>
              <w:suppressAutoHyphens w:val="0"/>
              <w:spacing w:before="40" w:after="40" w:line="220" w:lineRule="exact"/>
              <w:jc w:val="right"/>
              <w:rPr>
                <w:sz w:val="18"/>
                <w:lang w:val="fr-FR" w:bidi="ar-QA"/>
              </w:rPr>
            </w:pPr>
            <w:r w:rsidRPr="00C7600A">
              <w:rPr>
                <w:sz w:val="18"/>
                <w:lang w:val="fr-FR" w:bidi="ar-QA"/>
              </w:rPr>
              <w:t>82,0</w:t>
            </w:r>
          </w:p>
        </w:tc>
      </w:tr>
      <w:tr w:rsidR="00CA3589" w:rsidRPr="002D181B" w14:paraId="62B21977" w14:textId="77777777" w:rsidTr="00855F80">
        <w:tc>
          <w:tcPr>
            <w:tcW w:w="1474" w:type="dxa"/>
            <w:shd w:val="clear" w:color="auto" w:fill="auto"/>
            <w:vAlign w:val="bottom"/>
          </w:tcPr>
          <w:p w14:paraId="29E80C3D" w14:textId="77777777" w:rsidR="00CA3589" w:rsidRPr="00C7600A" w:rsidRDefault="00CA3589" w:rsidP="00DE4847">
            <w:pPr>
              <w:suppressAutoHyphens w:val="0"/>
              <w:spacing w:before="40" w:after="40" w:line="220" w:lineRule="exact"/>
              <w:rPr>
                <w:sz w:val="18"/>
                <w:lang w:val="fr-FR" w:bidi="ar-QA"/>
              </w:rPr>
            </w:pPr>
            <w:r w:rsidRPr="00C7600A">
              <w:rPr>
                <w:sz w:val="18"/>
                <w:lang w:val="fr-FR" w:bidi="ar-QA"/>
              </w:rPr>
              <w:t>2011</w:t>
            </w:r>
            <w:r w:rsidR="008D5D4D">
              <w:rPr>
                <w:sz w:val="18"/>
                <w:lang w:val="fr-FR" w:bidi="ar-QA"/>
              </w:rPr>
              <w:t>/</w:t>
            </w:r>
            <w:r w:rsidRPr="00C7600A">
              <w:rPr>
                <w:sz w:val="18"/>
                <w:lang w:val="fr-FR" w:bidi="ar-QA"/>
              </w:rPr>
              <w:t>12</w:t>
            </w:r>
          </w:p>
        </w:tc>
        <w:tc>
          <w:tcPr>
            <w:tcW w:w="1474" w:type="dxa"/>
            <w:shd w:val="clear" w:color="auto" w:fill="auto"/>
            <w:vAlign w:val="bottom"/>
          </w:tcPr>
          <w:p w14:paraId="462A5069" w14:textId="77777777" w:rsidR="00CA3589" w:rsidRPr="00C7600A" w:rsidRDefault="00CA3589" w:rsidP="00DE4847">
            <w:pPr>
              <w:suppressAutoHyphens w:val="0"/>
              <w:spacing w:before="40" w:after="40" w:line="220" w:lineRule="exact"/>
              <w:jc w:val="right"/>
              <w:rPr>
                <w:sz w:val="18"/>
                <w:lang w:val="fr-FR" w:bidi="ar-QA"/>
              </w:rPr>
            </w:pPr>
            <w:r w:rsidRPr="00C7600A">
              <w:rPr>
                <w:sz w:val="18"/>
                <w:lang w:val="fr-FR" w:bidi="ar-QA"/>
              </w:rPr>
              <w:t>98,7</w:t>
            </w:r>
          </w:p>
        </w:tc>
        <w:tc>
          <w:tcPr>
            <w:tcW w:w="1474" w:type="dxa"/>
            <w:shd w:val="clear" w:color="auto" w:fill="auto"/>
            <w:vAlign w:val="bottom"/>
          </w:tcPr>
          <w:p w14:paraId="605B9439" w14:textId="77777777" w:rsidR="00CA3589" w:rsidRPr="00C7600A" w:rsidRDefault="00CA3589" w:rsidP="00DE4847">
            <w:pPr>
              <w:suppressAutoHyphens w:val="0"/>
              <w:spacing w:before="40" w:after="40" w:line="220" w:lineRule="exact"/>
              <w:jc w:val="right"/>
              <w:rPr>
                <w:sz w:val="18"/>
                <w:lang w:val="fr-FR" w:bidi="ar-QA"/>
              </w:rPr>
            </w:pPr>
            <w:r w:rsidRPr="00C7600A">
              <w:rPr>
                <w:sz w:val="18"/>
                <w:lang w:val="fr-FR" w:bidi="ar-QA"/>
              </w:rPr>
              <w:t>96,1</w:t>
            </w:r>
          </w:p>
        </w:tc>
        <w:tc>
          <w:tcPr>
            <w:tcW w:w="1474" w:type="dxa"/>
            <w:shd w:val="clear" w:color="auto" w:fill="auto"/>
          </w:tcPr>
          <w:p w14:paraId="345244DF" w14:textId="77777777" w:rsidR="00CA3589" w:rsidRPr="00C7600A" w:rsidRDefault="00CA3589" w:rsidP="00DE4847">
            <w:pPr>
              <w:suppressAutoHyphens w:val="0"/>
              <w:spacing w:before="40" w:after="40" w:line="220" w:lineRule="exact"/>
              <w:jc w:val="right"/>
              <w:rPr>
                <w:sz w:val="18"/>
                <w:lang w:val="fr-FR" w:bidi="ar-QA"/>
              </w:rPr>
            </w:pPr>
            <w:r w:rsidRPr="00C7600A">
              <w:rPr>
                <w:sz w:val="18"/>
                <w:lang w:val="fr-FR" w:bidi="ar-QA"/>
              </w:rPr>
              <w:t>80,8</w:t>
            </w:r>
          </w:p>
        </w:tc>
        <w:tc>
          <w:tcPr>
            <w:tcW w:w="1474" w:type="dxa"/>
            <w:shd w:val="clear" w:color="auto" w:fill="auto"/>
          </w:tcPr>
          <w:p w14:paraId="5328E3A5" w14:textId="77777777" w:rsidR="00CA3589" w:rsidRPr="00C7600A" w:rsidRDefault="00CA3589" w:rsidP="00DE4847">
            <w:pPr>
              <w:suppressAutoHyphens w:val="0"/>
              <w:spacing w:before="40" w:after="40" w:line="220" w:lineRule="exact"/>
              <w:jc w:val="right"/>
              <w:rPr>
                <w:sz w:val="18"/>
                <w:lang w:val="fr-FR" w:bidi="ar-QA"/>
              </w:rPr>
            </w:pPr>
            <w:r w:rsidRPr="00C7600A">
              <w:rPr>
                <w:sz w:val="18"/>
                <w:lang w:val="fr-FR" w:bidi="ar-QA"/>
              </w:rPr>
              <w:t>79,3</w:t>
            </w:r>
          </w:p>
        </w:tc>
      </w:tr>
      <w:tr w:rsidR="00CA3589" w:rsidRPr="002D181B" w14:paraId="2DC3B40D" w14:textId="77777777" w:rsidTr="00855F80">
        <w:tc>
          <w:tcPr>
            <w:tcW w:w="1474" w:type="dxa"/>
            <w:shd w:val="clear" w:color="auto" w:fill="auto"/>
            <w:vAlign w:val="bottom"/>
          </w:tcPr>
          <w:p w14:paraId="6587D2FA" w14:textId="77777777" w:rsidR="00CA3589" w:rsidRPr="00C7600A" w:rsidRDefault="00CA3589" w:rsidP="00DE4847">
            <w:pPr>
              <w:suppressAutoHyphens w:val="0"/>
              <w:spacing w:before="40" w:after="40" w:line="220" w:lineRule="exact"/>
              <w:rPr>
                <w:sz w:val="18"/>
                <w:lang w:val="fr-FR" w:bidi="ar-QA"/>
              </w:rPr>
            </w:pPr>
            <w:r w:rsidRPr="00C7600A">
              <w:rPr>
                <w:sz w:val="18"/>
                <w:lang w:val="fr-FR" w:bidi="ar-QA"/>
              </w:rPr>
              <w:t>2012</w:t>
            </w:r>
            <w:r w:rsidR="008D5D4D">
              <w:rPr>
                <w:sz w:val="18"/>
                <w:lang w:val="fr-FR" w:bidi="ar-QA"/>
              </w:rPr>
              <w:t>/</w:t>
            </w:r>
            <w:r w:rsidRPr="00C7600A">
              <w:rPr>
                <w:sz w:val="18"/>
                <w:lang w:val="fr-FR" w:bidi="ar-QA"/>
              </w:rPr>
              <w:t>13</w:t>
            </w:r>
          </w:p>
        </w:tc>
        <w:tc>
          <w:tcPr>
            <w:tcW w:w="1474" w:type="dxa"/>
            <w:shd w:val="clear" w:color="auto" w:fill="auto"/>
            <w:vAlign w:val="bottom"/>
          </w:tcPr>
          <w:p w14:paraId="26B5BE7A" w14:textId="77777777" w:rsidR="00CA3589" w:rsidRPr="00C7600A" w:rsidRDefault="00CA3589" w:rsidP="00DE4847">
            <w:pPr>
              <w:suppressAutoHyphens w:val="0"/>
              <w:spacing w:before="40" w:after="40" w:line="220" w:lineRule="exact"/>
              <w:jc w:val="right"/>
              <w:rPr>
                <w:sz w:val="18"/>
                <w:lang w:val="fr-FR" w:bidi="ar-QA"/>
              </w:rPr>
            </w:pPr>
            <w:r w:rsidRPr="00C7600A">
              <w:rPr>
                <w:sz w:val="18"/>
                <w:lang w:val="fr-FR" w:bidi="ar-QA"/>
              </w:rPr>
              <w:t>98,3</w:t>
            </w:r>
          </w:p>
        </w:tc>
        <w:tc>
          <w:tcPr>
            <w:tcW w:w="1474" w:type="dxa"/>
            <w:shd w:val="clear" w:color="auto" w:fill="auto"/>
            <w:vAlign w:val="bottom"/>
          </w:tcPr>
          <w:p w14:paraId="25591940" w14:textId="77777777" w:rsidR="00CA3589" w:rsidRPr="00C7600A" w:rsidRDefault="00CA3589" w:rsidP="00DE4847">
            <w:pPr>
              <w:suppressAutoHyphens w:val="0"/>
              <w:spacing w:before="40" w:after="40" w:line="220" w:lineRule="exact"/>
              <w:jc w:val="right"/>
              <w:rPr>
                <w:sz w:val="18"/>
                <w:lang w:val="fr-FR" w:bidi="ar-QA"/>
              </w:rPr>
            </w:pPr>
            <w:r w:rsidRPr="00C7600A">
              <w:rPr>
                <w:sz w:val="18"/>
                <w:lang w:val="fr-FR" w:bidi="ar-QA"/>
              </w:rPr>
              <w:t>100,0</w:t>
            </w:r>
          </w:p>
        </w:tc>
        <w:tc>
          <w:tcPr>
            <w:tcW w:w="1474" w:type="dxa"/>
            <w:shd w:val="clear" w:color="auto" w:fill="auto"/>
          </w:tcPr>
          <w:p w14:paraId="662A784D" w14:textId="77777777" w:rsidR="00CA3589" w:rsidRPr="00C7600A" w:rsidRDefault="00CA3589" w:rsidP="00DE4847">
            <w:pPr>
              <w:suppressAutoHyphens w:val="0"/>
              <w:spacing w:before="40" w:after="40" w:line="220" w:lineRule="exact"/>
              <w:jc w:val="right"/>
              <w:rPr>
                <w:sz w:val="18"/>
                <w:lang w:val="fr-FR" w:bidi="ar-QA"/>
              </w:rPr>
            </w:pPr>
            <w:r w:rsidRPr="00C7600A">
              <w:rPr>
                <w:sz w:val="18"/>
                <w:lang w:val="fr-FR" w:bidi="ar-QA"/>
              </w:rPr>
              <w:t>81,3</w:t>
            </w:r>
          </w:p>
        </w:tc>
        <w:tc>
          <w:tcPr>
            <w:tcW w:w="1474" w:type="dxa"/>
            <w:shd w:val="clear" w:color="auto" w:fill="auto"/>
          </w:tcPr>
          <w:p w14:paraId="065609D4" w14:textId="77777777" w:rsidR="00CA3589" w:rsidRPr="00C7600A" w:rsidRDefault="00CA3589" w:rsidP="00DE4847">
            <w:pPr>
              <w:suppressAutoHyphens w:val="0"/>
              <w:spacing w:before="40" w:after="40" w:line="220" w:lineRule="exact"/>
              <w:jc w:val="right"/>
              <w:rPr>
                <w:sz w:val="18"/>
                <w:lang w:val="fr-FR" w:bidi="ar-QA"/>
              </w:rPr>
            </w:pPr>
            <w:r w:rsidRPr="00C7600A">
              <w:rPr>
                <w:sz w:val="18"/>
                <w:lang w:val="fr-FR" w:bidi="ar-QA"/>
              </w:rPr>
              <w:t>82,8</w:t>
            </w:r>
          </w:p>
        </w:tc>
      </w:tr>
      <w:tr w:rsidR="00CA3589" w:rsidRPr="002D181B" w14:paraId="74265616" w14:textId="77777777" w:rsidTr="00855F80">
        <w:tc>
          <w:tcPr>
            <w:tcW w:w="1474" w:type="dxa"/>
            <w:shd w:val="clear" w:color="auto" w:fill="auto"/>
            <w:vAlign w:val="bottom"/>
          </w:tcPr>
          <w:p w14:paraId="47DF2CBD" w14:textId="77777777" w:rsidR="00CA3589" w:rsidRPr="00C7600A" w:rsidRDefault="00CA3589" w:rsidP="00CA3589">
            <w:pPr>
              <w:suppressAutoHyphens w:val="0"/>
              <w:spacing w:before="40" w:after="40" w:line="220" w:lineRule="exact"/>
              <w:rPr>
                <w:sz w:val="18"/>
                <w:lang w:val="fr-FR" w:bidi="ar-QA"/>
              </w:rPr>
            </w:pPr>
            <w:r w:rsidRPr="00C7600A">
              <w:rPr>
                <w:sz w:val="18"/>
                <w:lang w:val="fr-FR" w:bidi="ar-QA"/>
              </w:rPr>
              <w:t>2013</w:t>
            </w:r>
            <w:r w:rsidR="008D5D4D">
              <w:rPr>
                <w:sz w:val="18"/>
                <w:lang w:val="fr-FR" w:bidi="ar-QA"/>
              </w:rPr>
              <w:t>/</w:t>
            </w:r>
            <w:r w:rsidRPr="00C7600A">
              <w:rPr>
                <w:sz w:val="18"/>
                <w:lang w:val="fr-FR" w:bidi="ar-QA"/>
              </w:rPr>
              <w:t>14</w:t>
            </w:r>
          </w:p>
        </w:tc>
        <w:tc>
          <w:tcPr>
            <w:tcW w:w="1474" w:type="dxa"/>
            <w:shd w:val="clear" w:color="auto" w:fill="auto"/>
            <w:vAlign w:val="bottom"/>
          </w:tcPr>
          <w:p w14:paraId="57C43C94" w14:textId="77777777" w:rsidR="00CA3589" w:rsidRPr="00C7600A" w:rsidRDefault="00CA3589" w:rsidP="00CA3589">
            <w:pPr>
              <w:suppressAutoHyphens w:val="0"/>
              <w:spacing w:before="40" w:after="40" w:line="220" w:lineRule="exact"/>
              <w:jc w:val="right"/>
              <w:rPr>
                <w:sz w:val="18"/>
                <w:lang w:val="fr-FR" w:bidi="ar-QA"/>
              </w:rPr>
            </w:pPr>
            <w:r w:rsidRPr="00C7600A">
              <w:rPr>
                <w:sz w:val="18"/>
                <w:lang w:val="fr-FR" w:bidi="ar-QA"/>
              </w:rPr>
              <w:t>100,1</w:t>
            </w:r>
          </w:p>
        </w:tc>
        <w:tc>
          <w:tcPr>
            <w:tcW w:w="1474" w:type="dxa"/>
            <w:shd w:val="clear" w:color="auto" w:fill="auto"/>
            <w:vAlign w:val="bottom"/>
          </w:tcPr>
          <w:p w14:paraId="1E54E584" w14:textId="77777777" w:rsidR="00CA3589" w:rsidRPr="00C7600A" w:rsidRDefault="00CA3589" w:rsidP="00CA3589">
            <w:pPr>
              <w:suppressAutoHyphens w:val="0"/>
              <w:spacing w:before="40" w:after="40" w:line="220" w:lineRule="exact"/>
              <w:jc w:val="right"/>
              <w:rPr>
                <w:sz w:val="18"/>
                <w:lang w:val="fr-FR" w:bidi="ar-QA"/>
              </w:rPr>
            </w:pPr>
            <w:r w:rsidRPr="00C7600A">
              <w:rPr>
                <w:sz w:val="18"/>
                <w:lang w:val="fr-FR" w:bidi="ar-QA"/>
              </w:rPr>
              <w:t>99,0</w:t>
            </w:r>
          </w:p>
        </w:tc>
        <w:tc>
          <w:tcPr>
            <w:tcW w:w="1474" w:type="dxa"/>
            <w:shd w:val="clear" w:color="auto" w:fill="auto"/>
          </w:tcPr>
          <w:p w14:paraId="39F5B412" w14:textId="77777777" w:rsidR="00CA3589" w:rsidRPr="00C7600A" w:rsidRDefault="00CA3589" w:rsidP="008C6BB6">
            <w:pPr>
              <w:suppressAutoHyphens w:val="0"/>
              <w:spacing w:before="40" w:after="40" w:line="220" w:lineRule="exact"/>
              <w:jc w:val="right"/>
              <w:rPr>
                <w:sz w:val="18"/>
                <w:lang w:val="fr-FR" w:bidi="ar-QA"/>
              </w:rPr>
            </w:pPr>
            <w:r w:rsidRPr="00C7600A">
              <w:rPr>
                <w:sz w:val="18"/>
                <w:lang w:val="fr-FR" w:bidi="ar-QA"/>
              </w:rPr>
              <w:t>82,5</w:t>
            </w:r>
          </w:p>
        </w:tc>
        <w:tc>
          <w:tcPr>
            <w:tcW w:w="1474" w:type="dxa"/>
            <w:shd w:val="clear" w:color="auto" w:fill="auto"/>
          </w:tcPr>
          <w:p w14:paraId="2209FC72" w14:textId="77777777" w:rsidR="00CA3589" w:rsidRPr="00C7600A" w:rsidRDefault="00CA3589" w:rsidP="00CA3589">
            <w:pPr>
              <w:suppressAutoHyphens w:val="0"/>
              <w:spacing w:before="40" w:after="40" w:line="220" w:lineRule="exact"/>
              <w:jc w:val="right"/>
              <w:rPr>
                <w:sz w:val="18"/>
                <w:lang w:val="fr-FR" w:bidi="ar-QA"/>
              </w:rPr>
            </w:pPr>
            <w:r w:rsidRPr="00C7600A">
              <w:rPr>
                <w:sz w:val="18"/>
                <w:lang w:val="fr-FR" w:bidi="ar-QA"/>
              </w:rPr>
              <w:t>82,0</w:t>
            </w:r>
          </w:p>
        </w:tc>
      </w:tr>
      <w:tr w:rsidR="00CA3589" w:rsidRPr="002D181B" w14:paraId="384B0C39" w14:textId="77777777" w:rsidTr="00855F80">
        <w:tc>
          <w:tcPr>
            <w:tcW w:w="1474" w:type="dxa"/>
            <w:shd w:val="clear" w:color="auto" w:fill="auto"/>
            <w:vAlign w:val="bottom"/>
          </w:tcPr>
          <w:p w14:paraId="7DC17E6D" w14:textId="77777777" w:rsidR="00CA3589" w:rsidRPr="00C7600A" w:rsidRDefault="00CA3589" w:rsidP="00CA3589">
            <w:pPr>
              <w:suppressAutoHyphens w:val="0"/>
              <w:spacing w:before="40" w:after="40" w:line="220" w:lineRule="exact"/>
              <w:rPr>
                <w:sz w:val="18"/>
                <w:lang w:val="fr-FR" w:bidi="ar-QA"/>
              </w:rPr>
            </w:pPr>
            <w:r w:rsidRPr="00C7600A">
              <w:rPr>
                <w:sz w:val="18"/>
                <w:lang w:val="fr-FR" w:bidi="ar-QA"/>
              </w:rPr>
              <w:t>2014</w:t>
            </w:r>
            <w:r w:rsidR="008D5D4D">
              <w:rPr>
                <w:sz w:val="18"/>
                <w:lang w:val="fr-FR" w:bidi="ar-QA"/>
              </w:rPr>
              <w:t>/</w:t>
            </w:r>
            <w:r w:rsidRPr="00C7600A">
              <w:rPr>
                <w:sz w:val="18"/>
                <w:lang w:val="fr-FR" w:bidi="ar-QA"/>
              </w:rPr>
              <w:t>15</w:t>
            </w:r>
          </w:p>
        </w:tc>
        <w:tc>
          <w:tcPr>
            <w:tcW w:w="1474" w:type="dxa"/>
            <w:shd w:val="clear" w:color="auto" w:fill="auto"/>
            <w:vAlign w:val="bottom"/>
          </w:tcPr>
          <w:p w14:paraId="031C264B" w14:textId="77777777" w:rsidR="00CA3589" w:rsidRPr="00C7600A" w:rsidRDefault="00CA3589" w:rsidP="00CA3589">
            <w:pPr>
              <w:suppressAutoHyphens w:val="0"/>
              <w:spacing w:before="40" w:after="40" w:line="220" w:lineRule="exact"/>
              <w:jc w:val="right"/>
              <w:rPr>
                <w:sz w:val="18"/>
                <w:lang w:val="fr-FR" w:bidi="ar-QA"/>
              </w:rPr>
            </w:pPr>
            <w:r w:rsidRPr="00C7600A">
              <w:rPr>
                <w:sz w:val="18"/>
                <w:lang w:val="fr-FR" w:bidi="ar-QA"/>
              </w:rPr>
              <w:t>98,3</w:t>
            </w:r>
          </w:p>
        </w:tc>
        <w:tc>
          <w:tcPr>
            <w:tcW w:w="1474" w:type="dxa"/>
            <w:shd w:val="clear" w:color="auto" w:fill="auto"/>
            <w:vAlign w:val="bottom"/>
          </w:tcPr>
          <w:p w14:paraId="69F5C71D" w14:textId="77777777" w:rsidR="00CA3589" w:rsidRPr="00C7600A" w:rsidRDefault="00CA3589" w:rsidP="00CA3589">
            <w:pPr>
              <w:suppressAutoHyphens w:val="0"/>
              <w:spacing w:before="40" w:after="40" w:line="220" w:lineRule="exact"/>
              <w:jc w:val="right"/>
              <w:rPr>
                <w:sz w:val="18"/>
                <w:lang w:val="fr-FR" w:bidi="ar-QA"/>
              </w:rPr>
            </w:pPr>
            <w:r w:rsidRPr="00C7600A">
              <w:rPr>
                <w:sz w:val="18"/>
                <w:lang w:val="fr-FR" w:bidi="ar-QA"/>
              </w:rPr>
              <w:t>95,5</w:t>
            </w:r>
          </w:p>
        </w:tc>
        <w:tc>
          <w:tcPr>
            <w:tcW w:w="1474" w:type="dxa"/>
            <w:shd w:val="clear" w:color="auto" w:fill="auto"/>
          </w:tcPr>
          <w:p w14:paraId="14E48266" w14:textId="77777777" w:rsidR="00CA3589" w:rsidRPr="00C7600A" w:rsidRDefault="00CA3589" w:rsidP="008C6BB6">
            <w:pPr>
              <w:suppressAutoHyphens w:val="0"/>
              <w:spacing w:before="40" w:after="40" w:line="220" w:lineRule="exact"/>
              <w:jc w:val="right"/>
              <w:rPr>
                <w:sz w:val="18"/>
                <w:lang w:val="fr-FR" w:bidi="ar-QA"/>
              </w:rPr>
            </w:pPr>
            <w:r w:rsidRPr="00C7600A">
              <w:rPr>
                <w:sz w:val="18"/>
                <w:lang w:val="fr-FR" w:bidi="ar-QA"/>
              </w:rPr>
              <w:t>80,3</w:t>
            </w:r>
          </w:p>
        </w:tc>
        <w:tc>
          <w:tcPr>
            <w:tcW w:w="1474" w:type="dxa"/>
            <w:shd w:val="clear" w:color="auto" w:fill="auto"/>
          </w:tcPr>
          <w:p w14:paraId="1D6B4BE3" w14:textId="77777777" w:rsidR="00CA3589" w:rsidRPr="00C7600A" w:rsidRDefault="00CA3589" w:rsidP="00CA3589">
            <w:pPr>
              <w:suppressAutoHyphens w:val="0"/>
              <w:spacing w:before="40" w:after="40" w:line="220" w:lineRule="exact"/>
              <w:jc w:val="right"/>
              <w:rPr>
                <w:sz w:val="18"/>
                <w:lang w:val="fr-FR" w:bidi="ar-QA"/>
              </w:rPr>
            </w:pPr>
            <w:r w:rsidRPr="00C7600A">
              <w:rPr>
                <w:sz w:val="18"/>
                <w:lang w:val="fr-FR" w:bidi="ar-QA"/>
              </w:rPr>
              <w:t>78,8</w:t>
            </w:r>
          </w:p>
        </w:tc>
      </w:tr>
      <w:tr w:rsidR="00CA3589" w:rsidRPr="002D181B" w14:paraId="76060184" w14:textId="77777777" w:rsidTr="00855F80">
        <w:tc>
          <w:tcPr>
            <w:tcW w:w="1474" w:type="dxa"/>
            <w:shd w:val="clear" w:color="auto" w:fill="auto"/>
            <w:vAlign w:val="bottom"/>
          </w:tcPr>
          <w:p w14:paraId="3220A87F" w14:textId="77777777" w:rsidR="00CA3589" w:rsidRPr="00C7600A" w:rsidRDefault="00CA3589" w:rsidP="00CA3589">
            <w:pPr>
              <w:suppressAutoHyphens w:val="0"/>
              <w:spacing w:before="40" w:after="40" w:line="220" w:lineRule="exact"/>
              <w:rPr>
                <w:sz w:val="18"/>
                <w:szCs w:val="26"/>
                <w:rtl/>
                <w:lang w:val="fr-FR" w:bidi="fr-FR"/>
              </w:rPr>
            </w:pPr>
            <w:r w:rsidRPr="00C7600A">
              <w:rPr>
                <w:sz w:val="18"/>
                <w:lang w:val="fr-FR" w:bidi="ar-QA"/>
              </w:rPr>
              <w:t>2015</w:t>
            </w:r>
            <w:r w:rsidR="008D5D4D">
              <w:rPr>
                <w:sz w:val="18"/>
                <w:lang w:val="fr-FR" w:bidi="ar-QA"/>
              </w:rPr>
              <w:t>/</w:t>
            </w:r>
            <w:r w:rsidRPr="00C7600A">
              <w:rPr>
                <w:sz w:val="18"/>
                <w:lang w:val="fr-FR" w:bidi="ar-QA"/>
              </w:rPr>
              <w:t>16</w:t>
            </w:r>
          </w:p>
        </w:tc>
        <w:tc>
          <w:tcPr>
            <w:tcW w:w="1474" w:type="dxa"/>
            <w:shd w:val="clear" w:color="auto" w:fill="auto"/>
            <w:vAlign w:val="bottom"/>
          </w:tcPr>
          <w:p w14:paraId="29ECD60C" w14:textId="77777777" w:rsidR="00CA3589" w:rsidRPr="00C7600A" w:rsidRDefault="00CA3589" w:rsidP="00CA3589">
            <w:pPr>
              <w:suppressAutoHyphens w:val="0"/>
              <w:spacing w:before="40" w:after="40" w:line="220" w:lineRule="exact"/>
              <w:jc w:val="right"/>
              <w:rPr>
                <w:sz w:val="18"/>
                <w:szCs w:val="26"/>
                <w:rtl/>
                <w:lang w:val="fr-FR" w:bidi="fr-FR"/>
              </w:rPr>
            </w:pPr>
            <w:r w:rsidRPr="00C7600A">
              <w:rPr>
                <w:sz w:val="18"/>
                <w:lang w:val="fr-FR" w:bidi="ar-QA"/>
              </w:rPr>
              <w:t>100,9</w:t>
            </w:r>
          </w:p>
        </w:tc>
        <w:tc>
          <w:tcPr>
            <w:tcW w:w="1474" w:type="dxa"/>
            <w:shd w:val="clear" w:color="auto" w:fill="auto"/>
            <w:vAlign w:val="bottom"/>
          </w:tcPr>
          <w:p w14:paraId="7DDC4FE4" w14:textId="77777777" w:rsidR="00CA3589" w:rsidRPr="00C7600A" w:rsidRDefault="00CA3589" w:rsidP="00CA3589">
            <w:pPr>
              <w:suppressAutoHyphens w:val="0"/>
              <w:spacing w:before="40" w:after="40" w:line="220" w:lineRule="exact"/>
              <w:jc w:val="right"/>
              <w:rPr>
                <w:sz w:val="18"/>
                <w:szCs w:val="26"/>
                <w:rtl/>
                <w:lang w:val="fr-FR" w:bidi="fr-FR"/>
              </w:rPr>
            </w:pPr>
            <w:r w:rsidRPr="00C7600A">
              <w:rPr>
                <w:sz w:val="18"/>
                <w:lang w:val="fr-FR" w:bidi="ar-QA"/>
              </w:rPr>
              <w:t>95,2</w:t>
            </w:r>
          </w:p>
        </w:tc>
        <w:tc>
          <w:tcPr>
            <w:tcW w:w="1474" w:type="dxa"/>
            <w:shd w:val="clear" w:color="auto" w:fill="auto"/>
          </w:tcPr>
          <w:p w14:paraId="07F1CD40" w14:textId="77777777" w:rsidR="00CA3589" w:rsidRPr="00C7600A" w:rsidRDefault="00CA3589" w:rsidP="008C6BB6">
            <w:pPr>
              <w:suppressAutoHyphens w:val="0"/>
              <w:spacing w:before="40" w:after="40" w:line="220" w:lineRule="exact"/>
              <w:jc w:val="right"/>
              <w:rPr>
                <w:sz w:val="18"/>
                <w:szCs w:val="26"/>
                <w:rtl/>
                <w:lang w:val="fr-FR" w:bidi="fr-FR"/>
              </w:rPr>
            </w:pPr>
            <w:r w:rsidRPr="00C7600A">
              <w:rPr>
                <w:sz w:val="18"/>
                <w:lang w:val="fr-FR" w:bidi="ar-QA"/>
              </w:rPr>
              <w:t>83,0</w:t>
            </w:r>
          </w:p>
        </w:tc>
        <w:tc>
          <w:tcPr>
            <w:tcW w:w="1474" w:type="dxa"/>
            <w:shd w:val="clear" w:color="auto" w:fill="auto"/>
          </w:tcPr>
          <w:p w14:paraId="625BC79F" w14:textId="77777777" w:rsidR="00CA3589" w:rsidRPr="00C7600A" w:rsidRDefault="00CA3589" w:rsidP="00CA3589">
            <w:pPr>
              <w:suppressAutoHyphens w:val="0"/>
              <w:spacing w:before="40" w:after="40" w:line="220" w:lineRule="exact"/>
              <w:jc w:val="right"/>
              <w:rPr>
                <w:sz w:val="18"/>
                <w:szCs w:val="26"/>
                <w:rtl/>
                <w:lang w:val="fr-FR" w:bidi="fr-FR"/>
              </w:rPr>
            </w:pPr>
            <w:r w:rsidRPr="00C7600A">
              <w:rPr>
                <w:sz w:val="18"/>
                <w:lang w:val="fr-FR" w:bidi="ar-QA"/>
              </w:rPr>
              <w:t>79,3</w:t>
            </w:r>
          </w:p>
        </w:tc>
      </w:tr>
      <w:tr w:rsidR="00CA3589" w:rsidRPr="002D181B" w14:paraId="29B078E8" w14:textId="77777777" w:rsidTr="00855F80">
        <w:tc>
          <w:tcPr>
            <w:tcW w:w="1474" w:type="dxa"/>
            <w:tcBorders>
              <w:bottom w:val="single" w:sz="12" w:space="0" w:color="auto"/>
            </w:tcBorders>
            <w:shd w:val="clear" w:color="auto" w:fill="auto"/>
            <w:vAlign w:val="bottom"/>
          </w:tcPr>
          <w:p w14:paraId="5F750E3A" w14:textId="77777777" w:rsidR="00CA3589" w:rsidRPr="00C7600A" w:rsidRDefault="00CA3589" w:rsidP="00CA3589">
            <w:pPr>
              <w:suppressAutoHyphens w:val="0"/>
              <w:spacing w:before="40" w:after="40" w:line="220" w:lineRule="exact"/>
              <w:rPr>
                <w:sz w:val="18"/>
                <w:szCs w:val="26"/>
                <w:rtl/>
                <w:lang w:val="fr-FR" w:bidi="fr-FR"/>
              </w:rPr>
            </w:pPr>
            <w:r w:rsidRPr="00C7600A">
              <w:rPr>
                <w:sz w:val="18"/>
                <w:lang w:val="fr-FR" w:bidi="ar-QA"/>
              </w:rPr>
              <w:t>2016</w:t>
            </w:r>
            <w:r w:rsidR="008D5D4D">
              <w:rPr>
                <w:sz w:val="18"/>
                <w:lang w:val="fr-FR" w:bidi="ar-QA"/>
              </w:rPr>
              <w:t>/</w:t>
            </w:r>
            <w:r w:rsidRPr="00C7600A">
              <w:rPr>
                <w:sz w:val="18"/>
                <w:lang w:val="fr-FR" w:bidi="ar-QA"/>
              </w:rPr>
              <w:t>17</w:t>
            </w:r>
          </w:p>
        </w:tc>
        <w:tc>
          <w:tcPr>
            <w:tcW w:w="1474" w:type="dxa"/>
            <w:tcBorders>
              <w:bottom w:val="single" w:sz="12" w:space="0" w:color="auto"/>
            </w:tcBorders>
            <w:shd w:val="clear" w:color="auto" w:fill="auto"/>
            <w:vAlign w:val="bottom"/>
          </w:tcPr>
          <w:p w14:paraId="28AFA8DA" w14:textId="77777777" w:rsidR="00CA3589" w:rsidRPr="00C7600A" w:rsidRDefault="00CA3589" w:rsidP="00CA3589">
            <w:pPr>
              <w:suppressAutoHyphens w:val="0"/>
              <w:spacing w:before="40" w:after="40" w:line="220" w:lineRule="exact"/>
              <w:jc w:val="right"/>
              <w:rPr>
                <w:sz w:val="18"/>
                <w:szCs w:val="26"/>
                <w:rtl/>
                <w:lang w:val="fr-FR" w:bidi="fr-FR"/>
              </w:rPr>
            </w:pPr>
            <w:r w:rsidRPr="00C7600A">
              <w:rPr>
                <w:sz w:val="18"/>
                <w:lang w:val="fr-FR" w:bidi="ar-QA"/>
              </w:rPr>
              <w:t>105,2</w:t>
            </w:r>
          </w:p>
        </w:tc>
        <w:tc>
          <w:tcPr>
            <w:tcW w:w="1474" w:type="dxa"/>
            <w:tcBorders>
              <w:bottom w:val="single" w:sz="12" w:space="0" w:color="auto"/>
            </w:tcBorders>
            <w:shd w:val="clear" w:color="auto" w:fill="auto"/>
            <w:vAlign w:val="bottom"/>
          </w:tcPr>
          <w:p w14:paraId="75ED8E9B" w14:textId="77777777" w:rsidR="00CA3589" w:rsidRPr="00C7600A" w:rsidRDefault="00CA3589" w:rsidP="00CA3589">
            <w:pPr>
              <w:suppressAutoHyphens w:val="0"/>
              <w:spacing w:before="40" w:after="40" w:line="220" w:lineRule="exact"/>
              <w:jc w:val="right"/>
              <w:rPr>
                <w:sz w:val="18"/>
                <w:szCs w:val="26"/>
                <w:rtl/>
                <w:lang w:val="fr-FR" w:bidi="fr-FR"/>
              </w:rPr>
            </w:pPr>
            <w:r w:rsidRPr="00C7600A">
              <w:rPr>
                <w:sz w:val="18"/>
                <w:lang w:val="fr-FR" w:bidi="ar-QA"/>
              </w:rPr>
              <w:t>102,4</w:t>
            </w:r>
          </w:p>
        </w:tc>
        <w:tc>
          <w:tcPr>
            <w:tcW w:w="1474" w:type="dxa"/>
            <w:tcBorders>
              <w:bottom w:val="single" w:sz="12" w:space="0" w:color="auto"/>
            </w:tcBorders>
            <w:shd w:val="clear" w:color="auto" w:fill="auto"/>
          </w:tcPr>
          <w:p w14:paraId="3584C13A" w14:textId="77777777" w:rsidR="00CA3589" w:rsidRPr="00C7600A" w:rsidRDefault="00CA3589" w:rsidP="008C6BB6">
            <w:pPr>
              <w:suppressAutoHyphens w:val="0"/>
              <w:spacing w:before="40" w:after="40" w:line="220" w:lineRule="exact"/>
              <w:jc w:val="right"/>
              <w:rPr>
                <w:sz w:val="18"/>
                <w:szCs w:val="26"/>
                <w:rtl/>
                <w:lang w:val="fr-FR" w:bidi="fr-FR"/>
              </w:rPr>
            </w:pPr>
            <w:r w:rsidRPr="00C7600A">
              <w:rPr>
                <w:sz w:val="18"/>
                <w:lang w:val="fr-FR" w:bidi="ar-QA"/>
              </w:rPr>
              <w:t>84,2</w:t>
            </w:r>
          </w:p>
        </w:tc>
        <w:tc>
          <w:tcPr>
            <w:tcW w:w="1474" w:type="dxa"/>
            <w:tcBorders>
              <w:bottom w:val="single" w:sz="12" w:space="0" w:color="auto"/>
            </w:tcBorders>
            <w:shd w:val="clear" w:color="auto" w:fill="auto"/>
          </w:tcPr>
          <w:p w14:paraId="40F59DB8" w14:textId="77777777" w:rsidR="00CA3589" w:rsidRPr="00C7600A" w:rsidRDefault="00CA3589" w:rsidP="00CA3589">
            <w:pPr>
              <w:suppressAutoHyphens w:val="0"/>
              <w:spacing w:before="40" w:after="40" w:line="220" w:lineRule="exact"/>
              <w:jc w:val="right"/>
              <w:rPr>
                <w:sz w:val="18"/>
                <w:szCs w:val="26"/>
                <w:rtl/>
                <w:lang w:val="fr-FR" w:bidi="fr-FR"/>
              </w:rPr>
            </w:pPr>
            <w:r w:rsidRPr="00C7600A">
              <w:rPr>
                <w:sz w:val="18"/>
                <w:lang w:val="fr-FR" w:bidi="ar-QA"/>
              </w:rPr>
              <w:t>85,2</w:t>
            </w:r>
          </w:p>
        </w:tc>
      </w:tr>
    </w:tbl>
    <w:p w14:paraId="721B26AF" w14:textId="77777777" w:rsidR="009E4C76" w:rsidRPr="00C7600A" w:rsidRDefault="009E4C76" w:rsidP="00C7600A">
      <w:pPr>
        <w:pStyle w:val="SingleTxtG"/>
        <w:spacing w:before="120" w:after="0"/>
        <w:ind w:firstLine="170"/>
        <w:rPr>
          <w:sz w:val="18"/>
          <w:szCs w:val="18"/>
          <w:rtl/>
        </w:rPr>
      </w:pPr>
      <w:r w:rsidRPr="00C7600A">
        <w:rPr>
          <w:i/>
          <w:sz w:val="18"/>
          <w:szCs w:val="18"/>
        </w:rPr>
        <w:t>Source</w:t>
      </w:r>
      <w:r w:rsidRPr="00C7600A">
        <w:rPr>
          <w:sz w:val="18"/>
          <w:szCs w:val="18"/>
        </w:rPr>
        <w:t> :</w:t>
      </w:r>
      <w:r w:rsidR="00C7600A" w:rsidRPr="00C7600A">
        <w:rPr>
          <w:sz w:val="18"/>
          <w:szCs w:val="18"/>
        </w:rPr>
        <w:t xml:space="preserve"> </w:t>
      </w:r>
      <w:r w:rsidRPr="00C7600A">
        <w:rPr>
          <w:sz w:val="18"/>
          <w:szCs w:val="18"/>
        </w:rPr>
        <w:t>Ministère de la planification, du développement et des statistiques, Éducation au Qatar : aperçu statistique, 2017.</w:t>
      </w:r>
    </w:p>
    <w:p w14:paraId="16A7EF94" w14:textId="77777777" w:rsidR="009E4C76" w:rsidRDefault="009E4C76" w:rsidP="00C7600A">
      <w:pPr>
        <w:pStyle w:val="SingleTxtG"/>
        <w:spacing w:after="240"/>
        <w:ind w:firstLine="170"/>
        <w:rPr>
          <w:sz w:val="18"/>
          <w:szCs w:val="18"/>
        </w:rPr>
      </w:pPr>
      <w:r w:rsidRPr="00C7600A">
        <w:rPr>
          <w:i/>
          <w:sz w:val="18"/>
          <w:szCs w:val="18"/>
        </w:rPr>
        <w:t>Source</w:t>
      </w:r>
      <w:r w:rsidRPr="00C7600A">
        <w:rPr>
          <w:sz w:val="18"/>
          <w:szCs w:val="18"/>
        </w:rPr>
        <w:t> :</w:t>
      </w:r>
      <w:r w:rsidR="00C7600A" w:rsidRPr="00C7600A">
        <w:rPr>
          <w:sz w:val="18"/>
          <w:szCs w:val="18"/>
        </w:rPr>
        <w:t xml:space="preserve"> </w:t>
      </w:r>
      <w:r w:rsidRPr="00C7600A">
        <w:rPr>
          <w:sz w:val="18"/>
          <w:szCs w:val="18"/>
        </w:rPr>
        <w:t>Ministère de la planification, du développement et des statistiques, annuaire statistique, niveau d’éducation (2015</w:t>
      </w:r>
      <w:r w:rsidR="002B2054">
        <w:rPr>
          <w:sz w:val="18"/>
          <w:szCs w:val="18"/>
        </w:rPr>
        <w:t>/</w:t>
      </w:r>
      <w:r w:rsidRPr="00C7600A">
        <w:rPr>
          <w:sz w:val="18"/>
          <w:szCs w:val="18"/>
        </w:rPr>
        <w:t>16 et 2016</w:t>
      </w:r>
      <w:r w:rsidR="002B2054">
        <w:rPr>
          <w:sz w:val="18"/>
          <w:szCs w:val="18"/>
        </w:rPr>
        <w:t>/</w:t>
      </w:r>
      <w:r w:rsidRPr="00C7600A">
        <w:rPr>
          <w:sz w:val="18"/>
          <w:szCs w:val="18"/>
        </w:rPr>
        <w:t>17).</w:t>
      </w:r>
    </w:p>
    <w:p w14:paraId="439EB8BD" w14:textId="77777777" w:rsidR="009E4C76" w:rsidRPr="00CE611F" w:rsidRDefault="009E4C76" w:rsidP="00C7600A">
      <w:pPr>
        <w:pStyle w:val="H23G"/>
        <w:rPr>
          <w:rtl/>
          <w:lang w:bidi="fr-FR"/>
        </w:rPr>
      </w:pPr>
      <w:r w:rsidRPr="00CE611F">
        <w:tab/>
      </w:r>
      <w:r w:rsidRPr="00CE611F">
        <w:tab/>
        <w:t>Taux de chômage</w:t>
      </w:r>
    </w:p>
    <w:p w14:paraId="3B21F870" w14:textId="77777777" w:rsidR="009E4C76" w:rsidRPr="00CE611F" w:rsidRDefault="009E4C76" w:rsidP="005D0B7C">
      <w:pPr>
        <w:pStyle w:val="SingleTxtG"/>
        <w:rPr>
          <w:rtl/>
          <w:lang w:bidi="fr-FR"/>
        </w:rPr>
      </w:pPr>
      <w:r w:rsidRPr="00CE611F">
        <w:rPr>
          <w:lang w:bidi="ar-QA"/>
        </w:rPr>
        <w:t>28.</w:t>
      </w:r>
      <w:r w:rsidRPr="00CE611F">
        <w:rPr>
          <w:lang w:bidi="ar-QA"/>
        </w:rPr>
        <w:tab/>
        <w:t>Le taux de chômage de la population active était de 0,1 %. Le nombre de demandeurs d</w:t>
      </w:r>
      <w:r>
        <w:rPr>
          <w:lang w:bidi="ar-QA"/>
        </w:rPr>
        <w:t>’</w:t>
      </w:r>
      <w:r w:rsidRPr="00CE611F">
        <w:rPr>
          <w:lang w:bidi="ar-QA"/>
        </w:rPr>
        <w:t>emploi au Qatar, selon la définition de l</w:t>
      </w:r>
      <w:r>
        <w:rPr>
          <w:lang w:bidi="ar-QA"/>
        </w:rPr>
        <w:t>’</w:t>
      </w:r>
      <w:r w:rsidRPr="00CE611F">
        <w:rPr>
          <w:lang w:bidi="ar-QA"/>
        </w:rPr>
        <w:t>Organisation internationale du Travail (OIT), était de 2 736 personnes d</w:t>
      </w:r>
      <w:r>
        <w:rPr>
          <w:lang w:bidi="ar-QA"/>
        </w:rPr>
        <w:t>’</w:t>
      </w:r>
      <w:r w:rsidRPr="00CE611F">
        <w:rPr>
          <w:lang w:bidi="ar-QA"/>
        </w:rPr>
        <w:t xml:space="preserve">après la revue annuelle de la </w:t>
      </w:r>
      <w:r w:rsidR="002E6C63" w:rsidRPr="00CE611F">
        <w:rPr>
          <w:lang w:bidi="ar-QA"/>
        </w:rPr>
        <w:t>main-d</w:t>
      </w:r>
      <w:r w:rsidR="002E6C63">
        <w:rPr>
          <w:lang w:bidi="ar-QA"/>
        </w:rPr>
        <w:t>’</w:t>
      </w:r>
      <w:r w:rsidR="002E6C63" w:rsidRPr="00CE611F">
        <w:rPr>
          <w:lang w:bidi="ar-QA"/>
        </w:rPr>
        <w:t>œuvre</w:t>
      </w:r>
      <w:r w:rsidRPr="00CE611F">
        <w:rPr>
          <w:lang w:bidi="ar-QA"/>
        </w:rPr>
        <w:t xml:space="preserve"> de</w:t>
      </w:r>
      <w:r w:rsidR="002E6C63">
        <w:rPr>
          <w:lang w:bidi="ar-QA"/>
        </w:rPr>
        <w:t> </w:t>
      </w:r>
      <w:r w:rsidRPr="00CE611F">
        <w:rPr>
          <w:lang w:bidi="ar-QA"/>
        </w:rPr>
        <w:t>2017, dont 37,9 % d</w:t>
      </w:r>
      <w:r>
        <w:rPr>
          <w:lang w:bidi="ar-QA"/>
        </w:rPr>
        <w:t>’</w:t>
      </w:r>
      <w:r w:rsidRPr="00CE611F">
        <w:rPr>
          <w:lang w:bidi="ar-QA"/>
        </w:rPr>
        <w:t>hommes et 62,1 % de femmes ; sachant que le taux de chômage est passé, de 0,2 % au cours du troisième trimestre de l</w:t>
      </w:r>
      <w:r>
        <w:rPr>
          <w:lang w:bidi="ar-QA"/>
        </w:rPr>
        <w:t>’</w:t>
      </w:r>
      <w:r w:rsidRPr="00CE611F">
        <w:rPr>
          <w:lang w:bidi="ar-QA"/>
        </w:rPr>
        <w:t>année 2016 à 0,1 % au cours du troisième trimestre de l</w:t>
      </w:r>
      <w:r>
        <w:rPr>
          <w:lang w:bidi="ar-QA"/>
        </w:rPr>
        <w:t>’</w:t>
      </w:r>
      <w:r w:rsidRPr="00CE611F">
        <w:rPr>
          <w:lang w:bidi="ar-QA"/>
        </w:rPr>
        <w:t>année 2017.</w:t>
      </w:r>
    </w:p>
    <w:p w14:paraId="2144A8FF" w14:textId="77777777" w:rsidR="009E4C76" w:rsidRPr="00CE611F" w:rsidRDefault="009E4C76" w:rsidP="005D0B7C">
      <w:pPr>
        <w:pStyle w:val="SingleTxtG"/>
        <w:rPr>
          <w:rtl/>
          <w:lang w:bidi="fr-FR"/>
        </w:rPr>
      </w:pPr>
      <w:r w:rsidRPr="00CE611F">
        <w:rPr>
          <w:lang w:bidi="ar-QA"/>
        </w:rPr>
        <w:t>29.</w:t>
      </w:r>
      <w:r w:rsidRPr="00CE611F">
        <w:rPr>
          <w:lang w:bidi="ar-QA"/>
        </w:rPr>
        <w:tab/>
        <w:t>En 2017, ce taux était de 0,1 % pour les hommes contre 0,6 % pour les femmes. Le</w:t>
      </w:r>
      <w:r w:rsidR="002E6C63">
        <w:rPr>
          <w:lang w:bidi="ar-QA"/>
        </w:rPr>
        <w:t> </w:t>
      </w:r>
      <w:r w:rsidRPr="00CE611F">
        <w:rPr>
          <w:lang w:bidi="ar-QA"/>
        </w:rPr>
        <w:t>taux de chômage était de 0,3 % concernant les Qataris des deux sexes, dont 0,2 % pour les hommes et 0,6 % pour les femmes. Les taux de chômage les plus élevés ont été enregistrés parmi les jeunes âgés de 20 à 24</w:t>
      </w:r>
      <w:r w:rsidR="002E6C63">
        <w:rPr>
          <w:lang w:bidi="ar-QA"/>
        </w:rPr>
        <w:t> </w:t>
      </w:r>
      <w:r w:rsidRPr="00CE611F">
        <w:rPr>
          <w:lang w:bidi="ar-QA"/>
        </w:rPr>
        <w:t xml:space="preserve">ans, atteignant 0,5 % selon le Bulletin annuel de la </w:t>
      </w:r>
      <w:r w:rsidR="002E6C63" w:rsidRPr="00CE611F">
        <w:rPr>
          <w:lang w:bidi="ar-QA"/>
        </w:rPr>
        <w:t>main-d</w:t>
      </w:r>
      <w:r w:rsidR="002E6C63">
        <w:rPr>
          <w:lang w:bidi="ar-QA"/>
        </w:rPr>
        <w:t>’</w:t>
      </w:r>
      <w:r w:rsidR="002E6C63" w:rsidRPr="00CE611F">
        <w:rPr>
          <w:lang w:bidi="ar-QA"/>
        </w:rPr>
        <w:t>œuvre</w:t>
      </w:r>
      <w:r w:rsidRPr="00CE611F">
        <w:rPr>
          <w:lang w:bidi="ar-QA"/>
        </w:rPr>
        <w:t xml:space="preserve"> de 2017.</w:t>
      </w:r>
    </w:p>
    <w:p w14:paraId="6213FCFA" w14:textId="77777777" w:rsidR="009E4C76" w:rsidRPr="00CE611F" w:rsidRDefault="009E4C76" w:rsidP="002E6C63">
      <w:pPr>
        <w:pStyle w:val="H23G"/>
        <w:rPr>
          <w:rtl/>
          <w:lang w:bidi="fr-FR"/>
        </w:rPr>
      </w:pPr>
      <w:r w:rsidRPr="00CE611F">
        <w:tab/>
      </w:r>
      <w:r w:rsidRPr="00CE611F">
        <w:tab/>
        <w:t xml:space="preserve">Taux de participation économique par tranche </w:t>
      </w:r>
      <w:r w:rsidR="00AE6E1B">
        <w:t>d</w:t>
      </w:r>
      <w:r>
        <w:t>’</w:t>
      </w:r>
      <w:r w:rsidRPr="00CE611F">
        <w:t>âge</w:t>
      </w:r>
    </w:p>
    <w:p w14:paraId="33DCE175" w14:textId="77777777" w:rsidR="009E4C76" w:rsidRPr="00A25E82" w:rsidRDefault="009E4C76" w:rsidP="005D0B7C">
      <w:pPr>
        <w:pStyle w:val="SingleTxtG"/>
        <w:rPr>
          <w:rtl/>
          <w:lang w:bidi="fr-FR"/>
        </w:rPr>
      </w:pPr>
      <w:r w:rsidRPr="00A25E82">
        <w:rPr>
          <w:lang w:bidi="ar-QA"/>
        </w:rPr>
        <w:t>30.</w:t>
      </w:r>
      <w:r w:rsidRPr="00A25E82">
        <w:rPr>
          <w:lang w:bidi="ar-QA"/>
        </w:rPr>
        <w:tab/>
        <w:t>Le taux de participation économique atteint son niveau le plus élevé concernant les</w:t>
      </w:r>
      <w:r w:rsidR="002E6C63" w:rsidRPr="00A25E82">
        <w:rPr>
          <w:lang w:bidi="ar-QA"/>
        </w:rPr>
        <w:t> </w:t>
      </w:r>
      <w:r w:rsidRPr="00A25E82">
        <w:rPr>
          <w:lang w:bidi="ar-QA"/>
        </w:rPr>
        <w:t>Qataris âgés de 35 à 39</w:t>
      </w:r>
      <w:r w:rsidR="002E6C63" w:rsidRPr="00A25E82">
        <w:rPr>
          <w:lang w:bidi="ar-QA"/>
        </w:rPr>
        <w:t> </w:t>
      </w:r>
      <w:r w:rsidRPr="00A25E82">
        <w:rPr>
          <w:lang w:bidi="ar-QA"/>
        </w:rPr>
        <w:t>ans et diminue ensuite progressivement avec l’avancée en âge, jusqu’à atteindre son taux le plus bas concernant les personnes âgées de 59</w:t>
      </w:r>
      <w:r w:rsidR="002E6C63" w:rsidRPr="00A25E82">
        <w:rPr>
          <w:lang w:bidi="ar-QA"/>
        </w:rPr>
        <w:t> </w:t>
      </w:r>
      <w:r w:rsidRPr="00A25E82">
        <w:rPr>
          <w:lang w:bidi="ar-QA"/>
        </w:rPr>
        <w:t>ans et plus, sachant qu’il s’agit d’une baisse normale liée à l’âge de départ à la retraite. Cette évolution s’applique aussi bien aux hommes qu’aux femmes Qataris en âge d’exercer une activité économique. Il en résulte que la première fraction de la population (moins de 25</w:t>
      </w:r>
      <w:r w:rsidR="002E6C63" w:rsidRPr="00A25E82">
        <w:rPr>
          <w:lang w:bidi="ar-QA"/>
        </w:rPr>
        <w:t> </w:t>
      </w:r>
      <w:r w:rsidRPr="00A25E82">
        <w:rPr>
          <w:lang w:bidi="ar-QA"/>
        </w:rPr>
        <w:t>ans) appartient au groupe des personnes d’âge scolaire, la deuxième (25 à 59</w:t>
      </w:r>
      <w:r w:rsidR="002E6C63" w:rsidRPr="00A25E82">
        <w:rPr>
          <w:lang w:bidi="ar-QA"/>
        </w:rPr>
        <w:t> </w:t>
      </w:r>
      <w:r w:rsidRPr="00A25E82">
        <w:rPr>
          <w:lang w:bidi="ar-QA"/>
        </w:rPr>
        <w:t>ans) au groupe des individus actifs et productifs, tandis que le troisième groupe (60</w:t>
      </w:r>
      <w:r w:rsidR="002E6C63" w:rsidRPr="00A25E82">
        <w:rPr>
          <w:lang w:bidi="ar-QA"/>
        </w:rPr>
        <w:t> </w:t>
      </w:r>
      <w:r w:rsidRPr="00A25E82">
        <w:rPr>
          <w:lang w:bidi="ar-QA"/>
        </w:rPr>
        <w:t>ans et plus) inclut les personnes qui parviennent à l’âge de départ à la retraite et de cessation d’activité.</w:t>
      </w:r>
    </w:p>
    <w:p w14:paraId="3BC208CA" w14:textId="77777777" w:rsidR="009E4C76" w:rsidRDefault="009E4C76" w:rsidP="002E6C63">
      <w:pPr>
        <w:pStyle w:val="H23G"/>
        <w:ind w:left="0" w:right="0" w:firstLine="0"/>
      </w:pPr>
      <w:r w:rsidRPr="002E6C63">
        <w:rPr>
          <w:b w:val="0"/>
        </w:rPr>
        <w:t>Tableau 12</w:t>
      </w:r>
      <w:r w:rsidR="002E6C63" w:rsidRPr="002E6C63">
        <w:rPr>
          <w:b w:val="0"/>
        </w:rPr>
        <w:t xml:space="preserve"> </w:t>
      </w:r>
      <w:r w:rsidRPr="002E6C63">
        <w:rPr>
          <w:b w:val="0"/>
        </w:rPr>
        <w:br/>
      </w:r>
      <w:r w:rsidRPr="002E6C63">
        <w:t>Population économiquement active (plus de 15</w:t>
      </w:r>
      <w:r w:rsidR="00DE4847">
        <w:t> </w:t>
      </w:r>
      <w:r w:rsidRPr="002E6C63">
        <w:t>ans) selon le sexe, la nationalité et la tranche d’âge (2017)</w:t>
      </w:r>
    </w:p>
    <w:tbl>
      <w:tblPr>
        <w:tblStyle w:val="Grilledutableau"/>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106"/>
        <w:gridCol w:w="947"/>
        <w:gridCol w:w="947"/>
        <w:gridCol w:w="948"/>
        <w:gridCol w:w="948"/>
        <w:gridCol w:w="948"/>
        <w:gridCol w:w="948"/>
        <w:gridCol w:w="948"/>
        <w:gridCol w:w="948"/>
        <w:gridCol w:w="948"/>
      </w:tblGrid>
      <w:tr w:rsidR="002E6C63" w:rsidRPr="002E6C63" w14:paraId="44AAEEA2" w14:textId="77777777" w:rsidTr="002E6C63">
        <w:trPr>
          <w:tblHeader/>
        </w:trPr>
        <w:tc>
          <w:tcPr>
            <w:tcW w:w="1106" w:type="dxa"/>
            <w:tcBorders>
              <w:top w:val="single" w:sz="4" w:space="0" w:color="auto"/>
              <w:bottom w:val="single" w:sz="4" w:space="0" w:color="auto"/>
            </w:tcBorders>
            <w:shd w:val="clear" w:color="auto" w:fill="auto"/>
            <w:vAlign w:val="bottom"/>
          </w:tcPr>
          <w:p w14:paraId="1DD80B92" w14:textId="77777777" w:rsidR="002E6C63" w:rsidRPr="002E6C63" w:rsidRDefault="002E6C63" w:rsidP="0098043A">
            <w:pPr>
              <w:keepNext/>
              <w:keepLines/>
              <w:spacing w:before="80" w:after="80" w:line="200" w:lineRule="exact"/>
              <w:rPr>
                <w:i/>
                <w:sz w:val="16"/>
              </w:rPr>
            </w:pPr>
          </w:p>
        </w:tc>
        <w:tc>
          <w:tcPr>
            <w:tcW w:w="2842" w:type="dxa"/>
            <w:gridSpan w:val="3"/>
            <w:tcBorders>
              <w:top w:val="single" w:sz="4" w:space="0" w:color="auto"/>
              <w:bottom w:val="single" w:sz="4" w:space="0" w:color="auto"/>
              <w:right w:val="single" w:sz="24" w:space="0" w:color="FFFFFF" w:themeColor="background1"/>
            </w:tcBorders>
            <w:shd w:val="clear" w:color="auto" w:fill="auto"/>
            <w:vAlign w:val="bottom"/>
          </w:tcPr>
          <w:p w14:paraId="04409FE2" w14:textId="77777777" w:rsidR="002E6C63" w:rsidRPr="002E6C63" w:rsidRDefault="002E6C63" w:rsidP="002E6C63">
            <w:pPr>
              <w:keepNext/>
              <w:keepLines/>
              <w:spacing w:before="80" w:after="80" w:line="200" w:lineRule="exact"/>
              <w:jc w:val="center"/>
              <w:rPr>
                <w:i/>
                <w:sz w:val="16"/>
              </w:rPr>
            </w:pPr>
            <w:r>
              <w:rPr>
                <w:i/>
                <w:sz w:val="16"/>
              </w:rPr>
              <w:t>Qataris</w:t>
            </w:r>
          </w:p>
        </w:tc>
        <w:tc>
          <w:tcPr>
            <w:tcW w:w="2844"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E424B49" w14:textId="77777777" w:rsidR="002E6C63" w:rsidRPr="002E6C63" w:rsidRDefault="002E6C63" w:rsidP="002E6C63">
            <w:pPr>
              <w:keepNext/>
              <w:keepLines/>
              <w:spacing w:before="80" w:after="80" w:line="200" w:lineRule="exact"/>
              <w:jc w:val="center"/>
              <w:rPr>
                <w:i/>
                <w:sz w:val="16"/>
              </w:rPr>
            </w:pPr>
            <w:r>
              <w:rPr>
                <w:i/>
                <w:sz w:val="16"/>
              </w:rPr>
              <w:t>Non</w:t>
            </w:r>
            <w:r w:rsidR="00D74B48">
              <w:rPr>
                <w:i/>
                <w:sz w:val="16"/>
              </w:rPr>
              <w:t>-Q</w:t>
            </w:r>
            <w:r>
              <w:rPr>
                <w:i/>
                <w:sz w:val="16"/>
              </w:rPr>
              <w:t>ataris</w:t>
            </w:r>
          </w:p>
        </w:tc>
        <w:tc>
          <w:tcPr>
            <w:tcW w:w="2844" w:type="dxa"/>
            <w:gridSpan w:val="3"/>
            <w:tcBorders>
              <w:top w:val="single" w:sz="4" w:space="0" w:color="auto"/>
              <w:left w:val="single" w:sz="24" w:space="0" w:color="FFFFFF" w:themeColor="background1"/>
              <w:bottom w:val="single" w:sz="4" w:space="0" w:color="auto"/>
            </w:tcBorders>
            <w:shd w:val="clear" w:color="auto" w:fill="auto"/>
            <w:vAlign w:val="bottom"/>
          </w:tcPr>
          <w:p w14:paraId="104F137A" w14:textId="77777777" w:rsidR="002E6C63" w:rsidRPr="002E6C63" w:rsidRDefault="002E6C63" w:rsidP="002E6C63">
            <w:pPr>
              <w:keepNext/>
              <w:keepLines/>
              <w:spacing w:before="80" w:after="80" w:line="200" w:lineRule="exact"/>
              <w:jc w:val="center"/>
              <w:rPr>
                <w:i/>
                <w:sz w:val="16"/>
              </w:rPr>
            </w:pPr>
            <w:r>
              <w:rPr>
                <w:i/>
                <w:sz w:val="16"/>
              </w:rPr>
              <w:t>Total</w:t>
            </w:r>
          </w:p>
        </w:tc>
      </w:tr>
      <w:tr w:rsidR="002E6C63" w:rsidRPr="002E6C63" w14:paraId="4FCA94C3" w14:textId="77777777" w:rsidTr="002E6C63">
        <w:trPr>
          <w:tblHeader/>
        </w:trPr>
        <w:tc>
          <w:tcPr>
            <w:tcW w:w="1106" w:type="dxa"/>
            <w:tcBorders>
              <w:top w:val="single" w:sz="4" w:space="0" w:color="auto"/>
              <w:bottom w:val="single" w:sz="12" w:space="0" w:color="auto"/>
            </w:tcBorders>
            <w:shd w:val="clear" w:color="auto" w:fill="auto"/>
            <w:vAlign w:val="bottom"/>
          </w:tcPr>
          <w:p w14:paraId="6C91A958" w14:textId="77777777" w:rsidR="002E6C63" w:rsidRPr="002E6C63" w:rsidRDefault="002E6C63" w:rsidP="0098043A">
            <w:pPr>
              <w:keepNext/>
              <w:keepLines/>
              <w:spacing w:before="80" w:after="80" w:line="200" w:lineRule="exact"/>
              <w:rPr>
                <w:i/>
                <w:sz w:val="16"/>
              </w:rPr>
            </w:pPr>
          </w:p>
        </w:tc>
        <w:tc>
          <w:tcPr>
            <w:tcW w:w="947" w:type="dxa"/>
            <w:tcBorders>
              <w:top w:val="single" w:sz="4" w:space="0" w:color="auto"/>
              <w:bottom w:val="single" w:sz="12" w:space="0" w:color="auto"/>
            </w:tcBorders>
            <w:shd w:val="clear" w:color="auto" w:fill="auto"/>
            <w:vAlign w:val="bottom"/>
          </w:tcPr>
          <w:p w14:paraId="2B1A95C6" w14:textId="77777777" w:rsidR="002E6C63" w:rsidRPr="002E6C63" w:rsidRDefault="002E6C63" w:rsidP="002E6C63">
            <w:pPr>
              <w:keepNext/>
              <w:keepLines/>
              <w:spacing w:before="80" w:after="80" w:line="200" w:lineRule="exact"/>
              <w:jc w:val="right"/>
              <w:rPr>
                <w:i/>
                <w:sz w:val="16"/>
              </w:rPr>
            </w:pPr>
            <w:r>
              <w:rPr>
                <w:i/>
                <w:sz w:val="16"/>
              </w:rPr>
              <w:t>Hommes</w:t>
            </w:r>
          </w:p>
        </w:tc>
        <w:tc>
          <w:tcPr>
            <w:tcW w:w="947" w:type="dxa"/>
            <w:tcBorders>
              <w:top w:val="single" w:sz="4" w:space="0" w:color="auto"/>
              <w:bottom w:val="single" w:sz="12" w:space="0" w:color="auto"/>
            </w:tcBorders>
            <w:shd w:val="clear" w:color="auto" w:fill="auto"/>
            <w:vAlign w:val="bottom"/>
          </w:tcPr>
          <w:p w14:paraId="35F089B3" w14:textId="77777777" w:rsidR="002E6C63" w:rsidRPr="002E6C63" w:rsidRDefault="002E6C63" w:rsidP="002E6C63">
            <w:pPr>
              <w:keepNext/>
              <w:keepLines/>
              <w:spacing w:before="80" w:after="80" w:line="200" w:lineRule="exact"/>
              <w:jc w:val="right"/>
              <w:rPr>
                <w:i/>
                <w:sz w:val="16"/>
              </w:rPr>
            </w:pPr>
            <w:r>
              <w:rPr>
                <w:i/>
                <w:sz w:val="16"/>
              </w:rPr>
              <w:t>Femmes</w:t>
            </w:r>
          </w:p>
        </w:tc>
        <w:tc>
          <w:tcPr>
            <w:tcW w:w="948" w:type="dxa"/>
            <w:tcBorders>
              <w:top w:val="single" w:sz="4" w:space="0" w:color="auto"/>
              <w:bottom w:val="single" w:sz="12" w:space="0" w:color="auto"/>
              <w:right w:val="single" w:sz="24" w:space="0" w:color="FFFFFF" w:themeColor="background1"/>
            </w:tcBorders>
            <w:shd w:val="clear" w:color="auto" w:fill="auto"/>
            <w:vAlign w:val="bottom"/>
          </w:tcPr>
          <w:p w14:paraId="67DF576A" w14:textId="77777777" w:rsidR="002E6C63" w:rsidRPr="002E6C63" w:rsidRDefault="002E6C63" w:rsidP="002E6C63">
            <w:pPr>
              <w:keepNext/>
              <w:keepLines/>
              <w:spacing w:before="80" w:after="80" w:line="200" w:lineRule="exact"/>
              <w:jc w:val="right"/>
              <w:rPr>
                <w:i/>
                <w:sz w:val="16"/>
              </w:rPr>
            </w:pPr>
            <w:r>
              <w:rPr>
                <w:i/>
                <w:sz w:val="16"/>
              </w:rPr>
              <w:t>Total</w:t>
            </w:r>
          </w:p>
        </w:tc>
        <w:tc>
          <w:tcPr>
            <w:tcW w:w="948" w:type="dxa"/>
            <w:tcBorders>
              <w:top w:val="single" w:sz="4" w:space="0" w:color="auto"/>
              <w:left w:val="single" w:sz="24" w:space="0" w:color="FFFFFF" w:themeColor="background1"/>
              <w:bottom w:val="single" w:sz="12" w:space="0" w:color="auto"/>
            </w:tcBorders>
            <w:shd w:val="clear" w:color="auto" w:fill="auto"/>
            <w:vAlign w:val="bottom"/>
          </w:tcPr>
          <w:p w14:paraId="7E2970F8" w14:textId="77777777" w:rsidR="002E6C63" w:rsidRPr="002E6C63" w:rsidRDefault="002E6C63" w:rsidP="002E6C63">
            <w:pPr>
              <w:keepNext/>
              <w:keepLines/>
              <w:spacing w:before="80" w:after="80" w:line="200" w:lineRule="exact"/>
              <w:jc w:val="right"/>
              <w:rPr>
                <w:i/>
                <w:sz w:val="16"/>
              </w:rPr>
            </w:pPr>
            <w:r>
              <w:rPr>
                <w:i/>
                <w:sz w:val="16"/>
              </w:rPr>
              <w:t>Hommes</w:t>
            </w:r>
          </w:p>
        </w:tc>
        <w:tc>
          <w:tcPr>
            <w:tcW w:w="948" w:type="dxa"/>
            <w:tcBorders>
              <w:top w:val="single" w:sz="4" w:space="0" w:color="auto"/>
              <w:bottom w:val="single" w:sz="12" w:space="0" w:color="auto"/>
            </w:tcBorders>
            <w:shd w:val="clear" w:color="auto" w:fill="auto"/>
            <w:vAlign w:val="bottom"/>
          </w:tcPr>
          <w:p w14:paraId="16DFD6C7" w14:textId="77777777" w:rsidR="002E6C63" w:rsidRPr="002E6C63" w:rsidRDefault="002E6C63" w:rsidP="002E6C63">
            <w:pPr>
              <w:keepNext/>
              <w:keepLines/>
              <w:spacing w:before="80" w:after="80" w:line="200" w:lineRule="exact"/>
              <w:jc w:val="right"/>
              <w:rPr>
                <w:i/>
                <w:sz w:val="16"/>
              </w:rPr>
            </w:pPr>
            <w:r>
              <w:rPr>
                <w:i/>
                <w:sz w:val="16"/>
              </w:rPr>
              <w:t>Femmes</w:t>
            </w:r>
          </w:p>
        </w:tc>
        <w:tc>
          <w:tcPr>
            <w:tcW w:w="948" w:type="dxa"/>
            <w:tcBorders>
              <w:top w:val="single" w:sz="4" w:space="0" w:color="auto"/>
              <w:bottom w:val="single" w:sz="12" w:space="0" w:color="auto"/>
              <w:right w:val="single" w:sz="24" w:space="0" w:color="FFFFFF" w:themeColor="background1"/>
            </w:tcBorders>
            <w:shd w:val="clear" w:color="auto" w:fill="auto"/>
            <w:vAlign w:val="bottom"/>
          </w:tcPr>
          <w:p w14:paraId="243F4D5D" w14:textId="77777777" w:rsidR="002E6C63" w:rsidRPr="002E6C63" w:rsidRDefault="002E6C63" w:rsidP="002E6C63">
            <w:pPr>
              <w:keepNext/>
              <w:keepLines/>
              <w:spacing w:before="80" w:after="80" w:line="200" w:lineRule="exact"/>
              <w:jc w:val="right"/>
              <w:rPr>
                <w:i/>
                <w:sz w:val="16"/>
              </w:rPr>
            </w:pPr>
            <w:r>
              <w:rPr>
                <w:i/>
                <w:sz w:val="16"/>
              </w:rPr>
              <w:t>Total</w:t>
            </w:r>
          </w:p>
        </w:tc>
        <w:tc>
          <w:tcPr>
            <w:tcW w:w="948" w:type="dxa"/>
            <w:tcBorders>
              <w:top w:val="single" w:sz="4" w:space="0" w:color="auto"/>
              <w:left w:val="single" w:sz="24" w:space="0" w:color="FFFFFF" w:themeColor="background1"/>
              <w:bottom w:val="single" w:sz="12" w:space="0" w:color="auto"/>
            </w:tcBorders>
            <w:shd w:val="clear" w:color="auto" w:fill="auto"/>
            <w:vAlign w:val="bottom"/>
          </w:tcPr>
          <w:p w14:paraId="2B879DB0" w14:textId="77777777" w:rsidR="002E6C63" w:rsidRPr="002E6C63" w:rsidRDefault="002E6C63" w:rsidP="002E6C63">
            <w:pPr>
              <w:keepNext/>
              <w:keepLines/>
              <w:spacing w:before="80" w:after="80" w:line="200" w:lineRule="exact"/>
              <w:jc w:val="right"/>
              <w:rPr>
                <w:i/>
                <w:sz w:val="16"/>
              </w:rPr>
            </w:pPr>
            <w:r>
              <w:rPr>
                <w:i/>
                <w:sz w:val="16"/>
              </w:rPr>
              <w:t>Hommes</w:t>
            </w:r>
          </w:p>
        </w:tc>
        <w:tc>
          <w:tcPr>
            <w:tcW w:w="948" w:type="dxa"/>
            <w:tcBorders>
              <w:top w:val="single" w:sz="4" w:space="0" w:color="auto"/>
              <w:bottom w:val="single" w:sz="12" w:space="0" w:color="auto"/>
            </w:tcBorders>
            <w:shd w:val="clear" w:color="auto" w:fill="auto"/>
            <w:vAlign w:val="bottom"/>
          </w:tcPr>
          <w:p w14:paraId="0CB9258F" w14:textId="77777777" w:rsidR="002E6C63" w:rsidRPr="002E6C63" w:rsidRDefault="002E6C63" w:rsidP="002E6C63">
            <w:pPr>
              <w:keepNext/>
              <w:keepLines/>
              <w:spacing w:before="80" w:after="80" w:line="200" w:lineRule="exact"/>
              <w:jc w:val="right"/>
              <w:rPr>
                <w:i/>
                <w:sz w:val="16"/>
              </w:rPr>
            </w:pPr>
            <w:r>
              <w:rPr>
                <w:i/>
                <w:sz w:val="16"/>
              </w:rPr>
              <w:t>Femmes</w:t>
            </w:r>
          </w:p>
        </w:tc>
        <w:tc>
          <w:tcPr>
            <w:tcW w:w="948" w:type="dxa"/>
            <w:tcBorders>
              <w:top w:val="single" w:sz="4" w:space="0" w:color="auto"/>
              <w:bottom w:val="single" w:sz="12" w:space="0" w:color="auto"/>
            </w:tcBorders>
            <w:shd w:val="clear" w:color="auto" w:fill="auto"/>
            <w:vAlign w:val="bottom"/>
          </w:tcPr>
          <w:p w14:paraId="35E29067" w14:textId="77777777" w:rsidR="002E6C63" w:rsidRPr="002E6C63" w:rsidRDefault="002E6C63" w:rsidP="002E6C63">
            <w:pPr>
              <w:keepNext/>
              <w:keepLines/>
              <w:spacing w:before="80" w:after="80" w:line="200" w:lineRule="exact"/>
              <w:jc w:val="right"/>
              <w:rPr>
                <w:i/>
                <w:sz w:val="16"/>
              </w:rPr>
            </w:pPr>
            <w:r>
              <w:rPr>
                <w:i/>
                <w:sz w:val="16"/>
              </w:rPr>
              <w:t>Total</w:t>
            </w:r>
          </w:p>
        </w:tc>
      </w:tr>
      <w:tr w:rsidR="0098043A" w14:paraId="0971D86E" w14:textId="77777777" w:rsidTr="0048413B">
        <w:tc>
          <w:tcPr>
            <w:tcW w:w="1106" w:type="dxa"/>
            <w:tcBorders>
              <w:top w:val="single" w:sz="12" w:space="0" w:color="auto"/>
            </w:tcBorders>
            <w:shd w:val="clear" w:color="auto" w:fill="auto"/>
            <w:vAlign w:val="bottom"/>
          </w:tcPr>
          <w:p w14:paraId="29B9D269" w14:textId="77777777" w:rsidR="0098043A" w:rsidRPr="002E6C63" w:rsidRDefault="0098043A" w:rsidP="0098043A">
            <w:pPr>
              <w:suppressAutoHyphens w:val="0"/>
              <w:spacing w:before="40" w:after="40" w:line="220" w:lineRule="exact"/>
              <w:rPr>
                <w:sz w:val="18"/>
                <w:lang w:val="fr-FR" w:bidi="ar-QA"/>
              </w:rPr>
            </w:pPr>
            <w:r w:rsidRPr="002E6C63">
              <w:rPr>
                <w:sz w:val="18"/>
                <w:lang w:val="fr-FR"/>
              </w:rPr>
              <w:t>15 à 24</w:t>
            </w:r>
            <w:r w:rsidR="00BD2380">
              <w:rPr>
                <w:sz w:val="18"/>
                <w:lang w:val="fr-FR"/>
              </w:rPr>
              <w:t> </w:t>
            </w:r>
            <w:r w:rsidRPr="002E6C63">
              <w:rPr>
                <w:sz w:val="18"/>
                <w:lang w:val="fr-FR"/>
              </w:rPr>
              <w:t>ans</w:t>
            </w:r>
          </w:p>
        </w:tc>
        <w:tc>
          <w:tcPr>
            <w:tcW w:w="947" w:type="dxa"/>
            <w:tcBorders>
              <w:top w:val="single" w:sz="12" w:space="0" w:color="auto"/>
            </w:tcBorders>
            <w:shd w:val="clear" w:color="auto" w:fill="auto"/>
            <w:vAlign w:val="bottom"/>
          </w:tcPr>
          <w:p w14:paraId="58C9CA41" w14:textId="77777777" w:rsidR="0098043A" w:rsidRPr="002E6C63" w:rsidRDefault="0098043A" w:rsidP="0098043A">
            <w:pPr>
              <w:suppressAutoHyphens w:val="0"/>
              <w:spacing w:before="40" w:after="40" w:line="220" w:lineRule="exact"/>
              <w:jc w:val="right"/>
              <w:rPr>
                <w:sz w:val="18"/>
                <w:lang w:val="fr-FR" w:bidi="ar-QA"/>
              </w:rPr>
            </w:pPr>
            <w:r w:rsidRPr="002E6C63">
              <w:rPr>
                <w:sz w:val="18"/>
                <w:lang w:val="fr-FR" w:bidi="ar-QA"/>
              </w:rPr>
              <w:t>13 603</w:t>
            </w:r>
          </w:p>
        </w:tc>
        <w:tc>
          <w:tcPr>
            <w:tcW w:w="947" w:type="dxa"/>
            <w:tcBorders>
              <w:top w:val="single" w:sz="12" w:space="0" w:color="auto"/>
            </w:tcBorders>
            <w:shd w:val="clear" w:color="auto" w:fill="auto"/>
            <w:vAlign w:val="bottom"/>
          </w:tcPr>
          <w:p w14:paraId="5060FDB9" w14:textId="77777777" w:rsidR="0098043A" w:rsidRPr="002E6C63" w:rsidRDefault="0098043A" w:rsidP="0098043A">
            <w:pPr>
              <w:suppressAutoHyphens w:val="0"/>
              <w:spacing w:before="40" w:after="40" w:line="220" w:lineRule="exact"/>
              <w:jc w:val="right"/>
              <w:rPr>
                <w:sz w:val="18"/>
                <w:lang w:val="fr-FR" w:bidi="ar-QA"/>
              </w:rPr>
            </w:pPr>
            <w:r w:rsidRPr="002E6C63">
              <w:rPr>
                <w:sz w:val="18"/>
                <w:lang w:val="fr-FR" w:bidi="ar-QA"/>
              </w:rPr>
              <w:t>5 576</w:t>
            </w:r>
          </w:p>
        </w:tc>
        <w:tc>
          <w:tcPr>
            <w:tcW w:w="948" w:type="dxa"/>
            <w:tcBorders>
              <w:top w:val="single" w:sz="12" w:space="0" w:color="auto"/>
            </w:tcBorders>
            <w:shd w:val="clear" w:color="auto" w:fill="auto"/>
            <w:vAlign w:val="bottom"/>
          </w:tcPr>
          <w:p w14:paraId="33F28171"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19 179</w:t>
            </w:r>
          </w:p>
        </w:tc>
        <w:tc>
          <w:tcPr>
            <w:tcW w:w="948" w:type="dxa"/>
            <w:tcBorders>
              <w:top w:val="single" w:sz="12" w:space="0" w:color="auto"/>
            </w:tcBorders>
            <w:shd w:val="clear" w:color="auto" w:fill="auto"/>
            <w:vAlign w:val="bottom"/>
          </w:tcPr>
          <w:p w14:paraId="795CA0B7"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181 591</w:t>
            </w:r>
          </w:p>
        </w:tc>
        <w:tc>
          <w:tcPr>
            <w:tcW w:w="948" w:type="dxa"/>
            <w:tcBorders>
              <w:top w:val="single" w:sz="12" w:space="0" w:color="auto"/>
            </w:tcBorders>
            <w:shd w:val="clear" w:color="auto" w:fill="auto"/>
            <w:vAlign w:val="bottom"/>
          </w:tcPr>
          <w:p w14:paraId="718E966C"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34 684</w:t>
            </w:r>
          </w:p>
        </w:tc>
        <w:tc>
          <w:tcPr>
            <w:tcW w:w="948" w:type="dxa"/>
            <w:tcBorders>
              <w:top w:val="single" w:sz="12" w:space="0" w:color="auto"/>
            </w:tcBorders>
            <w:shd w:val="clear" w:color="auto" w:fill="auto"/>
            <w:vAlign w:val="bottom"/>
          </w:tcPr>
          <w:p w14:paraId="062D9683"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216 275</w:t>
            </w:r>
          </w:p>
        </w:tc>
        <w:tc>
          <w:tcPr>
            <w:tcW w:w="948" w:type="dxa"/>
            <w:tcBorders>
              <w:top w:val="single" w:sz="12" w:space="0" w:color="auto"/>
            </w:tcBorders>
            <w:shd w:val="clear" w:color="auto" w:fill="auto"/>
          </w:tcPr>
          <w:p w14:paraId="1DF3DB03"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195 194</w:t>
            </w:r>
          </w:p>
        </w:tc>
        <w:tc>
          <w:tcPr>
            <w:tcW w:w="948" w:type="dxa"/>
            <w:tcBorders>
              <w:top w:val="single" w:sz="12" w:space="0" w:color="auto"/>
            </w:tcBorders>
            <w:shd w:val="clear" w:color="auto" w:fill="auto"/>
          </w:tcPr>
          <w:p w14:paraId="2F25B724"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40 260</w:t>
            </w:r>
          </w:p>
        </w:tc>
        <w:tc>
          <w:tcPr>
            <w:tcW w:w="948" w:type="dxa"/>
            <w:tcBorders>
              <w:top w:val="single" w:sz="12" w:space="0" w:color="auto"/>
            </w:tcBorders>
            <w:shd w:val="clear" w:color="auto" w:fill="auto"/>
          </w:tcPr>
          <w:p w14:paraId="54EFAAA1"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235 454</w:t>
            </w:r>
          </w:p>
        </w:tc>
      </w:tr>
      <w:tr w:rsidR="0098043A" w14:paraId="2517E578" w14:textId="77777777" w:rsidTr="0048413B">
        <w:tc>
          <w:tcPr>
            <w:tcW w:w="1106" w:type="dxa"/>
            <w:shd w:val="clear" w:color="auto" w:fill="auto"/>
            <w:vAlign w:val="bottom"/>
          </w:tcPr>
          <w:p w14:paraId="6F88A3B0" w14:textId="77777777" w:rsidR="0098043A" w:rsidRPr="002E6C63" w:rsidRDefault="0098043A" w:rsidP="0098043A">
            <w:pPr>
              <w:suppressAutoHyphens w:val="0"/>
              <w:spacing w:before="40" w:after="40" w:line="220" w:lineRule="exact"/>
              <w:rPr>
                <w:sz w:val="18"/>
                <w:lang w:val="fr-FR" w:bidi="ar-QA"/>
              </w:rPr>
            </w:pPr>
            <w:r w:rsidRPr="002E6C63">
              <w:rPr>
                <w:sz w:val="18"/>
                <w:lang w:val="fr-FR"/>
              </w:rPr>
              <w:t>25 à 34</w:t>
            </w:r>
            <w:r w:rsidR="00BD2380">
              <w:rPr>
                <w:sz w:val="18"/>
                <w:lang w:val="fr-FR"/>
              </w:rPr>
              <w:t> </w:t>
            </w:r>
            <w:r w:rsidRPr="002E6C63">
              <w:rPr>
                <w:sz w:val="18"/>
                <w:lang w:val="fr-FR"/>
              </w:rPr>
              <w:t>ans</w:t>
            </w:r>
          </w:p>
        </w:tc>
        <w:tc>
          <w:tcPr>
            <w:tcW w:w="947" w:type="dxa"/>
            <w:shd w:val="clear" w:color="auto" w:fill="auto"/>
            <w:vAlign w:val="bottom"/>
          </w:tcPr>
          <w:p w14:paraId="67FC8BD3" w14:textId="77777777" w:rsidR="0098043A" w:rsidRPr="002E6C63" w:rsidRDefault="0098043A" w:rsidP="0098043A">
            <w:pPr>
              <w:suppressAutoHyphens w:val="0"/>
              <w:spacing w:before="40" w:after="40" w:line="220" w:lineRule="exact"/>
              <w:jc w:val="right"/>
              <w:rPr>
                <w:sz w:val="18"/>
                <w:lang w:val="fr-FR" w:bidi="ar-QA"/>
              </w:rPr>
            </w:pPr>
            <w:r w:rsidRPr="002E6C63">
              <w:rPr>
                <w:sz w:val="18"/>
                <w:lang w:val="fr-FR" w:bidi="ar-QA"/>
              </w:rPr>
              <w:t>21 893</w:t>
            </w:r>
          </w:p>
        </w:tc>
        <w:tc>
          <w:tcPr>
            <w:tcW w:w="947" w:type="dxa"/>
            <w:shd w:val="clear" w:color="auto" w:fill="auto"/>
            <w:vAlign w:val="bottom"/>
          </w:tcPr>
          <w:p w14:paraId="5E8D0547" w14:textId="77777777" w:rsidR="0098043A" w:rsidRPr="002E6C63" w:rsidRDefault="0098043A" w:rsidP="0098043A">
            <w:pPr>
              <w:suppressAutoHyphens w:val="0"/>
              <w:spacing w:before="40" w:after="40" w:line="220" w:lineRule="exact"/>
              <w:jc w:val="right"/>
              <w:rPr>
                <w:sz w:val="18"/>
                <w:lang w:val="fr-FR" w:bidi="ar-QA"/>
              </w:rPr>
            </w:pPr>
            <w:r w:rsidRPr="002E6C63">
              <w:rPr>
                <w:sz w:val="18"/>
                <w:lang w:val="fr-FR" w:bidi="ar-QA"/>
              </w:rPr>
              <w:t>16 368</w:t>
            </w:r>
          </w:p>
        </w:tc>
        <w:tc>
          <w:tcPr>
            <w:tcW w:w="948" w:type="dxa"/>
            <w:shd w:val="clear" w:color="auto" w:fill="auto"/>
            <w:vAlign w:val="bottom"/>
          </w:tcPr>
          <w:p w14:paraId="631056A6"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38 261</w:t>
            </w:r>
          </w:p>
        </w:tc>
        <w:tc>
          <w:tcPr>
            <w:tcW w:w="948" w:type="dxa"/>
            <w:shd w:val="clear" w:color="auto" w:fill="auto"/>
            <w:vAlign w:val="bottom"/>
          </w:tcPr>
          <w:p w14:paraId="04D900B1"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684 692</w:t>
            </w:r>
          </w:p>
        </w:tc>
        <w:tc>
          <w:tcPr>
            <w:tcW w:w="948" w:type="dxa"/>
            <w:shd w:val="clear" w:color="auto" w:fill="auto"/>
            <w:vAlign w:val="bottom"/>
          </w:tcPr>
          <w:p w14:paraId="13FC2660"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99 233</w:t>
            </w:r>
          </w:p>
        </w:tc>
        <w:tc>
          <w:tcPr>
            <w:tcW w:w="948" w:type="dxa"/>
            <w:shd w:val="clear" w:color="auto" w:fill="auto"/>
            <w:vAlign w:val="bottom"/>
          </w:tcPr>
          <w:p w14:paraId="4B58DA76"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783 925</w:t>
            </w:r>
          </w:p>
        </w:tc>
        <w:tc>
          <w:tcPr>
            <w:tcW w:w="948" w:type="dxa"/>
            <w:shd w:val="clear" w:color="auto" w:fill="auto"/>
          </w:tcPr>
          <w:p w14:paraId="2AC1B371"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706 585</w:t>
            </w:r>
          </w:p>
        </w:tc>
        <w:tc>
          <w:tcPr>
            <w:tcW w:w="948" w:type="dxa"/>
            <w:shd w:val="clear" w:color="auto" w:fill="auto"/>
          </w:tcPr>
          <w:p w14:paraId="640DAFF8"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115 601</w:t>
            </w:r>
          </w:p>
        </w:tc>
        <w:tc>
          <w:tcPr>
            <w:tcW w:w="948" w:type="dxa"/>
            <w:shd w:val="clear" w:color="auto" w:fill="auto"/>
          </w:tcPr>
          <w:p w14:paraId="7C24A697"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822 186</w:t>
            </w:r>
          </w:p>
        </w:tc>
      </w:tr>
      <w:tr w:rsidR="0098043A" w14:paraId="0E991DCA" w14:textId="77777777" w:rsidTr="0048413B">
        <w:tc>
          <w:tcPr>
            <w:tcW w:w="1106" w:type="dxa"/>
            <w:shd w:val="clear" w:color="auto" w:fill="auto"/>
            <w:vAlign w:val="bottom"/>
          </w:tcPr>
          <w:p w14:paraId="20CAF4C0" w14:textId="77777777" w:rsidR="0098043A" w:rsidRPr="002E6C63" w:rsidRDefault="0098043A" w:rsidP="00D74B48">
            <w:pPr>
              <w:suppressAutoHyphens w:val="0"/>
              <w:spacing w:before="40" w:after="40" w:line="220" w:lineRule="exact"/>
              <w:rPr>
                <w:sz w:val="18"/>
                <w:lang w:val="fr-FR" w:bidi="ar-QA"/>
              </w:rPr>
            </w:pPr>
            <w:r w:rsidRPr="002E6C63">
              <w:rPr>
                <w:sz w:val="18"/>
                <w:lang w:val="fr-FR"/>
              </w:rPr>
              <w:t>35 à 44</w:t>
            </w:r>
            <w:r w:rsidR="00BD2380">
              <w:rPr>
                <w:sz w:val="18"/>
                <w:lang w:val="fr-FR"/>
              </w:rPr>
              <w:t> </w:t>
            </w:r>
            <w:r w:rsidRPr="002E6C63">
              <w:rPr>
                <w:sz w:val="18"/>
                <w:lang w:val="fr-FR"/>
              </w:rPr>
              <w:t>ans</w:t>
            </w:r>
          </w:p>
        </w:tc>
        <w:tc>
          <w:tcPr>
            <w:tcW w:w="947" w:type="dxa"/>
            <w:shd w:val="clear" w:color="auto" w:fill="auto"/>
            <w:vAlign w:val="bottom"/>
          </w:tcPr>
          <w:p w14:paraId="251C4085" w14:textId="77777777" w:rsidR="0098043A" w:rsidRPr="002E6C63" w:rsidRDefault="0098043A" w:rsidP="00D74B48">
            <w:pPr>
              <w:suppressAutoHyphens w:val="0"/>
              <w:spacing w:before="40" w:after="40" w:line="220" w:lineRule="exact"/>
              <w:jc w:val="right"/>
              <w:rPr>
                <w:sz w:val="18"/>
                <w:lang w:val="fr-FR" w:bidi="ar-QA"/>
              </w:rPr>
            </w:pPr>
            <w:r w:rsidRPr="002E6C63">
              <w:rPr>
                <w:sz w:val="18"/>
                <w:lang w:val="fr-FR" w:bidi="ar-QA"/>
              </w:rPr>
              <w:t>15 310</w:t>
            </w:r>
          </w:p>
        </w:tc>
        <w:tc>
          <w:tcPr>
            <w:tcW w:w="947" w:type="dxa"/>
            <w:shd w:val="clear" w:color="auto" w:fill="auto"/>
            <w:vAlign w:val="bottom"/>
          </w:tcPr>
          <w:p w14:paraId="47E3EED4" w14:textId="77777777" w:rsidR="0098043A" w:rsidRPr="002E6C63" w:rsidRDefault="0098043A" w:rsidP="00D74B48">
            <w:pPr>
              <w:suppressAutoHyphens w:val="0"/>
              <w:spacing w:before="40" w:after="40" w:line="220" w:lineRule="exact"/>
              <w:jc w:val="right"/>
              <w:rPr>
                <w:sz w:val="18"/>
                <w:lang w:val="fr-FR" w:bidi="ar-QA"/>
              </w:rPr>
            </w:pPr>
            <w:r w:rsidRPr="002E6C63">
              <w:rPr>
                <w:sz w:val="18"/>
                <w:lang w:val="fr-FR" w:bidi="ar-QA"/>
              </w:rPr>
              <w:t>9 733</w:t>
            </w:r>
          </w:p>
        </w:tc>
        <w:tc>
          <w:tcPr>
            <w:tcW w:w="948" w:type="dxa"/>
            <w:shd w:val="clear" w:color="auto" w:fill="auto"/>
            <w:vAlign w:val="bottom"/>
          </w:tcPr>
          <w:p w14:paraId="0E4E23EB" w14:textId="77777777" w:rsidR="0098043A" w:rsidRPr="00D74B48" w:rsidRDefault="0098043A" w:rsidP="00D74B48">
            <w:pPr>
              <w:suppressAutoHyphens w:val="0"/>
              <w:spacing w:before="40" w:after="40" w:line="220" w:lineRule="exact"/>
              <w:jc w:val="right"/>
              <w:rPr>
                <w:sz w:val="18"/>
                <w:lang w:val="fr-FR" w:bidi="ar-QA"/>
              </w:rPr>
            </w:pPr>
            <w:r w:rsidRPr="00D74B48">
              <w:rPr>
                <w:sz w:val="18"/>
                <w:lang w:val="fr-FR" w:bidi="ar-QA"/>
              </w:rPr>
              <w:t>25 043</w:t>
            </w:r>
          </w:p>
        </w:tc>
        <w:tc>
          <w:tcPr>
            <w:tcW w:w="948" w:type="dxa"/>
            <w:shd w:val="clear" w:color="auto" w:fill="auto"/>
            <w:vAlign w:val="bottom"/>
          </w:tcPr>
          <w:p w14:paraId="66C4AD3C" w14:textId="77777777" w:rsidR="0098043A" w:rsidRPr="00D74B48" w:rsidRDefault="0098043A" w:rsidP="00D74B48">
            <w:pPr>
              <w:suppressAutoHyphens w:val="0"/>
              <w:spacing w:before="40" w:after="40" w:line="220" w:lineRule="exact"/>
              <w:jc w:val="right"/>
              <w:rPr>
                <w:sz w:val="18"/>
                <w:lang w:val="fr-FR" w:bidi="ar-QA"/>
              </w:rPr>
            </w:pPr>
            <w:r w:rsidRPr="00D74B48">
              <w:rPr>
                <w:sz w:val="18"/>
                <w:lang w:val="fr-FR" w:bidi="ar-QA"/>
              </w:rPr>
              <w:t>514 441</w:t>
            </w:r>
          </w:p>
        </w:tc>
        <w:tc>
          <w:tcPr>
            <w:tcW w:w="948" w:type="dxa"/>
            <w:shd w:val="clear" w:color="auto" w:fill="auto"/>
            <w:vAlign w:val="bottom"/>
          </w:tcPr>
          <w:p w14:paraId="2236BFD9" w14:textId="77777777" w:rsidR="0098043A" w:rsidRPr="00D74B48" w:rsidRDefault="0098043A" w:rsidP="00D74B48">
            <w:pPr>
              <w:suppressAutoHyphens w:val="0"/>
              <w:spacing w:before="40" w:after="40" w:line="220" w:lineRule="exact"/>
              <w:jc w:val="right"/>
              <w:rPr>
                <w:sz w:val="18"/>
                <w:lang w:val="fr-FR" w:bidi="ar-QA"/>
              </w:rPr>
            </w:pPr>
            <w:r w:rsidRPr="00D74B48">
              <w:rPr>
                <w:sz w:val="18"/>
                <w:lang w:val="fr-FR" w:bidi="ar-QA"/>
              </w:rPr>
              <w:t>82 853</w:t>
            </w:r>
          </w:p>
        </w:tc>
        <w:tc>
          <w:tcPr>
            <w:tcW w:w="948" w:type="dxa"/>
            <w:shd w:val="clear" w:color="auto" w:fill="auto"/>
            <w:vAlign w:val="bottom"/>
          </w:tcPr>
          <w:p w14:paraId="296AB4A3" w14:textId="77777777" w:rsidR="0098043A" w:rsidRPr="00D74B48" w:rsidRDefault="0098043A" w:rsidP="00D74B48">
            <w:pPr>
              <w:suppressAutoHyphens w:val="0"/>
              <w:spacing w:before="40" w:after="40" w:line="220" w:lineRule="exact"/>
              <w:jc w:val="right"/>
              <w:rPr>
                <w:sz w:val="18"/>
                <w:lang w:val="fr-FR" w:bidi="ar-QA"/>
              </w:rPr>
            </w:pPr>
            <w:r w:rsidRPr="00D74B48">
              <w:rPr>
                <w:sz w:val="18"/>
                <w:lang w:val="fr-FR" w:bidi="ar-QA"/>
              </w:rPr>
              <w:t>597 294</w:t>
            </w:r>
          </w:p>
        </w:tc>
        <w:tc>
          <w:tcPr>
            <w:tcW w:w="948" w:type="dxa"/>
            <w:shd w:val="clear" w:color="auto" w:fill="auto"/>
          </w:tcPr>
          <w:p w14:paraId="7DA08BA8" w14:textId="77777777" w:rsidR="0098043A" w:rsidRPr="00D74B48" w:rsidRDefault="0098043A" w:rsidP="00D74B48">
            <w:pPr>
              <w:suppressAutoHyphens w:val="0"/>
              <w:spacing w:before="40" w:after="40" w:line="220" w:lineRule="exact"/>
              <w:jc w:val="right"/>
              <w:rPr>
                <w:sz w:val="18"/>
                <w:lang w:val="fr-FR" w:bidi="ar-QA"/>
              </w:rPr>
            </w:pPr>
            <w:r w:rsidRPr="00D74B48">
              <w:rPr>
                <w:sz w:val="18"/>
                <w:lang w:val="fr-FR" w:bidi="ar-QA"/>
              </w:rPr>
              <w:t>529 751</w:t>
            </w:r>
          </w:p>
        </w:tc>
        <w:tc>
          <w:tcPr>
            <w:tcW w:w="948" w:type="dxa"/>
            <w:shd w:val="clear" w:color="auto" w:fill="auto"/>
          </w:tcPr>
          <w:p w14:paraId="131A9FF3" w14:textId="77777777" w:rsidR="0098043A" w:rsidRPr="00D74B48" w:rsidRDefault="0098043A" w:rsidP="00D74B48">
            <w:pPr>
              <w:suppressAutoHyphens w:val="0"/>
              <w:spacing w:before="40" w:after="40" w:line="220" w:lineRule="exact"/>
              <w:jc w:val="right"/>
              <w:rPr>
                <w:sz w:val="18"/>
                <w:lang w:val="fr-FR" w:bidi="ar-QA"/>
              </w:rPr>
            </w:pPr>
            <w:r w:rsidRPr="00D74B48">
              <w:rPr>
                <w:sz w:val="18"/>
                <w:lang w:val="fr-FR" w:bidi="ar-QA"/>
              </w:rPr>
              <w:t>92 586</w:t>
            </w:r>
          </w:p>
        </w:tc>
        <w:tc>
          <w:tcPr>
            <w:tcW w:w="948" w:type="dxa"/>
            <w:shd w:val="clear" w:color="auto" w:fill="auto"/>
          </w:tcPr>
          <w:p w14:paraId="7F76E0C0" w14:textId="77777777" w:rsidR="0098043A" w:rsidRPr="00D74B48" w:rsidRDefault="0098043A" w:rsidP="00D74B48">
            <w:pPr>
              <w:suppressAutoHyphens w:val="0"/>
              <w:spacing w:before="40" w:after="40" w:line="220" w:lineRule="exact"/>
              <w:jc w:val="right"/>
              <w:rPr>
                <w:sz w:val="18"/>
                <w:lang w:val="fr-FR" w:bidi="ar-QA"/>
              </w:rPr>
            </w:pPr>
            <w:r w:rsidRPr="00D74B48">
              <w:rPr>
                <w:sz w:val="18"/>
                <w:lang w:val="fr-FR" w:bidi="ar-QA"/>
              </w:rPr>
              <w:t>622 337</w:t>
            </w:r>
          </w:p>
        </w:tc>
      </w:tr>
      <w:tr w:rsidR="0098043A" w14:paraId="5551AE08" w14:textId="77777777" w:rsidTr="0048413B">
        <w:tc>
          <w:tcPr>
            <w:tcW w:w="1106" w:type="dxa"/>
            <w:shd w:val="clear" w:color="auto" w:fill="auto"/>
            <w:vAlign w:val="bottom"/>
          </w:tcPr>
          <w:p w14:paraId="23188190" w14:textId="77777777" w:rsidR="0098043A" w:rsidRPr="002E6C63" w:rsidRDefault="0098043A" w:rsidP="0098043A">
            <w:pPr>
              <w:suppressAutoHyphens w:val="0"/>
              <w:spacing w:before="40" w:after="40" w:line="220" w:lineRule="exact"/>
              <w:rPr>
                <w:sz w:val="18"/>
                <w:lang w:val="fr-FR" w:bidi="ar-QA"/>
              </w:rPr>
            </w:pPr>
            <w:r w:rsidRPr="002E6C63">
              <w:rPr>
                <w:sz w:val="18"/>
                <w:lang w:val="fr-FR"/>
              </w:rPr>
              <w:t>45 à 54</w:t>
            </w:r>
            <w:r w:rsidR="00BD2380">
              <w:rPr>
                <w:sz w:val="18"/>
                <w:lang w:val="fr-FR"/>
              </w:rPr>
              <w:t> </w:t>
            </w:r>
            <w:r w:rsidRPr="002E6C63">
              <w:rPr>
                <w:sz w:val="18"/>
                <w:lang w:val="fr-FR"/>
              </w:rPr>
              <w:t>ans</w:t>
            </w:r>
          </w:p>
        </w:tc>
        <w:tc>
          <w:tcPr>
            <w:tcW w:w="947" w:type="dxa"/>
            <w:shd w:val="clear" w:color="auto" w:fill="auto"/>
            <w:vAlign w:val="bottom"/>
          </w:tcPr>
          <w:p w14:paraId="7E2F271C" w14:textId="77777777" w:rsidR="0098043A" w:rsidRPr="002E6C63" w:rsidRDefault="0098043A" w:rsidP="0098043A">
            <w:pPr>
              <w:suppressAutoHyphens w:val="0"/>
              <w:spacing w:before="40" w:after="40" w:line="220" w:lineRule="exact"/>
              <w:jc w:val="right"/>
              <w:rPr>
                <w:sz w:val="18"/>
                <w:lang w:val="fr-FR" w:bidi="ar-QA"/>
              </w:rPr>
            </w:pPr>
            <w:r w:rsidRPr="002E6C63">
              <w:rPr>
                <w:sz w:val="18"/>
                <w:lang w:val="fr-FR" w:bidi="ar-QA"/>
              </w:rPr>
              <w:t>12 524</w:t>
            </w:r>
          </w:p>
        </w:tc>
        <w:tc>
          <w:tcPr>
            <w:tcW w:w="947" w:type="dxa"/>
            <w:shd w:val="clear" w:color="auto" w:fill="auto"/>
            <w:vAlign w:val="bottom"/>
          </w:tcPr>
          <w:p w14:paraId="71FC470B" w14:textId="77777777" w:rsidR="0098043A" w:rsidRPr="002E6C63" w:rsidRDefault="0098043A" w:rsidP="0098043A">
            <w:pPr>
              <w:suppressAutoHyphens w:val="0"/>
              <w:spacing w:before="40" w:after="40" w:line="220" w:lineRule="exact"/>
              <w:jc w:val="right"/>
              <w:rPr>
                <w:sz w:val="18"/>
                <w:lang w:val="fr-FR" w:bidi="ar-QA"/>
              </w:rPr>
            </w:pPr>
            <w:r w:rsidRPr="002E6C63">
              <w:rPr>
                <w:sz w:val="18"/>
                <w:lang w:val="fr-FR" w:bidi="ar-QA"/>
              </w:rPr>
              <w:t>4 679</w:t>
            </w:r>
          </w:p>
        </w:tc>
        <w:tc>
          <w:tcPr>
            <w:tcW w:w="948" w:type="dxa"/>
            <w:shd w:val="clear" w:color="auto" w:fill="auto"/>
            <w:vAlign w:val="bottom"/>
          </w:tcPr>
          <w:p w14:paraId="763E6428"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17 203</w:t>
            </w:r>
          </w:p>
        </w:tc>
        <w:tc>
          <w:tcPr>
            <w:tcW w:w="948" w:type="dxa"/>
            <w:shd w:val="clear" w:color="auto" w:fill="auto"/>
            <w:vAlign w:val="bottom"/>
          </w:tcPr>
          <w:p w14:paraId="529559C7"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248 671</w:t>
            </w:r>
          </w:p>
        </w:tc>
        <w:tc>
          <w:tcPr>
            <w:tcW w:w="948" w:type="dxa"/>
            <w:shd w:val="clear" w:color="auto" w:fill="auto"/>
            <w:vAlign w:val="bottom"/>
          </w:tcPr>
          <w:p w14:paraId="46A1FBE3"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17 949</w:t>
            </w:r>
          </w:p>
        </w:tc>
        <w:tc>
          <w:tcPr>
            <w:tcW w:w="948" w:type="dxa"/>
            <w:shd w:val="clear" w:color="auto" w:fill="auto"/>
            <w:vAlign w:val="bottom"/>
          </w:tcPr>
          <w:p w14:paraId="4F491013"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266 620</w:t>
            </w:r>
          </w:p>
        </w:tc>
        <w:tc>
          <w:tcPr>
            <w:tcW w:w="948" w:type="dxa"/>
            <w:shd w:val="clear" w:color="auto" w:fill="auto"/>
          </w:tcPr>
          <w:p w14:paraId="40FA9639"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261 195</w:t>
            </w:r>
          </w:p>
        </w:tc>
        <w:tc>
          <w:tcPr>
            <w:tcW w:w="948" w:type="dxa"/>
            <w:shd w:val="clear" w:color="auto" w:fill="auto"/>
          </w:tcPr>
          <w:p w14:paraId="6861E312"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22 628</w:t>
            </w:r>
          </w:p>
        </w:tc>
        <w:tc>
          <w:tcPr>
            <w:tcW w:w="948" w:type="dxa"/>
            <w:shd w:val="clear" w:color="auto" w:fill="auto"/>
          </w:tcPr>
          <w:p w14:paraId="0E5105A1"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283 823</w:t>
            </w:r>
          </w:p>
        </w:tc>
      </w:tr>
      <w:tr w:rsidR="0098043A" w14:paraId="4BAE3F70" w14:textId="77777777" w:rsidTr="0048413B">
        <w:tc>
          <w:tcPr>
            <w:tcW w:w="1106" w:type="dxa"/>
            <w:tcBorders>
              <w:bottom w:val="single" w:sz="4" w:space="0" w:color="auto"/>
            </w:tcBorders>
            <w:shd w:val="clear" w:color="auto" w:fill="auto"/>
            <w:vAlign w:val="bottom"/>
          </w:tcPr>
          <w:p w14:paraId="398E39C1" w14:textId="77777777" w:rsidR="0098043A" w:rsidRPr="002E6C63" w:rsidRDefault="0098043A" w:rsidP="0098043A">
            <w:pPr>
              <w:suppressAutoHyphens w:val="0"/>
              <w:spacing w:before="40" w:after="40" w:line="220" w:lineRule="exact"/>
              <w:rPr>
                <w:sz w:val="18"/>
                <w:lang w:val="fr-FR" w:bidi="ar-QA"/>
              </w:rPr>
            </w:pPr>
            <w:r w:rsidRPr="002E6C63">
              <w:rPr>
                <w:sz w:val="18"/>
                <w:lang w:val="fr-FR" w:bidi="ar-QA"/>
              </w:rPr>
              <w:t>55</w:t>
            </w:r>
            <w:r w:rsidR="00BD2380">
              <w:rPr>
                <w:sz w:val="18"/>
                <w:lang w:val="fr-FR" w:bidi="ar-QA"/>
              </w:rPr>
              <w:t> </w:t>
            </w:r>
            <w:r w:rsidRPr="002E6C63">
              <w:rPr>
                <w:sz w:val="18"/>
                <w:lang w:val="fr-FR" w:bidi="ar-QA"/>
              </w:rPr>
              <w:t>ans et plus</w:t>
            </w:r>
          </w:p>
        </w:tc>
        <w:tc>
          <w:tcPr>
            <w:tcW w:w="947" w:type="dxa"/>
            <w:tcBorders>
              <w:bottom w:val="single" w:sz="4" w:space="0" w:color="auto"/>
            </w:tcBorders>
            <w:shd w:val="clear" w:color="auto" w:fill="auto"/>
            <w:vAlign w:val="bottom"/>
          </w:tcPr>
          <w:p w14:paraId="204A7A94" w14:textId="77777777" w:rsidR="0098043A" w:rsidRPr="002E6C63" w:rsidRDefault="0098043A" w:rsidP="0098043A">
            <w:pPr>
              <w:suppressAutoHyphens w:val="0"/>
              <w:spacing w:before="40" w:after="40" w:line="220" w:lineRule="exact"/>
              <w:jc w:val="right"/>
              <w:rPr>
                <w:sz w:val="18"/>
                <w:lang w:val="fr-FR" w:bidi="ar-QA"/>
              </w:rPr>
            </w:pPr>
            <w:r w:rsidRPr="002E6C63">
              <w:rPr>
                <w:sz w:val="18"/>
                <w:lang w:val="fr-FR" w:bidi="ar-QA"/>
              </w:rPr>
              <w:t>3 641</w:t>
            </w:r>
          </w:p>
        </w:tc>
        <w:tc>
          <w:tcPr>
            <w:tcW w:w="947" w:type="dxa"/>
            <w:tcBorders>
              <w:bottom w:val="single" w:sz="4" w:space="0" w:color="auto"/>
            </w:tcBorders>
            <w:shd w:val="clear" w:color="auto" w:fill="auto"/>
            <w:vAlign w:val="bottom"/>
          </w:tcPr>
          <w:p w14:paraId="644D54F5" w14:textId="77777777" w:rsidR="0098043A" w:rsidRPr="002E6C63" w:rsidRDefault="0098043A" w:rsidP="0098043A">
            <w:pPr>
              <w:suppressAutoHyphens w:val="0"/>
              <w:spacing w:before="40" w:after="40" w:line="220" w:lineRule="exact"/>
              <w:jc w:val="right"/>
              <w:rPr>
                <w:sz w:val="18"/>
                <w:lang w:val="fr-FR" w:bidi="ar-QA"/>
              </w:rPr>
            </w:pPr>
            <w:r w:rsidRPr="002E6C63">
              <w:rPr>
                <w:sz w:val="18"/>
                <w:lang w:val="fr-FR" w:bidi="ar-QA"/>
              </w:rPr>
              <w:t>939</w:t>
            </w:r>
          </w:p>
        </w:tc>
        <w:tc>
          <w:tcPr>
            <w:tcW w:w="948" w:type="dxa"/>
            <w:tcBorders>
              <w:bottom w:val="single" w:sz="4" w:space="0" w:color="auto"/>
            </w:tcBorders>
            <w:shd w:val="clear" w:color="auto" w:fill="auto"/>
            <w:vAlign w:val="bottom"/>
          </w:tcPr>
          <w:p w14:paraId="05C12901"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4 580</w:t>
            </w:r>
          </w:p>
        </w:tc>
        <w:tc>
          <w:tcPr>
            <w:tcW w:w="948" w:type="dxa"/>
            <w:tcBorders>
              <w:bottom w:val="single" w:sz="4" w:space="0" w:color="auto"/>
            </w:tcBorders>
            <w:shd w:val="clear" w:color="auto" w:fill="auto"/>
            <w:vAlign w:val="bottom"/>
          </w:tcPr>
          <w:p w14:paraId="5E4EB15A"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82 974</w:t>
            </w:r>
          </w:p>
        </w:tc>
        <w:tc>
          <w:tcPr>
            <w:tcW w:w="948" w:type="dxa"/>
            <w:tcBorders>
              <w:bottom w:val="single" w:sz="4" w:space="0" w:color="auto"/>
            </w:tcBorders>
            <w:shd w:val="clear" w:color="auto" w:fill="auto"/>
            <w:vAlign w:val="bottom"/>
          </w:tcPr>
          <w:p w14:paraId="0BF6A70F"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5 569</w:t>
            </w:r>
          </w:p>
        </w:tc>
        <w:tc>
          <w:tcPr>
            <w:tcW w:w="948" w:type="dxa"/>
            <w:tcBorders>
              <w:bottom w:val="single" w:sz="4" w:space="0" w:color="auto"/>
            </w:tcBorders>
            <w:shd w:val="clear" w:color="auto" w:fill="auto"/>
            <w:vAlign w:val="bottom"/>
          </w:tcPr>
          <w:p w14:paraId="1073AA5E"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88 543</w:t>
            </w:r>
          </w:p>
        </w:tc>
        <w:tc>
          <w:tcPr>
            <w:tcW w:w="948" w:type="dxa"/>
            <w:tcBorders>
              <w:bottom w:val="single" w:sz="4" w:space="0" w:color="auto"/>
            </w:tcBorders>
            <w:shd w:val="clear" w:color="auto" w:fill="auto"/>
          </w:tcPr>
          <w:p w14:paraId="405B894D"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86 615</w:t>
            </w:r>
          </w:p>
        </w:tc>
        <w:tc>
          <w:tcPr>
            <w:tcW w:w="948" w:type="dxa"/>
            <w:tcBorders>
              <w:bottom w:val="single" w:sz="4" w:space="0" w:color="auto"/>
            </w:tcBorders>
            <w:shd w:val="clear" w:color="auto" w:fill="auto"/>
          </w:tcPr>
          <w:p w14:paraId="12AF2ECF" w14:textId="77777777" w:rsidR="0098043A" w:rsidRPr="00D74B48" w:rsidRDefault="0098043A" w:rsidP="0098043A">
            <w:pPr>
              <w:suppressAutoHyphens w:val="0"/>
              <w:spacing w:before="40" w:after="40" w:line="220" w:lineRule="exact"/>
              <w:jc w:val="right"/>
              <w:rPr>
                <w:sz w:val="18"/>
                <w:lang w:val="fr-FR" w:bidi="ar-QA"/>
              </w:rPr>
            </w:pPr>
            <w:r w:rsidRPr="00D74B48">
              <w:rPr>
                <w:sz w:val="18"/>
                <w:lang w:val="fr-FR" w:bidi="ar-QA"/>
              </w:rPr>
              <w:t>6 508</w:t>
            </w:r>
          </w:p>
        </w:tc>
        <w:tc>
          <w:tcPr>
            <w:tcW w:w="948" w:type="dxa"/>
            <w:tcBorders>
              <w:bottom w:val="single" w:sz="4" w:space="0" w:color="auto"/>
            </w:tcBorders>
            <w:shd w:val="clear" w:color="auto" w:fill="auto"/>
          </w:tcPr>
          <w:p w14:paraId="65A37AE3" w14:textId="77777777" w:rsidR="0098043A" w:rsidRPr="00D74B48" w:rsidRDefault="0098043A" w:rsidP="0098043A">
            <w:pPr>
              <w:suppressAutoHyphens w:val="0"/>
              <w:spacing w:before="40" w:after="40" w:line="220" w:lineRule="exact"/>
              <w:jc w:val="right"/>
              <w:rPr>
                <w:bCs/>
                <w:sz w:val="18"/>
                <w:szCs w:val="26"/>
                <w:rtl/>
                <w:lang w:val="fr-FR" w:bidi="fr-FR"/>
              </w:rPr>
            </w:pPr>
            <w:r w:rsidRPr="00D74B48">
              <w:rPr>
                <w:sz w:val="18"/>
                <w:lang w:val="fr-FR" w:bidi="ar-QA"/>
              </w:rPr>
              <w:t>93 123</w:t>
            </w:r>
          </w:p>
        </w:tc>
      </w:tr>
      <w:tr w:rsidR="0098043A" w:rsidRPr="002E6C63" w14:paraId="49CAB596" w14:textId="77777777" w:rsidTr="002E6C63">
        <w:tc>
          <w:tcPr>
            <w:tcW w:w="1106" w:type="dxa"/>
            <w:tcBorders>
              <w:top w:val="single" w:sz="4" w:space="0" w:color="auto"/>
              <w:bottom w:val="single" w:sz="12" w:space="0" w:color="auto"/>
            </w:tcBorders>
            <w:shd w:val="clear" w:color="auto" w:fill="auto"/>
            <w:vAlign w:val="bottom"/>
          </w:tcPr>
          <w:p w14:paraId="76C497E2" w14:textId="77777777" w:rsidR="0098043A" w:rsidRPr="002E6C63" w:rsidRDefault="0098043A" w:rsidP="0098043A">
            <w:pPr>
              <w:suppressAutoHyphens w:val="0"/>
              <w:spacing w:before="80" w:after="80" w:line="220" w:lineRule="exact"/>
              <w:ind w:left="283"/>
              <w:rPr>
                <w:b/>
                <w:sz w:val="18"/>
                <w:lang w:val="fr-FR" w:bidi="ar-QA"/>
              </w:rPr>
            </w:pPr>
            <w:r w:rsidRPr="002E6C63">
              <w:rPr>
                <w:b/>
                <w:sz w:val="18"/>
                <w:lang w:val="fr-FR"/>
              </w:rPr>
              <w:t>Total</w:t>
            </w:r>
          </w:p>
        </w:tc>
        <w:tc>
          <w:tcPr>
            <w:tcW w:w="947" w:type="dxa"/>
            <w:tcBorders>
              <w:top w:val="single" w:sz="4" w:space="0" w:color="auto"/>
              <w:bottom w:val="single" w:sz="12" w:space="0" w:color="auto"/>
            </w:tcBorders>
            <w:shd w:val="clear" w:color="auto" w:fill="auto"/>
            <w:vAlign w:val="center"/>
          </w:tcPr>
          <w:p w14:paraId="6F039E07" w14:textId="77777777" w:rsidR="0098043A" w:rsidRPr="002E6C63" w:rsidRDefault="0098043A" w:rsidP="0098043A">
            <w:pPr>
              <w:suppressAutoHyphens w:val="0"/>
              <w:spacing w:before="80" w:after="80" w:line="220" w:lineRule="exact"/>
              <w:jc w:val="right"/>
              <w:rPr>
                <w:b/>
                <w:sz w:val="18"/>
                <w:lang w:val="fr-FR" w:bidi="ar-QA"/>
              </w:rPr>
            </w:pPr>
            <w:r w:rsidRPr="002E6C63">
              <w:rPr>
                <w:b/>
                <w:sz w:val="18"/>
                <w:lang w:val="fr-FR" w:bidi="ar-QA"/>
              </w:rPr>
              <w:t>66 971</w:t>
            </w:r>
          </w:p>
        </w:tc>
        <w:tc>
          <w:tcPr>
            <w:tcW w:w="947" w:type="dxa"/>
            <w:tcBorders>
              <w:top w:val="single" w:sz="4" w:space="0" w:color="auto"/>
              <w:bottom w:val="single" w:sz="12" w:space="0" w:color="auto"/>
            </w:tcBorders>
            <w:shd w:val="clear" w:color="auto" w:fill="auto"/>
            <w:vAlign w:val="center"/>
          </w:tcPr>
          <w:p w14:paraId="78D26627" w14:textId="77777777" w:rsidR="0098043A" w:rsidRPr="002E6C63" w:rsidRDefault="0098043A" w:rsidP="0098043A">
            <w:pPr>
              <w:suppressAutoHyphens w:val="0"/>
              <w:spacing w:before="80" w:after="80" w:line="220" w:lineRule="exact"/>
              <w:jc w:val="right"/>
              <w:rPr>
                <w:b/>
                <w:sz w:val="18"/>
                <w:lang w:val="fr-FR" w:bidi="ar-QA"/>
              </w:rPr>
            </w:pPr>
            <w:r w:rsidRPr="002E6C63">
              <w:rPr>
                <w:b/>
                <w:sz w:val="18"/>
                <w:lang w:val="fr-FR" w:bidi="ar-QA"/>
              </w:rPr>
              <w:t>37 295</w:t>
            </w:r>
          </w:p>
        </w:tc>
        <w:tc>
          <w:tcPr>
            <w:tcW w:w="948" w:type="dxa"/>
            <w:tcBorders>
              <w:top w:val="single" w:sz="4" w:space="0" w:color="auto"/>
              <w:bottom w:val="single" w:sz="12" w:space="0" w:color="auto"/>
            </w:tcBorders>
            <w:shd w:val="clear" w:color="auto" w:fill="auto"/>
            <w:vAlign w:val="center"/>
          </w:tcPr>
          <w:p w14:paraId="3AA5F0DC" w14:textId="77777777" w:rsidR="0098043A" w:rsidRPr="002E6C63" w:rsidRDefault="0098043A" w:rsidP="0098043A">
            <w:pPr>
              <w:suppressAutoHyphens w:val="0"/>
              <w:spacing w:before="80" w:after="80" w:line="220" w:lineRule="exact"/>
              <w:jc w:val="right"/>
              <w:rPr>
                <w:b/>
                <w:sz w:val="18"/>
                <w:lang w:val="fr-FR" w:bidi="ar-QA"/>
              </w:rPr>
            </w:pPr>
            <w:r w:rsidRPr="002E6C63">
              <w:rPr>
                <w:b/>
                <w:sz w:val="18"/>
                <w:lang w:val="fr-FR" w:bidi="ar-QA"/>
              </w:rPr>
              <w:t>104 266</w:t>
            </w:r>
          </w:p>
        </w:tc>
        <w:tc>
          <w:tcPr>
            <w:tcW w:w="948" w:type="dxa"/>
            <w:tcBorders>
              <w:top w:val="single" w:sz="4" w:space="0" w:color="auto"/>
              <w:bottom w:val="single" w:sz="12" w:space="0" w:color="auto"/>
            </w:tcBorders>
            <w:shd w:val="clear" w:color="auto" w:fill="auto"/>
            <w:vAlign w:val="center"/>
          </w:tcPr>
          <w:p w14:paraId="0B160A28" w14:textId="77777777" w:rsidR="0098043A" w:rsidRPr="002E6C63" w:rsidRDefault="0098043A" w:rsidP="0098043A">
            <w:pPr>
              <w:suppressAutoHyphens w:val="0"/>
              <w:spacing w:before="80" w:after="80" w:line="220" w:lineRule="exact"/>
              <w:jc w:val="right"/>
              <w:rPr>
                <w:b/>
                <w:sz w:val="18"/>
                <w:lang w:val="fr-FR" w:bidi="ar-QA"/>
              </w:rPr>
            </w:pPr>
            <w:r w:rsidRPr="002E6C63">
              <w:rPr>
                <w:b/>
                <w:sz w:val="18"/>
                <w:lang w:val="fr-FR" w:bidi="ar-QA"/>
              </w:rPr>
              <w:t>1 712 369</w:t>
            </w:r>
          </w:p>
        </w:tc>
        <w:tc>
          <w:tcPr>
            <w:tcW w:w="948" w:type="dxa"/>
            <w:tcBorders>
              <w:top w:val="single" w:sz="4" w:space="0" w:color="auto"/>
              <w:bottom w:val="single" w:sz="12" w:space="0" w:color="auto"/>
            </w:tcBorders>
            <w:shd w:val="clear" w:color="auto" w:fill="auto"/>
            <w:vAlign w:val="center"/>
          </w:tcPr>
          <w:p w14:paraId="67905906" w14:textId="77777777" w:rsidR="0098043A" w:rsidRPr="002E6C63" w:rsidRDefault="0098043A" w:rsidP="0098043A">
            <w:pPr>
              <w:suppressAutoHyphens w:val="0"/>
              <w:spacing w:before="80" w:after="80" w:line="220" w:lineRule="exact"/>
              <w:jc w:val="right"/>
              <w:rPr>
                <w:b/>
                <w:sz w:val="18"/>
                <w:lang w:val="fr-FR" w:bidi="ar-QA"/>
              </w:rPr>
            </w:pPr>
            <w:r w:rsidRPr="002E6C63">
              <w:rPr>
                <w:b/>
                <w:sz w:val="18"/>
                <w:lang w:val="fr-FR" w:bidi="ar-QA"/>
              </w:rPr>
              <w:t>240 288</w:t>
            </w:r>
          </w:p>
        </w:tc>
        <w:tc>
          <w:tcPr>
            <w:tcW w:w="948" w:type="dxa"/>
            <w:tcBorders>
              <w:top w:val="single" w:sz="4" w:space="0" w:color="auto"/>
              <w:bottom w:val="single" w:sz="12" w:space="0" w:color="auto"/>
            </w:tcBorders>
            <w:shd w:val="clear" w:color="auto" w:fill="auto"/>
            <w:vAlign w:val="center"/>
          </w:tcPr>
          <w:p w14:paraId="27B439BC" w14:textId="77777777" w:rsidR="0098043A" w:rsidRPr="002E6C63" w:rsidRDefault="0098043A" w:rsidP="0098043A">
            <w:pPr>
              <w:suppressAutoHyphens w:val="0"/>
              <w:spacing w:before="80" w:after="80" w:line="220" w:lineRule="exact"/>
              <w:jc w:val="right"/>
              <w:rPr>
                <w:b/>
                <w:sz w:val="18"/>
                <w:lang w:val="fr-FR" w:bidi="ar-QA"/>
              </w:rPr>
            </w:pPr>
            <w:r w:rsidRPr="002E6C63">
              <w:rPr>
                <w:b/>
                <w:sz w:val="18"/>
                <w:lang w:val="fr-FR" w:bidi="ar-QA"/>
              </w:rPr>
              <w:t>1 952 657</w:t>
            </w:r>
          </w:p>
        </w:tc>
        <w:tc>
          <w:tcPr>
            <w:tcW w:w="948" w:type="dxa"/>
            <w:tcBorders>
              <w:top w:val="single" w:sz="4" w:space="0" w:color="auto"/>
              <w:bottom w:val="single" w:sz="12" w:space="0" w:color="auto"/>
            </w:tcBorders>
            <w:shd w:val="clear" w:color="auto" w:fill="auto"/>
            <w:vAlign w:val="center"/>
          </w:tcPr>
          <w:p w14:paraId="4817B31E" w14:textId="77777777" w:rsidR="0098043A" w:rsidRPr="002E6C63" w:rsidRDefault="0098043A" w:rsidP="0098043A">
            <w:pPr>
              <w:suppressAutoHyphens w:val="0"/>
              <w:spacing w:before="80" w:after="80" w:line="220" w:lineRule="exact"/>
              <w:jc w:val="right"/>
              <w:rPr>
                <w:b/>
                <w:sz w:val="18"/>
                <w:lang w:val="fr-FR" w:bidi="ar-QA"/>
              </w:rPr>
            </w:pPr>
            <w:r w:rsidRPr="002E6C63">
              <w:rPr>
                <w:b/>
                <w:sz w:val="18"/>
                <w:lang w:val="fr-FR" w:bidi="ar-QA"/>
              </w:rPr>
              <w:t>1</w:t>
            </w:r>
            <w:r w:rsidR="00FC069B">
              <w:rPr>
                <w:b/>
                <w:sz w:val="18"/>
                <w:lang w:val="fr-FR" w:bidi="ar-QA"/>
              </w:rPr>
              <w:t> </w:t>
            </w:r>
            <w:r w:rsidRPr="002E6C63">
              <w:rPr>
                <w:b/>
                <w:sz w:val="18"/>
                <w:lang w:val="fr-FR" w:bidi="ar-QA"/>
              </w:rPr>
              <w:t>779</w:t>
            </w:r>
            <w:r w:rsidR="00FC069B">
              <w:rPr>
                <w:b/>
                <w:sz w:val="18"/>
                <w:lang w:val="fr-FR" w:bidi="ar-QA"/>
              </w:rPr>
              <w:t> </w:t>
            </w:r>
            <w:r w:rsidRPr="002E6C63">
              <w:rPr>
                <w:b/>
                <w:sz w:val="18"/>
                <w:lang w:val="fr-FR" w:bidi="ar-QA"/>
              </w:rPr>
              <w:t>340</w:t>
            </w:r>
          </w:p>
        </w:tc>
        <w:tc>
          <w:tcPr>
            <w:tcW w:w="948" w:type="dxa"/>
            <w:tcBorders>
              <w:top w:val="single" w:sz="4" w:space="0" w:color="auto"/>
              <w:bottom w:val="single" w:sz="12" w:space="0" w:color="auto"/>
            </w:tcBorders>
            <w:shd w:val="clear" w:color="auto" w:fill="auto"/>
            <w:vAlign w:val="center"/>
          </w:tcPr>
          <w:p w14:paraId="503F6D39" w14:textId="77777777" w:rsidR="0098043A" w:rsidRPr="002E6C63" w:rsidRDefault="0098043A" w:rsidP="0098043A">
            <w:pPr>
              <w:suppressAutoHyphens w:val="0"/>
              <w:spacing w:before="80" w:after="80" w:line="220" w:lineRule="exact"/>
              <w:jc w:val="right"/>
              <w:rPr>
                <w:b/>
                <w:sz w:val="18"/>
                <w:lang w:val="fr-FR" w:bidi="ar-QA"/>
              </w:rPr>
            </w:pPr>
            <w:r w:rsidRPr="002E6C63">
              <w:rPr>
                <w:b/>
                <w:sz w:val="18"/>
                <w:lang w:val="fr-FR" w:bidi="ar-QA"/>
              </w:rPr>
              <w:t>277 583</w:t>
            </w:r>
          </w:p>
        </w:tc>
        <w:tc>
          <w:tcPr>
            <w:tcW w:w="948" w:type="dxa"/>
            <w:tcBorders>
              <w:top w:val="single" w:sz="4" w:space="0" w:color="auto"/>
              <w:bottom w:val="single" w:sz="12" w:space="0" w:color="auto"/>
            </w:tcBorders>
            <w:shd w:val="clear" w:color="auto" w:fill="auto"/>
            <w:vAlign w:val="center"/>
          </w:tcPr>
          <w:p w14:paraId="2C4E100E" w14:textId="77777777" w:rsidR="0098043A" w:rsidRPr="002E6C63" w:rsidRDefault="0098043A" w:rsidP="0098043A">
            <w:pPr>
              <w:suppressAutoHyphens w:val="0"/>
              <w:spacing w:before="80" w:after="80" w:line="220" w:lineRule="exact"/>
              <w:jc w:val="right"/>
              <w:rPr>
                <w:b/>
                <w:sz w:val="18"/>
                <w:lang w:val="fr-FR" w:bidi="ar-QA"/>
              </w:rPr>
            </w:pPr>
            <w:r w:rsidRPr="002E6C63">
              <w:rPr>
                <w:b/>
                <w:sz w:val="18"/>
                <w:lang w:val="fr-FR" w:bidi="ar-QA"/>
              </w:rPr>
              <w:t>2 056 923</w:t>
            </w:r>
          </w:p>
        </w:tc>
      </w:tr>
    </w:tbl>
    <w:p w14:paraId="00A526CB" w14:textId="77777777" w:rsidR="009E4C76" w:rsidRPr="00A6257E" w:rsidRDefault="009E4C76" w:rsidP="00A6257E">
      <w:pPr>
        <w:pStyle w:val="SingleTxtG"/>
        <w:spacing w:before="120" w:after="240"/>
        <w:ind w:left="0" w:right="0" w:firstLine="170"/>
        <w:rPr>
          <w:sz w:val="18"/>
          <w:szCs w:val="18"/>
          <w:rtl/>
        </w:rPr>
      </w:pPr>
      <w:r w:rsidRPr="00A6257E">
        <w:rPr>
          <w:i/>
          <w:sz w:val="18"/>
          <w:szCs w:val="18"/>
        </w:rPr>
        <w:t>Source</w:t>
      </w:r>
      <w:r w:rsidR="00A6257E" w:rsidRPr="00A6257E">
        <w:rPr>
          <w:sz w:val="18"/>
          <w:szCs w:val="18"/>
        </w:rPr>
        <w:t> </w:t>
      </w:r>
      <w:r w:rsidRPr="00A6257E">
        <w:rPr>
          <w:sz w:val="18"/>
          <w:szCs w:val="18"/>
        </w:rPr>
        <w:t>:</w:t>
      </w:r>
      <w:r w:rsidR="00A6257E" w:rsidRPr="00A6257E">
        <w:rPr>
          <w:sz w:val="18"/>
          <w:szCs w:val="18"/>
        </w:rPr>
        <w:t xml:space="preserve"> </w:t>
      </w:r>
      <w:r w:rsidRPr="00A6257E">
        <w:rPr>
          <w:sz w:val="18"/>
          <w:szCs w:val="18"/>
        </w:rPr>
        <w:t>Ministère de la planification, du développement et des statistiques, « Enquête annuelle par sondage, 2017 ».</w:t>
      </w:r>
    </w:p>
    <w:p w14:paraId="5ACDF16B" w14:textId="77777777" w:rsidR="009E4C76" w:rsidRPr="00CE611F" w:rsidRDefault="009E4C76" w:rsidP="00DE4847">
      <w:pPr>
        <w:pStyle w:val="H23G"/>
        <w:rPr>
          <w:rtl/>
          <w:lang w:bidi="fr-FR"/>
        </w:rPr>
      </w:pPr>
      <w:r w:rsidRPr="00CE611F">
        <w:tab/>
      </w:r>
      <w:r w:rsidRPr="00CE611F">
        <w:tab/>
        <w:t>Participation au marché du travail</w:t>
      </w:r>
    </w:p>
    <w:p w14:paraId="29B36E24" w14:textId="77777777" w:rsidR="009E4C76" w:rsidRPr="00F81C2A" w:rsidRDefault="009E4C76" w:rsidP="00DE4847">
      <w:pPr>
        <w:pStyle w:val="SingleTxtG"/>
        <w:keepNext/>
        <w:keepLines/>
        <w:rPr>
          <w:rtl/>
          <w:lang w:bidi="fr-FR"/>
        </w:rPr>
      </w:pPr>
      <w:r w:rsidRPr="00F81C2A">
        <w:rPr>
          <w:lang w:bidi="ar-QA"/>
        </w:rPr>
        <w:t>31.</w:t>
      </w:r>
      <w:r w:rsidRPr="00F81C2A">
        <w:rPr>
          <w:lang w:bidi="ar-QA"/>
        </w:rPr>
        <w:tab/>
        <w:t>L’enquête par sondage sur la population active réalisée en 2017 par le Ministère de la planification, du développement et des statistiques révèle que la participation au marché du travail des personnes âgées de plus de 15</w:t>
      </w:r>
      <w:r w:rsidR="00A6257E" w:rsidRPr="00F81C2A">
        <w:rPr>
          <w:lang w:bidi="ar-QA"/>
        </w:rPr>
        <w:t> </w:t>
      </w:r>
      <w:r w:rsidRPr="00F81C2A">
        <w:rPr>
          <w:lang w:bidi="ar-QA"/>
        </w:rPr>
        <w:t>ans est de 88,4 % et que le nombre de personnes employées a augmenté, passant de 2 055</w:t>
      </w:r>
      <w:r w:rsidR="00A6257E" w:rsidRPr="00F81C2A">
        <w:rPr>
          <w:lang w:bidi="ar-QA"/>
        </w:rPr>
        <w:t> </w:t>
      </w:r>
      <w:r w:rsidRPr="00F81C2A">
        <w:rPr>
          <w:lang w:bidi="ar-QA"/>
        </w:rPr>
        <w:t>359</w:t>
      </w:r>
      <w:r w:rsidR="00A6257E" w:rsidRPr="00F81C2A">
        <w:rPr>
          <w:lang w:bidi="ar-QA"/>
        </w:rPr>
        <w:t> </w:t>
      </w:r>
      <w:r w:rsidRPr="00F81C2A">
        <w:rPr>
          <w:lang w:bidi="ar-QA"/>
        </w:rPr>
        <w:t>individus en 2016 à</w:t>
      </w:r>
      <w:r w:rsidR="00F81C2A">
        <w:rPr>
          <w:lang w:bidi="ar-QA"/>
        </w:rPr>
        <w:t> </w:t>
      </w:r>
      <w:r w:rsidRPr="00F81C2A">
        <w:rPr>
          <w:lang w:bidi="ar-QA"/>
        </w:rPr>
        <w:t>2 056</w:t>
      </w:r>
      <w:r w:rsidR="00A6257E" w:rsidRPr="00F81C2A">
        <w:rPr>
          <w:lang w:bidi="ar-QA"/>
        </w:rPr>
        <w:t> </w:t>
      </w:r>
      <w:r w:rsidRPr="00F81C2A">
        <w:rPr>
          <w:lang w:bidi="ar-QA"/>
        </w:rPr>
        <w:t>923</w:t>
      </w:r>
      <w:r w:rsidR="00A6257E" w:rsidRPr="00F81C2A">
        <w:rPr>
          <w:lang w:bidi="ar-QA"/>
        </w:rPr>
        <w:t> </w:t>
      </w:r>
      <w:r w:rsidRPr="00F81C2A">
        <w:rPr>
          <w:lang w:bidi="ar-QA"/>
        </w:rPr>
        <w:t>personnes en</w:t>
      </w:r>
      <w:r w:rsidR="00A6257E" w:rsidRPr="00F81C2A">
        <w:rPr>
          <w:lang w:bidi="ar-QA"/>
        </w:rPr>
        <w:t> </w:t>
      </w:r>
      <w:r w:rsidRPr="00F81C2A">
        <w:rPr>
          <w:lang w:bidi="ar-QA"/>
        </w:rPr>
        <w:t>2017, dont 86,</w:t>
      </w:r>
      <w:r w:rsidR="00C17F64">
        <w:rPr>
          <w:lang w:bidi="ar-QA"/>
        </w:rPr>
        <w:t>5</w:t>
      </w:r>
      <w:r w:rsidRPr="00F81C2A">
        <w:rPr>
          <w:lang w:bidi="ar-QA"/>
        </w:rPr>
        <w:t> % d’hommes et 13,</w:t>
      </w:r>
      <w:r w:rsidR="00C17F64">
        <w:rPr>
          <w:lang w:bidi="ar-QA"/>
        </w:rPr>
        <w:t>5</w:t>
      </w:r>
      <w:r w:rsidRPr="00F81C2A">
        <w:rPr>
          <w:lang w:bidi="ar-QA"/>
        </w:rPr>
        <w:t> % de femmes.</w:t>
      </w:r>
    </w:p>
    <w:p w14:paraId="639518F8" w14:textId="77777777" w:rsidR="009E4C76" w:rsidRPr="00EF5822" w:rsidRDefault="009E4C76" w:rsidP="005D0B7C">
      <w:pPr>
        <w:pStyle w:val="SingleTxtG"/>
        <w:rPr>
          <w:rtl/>
          <w:lang w:bidi="fr-FR"/>
        </w:rPr>
      </w:pPr>
      <w:r w:rsidRPr="00EF5822">
        <w:rPr>
          <w:lang w:bidi="ar-QA"/>
        </w:rPr>
        <w:t>32.</w:t>
      </w:r>
      <w:r w:rsidRPr="00EF5822">
        <w:rPr>
          <w:lang w:bidi="ar-QA"/>
        </w:rPr>
        <w:tab/>
        <w:t>Les statistiques montrent que le taux de participation à l’activité économique (des</w:t>
      </w:r>
      <w:r w:rsidR="00A6257E" w:rsidRPr="00EF5822">
        <w:rPr>
          <w:lang w:bidi="ar-QA"/>
        </w:rPr>
        <w:t> </w:t>
      </w:r>
      <w:r w:rsidRPr="00EF5822">
        <w:rPr>
          <w:lang w:bidi="ar-QA"/>
        </w:rPr>
        <w:t>personnes âgées de plus de 15</w:t>
      </w:r>
      <w:r w:rsidR="00A6257E" w:rsidRPr="00EF5822">
        <w:rPr>
          <w:lang w:bidi="ar-QA"/>
        </w:rPr>
        <w:t> </w:t>
      </w:r>
      <w:r w:rsidRPr="00EF5822">
        <w:rPr>
          <w:lang w:bidi="ar-QA"/>
        </w:rPr>
        <w:t>ans) a atteint 88,4 %, dont 96,1 % d’hommes et 58,5 % de femmes ; sachant que c’est dans la tranche d’âge des 25 à 34</w:t>
      </w:r>
      <w:r w:rsidR="00A6257E" w:rsidRPr="00EF5822">
        <w:rPr>
          <w:lang w:bidi="ar-QA"/>
        </w:rPr>
        <w:t> </w:t>
      </w:r>
      <w:r w:rsidRPr="00EF5822">
        <w:rPr>
          <w:lang w:bidi="ar-QA"/>
        </w:rPr>
        <w:t>ans que l’on compte le plus d’actifs (94,</w:t>
      </w:r>
      <w:r w:rsidR="00EF5822">
        <w:rPr>
          <w:lang w:bidi="ar-QA"/>
        </w:rPr>
        <w:t>5</w:t>
      </w:r>
      <w:r w:rsidRPr="00EF5822">
        <w:rPr>
          <w:lang w:bidi="ar-QA"/>
        </w:rPr>
        <w:t> %). En revanche, le taux de dépendance économique s’est établi à 29,2 % au cours de l’année considérée.</w:t>
      </w:r>
    </w:p>
    <w:p w14:paraId="69EBBD47" w14:textId="77777777" w:rsidR="009E4C76" w:rsidRPr="00CE611F" w:rsidRDefault="009E4C76" w:rsidP="005D0B7C">
      <w:pPr>
        <w:pStyle w:val="SingleTxtG"/>
        <w:rPr>
          <w:rtl/>
          <w:lang w:bidi="fr-FR"/>
        </w:rPr>
      </w:pPr>
      <w:r w:rsidRPr="00CE611F">
        <w:rPr>
          <w:lang w:bidi="ar-QA"/>
        </w:rPr>
        <w:t>33.</w:t>
      </w:r>
      <w:r w:rsidRPr="00CE611F">
        <w:rPr>
          <w:lang w:bidi="ar-QA"/>
        </w:rPr>
        <w:tab/>
        <w:t>Le taux de participation à l</w:t>
      </w:r>
      <w:r>
        <w:rPr>
          <w:lang w:bidi="ar-QA"/>
        </w:rPr>
        <w:t>’</w:t>
      </w:r>
      <w:r w:rsidRPr="00CE611F">
        <w:rPr>
          <w:lang w:bidi="ar-QA"/>
        </w:rPr>
        <w:t>activité économique de la population qatarie âgée de plus de 15</w:t>
      </w:r>
      <w:r w:rsidR="00A6257E">
        <w:rPr>
          <w:lang w:bidi="ar-QA"/>
        </w:rPr>
        <w:t> </w:t>
      </w:r>
      <w:r w:rsidRPr="00CE611F">
        <w:rPr>
          <w:lang w:bidi="ar-QA"/>
        </w:rPr>
        <w:t>ans a atteint 52,</w:t>
      </w:r>
      <w:r w:rsidR="00EF5822">
        <w:rPr>
          <w:lang w:bidi="ar-QA"/>
        </w:rPr>
        <w:t>2</w:t>
      </w:r>
      <w:r w:rsidRPr="00CE611F">
        <w:rPr>
          <w:lang w:bidi="ar-QA"/>
        </w:rPr>
        <w:t> %, sachant que les hommes représentent 64,2 % du total des actifs.</w:t>
      </w:r>
    </w:p>
    <w:p w14:paraId="13C94F2C" w14:textId="77777777" w:rsidR="009E4C76" w:rsidRPr="00CE611F" w:rsidRDefault="009E4C76" w:rsidP="00A64FD6">
      <w:pPr>
        <w:pStyle w:val="H23G"/>
        <w:rPr>
          <w:sz w:val="22"/>
          <w:lang w:bidi="ar-QA"/>
        </w:rPr>
      </w:pPr>
      <w:r w:rsidRPr="00CE611F">
        <w:tab/>
      </w:r>
      <w:r w:rsidRPr="00CE611F">
        <w:tab/>
        <w:t>Taille moyenne des ménages selon les résultats du recensement simplifié de 2015</w:t>
      </w:r>
    </w:p>
    <w:p w14:paraId="2CEF008F" w14:textId="77777777" w:rsidR="009E4C76" w:rsidRPr="00CE611F" w:rsidRDefault="009E4C76" w:rsidP="00A64FD6">
      <w:pPr>
        <w:pStyle w:val="Bullet1G"/>
        <w:rPr>
          <w:rtl/>
          <w:lang w:val="fr-FR" w:bidi="fr-FR"/>
        </w:rPr>
      </w:pPr>
      <w:r w:rsidRPr="00CE611F">
        <w:rPr>
          <w:lang w:val="fr-FR"/>
        </w:rPr>
        <w:t>La taille moyenne des ménages était de 4,7</w:t>
      </w:r>
      <w:r w:rsidR="00A64FD6">
        <w:rPr>
          <w:lang w:val="fr-FR"/>
        </w:rPr>
        <w:t> </w:t>
      </w:r>
      <w:r w:rsidRPr="00CE611F">
        <w:rPr>
          <w:lang w:val="fr-FR"/>
        </w:rPr>
        <w:t>personnes en 2015.</w:t>
      </w:r>
    </w:p>
    <w:p w14:paraId="67F542EA" w14:textId="77777777" w:rsidR="009E4C76" w:rsidRPr="00CE611F" w:rsidRDefault="009E4C76" w:rsidP="00A64FD6">
      <w:pPr>
        <w:pStyle w:val="H23G"/>
      </w:pPr>
      <w:r w:rsidRPr="00CE611F">
        <w:tab/>
      </w:r>
      <w:r w:rsidRPr="00CE611F">
        <w:tab/>
        <w:t>Proportion de citadins et de ruraux (2015)</w:t>
      </w:r>
    </w:p>
    <w:p w14:paraId="47150A76" w14:textId="77777777" w:rsidR="009E4C76" w:rsidRPr="00CE611F" w:rsidRDefault="009E4C76" w:rsidP="00A64FD6">
      <w:pPr>
        <w:pStyle w:val="Bullet1G"/>
        <w:rPr>
          <w:rtl/>
          <w:lang w:val="fr-FR" w:bidi="fr-FR"/>
        </w:rPr>
      </w:pPr>
      <w:r w:rsidRPr="00CE611F">
        <w:rPr>
          <w:lang w:val="fr-FR"/>
        </w:rPr>
        <w:t>La proportion de citadins atteint 100 %, tandis que la proportion de ruraux est nulle.</w:t>
      </w:r>
    </w:p>
    <w:p w14:paraId="0D3F2996" w14:textId="77777777" w:rsidR="009E4C76" w:rsidRPr="00CE611F" w:rsidRDefault="009E4C76" w:rsidP="00A64FD6">
      <w:pPr>
        <w:pStyle w:val="H23G"/>
        <w:rPr>
          <w:lang w:val="fr-FR"/>
        </w:rPr>
      </w:pPr>
      <w:r w:rsidRPr="00CE611F">
        <w:rPr>
          <w:sz w:val="34"/>
          <w:lang w:val="fr-FR"/>
        </w:rPr>
        <w:tab/>
      </w:r>
      <w:r w:rsidRPr="00CE611F">
        <w:rPr>
          <w:sz w:val="34"/>
          <w:lang w:val="fr-FR"/>
        </w:rPr>
        <w:tab/>
      </w:r>
      <w:r w:rsidRPr="00CE611F">
        <w:rPr>
          <w:lang w:val="fr-FR"/>
        </w:rPr>
        <w:t>Nombre de personnes vivant sous le seuil de pauvreté (2012-2013)</w:t>
      </w:r>
    </w:p>
    <w:p w14:paraId="4B2B155E" w14:textId="77777777" w:rsidR="009E4C76" w:rsidRPr="00CE611F" w:rsidRDefault="009E4C76" w:rsidP="00A64FD6">
      <w:pPr>
        <w:pStyle w:val="Bullet1G"/>
        <w:rPr>
          <w:rtl/>
          <w:lang w:val="fr-FR" w:bidi="fr-FR"/>
        </w:rPr>
      </w:pPr>
      <w:r w:rsidRPr="00CE611F">
        <w:rPr>
          <w:lang w:val="fr-FR"/>
        </w:rPr>
        <w:t>Il n</w:t>
      </w:r>
      <w:r>
        <w:rPr>
          <w:lang w:val="fr-FR"/>
        </w:rPr>
        <w:t>’</w:t>
      </w:r>
      <w:r w:rsidRPr="00CE611F">
        <w:rPr>
          <w:lang w:val="fr-FR"/>
        </w:rPr>
        <w:t>existe aucune personne vivant sous le seuil de pauvreté.</w:t>
      </w:r>
    </w:p>
    <w:p w14:paraId="4EDF81A0" w14:textId="77777777" w:rsidR="009E4C76" w:rsidRPr="00CE611F" w:rsidRDefault="009E4C76" w:rsidP="00A64FD6">
      <w:pPr>
        <w:pStyle w:val="H1G"/>
        <w:rPr>
          <w:rtl/>
          <w:lang w:val="fr-FR" w:bidi="fr-FR"/>
        </w:rPr>
      </w:pPr>
      <w:r w:rsidRPr="00CE611F">
        <w:rPr>
          <w:lang w:val="fr-FR" w:bidi="ar-QA"/>
        </w:rPr>
        <w:tab/>
        <w:t>B.</w:t>
      </w:r>
      <w:r w:rsidRPr="00CE611F">
        <w:rPr>
          <w:lang w:val="fr-FR" w:bidi="ar-QA"/>
        </w:rPr>
        <w:tab/>
        <w:t>Structure constitutionnelle, politique et juridique</w:t>
      </w:r>
      <w:bookmarkEnd w:id="9"/>
      <w:bookmarkEnd w:id="10"/>
      <w:bookmarkEnd w:id="11"/>
      <w:bookmarkEnd w:id="12"/>
    </w:p>
    <w:p w14:paraId="6F7CC617" w14:textId="77777777" w:rsidR="009E4C76" w:rsidRPr="00CE611F" w:rsidRDefault="009E4C76" w:rsidP="00DD730C">
      <w:pPr>
        <w:pStyle w:val="H23G"/>
        <w:rPr>
          <w:rtl/>
          <w:lang w:bidi="fr-FR"/>
        </w:rPr>
      </w:pPr>
      <w:bookmarkStart w:id="13" w:name="_Toc282337886"/>
      <w:r w:rsidRPr="00CE611F">
        <w:rPr>
          <w:lang w:bidi="ar-QA"/>
        </w:rPr>
        <w:tab/>
      </w:r>
      <w:r w:rsidRPr="00CE611F">
        <w:rPr>
          <w:lang w:bidi="ar-QA"/>
        </w:rPr>
        <w:tab/>
        <w:t>La Constitution permanente du Qatar</w:t>
      </w:r>
      <w:bookmarkEnd w:id="13"/>
    </w:p>
    <w:p w14:paraId="20C860EF" w14:textId="77777777" w:rsidR="009E4C76" w:rsidRPr="00CE611F" w:rsidRDefault="009E4C76" w:rsidP="005D0B7C">
      <w:pPr>
        <w:pStyle w:val="SingleTxtG"/>
        <w:rPr>
          <w:lang w:bidi="ar-QA"/>
        </w:rPr>
      </w:pPr>
      <w:r w:rsidRPr="00CE611F">
        <w:rPr>
          <w:lang w:bidi="ar-QA"/>
        </w:rPr>
        <w:t>34.</w:t>
      </w:r>
      <w:r w:rsidRPr="00CE611F">
        <w:rPr>
          <w:lang w:bidi="ar-QA"/>
        </w:rPr>
        <w:tab/>
        <w:t>La Constitution permanente de l</w:t>
      </w:r>
      <w:r>
        <w:rPr>
          <w:lang w:bidi="ar-QA"/>
        </w:rPr>
        <w:t>’</w:t>
      </w:r>
      <w:r w:rsidRPr="00CE611F">
        <w:rPr>
          <w:lang w:bidi="ar-QA"/>
        </w:rPr>
        <w:t>État du Qatar a été promulgué</w:t>
      </w:r>
      <w:r>
        <w:rPr>
          <w:lang w:bidi="ar-QA"/>
        </w:rPr>
        <w:t>e</w:t>
      </w:r>
      <w:r w:rsidRPr="00CE611F">
        <w:rPr>
          <w:lang w:bidi="ar-QA"/>
        </w:rPr>
        <w:t xml:space="preserve"> en 2004 en vue de mettre en place les fondements de la société et de concrétiser la participation du peuple à la prise de décision</w:t>
      </w:r>
      <w:r w:rsidR="00F23F60">
        <w:rPr>
          <w:lang w:bidi="ar-QA"/>
        </w:rPr>
        <w:t>s</w:t>
      </w:r>
      <w:r w:rsidRPr="00CE611F">
        <w:rPr>
          <w:lang w:bidi="ar-QA"/>
        </w:rPr>
        <w:t>. Elle se compose de 150</w:t>
      </w:r>
      <w:r w:rsidR="000D3525">
        <w:rPr>
          <w:lang w:bidi="ar-QA"/>
        </w:rPr>
        <w:t> </w:t>
      </w:r>
      <w:r w:rsidRPr="00CE611F">
        <w:rPr>
          <w:lang w:bidi="ar-QA"/>
        </w:rPr>
        <w:t>articles consacrant les principes régiss</w:t>
      </w:r>
      <w:r>
        <w:rPr>
          <w:lang w:bidi="ar-QA"/>
        </w:rPr>
        <w:t>a</w:t>
      </w:r>
      <w:r w:rsidRPr="00CE611F">
        <w:rPr>
          <w:lang w:bidi="ar-QA"/>
        </w:rPr>
        <w:t>nt la vie politique de l</w:t>
      </w:r>
      <w:r>
        <w:rPr>
          <w:lang w:bidi="ar-QA"/>
        </w:rPr>
        <w:t>’</w:t>
      </w:r>
      <w:r w:rsidRPr="00CE611F">
        <w:rPr>
          <w:lang w:bidi="ar-QA"/>
        </w:rPr>
        <w:t>État et les principaux piliers de l</w:t>
      </w:r>
      <w:r>
        <w:rPr>
          <w:lang w:bidi="ar-QA"/>
        </w:rPr>
        <w:t>’</w:t>
      </w:r>
      <w:r w:rsidRPr="00CE611F">
        <w:rPr>
          <w:lang w:bidi="ar-QA"/>
        </w:rPr>
        <w:t>exercice du pouvoir, parmi lesquels les principes relatifs à la séparation des pouvoirs et à la primauté du droit, à l</w:t>
      </w:r>
      <w:r>
        <w:rPr>
          <w:lang w:bidi="ar-QA"/>
        </w:rPr>
        <w:t>’</w:t>
      </w:r>
      <w:r w:rsidRPr="00CE611F">
        <w:rPr>
          <w:lang w:bidi="ar-QA"/>
        </w:rPr>
        <w:t>indépendance des tribunaux, ainsi qu</w:t>
      </w:r>
      <w:r>
        <w:rPr>
          <w:lang w:bidi="ar-QA"/>
        </w:rPr>
        <w:t>’</w:t>
      </w:r>
      <w:r w:rsidRPr="00CE611F">
        <w:rPr>
          <w:lang w:bidi="ar-QA"/>
        </w:rPr>
        <w:t>à la garantie des droits fondamentaux et des libertés.</w:t>
      </w:r>
    </w:p>
    <w:p w14:paraId="423B7EFA" w14:textId="77777777" w:rsidR="009E4C76" w:rsidRPr="00CE611F" w:rsidRDefault="009E4C76" w:rsidP="005D0B7C">
      <w:pPr>
        <w:pStyle w:val="SingleTxtG"/>
        <w:rPr>
          <w:lang w:bidi="ar-QA"/>
        </w:rPr>
      </w:pPr>
      <w:r w:rsidRPr="00CE611F">
        <w:rPr>
          <w:lang w:bidi="ar-QA"/>
        </w:rPr>
        <w:t>35.</w:t>
      </w:r>
      <w:r w:rsidRPr="00CE611F">
        <w:rPr>
          <w:lang w:bidi="ar-QA"/>
        </w:rPr>
        <w:tab/>
        <w:t>Le Titre premier de la Constitution, intitulé : « L</w:t>
      </w:r>
      <w:r>
        <w:rPr>
          <w:lang w:bidi="ar-QA"/>
        </w:rPr>
        <w:t>’</w:t>
      </w:r>
      <w:r w:rsidRPr="00CE611F">
        <w:rPr>
          <w:lang w:bidi="ar-QA"/>
        </w:rPr>
        <w:t>État et les bases du Gouvernement » dispose dans son article premier que l</w:t>
      </w:r>
      <w:r>
        <w:rPr>
          <w:lang w:bidi="ar-QA"/>
        </w:rPr>
        <w:t>’</w:t>
      </w:r>
      <w:r w:rsidRPr="00CE611F">
        <w:rPr>
          <w:lang w:bidi="ar-QA"/>
        </w:rPr>
        <w:t>islam est la religion de l</w:t>
      </w:r>
      <w:r>
        <w:rPr>
          <w:lang w:bidi="ar-QA"/>
        </w:rPr>
        <w:t>’</w:t>
      </w:r>
      <w:r w:rsidRPr="00CE611F">
        <w:rPr>
          <w:lang w:bidi="ar-QA"/>
        </w:rPr>
        <w:t>État et que la charia est la principale source de sa législation ; étant précisé que la note explicative de la</w:t>
      </w:r>
      <w:r w:rsidR="000D3525">
        <w:rPr>
          <w:lang w:bidi="ar-QA"/>
        </w:rPr>
        <w:t> </w:t>
      </w:r>
      <w:r w:rsidRPr="00CE611F">
        <w:rPr>
          <w:lang w:bidi="ar-QA"/>
        </w:rPr>
        <w:t>Constitution dispose qu</w:t>
      </w:r>
      <w:r>
        <w:rPr>
          <w:lang w:bidi="ar-QA"/>
        </w:rPr>
        <w:t>’</w:t>
      </w:r>
      <w:r w:rsidRPr="00CE611F">
        <w:rPr>
          <w:lang w:bidi="ar-QA"/>
        </w:rPr>
        <w:t>aucun texte adopté au Qatar ne saurait l</w:t>
      </w:r>
      <w:r>
        <w:rPr>
          <w:lang w:bidi="ar-QA"/>
        </w:rPr>
        <w:t>’</w:t>
      </w:r>
      <w:r w:rsidRPr="00CE611F">
        <w:rPr>
          <w:lang w:bidi="ar-QA"/>
        </w:rPr>
        <w:t>être en violation des principes constants et irréfutables de la charia.</w:t>
      </w:r>
    </w:p>
    <w:p w14:paraId="7F83019A" w14:textId="77777777" w:rsidR="009E4C76" w:rsidRPr="00CE611F" w:rsidRDefault="009E4C76" w:rsidP="005D0B7C">
      <w:pPr>
        <w:pStyle w:val="SingleTxtG"/>
        <w:rPr>
          <w:lang w:bidi="ar-QA"/>
        </w:rPr>
      </w:pPr>
      <w:r w:rsidRPr="00CE611F">
        <w:rPr>
          <w:lang w:bidi="ar-QA"/>
        </w:rPr>
        <w:t>36.</w:t>
      </w:r>
      <w:r w:rsidRPr="00CE611F">
        <w:rPr>
          <w:lang w:bidi="ar-QA"/>
        </w:rPr>
        <w:tab/>
        <w:t>En outre, l</w:t>
      </w:r>
      <w:r>
        <w:rPr>
          <w:lang w:bidi="ar-QA"/>
        </w:rPr>
        <w:t>’</w:t>
      </w:r>
      <w:r w:rsidRPr="00CE611F">
        <w:rPr>
          <w:lang w:bidi="ar-QA"/>
        </w:rPr>
        <w:t>article</w:t>
      </w:r>
      <w:r w:rsidR="000D3232">
        <w:rPr>
          <w:lang w:bidi="ar-QA"/>
        </w:rPr>
        <w:t> </w:t>
      </w:r>
      <w:r w:rsidRPr="00CE611F">
        <w:rPr>
          <w:lang w:bidi="ar-QA"/>
        </w:rPr>
        <w:t>8 de la Constitution dispose ce qui suit : « Le Gouvernement de l</w:t>
      </w:r>
      <w:r>
        <w:rPr>
          <w:lang w:bidi="ar-QA"/>
        </w:rPr>
        <w:t>’</w:t>
      </w:r>
      <w:r w:rsidRPr="00CE611F">
        <w:rPr>
          <w:lang w:bidi="ar-QA"/>
        </w:rPr>
        <w:t>État est héréditaire au sein de la famille des Al</w:t>
      </w:r>
      <w:r w:rsidR="00696010">
        <w:rPr>
          <w:lang w:bidi="ar-QA"/>
        </w:rPr>
        <w:t> </w:t>
      </w:r>
      <w:r w:rsidRPr="00CE611F">
        <w:rPr>
          <w:lang w:bidi="ar-QA"/>
        </w:rPr>
        <w:t>Thani et la lignée des descendants mâles de Hamad Bin Khalifa Bin Hamad Bin Abdullah Bin Jassim ».</w:t>
      </w:r>
    </w:p>
    <w:p w14:paraId="5FE16768" w14:textId="77777777" w:rsidR="009E4C76" w:rsidRPr="00CE611F" w:rsidRDefault="009E4C76" w:rsidP="005D0B7C">
      <w:pPr>
        <w:pStyle w:val="SingleTxtG"/>
        <w:rPr>
          <w:lang w:bidi="ar-QA"/>
        </w:rPr>
      </w:pPr>
      <w:r w:rsidRPr="00CE611F">
        <w:rPr>
          <w:lang w:bidi="ar-QA"/>
        </w:rPr>
        <w:t>37.</w:t>
      </w:r>
      <w:r w:rsidRPr="00CE611F">
        <w:rPr>
          <w:lang w:bidi="ar-QA"/>
        </w:rPr>
        <w:tab/>
        <w:t>Le Titre</w:t>
      </w:r>
      <w:r w:rsidR="00696010">
        <w:rPr>
          <w:lang w:bidi="ar-QA"/>
        </w:rPr>
        <w:t> </w:t>
      </w:r>
      <w:r w:rsidRPr="00CE611F">
        <w:rPr>
          <w:lang w:bidi="ar-QA"/>
        </w:rPr>
        <w:t>II de la Constitution, consacré aux « principes fondamentaux de la société », dispose que la société qatarie repose sur plusieurs piliers, à savoir la justice, l</w:t>
      </w:r>
      <w:r>
        <w:rPr>
          <w:lang w:bidi="ar-QA"/>
        </w:rPr>
        <w:t>’</w:t>
      </w:r>
      <w:r w:rsidRPr="00CE611F">
        <w:rPr>
          <w:lang w:bidi="ar-QA"/>
        </w:rPr>
        <w:t>équité, la liberté, l</w:t>
      </w:r>
      <w:r>
        <w:rPr>
          <w:lang w:bidi="ar-QA"/>
        </w:rPr>
        <w:t>’</w:t>
      </w:r>
      <w:r w:rsidRPr="00CE611F">
        <w:rPr>
          <w:lang w:bidi="ar-QA"/>
        </w:rPr>
        <w:t>égalité et le comportement éthique. La Constitution confère au</w:t>
      </w:r>
      <w:r w:rsidR="00696010">
        <w:rPr>
          <w:lang w:bidi="ar-QA"/>
        </w:rPr>
        <w:t> </w:t>
      </w:r>
      <w:r w:rsidRPr="00CE611F">
        <w:rPr>
          <w:lang w:bidi="ar-QA"/>
        </w:rPr>
        <w:t>Gouvernement la responsabilité de préserver ces piliers et de garantir la sécurité, la stabilité et l</w:t>
      </w:r>
      <w:r>
        <w:rPr>
          <w:lang w:bidi="ar-QA"/>
        </w:rPr>
        <w:t>’</w:t>
      </w:r>
      <w:r w:rsidRPr="00CE611F">
        <w:rPr>
          <w:lang w:bidi="ar-QA"/>
        </w:rPr>
        <w:t>égalité des chances au profit de tous les citoyens, ainsi que la solidarité et la fraternité au sein de la société. La Constitution met également l</w:t>
      </w:r>
      <w:r>
        <w:rPr>
          <w:lang w:bidi="ar-QA"/>
        </w:rPr>
        <w:t>’</w:t>
      </w:r>
      <w:r w:rsidRPr="00CE611F">
        <w:rPr>
          <w:lang w:bidi="ar-QA"/>
        </w:rPr>
        <w:t>accent sur le rôle de la famille, considérée comme le fondement de toute société, caractérisée par la religion, l</w:t>
      </w:r>
      <w:r>
        <w:rPr>
          <w:lang w:bidi="ar-QA"/>
        </w:rPr>
        <w:t>’</w:t>
      </w:r>
      <w:r w:rsidRPr="00CE611F">
        <w:rPr>
          <w:lang w:bidi="ar-QA"/>
        </w:rPr>
        <w:t>éthique et l</w:t>
      </w:r>
      <w:r>
        <w:rPr>
          <w:lang w:bidi="ar-QA"/>
        </w:rPr>
        <w:t>’</w:t>
      </w:r>
      <w:r w:rsidRPr="00CE611F">
        <w:rPr>
          <w:lang w:bidi="ar-QA"/>
        </w:rPr>
        <w:t>amour de la patrie ; et définit les responsabilités du Gouvernement vis-à-vis de cette cellule de base. Elle aborde également la question de la jeunesse et dispose que celle-ci doit être préservée des influences de la dépravation et protégée contre l</w:t>
      </w:r>
      <w:r>
        <w:rPr>
          <w:lang w:bidi="ar-QA"/>
        </w:rPr>
        <w:t>’</w:t>
      </w:r>
      <w:r w:rsidRPr="00CE611F">
        <w:rPr>
          <w:lang w:bidi="ar-QA"/>
        </w:rPr>
        <w:t>exploitation et toute négligence physique, mentale et spirituelle, tout comme elle doit pouvoir bénéficier de conditions propices au développement de la créativité.</w:t>
      </w:r>
    </w:p>
    <w:p w14:paraId="6548E15D" w14:textId="77777777" w:rsidR="009E4C76" w:rsidRPr="00CE611F" w:rsidRDefault="009E4C76" w:rsidP="005D0B7C">
      <w:pPr>
        <w:pStyle w:val="SingleTxtG"/>
        <w:rPr>
          <w:lang w:bidi="ar-QA"/>
        </w:rPr>
      </w:pPr>
      <w:r w:rsidRPr="00CE611F">
        <w:rPr>
          <w:lang w:bidi="ar-QA"/>
        </w:rPr>
        <w:t>38.</w:t>
      </w:r>
      <w:r w:rsidRPr="00CE611F">
        <w:rPr>
          <w:lang w:bidi="ar-QA"/>
        </w:rPr>
        <w:tab/>
        <w:t>Enfin, le Titre</w:t>
      </w:r>
      <w:r w:rsidR="00696010">
        <w:rPr>
          <w:lang w:bidi="ar-QA"/>
        </w:rPr>
        <w:t> </w:t>
      </w:r>
      <w:r w:rsidRPr="00CE611F">
        <w:rPr>
          <w:lang w:bidi="ar-QA"/>
        </w:rPr>
        <w:t>III de la Constitution, consacré aux droits fondamentaux et aux libertés dispose ce qui suit : « Les citoyens du Qatar sont égaux en droits et en devoirs. Tous sont égaux devant la loi et il n</w:t>
      </w:r>
      <w:r>
        <w:rPr>
          <w:lang w:bidi="ar-QA"/>
        </w:rPr>
        <w:t>’</w:t>
      </w:r>
      <w:r w:rsidRPr="00CE611F">
        <w:rPr>
          <w:lang w:bidi="ar-QA"/>
        </w:rPr>
        <w:t>y a aucune discrimination fondée sur le sexe, la race, la langue ou la religion ».</w:t>
      </w:r>
    </w:p>
    <w:p w14:paraId="37FA8BCC" w14:textId="77777777" w:rsidR="009E4C76" w:rsidRPr="00CE611F" w:rsidRDefault="009E4C76" w:rsidP="005D0B7C">
      <w:pPr>
        <w:pStyle w:val="SingleTxtG"/>
        <w:rPr>
          <w:lang w:bidi="ar-QA"/>
        </w:rPr>
      </w:pPr>
      <w:r w:rsidRPr="00CE611F">
        <w:rPr>
          <w:lang w:bidi="ar-QA"/>
        </w:rPr>
        <w:t>39.</w:t>
      </w:r>
      <w:r w:rsidRPr="00CE611F">
        <w:rPr>
          <w:lang w:bidi="ar-QA"/>
        </w:rPr>
        <w:tab/>
        <w:t>Quant à la politique étrangère du Qatar, la Constitution dispose qu</w:t>
      </w:r>
      <w:r>
        <w:rPr>
          <w:lang w:bidi="ar-QA"/>
        </w:rPr>
        <w:t>’</w:t>
      </w:r>
      <w:r w:rsidRPr="00CE611F">
        <w:rPr>
          <w:lang w:bidi="ar-QA"/>
        </w:rPr>
        <w:t>elle doit s</w:t>
      </w:r>
      <w:r>
        <w:rPr>
          <w:lang w:bidi="ar-QA"/>
        </w:rPr>
        <w:t>’</w:t>
      </w:r>
      <w:r w:rsidRPr="00CE611F">
        <w:rPr>
          <w:lang w:bidi="ar-QA"/>
        </w:rPr>
        <w:t>inspirer des principes qui encouragent le renforcement de la paix et de la sécurité nationales, le respect des droits de l</w:t>
      </w:r>
      <w:r>
        <w:rPr>
          <w:lang w:bidi="ar-QA"/>
        </w:rPr>
        <w:t>’</w:t>
      </w:r>
      <w:r w:rsidRPr="00CE611F">
        <w:rPr>
          <w:lang w:bidi="ar-QA"/>
        </w:rPr>
        <w:t>homme, le rejet de la violence et du recours à la force, le règlement pacifique des différends internationaux, ainsi que la collaboration avec les pays épris de paix.</w:t>
      </w:r>
      <w:bookmarkStart w:id="14" w:name="_Toc282337887"/>
    </w:p>
    <w:p w14:paraId="21D1D0E0" w14:textId="77777777" w:rsidR="009E4C76" w:rsidRPr="00CE611F" w:rsidRDefault="009E4C76" w:rsidP="00696010">
      <w:pPr>
        <w:pStyle w:val="H23G"/>
        <w:rPr>
          <w:rtl/>
          <w:lang w:bidi="fr-FR"/>
        </w:rPr>
      </w:pPr>
      <w:r w:rsidRPr="00CE611F">
        <w:tab/>
      </w:r>
      <w:r w:rsidRPr="00CE611F">
        <w:tab/>
        <w:t>Organisation des pouvoirs publics</w:t>
      </w:r>
      <w:bookmarkEnd w:id="14"/>
    </w:p>
    <w:p w14:paraId="0946EAF5" w14:textId="77777777" w:rsidR="009E4C76" w:rsidRPr="00CE611F" w:rsidRDefault="009E4C76" w:rsidP="005D0B7C">
      <w:pPr>
        <w:pStyle w:val="SingleTxtG"/>
        <w:rPr>
          <w:spacing w:val="-2"/>
          <w:lang w:bidi="ar-QA"/>
        </w:rPr>
      </w:pPr>
      <w:r w:rsidRPr="00CE611F">
        <w:rPr>
          <w:lang w:bidi="ar-QA"/>
        </w:rPr>
        <w:t>40.</w:t>
      </w:r>
      <w:r w:rsidRPr="00CE611F">
        <w:rPr>
          <w:lang w:bidi="ar-QA"/>
        </w:rPr>
        <w:tab/>
      </w:r>
      <w:r w:rsidRPr="00CE611F">
        <w:rPr>
          <w:spacing w:val="-2"/>
          <w:lang w:bidi="ar-QA"/>
        </w:rPr>
        <w:t>L</w:t>
      </w:r>
      <w:r>
        <w:rPr>
          <w:spacing w:val="-2"/>
          <w:lang w:bidi="ar-QA"/>
        </w:rPr>
        <w:t>’</w:t>
      </w:r>
      <w:r w:rsidRPr="00CE611F">
        <w:rPr>
          <w:spacing w:val="-2"/>
          <w:lang w:bidi="ar-QA"/>
        </w:rPr>
        <w:t>organisation des pouvoirs au Qatar repose sur un principe fondamental, selon lequel les pouvoirs émanent du peuple et sont exercés par lui conformément aux dispositions de la</w:t>
      </w:r>
      <w:r w:rsidR="00BC3A86">
        <w:rPr>
          <w:spacing w:val="-2"/>
          <w:lang w:bidi="ar-QA"/>
        </w:rPr>
        <w:t> </w:t>
      </w:r>
      <w:r w:rsidRPr="00CE611F">
        <w:rPr>
          <w:spacing w:val="-2"/>
          <w:lang w:bidi="ar-QA"/>
        </w:rPr>
        <w:t>Constitution. Le système de Gouvernement est fondé sur le principe de la séparation des pouvoirs et sur une totale collaboration entre eux. Le Conseil de la Shura est investi du pouvoir législatif, tandis que le pouvoir exécutif est détenu par l</w:t>
      </w:r>
      <w:r>
        <w:rPr>
          <w:spacing w:val="-2"/>
          <w:lang w:bidi="ar-QA"/>
        </w:rPr>
        <w:t>’</w:t>
      </w:r>
      <w:r w:rsidRPr="00CE611F">
        <w:rPr>
          <w:spacing w:val="-2"/>
          <w:lang w:bidi="ar-QA"/>
        </w:rPr>
        <w:t>Émir du Qatar, qui l</w:t>
      </w:r>
      <w:r>
        <w:rPr>
          <w:spacing w:val="-2"/>
          <w:lang w:bidi="ar-QA"/>
        </w:rPr>
        <w:t>’</w:t>
      </w:r>
      <w:r w:rsidRPr="00CE611F">
        <w:rPr>
          <w:spacing w:val="-2"/>
          <w:lang w:bidi="ar-QA"/>
        </w:rPr>
        <w:t>exerce avec l</w:t>
      </w:r>
      <w:r>
        <w:rPr>
          <w:spacing w:val="-2"/>
          <w:lang w:bidi="ar-QA"/>
        </w:rPr>
        <w:t>’</w:t>
      </w:r>
      <w:r w:rsidRPr="00CE611F">
        <w:rPr>
          <w:spacing w:val="-2"/>
          <w:lang w:bidi="ar-QA"/>
        </w:rPr>
        <w:t>aide du Conseil des ministres. Enfin, le pouvoir judiciaire appartient aux tribunaux, dont les décisions sont prononcées au nom de l</w:t>
      </w:r>
      <w:r>
        <w:rPr>
          <w:spacing w:val="-2"/>
          <w:lang w:bidi="ar-QA"/>
        </w:rPr>
        <w:t>’</w:t>
      </w:r>
      <w:r w:rsidRPr="00CE611F">
        <w:rPr>
          <w:spacing w:val="-2"/>
          <w:lang w:bidi="ar-QA"/>
        </w:rPr>
        <w:t>Émir. Le Titre</w:t>
      </w:r>
      <w:r w:rsidR="00BC3A86">
        <w:rPr>
          <w:spacing w:val="-2"/>
          <w:lang w:bidi="ar-QA"/>
        </w:rPr>
        <w:t> </w:t>
      </w:r>
      <w:r w:rsidRPr="00CE611F">
        <w:rPr>
          <w:spacing w:val="-2"/>
          <w:lang w:bidi="ar-QA"/>
        </w:rPr>
        <w:t>IV de la Constitution est consacré à l</w:t>
      </w:r>
      <w:r>
        <w:rPr>
          <w:spacing w:val="-2"/>
          <w:lang w:bidi="ar-QA"/>
        </w:rPr>
        <w:t>’</w:t>
      </w:r>
      <w:r w:rsidRPr="00CE611F">
        <w:rPr>
          <w:spacing w:val="-2"/>
          <w:lang w:bidi="ar-QA"/>
        </w:rPr>
        <w:t>organisation des pouvoirs publics.</w:t>
      </w:r>
      <w:bookmarkStart w:id="15" w:name="_Toc281916930"/>
      <w:bookmarkStart w:id="16" w:name="_Toc282337888"/>
    </w:p>
    <w:p w14:paraId="00B07AB8" w14:textId="77777777" w:rsidR="009E4C76" w:rsidRPr="00CE611F" w:rsidRDefault="009E4C76" w:rsidP="00BC3A86">
      <w:pPr>
        <w:pStyle w:val="H23G"/>
        <w:rPr>
          <w:rtl/>
          <w:lang w:bidi="fr-FR"/>
        </w:rPr>
      </w:pPr>
      <w:r w:rsidRPr="00CE611F">
        <w:tab/>
      </w:r>
      <w:r w:rsidRPr="00CE611F">
        <w:tab/>
        <w:t>L</w:t>
      </w:r>
      <w:r>
        <w:t>’</w:t>
      </w:r>
      <w:r w:rsidRPr="00CE611F">
        <w:t>Émir</w:t>
      </w:r>
      <w:bookmarkEnd w:id="15"/>
      <w:bookmarkEnd w:id="16"/>
    </w:p>
    <w:p w14:paraId="0D60A3C9" w14:textId="77777777" w:rsidR="009E4C76" w:rsidRPr="00CE611F" w:rsidRDefault="009E4C76" w:rsidP="005D0B7C">
      <w:pPr>
        <w:pStyle w:val="SingleTxtG"/>
        <w:rPr>
          <w:lang w:bidi="ar-QA"/>
        </w:rPr>
      </w:pPr>
      <w:r w:rsidRPr="00CE611F">
        <w:rPr>
          <w:lang w:bidi="ar-QA"/>
        </w:rPr>
        <w:t>41.</w:t>
      </w:r>
      <w:r w:rsidRPr="00CE611F">
        <w:rPr>
          <w:lang w:bidi="ar-QA"/>
        </w:rPr>
        <w:tab/>
        <w:t>L</w:t>
      </w:r>
      <w:r>
        <w:rPr>
          <w:lang w:bidi="ar-QA"/>
        </w:rPr>
        <w:t>’</w:t>
      </w:r>
      <w:r w:rsidRPr="00CE611F">
        <w:rPr>
          <w:lang w:bidi="ar-QA"/>
        </w:rPr>
        <w:t>Émir est le chef de l</w:t>
      </w:r>
      <w:r>
        <w:rPr>
          <w:lang w:bidi="ar-QA"/>
        </w:rPr>
        <w:t>’</w:t>
      </w:r>
      <w:r w:rsidRPr="00CE611F">
        <w:rPr>
          <w:lang w:bidi="ar-QA"/>
        </w:rPr>
        <w:t>État, sa personne est inviolable et son respect est un devoir. Il</w:t>
      </w:r>
      <w:r w:rsidR="00BC3A86">
        <w:rPr>
          <w:lang w:bidi="ar-QA"/>
        </w:rPr>
        <w:t> </w:t>
      </w:r>
      <w:r w:rsidRPr="00CE611F">
        <w:rPr>
          <w:lang w:bidi="ar-QA"/>
        </w:rPr>
        <w:t>est le commandant suprême des forces armées et représente l</w:t>
      </w:r>
      <w:r>
        <w:rPr>
          <w:lang w:bidi="ar-QA"/>
        </w:rPr>
        <w:t>’</w:t>
      </w:r>
      <w:r w:rsidRPr="00CE611F">
        <w:rPr>
          <w:lang w:bidi="ar-QA"/>
        </w:rPr>
        <w:t>État à l</w:t>
      </w:r>
      <w:r>
        <w:rPr>
          <w:lang w:bidi="ar-QA"/>
        </w:rPr>
        <w:t>’</w:t>
      </w:r>
      <w:r w:rsidRPr="00CE611F">
        <w:rPr>
          <w:lang w:bidi="ar-QA"/>
        </w:rPr>
        <w:t>intérieur et à l</w:t>
      </w:r>
      <w:r>
        <w:rPr>
          <w:lang w:bidi="ar-QA"/>
        </w:rPr>
        <w:t>’</w:t>
      </w:r>
      <w:r w:rsidRPr="00CE611F">
        <w:rPr>
          <w:lang w:bidi="ar-QA"/>
        </w:rPr>
        <w:t>extérieur du pays et dans le cadre des relations internationales. L</w:t>
      </w:r>
      <w:r>
        <w:rPr>
          <w:lang w:bidi="ar-QA"/>
        </w:rPr>
        <w:t>’</w:t>
      </w:r>
      <w:r w:rsidRPr="00CE611F">
        <w:rPr>
          <w:lang w:bidi="ar-QA"/>
        </w:rPr>
        <w:t>Émir promulgue les traités et les accords internationaux par décret et les transmet au Conseil de la Shura, sachant que les traités et accords ont force de loi après ratification et publication au Journal officiel. L</w:t>
      </w:r>
      <w:r>
        <w:rPr>
          <w:lang w:bidi="ar-QA"/>
        </w:rPr>
        <w:t>’</w:t>
      </w:r>
      <w:r w:rsidRPr="00CE611F">
        <w:rPr>
          <w:lang w:bidi="ar-QA"/>
        </w:rPr>
        <w:t>Émir établit les politiques générales de l</w:t>
      </w:r>
      <w:r>
        <w:rPr>
          <w:lang w:bidi="ar-QA"/>
        </w:rPr>
        <w:t>’</w:t>
      </w:r>
      <w:r w:rsidRPr="00CE611F">
        <w:rPr>
          <w:lang w:bidi="ar-QA"/>
        </w:rPr>
        <w:t>État, avec l</w:t>
      </w:r>
      <w:r>
        <w:rPr>
          <w:lang w:bidi="ar-QA"/>
        </w:rPr>
        <w:t>’</w:t>
      </w:r>
      <w:r w:rsidRPr="00CE611F">
        <w:rPr>
          <w:lang w:bidi="ar-QA"/>
        </w:rPr>
        <w:t>aide du Conseil des ministres. Il approuve et promulgue les lois. Aucune loi ne peut être publiée si elle n</w:t>
      </w:r>
      <w:r>
        <w:rPr>
          <w:lang w:bidi="ar-QA"/>
        </w:rPr>
        <w:t>’</w:t>
      </w:r>
      <w:r w:rsidRPr="00CE611F">
        <w:rPr>
          <w:lang w:bidi="ar-QA"/>
        </w:rPr>
        <w:t>a pas été validée par l</w:t>
      </w:r>
      <w:r>
        <w:rPr>
          <w:lang w:bidi="ar-QA"/>
        </w:rPr>
        <w:t>’</w:t>
      </w:r>
      <w:r w:rsidRPr="00CE611F">
        <w:rPr>
          <w:lang w:bidi="ar-QA"/>
        </w:rPr>
        <w:t>Émir ; il crée et organise les ministères et les autres organes gouvernementaux et définit leurs fonctions ; de même qu</w:t>
      </w:r>
      <w:r>
        <w:rPr>
          <w:lang w:bidi="ar-QA"/>
        </w:rPr>
        <w:t>’</w:t>
      </w:r>
      <w:r w:rsidRPr="00CE611F">
        <w:rPr>
          <w:lang w:bidi="ar-QA"/>
        </w:rPr>
        <w:t>il institue et organise les organes consultatifs qui l</w:t>
      </w:r>
      <w:r>
        <w:rPr>
          <w:lang w:bidi="ar-QA"/>
        </w:rPr>
        <w:t>’</w:t>
      </w:r>
      <w:r w:rsidRPr="00CE611F">
        <w:rPr>
          <w:lang w:bidi="ar-QA"/>
        </w:rPr>
        <w:t>assistent dans la direction, le contrôle et la définition des politiques de l</w:t>
      </w:r>
      <w:r>
        <w:rPr>
          <w:lang w:bidi="ar-QA"/>
        </w:rPr>
        <w:t>’</w:t>
      </w:r>
      <w:r w:rsidRPr="00CE611F">
        <w:rPr>
          <w:lang w:bidi="ar-QA"/>
        </w:rPr>
        <w:t>État et exerce les autres fonctions dont il est investi par la Constitution et la loi.</w:t>
      </w:r>
      <w:bookmarkStart w:id="17" w:name="_Toc281916931"/>
      <w:bookmarkStart w:id="18" w:name="_Toc282337889"/>
    </w:p>
    <w:p w14:paraId="4F781FAD" w14:textId="77777777" w:rsidR="009E4C76" w:rsidRPr="00CE611F" w:rsidRDefault="009E4C76" w:rsidP="00BC3A86">
      <w:pPr>
        <w:pStyle w:val="H23G"/>
        <w:rPr>
          <w:lang w:bidi="ar-QA"/>
        </w:rPr>
      </w:pPr>
      <w:r w:rsidRPr="00CE611F">
        <w:rPr>
          <w:lang w:bidi="ar-QA"/>
        </w:rPr>
        <w:tab/>
      </w:r>
      <w:r w:rsidRPr="00CE611F">
        <w:rPr>
          <w:lang w:bidi="ar-QA"/>
        </w:rPr>
        <w:tab/>
        <w:t>Le pouvoir législatif</w:t>
      </w:r>
      <w:bookmarkEnd w:id="17"/>
      <w:bookmarkEnd w:id="18"/>
    </w:p>
    <w:p w14:paraId="4E640407" w14:textId="77777777" w:rsidR="009E4C76" w:rsidRPr="00CE611F" w:rsidRDefault="009E4C76" w:rsidP="005D0B7C">
      <w:pPr>
        <w:pStyle w:val="SingleTxtG"/>
        <w:rPr>
          <w:lang w:bidi="ar-QA"/>
        </w:rPr>
      </w:pPr>
      <w:r w:rsidRPr="00CE611F">
        <w:rPr>
          <w:lang w:bidi="ar-QA"/>
        </w:rPr>
        <w:t>42.</w:t>
      </w:r>
      <w:r w:rsidRPr="00CE611F">
        <w:rPr>
          <w:lang w:bidi="ar-QA"/>
        </w:rPr>
        <w:tab/>
        <w:t>Le Conseil de la Shura exerce le pouvoir législatif, approuve la politique générale et le budget et contrôle le pouvoir exécutif de la manière prescrite par la Constitution. En</w:t>
      </w:r>
      <w:r w:rsidR="000D3232">
        <w:rPr>
          <w:lang w:bidi="ar-QA"/>
        </w:rPr>
        <w:t> </w:t>
      </w:r>
      <w:r w:rsidRPr="00CE611F">
        <w:rPr>
          <w:lang w:bidi="ar-QA"/>
        </w:rPr>
        <w:t>vertu de son article</w:t>
      </w:r>
      <w:r w:rsidR="000A0F1B">
        <w:rPr>
          <w:lang w:bidi="ar-QA"/>
        </w:rPr>
        <w:t> </w:t>
      </w:r>
      <w:r w:rsidRPr="00CE611F">
        <w:rPr>
          <w:lang w:bidi="ar-QA"/>
        </w:rPr>
        <w:t>77, la Constitution permanente du Qatar ne prévoit pas l</w:t>
      </w:r>
      <w:r>
        <w:rPr>
          <w:lang w:bidi="ar-QA"/>
        </w:rPr>
        <w:t>’</w:t>
      </w:r>
      <w:r w:rsidRPr="00CE611F">
        <w:rPr>
          <w:lang w:bidi="ar-QA"/>
        </w:rPr>
        <w:t>institution de deux conseils, dont l</w:t>
      </w:r>
      <w:r>
        <w:rPr>
          <w:lang w:bidi="ar-QA"/>
        </w:rPr>
        <w:t>’</w:t>
      </w:r>
      <w:r w:rsidRPr="00CE611F">
        <w:rPr>
          <w:lang w:bidi="ar-QA"/>
        </w:rPr>
        <w:t>un serait composé de membres élus et l</w:t>
      </w:r>
      <w:r>
        <w:rPr>
          <w:lang w:bidi="ar-QA"/>
        </w:rPr>
        <w:t>’</w:t>
      </w:r>
      <w:r w:rsidRPr="00CE611F">
        <w:rPr>
          <w:lang w:bidi="ar-QA"/>
        </w:rPr>
        <w:t>autre de membres nommés. Elle instaure en revanche un conseil unique réunissant des membres élus et d</w:t>
      </w:r>
      <w:r>
        <w:rPr>
          <w:lang w:bidi="ar-QA"/>
        </w:rPr>
        <w:t>’</w:t>
      </w:r>
      <w:r w:rsidRPr="00CE611F">
        <w:rPr>
          <w:lang w:bidi="ar-QA"/>
        </w:rPr>
        <w:t>autres nommés, les premiers étant majoritaires. Aux termes de ce même article, le Conseil de la</w:t>
      </w:r>
      <w:r w:rsidR="000A0F1B">
        <w:rPr>
          <w:lang w:bidi="ar-QA"/>
        </w:rPr>
        <w:t> </w:t>
      </w:r>
      <w:r w:rsidRPr="00CE611F">
        <w:rPr>
          <w:lang w:bidi="ar-QA"/>
        </w:rPr>
        <w:t>Shura est composé de 45</w:t>
      </w:r>
      <w:r w:rsidR="000A0F1B">
        <w:rPr>
          <w:lang w:bidi="ar-QA"/>
        </w:rPr>
        <w:t> </w:t>
      </w:r>
      <w:r w:rsidRPr="00CE611F">
        <w:rPr>
          <w:lang w:bidi="ar-QA"/>
        </w:rPr>
        <w:t xml:space="preserve">membres, dont les deux tiers </w:t>
      </w:r>
      <w:r>
        <w:rPr>
          <w:lang w:bidi="ar-QA"/>
        </w:rPr>
        <w:t xml:space="preserve">sont </w:t>
      </w:r>
      <w:r w:rsidRPr="00CE611F">
        <w:rPr>
          <w:lang w:bidi="ar-QA"/>
        </w:rPr>
        <w:t>élus au suffrage universel direct et secret, le tiers restant étant nommé par l</w:t>
      </w:r>
      <w:r>
        <w:rPr>
          <w:lang w:bidi="ar-QA"/>
        </w:rPr>
        <w:t>’</w:t>
      </w:r>
      <w:r w:rsidRPr="00CE611F">
        <w:rPr>
          <w:lang w:bidi="ar-QA"/>
        </w:rPr>
        <w:t>Émir. Le système électoral est déterminé par une loi, qui précise les conditions de nomination et d</w:t>
      </w:r>
      <w:r>
        <w:rPr>
          <w:lang w:bidi="ar-QA"/>
        </w:rPr>
        <w:t>’</w:t>
      </w:r>
      <w:r w:rsidRPr="00CE611F">
        <w:rPr>
          <w:lang w:bidi="ar-QA"/>
        </w:rPr>
        <w:t>élection.</w:t>
      </w:r>
      <w:bookmarkStart w:id="19" w:name="_Toc281916932"/>
      <w:bookmarkStart w:id="20" w:name="_Toc282337890"/>
    </w:p>
    <w:p w14:paraId="6DFB7055" w14:textId="77777777" w:rsidR="009E4C76" w:rsidRPr="00CE611F" w:rsidRDefault="009E4C76" w:rsidP="000A0F1B">
      <w:pPr>
        <w:pStyle w:val="H23G"/>
        <w:rPr>
          <w:rtl/>
          <w:lang w:bidi="fr-FR"/>
        </w:rPr>
      </w:pPr>
      <w:r w:rsidRPr="00CE611F">
        <w:rPr>
          <w:lang w:bidi="ar-QA"/>
        </w:rPr>
        <w:tab/>
      </w:r>
      <w:r w:rsidRPr="00CE611F">
        <w:rPr>
          <w:lang w:bidi="ar-QA"/>
        </w:rPr>
        <w:tab/>
        <w:t>Le pouvoir exécutif</w:t>
      </w:r>
      <w:bookmarkEnd w:id="19"/>
      <w:bookmarkEnd w:id="20"/>
    </w:p>
    <w:p w14:paraId="62116D61" w14:textId="77777777" w:rsidR="009E4C76" w:rsidRPr="002D5F25" w:rsidRDefault="009E4C76" w:rsidP="005D0B7C">
      <w:pPr>
        <w:pStyle w:val="SingleTxtG"/>
        <w:rPr>
          <w:spacing w:val="1"/>
          <w:lang w:bidi="ar-QA"/>
        </w:rPr>
      </w:pPr>
      <w:r w:rsidRPr="002D5F25">
        <w:rPr>
          <w:spacing w:val="1"/>
          <w:lang w:bidi="ar-QA"/>
        </w:rPr>
        <w:t>43.</w:t>
      </w:r>
      <w:r w:rsidRPr="002D5F25">
        <w:rPr>
          <w:spacing w:val="1"/>
          <w:lang w:bidi="ar-QA"/>
        </w:rPr>
        <w:tab/>
        <w:t>Le Conseil des ministres assiste l’Émir dans l’accomplissement de ses fonctions et l’exercice de ses pouvoirs, conformément à la Constitution et à la loi. Le Conseil des ministres, en sa qualité d’organe exécutif suprême, est compétent pour administrer toutes les affaires intérieures et extérieures qui lui sont attribuées par la Constitution et la loi. Le</w:t>
      </w:r>
      <w:r w:rsidR="000A0F1B" w:rsidRPr="002D5F25">
        <w:rPr>
          <w:spacing w:val="1"/>
          <w:lang w:bidi="ar-QA"/>
        </w:rPr>
        <w:t> </w:t>
      </w:r>
      <w:r w:rsidRPr="002D5F25">
        <w:rPr>
          <w:spacing w:val="1"/>
          <w:lang w:bidi="ar-QA"/>
        </w:rPr>
        <w:t>Conseil des ministres propose les projets de lois et de décrets à l’examen du Conseil de la Shura. Si ces projets sont approuvés par le Conseil de la Shura, ils sont renvoyés à l’Émir pour approbation et promulgation, conformément à la Constitution. Par ailleurs, le</w:t>
      </w:r>
      <w:r w:rsidR="002D5F25">
        <w:rPr>
          <w:spacing w:val="1"/>
          <w:lang w:bidi="ar-QA"/>
        </w:rPr>
        <w:t> </w:t>
      </w:r>
      <w:r w:rsidRPr="002D5F25">
        <w:rPr>
          <w:spacing w:val="1"/>
          <w:lang w:bidi="ar-QA"/>
        </w:rPr>
        <w:t>Conseil des ministres est chargé de l’adoption des règlements et arrêtés ministériels, du suivi de l’application des lois, de la haute supervision du fonctionnement du système financier et administratif de l’État et d’autres fonctions.</w:t>
      </w:r>
      <w:bookmarkStart w:id="21" w:name="_Toc281916933"/>
      <w:bookmarkStart w:id="22" w:name="_Toc282337891"/>
    </w:p>
    <w:p w14:paraId="519E0FDC" w14:textId="77777777" w:rsidR="009E4C76" w:rsidRPr="00CE611F" w:rsidRDefault="009E4C76" w:rsidP="000A0F1B">
      <w:pPr>
        <w:pStyle w:val="H23G"/>
        <w:rPr>
          <w:rtl/>
          <w:lang w:bidi="fr-FR"/>
        </w:rPr>
      </w:pPr>
      <w:r w:rsidRPr="00CE611F">
        <w:tab/>
      </w:r>
      <w:r w:rsidRPr="00CE611F">
        <w:tab/>
        <w:t>Le pouvoir judiciaire</w:t>
      </w:r>
      <w:bookmarkEnd w:id="21"/>
      <w:bookmarkEnd w:id="22"/>
    </w:p>
    <w:p w14:paraId="37D33ACC" w14:textId="77777777" w:rsidR="009E4C76" w:rsidRPr="00CE611F" w:rsidRDefault="009E4C76" w:rsidP="005D0B7C">
      <w:pPr>
        <w:pStyle w:val="SingleTxtG"/>
        <w:rPr>
          <w:rtl/>
          <w:lang w:bidi="fr-FR"/>
        </w:rPr>
      </w:pPr>
      <w:r w:rsidRPr="00CE611F">
        <w:rPr>
          <w:lang w:bidi="ar-QA"/>
        </w:rPr>
        <w:t>44.</w:t>
      </w:r>
      <w:r w:rsidRPr="00CE611F">
        <w:rPr>
          <w:lang w:bidi="ar-QA"/>
        </w:rPr>
        <w:tab/>
        <w:t>La Constitution consacre le principe de la primauté du droit. Ainsi, l</w:t>
      </w:r>
      <w:r>
        <w:rPr>
          <w:lang w:bidi="ar-QA"/>
        </w:rPr>
        <w:t>’</w:t>
      </w:r>
      <w:r w:rsidRPr="00CE611F">
        <w:rPr>
          <w:lang w:bidi="ar-QA"/>
        </w:rPr>
        <w:t>article</w:t>
      </w:r>
      <w:r w:rsidR="000A0F1B">
        <w:rPr>
          <w:lang w:bidi="ar-QA"/>
        </w:rPr>
        <w:t> </w:t>
      </w:r>
      <w:r w:rsidRPr="00CE611F">
        <w:rPr>
          <w:lang w:bidi="ar-QA"/>
        </w:rPr>
        <w:t>129 de la Constitution dispose ce qui suit : « Le Gouvernement de l</w:t>
      </w:r>
      <w:r>
        <w:rPr>
          <w:lang w:bidi="ar-QA"/>
        </w:rPr>
        <w:t>’</w:t>
      </w:r>
      <w:r w:rsidRPr="00CE611F">
        <w:rPr>
          <w:lang w:bidi="ar-QA"/>
        </w:rPr>
        <w:t>État est fondé sur la primauté du droit. L</w:t>
      </w:r>
      <w:r>
        <w:rPr>
          <w:lang w:bidi="ar-QA"/>
        </w:rPr>
        <w:t>’</w:t>
      </w:r>
      <w:r w:rsidRPr="00CE611F">
        <w:rPr>
          <w:lang w:bidi="ar-QA"/>
        </w:rPr>
        <w:t>honneur de la magistrature, son intégrité et l</w:t>
      </w:r>
      <w:r>
        <w:rPr>
          <w:lang w:bidi="ar-QA"/>
        </w:rPr>
        <w:t>’</w:t>
      </w:r>
      <w:r w:rsidRPr="00CE611F">
        <w:rPr>
          <w:lang w:bidi="ar-QA"/>
        </w:rPr>
        <w:t>impartialité des juges contribuent à la sauvegarde des droits et libertés ». En outre, l</w:t>
      </w:r>
      <w:r>
        <w:rPr>
          <w:lang w:bidi="ar-QA"/>
        </w:rPr>
        <w:t>’</w:t>
      </w:r>
      <w:r w:rsidRPr="00CE611F">
        <w:rPr>
          <w:lang w:bidi="ar-QA"/>
        </w:rPr>
        <w:t>article 130 de la Constitution dispose ce qui suit : « Le pouvoir judiciaire est indépendant et exercé par des tribunaux de différents types et degrés ». L</w:t>
      </w:r>
      <w:r>
        <w:rPr>
          <w:lang w:bidi="ar-QA"/>
        </w:rPr>
        <w:t>’</w:t>
      </w:r>
      <w:r w:rsidRPr="00CE611F">
        <w:rPr>
          <w:lang w:bidi="ar-QA"/>
        </w:rPr>
        <w:t>article</w:t>
      </w:r>
      <w:r w:rsidR="000A0F1B">
        <w:rPr>
          <w:lang w:bidi="ar-QA"/>
        </w:rPr>
        <w:t> </w:t>
      </w:r>
      <w:r w:rsidRPr="00CE611F">
        <w:rPr>
          <w:lang w:bidi="ar-QA"/>
        </w:rPr>
        <w:t>131 dispose ce qui suit : « Les juges sont indépendants et ne sont soumis dans leur décision à nulle autre autorité qu</w:t>
      </w:r>
      <w:r>
        <w:rPr>
          <w:lang w:bidi="ar-QA"/>
        </w:rPr>
        <w:t>’</w:t>
      </w:r>
      <w:r w:rsidRPr="00CE611F">
        <w:rPr>
          <w:lang w:bidi="ar-QA"/>
        </w:rPr>
        <w:t>à celle de la loi. Nul n</w:t>
      </w:r>
      <w:r>
        <w:rPr>
          <w:lang w:bidi="ar-QA"/>
        </w:rPr>
        <w:t>’</w:t>
      </w:r>
      <w:r w:rsidRPr="00CE611F">
        <w:rPr>
          <w:lang w:bidi="ar-QA"/>
        </w:rPr>
        <w:t>est autorisé à intervenir dans la procédure judiciaire et dans le cours de la justice ». L</w:t>
      </w:r>
      <w:r>
        <w:rPr>
          <w:lang w:bidi="ar-QA"/>
        </w:rPr>
        <w:t>’</w:t>
      </w:r>
      <w:r w:rsidRPr="00CE611F">
        <w:rPr>
          <w:lang w:bidi="ar-QA"/>
        </w:rPr>
        <w:t>article</w:t>
      </w:r>
      <w:r w:rsidR="000A0F1B">
        <w:rPr>
          <w:lang w:bidi="ar-QA"/>
        </w:rPr>
        <w:t> </w:t>
      </w:r>
      <w:r w:rsidRPr="00CE611F">
        <w:rPr>
          <w:lang w:bidi="ar-QA"/>
        </w:rPr>
        <w:t>137 dispose ce qui suit : « Il est créé un Conseil supérieur de la magistrature, qui contrôle le bon fonctionnement des tribunaux et de leurs organes auxiliaires. La loi détermine la composition, les pouvoirs et les fonctions de ce Conseil ».</w:t>
      </w:r>
    </w:p>
    <w:p w14:paraId="3D836FB6" w14:textId="77777777" w:rsidR="009E4C76" w:rsidRPr="000A0F1B" w:rsidRDefault="009E4C76" w:rsidP="005D0B7C">
      <w:pPr>
        <w:pStyle w:val="SingleTxtG"/>
        <w:rPr>
          <w:spacing w:val="-1"/>
          <w:lang w:bidi="ar-QA"/>
        </w:rPr>
      </w:pPr>
      <w:r w:rsidRPr="000A0F1B">
        <w:rPr>
          <w:spacing w:val="-1"/>
          <w:lang w:bidi="ar-QA"/>
        </w:rPr>
        <w:t>45.</w:t>
      </w:r>
      <w:r w:rsidRPr="000A0F1B">
        <w:rPr>
          <w:spacing w:val="-1"/>
          <w:lang w:bidi="ar-QA"/>
        </w:rPr>
        <w:tab/>
        <w:t xml:space="preserve">Conformément à la loi </w:t>
      </w:r>
      <w:r w:rsidR="000A0F1B" w:rsidRPr="000A0F1B">
        <w:rPr>
          <w:spacing w:val="-1"/>
          <w:lang w:bidi="ar-QA"/>
        </w:rPr>
        <w:t>n</w:t>
      </w:r>
      <w:r w:rsidR="000A0F1B" w:rsidRPr="000A0F1B">
        <w:rPr>
          <w:spacing w:val="-1"/>
          <w:vertAlign w:val="superscript"/>
          <w:lang w:bidi="ar-QA"/>
        </w:rPr>
        <w:t>o</w:t>
      </w:r>
      <w:r w:rsidR="000A0F1B" w:rsidRPr="000A0F1B">
        <w:rPr>
          <w:spacing w:val="-1"/>
          <w:lang w:bidi="ar-QA"/>
        </w:rPr>
        <w:t> </w:t>
      </w:r>
      <w:r w:rsidRPr="000A0F1B">
        <w:rPr>
          <w:spacing w:val="-1"/>
          <w:lang w:bidi="ar-QA"/>
        </w:rPr>
        <w:t>10 de 2003 relative au pouvoir judiciaire, le système judiciaire du Qatar est composé de la Cour suprême, de la Cour d’appel et du tribunal de première instance. En vertu de l’article</w:t>
      </w:r>
      <w:r w:rsidR="000A0F1B" w:rsidRPr="000A0F1B">
        <w:rPr>
          <w:spacing w:val="-1"/>
          <w:lang w:bidi="ar-QA"/>
        </w:rPr>
        <w:t> </w:t>
      </w:r>
      <w:r w:rsidRPr="000A0F1B">
        <w:rPr>
          <w:spacing w:val="-1"/>
          <w:lang w:bidi="ar-QA"/>
        </w:rPr>
        <w:t>22 de cette loi, un Conseil supérieur de la magistrature a été institué et chargé de garantir l’indépendance du pouvoir judiciaire. L’article</w:t>
      </w:r>
      <w:r w:rsidR="000A0F1B" w:rsidRPr="000A0F1B">
        <w:rPr>
          <w:spacing w:val="-1"/>
          <w:lang w:bidi="ar-QA"/>
        </w:rPr>
        <w:t> </w:t>
      </w:r>
      <w:r w:rsidRPr="000A0F1B">
        <w:rPr>
          <w:spacing w:val="-1"/>
          <w:lang w:bidi="ar-QA"/>
        </w:rPr>
        <w:t>23 de cette loi a confié le soin à cet organe de se prononcer sur les questions concernant la magistrature ; d’examiner et de proposer des lois visant à améliorer le système judiciaire ; de donner son avis en matière de nomination, de promotion, de mutation, d’affectation et de mise à la retraite des magistrats et d’enquêter sur les plaintes concernant les membres du pouvoir judiciaire, sachant que ses décisions en la matière sont définitives.</w:t>
      </w:r>
    </w:p>
    <w:p w14:paraId="76617D85" w14:textId="77777777" w:rsidR="009E4C76" w:rsidRPr="00CE611F" w:rsidRDefault="009E4C76" w:rsidP="005D0B7C">
      <w:pPr>
        <w:pStyle w:val="SingleTxtG"/>
        <w:rPr>
          <w:rtl/>
          <w:lang w:bidi="fr-FR"/>
        </w:rPr>
      </w:pPr>
      <w:r w:rsidRPr="00CE611F">
        <w:rPr>
          <w:lang w:bidi="ar-QA"/>
        </w:rPr>
        <w:t>46.</w:t>
      </w:r>
      <w:r w:rsidRPr="00CE611F">
        <w:rPr>
          <w:lang w:bidi="ar-QA"/>
        </w:rPr>
        <w:tab/>
        <w:t>À l</w:t>
      </w:r>
      <w:r>
        <w:rPr>
          <w:lang w:bidi="ar-QA"/>
        </w:rPr>
        <w:t>’</w:t>
      </w:r>
      <w:r w:rsidRPr="00CE611F">
        <w:rPr>
          <w:lang w:bidi="ar-QA"/>
        </w:rPr>
        <w:t>instar de la plupart des constitutions modernes, celle du Qatar a institué un système central de contrôle de constitutionnalité des lois, qui permet de maintenir un équilibre optimal entre les différents pouvoirs. La Cour constitutionnelle est compétente pour se prononcer sur la constitutionnalité des lois et règlements, de sa propre initiative ou à la demande des parties. Ses jugements et décisions sont définitifs et ne sont susceptibles d</w:t>
      </w:r>
      <w:r>
        <w:rPr>
          <w:lang w:bidi="ar-QA"/>
        </w:rPr>
        <w:t>’</w:t>
      </w:r>
      <w:r w:rsidRPr="00CE611F">
        <w:rPr>
          <w:lang w:bidi="ar-QA"/>
        </w:rPr>
        <w:t>aucun recours. Ils s</w:t>
      </w:r>
      <w:r>
        <w:rPr>
          <w:lang w:bidi="ar-QA"/>
        </w:rPr>
        <w:t>’</w:t>
      </w:r>
      <w:r w:rsidRPr="00CE611F">
        <w:rPr>
          <w:lang w:bidi="ar-QA"/>
        </w:rPr>
        <w:t>imposent à tous les organismes publics. En outre, l</w:t>
      </w:r>
      <w:r>
        <w:rPr>
          <w:lang w:bidi="ar-QA"/>
        </w:rPr>
        <w:t>’</w:t>
      </w:r>
      <w:r w:rsidRPr="00CE611F">
        <w:rPr>
          <w:lang w:bidi="ar-QA"/>
        </w:rPr>
        <w:t>indépendance des juridictions a été renforcée par l</w:t>
      </w:r>
      <w:r>
        <w:rPr>
          <w:lang w:bidi="ar-QA"/>
        </w:rPr>
        <w:t>’</w:t>
      </w:r>
      <w:r w:rsidRPr="00CE611F">
        <w:rPr>
          <w:lang w:bidi="ar-QA"/>
        </w:rPr>
        <w:t xml:space="preserve">adoption de la loi </w:t>
      </w:r>
      <w:r w:rsidR="000A0F1B">
        <w:rPr>
          <w:lang w:bidi="ar-QA"/>
        </w:rPr>
        <w:t>n</w:t>
      </w:r>
      <w:r w:rsidR="000A0F1B" w:rsidRPr="000A0F1B">
        <w:rPr>
          <w:vertAlign w:val="superscript"/>
          <w:lang w:bidi="ar-QA"/>
        </w:rPr>
        <w:t>o</w:t>
      </w:r>
      <w:r w:rsidR="000A0F1B">
        <w:rPr>
          <w:lang w:bidi="ar-QA"/>
        </w:rPr>
        <w:t> </w:t>
      </w:r>
      <w:r w:rsidRPr="00CE611F">
        <w:rPr>
          <w:lang w:bidi="ar-QA"/>
        </w:rPr>
        <w:t>7 de 2007 sur le contentieux administratif, en vertu de laquelle tout abus de pouvoir constitue un motif valable d</w:t>
      </w:r>
      <w:r>
        <w:rPr>
          <w:lang w:bidi="ar-QA"/>
        </w:rPr>
        <w:t>’</w:t>
      </w:r>
      <w:r w:rsidRPr="00CE611F">
        <w:rPr>
          <w:lang w:bidi="ar-QA"/>
        </w:rPr>
        <w:t>annulation d</w:t>
      </w:r>
      <w:r>
        <w:rPr>
          <w:lang w:bidi="ar-QA"/>
        </w:rPr>
        <w:t>’</w:t>
      </w:r>
      <w:r w:rsidRPr="00CE611F">
        <w:rPr>
          <w:lang w:bidi="ar-QA"/>
        </w:rPr>
        <w:t>une décision administrative contestée ou peut justifier le prononcé d</w:t>
      </w:r>
      <w:r>
        <w:rPr>
          <w:lang w:bidi="ar-QA"/>
        </w:rPr>
        <w:t>’</w:t>
      </w:r>
      <w:r w:rsidRPr="00CE611F">
        <w:rPr>
          <w:lang w:bidi="ar-QA"/>
        </w:rPr>
        <w:t>une indemnité en guise de réparation.</w:t>
      </w:r>
    </w:p>
    <w:p w14:paraId="15194072" w14:textId="77777777" w:rsidR="009E4C76" w:rsidRPr="00CE611F" w:rsidRDefault="009E4C76" w:rsidP="005D0B7C">
      <w:pPr>
        <w:pStyle w:val="SingleTxtG"/>
        <w:rPr>
          <w:lang w:bidi="ar-QA"/>
        </w:rPr>
      </w:pPr>
      <w:r w:rsidRPr="00CE611F">
        <w:rPr>
          <w:lang w:bidi="ar-QA"/>
        </w:rPr>
        <w:t>47.</w:t>
      </w:r>
      <w:r w:rsidRPr="00CE611F">
        <w:rPr>
          <w:lang w:bidi="ar-QA"/>
        </w:rPr>
        <w:tab/>
        <w:t>Le ministère public est un organe judiciaire indépendant chargé d</w:t>
      </w:r>
      <w:r>
        <w:rPr>
          <w:lang w:bidi="ar-QA"/>
        </w:rPr>
        <w:t>’</w:t>
      </w:r>
      <w:r w:rsidRPr="00CE611F">
        <w:rPr>
          <w:lang w:bidi="ar-QA"/>
        </w:rPr>
        <w:t>engager les actions publiques au nom du peuple, de superviser le fonctionnement de la police judiciaire et de veiller à l</w:t>
      </w:r>
      <w:r>
        <w:rPr>
          <w:lang w:bidi="ar-QA"/>
        </w:rPr>
        <w:t>’</w:t>
      </w:r>
      <w:r w:rsidRPr="00CE611F">
        <w:rPr>
          <w:lang w:bidi="ar-QA"/>
        </w:rPr>
        <w:t>application des lois. Il s</w:t>
      </w:r>
      <w:r>
        <w:rPr>
          <w:lang w:bidi="ar-QA"/>
        </w:rPr>
        <w:t>’</w:t>
      </w:r>
      <w:r w:rsidRPr="00CE611F">
        <w:rPr>
          <w:lang w:bidi="ar-QA"/>
        </w:rPr>
        <w:t>agit d</w:t>
      </w:r>
      <w:r>
        <w:rPr>
          <w:lang w:bidi="ar-QA"/>
        </w:rPr>
        <w:t>’</w:t>
      </w:r>
      <w:r w:rsidRPr="00CE611F">
        <w:rPr>
          <w:lang w:bidi="ar-QA"/>
        </w:rPr>
        <w:t>une autorité publique habilitée à engager les poursuites pénales, à en assurer le suivi et à prendre toutes les mesures y relatives conformément à la loi, de même qu</w:t>
      </w:r>
      <w:r>
        <w:rPr>
          <w:lang w:bidi="ar-QA"/>
        </w:rPr>
        <w:t>’</w:t>
      </w:r>
      <w:r w:rsidRPr="00CE611F">
        <w:rPr>
          <w:lang w:bidi="ar-QA"/>
        </w:rPr>
        <w:t>à exercer les pouvoirs d</w:t>
      </w:r>
      <w:r>
        <w:rPr>
          <w:lang w:bidi="ar-QA"/>
        </w:rPr>
        <w:t>’</w:t>
      </w:r>
      <w:r w:rsidRPr="00CE611F">
        <w:rPr>
          <w:lang w:bidi="ar-QA"/>
        </w:rPr>
        <w:t>instruction et d</w:t>
      </w:r>
      <w:r>
        <w:rPr>
          <w:lang w:bidi="ar-QA"/>
        </w:rPr>
        <w:t>’</w:t>
      </w:r>
      <w:r w:rsidRPr="00CE611F">
        <w:rPr>
          <w:lang w:bidi="ar-QA"/>
        </w:rPr>
        <w:t>accusation.</w:t>
      </w:r>
      <w:bookmarkStart w:id="23" w:name="_Toc282337892"/>
    </w:p>
    <w:p w14:paraId="04CA02E6" w14:textId="77777777" w:rsidR="009E4C76" w:rsidRPr="000A0F1B" w:rsidRDefault="009E4C76" w:rsidP="000A0F1B">
      <w:pPr>
        <w:pStyle w:val="H23G"/>
        <w:rPr>
          <w:spacing w:val="-2"/>
        </w:rPr>
      </w:pPr>
      <w:r w:rsidRPr="000A0F1B">
        <w:rPr>
          <w:spacing w:val="-2"/>
        </w:rPr>
        <w:tab/>
      </w:r>
      <w:r w:rsidRPr="000A0F1B">
        <w:rPr>
          <w:spacing w:val="-2"/>
        </w:rPr>
        <w:tab/>
        <w:t>Législation relative à la reconnaissance des organisations non gouvernementales (ONG)</w:t>
      </w:r>
      <w:bookmarkEnd w:id="23"/>
    </w:p>
    <w:p w14:paraId="54DDEED8" w14:textId="77777777" w:rsidR="009E4C76" w:rsidRPr="00CE611F" w:rsidRDefault="009E4C76" w:rsidP="005D0B7C">
      <w:pPr>
        <w:pStyle w:val="SingleTxtG"/>
        <w:rPr>
          <w:rtl/>
          <w:lang w:bidi="fr-FR"/>
        </w:rPr>
      </w:pPr>
      <w:r w:rsidRPr="00CE611F">
        <w:rPr>
          <w:lang w:bidi="ar-QA"/>
        </w:rPr>
        <w:t>48.</w:t>
      </w:r>
      <w:r w:rsidRPr="00CE611F">
        <w:rPr>
          <w:lang w:bidi="ar-QA"/>
        </w:rPr>
        <w:tab/>
      </w:r>
      <w:r w:rsidRPr="00CE611F">
        <w:rPr>
          <w:spacing w:val="-2"/>
          <w:lang w:bidi="ar-QA"/>
        </w:rPr>
        <w:t>Le Croissant-Rouge du Qatar a été créé en 1978, suivi par l</w:t>
      </w:r>
      <w:r>
        <w:rPr>
          <w:spacing w:val="-2"/>
          <w:lang w:bidi="ar-QA"/>
        </w:rPr>
        <w:t>’</w:t>
      </w:r>
      <w:r w:rsidRPr="00CE611F">
        <w:rPr>
          <w:spacing w:val="-2"/>
          <w:lang w:bidi="ar-QA"/>
        </w:rPr>
        <w:t>association caritative Qatar Charity en 1980. Depuis, la création des organisations de la société civile et des institutions privées d</w:t>
      </w:r>
      <w:r>
        <w:rPr>
          <w:spacing w:val="-2"/>
          <w:lang w:bidi="ar-QA"/>
        </w:rPr>
        <w:t>’</w:t>
      </w:r>
      <w:r w:rsidRPr="00CE611F">
        <w:rPr>
          <w:spacing w:val="-2"/>
          <w:lang w:bidi="ar-QA"/>
        </w:rPr>
        <w:t>utilité publique a connu un grand essor. La société qatarie a une longue tradition en matière de bénévolat et d</w:t>
      </w:r>
      <w:r>
        <w:rPr>
          <w:spacing w:val="-2"/>
          <w:lang w:bidi="ar-QA"/>
        </w:rPr>
        <w:t>’</w:t>
      </w:r>
      <w:r w:rsidRPr="00CE611F">
        <w:rPr>
          <w:spacing w:val="-2"/>
          <w:lang w:bidi="ar-QA"/>
        </w:rPr>
        <w:t>actions caritatives, dans la mesure où la culture musulmane encourage les actes de charité, qu</w:t>
      </w:r>
      <w:r>
        <w:rPr>
          <w:spacing w:val="-2"/>
          <w:lang w:bidi="ar-QA"/>
        </w:rPr>
        <w:t>’</w:t>
      </w:r>
      <w:r w:rsidRPr="00CE611F">
        <w:rPr>
          <w:spacing w:val="-2"/>
          <w:lang w:bidi="ar-QA"/>
        </w:rPr>
        <w:t>elle considère comme faisant partie des plus belles réalisations d</w:t>
      </w:r>
      <w:r>
        <w:rPr>
          <w:spacing w:val="-2"/>
          <w:lang w:bidi="ar-QA"/>
        </w:rPr>
        <w:t>’</w:t>
      </w:r>
      <w:r w:rsidRPr="00CE611F">
        <w:rPr>
          <w:spacing w:val="-2"/>
          <w:lang w:bidi="ar-QA"/>
        </w:rPr>
        <w:t>un bon musulman</w:t>
      </w:r>
      <w:r w:rsidRPr="00CE611F">
        <w:rPr>
          <w:lang w:bidi="ar-QA"/>
        </w:rPr>
        <w:t>.</w:t>
      </w:r>
    </w:p>
    <w:p w14:paraId="6120C4A2" w14:textId="77777777" w:rsidR="009E4C76" w:rsidRPr="00CE611F" w:rsidRDefault="009E4C76" w:rsidP="005D0B7C">
      <w:pPr>
        <w:pStyle w:val="SingleTxtG"/>
        <w:rPr>
          <w:lang w:bidi="ar-QA"/>
        </w:rPr>
      </w:pPr>
      <w:r w:rsidRPr="00CE611F">
        <w:rPr>
          <w:lang w:bidi="ar-QA"/>
        </w:rPr>
        <w:t>49.</w:t>
      </w:r>
      <w:r w:rsidRPr="00CE611F">
        <w:rPr>
          <w:lang w:bidi="ar-QA"/>
        </w:rPr>
        <w:tab/>
        <w:t xml:space="preserve">Le droit de créer des organisations de la société civile et des fondations privées est régi par la loi </w:t>
      </w:r>
      <w:r w:rsidR="000A0F1B">
        <w:rPr>
          <w:lang w:bidi="ar-QA"/>
        </w:rPr>
        <w:t>n</w:t>
      </w:r>
      <w:r w:rsidR="000A0F1B" w:rsidRPr="000A0F1B">
        <w:rPr>
          <w:vertAlign w:val="superscript"/>
          <w:lang w:bidi="ar-QA"/>
        </w:rPr>
        <w:t>o</w:t>
      </w:r>
      <w:r w:rsidR="000A0F1B">
        <w:rPr>
          <w:lang w:bidi="ar-QA"/>
        </w:rPr>
        <w:t> </w:t>
      </w:r>
      <w:r w:rsidRPr="00CE611F">
        <w:rPr>
          <w:lang w:bidi="ar-QA"/>
        </w:rPr>
        <w:t>12 de 2004, qui circonscrit leurs interventions aux domaines de l</w:t>
      </w:r>
      <w:r>
        <w:rPr>
          <w:lang w:bidi="ar-QA"/>
        </w:rPr>
        <w:t>’</w:t>
      </w:r>
      <w:r w:rsidRPr="00CE611F">
        <w:rPr>
          <w:lang w:bidi="ar-QA"/>
        </w:rPr>
        <w:t>action humanitaire et aux activités sociales, culturelles, scientifiques et caritatives, sachant que selon la loi, lesdites activités ne doivent en aucune cas poursuivre un but lucratif ou politique. Le Ministère du développement administratif, du travail et des affaires sociales est l</w:t>
      </w:r>
      <w:r>
        <w:rPr>
          <w:lang w:bidi="ar-QA"/>
        </w:rPr>
        <w:t>’</w:t>
      </w:r>
      <w:r w:rsidRPr="00CE611F">
        <w:rPr>
          <w:lang w:bidi="ar-QA"/>
        </w:rPr>
        <w:t>autorité chargée de l</w:t>
      </w:r>
      <w:r>
        <w:rPr>
          <w:lang w:bidi="ar-QA"/>
        </w:rPr>
        <w:t>’</w:t>
      </w:r>
      <w:r w:rsidRPr="00CE611F">
        <w:rPr>
          <w:lang w:bidi="ar-QA"/>
        </w:rPr>
        <w:t>enregistrement, de la publicité et du contrôle des organisations de la société civile et des fondations privées et le Conseil des ministres peut, sur proposition du Ministère concerné, accorder des aides financières ou des prêts à ces organisations et fondations, ainsi que des exonérations relatives au paiement des droits de douane et d</w:t>
      </w:r>
      <w:r>
        <w:rPr>
          <w:lang w:bidi="ar-QA"/>
        </w:rPr>
        <w:t>’</w:t>
      </w:r>
      <w:r w:rsidRPr="00CE611F">
        <w:rPr>
          <w:lang w:bidi="ar-QA"/>
        </w:rPr>
        <w:t>autres impôts ou taxes, afin de les aider à atteindre leurs objectifs.</w:t>
      </w:r>
    </w:p>
    <w:p w14:paraId="412477D5" w14:textId="77777777" w:rsidR="009E4C76" w:rsidRPr="00CE611F" w:rsidRDefault="009E4C76" w:rsidP="00305F8C">
      <w:pPr>
        <w:pStyle w:val="SingleTxtG"/>
        <w:keepNext/>
        <w:keepLines/>
        <w:rPr>
          <w:lang w:bidi="ar-QA"/>
        </w:rPr>
      </w:pPr>
      <w:r w:rsidRPr="00CE611F">
        <w:rPr>
          <w:lang w:bidi="ar-QA"/>
        </w:rPr>
        <w:t>50.</w:t>
      </w:r>
      <w:r w:rsidRPr="00CE611F">
        <w:rPr>
          <w:lang w:bidi="ar-QA"/>
        </w:rPr>
        <w:tab/>
        <w:t xml:space="preserve">En outre, le décret-loi </w:t>
      </w:r>
      <w:r w:rsidR="000A0F1B">
        <w:rPr>
          <w:lang w:bidi="ar-QA"/>
        </w:rPr>
        <w:t>n</w:t>
      </w:r>
      <w:r w:rsidR="000A0F1B" w:rsidRPr="000A0F1B">
        <w:rPr>
          <w:vertAlign w:val="superscript"/>
          <w:lang w:bidi="ar-QA"/>
        </w:rPr>
        <w:t>o</w:t>
      </w:r>
      <w:r w:rsidR="000A0F1B">
        <w:rPr>
          <w:lang w:bidi="ar-QA"/>
        </w:rPr>
        <w:t> </w:t>
      </w:r>
      <w:r w:rsidRPr="00CE611F">
        <w:rPr>
          <w:lang w:bidi="ar-QA"/>
        </w:rPr>
        <w:t>21 de 2006 relatif aux institutions privées d</w:t>
      </w:r>
      <w:r>
        <w:rPr>
          <w:lang w:bidi="ar-QA"/>
        </w:rPr>
        <w:t>’</w:t>
      </w:r>
      <w:r w:rsidRPr="00CE611F">
        <w:rPr>
          <w:lang w:bidi="ar-QA"/>
        </w:rPr>
        <w:t>utilité publique réglemente la création de ces entités et confie à la Direction de la propriété foncière et de la documentation du Ministère de la justice (ou à tout autre organisme chargé de la remplacer) la compétence de leur accorder une autorisation de création. La loi assimile ces institutions à des entreprises, susceptibles d</w:t>
      </w:r>
      <w:r>
        <w:rPr>
          <w:lang w:bidi="ar-QA"/>
        </w:rPr>
        <w:t>’</w:t>
      </w:r>
      <w:r w:rsidRPr="00CE611F">
        <w:rPr>
          <w:lang w:bidi="ar-QA"/>
        </w:rPr>
        <w:t>être créées par une ou plusieurs personnes physiques ou morales, en vue d</w:t>
      </w:r>
      <w:r>
        <w:rPr>
          <w:lang w:bidi="ar-QA"/>
        </w:rPr>
        <w:t>’</w:t>
      </w:r>
      <w:r w:rsidRPr="00CE611F">
        <w:rPr>
          <w:lang w:bidi="ar-QA"/>
        </w:rPr>
        <w:t>atteindre un ou plusieurs objectifs à but lucratif. La loi accorde également au Conseil des ministres le droit d</w:t>
      </w:r>
      <w:r>
        <w:rPr>
          <w:lang w:bidi="ar-QA"/>
        </w:rPr>
        <w:t>’</w:t>
      </w:r>
      <w:r w:rsidRPr="00CE611F">
        <w:rPr>
          <w:lang w:bidi="ar-QA"/>
        </w:rPr>
        <w:t>octroyer à ces institutions tout ou une partie des avantages suivants : des aides financières et des avantages en nature, y</w:t>
      </w:r>
      <w:r w:rsidR="000A0F1B">
        <w:rPr>
          <w:lang w:bidi="ar-QA"/>
        </w:rPr>
        <w:t> </w:t>
      </w:r>
      <w:r w:rsidRPr="00CE611F">
        <w:rPr>
          <w:lang w:bidi="ar-QA"/>
        </w:rPr>
        <w:t>compris l</w:t>
      </w:r>
      <w:r>
        <w:rPr>
          <w:lang w:bidi="ar-QA"/>
        </w:rPr>
        <w:t>’</w:t>
      </w:r>
      <w:r w:rsidRPr="00CE611F">
        <w:rPr>
          <w:lang w:bidi="ar-QA"/>
        </w:rPr>
        <w:t>attribution des terrains nécessaires à l</w:t>
      </w:r>
      <w:r>
        <w:rPr>
          <w:lang w:bidi="ar-QA"/>
        </w:rPr>
        <w:t>’</w:t>
      </w:r>
      <w:r w:rsidRPr="00CE611F">
        <w:rPr>
          <w:lang w:bidi="ar-QA"/>
        </w:rPr>
        <w:t>exercice de leurs activités, l</w:t>
      </w:r>
      <w:r>
        <w:rPr>
          <w:lang w:bidi="ar-QA"/>
        </w:rPr>
        <w:t>’</w:t>
      </w:r>
      <w:r w:rsidRPr="00CE611F">
        <w:rPr>
          <w:lang w:bidi="ar-QA"/>
        </w:rPr>
        <w:t>exonération totale ou partielle des impôts et taxes, ainsi que l</w:t>
      </w:r>
      <w:r>
        <w:rPr>
          <w:lang w:bidi="ar-QA"/>
        </w:rPr>
        <w:t>’</w:t>
      </w:r>
      <w:r w:rsidRPr="00CE611F">
        <w:rPr>
          <w:lang w:bidi="ar-QA"/>
        </w:rPr>
        <w:t>interdiction de la saisie de leurs avoirs ou l</w:t>
      </w:r>
      <w:r>
        <w:rPr>
          <w:lang w:bidi="ar-QA"/>
        </w:rPr>
        <w:t>’</w:t>
      </w:r>
      <w:r w:rsidRPr="00CE611F">
        <w:rPr>
          <w:lang w:bidi="ar-QA"/>
        </w:rPr>
        <w:t>acquisition de ceux-ci par l</w:t>
      </w:r>
      <w:r>
        <w:rPr>
          <w:lang w:bidi="ar-QA"/>
        </w:rPr>
        <w:t>’</w:t>
      </w:r>
      <w:r w:rsidRPr="00CE611F">
        <w:rPr>
          <w:lang w:bidi="ar-QA"/>
        </w:rPr>
        <w:t>effet de la prescription acquisitive.</w:t>
      </w:r>
    </w:p>
    <w:p w14:paraId="2F15FF52" w14:textId="77777777" w:rsidR="009E4C76" w:rsidRPr="000A0F1B" w:rsidRDefault="009E4C76" w:rsidP="005D0B7C">
      <w:pPr>
        <w:pStyle w:val="SingleTxtG"/>
        <w:rPr>
          <w:lang w:bidi="ar-QA"/>
        </w:rPr>
      </w:pPr>
      <w:r w:rsidRPr="000A0F1B">
        <w:rPr>
          <w:lang w:bidi="ar-QA"/>
        </w:rPr>
        <w:t>51.</w:t>
      </w:r>
      <w:r w:rsidRPr="000A0F1B">
        <w:rPr>
          <w:lang w:bidi="ar-QA"/>
        </w:rPr>
        <w:tab/>
        <w:t xml:space="preserve">Plusieurs institutions privées d’utilité publique ont été créées en vertu de décrets édictés par l’Émir, notamment le décret </w:t>
      </w:r>
      <w:r w:rsidR="000A0F1B" w:rsidRPr="000A0F1B">
        <w:rPr>
          <w:lang w:bidi="ar-QA"/>
        </w:rPr>
        <w:t>n</w:t>
      </w:r>
      <w:r w:rsidR="000A0F1B" w:rsidRPr="000A0F1B">
        <w:rPr>
          <w:vertAlign w:val="superscript"/>
          <w:lang w:bidi="ar-QA"/>
        </w:rPr>
        <w:t>o</w:t>
      </w:r>
      <w:r w:rsidR="000A0F1B" w:rsidRPr="000A0F1B">
        <w:rPr>
          <w:lang w:bidi="ar-QA"/>
        </w:rPr>
        <w:t> </w:t>
      </w:r>
      <w:r w:rsidRPr="000A0F1B">
        <w:rPr>
          <w:lang w:bidi="ar-QA"/>
        </w:rPr>
        <w:t xml:space="preserve">51 de 2007 portant création de la Fondation arabe pour la démocratie, le décret </w:t>
      </w:r>
      <w:r w:rsidR="000A0F1B" w:rsidRPr="000A0F1B">
        <w:rPr>
          <w:lang w:bidi="ar-QA"/>
        </w:rPr>
        <w:t>n</w:t>
      </w:r>
      <w:r w:rsidR="000A0F1B" w:rsidRPr="000A0F1B">
        <w:rPr>
          <w:vertAlign w:val="superscript"/>
          <w:lang w:bidi="ar-QA"/>
        </w:rPr>
        <w:t>o</w:t>
      </w:r>
      <w:r w:rsidR="000A0F1B" w:rsidRPr="000A0F1B">
        <w:rPr>
          <w:lang w:bidi="ar-QA"/>
        </w:rPr>
        <w:t> </w:t>
      </w:r>
      <w:r w:rsidRPr="000A0F1B">
        <w:rPr>
          <w:lang w:bidi="ar-QA"/>
        </w:rPr>
        <w:t xml:space="preserve">86 de 2007 portant création du Centre de Doha pour la liberté de la presse, le décret </w:t>
      </w:r>
      <w:r w:rsidR="000A0F1B" w:rsidRPr="000A0F1B">
        <w:rPr>
          <w:lang w:bidi="ar-QA"/>
        </w:rPr>
        <w:t>n</w:t>
      </w:r>
      <w:r w:rsidR="000A0F1B" w:rsidRPr="000A0F1B">
        <w:rPr>
          <w:vertAlign w:val="superscript"/>
          <w:lang w:bidi="ar-QA"/>
        </w:rPr>
        <w:t>o</w:t>
      </w:r>
      <w:r w:rsidR="000A0F1B" w:rsidRPr="000A0F1B">
        <w:rPr>
          <w:lang w:bidi="ar-QA"/>
        </w:rPr>
        <w:t> </w:t>
      </w:r>
      <w:r w:rsidRPr="000A0F1B">
        <w:rPr>
          <w:lang w:bidi="ar-QA"/>
        </w:rPr>
        <w:t xml:space="preserve">3 de 2008 portant création de la Fondation « Silatech » et le décret </w:t>
      </w:r>
      <w:r w:rsidR="000A0F1B" w:rsidRPr="000A0F1B">
        <w:rPr>
          <w:lang w:bidi="ar-QA"/>
        </w:rPr>
        <w:t>n</w:t>
      </w:r>
      <w:r w:rsidR="000A0F1B" w:rsidRPr="000A0F1B">
        <w:rPr>
          <w:vertAlign w:val="superscript"/>
          <w:lang w:bidi="ar-QA"/>
        </w:rPr>
        <w:t>o</w:t>
      </w:r>
      <w:r w:rsidR="000A0F1B" w:rsidRPr="000A0F1B">
        <w:rPr>
          <w:lang w:bidi="ar-QA"/>
        </w:rPr>
        <w:t> </w:t>
      </w:r>
      <w:r w:rsidRPr="000A0F1B">
        <w:rPr>
          <w:lang w:bidi="ar-QA"/>
        </w:rPr>
        <w:t>20 de</w:t>
      </w:r>
      <w:r w:rsidR="000A0F1B">
        <w:rPr>
          <w:lang w:bidi="ar-QA"/>
        </w:rPr>
        <w:t xml:space="preserve"> </w:t>
      </w:r>
      <w:r w:rsidRPr="000A0F1B">
        <w:rPr>
          <w:lang w:bidi="ar-QA"/>
        </w:rPr>
        <w:t>2010 portant création du Centre international de Doha pour le dialogue interconfessionnel. Plusieurs organisations ont également été créées sous l’égide de la Fondation pour l’éducation, les sciences et le développement communautaire, telles que la Fondation « Reach Out To Asia » (ROTA) et l’Institut international de Doha pour les études sur la famille et le développement, toutes deux ayant obtenu un statut consultatif auprès du Conseil économique et social de l’Organisation des Nations</w:t>
      </w:r>
      <w:r w:rsidR="000A0F1B">
        <w:rPr>
          <w:lang w:bidi="ar-QA"/>
        </w:rPr>
        <w:t> </w:t>
      </w:r>
      <w:r w:rsidRPr="000A0F1B">
        <w:rPr>
          <w:lang w:bidi="ar-QA"/>
        </w:rPr>
        <w:t xml:space="preserve">Unies. Il convient en outre de signaler la création en 2013 de l’Agence nationale d’action sociale en tant qu’instance de haut niveau assurant, grâce à un Conseil d’administration unifié, la supervision et le contrôle des institutions et centres agissant dans le domaine de l’action sociale, sachant qu’elle est chargée d’élaborer et de développer des plans, programmes, politiques et stratégies permettant de réaliser les objectifs des organisations de la société civile et d’assurer le suivi de leur mise en </w:t>
      </w:r>
      <w:r w:rsidR="000A0F1B" w:rsidRPr="000A0F1B">
        <w:rPr>
          <w:lang w:bidi="ar-QA"/>
        </w:rPr>
        <w:t>œuvre</w:t>
      </w:r>
      <w:r w:rsidRPr="000A0F1B">
        <w:rPr>
          <w:lang w:bidi="ar-QA"/>
        </w:rPr>
        <w:t xml:space="preserve">, en collaboration et en coordination avec les ministères, organes gouvernementaux et institutions publiques et privées, tant au Qatar qu’à l’étranger ; étant précisé qu’elle supervise les centres et institutions ci-après : le Centre de protection et de réadaptation sociale, le Centre de consultation familiale, le Centre de protection des orphelins, le Centre d’aide et de protection des personnes âgées, le Centre Shafallah d’aide aux personnes handicapées, le Centre de développement social et l’Initiative Best Buddies (Qatar). </w:t>
      </w:r>
    </w:p>
    <w:p w14:paraId="79F0B790" w14:textId="77777777" w:rsidR="009E4C76" w:rsidRPr="00CE611F" w:rsidRDefault="009E4C76" w:rsidP="000A0F1B">
      <w:pPr>
        <w:pStyle w:val="HChG"/>
        <w:rPr>
          <w:rtl/>
          <w:lang w:val="fr-FR" w:bidi="fr-FR"/>
        </w:rPr>
      </w:pPr>
      <w:bookmarkStart w:id="24" w:name="_Toc281916559"/>
      <w:bookmarkStart w:id="25" w:name="_Toc281916774"/>
      <w:bookmarkStart w:id="26" w:name="_Toc281916934"/>
      <w:bookmarkStart w:id="27" w:name="_Toc282337893"/>
      <w:r w:rsidRPr="00CE611F">
        <w:rPr>
          <w:lang w:val="fr-FR" w:bidi="ar-QA"/>
        </w:rPr>
        <w:tab/>
        <w:t>II.</w:t>
      </w:r>
      <w:bookmarkEnd w:id="24"/>
      <w:bookmarkEnd w:id="25"/>
      <w:bookmarkEnd w:id="26"/>
      <w:bookmarkEnd w:id="27"/>
      <w:r w:rsidRPr="00CE611F">
        <w:rPr>
          <w:lang w:val="fr-FR" w:bidi="ar-QA"/>
        </w:rPr>
        <w:tab/>
        <w:t xml:space="preserve">Cadre général de la protection et de la promotion </w:t>
      </w:r>
      <w:r w:rsidR="000A0F1B">
        <w:rPr>
          <w:lang w:val="fr-FR" w:bidi="ar-QA"/>
        </w:rPr>
        <w:br/>
      </w:r>
      <w:r w:rsidRPr="00CE611F">
        <w:rPr>
          <w:lang w:val="fr-FR" w:bidi="ar-QA"/>
        </w:rPr>
        <w:t>des droits de l</w:t>
      </w:r>
      <w:r>
        <w:rPr>
          <w:lang w:val="fr-FR" w:bidi="ar-QA"/>
        </w:rPr>
        <w:t>’</w:t>
      </w:r>
      <w:r w:rsidRPr="00CE611F">
        <w:rPr>
          <w:lang w:val="fr-FR" w:bidi="ar-QA"/>
        </w:rPr>
        <w:t>homme</w:t>
      </w:r>
    </w:p>
    <w:p w14:paraId="22BF1A28" w14:textId="77777777" w:rsidR="000A0F1B" w:rsidRDefault="009E4C76" w:rsidP="000A0F1B">
      <w:pPr>
        <w:pStyle w:val="H1G"/>
        <w:rPr>
          <w:lang w:val="fr-FR" w:bidi="ar-QA"/>
        </w:rPr>
      </w:pPr>
      <w:bookmarkStart w:id="28" w:name="_Toc282337894"/>
      <w:r w:rsidRPr="00CE611F">
        <w:rPr>
          <w:lang w:val="fr-FR" w:bidi="ar-QA"/>
        </w:rPr>
        <w:tab/>
        <w:t>A.</w:t>
      </w:r>
      <w:r w:rsidRPr="00CE611F">
        <w:rPr>
          <w:lang w:val="fr-FR" w:bidi="ar-QA"/>
        </w:rPr>
        <w:tab/>
        <w:t>Acceptation des normes internationales relatives aux droits de l</w:t>
      </w:r>
      <w:r>
        <w:rPr>
          <w:lang w:val="fr-FR" w:bidi="ar-QA"/>
        </w:rPr>
        <w:t>’</w:t>
      </w:r>
      <w:r w:rsidRPr="00CE611F">
        <w:rPr>
          <w:lang w:val="fr-FR" w:bidi="ar-QA"/>
        </w:rPr>
        <w:t>homme</w:t>
      </w:r>
      <w:bookmarkStart w:id="29" w:name="_Toc282337896"/>
      <w:bookmarkEnd w:id="28"/>
    </w:p>
    <w:p w14:paraId="185B3A57" w14:textId="77777777" w:rsidR="009E4C76" w:rsidRPr="00CE611F" w:rsidRDefault="009E4C76" w:rsidP="000A0F1B">
      <w:pPr>
        <w:pStyle w:val="H23G"/>
        <w:rPr>
          <w:rtl/>
          <w:lang w:bidi="fr-FR"/>
        </w:rPr>
      </w:pPr>
      <w:r w:rsidRPr="00CE611F">
        <w:rPr>
          <w:lang w:bidi="ar-QA"/>
        </w:rPr>
        <w:tab/>
      </w:r>
      <w:r w:rsidRPr="00CE611F">
        <w:rPr>
          <w:lang w:bidi="ar-QA"/>
        </w:rPr>
        <w:tab/>
        <w:t>Adhésion aux instruments internationaux relatifs aux droits de l</w:t>
      </w:r>
      <w:r>
        <w:rPr>
          <w:lang w:bidi="ar-QA"/>
        </w:rPr>
        <w:t>’</w:t>
      </w:r>
      <w:r w:rsidRPr="00CE611F">
        <w:rPr>
          <w:lang w:bidi="ar-QA"/>
        </w:rPr>
        <w:t>homme</w:t>
      </w:r>
      <w:bookmarkEnd w:id="29"/>
    </w:p>
    <w:p w14:paraId="7ED9CBDB" w14:textId="77777777" w:rsidR="009E4C76" w:rsidRPr="00CE611F" w:rsidRDefault="009E4C76" w:rsidP="005D0B7C">
      <w:pPr>
        <w:pStyle w:val="SingleTxtG"/>
        <w:rPr>
          <w:lang w:bidi="ar-QA"/>
        </w:rPr>
      </w:pPr>
      <w:r w:rsidRPr="00CE611F">
        <w:rPr>
          <w:lang w:bidi="ar-QA"/>
        </w:rPr>
        <w:t>52.</w:t>
      </w:r>
      <w:r w:rsidRPr="00CE611F">
        <w:rPr>
          <w:lang w:bidi="ar-QA"/>
        </w:rPr>
        <w:tab/>
        <w:t>Dans le cadre du renforcement et du raffermissement de la structure législative relative aux droits de l</w:t>
      </w:r>
      <w:r>
        <w:rPr>
          <w:lang w:bidi="ar-QA"/>
        </w:rPr>
        <w:t>’</w:t>
      </w:r>
      <w:r w:rsidRPr="00CE611F">
        <w:rPr>
          <w:lang w:bidi="ar-QA"/>
        </w:rPr>
        <w:t>homme, le Qatar a ratifié et adhéré à plusieurs instruments internationaux et régionaux relatifs aux droits de l</w:t>
      </w:r>
      <w:r>
        <w:rPr>
          <w:lang w:bidi="ar-QA"/>
        </w:rPr>
        <w:t>’</w:t>
      </w:r>
      <w:r w:rsidRPr="00CE611F">
        <w:rPr>
          <w:lang w:bidi="ar-QA"/>
        </w:rPr>
        <w:t>homme, parmi lesquels :</w:t>
      </w:r>
    </w:p>
    <w:p w14:paraId="046E8FDE" w14:textId="77777777" w:rsidR="00604408" w:rsidRDefault="00604408" w:rsidP="005D0B7C">
      <w:pPr>
        <w:pStyle w:val="Bullet1G"/>
        <w:rPr>
          <w:lang w:val="fr-FR" w:bidi="ar-QA"/>
        </w:rPr>
      </w:pPr>
      <w:r w:rsidRPr="00604408">
        <w:rPr>
          <w:lang w:val="fr-FR" w:bidi="ar-QA"/>
        </w:rPr>
        <w:t>L</w:t>
      </w:r>
      <w:r w:rsidR="009E4C76" w:rsidRPr="00604408">
        <w:rPr>
          <w:lang w:val="fr-FR" w:bidi="ar-QA"/>
        </w:rPr>
        <w:t>es deux instruments internationaux que sont le Pacte international relatif aux droits civils et politiques et le Pacte international relatif aux droits économiques, sociaux et culturels (2018) ;</w:t>
      </w:r>
    </w:p>
    <w:p w14:paraId="2091DC24" w14:textId="77777777" w:rsidR="00604408" w:rsidRDefault="00604408" w:rsidP="005D0B7C">
      <w:pPr>
        <w:pStyle w:val="Bullet1G"/>
        <w:rPr>
          <w:lang w:val="fr-FR" w:bidi="ar-QA"/>
        </w:rPr>
      </w:pPr>
      <w:r w:rsidRPr="00604408">
        <w:rPr>
          <w:lang w:val="fr-FR" w:bidi="ar-QA"/>
        </w:rPr>
        <w:t>L</w:t>
      </w:r>
      <w:r w:rsidR="009E4C76" w:rsidRPr="00604408">
        <w:rPr>
          <w:lang w:val="fr-FR" w:bidi="ar-QA"/>
        </w:rPr>
        <w:t>a Convention arabe de protection des droits d’auteur et droits voisins (2015) ;</w:t>
      </w:r>
    </w:p>
    <w:p w14:paraId="16B7162A" w14:textId="77777777" w:rsidR="009E4C76" w:rsidRPr="00604408" w:rsidRDefault="00604408" w:rsidP="005D0B7C">
      <w:pPr>
        <w:pStyle w:val="Bullet1G"/>
        <w:rPr>
          <w:lang w:val="fr-FR" w:bidi="ar-QA"/>
        </w:rPr>
      </w:pPr>
      <w:r>
        <w:rPr>
          <w:lang w:val="fr-FR" w:bidi="ar-QA"/>
        </w:rPr>
        <w:t>L</w:t>
      </w:r>
      <w:r w:rsidR="009E4C76" w:rsidRPr="00604408">
        <w:rPr>
          <w:lang w:val="fr-FR" w:bidi="ar-QA"/>
        </w:rPr>
        <w:t>a Convention internationale pour la répression du terrorisme nucléaire (2014) ;</w:t>
      </w:r>
    </w:p>
    <w:p w14:paraId="08DA0EDF" w14:textId="77777777" w:rsidR="009E4C76" w:rsidRPr="00CE611F" w:rsidRDefault="00604408" w:rsidP="00604408">
      <w:pPr>
        <w:pStyle w:val="Bullet1G"/>
        <w:rPr>
          <w:rtl/>
          <w:lang w:val="fr-FR" w:bidi="fr-FR"/>
        </w:rPr>
      </w:pPr>
      <w:r>
        <w:rPr>
          <w:lang w:val="fr-FR" w:bidi="ar-QA"/>
        </w:rPr>
        <w:t>L</w:t>
      </w:r>
      <w:r w:rsidR="009E4C76" w:rsidRPr="00CE611F">
        <w:rPr>
          <w:lang w:val="fr-FR" w:bidi="ar-QA"/>
        </w:rPr>
        <w:t>a Convention arabe de lutte contre le blanchiment d</w:t>
      </w:r>
      <w:r w:rsidR="009E4C76">
        <w:rPr>
          <w:lang w:val="fr-FR" w:bidi="ar-QA"/>
        </w:rPr>
        <w:t>’</w:t>
      </w:r>
      <w:r w:rsidR="009E4C76" w:rsidRPr="00CE611F">
        <w:rPr>
          <w:lang w:val="fr-FR" w:bidi="ar-QA"/>
        </w:rPr>
        <w:t>argent et le financement du terrorisme (2012) ;</w:t>
      </w:r>
    </w:p>
    <w:p w14:paraId="30792AAC" w14:textId="77777777" w:rsidR="009E4C76" w:rsidRPr="00CE611F" w:rsidRDefault="00604408" w:rsidP="00604408">
      <w:pPr>
        <w:pStyle w:val="Bullet1G"/>
        <w:rPr>
          <w:lang w:val="fr-FR" w:bidi="ar-QA"/>
        </w:rPr>
      </w:pPr>
      <w:r>
        <w:rPr>
          <w:lang w:val="fr-FR" w:bidi="ar-QA"/>
        </w:rPr>
        <w:t>L</w:t>
      </w:r>
      <w:r w:rsidR="009E4C76" w:rsidRPr="00CE611F">
        <w:rPr>
          <w:lang w:val="fr-FR" w:bidi="ar-QA"/>
        </w:rPr>
        <w:t>a Convention sur la protection et la promotion de la diversité des expressions culturelles (2009) ;</w:t>
      </w:r>
    </w:p>
    <w:p w14:paraId="3366E206" w14:textId="77777777" w:rsidR="009E4C76" w:rsidRPr="00CE611F" w:rsidRDefault="00604408" w:rsidP="00604408">
      <w:pPr>
        <w:pStyle w:val="Bullet1G"/>
        <w:rPr>
          <w:rtl/>
          <w:lang w:val="fr-FR" w:bidi="fr-FR"/>
        </w:rPr>
      </w:pPr>
      <w:r>
        <w:rPr>
          <w:lang w:val="fr-FR" w:bidi="ar-QA"/>
        </w:rPr>
        <w:t>L</w:t>
      </w:r>
      <w:r w:rsidR="009E4C76" w:rsidRPr="00CE611F">
        <w:rPr>
          <w:lang w:val="fr-FR" w:bidi="ar-QA"/>
        </w:rPr>
        <w:t>a Charte arabe des droits de l</w:t>
      </w:r>
      <w:r w:rsidR="009E4C76">
        <w:rPr>
          <w:lang w:val="fr-FR" w:bidi="ar-QA"/>
        </w:rPr>
        <w:t>’</w:t>
      </w:r>
      <w:r w:rsidR="009E4C76" w:rsidRPr="00CE611F">
        <w:rPr>
          <w:lang w:val="fr-FR" w:bidi="ar-QA"/>
        </w:rPr>
        <w:t>homme (2009) ;</w:t>
      </w:r>
    </w:p>
    <w:p w14:paraId="0CF9DC58" w14:textId="77777777" w:rsidR="009E4C76" w:rsidRPr="00CE611F" w:rsidRDefault="00604408" w:rsidP="00604408">
      <w:pPr>
        <w:pStyle w:val="Bullet1G"/>
        <w:rPr>
          <w:lang w:val="fr-FR" w:bidi="ar-QA"/>
        </w:rPr>
      </w:pPr>
      <w:r>
        <w:rPr>
          <w:lang w:val="fr-FR" w:bidi="ar-QA"/>
        </w:rPr>
        <w:t>L</w:t>
      </w:r>
      <w:r w:rsidR="009E4C76" w:rsidRPr="00CE611F">
        <w:rPr>
          <w:lang w:val="fr-FR" w:bidi="ar-QA"/>
        </w:rPr>
        <w:t>a Convention sur l</w:t>
      </w:r>
      <w:r w:rsidR="009E4C76">
        <w:rPr>
          <w:lang w:val="fr-FR" w:bidi="ar-QA"/>
        </w:rPr>
        <w:t>’</w:t>
      </w:r>
      <w:r w:rsidR="009E4C76" w:rsidRPr="00CE611F">
        <w:rPr>
          <w:lang w:val="fr-FR" w:bidi="ar-QA"/>
        </w:rPr>
        <w:t>élimination de toutes les formes de discrimination à l</w:t>
      </w:r>
      <w:r w:rsidR="009E4C76">
        <w:rPr>
          <w:lang w:val="fr-FR" w:bidi="ar-QA"/>
        </w:rPr>
        <w:t>’</w:t>
      </w:r>
      <w:r w:rsidR="009E4C76" w:rsidRPr="00CE611F">
        <w:rPr>
          <w:lang w:val="fr-FR" w:bidi="ar-QA"/>
        </w:rPr>
        <w:t>égard des</w:t>
      </w:r>
      <w:r>
        <w:rPr>
          <w:lang w:val="fr-FR" w:bidi="ar-QA"/>
        </w:rPr>
        <w:t> </w:t>
      </w:r>
      <w:r w:rsidR="009E4C76" w:rsidRPr="00CE611F">
        <w:rPr>
          <w:lang w:val="fr-FR" w:bidi="ar-QA"/>
        </w:rPr>
        <w:t>femmes (2009) ;</w:t>
      </w:r>
    </w:p>
    <w:p w14:paraId="6886DF7A" w14:textId="77777777" w:rsidR="009E4C76" w:rsidRPr="00CE611F" w:rsidRDefault="00604408" w:rsidP="00604408">
      <w:pPr>
        <w:pStyle w:val="Bullet1G"/>
        <w:rPr>
          <w:lang w:val="fr-FR" w:bidi="ar-QA"/>
        </w:rPr>
      </w:pPr>
      <w:r>
        <w:rPr>
          <w:lang w:val="fr-FR" w:bidi="ar-QA"/>
        </w:rPr>
        <w:t>L</w:t>
      </w:r>
      <w:r w:rsidR="009E4C76" w:rsidRPr="00CE611F">
        <w:rPr>
          <w:lang w:val="fr-FR" w:bidi="ar-QA"/>
        </w:rPr>
        <w:t>e Protocole visant à prévenir, réprimer et punir la traite des personnes, en</w:t>
      </w:r>
      <w:r>
        <w:rPr>
          <w:lang w:val="fr-FR" w:bidi="ar-QA"/>
        </w:rPr>
        <w:t> </w:t>
      </w:r>
      <w:r w:rsidR="009E4C76" w:rsidRPr="00CE611F">
        <w:rPr>
          <w:lang w:val="fr-FR" w:bidi="ar-QA"/>
        </w:rPr>
        <w:t>particulier des femmes et des enfants, dit « Protocole de Palerme » (2009) ;</w:t>
      </w:r>
    </w:p>
    <w:p w14:paraId="19383E6A" w14:textId="77777777" w:rsidR="009E4C76" w:rsidRPr="00CE611F" w:rsidRDefault="00604408" w:rsidP="00604408">
      <w:pPr>
        <w:pStyle w:val="Bullet1G"/>
        <w:rPr>
          <w:lang w:val="fr-FR" w:bidi="ar-QA"/>
        </w:rPr>
      </w:pPr>
      <w:r>
        <w:rPr>
          <w:lang w:val="fr-FR" w:bidi="ar-QA"/>
        </w:rPr>
        <w:t>L</w:t>
      </w:r>
      <w:r w:rsidR="009E4C76" w:rsidRPr="00CE611F">
        <w:rPr>
          <w:lang w:val="fr-FR" w:bidi="ar-QA"/>
        </w:rPr>
        <w:t>a Convention relative aux droits des personnes handicapées (2008) ;</w:t>
      </w:r>
    </w:p>
    <w:p w14:paraId="1DBF1BFC" w14:textId="77777777" w:rsidR="009E4C76" w:rsidRPr="00CE611F" w:rsidRDefault="00604408" w:rsidP="00604408">
      <w:pPr>
        <w:pStyle w:val="Bullet1G"/>
        <w:rPr>
          <w:lang w:val="fr-FR" w:bidi="ar-QA"/>
        </w:rPr>
      </w:pPr>
      <w:r>
        <w:rPr>
          <w:lang w:val="fr-FR" w:bidi="ar-QA"/>
        </w:rPr>
        <w:t>L</w:t>
      </w:r>
      <w:r w:rsidR="009E4C76" w:rsidRPr="00CE611F">
        <w:rPr>
          <w:lang w:val="fr-FR" w:bidi="ar-QA"/>
        </w:rPr>
        <w:t>a Convention des Nations</w:t>
      </w:r>
      <w:r>
        <w:rPr>
          <w:lang w:val="fr-FR" w:bidi="ar-QA"/>
        </w:rPr>
        <w:t> </w:t>
      </w:r>
      <w:r w:rsidR="009E4C76" w:rsidRPr="00CE611F">
        <w:rPr>
          <w:lang w:val="fr-FR" w:bidi="ar-QA"/>
        </w:rPr>
        <w:t>Unies contre la criminalité transnationale organisée (2008) ;</w:t>
      </w:r>
    </w:p>
    <w:p w14:paraId="47A16438" w14:textId="77777777" w:rsidR="009E4C76" w:rsidRPr="00CE611F" w:rsidRDefault="00604408" w:rsidP="00604408">
      <w:pPr>
        <w:pStyle w:val="Bullet1G"/>
        <w:rPr>
          <w:lang w:val="fr-FR" w:bidi="ar-QA"/>
        </w:rPr>
      </w:pPr>
      <w:r>
        <w:rPr>
          <w:lang w:val="fr-FR" w:bidi="ar-QA"/>
        </w:rPr>
        <w:t>L</w:t>
      </w:r>
      <w:r w:rsidR="009E4C76" w:rsidRPr="00CE611F">
        <w:rPr>
          <w:lang w:val="fr-FR" w:bidi="ar-QA"/>
        </w:rPr>
        <w:t>a Convention concernant l</w:t>
      </w:r>
      <w:r w:rsidR="009E4C76">
        <w:rPr>
          <w:lang w:val="fr-FR" w:bidi="ar-QA"/>
        </w:rPr>
        <w:t>’</w:t>
      </w:r>
      <w:r w:rsidR="009E4C76" w:rsidRPr="00CE611F">
        <w:rPr>
          <w:lang w:val="fr-FR" w:bidi="ar-QA"/>
        </w:rPr>
        <w:t>abolition du travail forcé (2007) ;</w:t>
      </w:r>
    </w:p>
    <w:p w14:paraId="158E91BC" w14:textId="77777777" w:rsidR="009E4C76" w:rsidRPr="00CE611F" w:rsidRDefault="00604408" w:rsidP="00604408">
      <w:pPr>
        <w:pStyle w:val="Bullet1G"/>
        <w:rPr>
          <w:lang w:val="fr-FR" w:bidi="ar-QA"/>
        </w:rPr>
      </w:pPr>
      <w:r>
        <w:rPr>
          <w:lang w:val="fr-FR" w:bidi="ar-QA"/>
        </w:rPr>
        <w:t>L</w:t>
      </w:r>
      <w:r w:rsidR="009E4C76" w:rsidRPr="00CE611F">
        <w:rPr>
          <w:lang w:val="fr-FR" w:bidi="ar-QA"/>
        </w:rPr>
        <w:t>a Convention concernant l</w:t>
      </w:r>
      <w:r w:rsidR="009E4C76">
        <w:rPr>
          <w:lang w:val="fr-FR" w:bidi="ar-QA"/>
        </w:rPr>
        <w:t>’</w:t>
      </w:r>
      <w:r w:rsidR="009E4C76" w:rsidRPr="00CE611F">
        <w:rPr>
          <w:lang w:val="fr-FR" w:bidi="ar-QA"/>
        </w:rPr>
        <w:t>âge minimum d</w:t>
      </w:r>
      <w:r w:rsidR="009E4C76">
        <w:rPr>
          <w:lang w:val="fr-FR" w:bidi="ar-QA"/>
        </w:rPr>
        <w:t>’</w:t>
      </w:r>
      <w:r w:rsidR="009E4C76" w:rsidRPr="00CE611F">
        <w:rPr>
          <w:lang w:val="fr-FR" w:bidi="ar-QA"/>
        </w:rPr>
        <w:t>admission à l</w:t>
      </w:r>
      <w:r w:rsidR="009E4C76">
        <w:rPr>
          <w:lang w:val="fr-FR" w:bidi="ar-QA"/>
        </w:rPr>
        <w:t>’</w:t>
      </w:r>
      <w:r w:rsidR="009E4C76" w:rsidRPr="00CE611F">
        <w:rPr>
          <w:lang w:val="fr-FR" w:bidi="ar-QA"/>
        </w:rPr>
        <w:t>emploi (2005) ;</w:t>
      </w:r>
    </w:p>
    <w:p w14:paraId="1979A786" w14:textId="77777777" w:rsidR="009E4C76" w:rsidRPr="00CE611F" w:rsidRDefault="00604408" w:rsidP="00604408">
      <w:pPr>
        <w:pStyle w:val="Bullet1G"/>
        <w:rPr>
          <w:lang w:val="fr-FR" w:bidi="ar-QA"/>
        </w:rPr>
      </w:pPr>
      <w:r>
        <w:rPr>
          <w:lang w:val="fr-FR" w:bidi="ar-QA"/>
        </w:rPr>
        <w:t>L</w:t>
      </w:r>
      <w:r w:rsidR="009E4C76" w:rsidRPr="00CE611F">
        <w:rPr>
          <w:lang w:val="fr-FR" w:bidi="ar-QA"/>
        </w:rPr>
        <w:t>e Protocole facultatif à la Convention relative aux droits de l</w:t>
      </w:r>
      <w:r w:rsidR="009E4C76">
        <w:rPr>
          <w:lang w:val="fr-FR" w:bidi="ar-QA"/>
        </w:rPr>
        <w:t>’</w:t>
      </w:r>
      <w:r w:rsidR="009E4C76" w:rsidRPr="00CE611F">
        <w:rPr>
          <w:lang w:val="fr-FR" w:bidi="ar-QA"/>
        </w:rPr>
        <w:t>enfant concernant la participation des enfants aux conflits armés (2002) ;</w:t>
      </w:r>
    </w:p>
    <w:p w14:paraId="6B1C8B6E" w14:textId="77777777" w:rsidR="009E4C76" w:rsidRPr="00CE611F" w:rsidRDefault="00604408" w:rsidP="00604408">
      <w:pPr>
        <w:pStyle w:val="Bullet1G"/>
        <w:rPr>
          <w:lang w:val="fr-FR" w:bidi="ar-QA"/>
        </w:rPr>
      </w:pPr>
      <w:r>
        <w:rPr>
          <w:lang w:val="fr-FR" w:bidi="ar-QA"/>
        </w:rPr>
        <w:t>L</w:t>
      </w:r>
      <w:r w:rsidR="009E4C76" w:rsidRPr="00CE611F">
        <w:rPr>
          <w:lang w:val="fr-FR" w:bidi="ar-QA"/>
        </w:rPr>
        <w:t>e Protocole facultatif à la Convention relative aux droits de l</w:t>
      </w:r>
      <w:r w:rsidR="009E4C76">
        <w:rPr>
          <w:lang w:val="fr-FR" w:bidi="ar-QA"/>
        </w:rPr>
        <w:t>’</w:t>
      </w:r>
      <w:r w:rsidR="009E4C76" w:rsidRPr="00CE611F">
        <w:rPr>
          <w:lang w:val="fr-FR" w:bidi="ar-QA"/>
        </w:rPr>
        <w:t>enfant concernant la vente d</w:t>
      </w:r>
      <w:r w:rsidR="009E4C76">
        <w:rPr>
          <w:lang w:val="fr-FR" w:bidi="ar-QA"/>
        </w:rPr>
        <w:t>’</w:t>
      </w:r>
      <w:r w:rsidR="009E4C76" w:rsidRPr="00CE611F">
        <w:rPr>
          <w:lang w:val="fr-FR" w:bidi="ar-QA"/>
        </w:rPr>
        <w:t>enfants, la prostitution des enfants et la pornographie mettant en scène des enfants (2001) ;</w:t>
      </w:r>
    </w:p>
    <w:p w14:paraId="411DED4D" w14:textId="77777777" w:rsidR="009E4C76" w:rsidRPr="00CE611F" w:rsidRDefault="00604408" w:rsidP="00604408">
      <w:pPr>
        <w:pStyle w:val="Bullet1G"/>
        <w:rPr>
          <w:lang w:val="fr-FR" w:bidi="ar-QA"/>
        </w:rPr>
      </w:pPr>
      <w:r>
        <w:rPr>
          <w:lang w:val="fr-FR" w:bidi="ar-QA"/>
        </w:rPr>
        <w:t>L</w:t>
      </w:r>
      <w:r w:rsidR="009E4C76" w:rsidRPr="00CE611F">
        <w:rPr>
          <w:lang w:val="fr-FR" w:bidi="ar-QA"/>
        </w:rPr>
        <w:t>a Convention contre la torture et autres peines ou traitements cruels, inhumains ou dégradants (2001) ;</w:t>
      </w:r>
    </w:p>
    <w:p w14:paraId="34258401" w14:textId="77777777" w:rsidR="009E4C76" w:rsidRPr="00CE611F" w:rsidRDefault="00604408" w:rsidP="00604408">
      <w:pPr>
        <w:pStyle w:val="Bullet1G"/>
        <w:rPr>
          <w:lang w:val="fr-FR" w:bidi="ar-QA"/>
        </w:rPr>
      </w:pPr>
      <w:r>
        <w:rPr>
          <w:lang w:val="fr-FR" w:bidi="ar-QA"/>
        </w:rPr>
        <w:t>L</w:t>
      </w:r>
      <w:r w:rsidR="009E4C76" w:rsidRPr="00CE611F">
        <w:rPr>
          <w:lang w:val="fr-FR" w:bidi="ar-QA"/>
        </w:rPr>
        <w:t>a Convention concernant l</w:t>
      </w:r>
      <w:r w:rsidR="009E4C76">
        <w:rPr>
          <w:lang w:val="fr-FR" w:bidi="ar-QA"/>
        </w:rPr>
        <w:t>’</w:t>
      </w:r>
      <w:r w:rsidR="009E4C76" w:rsidRPr="00CE611F">
        <w:rPr>
          <w:lang w:val="fr-FR" w:bidi="ar-QA"/>
        </w:rPr>
        <w:t>interdiction des pires formes de travail des enfants et l</w:t>
      </w:r>
      <w:r w:rsidR="009E4C76">
        <w:rPr>
          <w:lang w:val="fr-FR" w:bidi="ar-QA"/>
        </w:rPr>
        <w:t>’</w:t>
      </w:r>
      <w:r w:rsidR="009E4C76" w:rsidRPr="00CE611F">
        <w:rPr>
          <w:lang w:val="fr-FR" w:bidi="ar-QA"/>
        </w:rPr>
        <w:t>action immédiate en vue de leur élimination (2001) ;</w:t>
      </w:r>
    </w:p>
    <w:p w14:paraId="1E45FCD2" w14:textId="77777777" w:rsidR="009E4C76" w:rsidRPr="00CE611F" w:rsidRDefault="00604408" w:rsidP="00604408">
      <w:pPr>
        <w:pStyle w:val="Bullet1G"/>
        <w:rPr>
          <w:lang w:val="fr-FR" w:bidi="ar-QA"/>
        </w:rPr>
      </w:pPr>
      <w:r>
        <w:rPr>
          <w:lang w:val="fr-FR" w:bidi="ar-QA"/>
        </w:rPr>
        <w:t>L</w:t>
      </w:r>
      <w:r w:rsidR="009E4C76" w:rsidRPr="00CE611F">
        <w:rPr>
          <w:lang w:val="fr-FR" w:bidi="ar-QA"/>
        </w:rPr>
        <w:t>a Convention concernant le travail forcé (1998) ;</w:t>
      </w:r>
    </w:p>
    <w:p w14:paraId="7E00D1B0" w14:textId="77777777" w:rsidR="009E4C76" w:rsidRPr="00CE611F" w:rsidRDefault="00604408" w:rsidP="00604408">
      <w:pPr>
        <w:pStyle w:val="Bullet1G"/>
        <w:rPr>
          <w:lang w:val="fr-FR" w:bidi="ar-QA"/>
        </w:rPr>
      </w:pPr>
      <w:r>
        <w:rPr>
          <w:lang w:val="fr-FR" w:bidi="ar-QA"/>
        </w:rPr>
        <w:t>L</w:t>
      </w:r>
      <w:r w:rsidR="009E4C76" w:rsidRPr="00CE611F">
        <w:rPr>
          <w:lang w:val="fr-FR" w:bidi="ar-QA"/>
        </w:rPr>
        <w:t>a Convention relative aux droits de l</w:t>
      </w:r>
      <w:r w:rsidR="009E4C76">
        <w:rPr>
          <w:lang w:val="fr-FR" w:bidi="ar-QA"/>
        </w:rPr>
        <w:t>’</w:t>
      </w:r>
      <w:r w:rsidR="009E4C76" w:rsidRPr="00CE611F">
        <w:rPr>
          <w:lang w:val="fr-FR" w:bidi="ar-QA"/>
        </w:rPr>
        <w:t>enfant (1995) ;</w:t>
      </w:r>
    </w:p>
    <w:p w14:paraId="00793F22" w14:textId="77777777" w:rsidR="009E4C76" w:rsidRPr="00CE611F" w:rsidRDefault="003A1C6C" w:rsidP="003A1C6C">
      <w:pPr>
        <w:pStyle w:val="Bullet1G"/>
        <w:rPr>
          <w:lang w:val="fr-FR" w:bidi="ar-QA"/>
        </w:rPr>
      </w:pPr>
      <w:r>
        <w:rPr>
          <w:lang w:val="fr-FR" w:bidi="ar-QA"/>
        </w:rPr>
        <w:t>L</w:t>
      </w:r>
      <w:r w:rsidR="009E4C76" w:rsidRPr="00CE611F">
        <w:rPr>
          <w:lang w:val="fr-FR" w:bidi="ar-QA"/>
        </w:rPr>
        <w:t>a Convention concernant la discrimination en matière d</w:t>
      </w:r>
      <w:r w:rsidR="009E4C76">
        <w:rPr>
          <w:lang w:val="fr-FR" w:bidi="ar-QA"/>
        </w:rPr>
        <w:t>’</w:t>
      </w:r>
      <w:r w:rsidR="009E4C76" w:rsidRPr="00CE611F">
        <w:rPr>
          <w:lang w:val="fr-FR" w:bidi="ar-QA"/>
        </w:rPr>
        <w:t>emploi et de profession (1976) ;</w:t>
      </w:r>
    </w:p>
    <w:p w14:paraId="4677A7EF" w14:textId="77777777" w:rsidR="009E4C76" w:rsidRPr="00CE611F" w:rsidRDefault="003A1C6C" w:rsidP="003A1C6C">
      <w:pPr>
        <w:pStyle w:val="Bullet1G"/>
        <w:rPr>
          <w:sz w:val="22"/>
          <w:lang w:val="fr-FR" w:bidi="ar-QA"/>
        </w:rPr>
      </w:pPr>
      <w:r>
        <w:rPr>
          <w:lang w:val="fr-FR" w:bidi="ar-QA"/>
        </w:rPr>
        <w:t>L</w:t>
      </w:r>
      <w:r w:rsidR="009E4C76" w:rsidRPr="00CE611F">
        <w:rPr>
          <w:lang w:val="fr-FR" w:bidi="ar-QA"/>
        </w:rPr>
        <w:t>a Convention internationale sur l</w:t>
      </w:r>
      <w:r w:rsidR="009E4C76">
        <w:rPr>
          <w:lang w:val="fr-FR" w:bidi="ar-QA"/>
        </w:rPr>
        <w:t>’</w:t>
      </w:r>
      <w:r w:rsidR="009E4C76" w:rsidRPr="00CE611F">
        <w:rPr>
          <w:lang w:val="fr-FR" w:bidi="ar-QA"/>
        </w:rPr>
        <w:t>élimination de toutes les formes de discrimination raciale (1976).</w:t>
      </w:r>
    </w:p>
    <w:p w14:paraId="77725895" w14:textId="77777777" w:rsidR="009E4C76" w:rsidRPr="00CE611F" w:rsidRDefault="009E4C76" w:rsidP="005D0B7C">
      <w:pPr>
        <w:pStyle w:val="SingleTxtG"/>
        <w:rPr>
          <w:rtl/>
          <w:lang w:bidi="fr-FR"/>
        </w:rPr>
      </w:pPr>
      <w:r w:rsidRPr="00CE611F">
        <w:rPr>
          <w:lang w:bidi="ar-QA"/>
        </w:rPr>
        <w:t>53.</w:t>
      </w:r>
      <w:r w:rsidRPr="00CE611F">
        <w:rPr>
          <w:lang w:bidi="ar-QA"/>
        </w:rPr>
        <w:tab/>
        <w:t>L</w:t>
      </w:r>
      <w:r>
        <w:rPr>
          <w:lang w:bidi="ar-QA"/>
        </w:rPr>
        <w:t>’</w:t>
      </w:r>
      <w:r w:rsidRPr="00CE611F">
        <w:rPr>
          <w:lang w:bidi="ar-QA"/>
        </w:rPr>
        <w:t>article</w:t>
      </w:r>
      <w:r w:rsidR="003A1C6C">
        <w:rPr>
          <w:lang w:bidi="ar-QA"/>
        </w:rPr>
        <w:t> </w:t>
      </w:r>
      <w:r w:rsidRPr="00CE611F">
        <w:rPr>
          <w:lang w:bidi="ar-QA"/>
        </w:rPr>
        <w:t>68 de la Constitution dispose que l</w:t>
      </w:r>
      <w:r>
        <w:rPr>
          <w:lang w:bidi="ar-QA"/>
        </w:rPr>
        <w:t>’</w:t>
      </w:r>
      <w:r w:rsidRPr="00CE611F">
        <w:rPr>
          <w:lang w:bidi="ar-QA"/>
        </w:rPr>
        <w:t xml:space="preserve">Émir conclut les traités et accords internationaux et les transmet </w:t>
      </w:r>
      <w:r w:rsidR="00655249">
        <w:rPr>
          <w:lang w:bidi="ar-QA"/>
        </w:rPr>
        <w:t>au</w:t>
      </w:r>
      <w:r w:rsidRPr="00CE611F">
        <w:rPr>
          <w:lang w:bidi="ar-QA"/>
        </w:rPr>
        <w:t xml:space="preserve"> Conseil de la Shura, accompagnés des précisions appropriées. Les traités et accords ont force de loi après ratification et publication au Journal officiel. Ainsi, les instruments relatifs aux droits de l</w:t>
      </w:r>
      <w:r>
        <w:rPr>
          <w:lang w:bidi="ar-QA"/>
        </w:rPr>
        <w:t>’</w:t>
      </w:r>
      <w:r w:rsidRPr="00CE611F">
        <w:rPr>
          <w:lang w:bidi="ar-QA"/>
        </w:rPr>
        <w:t>homme ratifiés par l</w:t>
      </w:r>
      <w:r>
        <w:rPr>
          <w:lang w:bidi="ar-QA"/>
        </w:rPr>
        <w:t>’</w:t>
      </w:r>
      <w:r w:rsidRPr="00CE611F">
        <w:rPr>
          <w:lang w:bidi="ar-QA"/>
        </w:rPr>
        <w:t>État ont été publiés au Journal Officiel.</w:t>
      </w:r>
      <w:bookmarkStart w:id="30" w:name="_Toc282337897"/>
    </w:p>
    <w:p w14:paraId="78BD52D9" w14:textId="77777777" w:rsidR="009E4C76" w:rsidRPr="00CE611F" w:rsidRDefault="009E4C76" w:rsidP="002E2EB3">
      <w:pPr>
        <w:pStyle w:val="H23G"/>
        <w:rPr>
          <w:rtl/>
          <w:lang w:bidi="fr-FR"/>
        </w:rPr>
      </w:pPr>
      <w:r w:rsidRPr="00CE611F">
        <w:tab/>
      </w:r>
      <w:r w:rsidRPr="00CE611F">
        <w:tab/>
        <w:t>Les réserves et déclarations relatives aux instruments internationaux</w:t>
      </w:r>
      <w:bookmarkEnd w:id="30"/>
    </w:p>
    <w:p w14:paraId="12203F74" w14:textId="77777777" w:rsidR="009E4C76" w:rsidRPr="002E2EB3" w:rsidRDefault="009E4C76" w:rsidP="002E2EB3">
      <w:pPr>
        <w:pStyle w:val="SingleTxtG"/>
        <w:rPr>
          <w:rtl/>
        </w:rPr>
      </w:pPr>
      <w:r w:rsidRPr="002E2EB3">
        <w:t>54.</w:t>
      </w:r>
      <w:r w:rsidRPr="002E2EB3">
        <w:tab/>
        <w:t>Le Qatar a adopté ces dernières années une politique stratégique à l’égard des réserves générales aux instruments internationaux, qui s’est traduite par la révision de celles émises au sujet des instruments relatifs aux droits de l’homme auxquels il a adhéré</w:t>
      </w:r>
      <w:r w:rsidR="00655249">
        <w:t> :</w:t>
      </w:r>
    </w:p>
    <w:p w14:paraId="7A2EF8EA" w14:textId="77777777" w:rsidR="009E4C76" w:rsidRPr="002E2EB3" w:rsidRDefault="009E4C76" w:rsidP="002E2EB3">
      <w:pPr>
        <w:pStyle w:val="Bullet1G"/>
        <w:rPr>
          <w:rtl/>
        </w:rPr>
      </w:pPr>
      <w:r w:rsidRPr="002E2EB3">
        <w:t>Le Qatar a ainsi levé sa réserve générale au Protocole facultatif à la Convention relative aux droits de l’enfant, concernant la vente d’enfants, la prostitution des enfants et la pornographie mettant en scène des enfants et a retiré partiellement sa réserve générale à la Convention relative aux droits de l’enfant concernant toute disposition de cet instrument qui serait contraire à la charia islamique, en la maintenant cependant pour ce qui est des articles</w:t>
      </w:r>
      <w:r w:rsidR="002E2EB3">
        <w:t> </w:t>
      </w:r>
      <w:r w:rsidRPr="002E2EB3">
        <w:t>2 et 14 de la Convention</w:t>
      </w:r>
      <w:r w:rsidR="002E2EB3">
        <w:t> ;</w:t>
      </w:r>
    </w:p>
    <w:p w14:paraId="7710168D" w14:textId="77777777" w:rsidR="009E4C76" w:rsidRPr="002E2EB3" w:rsidRDefault="009E4C76" w:rsidP="002E2EB3">
      <w:pPr>
        <w:pStyle w:val="Bullet1G"/>
        <w:rPr>
          <w:rtl/>
        </w:rPr>
      </w:pPr>
      <w:r w:rsidRPr="002E2EB3">
        <w:t>Le Qatar a également retiré ses réserves concernant les articles</w:t>
      </w:r>
      <w:r w:rsidR="002E2EB3" w:rsidRPr="002E2EB3">
        <w:t> </w:t>
      </w:r>
      <w:r w:rsidRPr="002E2EB3">
        <w:t>21 et 22 en réponse à</w:t>
      </w:r>
      <w:r w:rsidR="002E2EB3" w:rsidRPr="002E2EB3">
        <w:t> </w:t>
      </w:r>
      <w:r w:rsidRPr="002E2EB3">
        <w:t>une recommandation du Comité contre la torture et a modifié et remplacé la réserve générale portant sur la Convention par une réserve partielle concernant seulement les articles</w:t>
      </w:r>
      <w:r w:rsidR="002E2EB3" w:rsidRPr="002E2EB3">
        <w:t> </w:t>
      </w:r>
      <w:r w:rsidRPr="002E2EB3">
        <w:t>1</w:t>
      </w:r>
      <w:r w:rsidRPr="00073148">
        <w:rPr>
          <w:vertAlign w:val="superscript"/>
        </w:rPr>
        <w:t>er</w:t>
      </w:r>
      <w:r w:rsidRPr="002E2EB3">
        <w:t xml:space="preserve"> et 16 de celle-ci.</w:t>
      </w:r>
    </w:p>
    <w:p w14:paraId="3F3E0EA4" w14:textId="77777777" w:rsidR="009E4C76" w:rsidRPr="00CE611F" w:rsidRDefault="009E4C76" w:rsidP="002E2EB3">
      <w:pPr>
        <w:pStyle w:val="H1G"/>
        <w:rPr>
          <w:rtl/>
          <w:lang w:val="fr-FR" w:bidi="fr-FR"/>
        </w:rPr>
      </w:pPr>
      <w:bookmarkStart w:id="31" w:name="_Toc281916560"/>
      <w:bookmarkStart w:id="32" w:name="_Toc281916775"/>
      <w:bookmarkStart w:id="33" w:name="_Toc281916935"/>
      <w:bookmarkStart w:id="34" w:name="_Toc282337898"/>
      <w:r w:rsidRPr="00CE611F">
        <w:rPr>
          <w:lang w:val="fr-FR" w:bidi="ar-QA"/>
        </w:rPr>
        <w:tab/>
        <w:t>B.</w:t>
      </w:r>
      <w:r w:rsidRPr="00CE611F">
        <w:rPr>
          <w:lang w:val="fr-FR" w:bidi="ar-QA"/>
        </w:rPr>
        <w:tab/>
        <w:t>Cadre juridique et institutionnel de protection et de promotion des</w:t>
      </w:r>
      <w:r w:rsidR="002E2EB3">
        <w:rPr>
          <w:lang w:val="fr-FR" w:bidi="ar-QA"/>
        </w:rPr>
        <w:t> </w:t>
      </w:r>
      <w:r w:rsidRPr="00CE611F">
        <w:rPr>
          <w:lang w:val="fr-FR" w:bidi="ar-QA"/>
        </w:rPr>
        <w:t>droits de l</w:t>
      </w:r>
      <w:r>
        <w:rPr>
          <w:lang w:val="fr-FR" w:bidi="ar-QA"/>
        </w:rPr>
        <w:t>’</w:t>
      </w:r>
      <w:r w:rsidRPr="00CE611F">
        <w:rPr>
          <w:lang w:val="fr-FR" w:bidi="ar-QA"/>
        </w:rPr>
        <w:t>homme au niveau national</w:t>
      </w:r>
      <w:bookmarkEnd w:id="31"/>
      <w:bookmarkEnd w:id="32"/>
      <w:bookmarkEnd w:id="33"/>
      <w:bookmarkEnd w:id="34"/>
    </w:p>
    <w:p w14:paraId="4AC48750" w14:textId="77777777" w:rsidR="009E4C76" w:rsidRPr="00CE611F" w:rsidRDefault="009E4C76" w:rsidP="002E2EB3">
      <w:pPr>
        <w:pStyle w:val="H23G"/>
        <w:rPr>
          <w:rtl/>
          <w:lang w:bidi="fr-FR"/>
        </w:rPr>
      </w:pPr>
      <w:bookmarkStart w:id="35" w:name="_Toc282337899"/>
      <w:r w:rsidRPr="00CE611F">
        <w:tab/>
      </w:r>
      <w:r w:rsidRPr="00CE611F">
        <w:tab/>
        <w:t>La protection constitutionnelle des droits de l</w:t>
      </w:r>
      <w:r>
        <w:t>’</w:t>
      </w:r>
      <w:r w:rsidRPr="00CE611F">
        <w:t>homme</w:t>
      </w:r>
    </w:p>
    <w:p w14:paraId="7087EAD1" w14:textId="77777777" w:rsidR="009E4C76" w:rsidRPr="00CE611F" w:rsidRDefault="009E4C76" w:rsidP="005D0B7C">
      <w:pPr>
        <w:pStyle w:val="SingleTxtG"/>
        <w:rPr>
          <w:spacing w:val="-2"/>
          <w:rtl/>
          <w:lang w:bidi="fr-FR"/>
        </w:rPr>
      </w:pPr>
      <w:r w:rsidRPr="00CE611F">
        <w:rPr>
          <w:lang w:bidi="ar-QA"/>
        </w:rPr>
        <w:t>55.</w:t>
      </w:r>
      <w:r w:rsidRPr="00CE611F">
        <w:rPr>
          <w:lang w:bidi="ar-QA"/>
        </w:rPr>
        <w:tab/>
      </w:r>
      <w:r w:rsidRPr="00CE611F">
        <w:rPr>
          <w:spacing w:val="-2"/>
          <w:lang w:bidi="ar-QA"/>
        </w:rPr>
        <w:t>Le Qatar s</w:t>
      </w:r>
      <w:r>
        <w:rPr>
          <w:spacing w:val="-2"/>
          <w:lang w:bidi="ar-QA"/>
        </w:rPr>
        <w:t>’</w:t>
      </w:r>
      <w:r w:rsidRPr="00CE611F">
        <w:rPr>
          <w:spacing w:val="-2"/>
          <w:lang w:bidi="ar-QA"/>
        </w:rPr>
        <w:t>attache à placer la question des droits de l</w:t>
      </w:r>
      <w:r>
        <w:rPr>
          <w:spacing w:val="-2"/>
          <w:lang w:bidi="ar-QA"/>
        </w:rPr>
        <w:t>’</w:t>
      </w:r>
      <w:r w:rsidRPr="00CE611F">
        <w:rPr>
          <w:spacing w:val="-2"/>
          <w:lang w:bidi="ar-QA"/>
        </w:rPr>
        <w:t xml:space="preserve">homme au </w:t>
      </w:r>
      <w:r w:rsidR="006974CD" w:rsidRPr="00CE611F">
        <w:rPr>
          <w:spacing w:val="-2"/>
          <w:lang w:bidi="ar-QA"/>
        </w:rPr>
        <w:t>cœur</w:t>
      </w:r>
      <w:r w:rsidRPr="00CE611F">
        <w:rPr>
          <w:spacing w:val="-2"/>
          <w:lang w:bidi="ar-QA"/>
        </w:rPr>
        <w:t xml:space="preserve"> des réformes constitutionnelles, politiques, économiques, sociales et culturelles. L</w:t>
      </w:r>
      <w:r>
        <w:rPr>
          <w:spacing w:val="-2"/>
          <w:lang w:bidi="ar-QA"/>
        </w:rPr>
        <w:t>’</w:t>
      </w:r>
      <w:r w:rsidRPr="00CE611F">
        <w:rPr>
          <w:spacing w:val="-2"/>
          <w:lang w:bidi="ar-QA"/>
        </w:rPr>
        <w:t>intérêt accordé à cette question s</w:t>
      </w:r>
      <w:r>
        <w:rPr>
          <w:spacing w:val="-2"/>
          <w:lang w:bidi="ar-QA"/>
        </w:rPr>
        <w:t>’</w:t>
      </w:r>
      <w:r w:rsidRPr="00CE611F">
        <w:rPr>
          <w:spacing w:val="-2"/>
          <w:lang w:bidi="ar-QA"/>
        </w:rPr>
        <w:t>est traduit par le développement et le renforcement des aspects législatifs et institutionnels de l</w:t>
      </w:r>
      <w:r>
        <w:rPr>
          <w:spacing w:val="-2"/>
          <w:lang w:bidi="ar-QA"/>
        </w:rPr>
        <w:t>’</w:t>
      </w:r>
      <w:r w:rsidRPr="00CE611F">
        <w:rPr>
          <w:spacing w:val="-2"/>
          <w:lang w:bidi="ar-QA"/>
        </w:rPr>
        <w:t>infrastructure des droits de l</w:t>
      </w:r>
      <w:r>
        <w:rPr>
          <w:spacing w:val="-2"/>
          <w:lang w:bidi="ar-QA"/>
        </w:rPr>
        <w:t>’</w:t>
      </w:r>
      <w:r w:rsidRPr="00CE611F">
        <w:rPr>
          <w:spacing w:val="-2"/>
          <w:lang w:bidi="ar-QA"/>
        </w:rPr>
        <w:t>homme. La Constitution du Qatar de 2004 traite dans son Titre</w:t>
      </w:r>
      <w:r w:rsidR="006974CD">
        <w:rPr>
          <w:spacing w:val="-2"/>
          <w:lang w:bidi="ar-QA"/>
        </w:rPr>
        <w:t> </w:t>
      </w:r>
      <w:r w:rsidRPr="00CE611F">
        <w:rPr>
          <w:spacing w:val="-2"/>
          <w:lang w:bidi="ar-QA"/>
        </w:rPr>
        <w:t>III (art.</w:t>
      </w:r>
      <w:r w:rsidR="006974CD">
        <w:rPr>
          <w:spacing w:val="-2"/>
          <w:lang w:bidi="ar-QA"/>
        </w:rPr>
        <w:t> </w:t>
      </w:r>
      <w:r w:rsidRPr="00CE611F">
        <w:rPr>
          <w:spacing w:val="-2"/>
          <w:lang w:bidi="ar-QA"/>
        </w:rPr>
        <w:t>34 à 58) des droits fondamentaux et des libertés, en consacrant les principes de complémentarité, d</w:t>
      </w:r>
      <w:r>
        <w:rPr>
          <w:spacing w:val="-2"/>
          <w:lang w:bidi="ar-QA"/>
        </w:rPr>
        <w:t>’</w:t>
      </w:r>
      <w:r w:rsidRPr="00CE611F">
        <w:rPr>
          <w:spacing w:val="-2"/>
          <w:lang w:bidi="ar-QA"/>
        </w:rPr>
        <w:t>interdépendance, d</w:t>
      </w:r>
      <w:r>
        <w:rPr>
          <w:spacing w:val="-2"/>
          <w:lang w:bidi="ar-QA"/>
        </w:rPr>
        <w:t>’</w:t>
      </w:r>
      <w:r w:rsidRPr="00CE611F">
        <w:rPr>
          <w:spacing w:val="-2"/>
          <w:lang w:bidi="ar-QA"/>
        </w:rPr>
        <w:t>indissociabilité et d</w:t>
      </w:r>
      <w:r>
        <w:rPr>
          <w:spacing w:val="-2"/>
          <w:lang w:bidi="ar-QA"/>
        </w:rPr>
        <w:t>’</w:t>
      </w:r>
      <w:r w:rsidRPr="00CE611F">
        <w:rPr>
          <w:spacing w:val="-2"/>
          <w:lang w:bidi="ar-QA"/>
        </w:rPr>
        <w:t>indivisibilité, et en garantissant aussi les droits économiques, sociaux, culturels, civils et politiques sur un pied d</w:t>
      </w:r>
      <w:r>
        <w:rPr>
          <w:spacing w:val="-2"/>
          <w:lang w:bidi="ar-QA"/>
        </w:rPr>
        <w:t>’</w:t>
      </w:r>
      <w:r w:rsidRPr="00CE611F">
        <w:rPr>
          <w:spacing w:val="-2"/>
          <w:lang w:bidi="ar-QA"/>
        </w:rPr>
        <w:t>égalité. Parmi les droits fondamentaux et les libertés garantis par la Constitution figurent notamment l</w:t>
      </w:r>
      <w:r>
        <w:rPr>
          <w:spacing w:val="-2"/>
          <w:lang w:bidi="ar-QA"/>
        </w:rPr>
        <w:t>’</w:t>
      </w:r>
      <w:r w:rsidRPr="00CE611F">
        <w:rPr>
          <w:spacing w:val="-2"/>
          <w:lang w:bidi="ar-QA"/>
        </w:rPr>
        <w:t>égalité devant la loi, la non-discrimination, la liberté individuelle, la pénalisation de la torture, la liberté de la presse et d</w:t>
      </w:r>
      <w:r>
        <w:rPr>
          <w:spacing w:val="-2"/>
          <w:lang w:bidi="ar-QA"/>
        </w:rPr>
        <w:t>’</w:t>
      </w:r>
      <w:r w:rsidRPr="00CE611F">
        <w:rPr>
          <w:spacing w:val="-2"/>
          <w:lang w:bidi="ar-QA"/>
        </w:rPr>
        <w:t>expression, la liberté d</w:t>
      </w:r>
      <w:r>
        <w:rPr>
          <w:spacing w:val="-2"/>
          <w:lang w:bidi="ar-QA"/>
        </w:rPr>
        <w:t>’</w:t>
      </w:r>
      <w:r w:rsidRPr="00CE611F">
        <w:rPr>
          <w:spacing w:val="-2"/>
          <w:lang w:bidi="ar-QA"/>
        </w:rPr>
        <w:t>association, la liberté de culte, le droit au travail, le droit à l</w:t>
      </w:r>
      <w:r>
        <w:rPr>
          <w:spacing w:val="-2"/>
          <w:lang w:bidi="ar-QA"/>
        </w:rPr>
        <w:t>’</w:t>
      </w:r>
      <w:r w:rsidRPr="00CE611F">
        <w:rPr>
          <w:spacing w:val="-2"/>
          <w:lang w:bidi="ar-QA"/>
        </w:rPr>
        <w:t>éducation. Ces droits sont protégés par la Constitution et ne peuvent être restreints ou réduits sous prétexte d</w:t>
      </w:r>
      <w:r>
        <w:rPr>
          <w:spacing w:val="-2"/>
          <w:lang w:bidi="ar-QA"/>
        </w:rPr>
        <w:t>’</w:t>
      </w:r>
      <w:r w:rsidRPr="00CE611F">
        <w:rPr>
          <w:spacing w:val="-2"/>
          <w:lang w:bidi="ar-QA"/>
        </w:rPr>
        <w:t>organisation ou de modification ; l</w:t>
      </w:r>
      <w:r>
        <w:rPr>
          <w:spacing w:val="-2"/>
          <w:lang w:bidi="ar-QA"/>
        </w:rPr>
        <w:t>’</w:t>
      </w:r>
      <w:r w:rsidRPr="00CE611F">
        <w:rPr>
          <w:spacing w:val="-2"/>
          <w:lang w:bidi="ar-QA"/>
        </w:rPr>
        <w:t>article</w:t>
      </w:r>
      <w:r w:rsidR="00B178D6">
        <w:rPr>
          <w:spacing w:val="-2"/>
          <w:lang w:bidi="ar-QA"/>
        </w:rPr>
        <w:t> </w:t>
      </w:r>
      <w:r w:rsidRPr="00CE611F">
        <w:rPr>
          <w:spacing w:val="-2"/>
          <w:lang w:bidi="ar-QA"/>
        </w:rPr>
        <w:t>146 prévoit ainsi que les dispositions relatives aux droits et libertés publics ne peuvent être modifiées, si ce n</w:t>
      </w:r>
      <w:r>
        <w:rPr>
          <w:spacing w:val="-2"/>
          <w:lang w:bidi="ar-QA"/>
        </w:rPr>
        <w:t>’</w:t>
      </w:r>
      <w:r w:rsidRPr="00CE611F">
        <w:rPr>
          <w:spacing w:val="-2"/>
          <w:lang w:bidi="ar-QA"/>
        </w:rPr>
        <w:t>est dans le but d</w:t>
      </w:r>
      <w:r>
        <w:rPr>
          <w:spacing w:val="-2"/>
          <w:lang w:bidi="ar-QA"/>
        </w:rPr>
        <w:t>’</w:t>
      </w:r>
      <w:r w:rsidRPr="00CE611F">
        <w:rPr>
          <w:spacing w:val="-2"/>
          <w:lang w:bidi="ar-QA"/>
        </w:rPr>
        <w:t>offrir davantage de garanties aux citoyens.</w:t>
      </w:r>
    </w:p>
    <w:p w14:paraId="29483D34" w14:textId="77777777" w:rsidR="009E4C76" w:rsidRPr="00CE611F" w:rsidRDefault="009E4C76" w:rsidP="00142838">
      <w:pPr>
        <w:pStyle w:val="H23G"/>
        <w:rPr>
          <w:rtl/>
          <w:lang w:bidi="fr-FR"/>
        </w:rPr>
      </w:pPr>
      <w:bookmarkStart w:id="36" w:name="_Toc282337895"/>
      <w:r w:rsidRPr="00CE611F">
        <w:tab/>
      </w:r>
      <w:r w:rsidRPr="00CE611F">
        <w:tab/>
        <w:t>Les garanties juridiques de la protection des droits de l</w:t>
      </w:r>
      <w:r>
        <w:t>’</w:t>
      </w:r>
      <w:r w:rsidRPr="00CE611F">
        <w:t>homme</w:t>
      </w:r>
      <w:bookmarkEnd w:id="36"/>
    </w:p>
    <w:p w14:paraId="5360AF4F" w14:textId="77777777" w:rsidR="009E4C76" w:rsidRPr="00CE611F" w:rsidRDefault="009E4C76" w:rsidP="005D0B7C">
      <w:pPr>
        <w:pStyle w:val="SingleTxtG"/>
        <w:rPr>
          <w:lang w:bidi="ar-QA"/>
        </w:rPr>
      </w:pPr>
      <w:r w:rsidRPr="00CE611F">
        <w:rPr>
          <w:lang w:bidi="ar-QA"/>
        </w:rPr>
        <w:t>56.</w:t>
      </w:r>
      <w:r w:rsidRPr="00CE611F">
        <w:rPr>
          <w:lang w:bidi="ar-QA"/>
        </w:rPr>
        <w:tab/>
        <w:t>Les droits fondamentaux et les libertés publiques garantis par la Constitution ont été renforcés par l</w:t>
      </w:r>
      <w:r>
        <w:rPr>
          <w:lang w:bidi="ar-QA"/>
        </w:rPr>
        <w:t>’</w:t>
      </w:r>
      <w:r w:rsidRPr="00CE611F">
        <w:rPr>
          <w:lang w:bidi="ar-QA"/>
        </w:rPr>
        <w:t>adoption d</w:t>
      </w:r>
      <w:r>
        <w:rPr>
          <w:lang w:bidi="ar-QA"/>
        </w:rPr>
        <w:t>’</w:t>
      </w:r>
      <w:r w:rsidRPr="00CE611F">
        <w:rPr>
          <w:lang w:bidi="ar-QA"/>
        </w:rPr>
        <w:t>une série de textes nationaux, parmi lesquels les suivants :</w:t>
      </w:r>
    </w:p>
    <w:p w14:paraId="3F32451D" w14:textId="77777777" w:rsidR="009E4C76" w:rsidRPr="00CE611F" w:rsidRDefault="00142838" w:rsidP="00142838">
      <w:pPr>
        <w:pStyle w:val="Bullet1G"/>
        <w:rPr>
          <w:rtl/>
          <w:lang w:val="fr-FR" w:bidi="fr-FR"/>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 de 1994 relative aux adolescents ;</w:t>
      </w:r>
    </w:p>
    <w:p w14:paraId="06923418"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38 de 1995 sur la sécurité sociale ;</w:t>
      </w:r>
    </w:p>
    <w:p w14:paraId="31E525EE"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7 de 1996 portant réglementation des soins médicaux au Qatar</w:t>
      </w:r>
      <w:r w:rsidR="00D52183">
        <w:rPr>
          <w:lang w:val="fr-FR" w:bidi="ar-QA"/>
        </w:rPr>
        <w:t> </w:t>
      </w:r>
      <w:r w:rsidR="009E4C76" w:rsidRPr="00CE611F">
        <w:rPr>
          <w:lang w:val="fr-FR" w:bidi="ar-QA"/>
        </w:rPr>
        <w:t>;</w:t>
      </w:r>
    </w:p>
    <w:p w14:paraId="3EECF18E"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25 de 2001 sur l</w:t>
      </w:r>
      <w:r w:rsidR="009E4C76">
        <w:rPr>
          <w:lang w:val="fr-FR" w:bidi="ar-QA"/>
        </w:rPr>
        <w:t>’</w:t>
      </w:r>
      <w:r w:rsidR="009E4C76" w:rsidRPr="00CE611F">
        <w:rPr>
          <w:lang w:val="fr-FR" w:bidi="ar-QA"/>
        </w:rPr>
        <w:t>enseignement obligatoire ;</w:t>
      </w:r>
    </w:p>
    <w:p w14:paraId="22FBA31D"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24 de 2002 relative aux pensions de retraite ;</w:t>
      </w:r>
    </w:p>
    <w:p w14:paraId="2AAD50CD"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10 de 2003 sur le pouvoir judiciaire ;</w:t>
      </w:r>
    </w:p>
    <w:p w14:paraId="560183F7" w14:textId="77777777" w:rsidR="009E4C76" w:rsidRPr="00CE611F" w:rsidRDefault="00142838" w:rsidP="00142838">
      <w:pPr>
        <w:pStyle w:val="Bullet1G"/>
        <w:rPr>
          <w:rtl/>
          <w:lang w:val="fr-FR" w:bidi="fr-FR"/>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2 de 2004 relative aux personnes ayant des besoins spéciaux ;</w:t>
      </w:r>
    </w:p>
    <w:p w14:paraId="13307D1D"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12 de 2004 sur les associations et fondations privées ;</w:t>
      </w:r>
    </w:p>
    <w:p w14:paraId="463C87F8"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14 de 2004 promulguant le Code du travail ;</w:t>
      </w:r>
    </w:p>
    <w:p w14:paraId="1B39050B" w14:textId="77777777" w:rsidR="009E4C76" w:rsidRPr="00CE611F" w:rsidRDefault="00142838" w:rsidP="00142838">
      <w:pPr>
        <w:pStyle w:val="Bullet1G"/>
        <w:rPr>
          <w:rtl/>
          <w:lang w:val="fr-FR" w:bidi="fr-FR"/>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18 de 2004 relative aux rassemblements publics et aux manifestations ;</w:t>
      </w:r>
    </w:p>
    <w:p w14:paraId="75834990" w14:textId="77777777" w:rsidR="009E4C76" w:rsidRPr="00CE611F" w:rsidRDefault="00142838" w:rsidP="00142838">
      <w:pPr>
        <w:pStyle w:val="Bullet1G"/>
        <w:rPr>
          <w:rtl/>
          <w:lang w:val="fr-FR" w:bidi="fr-FR"/>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22 de 2004 promulguant le Code civil ;</w:t>
      </w:r>
    </w:p>
    <w:p w14:paraId="48AA1FF5"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23 de 2004 promulguant le Code de procédure pénale ;</w:t>
      </w:r>
    </w:p>
    <w:p w14:paraId="4198E394"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40 de 2004, sur la tutelle des biens détenus par des mineurs, qui comporte un ensemble de dispositions prévoyant la protection de ces biens et le contrôle des transactions effectuées par les personnes responsables des mineurs ;</w:t>
      </w:r>
    </w:p>
    <w:p w14:paraId="215F7BFC"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22 de 2005 interdisant le recrutement, l</w:t>
      </w:r>
      <w:r w:rsidR="009E4C76">
        <w:rPr>
          <w:lang w:val="fr-FR" w:bidi="ar-QA"/>
        </w:rPr>
        <w:t>’</w:t>
      </w:r>
      <w:r w:rsidR="009E4C76" w:rsidRPr="00CE611F">
        <w:rPr>
          <w:lang w:val="fr-FR" w:bidi="ar-QA"/>
        </w:rPr>
        <w:t>emploi, la formation et la participation des enfants aux courses de chameaux</w:t>
      </w:r>
      <w:r w:rsidR="00D52183">
        <w:rPr>
          <w:lang w:val="fr-FR" w:bidi="ar-QA"/>
        </w:rPr>
        <w:t> </w:t>
      </w:r>
      <w:r w:rsidR="009E4C76" w:rsidRPr="00CE611F">
        <w:rPr>
          <w:lang w:val="fr-FR" w:bidi="ar-QA"/>
        </w:rPr>
        <w:t>;</w:t>
      </w:r>
    </w:p>
    <w:p w14:paraId="67243681"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38 de 2005 relative à la nationalité ;</w:t>
      </w:r>
    </w:p>
    <w:p w14:paraId="734BE966"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e décret-loi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21 de 2006 sur les fondations privées d</w:t>
      </w:r>
      <w:r w:rsidR="009E4C76">
        <w:rPr>
          <w:lang w:val="fr-FR" w:bidi="ar-QA"/>
        </w:rPr>
        <w:t>’</w:t>
      </w:r>
      <w:r w:rsidR="009E4C76" w:rsidRPr="00CE611F">
        <w:rPr>
          <w:lang w:val="fr-FR" w:bidi="ar-QA"/>
        </w:rPr>
        <w:t>intérêt public ;</w:t>
      </w:r>
    </w:p>
    <w:p w14:paraId="4245D588"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22 de 2006 promulguant le Code de la famille ;</w:t>
      </w:r>
    </w:p>
    <w:p w14:paraId="0C1D9668"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2 de 2007 relative au logement ;</w:t>
      </w:r>
    </w:p>
    <w:p w14:paraId="661FB8A5"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e décret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17 de 2007 du Conseil des ministres relatif aux priorités et aux conditions d</w:t>
      </w:r>
      <w:r w:rsidR="009E4C76">
        <w:rPr>
          <w:lang w:val="fr-FR" w:bidi="ar-QA"/>
        </w:rPr>
        <w:t>’</w:t>
      </w:r>
      <w:r w:rsidR="009E4C76" w:rsidRPr="00CE611F">
        <w:rPr>
          <w:lang w:val="fr-FR" w:bidi="ar-QA"/>
        </w:rPr>
        <w:t>attribution des logements ;</w:t>
      </w:r>
    </w:p>
    <w:p w14:paraId="69FB79DD"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e décret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18 de 2007 du Conseil des ministres relatif aux priorités et aux conditions d</w:t>
      </w:r>
      <w:r w:rsidR="009E4C76">
        <w:rPr>
          <w:lang w:val="fr-FR" w:bidi="ar-QA"/>
        </w:rPr>
        <w:t>’</w:t>
      </w:r>
      <w:r w:rsidR="009E4C76" w:rsidRPr="00CE611F">
        <w:rPr>
          <w:lang w:val="fr-FR" w:bidi="ar-QA"/>
        </w:rPr>
        <w:t>attribution des logements destinés aux personnes nécessiteuses (logements gratuits) ;</w:t>
      </w:r>
    </w:p>
    <w:p w14:paraId="6F7F1103"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12 de 2008 portant création de la Cour suprême constitutionnelle ;</w:t>
      </w:r>
    </w:p>
    <w:p w14:paraId="78BC9859"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19 de 2008 relative à la détermination du « prix du sang » ;</w:t>
      </w:r>
    </w:p>
    <w:p w14:paraId="762D7CB3"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3 de 2009 portant réglementation des établissements pénitentiaires et de redressement ;</w:t>
      </w:r>
    </w:p>
    <w:p w14:paraId="4A15CE4C"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4 de 2009 réglementant l</w:t>
      </w:r>
      <w:r w:rsidR="009E4C76">
        <w:rPr>
          <w:lang w:val="fr-FR" w:bidi="ar-QA"/>
        </w:rPr>
        <w:t>’</w:t>
      </w:r>
      <w:r w:rsidR="009E4C76" w:rsidRPr="00CE611F">
        <w:rPr>
          <w:lang w:val="fr-FR" w:bidi="ar-QA"/>
        </w:rPr>
        <w:t xml:space="preserve">entrée et </w:t>
      </w:r>
      <w:r w:rsidR="00AF76A7">
        <w:rPr>
          <w:lang w:val="fr-FR" w:bidi="ar-QA"/>
        </w:rPr>
        <w:t>le</w:t>
      </w:r>
      <w:r w:rsidR="009E4C76" w:rsidRPr="00CE611F">
        <w:rPr>
          <w:lang w:val="fr-FR" w:bidi="ar-QA"/>
        </w:rPr>
        <w:t xml:space="preserve"> séjour des travailleurs migrants et leur parrainage ;</w:t>
      </w:r>
    </w:p>
    <w:p w14:paraId="41980969"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8 de 2009 relative à la gestion des ressources humaines ;</w:t>
      </w:r>
    </w:p>
    <w:p w14:paraId="00ADC5C8"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15 de 2011 sur la lutte contre la traite des personnes ;</w:t>
      </w:r>
    </w:p>
    <w:p w14:paraId="25894BD2" w14:textId="77777777" w:rsidR="009E4C76" w:rsidRPr="00CE611F" w:rsidRDefault="00142838" w:rsidP="00142838">
      <w:pPr>
        <w:pStyle w:val="Bullet1G"/>
        <w:rPr>
          <w:rtl/>
          <w:lang w:val="fr-FR" w:bidi="fr-FR"/>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 xml:space="preserve">12 de 2013 modifiant certaines dispositions de la loi </w:t>
      </w:r>
      <w:r w:rsidR="00B25BC1">
        <w:rPr>
          <w:lang w:val="fr-FR" w:bidi="ar-QA"/>
        </w:rPr>
        <w:t>n</w:t>
      </w:r>
      <w:r w:rsidR="00B25BC1" w:rsidRPr="00B25BC1">
        <w:rPr>
          <w:vertAlign w:val="superscript"/>
          <w:lang w:val="fr-FR" w:bidi="ar-QA"/>
        </w:rPr>
        <w:t>o</w:t>
      </w:r>
      <w:r w:rsidR="00B25BC1">
        <w:rPr>
          <w:lang w:val="fr-FR" w:bidi="ar-QA"/>
        </w:rPr>
        <w:t> </w:t>
      </w:r>
      <w:r w:rsidR="009E4C76" w:rsidRPr="00CE611F">
        <w:rPr>
          <w:lang w:val="fr-FR" w:bidi="ar-QA"/>
        </w:rPr>
        <w:t>7 de 2007 relative au contentieux administratif ;</w:t>
      </w:r>
    </w:p>
    <w:p w14:paraId="1F2E79AE" w14:textId="77777777" w:rsidR="009E4C76" w:rsidRPr="00CE611F" w:rsidRDefault="00142838" w:rsidP="00142838">
      <w:pPr>
        <w:pStyle w:val="Bullet1G"/>
        <w:rPr>
          <w:rtl/>
          <w:lang w:val="fr-FR" w:bidi="fr-FR"/>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7 de 2013 relative à l</w:t>
      </w:r>
      <w:r w:rsidR="009E4C76">
        <w:rPr>
          <w:lang w:val="fr-FR" w:bidi="ar-QA"/>
        </w:rPr>
        <w:t>’</w:t>
      </w:r>
      <w:r w:rsidR="009E4C76" w:rsidRPr="00CE611F">
        <w:rPr>
          <w:lang w:val="fr-FR" w:bidi="ar-QA"/>
        </w:rPr>
        <w:t>assurance maladie ;</w:t>
      </w:r>
    </w:p>
    <w:p w14:paraId="54FEC4A4" w14:textId="77777777" w:rsidR="009E4C76" w:rsidRPr="00CE611F" w:rsidRDefault="00142838" w:rsidP="00142838">
      <w:pPr>
        <w:pStyle w:val="Bullet1G"/>
        <w:rPr>
          <w:rtl/>
          <w:lang w:val="fr-FR" w:bidi="fr-FR"/>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6 de 2013 relative au Fonds pour la santé et l</w:t>
      </w:r>
      <w:r w:rsidR="009E4C76">
        <w:rPr>
          <w:lang w:val="fr-FR" w:bidi="ar-QA"/>
        </w:rPr>
        <w:t>’</w:t>
      </w:r>
      <w:r w:rsidR="009E4C76" w:rsidRPr="00CE611F">
        <w:rPr>
          <w:lang w:val="fr-FR" w:bidi="ar-QA"/>
        </w:rPr>
        <w:t>éducation ;</w:t>
      </w:r>
    </w:p>
    <w:p w14:paraId="4CCAA128" w14:textId="77777777" w:rsidR="009E4C76" w:rsidRPr="00CE611F" w:rsidRDefault="00142838" w:rsidP="00142838">
      <w:pPr>
        <w:pStyle w:val="Bullet1G"/>
        <w:rPr>
          <w:rtl/>
          <w:lang w:val="fr-FR" w:bidi="fr-FR"/>
        </w:rPr>
      </w:pPr>
      <w:r>
        <w:rPr>
          <w:lang w:val="fr-FR" w:bidi="ar-QA"/>
        </w:rPr>
        <w:t>L</w:t>
      </w:r>
      <w:r w:rsidR="009E4C76">
        <w:rPr>
          <w:lang w:val="fr-FR" w:bidi="ar-QA"/>
        </w:rPr>
        <w:t>’</w:t>
      </w:r>
      <w:r w:rsidR="009E4C76" w:rsidRPr="00CE611F">
        <w:rPr>
          <w:lang w:val="fr-FR" w:bidi="ar-QA"/>
        </w:rPr>
        <w:t xml:space="preserve">arrêté du Ministre du travail et des affaires sociales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18 de 2014 relatif aux normes et critères des logements adéquats destinés aux travailleurs, qui tient compte des normes internationales relatives aux logements des travailleurs ;</w:t>
      </w:r>
    </w:p>
    <w:p w14:paraId="149547F6" w14:textId="77777777" w:rsidR="009E4C76" w:rsidRPr="00CE611F" w:rsidRDefault="00142838" w:rsidP="00142838">
      <w:pPr>
        <w:pStyle w:val="Bullet1G"/>
        <w:rPr>
          <w:rtl/>
          <w:lang w:val="fr-FR" w:bidi="fr-FR"/>
        </w:rPr>
      </w:pPr>
      <w:r>
        <w:rPr>
          <w:spacing w:val="-4"/>
          <w:lang w:val="fr-FR" w:bidi="ar-QA"/>
        </w:rPr>
        <w:t>L</w:t>
      </w:r>
      <w:r w:rsidR="009E4C76" w:rsidRPr="00CE611F">
        <w:rPr>
          <w:spacing w:val="-4"/>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spacing w:val="-4"/>
          <w:lang w:val="fr-FR" w:bidi="ar-QA"/>
        </w:rPr>
        <w:t>14 de 2014 sur la lutte contre la cybercriminalité ;</w:t>
      </w:r>
    </w:p>
    <w:p w14:paraId="3DF66655" w14:textId="77777777" w:rsidR="009E4C76" w:rsidRPr="00CE611F" w:rsidRDefault="00142838" w:rsidP="00142838">
      <w:pPr>
        <w:pStyle w:val="Bullet1G"/>
        <w:rPr>
          <w:rtl/>
          <w:lang w:val="fr-FR" w:bidi="fr-FR"/>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 xml:space="preserve">22 de 2015 portant modification de certaines dispositions du Code pénal (promulgué par la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11 de 2004)</w:t>
      </w:r>
      <w:r w:rsidR="00D52183">
        <w:rPr>
          <w:lang w:val="fr-FR" w:bidi="ar-QA"/>
        </w:rPr>
        <w:t> </w:t>
      </w:r>
      <w:r w:rsidR="009E4C76" w:rsidRPr="00CE611F">
        <w:rPr>
          <w:lang w:val="fr-FR" w:bidi="ar-QA"/>
        </w:rPr>
        <w:t>;</w:t>
      </w:r>
    </w:p>
    <w:p w14:paraId="30C0AD09" w14:textId="77777777" w:rsidR="009E4C76" w:rsidRPr="00CE611F" w:rsidRDefault="00142838" w:rsidP="00142838">
      <w:pPr>
        <w:pStyle w:val="Bullet1G"/>
        <w:rPr>
          <w:rtl/>
          <w:lang w:val="fr-FR" w:bidi="fr-FR"/>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 xml:space="preserve">12 de 2015 modifiant certaines dispositions du décret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17 de 2010 portant organisation de la Commission nationale des droits de l</w:t>
      </w:r>
      <w:r w:rsidR="009E4C76">
        <w:rPr>
          <w:lang w:val="fr-FR" w:bidi="ar-QA"/>
        </w:rPr>
        <w:t>’</w:t>
      </w:r>
      <w:r w:rsidR="009E4C76" w:rsidRPr="00CE611F">
        <w:rPr>
          <w:lang w:val="fr-FR" w:bidi="ar-QA"/>
        </w:rPr>
        <w:t>homme, qui a accordé à celle-ci davantage d</w:t>
      </w:r>
      <w:r w:rsidR="009E4C76">
        <w:rPr>
          <w:lang w:val="fr-FR" w:bidi="ar-QA"/>
        </w:rPr>
        <w:t>’</w:t>
      </w:r>
      <w:r w:rsidR="009E4C76" w:rsidRPr="00CE611F">
        <w:rPr>
          <w:lang w:val="fr-FR" w:bidi="ar-QA"/>
        </w:rPr>
        <w:t>autonomie et reconnu à ses membres le droit à l</w:t>
      </w:r>
      <w:r w:rsidR="009E4C76">
        <w:rPr>
          <w:lang w:val="fr-FR" w:bidi="ar-QA"/>
        </w:rPr>
        <w:t>’</w:t>
      </w:r>
      <w:r w:rsidR="009E4C76" w:rsidRPr="00CE611F">
        <w:rPr>
          <w:lang w:val="fr-FR" w:bidi="ar-QA"/>
        </w:rPr>
        <w:t>immunité et à des garanties juridiques ;</w:t>
      </w:r>
    </w:p>
    <w:p w14:paraId="6ABB0A28" w14:textId="77777777" w:rsidR="009E4C76" w:rsidRPr="00CE611F" w:rsidRDefault="00142838" w:rsidP="00142838">
      <w:pPr>
        <w:pStyle w:val="Bullet1G"/>
        <w:rPr>
          <w:rtl/>
          <w:lang w:val="fr-FR" w:bidi="fr-FR"/>
        </w:rPr>
      </w:pPr>
      <w:r>
        <w:rPr>
          <w:lang w:val="fr-FR" w:bidi="ar-QA"/>
        </w:rPr>
        <w:t>L</w:t>
      </w:r>
      <w:r w:rsidR="009E4C76" w:rsidRPr="00CE611F">
        <w:rPr>
          <w:lang w:val="fr-FR" w:bidi="ar-QA"/>
        </w:rPr>
        <w:t>e décret de l</w:t>
      </w:r>
      <w:r w:rsidR="009E4C76">
        <w:rPr>
          <w:lang w:val="fr-FR" w:bidi="ar-QA"/>
        </w:rPr>
        <w:t>’</w:t>
      </w:r>
      <w:r w:rsidR="009E4C76" w:rsidRPr="00CE611F">
        <w:rPr>
          <w:lang w:val="fr-FR" w:bidi="ar-QA"/>
        </w:rPr>
        <w:t xml:space="preserve">Émir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6 de 2015 relatif à la réorganisation de l</w:t>
      </w:r>
      <w:r w:rsidR="009E4C76">
        <w:rPr>
          <w:lang w:val="fr-FR" w:bidi="ar-QA"/>
        </w:rPr>
        <w:t>’</w:t>
      </w:r>
      <w:r w:rsidR="009E4C76" w:rsidRPr="00CE611F">
        <w:rPr>
          <w:lang w:val="fr-FR" w:bidi="ar-QA"/>
        </w:rPr>
        <w:t>Instance du contrôle administratif et de la transparence, pour assurer l</w:t>
      </w:r>
      <w:r w:rsidR="009E4C76">
        <w:rPr>
          <w:lang w:val="fr-FR" w:bidi="ar-QA"/>
        </w:rPr>
        <w:t>’</w:t>
      </w:r>
      <w:r w:rsidR="009E4C76" w:rsidRPr="00CE611F">
        <w:rPr>
          <w:lang w:val="fr-FR" w:bidi="ar-QA"/>
        </w:rPr>
        <w:t>application d</w:t>
      </w:r>
      <w:r w:rsidR="009E4C76">
        <w:rPr>
          <w:lang w:val="fr-FR" w:bidi="ar-QA"/>
        </w:rPr>
        <w:t>’</w:t>
      </w:r>
      <w:r w:rsidR="009E4C76" w:rsidRPr="00CE611F">
        <w:rPr>
          <w:lang w:val="fr-FR" w:bidi="ar-QA"/>
        </w:rPr>
        <w:t>indicateurs plus élevés en matière d</w:t>
      </w:r>
      <w:r w:rsidR="009E4C76">
        <w:rPr>
          <w:lang w:val="fr-FR" w:bidi="ar-QA"/>
        </w:rPr>
        <w:t>’</w:t>
      </w:r>
      <w:r w:rsidR="009E4C76" w:rsidRPr="00CE611F">
        <w:rPr>
          <w:lang w:val="fr-FR" w:bidi="ar-QA"/>
        </w:rPr>
        <w:t>intégrité et de transparence au sein de la fonction publique et lutter contre la corruption sous toute ses formes ;</w:t>
      </w:r>
    </w:p>
    <w:p w14:paraId="2481A335" w14:textId="77777777" w:rsidR="009E4C76" w:rsidRPr="00CE611F" w:rsidRDefault="00142838" w:rsidP="00142838">
      <w:pPr>
        <w:pStyle w:val="Bullet1G"/>
        <w:rPr>
          <w:rtl/>
          <w:lang w:val="fr-FR" w:bidi="fr-FR"/>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 xml:space="preserve">1 de 2015 modifiant certaines dispositions du Code du travail (promulgué par la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14 de 2004) relatives à la protection des salaires ;</w:t>
      </w:r>
    </w:p>
    <w:p w14:paraId="1C5EF9B4" w14:textId="77777777" w:rsidR="009E4C76" w:rsidRPr="00CE611F" w:rsidRDefault="00142838" w:rsidP="00142838">
      <w:pPr>
        <w:pStyle w:val="Bullet1G"/>
        <w:rPr>
          <w:rtl/>
          <w:lang w:val="fr-FR" w:bidi="fr-FR"/>
        </w:rPr>
      </w:pPr>
      <w:r>
        <w:rPr>
          <w:lang w:val="fr-FR" w:bidi="ar-QA"/>
        </w:rPr>
        <w:t>L</w:t>
      </w:r>
      <w:r w:rsidR="009E4C76" w:rsidRPr="00CE611F">
        <w:rPr>
          <w:lang w:val="fr-FR" w:bidi="ar-QA"/>
        </w:rPr>
        <w:t xml:space="preserve">a loi modifiant le Code du travail (promulgué par la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14 de 2004), après approbation par le Conseil des ministres au cours de sa session ordinaire d</w:t>
      </w:r>
      <w:r w:rsidR="009E4C76">
        <w:rPr>
          <w:lang w:val="fr-FR" w:bidi="ar-QA"/>
        </w:rPr>
        <w:t>’</w:t>
      </w:r>
      <w:r w:rsidR="009E4C76" w:rsidRPr="00CE611F">
        <w:rPr>
          <w:lang w:val="fr-FR" w:bidi="ar-QA"/>
        </w:rPr>
        <w:t>octobre 2016, dans le sens de l</w:t>
      </w:r>
      <w:r w:rsidR="009E4C76">
        <w:rPr>
          <w:lang w:val="fr-FR" w:bidi="ar-QA"/>
        </w:rPr>
        <w:t>’</w:t>
      </w:r>
      <w:r w:rsidR="009E4C76" w:rsidRPr="00CE611F">
        <w:rPr>
          <w:lang w:val="fr-FR" w:bidi="ar-QA"/>
        </w:rPr>
        <w:t>institution d</w:t>
      </w:r>
      <w:r w:rsidR="009E4C76">
        <w:rPr>
          <w:lang w:val="fr-FR" w:bidi="ar-QA"/>
        </w:rPr>
        <w:t>’</w:t>
      </w:r>
      <w:r w:rsidR="009E4C76" w:rsidRPr="00CE611F">
        <w:rPr>
          <w:lang w:val="fr-FR" w:bidi="ar-QA"/>
        </w:rPr>
        <w:t>une ou plusieurs commissions compétentes pour le règlement de tous les différends nés de l</w:t>
      </w:r>
      <w:r w:rsidR="009E4C76">
        <w:rPr>
          <w:lang w:val="fr-FR" w:bidi="ar-QA"/>
        </w:rPr>
        <w:t>’</w:t>
      </w:r>
      <w:r w:rsidR="009E4C76" w:rsidRPr="00CE611F">
        <w:rPr>
          <w:lang w:val="fr-FR" w:bidi="ar-QA"/>
        </w:rPr>
        <w:t>application du Code du travail ou de l</w:t>
      </w:r>
      <w:r w:rsidR="009E4C76">
        <w:rPr>
          <w:lang w:val="fr-FR" w:bidi="ar-QA"/>
        </w:rPr>
        <w:t>’</w:t>
      </w:r>
      <w:r w:rsidR="009E4C76" w:rsidRPr="00CE611F">
        <w:rPr>
          <w:lang w:val="fr-FR" w:bidi="ar-QA"/>
        </w:rPr>
        <w:t>exécution des contrats de travail ;</w:t>
      </w:r>
    </w:p>
    <w:p w14:paraId="029E32E1" w14:textId="77777777" w:rsidR="009E4C76" w:rsidRPr="00CE611F" w:rsidRDefault="00142838" w:rsidP="00142838">
      <w:pPr>
        <w:pStyle w:val="Bullet1G"/>
        <w:rPr>
          <w:rtl/>
          <w:lang w:val="fr-FR" w:bidi="fr-FR"/>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16 de 2016 relative à la santé mentale ;</w:t>
      </w:r>
    </w:p>
    <w:p w14:paraId="0A1295F8" w14:textId="77777777" w:rsidR="009E4C76" w:rsidRPr="00CE611F" w:rsidRDefault="00142838" w:rsidP="00142838">
      <w:pPr>
        <w:pStyle w:val="Bullet1G"/>
        <w:rPr>
          <w:rtl/>
          <w:lang w:val="fr-FR" w:bidi="fr-FR"/>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13 de 2016 sur la protection de la confidentialité des données personnelles ;</w:t>
      </w:r>
    </w:p>
    <w:p w14:paraId="060FEF5E"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15 de 2016 relative aux ressources humaines dans la fonction publique, qui a consacré les principes de non-discrimination et d</w:t>
      </w:r>
      <w:r w:rsidR="009E4C76">
        <w:rPr>
          <w:lang w:val="fr-FR" w:bidi="ar-QA"/>
        </w:rPr>
        <w:t>’</w:t>
      </w:r>
      <w:r w:rsidR="009E4C76" w:rsidRPr="00CE611F">
        <w:rPr>
          <w:lang w:val="fr-FR" w:bidi="ar-QA"/>
        </w:rPr>
        <w:t>égalité des fonctionnaires en droits et devoirs ;</w:t>
      </w:r>
    </w:p>
    <w:p w14:paraId="2C5E89F6" w14:textId="77777777" w:rsidR="009E4C76" w:rsidRPr="00CE611F" w:rsidRDefault="00142838" w:rsidP="00142838">
      <w:pPr>
        <w:pStyle w:val="Bullet1G"/>
        <w:rPr>
          <w:rtl/>
          <w:lang w:val="fr-FR" w:bidi="fr-FR"/>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15 de 2017 relative aux employés domestiques ;</w:t>
      </w:r>
    </w:p>
    <w:p w14:paraId="41DF5C04" w14:textId="77777777" w:rsidR="009E4C76" w:rsidRPr="00CE611F" w:rsidRDefault="00142838" w:rsidP="00142838">
      <w:pPr>
        <w:pStyle w:val="Bullet1G"/>
        <w:rPr>
          <w:rtl/>
          <w:lang w:val="fr-FR" w:bidi="fr-FR"/>
        </w:rPr>
      </w:pPr>
      <w:r>
        <w:rPr>
          <w:spacing w:val="-2"/>
          <w:lang w:val="fr-FR" w:bidi="ar-QA"/>
        </w:rPr>
        <w:t>L</w:t>
      </w:r>
      <w:r w:rsidR="009E4C76" w:rsidRPr="00CE611F">
        <w:rPr>
          <w:spacing w:val="-2"/>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spacing w:val="-2"/>
          <w:lang w:val="fr-FR" w:bidi="ar-QA"/>
        </w:rPr>
        <w:t xml:space="preserve">1 de 2017 modifiant certaines dispositions de la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spacing w:val="-2"/>
          <w:lang w:val="fr-FR" w:bidi="ar-QA"/>
        </w:rPr>
        <w:t>21 de 2015 régissant l</w:t>
      </w:r>
      <w:r w:rsidR="009E4C76">
        <w:rPr>
          <w:spacing w:val="-2"/>
          <w:lang w:val="fr-FR" w:bidi="ar-QA"/>
        </w:rPr>
        <w:t>’</w:t>
      </w:r>
      <w:r w:rsidR="009E4C76" w:rsidRPr="00CE611F">
        <w:rPr>
          <w:spacing w:val="-2"/>
          <w:lang w:val="fr-FR" w:bidi="ar-QA"/>
        </w:rPr>
        <w:t>entrée et la sortie des migrants et la liberté de quitter le pays ;</w:t>
      </w:r>
    </w:p>
    <w:p w14:paraId="30D9DA7F" w14:textId="77777777" w:rsidR="009E4C76" w:rsidRPr="00CE611F" w:rsidRDefault="00142838" w:rsidP="00142838">
      <w:pPr>
        <w:pStyle w:val="Bullet1G"/>
        <w:rPr>
          <w:rtl/>
          <w:lang w:val="fr-FR" w:bidi="fr-FR"/>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11 de 2018 sur l</w:t>
      </w:r>
      <w:r w:rsidR="009E4C76">
        <w:rPr>
          <w:lang w:val="fr-FR" w:bidi="ar-QA"/>
        </w:rPr>
        <w:t>’</w:t>
      </w:r>
      <w:r w:rsidR="009E4C76" w:rsidRPr="00CE611F">
        <w:rPr>
          <w:lang w:val="fr-FR" w:bidi="ar-QA"/>
        </w:rPr>
        <w:t>asile politique ;</w:t>
      </w:r>
    </w:p>
    <w:p w14:paraId="30A01A32"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10 de 2018 relative à la carte de résident permanent ;</w:t>
      </w:r>
    </w:p>
    <w:p w14:paraId="0919C4C3" w14:textId="77777777" w:rsidR="009E4C76" w:rsidRPr="00CE611F" w:rsidRDefault="00142838" w:rsidP="00142838">
      <w:pPr>
        <w:pStyle w:val="Bullet1G"/>
        <w:rPr>
          <w:lang w:val="fr-FR" w:bidi="ar-QA"/>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17 de 2018 portant création du Fonds de soutien et d</w:t>
      </w:r>
      <w:r w:rsidR="009E4C76">
        <w:rPr>
          <w:lang w:val="fr-FR" w:bidi="ar-QA"/>
        </w:rPr>
        <w:t>’</w:t>
      </w:r>
      <w:r w:rsidR="009E4C76" w:rsidRPr="00CE611F">
        <w:rPr>
          <w:lang w:val="fr-FR" w:bidi="ar-QA"/>
        </w:rPr>
        <w:t>assurance des travailleurs migrants ;</w:t>
      </w:r>
    </w:p>
    <w:p w14:paraId="3C9E2317" w14:textId="77777777" w:rsidR="009E4C76" w:rsidRPr="00CE611F" w:rsidRDefault="00142838" w:rsidP="00142838">
      <w:pPr>
        <w:pStyle w:val="Bullet1G"/>
        <w:rPr>
          <w:rtl/>
          <w:lang w:val="fr-FR" w:bidi="fr-FR"/>
        </w:rPr>
      </w:pPr>
      <w:r>
        <w:rPr>
          <w:lang w:val="fr-FR" w:bidi="ar-QA"/>
        </w:rPr>
        <w:t>L</w:t>
      </w:r>
      <w:r w:rsidR="009E4C76" w:rsidRPr="00CE611F">
        <w:rPr>
          <w:lang w:val="fr-FR" w:bidi="ar-QA"/>
        </w:rPr>
        <w:t xml:space="preserve">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13 de 2018 modifiant l</w:t>
      </w:r>
      <w:r w:rsidR="009E4C76">
        <w:rPr>
          <w:lang w:val="fr-FR" w:bidi="ar-QA"/>
        </w:rPr>
        <w:t>’</w:t>
      </w:r>
      <w:r w:rsidR="009E4C76" w:rsidRPr="00CE611F">
        <w:rPr>
          <w:lang w:val="fr-FR" w:bidi="ar-QA"/>
        </w:rPr>
        <w:t>article</w:t>
      </w:r>
      <w:r w:rsidR="00D52183">
        <w:rPr>
          <w:lang w:val="fr-FR" w:bidi="ar-QA"/>
        </w:rPr>
        <w:t> </w:t>
      </w:r>
      <w:r w:rsidR="009E4C76" w:rsidRPr="00CE611F">
        <w:rPr>
          <w:lang w:val="fr-FR" w:bidi="ar-QA"/>
        </w:rPr>
        <w:t xml:space="preserve">7 de la loi </w:t>
      </w:r>
      <w:r w:rsidR="00D52183">
        <w:rPr>
          <w:lang w:val="fr-FR" w:bidi="ar-QA"/>
        </w:rPr>
        <w:t>n</w:t>
      </w:r>
      <w:r w:rsidR="00D52183" w:rsidRPr="00D52183">
        <w:rPr>
          <w:vertAlign w:val="superscript"/>
          <w:lang w:val="fr-FR" w:bidi="ar-QA"/>
        </w:rPr>
        <w:t>o</w:t>
      </w:r>
      <w:r w:rsidR="00D52183">
        <w:rPr>
          <w:lang w:val="fr-FR" w:bidi="ar-QA"/>
        </w:rPr>
        <w:t> </w:t>
      </w:r>
      <w:r w:rsidR="009E4C76" w:rsidRPr="00CE611F">
        <w:rPr>
          <w:lang w:val="fr-FR" w:bidi="ar-QA"/>
        </w:rPr>
        <w:t>21 de 2015 régissant l</w:t>
      </w:r>
      <w:r w:rsidR="009E4C76">
        <w:rPr>
          <w:lang w:val="fr-FR" w:bidi="ar-QA"/>
        </w:rPr>
        <w:t>’</w:t>
      </w:r>
      <w:r w:rsidR="009E4C76" w:rsidRPr="00CE611F">
        <w:rPr>
          <w:lang w:val="fr-FR" w:bidi="ar-QA"/>
        </w:rPr>
        <w:t>entrée, la sortie et le séjour des migrants, abrogeant l</w:t>
      </w:r>
      <w:r w:rsidR="009E4C76">
        <w:rPr>
          <w:lang w:val="fr-FR" w:bidi="ar-QA"/>
        </w:rPr>
        <w:t>’</w:t>
      </w:r>
      <w:r w:rsidR="009E4C76" w:rsidRPr="00CE611F">
        <w:rPr>
          <w:lang w:val="fr-FR" w:bidi="ar-QA"/>
        </w:rPr>
        <w:t>autorisation de sortie.</w:t>
      </w:r>
    </w:p>
    <w:p w14:paraId="19B4F051" w14:textId="77777777" w:rsidR="009E4C76" w:rsidRPr="00CE611F" w:rsidRDefault="009E4C76" w:rsidP="00142838">
      <w:pPr>
        <w:pStyle w:val="H23G"/>
        <w:rPr>
          <w:rtl/>
          <w:lang w:bidi="fr-FR"/>
        </w:rPr>
      </w:pPr>
      <w:r w:rsidRPr="00CE611F">
        <w:tab/>
      </w:r>
      <w:r w:rsidRPr="00CE611F">
        <w:tab/>
        <w:t>Les mécanismes institutionnels de promotion des droits de l</w:t>
      </w:r>
      <w:r>
        <w:t>’</w:t>
      </w:r>
      <w:r w:rsidRPr="00CE611F">
        <w:t>homme</w:t>
      </w:r>
      <w:bookmarkEnd w:id="35"/>
    </w:p>
    <w:p w14:paraId="4D74076D" w14:textId="77777777" w:rsidR="009E4C76" w:rsidRPr="00CE611F" w:rsidRDefault="009E4C76" w:rsidP="005D0B7C">
      <w:pPr>
        <w:pStyle w:val="SingleTxtG"/>
        <w:rPr>
          <w:rtl/>
          <w:lang w:bidi="fr-FR"/>
        </w:rPr>
      </w:pPr>
      <w:r w:rsidRPr="00CE611F">
        <w:rPr>
          <w:lang w:bidi="ar-QA"/>
        </w:rPr>
        <w:t>57.</w:t>
      </w:r>
      <w:r w:rsidRPr="00CE611F">
        <w:rPr>
          <w:lang w:bidi="ar-QA"/>
        </w:rPr>
        <w:tab/>
        <w:t>L</w:t>
      </w:r>
      <w:r>
        <w:rPr>
          <w:lang w:bidi="ar-QA"/>
        </w:rPr>
        <w:t>’</w:t>
      </w:r>
      <w:r w:rsidRPr="00CE611F">
        <w:rPr>
          <w:lang w:bidi="ar-QA"/>
        </w:rPr>
        <w:t>intérêt du Qatar pour les droits de l</w:t>
      </w:r>
      <w:r>
        <w:rPr>
          <w:lang w:bidi="ar-QA"/>
        </w:rPr>
        <w:t>’</w:t>
      </w:r>
      <w:r w:rsidRPr="00CE611F">
        <w:rPr>
          <w:lang w:bidi="ar-QA"/>
        </w:rPr>
        <w:t>homme s</w:t>
      </w:r>
      <w:r>
        <w:rPr>
          <w:lang w:bidi="ar-QA"/>
        </w:rPr>
        <w:t>’</w:t>
      </w:r>
      <w:r w:rsidRPr="00CE611F">
        <w:rPr>
          <w:lang w:bidi="ar-QA"/>
        </w:rPr>
        <w:t>est traduit par la création de nombreuses institutions gouvernementales et d</w:t>
      </w:r>
      <w:r>
        <w:rPr>
          <w:lang w:bidi="ar-QA"/>
        </w:rPr>
        <w:t>’</w:t>
      </w:r>
      <w:r w:rsidRPr="00CE611F">
        <w:rPr>
          <w:lang w:bidi="ar-QA"/>
        </w:rPr>
        <w:t>organisations non gouvernementales visant à les promouvoir et à les protéger, en les considérant comme complémentaires, interdépendants et indivisibles, parmi lesquelles les suivantes :</w:t>
      </w:r>
      <w:bookmarkStart w:id="37" w:name="_Toc281916936"/>
      <w:bookmarkStart w:id="38" w:name="_Toc282337900"/>
    </w:p>
    <w:p w14:paraId="774DBCAE" w14:textId="77777777" w:rsidR="009E4C76" w:rsidRPr="00CE611F" w:rsidRDefault="009E4C76" w:rsidP="00755AFC">
      <w:pPr>
        <w:pStyle w:val="H23G"/>
        <w:rPr>
          <w:rtl/>
          <w:lang w:bidi="fr-FR"/>
        </w:rPr>
      </w:pPr>
      <w:r w:rsidRPr="00CE611F">
        <w:rPr>
          <w:lang w:bidi="ar-QA"/>
        </w:rPr>
        <w:tab/>
      </w:r>
      <w:r w:rsidRPr="00CE611F">
        <w:rPr>
          <w:lang w:bidi="ar-QA"/>
        </w:rPr>
        <w:tab/>
        <w:t>Mécanismes indépendants</w:t>
      </w:r>
      <w:bookmarkEnd w:id="37"/>
      <w:bookmarkEnd w:id="38"/>
    </w:p>
    <w:p w14:paraId="7C4C687A" w14:textId="77777777" w:rsidR="009E4C76" w:rsidRPr="00CE611F" w:rsidRDefault="009E4C76" w:rsidP="00755AFC">
      <w:pPr>
        <w:pStyle w:val="H4G"/>
        <w:rPr>
          <w:lang w:bidi="ar-QA"/>
        </w:rPr>
      </w:pPr>
      <w:r w:rsidRPr="00CE611F">
        <w:tab/>
      </w:r>
      <w:r w:rsidRPr="00CE611F">
        <w:tab/>
        <w:t>Commission nationale des droits de l</w:t>
      </w:r>
      <w:r>
        <w:t>’</w:t>
      </w:r>
      <w:r w:rsidRPr="00CE611F">
        <w:t>homme</w:t>
      </w:r>
    </w:p>
    <w:p w14:paraId="1A510789" w14:textId="77777777" w:rsidR="009E4C76" w:rsidRPr="00755AFC" w:rsidRDefault="009E4C76" w:rsidP="005D0B7C">
      <w:pPr>
        <w:pStyle w:val="SingleTxtG"/>
        <w:rPr>
          <w:lang w:bidi="ar-QA"/>
        </w:rPr>
      </w:pPr>
      <w:r w:rsidRPr="00755AFC">
        <w:rPr>
          <w:lang w:bidi="ar-QA"/>
        </w:rPr>
        <w:t>58.</w:t>
      </w:r>
      <w:r w:rsidRPr="00755AFC">
        <w:rPr>
          <w:lang w:bidi="ar-QA"/>
        </w:rPr>
        <w:tab/>
        <w:t xml:space="preserve">La Commission nationale des droits de l’homme a été créée par le décret de l’Émir </w:t>
      </w:r>
      <w:r w:rsidR="00755AFC" w:rsidRPr="00755AFC">
        <w:rPr>
          <w:lang w:val="fr-FR" w:bidi="ar-QA"/>
        </w:rPr>
        <w:t>n</w:t>
      </w:r>
      <w:r w:rsidR="00755AFC" w:rsidRPr="00755AFC">
        <w:rPr>
          <w:vertAlign w:val="superscript"/>
          <w:lang w:val="fr-FR" w:bidi="ar-QA"/>
        </w:rPr>
        <w:t>o</w:t>
      </w:r>
      <w:r w:rsidR="00755AFC" w:rsidRPr="00755AFC">
        <w:rPr>
          <w:lang w:val="fr-FR" w:bidi="ar-QA"/>
        </w:rPr>
        <w:t> </w:t>
      </w:r>
      <w:r w:rsidRPr="00755AFC">
        <w:rPr>
          <w:lang w:bidi="ar-QA"/>
        </w:rPr>
        <w:t>38 de 2002, en tant qu’institution nationale indépendante chargée de la promotion et de la protection des droits de l’homme. Le 19</w:t>
      </w:r>
      <w:r w:rsidR="00755AFC" w:rsidRPr="00755AFC">
        <w:rPr>
          <w:lang w:bidi="ar-QA"/>
        </w:rPr>
        <w:t> </w:t>
      </w:r>
      <w:r w:rsidRPr="00755AFC">
        <w:rPr>
          <w:lang w:bidi="ar-QA"/>
        </w:rPr>
        <w:t xml:space="preserve">août 2010, le décret-loi </w:t>
      </w:r>
      <w:r w:rsidR="00755AFC" w:rsidRPr="00755AFC">
        <w:rPr>
          <w:lang w:val="fr-FR" w:bidi="ar-QA"/>
        </w:rPr>
        <w:t>n</w:t>
      </w:r>
      <w:r w:rsidR="00755AFC" w:rsidRPr="00755AFC">
        <w:rPr>
          <w:vertAlign w:val="superscript"/>
          <w:lang w:val="fr-FR" w:bidi="ar-QA"/>
        </w:rPr>
        <w:t>o</w:t>
      </w:r>
      <w:r w:rsidR="00755AFC" w:rsidRPr="00755AFC">
        <w:rPr>
          <w:lang w:val="fr-FR" w:bidi="ar-QA"/>
        </w:rPr>
        <w:t> </w:t>
      </w:r>
      <w:r w:rsidR="00755AFC" w:rsidRPr="00755AFC">
        <w:rPr>
          <w:lang w:bidi="ar-QA"/>
        </w:rPr>
        <w:t>1</w:t>
      </w:r>
      <w:r w:rsidRPr="00755AFC">
        <w:rPr>
          <w:lang w:bidi="ar-QA"/>
        </w:rPr>
        <w:t>7 de 2010, portant organisation de la Commission nationale des droits de l’homme, a été édicté en vue de conférer à celle-ci davantage de garanties et de compétences conformément aux Principes de</w:t>
      </w:r>
      <w:r w:rsidR="00755AFC" w:rsidRPr="00755AFC">
        <w:rPr>
          <w:lang w:bidi="ar-QA"/>
        </w:rPr>
        <w:t> </w:t>
      </w:r>
      <w:r w:rsidRPr="00755AFC">
        <w:rPr>
          <w:lang w:bidi="ar-QA"/>
        </w:rPr>
        <w:t>Paris, auxquels toutes les institutions des droits de l’homme du monde ont vocation à se conformer. La Commission nationale des droits de l’homme a obtenu, pour la première fois en</w:t>
      </w:r>
      <w:r w:rsidR="00755AFC" w:rsidRPr="00755AFC">
        <w:rPr>
          <w:lang w:bidi="ar-QA"/>
        </w:rPr>
        <w:t> </w:t>
      </w:r>
      <w:r w:rsidRPr="00755AFC">
        <w:rPr>
          <w:lang w:bidi="ar-QA"/>
        </w:rPr>
        <w:t>2010, le statut « A » de la Commission internationale de coordination des institutions nationales pour la promotion et la protection des droits de l’homme de Genève (CIC), sachant que le même statut lui a été attribué, pour la deuxième fois consécutive, en décembre 2015 ; étant précisé qu’elle s’emploie à réaliser les objectifs suivants :</w:t>
      </w:r>
    </w:p>
    <w:p w14:paraId="319AC5F2" w14:textId="77777777" w:rsidR="009E4C76" w:rsidRPr="00CE611F" w:rsidRDefault="00755AFC" w:rsidP="00755AFC">
      <w:pPr>
        <w:pStyle w:val="Bullet1G"/>
        <w:rPr>
          <w:lang w:val="fr-FR" w:bidi="ar-QA"/>
        </w:rPr>
      </w:pPr>
      <w:r>
        <w:rPr>
          <w:lang w:val="fr-FR" w:bidi="ar-QA"/>
        </w:rPr>
        <w:t>L</w:t>
      </w:r>
      <w:r w:rsidR="009E4C76" w:rsidRPr="00CE611F">
        <w:rPr>
          <w:lang w:val="fr-FR" w:bidi="ar-QA"/>
        </w:rPr>
        <w:t>a proposition des moyens nécessaires au suivi et à la réalisation des objectifs énoncés dans les instruments internationaux relatifs aux droits de l</w:t>
      </w:r>
      <w:r w:rsidR="009E4C76">
        <w:rPr>
          <w:lang w:val="fr-FR" w:bidi="ar-QA"/>
        </w:rPr>
        <w:t>’</w:t>
      </w:r>
      <w:r w:rsidR="009E4C76" w:rsidRPr="00CE611F">
        <w:rPr>
          <w:lang w:val="fr-FR" w:bidi="ar-QA"/>
        </w:rPr>
        <w:t>homme auxquels le Qatar est désormais partie et la formulation de recommandations relatives à l</w:t>
      </w:r>
      <w:r w:rsidR="009E4C76">
        <w:rPr>
          <w:lang w:val="fr-FR" w:bidi="ar-QA"/>
        </w:rPr>
        <w:t>’</w:t>
      </w:r>
      <w:r w:rsidR="009E4C76" w:rsidRPr="00CE611F">
        <w:rPr>
          <w:lang w:val="fr-FR" w:bidi="ar-QA"/>
        </w:rPr>
        <w:t>adhésion du Qatar à d</w:t>
      </w:r>
      <w:r w:rsidR="009E4C76">
        <w:rPr>
          <w:lang w:val="fr-FR" w:bidi="ar-QA"/>
        </w:rPr>
        <w:t>’</w:t>
      </w:r>
      <w:r w:rsidR="009E4C76" w:rsidRPr="00CE611F">
        <w:rPr>
          <w:lang w:val="fr-FR" w:bidi="ar-QA"/>
        </w:rPr>
        <w:t>autres instruments ;</w:t>
      </w:r>
    </w:p>
    <w:p w14:paraId="19A8B114" w14:textId="77777777" w:rsidR="009E4C76" w:rsidRPr="00755AFC" w:rsidRDefault="00755AFC" w:rsidP="00755AFC">
      <w:pPr>
        <w:pStyle w:val="Bullet1G"/>
      </w:pPr>
      <w:r>
        <w:t>L</w:t>
      </w:r>
      <w:r w:rsidR="009E4C76" w:rsidRPr="00755AFC">
        <w:t>’émission d’avis et de recommandations à l’intention des autorités agissant dans le domaine des droits de l’homme ;</w:t>
      </w:r>
    </w:p>
    <w:p w14:paraId="779E0FC6" w14:textId="77777777" w:rsidR="009E4C76" w:rsidRPr="00755AFC" w:rsidRDefault="00755AFC" w:rsidP="00755AFC">
      <w:pPr>
        <w:pStyle w:val="Bullet1G"/>
      </w:pPr>
      <w:r>
        <w:t>L</w:t>
      </w:r>
      <w:r w:rsidR="009E4C76" w:rsidRPr="00755AFC">
        <w:t>’examen de toutes atteintes aux droits de l’homme et violations alléguées, ainsi que le traitement des informations et des plaintes recueillies ; de même que l’adoption des mesures nécessaires, en collaboration avec les autorités compétentes, et la proposition de moyens de remédiation et de solutions visant à prévenir toute répétition ;</w:t>
      </w:r>
    </w:p>
    <w:p w14:paraId="05D01206" w14:textId="77777777" w:rsidR="009E4C76" w:rsidRPr="00755AFC" w:rsidRDefault="00755AFC" w:rsidP="00755AFC">
      <w:pPr>
        <w:pStyle w:val="Bullet1G"/>
      </w:pPr>
      <w:r>
        <w:t>L</w:t>
      </w:r>
      <w:r w:rsidR="009E4C76" w:rsidRPr="00755AFC">
        <w:t>a formulation de suggestions aux autorités compétentes au sujet de la conformité de la législation en vigueur et des projets de lois aux dispositions des instruments internationaux relatifs aux droits de l’homme auxquels l’État est partie ;</w:t>
      </w:r>
    </w:p>
    <w:p w14:paraId="1A5023A8" w14:textId="77777777" w:rsidR="009E4C76" w:rsidRPr="00755AFC" w:rsidRDefault="00755AFC" w:rsidP="00755AFC">
      <w:pPr>
        <w:pStyle w:val="Bullet1G"/>
      </w:pPr>
      <w:r>
        <w:t>L</w:t>
      </w:r>
      <w:r w:rsidR="009E4C76" w:rsidRPr="00755AFC">
        <w:t>a surveillance de la situation nationale des droits de l’homme, l’élaboration des rapports y afférents et leur soumission au Conseil des ministres, accompagnés de commentaires pertinents ;</w:t>
      </w:r>
    </w:p>
    <w:p w14:paraId="0F74B5B5" w14:textId="77777777" w:rsidR="009E4C76" w:rsidRPr="00AF76A7" w:rsidRDefault="00755AFC" w:rsidP="00755AFC">
      <w:pPr>
        <w:pStyle w:val="Bullet1G"/>
      </w:pPr>
      <w:r w:rsidRPr="00AF76A7">
        <w:t>L</w:t>
      </w:r>
      <w:r w:rsidR="009E4C76" w:rsidRPr="00AF76A7">
        <w:t>e suivi de problèmes susceptibles de se poser au sujet de la situation des droits de l’homme dans le pays et la coordination</w:t>
      </w:r>
      <w:r w:rsidR="00AF76A7" w:rsidRPr="00AF76A7">
        <w:t xml:space="preserve"> avec</w:t>
      </w:r>
      <w:r w:rsidR="009E4C76" w:rsidRPr="00AF76A7">
        <w:t xml:space="preserve"> les autorités compétentes pour y remédier ;</w:t>
      </w:r>
    </w:p>
    <w:p w14:paraId="0B6B93C9" w14:textId="77777777" w:rsidR="009E4C76" w:rsidRPr="00755AFC" w:rsidRDefault="00755AFC" w:rsidP="00755AFC">
      <w:pPr>
        <w:pStyle w:val="Bullet1G"/>
      </w:pPr>
      <w:r>
        <w:t>L</w:t>
      </w:r>
      <w:r w:rsidR="009E4C76" w:rsidRPr="00755AFC">
        <w:t>a contribution à l’élaboration des rapports nationaux devant être soumis, au titre des instruments internationaux auxquels l’État est partie, aux entités et organismes internationaux de protection des droits de l’homme ;</w:t>
      </w:r>
    </w:p>
    <w:p w14:paraId="39112DE2" w14:textId="77777777" w:rsidR="009E4C76" w:rsidRPr="00755AFC" w:rsidRDefault="00755AFC" w:rsidP="00755AFC">
      <w:pPr>
        <w:pStyle w:val="Bullet1G"/>
      </w:pPr>
      <w:r>
        <w:t>L</w:t>
      </w:r>
      <w:r w:rsidR="009E4C76" w:rsidRPr="00755AFC">
        <w:t>a collaboration avec les organisations internationales, régionales et nationales compétentes en matière de protection des droits de l’homme et des libertés et la participation aux manifestations internationales y afférentes ;</w:t>
      </w:r>
    </w:p>
    <w:p w14:paraId="631A02DA" w14:textId="77777777" w:rsidR="009E4C76" w:rsidRPr="00755AFC" w:rsidRDefault="00755AFC" w:rsidP="00755AFC">
      <w:pPr>
        <w:pStyle w:val="Bullet1G"/>
      </w:pPr>
      <w:r>
        <w:t>L</w:t>
      </w:r>
      <w:r w:rsidR="009E4C76" w:rsidRPr="00755AFC">
        <w:t>a sensibilisation aux droits de l’homme et aux libertés et la promotion de leur enseignement théorique et pratique ;</w:t>
      </w:r>
    </w:p>
    <w:p w14:paraId="77EC5788" w14:textId="77777777" w:rsidR="009E4C76" w:rsidRPr="00755AFC" w:rsidRDefault="00755AFC" w:rsidP="00755AFC">
      <w:pPr>
        <w:pStyle w:val="Bullet1G"/>
      </w:pPr>
      <w:r>
        <w:t>L</w:t>
      </w:r>
      <w:r w:rsidR="009E4C76" w:rsidRPr="00755AFC">
        <w:t>’organisation de visites des établissements pénitentiaires et correctionnels, des lieux de détention, des quartiers de travailleurs et des centres sanitaires et éducatifs en vue d’observer la situation des droits de l’homme en leur sein, sachant que lesdites visites sont effectuées par le Président de la Commission et les membres ;</w:t>
      </w:r>
    </w:p>
    <w:p w14:paraId="40E703A7" w14:textId="77777777" w:rsidR="009E4C76" w:rsidRPr="00755AFC" w:rsidRDefault="00755AFC" w:rsidP="00755AFC">
      <w:pPr>
        <w:pStyle w:val="Bullet1G"/>
      </w:pPr>
      <w:r>
        <w:t>L</w:t>
      </w:r>
      <w:r w:rsidR="009E4C76" w:rsidRPr="00755AFC">
        <w:t>a coopération et la collaboration avec les organes compétents en matière de droits de l’homme du pays dans le cadre de leurs domaines de compétence respectifs et conformément à leurs attributions ;</w:t>
      </w:r>
    </w:p>
    <w:p w14:paraId="7983F242" w14:textId="77777777" w:rsidR="009E4C76" w:rsidRPr="00755AFC" w:rsidRDefault="00755AFC" w:rsidP="00755AFC">
      <w:pPr>
        <w:pStyle w:val="Bullet1G"/>
      </w:pPr>
      <w:r>
        <w:t>L</w:t>
      </w:r>
      <w:r w:rsidR="009E4C76" w:rsidRPr="00755AFC">
        <w:t>’organisation de conférences, de séminaires, de sessions de formation et de tables rondes au sujet de thèmes liés aux droits de l’homme et aux libertés et la coordination de ces activités avec celles des autorités compétentes, le cas échéant ;</w:t>
      </w:r>
    </w:p>
    <w:p w14:paraId="55F1D0F3" w14:textId="77777777" w:rsidR="009E4C76" w:rsidRPr="00755AFC" w:rsidRDefault="00755AFC" w:rsidP="00755AFC">
      <w:pPr>
        <w:pStyle w:val="Bullet1G"/>
        <w:rPr>
          <w:rtl/>
        </w:rPr>
      </w:pPr>
      <w:r>
        <w:t>L</w:t>
      </w:r>
      <w:r w:rsidR="009E4C76" w:rsidRPr="00755AFC">
        <w:t>a contribution à l’élaboration de programmes d’éducation et de recherche en matière de droits de l’homme et la participation à leur réalisation.</w:t>
      </w:r>
    </w:p>
    <w:p w14:paraId="38E9E799" w14:textId="77777777" w:rsidR="009E4C76" w:rsidRPr="0081281E" w:rsidRDefault="009E4C76" w:rsidP="0081281E">
      <w:pPr>
        <w:pStyle w:val="SingleTxtG"/>
      </w:pPr>
      <w:r w:rsidRPr="0081281E">
        <w:t>59.</w:t>
      </w:r>
      <w:r w:rsidRPr="0081281E">
        <w:tab/>
        <w:t>L’article</w:t>
      </w:r>
      <w:r w:rsidR="008639E6" w:rsidRPr="0081281E">
        <w:t> </w:t>
      </w:r>
      <w:r w:rsidRPr="0081281E">
        <w:t xml:space="preserve">16 du décret-loi </w:t>
      </w:r>
      <w:r w:rsidR="008639E6" w:rsidRPr="0081281E">
        <w:t>n</w:t>
      </w:r>
      <w:r w:rsidR="008639E6" w:rsidRPr="0081281E">
        <w:rPr>
          <w:vertAlign w:val="superscript"/>
        </w:rPr>
        <w:t>o</w:t>
      </w:r>
      <w:r w:rsidR="008639E6" w:rsidRPr="0081281E">
        <w:t> </w:t>
      </w:r>
      <w:r w:rsidRPr="0081281E">
        <w:t>17 de 2010 dispose ce qui suit : « Les ministères, services gouvernementaux et institutions publiques collaborent avec la Commission concernant l’accomplissement de ses missions et l’exercice de ses compétences et lui fournissent toutes les informations et données dont elle a besoin à cet effet. La Commission peut inviter tout représentant de ces entités à assister à ses réunions, sans droit de vote ».</w:t>
      </w:r>
    </w:p>
    <w:p w14:paraId="0066B2F3" w14:textId="77777777" w:rsidR="009E4C76" w:rsidRPr="0081281E" w:rsidRDefault="009E4C76" w:rsidP="0081281E">
      <w:pPr>
        <w:pStyle w:val="SingleTxtG"/>
      </w:pPr>
      <w:r w:rsidRPr="0081281E">
        <w:t>60.</w:t>
      </w:r>
      <w:r w:rsidRPr="0081281E">
        <w:tab/>
        <w:t>La Commission soumet un rapport semestriel au Conseil des ministres, comportant une étude de la législation et de la situation des droits de l’homme, incluant un compte</w:t>
      </w:r>
      <w:r w:rsidR="009723EB">
        <w:t>−</w:t>
      </w:r>
      <w:r w:rsidRPr="0081281E">
        <w:t>rendu de ses activités, ainsi que ses recommandations. Conformément au principe de transparence et pour renforcer la sensibilisation de l’opinion aux droits de l’homme, la</w:t>
      </w:r>
      <w:r w:rsidR="00D56671">
        <w:t> </w:t>
      </w:r>
      <w:r w:rsidRPr="0081281E">
        <w:t>Commission publie son rapport annuel sur son site (www.nhrc-qa.org).</w:t>
      </w:r>
    </w:p>
    <w:p w14:paraId="7EEBC9FF" w14:textId="77777777" w:rsidR="009E4C76" w:rsidRPr="0081281E" w:rsidRDefault="009E4C76" w:rsidP="0081281E">
      <w:pPr>
        <w:pStyle w:val="SingleTxtG"/>
      </w:pPr>
      <w:r w:rsidRPr="0081281E">
        <w:t>61.</w:t>
      </w:r>
      <w:r w:rsidRPr="0081281E">
        <w:tab/>
        <w:t>La Commission recueille les allégations de violations des droits de l’homme et s’emploie à donner suite à la plupart d’entre elles. De même, elle examine la législation interne et évalue sa conformité par rapport aux instruments internationaux. Elle encourage l’État à ratifier les instruments internationaux ou régionaux relatifs aux droits de l’homme et à y adhérer et fait part de ses observations et commentaires concernant les rapports que l’État a vocation à présenter aux organes et comités des Nations</w:t>
      </w:r>
      <w:r w:rsidR="00D56671">
        <w:t> </w:t>
      </w:r>
      <w:r w:rsidRPr="0081281E">
        <w:t>Unies, ainsi qu’aux institutions régionales des droits de l’homme. Elle prend toutes les mesures juridiques nécessaires pour protéger les droits de l’homme et accorde des aides juridictionnelles dans les limites de ses compétences. Elle fait office de médiateur ou de conciliateur entre les parties pour résoudre les différends à l’amiable, avant ou après les recours en justice.</w:t>
      </w:r>
    </w:p>
    <w:p w14:paraId="36B144E8" w14:textId="77777777" w:rsidR="009E4C76" w:rsidRPr="0081281E" w:rsidRDefault="009E4C76" w:rsidP="0081281E">
      <w:pPr>
        <w:pStyle w:val="SingleTxtG"/>
        <w:rPr>
          <w:rtl/>
        </w:rPr>
      </w:pPr>
      <w:r w:rsidRPr="0081281E">
        <w:t>62.</w:t>
      </w:r>
      <w:r w:rsidRPr="0081281E">
        <w:tab/>
        <w:t>La Commission collabore étroitement avec les organisations internationales, notamment le Haut-Commissariat aux droits de l’homme.</w:t>
      </w:r>
      <w:bookmarkStart w:id="39" w:name="_Toc281916937"/>
      <w:bookmarkStart w:id="40" w:name="_Toc282337901"/>
    </w:p>
    <w:p w14:paraId="49AD5784" w14:textId="77777777" w:rsidR="009E4C76" w:rsidRPr="00CE611F" w:rsidRDefault="009E4C76" w:rsidP="00D56671">
      <w:pPr>
        <w:pStyle w:val="H4G"/>
        <w:rPr>
          <w:rtl/>
          <w:lang w:bidi="fr-FR"/>
        </w:rPr>
      </w:pPr>
      <w:r w:rsidRPr="00CE611F">
        <w:rPr>
          <w:lang w:bidi="ar-QA"/>
        </w:rPr>
        <w:tab/>
      </w:r>
      <w:r w:rsidRPr="00CE611F">
        <w:rPr>
          <w:lang w:bidi="ar-QA"/>
        </w:rPr>
        <w:tab/>
        <w:t>Agence nationale d</w:t>
      </w:r>
      <w:r>
        <w:rPr>
          <w:lang w:bidi="ar-QA"/>
        </w:rPr>
        <w:t>’</w:t>
      </w:r>
      <w:r w:rsidRPr="00CE611F">
        <w:rPr>
          <w:lang w:bidi="ar-QA"/>
        </w:rPr>
        <w:t>action sociale</w:t>
      </w:r>
    </w:p>
    <w:p w14:paraId="1A0337A0" w14:textId="77777777" w:rsidR="009E4C76" w:rsidRPr="00CE611F" w:rsidRDefault="009E4C76" w:rsidP="005D0B7C">
      <w:pPr>
        <w:pStyle w:val="SingleTxtG"/>
        <w:rPr>
          <w:rtl/>
          <w:lang w:bidi="fr-FR"/>
        </w:rPr>
      </w:pPr>
      <w:r w:rsidRPr="00CE611F">
        <w:rPr>
          <w:lang w:bidi="ar-QA"/>
        </w:rPr>
        <w:t>63.</w:t>
      </w:r>
      <w:r w:rsidRPr="00CE611F">
        <w:rPr>
          <w:lang w:bidi="ar-QA"/>
        </w:rPr>
        <w:tab/>
        <w:t>Créée en 2013 en tant qu</w:t>
      </w:r>
      <w:r>
        <w:rPr>
          <w:lang w:bidi="ar-QA"/>
        </w:rPr>
        <w:t>’</w:t>
      </w:r>
      <w:r w:rsidRPr="00CE611F">
        <w:rPr>
          <w:lang w:bidi="ar-QA"/>
        </w:rPr>
        <w:t>instance de haut niveau, l</w:t>
      </w:r>
      <w:r>
        <w:rPr>
          <w:lang w:bidi="ar-QA"/>
        </w:rPr>
        <w:t>’</w:t>
      </w:r>
      <w:r w:rsidRPr="00CE611F">
        <w:rPr>
          <w:lang w:bidi="ar-QA"/>
        </w:rPr>
        <w:t>Agence nationale d</w:t>
      </w:r>
      <w:r>
        <w:rPr>
          <w:lang w:bidi="ar-QA"/>
        </w:rPr>
        <w:t>’</w:t>
      </w:r>
      <w:r w:rsidRPr="00CE611F">
        <w:rPr>
          <w:lang w:bidi="ar-QA"/>
        </w:rPr>
        <w:t>action sociale assure par le biais d</w:t>
      </w:r>
      <w:r>
        <w:rPr>
          <w:lang w:bidi="ar-QA"/>
        </w:rPr>
        <w:t>’</w:t>
      </w:r>
      <w:r w:rsidRPr="00CE611F">
        <w:rPr>
          <w:lang w:bidi="ar-QA"/>
        </w:rPr>
        <w:t>un Conseil d</w:t>
      </w:r>
      <w:r>
        <w:rPr>
          <w:lang w:bidi="ar-QA"/>
        </w:rPr>
        <w:t>’</w:t>
      </w:r>
      <w:r w:rsidRPr="00CE611F">
        <w:rPr>
          <w:lang w:bidi="ar-QA"/>
        </w:rPr>
        <w:t>administration unifié la supervision et le contrôle des institutions et des centres agissant dans le domaine de l</w:t>
      </w:r>
      <w:r>
        <w:rPr>
          <w:lang w:bidi="ar-QA"/>
        </w:rPr>
        <w:t>’</w:t>
      </w:r>
      <w:r w:rsidRPr="00CE611F">
        <w:rPr>
          <w:lang w:bidi="ar-QA"/>
        </w:rPr>
        <w:t>action sociale, sachant qu</w:t>
      </w:r>
      <w:r>
        <w:rPr>
          <w:lang w:bidi="ar-QA"/>
        </w:rPr>
        <w:t>’</w:t>
      </w:r>
      <w:r w:rsidRPr="00CE611F">
        <w:rPr>
          <w:lang w:bidi="ar-QA"/>
        </w:rPr>
        <w:t>elle est chargée d</w:t>
      </w:r>
      <w:r>
        <w:rPr>
          <w:lang w:bidi="ar-QA"/>
        </w:rPr>
        <w:t>’</w:t>
      </w:r>
      <w:r w:rsidRPr="00CE611F">
        <w:rPr>
          <w:lang w:bidi="ar-QA"/>
        </w:rPr>
        <w:t>élaborer et de développer des plans, programmes, politiques et stratégies permettant de réaliser les objectifs des organisations de la société civile et d</w:t>
      </w:r>
      <w:r>
        <w:rPr>
          <w:lang w:bidi="ar-QA"/>
        </w:rPr>
        <w:t>’</w:t>
      </w:r>
      <w:r w:rsidRPr="00CE611F">
        <w:rPr>
          <w:lang w:bidi="ar-QA"/>
        </w:rPr>
        <w:t xml:space="preserve">assurer le suivi de leur mise en </w:t>
      </w:r>
      <w:r w:rsidR="00D56671" w:rsidRPr="00CE611F">
        <w:rPr>
          <w:lang w:bidi="ar-QA"/>
        </w:rPr>
        <w:t>œuvre</w:t>
      </w:r>
      <w:r w:rsidRPr="00CE611F">
        <w:rPr>
          <w:lang w:bidi="ar-QA"/>
        </w:rPr>
        <w:t>, en collaboration et en coordination avec les ministères, organes gouvernementaux et institutions publiques et privées, tant au Qatar qu</w:t>
      </w:r>
      <w:r>
        <w:rPr>
          <w:lang w:bidi="ar-QA"/>
        </w:rPr>
        <w:t>’</w:t>
      </w:r>
      <w:r w:rsidRPr="00CE611F">
        <w:rPr>
          <w:lang w:bidi="ar-QA"/>
        </w:rPr>
        <w:t>à l</w:t>
      </w:r>
      <w:r>
        <w:rPr>
          <w:lang w:bidi="ar-QA"/>
        </w:rPr>
        <w:t>’</w:t>
      </w:r>
      <w:r w:rsidRPr="00CE611F">
        <w:rPr>
          <w:lang w:bidi="ar-QA"/>
        </w:rPr>
        <w:t>étranger ; étant précisé qu</w:t>
      </w:r>
      <w:r>
        <w:rPr>
          <w:lang w:bidi="ar-QA"/>
        </w:rPr>
        <w:t>’</w:t>
      </w:r>
      <w:r w:rsidRPr="00CE611F">
        <w:rPr>
          <w:lang w:bidi="ar-QA"/>
        </w:rPr>
        <w:t>elle supervise les centres et institutions ci-après : le Centre de protection et de réadaptation sociale, le Centre de consultation familiale, le Centre de protection des orphelins, le Centre d</w:t>
      </w:r>
      <w:r>
        <w:rPr>
          <w:lang w:bidi="ar-QA"/>
        </w:rPr>
        <w:t>’</w:t>
      </w:r>
      <w:r w:rsidRPr="00CE611F">
        <w:rPr>
          <w:lang w:bidi="ar-QA"/>
        </w:rPr>
        <w:t>aide et de protection des personnes âgées, le Centre Shafallah d</w:t>
      </w:r>
      <w:r>
        <w:rPr>
          <w:lang w:bidi="ar-QA"/>
        </w:rPr>
        <w:t>’</w:t>
      </w:r>
      <w:r w:rsidRPr="00CE611F">
        <w:rPr>
          <w:lang w:bidi="ar-QA"/>
        </w:rPr>
        <w:t>aide aux personnes handicapées, le Centre de développement social et l</w:t>
      </w:r>
      <w:r>
        <w:rPr>
          <w:lang w:bidi="ar-QA"/>
        </w:rPr>
        <w:t>’</w:t>
      </w:r>
      <w:r w:rsidRPr="00CE611F">
        <w:rPr>
          <w:lang w:bidi="ar-QA"/>
        </w:rPr>
        <w:t>Initiative Best Buddies (Qatar). L</w:t>
      </w:r>
      <w:r>
        <w:rPr>
          <w:lang w:bidi="ar-QA"/>
        </w:rPr>
        <w:t>’</w:t>
      </w:r>
      <w:r w:rsidRPr="00CE611F">
        <w:rPr>
          <w:lang w:bidi="ar-QA"/>
        </w:rPr>
        <w:t>Agence exerce ses missions dans des domaines visant à revaloriser le concept de volontariat et de « développement », afin de réaffirmer le droit de toute personne de ne pas subir de stigmatisation ou d</w:t>
      </w:r>
      <w:r>
        <w:rPr>
          <w:lang w:bidi="ar-QA"/>
        </w:rPr>
        <w:t>’</w:t>
      </w:r>
      <w:r w:rsidRPr="00CE611F">
        <w:rPr>
          <w:lang w:bidi="ar-QA"/>
        </w:rPr>
        <w:t>exclusion sociale du fait d</w:t>
      </w:r>
      <w:r>
        <w:rPr>
          <w:lang w:bidi="ar-QA"/>
        </w:rPr>
        <w:t>’</w:t>
      </w:r>
      <w:r w:rsidRPr="00CE611F">
        <w:rPr>
          <w:lang w:bidi="ar-QA"/>
        </w:rPr>
        <w:t>un handicap ou d</w:t>
      </w:r>
      <w:r>
        <w:rPr>
          <w:lang w:bidi="ar-QA"/>
        </w:rPr>
        <w:t>’</w:t>
      </w:r>
      <w:r w:rsidRPr="00CE611F">
        <w:rPr>
          <w:lang w:bidi="ar-QA"/>
        </w:rPr>
        <w:t>une autre vulnérabilité, tout en promouvant la cohésion familiale et le droit des personnes handicapées au développement. L</w:t>
      </w:r>
      <w:r>
        <w:rPr>
          <w:lang w:bidi="ar-QA"/>
        </w:rPr>
        <w:t>’</w:t>
      </w:r>
      <w:r w:rsidRPr="00CE611F">
        <w:rPr>
          <w:lang w:bidi="ar-QA"/>
        </w:rPr>
        <w:t>Agence s</w:t>
      </w:r>
      <w:r>
        <w:rPr>
          <w:lang w:bidi="ar-QA"/>
        </w:rPr>
        <w:t>’</w:t>
      </w:r>
      <w:r w:rsidRPr="00CE611F">
        <w:rPr>
          <w:lang w:bidi="ar-QA"/>
        </w:rPr>
        <w:t>emploie également à lutter contre la violence domestique, à autonomiser les femmes, à renforcer les capacités des jeunes, à autonomiser les personnes âgées sans qu</w:t>
      </w:r>
      <w:r>
        <w:rPr>
          <w:lang w:bidi="ar-QA"/>
        </w:rPr>
        <w:t>’</w:t>
      </w:r>
      <w:r w:rsidRPr="00CE611F">
        <w:rPr>
          <w:lang w:bidi="ar-QA"/>
        </w:rPr>
        <w:t>elles aient le sentiment d</w:t>
      </w:r>
      <w:r>
        <w:rPr>
          <w:lang w:bidi="ar-QA"/>
        </w:rPr>
        <w:t>’</w:t>
      </w:r>
      <w:r w:rsidRPr="00CE611F">
        <w:rPr>
          <w:lang w:bidi="ar-QA"/>
        </w:rPr>
        <w:t>inspirer la pitié ou de constituer un fardeau, à assurer la réadaptation des personnes et leur réinsertion sociale, ainsi qu</w:t>
      </w:r>
      <w:r>
        <w:rPr>
          <w:lang w:bidi="ar-QA"/>
        </w:rPr>
        <w:t>’</w:t>
      </w:r>
      <w:r w:rsidRPr="00CE611F">
        <w:rPr>
          <w:lang w:bidi="ar-QA"/>
        </w:rPr>
        <w:t>à élaborer des programmes de protection et de prévention, en collaboration avec les différents organismes publics. Dans cette perspective, l</w:t>
      </w:r>
      <w:r>
        <w:rPr>
          <w:lang w:bidi="ar-QA"/>
        </w:rPr>
        <w:t>’</w:t>
      </w:r>
      <w:r w:rsidRPr="00CE611F">
        <w:rPr>
          <w:lang w:bidi="ar-QA"/>
        </w:rPr>
        <w:t>Agence qatarie d</w:t>
      </w:r>
      <w:r>
        <w:rPr>
          <w:lang w:bidi="ar-QA"/>
        </w:rPr>
        <w:t>’</w:t>
      </w:r>
      <w:r w:rsidRPr="00CE611F">
        <w:rPr>
          <w:lang w:bidi="ar-QA"/>
        </w:rPr>
        <w:t>action sociale et les centres qui en dépendent ont contribué à l</w:t>
      </w:r>
      <w:r>
        <w:rPr>
          <w:lang w:bidi="ar-QA"/>
        </w:rPr>
        <w:t>’</w:t>
      </w:r>
      <w:r w:rsidRPr="00CE611F">
        <w:rPr>
          <w:lang w:bidi="ar-QA"/>
        </w:rPr>
        <w:t>élaboration des huit stratégies sectorielles de la deuxième Stratégie nationale de développement (2017-2022). Elle a également supervisé l</w:t>
      </w:r>
      <w:r>
        <w:rPr>
          <w:lang w:bidi="ar-QA"/>
        </w:rPr>
        <w:t>’</w:t>
      </w:r>
      <w:r w:rsidRPr="00CE611F">
        <w:rPr>
          <w:lang w:bidi="ar-QA"/>
        </w:rPr>
        <w:t>élaboration d</w:t>
      </w:r>
      <w:r>
        <w:rPr>
          <w:lang w:bidi="ar-QA"/>
        </w:rPr>
        <w:t>’</w:t>
      </w:r>
      <w:r w:rsidRPr="00CE611F">
        <w:rPr>
          <w:lang w:bidi="ar-QA"/>
        </w:rPr>
        <w:t>environ 55</w:t>
      </w:r>
      <w:r w:rsidR="00D56671">
        <w:rPr>
          <w:lang w:bidi="ar-QA"/>
        </w:rPr>
        <w:t> </w:t>
      </w:r>
      <w:r w:rsidRPr="00CE611F">
        <w:rPr>
          <w:lang w:bidi="ar-QA"/>
        </w:rPr>
        <w:t>plans, programmes et projets de création et de développement couvrant les différents domaines d</w:t>
      </w:r>
      <w:r>
        <w:rPr>
          <w:lang w:bidi="ar-QA"/>
        </w:rPr>
        <w:t>’</w:t>
      </w:r>
      <w:r w:rsidRPr="00CE611F">
        <w:rPr>
          <w:lang w:bidi="ar-QA"/>
        </w:rPr>
        <w:t>activité des centres, ciblant aussi bien les groupes concernés par l</w:t>
      </w:r>
      <w:r>
        <w:rPr>
          <w:lang w:bidi="ar-QA"/>
        </w:rPr>
        <w:t>’</w:t>
      </w:r>
      <w:r w:rsidRPr="00CE611F">
        <w:rPr>
          <w:lang w:bidi="ar-QA"/>
        </w:rPr>
        <w:t>action des centres que d</w:t>
      </w:r>
      <w:r>
        <w:rPr>
          <w:lang w:bidi="ar-QA"/>
        </w:rPr>
        <w:t>’</w:t>
      </w:r>
      <w:r w:rsidRPr="00CE611F">
        <w:rPr>
          <w:lang w:bidi="ar-QA"/>
        </w:rPr>
        <w:t>autres fractions de la population, en abordant des aspects importants concernant notamment le handicap, les services de conseil aux familles, la lutte contre la violence et l</w:t>
      </w:r>
      <w:r>
        <w:rPr>
          <w:lang w:bidi="ar-QA"/>
        </w:rPr>
        <w:t>’</w:t>
      </w:r>
      <w:r w:rsidRPr="00CE611F">
        <w:rPr>
          <w:lang w:bidi="ar-QA"/>
        </w:rPr>
        <w:t>autonomisation des personnes âgées et des orphelins. L</w:t>
      </w:r>
      <w:r>
        <w:rPr>
          <w:lang w:bidi="ar-QA"/>
        </w:rPr>
        <w:t>’</w:t>
      </w:r>
      <w:r w:rsidRPr="00CE611F">
        <w:rPr>
          <w:lang w:bidi="ar-QA"/>
        </w:rPr>
        <w:t xml:space="preserve">Agence a également signé des </w:t>
      </w:r>
      <w:r w:rsidR="00F06DE2">
        <w:rPr>
          <w:lang w:bidi="ar-QA"/>
        </w:rPr>
        <w:t>m</w:t>
      </w:r>
      <w:r w:rsidRPr="00CE611F">
        <w:rPr>
          <w:lang w:bidi="ar-QA"/>
        </w:rPr>
        <w:t>émorandums d</w:t>
      </w:r>
      <w:r>
        <w:rPr>
          <w:lang w:bidi="ar-QA"/>
        </w:rPr>
        <w:t>’</w:t>
      </w:r>
      <w:r w:rsidRPr="00CE611F">
        <w:rPr>
          <w:lang w:bidi="ar-QA"/>
        </w:rPr>
        <w:t xml:space="preserve">accord avec la Ligue des États arabes en matière de renforcement de la coopération technique pour la mise en </w:t>
      </w:r>
      <w:r w:rsidR="00D56671" w:rsidRPr="00CE611F">
        <w:rPr>
          <w:lang w:bidi="ar-QA"/>
        </w:rPr>
        <w:t>œuvre</w:t>
      </w:r>
      <w:r w:rsidRPr="00CE611F">
        <w:rPr>
          <w:lang w:bidi="ar-QA"/>
        </w:rPr>
        <w:t xml:space="preserve"> des objectifs de la Décennie arabe pour les organisations de la société civile, un </w:t>
      </w:r>
      <w:r w:rsidR="00F06DE2">
        <w:rPr>
          <w:lang w:bidi="ar-QA"/>
        </w:rPr>
        <w:t>m</w:t>
      </w:r>
      <w:r w:rsidRPr="00CE611F">
        <w:rPr>
          <w:lang w:bidi="ar-QA"/>
        </w:rPr>
        <w:t>émorandum d</w:t>
      </w:r>
      <w:r>
        <w:rPr>
          <w:lang w:bidi="ar-QA"/>
        </w:rPr>
        <w:t>’</w:t>
      </w:r>
      <w:r w:rsidRPr="00CE611F">
        <w:rPr>
          <w:lang w:bidi="ar-QA"/>
        </w:rPr>
        <w:t>accord avec le Fonds des Nations</w:t>
      </w:r>
      <w:r w:rsidR="00D56671">
        <w:rPr>
          <w:lang w:bidi="ar-QA"/>
        </w:rPr>
        <w:t> </w:t>
      </w:r>
      <w:r w:rsidRPr="00CE611F">
        <w:rPr>
          <w:lang w:bidi="ar-QA"/>
        </w:rPr>
        <w:t>Unies pour la population (FNUAP) visant à renforcer la coopération conjointe, ainsi que d</w:t>
      </w:r>
      <w:r>
        <w:rPr>
          <w:lang w:bidi="ar-QA"/>
        </w:rPr>
        <w:t>’</w:t>
      </w:r>
      <w:r w:rsidRPr="00CE611F">
        <w:rPr>
          <w:lang w:bidi="ar-QA"/>
        </w:rPr>
        <w:t>autres mémorandums avec un certain nombre d</w:t>
      </w:r>
      <w:r>
        <w:rPr>
          <w:lang w:bidi="ar-QA"/>
        </w:rPr>
        <w:t>’</w:t>
      </w:r>
      <w:r w:rsidRPr="00CE611F">
        <w:rPr>
          <w:lang w:bidi="ar-QA"/>
        </w:rPr>
        <w:t>agences et d</w:t>
      </w:r>
      <w:r>
        <w:rPr>
          <w:lang w:bidi="ar-QA"/>
        </w:rPr>
        <w:t>’</w:t>
      </w:r>
      <w:r w:rsidRPr="00CE611F">
        <w:rPr>
          <w:lang w:bidi="ar-QA"/>
        </w:rPr>
        <w:t>organisations locales.</w:t>
      </w:r>
    </w:p>
    <w:p w14:paraId="0879B258" w14:textId="77777777" w:rsidR="009E4C76" w:rsidRPr="00CE611F" w:rsidRDefault="009E4C76" w:rsidP="00AA063D">
      <w:pPr>
        <w:pStyle w:val="H23G"/>
        <w:rPr>
          <w:rtl/>
          <w:lang w:bidi="fr-FR"/>
        </w:rPr>
      </w:pPr>
      <w:r w:rsidRPr="00CE611F">
        <w:rPr>
          <w:lang w:bidi="ar-QA"/>
        </w:rPr>
        <w:tab/>
      </w:r>
      <w:r w:rsidRPr="00CE611F">
        <w:rPr>
          <w:lang w:bidi="ar-QA"/>
        </w:rPr>
        <w:tab/>
        <w:t>Organismes gouvernementaux</w:t>
      </w:r>
      <w:bookmarkStart w:id="41" w:name="_Toc281916938"/>
      <w:bookmarkStart w:id="42" w:name="_Toc282337902"/>
      <w:bookmarkEnd w:id="39"/>
      <w:bookmarkEnd w:id="40"/>
    </w:p>
    <w:p w14:paraId="3FBB9CCE" w14:textId="77777777" w:rsidR="009E4C76" w:rsidRPr="00CE611F" w:rsidRDefault="009E4C76" w:rsidP="00AA063D">
      <w:pPr>
        <w:pStyle w:val="H23G"/>
        <w:rPr>
          <w:rtl/>
          <w:lang w:bidi="fr-FR"/>
        </w:rPr>
      </w:pPr>
      <w:r w:rsidRPr="00CE611F">
        <w:rPr>
          <w:lang w:bidi="ar-QA"/>
        </w:rPr>
        <w:tab/>
      </w:r>
      <w:r w:rsidRPr="00CE611F">
        <w:rPr>
          <w:lang w:bidi="ar-QA"/>
        </w:rPr>
        <w:tab/>
      </w:r>
      <w:r>
        <w:rPr>
          <w:lang w:bidi="ar-QA"/>
        </w:rPr>
        <w:t>S</w:t>
      </w:r>
      <w:r w:rsidRPr="00CE611F">
        <w:rPr>
          <w:lang w:bidi="ar-QA"/>
        </w:rPr>
        <w:t>ervices compétents des ministères</w:t>
      </w:r>
      <w:bookmarkEnd w:id="41"/>
      <w:bookmarkEnd w:id="42"/>
    </w:p>
    <w:p w14:paraId="1B7B6594" w14:textId="77777777" w:rsidR="009E4C76" w:rsidRPr="00CE611F" w:rsidRDefault="009E4C76" w:rsidP="005D0B7C">
      <w:pPr>
        <w:pStyle w:val="SingleTxtG"/>
        <w:rPr>
          <w:rtl/>
          <w:lang w:bidi="fr-FR"/>
        </w:rPr>
      </w:pPr>
      <w:r w:rsidRPr="00CE611F">
        <w:rPr>
          <w:lang w:bidi="ar-QA"/>
        </w:rPr>
        <w:t>64.</w:t>
      </w:r>
      <w:r w:rsidRPr="00CE611F">
        <w:rPr>
          <w:lang w:bidi="ar-QA"/>
        </w:rPr>
        <w:tab/>
        <w:t>De nombreux services chargés des droits de l</w:t>
      </w:r>
      <w:r>
        <w:rPr>
          <w:lang w:bidi="ar-QA"/>
        </w:rPr>
        <w:t>’</w:t>
      </w:r>
      <w:r w:rsidRPr="00CE611F">
        <w:rPr>
          <w:lang w:bidi="ar-QA"/>
        </w:rPr>
        <w:t>homme ont été mis en place au sein des ministères et autres organes gouvernementaux, tels que :</w:t>
      </w:r>
    </w:p>
    <w:p w14:paraId="67F490F7" w14:textId="77777777" w:rsidR="009E4C76" w:rsidRPr="00CE611F" w:rsidRDefault="009E4C76" w:rsidP="00AA063D">
      <w:pPr>
        <w:pStyle w:val="H4G"/>
        <w:rPr>
          <w:rtl/>
          <w:lang w:bidi="fr-FR"/>
        </w:rPr>
      </w:pPr>
      <w:r w:rsidRPr="00CE611F">
        <w:rPr>
          <w:lang w:bidi="ar-QA"/>
        </w:rPr>
        <w:tab/>
      </w:r>
      <w:r w:rsidRPr="00CE611F">
        <w:rPr>
          <w:lang w:bidi="ar-QA"/>
        </w:rPr>
        <w:tab/>
        <w:t>Le Bureau des droits de l</w:t>
      </w:r>
      <w:r>
        <w:rPr>
          <w:lang w:bidi="ar-QA"/>
        </w:rPr>
        <w:t>’</w:t>
      </w:r>
      <w:r w:rsidRPr="00CE611F">
        <w:rPr>
          <w:lang w:bidi="ar-QA"/>
        </w:rPr>
        <w:t>homme du Ministère de l</w:t>
      </w:r>
      <w:r>
        <w:rPr>
          <w:lang w:bidi="ar-QA"/>
        </w:rPr>
        <w:t>’</w:t>
      </w:r>
      <w:r w:rsidR="00F06DE2">
        <w:rPr>
          <w:lang w:bidi="ar-QA"/>
        </w:rPr>
        <w:t>i</w:t>
      </w:r>
      <w:r w:rsidRPr="00CE611F">
        <w:rPr>
          <w:lang w:bidi="ar-QA"/>
        </w:rPr>
        <w:t>ntérieur</w:t>
      </w:r>
    </w:p>
    <w:p w14:paraId="2C6A4865" w14:textId="77777777" w:rsidR="009E4C76" w:rsidRPr="00CE611F" w:rsidRDefault="009E4C76" w:rsidP="005D0B7C">
      <w:pPr>
        <w:pStyle w:val="SingleTxtG"/>
        <w:rPr>
          <w:lang w:bidi="ar-QA"/>
        </w:rPr>
      </w:pPr>
      <w:r w:rsidRPr="00CE611F">
        <w:rPr>
          <w:lang w:bidi="ar-QA"/>
        </w:rPr>
        <w:t>65.</w:t>
      </w:r>
      <w:r w:rsidRPr="00CE611F">
        <w:rPr>
          <w:lang w:bidi="ar-QA"/>
        </w:rPr>
        <w:tab/>
        <w:t>Conformément à la Constitution permanente de l</w:t>
      </w:r>
      <w:r>
        <w:rPr>
          <w:lang w:bidi="ar-QA"/>
        </w:rPr>
        <w:t>’</w:t>
      </w:r>
      <w:r w:rsidRPr="00CE611F">
        <w:rPr>
          <w:lang w:bidi="ar-QA"/>
        </w:rPr>
        <w:t>État du Qatar, qui accorde une attention particulière aux droits et libertés, et compte tenu de l</w:t>
      </w:r>
      <w:r>
        <w:rPr>
          <w:lang w:bidi="ar-QA"/>
        </w:rPr>
        <w:t>’</w:t>
      </w:r>
      <w:r w:rsidRPr="00CE611F">
        <w:rPr>
          <w:lang w:bidi="ar-QA"/>
        </w:rPr>
        <w:t>engagement du Ministère de l</w:t>
      </w:r>
      <w:r>
        <w:rPr>
          <w:lang w:bidi="ar-QA"/>
        </w:rPr>
        <w:t>’</w:t>
      </w:r>
      <w:r w:rsidRPr="00CE611F">
        <w:rPr>
          <w:lang w:bidi="ar-QA"/>
        </w:rPr>
        <w:t>intérieur de promouvoir les droits de l</w:t>
      </w:r>
      <w:r>
        <w:rPr>
          <w:lang w:bidi="ar-QA"/>
        </w:rPr>
        <w:t>’</w:t>
      </w:r>
      <w:r w:rsidRPr="00CE611F">
        <w:rPr>
          <w:lang w:bidi="ar-QA"/>
        </w:rPr>
        <w:t>homme dans tous les domaines relevant de ses compétences, un Bureau des droits de l</w:t>
      </w:r>
      <w:r>
        <w:rPr>
          <w:lang w:bidi="ar-QA"/>
        </w:rPr>
        <w:t>’</w:t>
      </w:r>
      <w:r w:rsidRPr="00CE611F">
        <w:rPr>
          <w:lang w:bidi="ar-QA"/>
        </w:rPr>
        <w:t>homme a été mis en place au sein du Ministère de l</w:t>
      </w:r>
      <w:r>
        <w:rPr>
          <w:lang w:bidi="ar-QA"/>
        </w:rPr>
        <w:t>’</w:t>
      </w:r>
      <w:r w:rsidRPr="00CE611F">
        <w:rPr>
          <w:lang w:bidi="ar-QA"/>
        </w:rPr>
        <w:t xml:space="preserve">intérieur par le décret </w:t>
      </w:r>
      <w:r w:rsidR="00AA063D">
        <w:rPr>
          <w:lang w:val="fr-FR" w:bidi="ar-QA"/>
        </w:rPr>
        <w:t>n</w:t>
      </w:r>
      <w:r w:rsidR="00AA063D" w:rsidRPr="00D52183">
        <w:rPr>
          <w:vertAlign w:val="superscript"/>
          <w:lang w:val="fr-FR" w:bidi="ar-QA"/>
        </w:rPr>
        <w:t>o</w:t>
      </w:r>
      <w:r w:rsidR="00AA063D">
        <w:rPr>
          <w:lang w:val="fr-FR" w:bidi="ar-QA"/>
        </w:rPr>
        <w:t> </w:t>
      </w:r>
      <w:r w:rsidRPr="00CE611F">
        <w:rPr>
          <w:lang w:bidi="ar-QA"/>
        </w:rPr>
        <w:t>26 de 2005 du Ministre d</w:t>
      </w:r>
      <w:r>
        <w:rPr>
          <w:lang w:bidi="ar-QA"/>
        </w:rPr>
        <w:t>’</w:t>
      </w:r>
      <w:r w:rsidRPr="00CE611F">
        <w:rPr>
          <w:lang w:bidi="ar-QA"/>
        </w:rPr>
        <w:t>État chargé des affaires intérieures, chargé de faire le lien entre, d</w:t>
      </w:r>
      <w:r>
        <w:rPr>
          <w:lang w:bidi="ar-QA"/>
        </w:rPr>
        <w:t>’</w:t>
      </w:r>
      <w:r w:rsidRPr="00CE611F">
        <w:rPr>
          <w:lang w:bidi="ar-QA"/>
        </w:rPr>
        <w:t>une part, la Commission nationale des droits de l</w:t>
      </w:r>
      <w:r>
        <w:rPr>
          <w:lang w:bidi="ar-QA"/>
        </w:rPr>
        <w:t>’</w:t>
      </w:r>
      <w:r w:rsidRPr="00CE611F">
        <w:rPr>
          <w:lang w:bidi="ar-QA"/>
        </w:rPr>
        <w:t>homme et le Ministère de l</w:t>
      </w:r>
      <w:r>
        <w:rPr>
          <w:lang w:bidi="ar-QA"/>
        </w:rPr>
        <w:t>’</w:t>
      </w:r>
      <w:r w:rsidRPr="00CE611F">
        <w:rPr>
          <w:lang w:bidi="ar-QA"/>
        </w:rPr>
        <w:t>intérieur, et d</w:t>
      </w:r>
      <w:r>
        <w:rPr>
          <w:lang w:bidi="ar-QA"/>
        </w:rPr>
        <w:t>’</w:t>
      </w:r>
      <w:r w:rsidRPr="00CE611F">
        <w:rPr>
          <w:lang w:bidi="ar-QA"/>
        </w:rPr>
        <w:t>autre part, les membres de la société civile et le Ministère.</w:t>
      </w:r>
    </w:p>
    <w:p w14:paraId="04681D6B" w14:textId="77777777" w:rsidR="009E4C76" w:rsidRPr="00CE611F" w:rsidRDefault="009E4C76" w:rsidP="005D0B7C">
      <w:pPr>
        <w:pStyle w:val="SingleTxtG"/>
        <w:rPr>
          <w:rtl/>
          <w:lang w:bidi="fr-FR"/>
        </w:rPr>
      </w:pPr>
      <w:r w:rsidRPr="00CE611F">
        <w:rPr>
          <w:lang w:bidi="ar"/>
        </w:rPr>
        <w:t>66.</w:t>
      </w:r>
      <w:r w:rsidRPr="00CE611F">
        <w:rPr>
          <w:lang w:bidi="ar"/>
        </w:rPr>
        <w:tab/>
      </w:r>
      <w:r w:rsidRPr="00CE611F">
        <w:rPr>
          <w:lang w:bidi="ar-QA"/>
        </w:rPr>
        <w:t>La mission confiée au Bureau consiste à atteindre les objectifs énoncés dans les instruments internationaux relatifs aux droits de l</w:t>
      </w:r>
      <w:r>
        <w:rPr>
          <w:lang w:bidi="ar-QA"/>
        </w:rPr>
        <w:t>’</w:t>
      </w:r>
      <w:r w:rsidRPr="00CE611F">
        <w:rPr>
          <w:lang w:bidi="ar-QA"/>
        </w:rPr>
        <w:t>homme, en collaboration avec les organes des ministères concernés. De ce fait, le Bureau est compétent pour recevoir, examiner et instruire les plaintes émanant directement des personnes ou lui parvenant par l</w:t>
      </w:r>
      <w:r>
        <w:rPr>
          <w:lang w:bidi="ar-QA"/>
        </w:rPr>
        <w:t>’</w:t>
      </w:r>
      <w:r w:rsidRPr="00CE611F">
        <w:rPr>
          <w:lang w:bidi="ar-QA"/>
        </w:rPr>
        <w:t>intermédiaire de la Commission nationale des droits de l</w:t>
      </w:r>
      <w:r>
        <w:rPr>
          <w:lang w:bidi="ar-QA"/>
        </w:rPr>
        <w:t>’</w:t>
      </w:r>
      <w:r w:rsidRPr="00CE611F">
        <w:rPr>
          <w:lang w:bidi="ar-QA"/>
        </w:rPr>
        <w:t>homme ; ainsi que pour enquêter sur ces plaintes afin d</w:t>
      </w:r>
      <w:r>
        <w:rPr>
          <w:lang w:bidi="ar-QA"/>
        </w:rPr>
        <w:t>’</w:t>
      </w:r>
      <w:r w:rsidRPr="00CE611F">
        <w:rPr>
          <w:lang w:bidi="ar-QA"/>
        </w:rPr>
        <w:t>en déterminer les causes et proposer des recommandations. Il est également habilité à visiter les établissements pénitentiaires, les centres de détention et les services de sécurité afin de s</w:t>
      </w:r>
      <w:r>
        <w:rPr>
          <w:lang w:bidi="ar-QA"/>
        </w:rPr>
        <w:t>’</w:t>
      </w:r>
      <w:r w:rsidRPr="00CE611F">
        <w:rPr>
          <w:lang w:bidi="ar-QA"/>
        </w:rPr>
        <w:t>assurer qu</w:t>
      </w:r>
      <w:r>
        <w:rPr>
          <w:lang w:bidi="ar-QA"/>
        </w:rPr>
        <w:t>’</w:t>
      </w:r>
      <w:r w:rsidRPr="00CE611F">
        <w:rPr>
          <w:lang w:bidi="ar-QA"/>
        </w:rPr>
        <w:t>ils respectent les lois et règlements applicables dans le pays et chargé de veiller à ce qu</w:t>
      </w:r>
      <w:r>
        <w:rPr>
          <w:lang w:bidi="ar-QA"/>
        </w:rPr>
        <w:t>’</w:t>
      </w:r>
      <w:r w:rsidRPr="00CE611F">
        <w:rPr>
          <w:lang w:bidi="ar-QA"/>
        </w:rPr>
        <w:t>il n</w:t>
      </w:r>
      <w:r>
        <w:rPr>
          <w:lang w:bidi="ar-QA"/>
        </w:rPr>
        <w:t>’</w:t>
      </w:r>
      <w:r w:rsidRPr="00CE611F">
        <w:rPr>
          <w:lang w:bidi="ar-QA"/>
        </w:rPr>
        <w:t>y ait pas de cas de violation des droits de l</w:t>
      </w:r>
      <w:r>
        <w:rPr>
          <w:lang w:bidi="ar-QA"/>
        </w:rPr>
        <w:t>’</w:t>
      </w:r>
      <w:r w:rsidRPr="00CE611F">
        <w:rPr>
          <w:lang w:bidi="ar-QA"/>
        </w:rPr>
        <w:t xml:space="preserve">homme. Il soumet au Ministre des rapports périodiques et organise des campagnes de </w:t>
      </w:r>
      <w:r w:rsidRPr="00AA063D">
        <w:rPr>
          <w:spacing w:val="-1"/>
          <w:lang w:bidi="ar-QA"/>
        </w:rPr>
        <w:t>sensibilisation aux droits de l’homme destinées au personnel du Ministère, et ce, au moyen de la publication de bulletins d’information et de circulaires et par l’organisation de séminaires et conférences ; sachant qu’il est également habilité à représenter le Ministère lors des conférences et réunions internationales, régionales et locales consacrées aux droits de l’homme. Le Bureau des droits de l’homme a obtenu en août 2010 la certification d’excellence de l’ISO (</w:t>
      </w:r>
      <w:r w:rsidRPr="00AA063D">
        <w:rPr>
          <w:spacing w:val="-1"/>
          <w:lang w:bidi="ar"/>
        </w:rPr>
        <w:t>2008-2009)</w:t>
      </w:r>
      <w:r w:rsidRPr="00AA063D">
        <w:rPr>
          <w:spacing w:val="-1"/>
          <w:lang w:bidi="ar-QA"/>
        </w:rPr>
        <w:t xml:space="preserve"> attestant sa conformité aux exigences requises à</w:t>
      </w:r>
      <w:r w:rsidRPr="00AA063D">
        <w:rPr>
          <w:spacing w:val="-1"/>
          <w:lang w:bidi="ar"/>
        </w:rPr>
        <w:t xml:space="preserve"> cet effet.</w:t>
      </w:r>
    </w:p>
    <w:p w14:paraId="293D335E" w14:textId="77777777" w:rsidR="009E4C76" w:rsidRPr="00CE611F" w:rsidRDefault="009E4C76" w:rsidP="00BA5EEE">
      <w:pPr>
        <w:pStyle w:val="H4G"/>
      </w:pPr>
      <w:r w:rsidRPr="00CE611F">
        <w:rPr>
          <w:lang w:bidi="ar-QA"/>
        </w:rPr>
        <w:tab/>
      </w:r>
      <w:r w:rsidRPr="00CE611F">
        <w:rPr>
          <w:lang w:bidi="ar-QA"/>
        </w:rPr>
        <w:tab/>
        <w:t>Le Bureau des droits de l</w:t>
      </w:r>
      <w:r>
        <w:rPr>
          <w:lang w:bidi="ar-QA"/>
        </w:rPr>
        <w:t>’</w:t>
      </w:r>
      <w:r w:rsidRPr="00CE611F">
        <w:rPr>
          <w:lang w:bidi="ar-QA"/>
        </w:rPr>
        <w:t>homme du Ministère des affaires étrangères</w:t>
      </w:r>
    </w:p>
    <w:p w14:paraId="2BE8580B" w14:textId="77777777" w:rsidR="009E4C76" w:rsidRPr="00830100" w:rsidRDefault="009E4C76" w:rsidP="005D0B7C">
      <w:pPr>
        <w:pStyle w:val="SingleTxtG"/>
        <w:rPr>
          <w:rtl/>
          <w:lang w:bidi="fr-FR"/>
        </w:rPr>
      </w:pPr>
      <w:r w:rsidRPr="00CE611F">
        <w:rPr>
          <w:lang w:bidi="ar-QA"/>
        </w:rPr>
        <w:t>67.</w:t>
      </w:r>
      <w:r w:rsidRPr="00CE611F">
        <w:rPr>
          <w:lang w:bidi="ar-QA"/>
        </w:rPr>
        <w:tab/>
        <w:t>Le Bureau des droits de l</w:t>
      </w:r>
      <w:r>
        <w:rPr>
          <w:lang w:bidi="ar-QA"/>
        </w:rPr>
        <w:t>’</w:t>
      </w:r>
      <w:r w:rsidRPr="00CE611F">
        <w:rPr>
          <w:lang w:bidi="ar-QA"/>
        </w:rPr>
        <w:t xml:space="preserve">homme du Ministère des affaires étrangères a été créé par le décret ministériel </w:t>
      </w:r>
      <w:r w:rsidR="00F06DE2">
        <w:rPr>
          <w:lang w:bidi="ar-QA"/>
        </w:rPr>
        <w:t>n</w:t>
      </w:r>
      <w:r w:rsidR="00F06DE2" w:rsidRPr="00F06DE2">
        <w:rPr>
          <w:vertAlign w:val="superscript"/>
          <w:lang w:bidi="ar-QA"/>
        </w:rPr>
        <w:t>o</w:t>
      </w:r>
      <w:r w:rsidR="00F06DE2">
        <w:rPr>
          <w:lang w:bidi="ar-QA"/>
        </w:rPr>
        <w:t> 1</w:t>
      </w:r>
      <w:r w:rsidRPr="00CE611F">
        <w:rPr>
          <w:lang w:bidi="ar-QA"/>
        </w:rPr>
        <w:t>6 de 2003, qui l</w:t>
      </w:r>
      <w:r>
        <w:rPr>
          <w:lang w:bidi="ar-QA"/>
        </w:rPr>
        <w:t>’</w:t>
      </w:r>
      <w:r w:rsidRPr="00CE611F">
        <w:rPr>
          <w:lang w:bidi="ar-QA"/>
        </w:rPr>
        <w:t>a chargé de formuler des suggestions et avis au sujet des problèmes et questions relatifs aux droits de l</w:t>
      </w:r>
      <w:r>
        <w:rPr>
          <w:lang w:bidi="ar-QA"/>
        </w:rPr>
        <w:t>’</w:t>
      </w:r>
      <w:r w:rsidRPr="00CE611F">
        <w:rPr>
          <w:lang w:bidi="ar-QA"/>
        </w:rPr>
        <w:t>homme dont il est saisi ; d</w:t>
      </w:r>
      <w:r>
        <w:rPr>
          <w:lang w:bidi="ar-QA"/>
        </w:rPr>
        <w:t>’</w:t>
      </w:r>
      <w:r w:rsidRPr="00CE611F">
        <w:rPr>
          <w:lang w:bidi="ar-QA"/>
        </w:rPr>
        <w:t>émettre son avis sur les projets d</w:t>
      </w:r>
      <w:r>
        <w:rPr>
          <w:lang w:bidi="ar-QA"/>
        </w:rPr>
        <w:t>’</w:t>
      </w:r>
      <w:r w:rsidRPr="00CE611F">
        <w:rPr>
          <w:lang w:bidi="ar-QA"/>
        </w:rPr>
        <w:t>instruments relatif</w:t>
      </w:r>
      <w:r w:rsidR="00F06DE2">
        <w:rPr>
          <w:lang w:bidi="ar-QA"/>
        </w:rPr>
        <w:t>s</w:t>
      </w:r>
      <w:r w:rsidRPr="00CE611F">
        <w:rPr>
          <w:lang w:bidi="ar-QA"/>
        </w:rPr>
        <w:t xml:space="preserve"> aux droits de l</w:t>
      </w:r>
      <w:r>
        <w:rPr>
          <w:lang w:bidi="ar-QA"/>
        </w:rPr>
        <w:t>’</w:t>
      </w:r>
      <w:r w:rsidRPr="00CE611F">
        <w:rPr>
          <w:lang w:bidi="ar-QA"/>
        </w:rPr>
        <w:t>homme auxquels le Qatar envisage d</w:t>
      </w:r>
      <w:r>
        <w:rPr>
          <w:lang w:bidi="ar-QA"/>
        </w:rPr>
        <w:t>’</w:t>
      </w:r>
      <w:r w:rsidRPr="00CE611F">
        <w:rPr>
          <w:lang w:bidi="ar-QA"/>
        </w:rPr>
        <w:t>adhérer ; de participer, en collaboration avec le département des affaires juridiques du Ministère et les services nationaux compétents en matière de droits de l</w:t>
      </w:r>
      <w:r>
        <w:rPr>
          <w:lang w:bidi="ar-QA"/>
        </w:rPr>
        <w:t>’</w:t>
      </w:r>
      <w:r w:rsidRPr="00CE611F">
        <w:rPr>
          <w:lang w:bidi="ar-QA"/>
        </w:rPr>
        <w:t>homme, à l</w:t>
      </w:r>
      <w:r>
        <w:rPr>
          <w:lang w:bidi="ar-QA"/>
        </w:rPr>
        <w:t>’</w:t>
      </w:r>
      <w:r w:rsidRPr="00CE611F">
        <w:rPr>
          <w:lang w:bidi="ar-QA"/>
        </w:rPr>
        <w:t>élaboration des rapports que l</w:t>
      </w:r>
      <w:r>
        <w:rPr>
          <w:lang w:bidi="ar-QA"/>
        </w:rPr>
        <w:t>’</w:t>
      </w:r>
      <w:r w:rsidRPr="00CE611F">
        <w:rPr>
          <w:lang w:bidi="ar-QA"/>
        </w:rPr>
        <w:t>État s</w:t>
      </w:r>
      <w:r>
        <w:rPr>
          <w:lang w:bidi="ar-QA"/>
        </w:rPr>
        <w:t>’</w:t>
      </w:r>
      <w:r w:rsidRPr="00CE611F">
        <w:rPr>
          <w:lang w:bidi="ar-QA"/>
        </w:rPr>
        <w:t>est engagé à présenter au titre du suivi des instruments internationaux ratifiés, ainsi qu</w:t>
      </w:r>
      <w:r>
        <w:rPr>
          <w:lang w:bidi="ar-QA"/>
        </w:rPr>
        <w:t>’</w:t>
      </w:r>
      <w:r w:rsidRPr="00CE611F">
        <w:rPr>
          <w:lang w:bidi="ar-QA"/>
        </w:rPr>
        <w:t xml:space="preserve">à leur transmission aux organes internationaux compétents. En collaboration avec les autorités compétentes, le Bureau est habilité à apporter les réponses appropriées aux questions soulevées dans le cadre des rapports des organisations internationales, des ONG et des </w:t>
      </w:r>
      <w:r w:rsidR="00F06DE2">
        <w:rPr>
          <w:lang w:bidi="ar-QA"/>
        </w:rPr>
        <w:t>g</w:t>
      </w:r>
      <w:r w:rsidRPr="00CE611F">
        <w:rPr>
          <w:lang w:bidi="ar-QA"/>
        </w:rPr>
        <w:t>ouvernements étrangers concernant la situation des droits de l</w:t>
      </w:r>
      <w:r>
        <w:rPr>
          <w:lang w:bidi="ar-QA"/>
        </w:rPr>
        <w:t>’</w:t>
      </w:r>
      <w:r w:rsidRPr="00CE611F">
        <w:rPr>
          <w:lang w:bidi="ar-QA"/>
        </w:rPr>
        <w:t>homme dans le pays, de même qu</w:t>
      </w:r>
      <w:r>
        <w:rPr>
          <w:lang w:bidi="ar-QA"/>
        </w:rPr>
        <w:t>’</w:t>
      </w:r>
      <w:r w:rsidRPr="00CE611F">
        <w:rPr>
          <w:lang w:bidi="ar-QA"/>
        </w:rPr>
        <w:t xml:space="preserve">à communiquer </w:t>
      </w:r>
      <w:r w:rsidRPr="00830100">
        <w:rPr>
          <w:lang w:bidi="ar-QA"/>
        </w:rPr>
        <w:t xml:space="preserve">ces réponses à ces organisations et </w:t>
      </w:r>
      <w:r w:rsidR="00F06DE2">
        <w:rPr>
          <w:lang w:bidi="ar-QA"/>
        </w:rPr>
        <w:t>g</w:t>
      </w:r>
      <w:r w:rsidRPr="00830100">
        <w:rPr>
          <w:lang w:bidi="ar-QA"/>
        </w:rPr>
        <w:t>ouvernements. Il est en outre chargé d’informer les missions diplomatiques et consulaires des derniers développements survenus dans le domaine des droits de l’homme dans le pays. Le Bureau a pour mandat d’assurer le suivi des questions relatives aux droits de l’homme au niveau national et international, de participer aux réunions et activités organisées par les instances régionales et internationales dans le domaine des droits de l’homme, d’associer à ses travaux les autorités concernées au sein ou en-dehors du ministère, de transmettre aux autorités compétentes les plaintes reçues de l’étranger concernant les violations des droits de l’homme et d’en assurer le suivi. Il est en outre chargé d’élaborer des plans et d’émettre les recommandations qu’il estime appropriées pour mettre à profit les services consultatifs et d’assistance technique fournis par les organisations internationales dans le domaine des droits de l’homme et de représenter le</w:t>
      </w:r>
      <w:r w:rsidR="00830100">
        <w:rPr>
          <w:lang w:bidi="ar-QA"/>
        </w:rPr>
        <w:t xml:space="preserve"> </w:t>
      </w:r>
      <w:r w:rsidRPr="00830100">
        <w:rPr>
          <w:lang w:bidi="ar-QA"/>
        </w:rPr>
        <w:t>Ministère au sein des organes concernés par les droits de l’homme mis en place par l’État.</w:t>
      </w:r>
    </w:p>
    <w:p w14:paraId="0B866EFF" w14:textId="77777777" w:rsidR="009E4C76" w:rsidRPr="00CE611F" w:rsidRDefault="009E4C76" w:rsidP="005D0B7C">
      <w:pPr>
        <w:pStyle w:val="SingleTxtG"/>
        <w:rPr>
          <w:rtl/>
          <w:lang w:bidi="fr-FR"/>
        </w:rPr>
      </w:pPr>
      <w:r w:rsidRPr="00CE611F">
        <w:rPr>
          <w:lang w:bidi="ar-QA"/>
        </w:rPr>
        <w:t>68.</w:t>
      </w:r>
      <w:r w:rsidRPr="00CE611F">
        <w:rPr>
          <w:lang w:bidi="ar-QA"/>
        </w:rPr>
        <w:tab/>
        <w:t xml:space="preserve">Conformément à la décision </w:t>
      </w:r>
      <w:r w:rsidR="00BA1577">
        <w:rPr>
          <w:lang w:val="fr-FR" w:bidi="ar-QA"/>
        </w:rPr>
        <w:t>n</w:t>
      </w:r>
      <w:r w:rsidR="00BA1577" w:rsidRPr="00D52183">
        <w:rPr>
          <w:vertAlign w:val="superscript"/>
          <w:lang w:val="fr-FR" w:bidi="ar-QA"/>
        </w:rPr>
        <w:t>o</w:t>
      </w:r>
      <w:r w:rsidR="00BA1577">
        <w:rPr>
          <w:lang w:val="fr-FR" w:bidi="ar-QA"/>
        </w:rPr>
        <w:t> </w:t>
      </w:r>
      <w:r w:rsidRPr="00CE611F">
        <w:rPr>
          <w:lang w:bidi="ar-QA"/>
        </w:rPr>
        <w:t>44 de 2017 du Vice-premier Ministre et Ministre des affaires étrangères, les trois départements suivants ont été créés en 2018 :</w:t>
      </w:r>
    </w:p>
    <w:p w14:paraId="3F5CEDAD" w14:textId="77777777" w:rsidR="009E4C76" w:rsidRPr="00CE611F" w:rsidRDefault="00BA1577" w:rsidP="00BA1577">
      <w:pPr>
        <w:pStyle w:val="Bullet1G"/>
        <w:rPr>
          <w:b/>
          <w:lang w:val="fr-FR"/>
        </w:rPr>
      </w:pPr>
      <w:r>
        <w:rPr>
          <w:lang w:val="fr-FR"/>
        </w:rPr>
        <w:t>L</w:t>
      </w:r>
      <w:r w:rsidR="009E4C76" w:rsidRPr="00CE611F">
        <w:rPr>
          <w:lang w:val="fr-FR"/>
        </w:rPr>
        <w:t>e</w:t>
      </w:r>
      <w:r w:rsidR="009E4C76" w:rsidRPr="00CE611F">
        <w:rPr>
          <w:b/>
          <w:lang w:val="fr-FR"/>
        </w:rPr>
        <w:t xml:space="preserve"> </w:t>
      </w:r>
      <w:r w:rsidR="009E4C76" w:rsidRPr="00CE611F">
        <w:rPr>
          <w:bCs/>
          <w:lang w:val="fr-FR"/>
        </w:rPr>
        <w:t>Département régional des droits de l</w:t>
      </w:r>
      <w:r w:rsidR="009E4C76">
        <w:rPr>
          <w:bCs/>
          <w:lang w:val="fr-FR"/>
        </w:rPr>
        <w:t>’</w:t>
      </w:r>
      <w:r w:rsidR="009E4C76" w:rsidRPr="00CE611F">
        <w:rPr>
          <w:bCs/>
          <w:lang w:val="fr-FR"/>
        </w:rPr>
        <w:t>homme, principalement chargé</w:t>
      </w:r>
      <w:r w:rsidR="009E4C76" w:rsidRPr="00CE611F">
        <w:rPr>
          <w:b/>
          <w:lang w:val="fr-FR"/>
        </w:rPr>
        <w:t xml:space="preserve"> </w:t>
      </w:r>
      <w:r w:rsidR="009E4C76" w:rsidRPr="00CE611F">
        <w:rPr>
          <w:lang w:val="fr-FR" w:bidi="ar-QA"/>
        </w:rPr>
        <w:t>du suivi des questions relatives aux droits de l</w:t>
      </w:r>
      <w:r w:rsidR="009E4C76">
        <w:rPr>
          <w:lang w:val="fr-FR" w:bidi="ar-QA"/>
        </w:rPr>
        <w:t>’</w:t>
      </w:r>
      <w:r w:rsidR="009E4C76" w:rsidRPr="00CE611F">
        <w:rPr>
          <w:lang w:val="fr-FR" w:bidi="ar-QA"/>
        </w:rPr>
        <w:t>homme</w:t>
      </w:r>
      <w:r w:rsidR="009E4C76" w:rsidRPr="00CE611F">
        <w:rPr>
          <w:lang w:val="fr-FR"/>
        </w:rPr>
        <w:t xml:space="preserve"> dans le cadre du Conseil de coopération du Golfe (CCG), de la Ligue des États arabes et de l</w:t>
      </w:r>
      <w:r w:rsidR="009E4C76">
        <w:rPr>
          <w:lang w:val="fr-FR"/>
        </w:rPr>
        <w:t>’</w:t>
      </w:r>
      <w:r w:rsidR="009E4C76" w:rsidRPr="00CE611F">
        <w:rPr>
          <w:lang w:val="fr-FR"/>
        </w:rPr>
        <w:t>Organisation de la coopération islamique ainsi que de l</w:t>
      </w:r>
      <w:r w:rsidR="009E4C76">
        <w:rPr>
          <w:lang w:val="fr-FR"/>
        </w:rPr>
        <w:t>’</w:t>
      </w:r>
      <w:r w:rsidR="009E4C76" w:rsidRPr="00CE611F">
        <w:rPr>
          <w:lang w:val="fr-FR"/>
        </w:rPr>
        <w:t>étude des conventions régionales relatives aux droits de l</w:t>
      </w:r>
      <w:r w:rsidR="009E4C76">
        <w:rPr>
          <w:lang w:val="fr-FR"/>
        </w:rPr>
        <w:t>’</w:t>
      </w:r>
      <w:r w:rsidR="009E4C76" w:rsidRPr="00CE611F">
        <w:rPr>
          <w:lang w:val="fr-FR"/>
        </w:rPr>
        <w:t>homme ;</w:t>
      </w:r>
    </w:p>
    <w:p w14:paraId="6B16D2CC" w14:textId="77777777" w:rsidR="009E4C76" w:rsidRPr="00CE611F" w:rsidRDefault="00BA1577" w:rsidP="00BA1577">
      <w:pPr>
        <w:pStyle w:val="Bullet1G"/>
        <w:rPr>
          <w:lang w:val="fr-FR"/>
        </w:rPr>
      </w:pPr>
      <w:r>
        <w:rPr>
          <w:lang w:val="fr-FR"/>
        </w:rPr>
        <w:t>L</w:t>
      </w:r>
      <w:r w:rsidR="009E4C76" w:rsidRPr="00CE611F">
        <w:rPr>
          <w:lang w:val="fr-FR"/>
        </w:rPr>
        <w:t xml:space="preserve">e </w:t>
      </w:r>
      <w:r w:rsidR="009E4C76" w:rsidRPr="00CE611F">
        <w:rPr>
          <w:bCs/>
          <w:lang w:val="fr-FR"/>
        </w:rPr>
        <w:t>Département international des droits de l</w:t>
      </w:r>
      <w:r w:rsidR="009E4C76">
        <w:rPr>
          <w:bCs/>
          <w:lang w:val="fr-FR"/>
        </w:rPr>
        <w:t>’</w:t>
      </w:r>
      <w:r w:rsidR="009E4C76" w:rsidRPr="00CE611F">
        <w:rPr>
          <w:bCs/>
          <w:lang w:val="fr-FR"/>
        </w:rPr>
        <w:t>homme, principalement chargé</w:t>
      </w:r>
      <w:r w:rsidR="009E4C76" w:rsidRPr="00CE611F">
        <w:rPr>
          <w:b/>
          <w:lang w:val="fr-FR"/>
        </w:rPr>
        <w:t xml:space="preserve"> </w:t>
      </w:r>
      <w:r w:rsidR="009E4C76" w:rsidRPr="00CE611F">
        <w:rPr>
          <w:lang w:val="fr-FR"/>
        </w:rPr>
        <w:t>du suivi des dossiers en cours d</w:t>
      </w:r>
      <w:r w:rsidR="009E4C76">
        <w:rPr>
          <w:lang w:val="fr-FR"/>
        </w:rPr>
        <w:t>’</w:t>
      </w:r>
      <w:r w:rsidR="009E4C76" w:rsidRPr="00CE611F">
        <w:rPr>
          <w:lang w:val="fr-FR"/>
        </w:rPr>
        <w:t>examen par le Conseil des droits de l</w:t>
      </w:r>
      <w:r w:rsidR="009E4C76">
        <w:rPr>
          <w:lang w:val="fr-FR"/>
        </w:rPr>
        <w:t>’</w:t>
      </w:r>
      <w:r w:rsidR="009E4C76" w:rsidRPr="00CE611F">
        <w:rPr>
          <w:lang w:val="fr-FR"/>
        </w:rPr>
        <w:t>homme des Nations</w:t>
      </w:r>
      <w:r>
        <w:rPr>
          <w:lang w:val="fr-FR"/>
        </w:rPr>
        <w:t> </w:t>
      </w:r>
      <w:r w:rsidR="009E4C76" w:rsidRPr="00CE611F">
        <w:rPr>
          <w:lang w:val="fr-FR"/>
        </w:rPr>
        <w:t>Unies et ses différents mécanismes, par la Commission des questions sociales, humanitaires et culturelles de l</w:t>
      </w:r>
      <w:r w:rsidR="009E4C76">
        <w:rPr>
          <w:lang w:val="fr-FR"/>
        </w:rPr>
        <w:t>’</w:t>
      </w:r>
      <w:r w:rsidR="009E4C76" w:rsidRPr="00CE611F">
        <w:rPr>
          <w:lang w:val="fr-FR"/>
        </w:rPr>
        <w:t>Assemblée générale des Nations</w:t>
      </w:r>
      <w:r>
        <w:rPr>
          <w:lang w:val="fr-FR"/>
        </w:rPr>
        <w:t> </w:t>
      </w:r>
      <w:r w:rsidR="009E4C76" w:rsidRPr="00CE611F">
        <w:rPr>
          <w:lang w:val="fr-FR"/>
        </w:rPr>
        <w:t>Unies, par le Haut-Commissariat aux droits de l</w:t>
      </w:r>
      <w:r w:rsidR="009E4C76">
        <w:rPr>
          <w:lang w:val="fr-FR"/>
        </w:rPr>
        <w:t>’</w:t>
      </w:r>
      <w:r w:rsidR="009E4C76" w:rsidRPr="00CE611F">
        <w:rPr>
          <w:lang w:val="fr-FR"/>
        </w:rPr>
        <w:t>homme et</w:t>
      </w:r>
      <w:r w:rsidR="009E4C76" w:rsidRPr="00CE611F">
        <w:rPr>
          <w:b/>
          <w:lang w:val="fr-FR"/>
        </w:rPr>
        <w:t xml:space="preserve"> </w:t>
      </w:r>
      <w:r w:rsidR="009E4C76" w:rsidRPr="00CE611F">
        <w:rPr>
          <w:lang w:val="fr-FR"/>
        </w:rPr>
        <w:t>par les institutions spécialisées des Nations</w:t>
      </w:r>
      <w:r>
        <w:rPr>
          <w:lang w:val="fr-FR"/>
        </w:rPr>
        <w:t> </w:t>
      </w:r>
      <w:r w:rsidR="009E4C76" w:rsidRPr="00CE611F">
        <w:rPr>
          <w:lang w:val="fr-FR"/>
        </w:rPr>
        <w:t>Unis agissant dans le domaine des droits de l</w:t>
      </w:r>
      <w:r w:rsidR="009E4C76">
        <w:rPr>
          <w:lang w:val="fr-FR"/>
        </w:rPr>
        <w:t>’</w:t>
      </w:r>
      <w:r w:rsidR="009E4C76" w:rsidRPr="00CE611F">
        <w:rPr>
          <w:lang w:val="fr-FR"/>
        </w:rPr>
        <w:t>homme ;</w:t>
      </w:r>
      <w:r w:rsidR="009E4C76" w:rsidRPr="00CE611F">
        <w:rPr>
          <w:b/>
          <w:lang w:val="fr-FR"/>
        </w:rPr>
        <w:t xml:space="preserve"> </w:t>
      </w:r>
      <w:r w:rsidR="009E4C76" w:rsidRPr="00CE611F">
        <w:rPr>
          <w:lang w:val="fr-FR"/>
        </w:rPr>
        <w:t>sachant que ce département est en outre chargé d</w:t>
      </w:r>
      <w:r w:rsidR="009E4C76">
        <w:rPr>
          <w:lang w:val="fr-FR"/>
        </w:rPr>
        <w:t>’</w:t>
      </w:r>
      <w:r w:rsidR="009E4C76" w:rsidRPr="00CE611F">
        <w:rPr>
          <w:lang w:val="fr-FR"/>
        </w:rPr>
        <w:t>étudier les projets d</w:t>
      </w:r>
      <w:r w:rsidR="009E4C76">
        <w:rPr>
          <w:lang w:val="fr-FR"/>
        </w:rPr>
        <w:t>’</w:t>
      </w:r>
      <w:r w:rsidR="009E4C76" w:rsidRPr="00CE611F">
        <w:rPr>
          <w:lang w:val="fr-FR"/>
        </w:rPr>
        <w:t>instruments internationaux relatifs aux droits de l</w:t>
      </w:r>
      <w:r w:rsidR="009E4C76">
        <w:rPr>
          <w:lang w:val="fr-FR"/>
        </w:rPr>
        <w:t>’</w:t>
      </w:r>
      <w:r w:rsidR="009E4C76" w:rsidRPr="00CE611F">
        <w:rPr>
          <w:lang w:val="fr-FR"/>
        </w:rPr>
        <w:t>homme, d</w:t>
      </w:r>
      <w:r w:rsidR="009E4C76">
        <w:rPr>
          <w:lang w:val="fr-FR"/>
        </w:rPr>
        <w:t>’</w:t>
      </w:r>
      <w:r w:rsidR="009E4C76" w:rsidRPr="00CE611F">
        <w:rPr>
          <w:lang w:val="fr-FR"/>
        </w:rPr>
        <w:t>élaborer des plans et d</w:t>
      </w:r>
      <w:r w:rsidR="009E4C76">
        <w:rPr>
          <w:lang w:val="fr-FR"/>
        </w:rPr>
        <w:t>’</w:t>
      </w:r>
      <w:r w:rsidR="009E4C76" w:rsidRPr="00CE611F">
        <w:rPr>
          <w:lang w:val="fr-FR"/>
        </w:rPr>
        <w:t>émettre les recommandations qu</w:t>
      </w:r>
      <w:r w:rsidR="009E4C76">
        <w:rPr>
          <w:lang w:val="fr-FR"/>
        </w:rPr>
        <w:t>’</w:t>
      </w:r>
      <w:r w:rsidR="009E4C76" w:rsidRPr="00CE611F">
        <w:rPr>
          <w:lang w:val="fr-FR"/>
        </w:rPr>
        <w:t>il estime appropriées pour mettre à profit les services consultatifs et d</w:t>
      </w:r>
      <w:r w:rsidR="009E4C76">
        <w:rPr>
          <w:lang w:val="fr-FR"/>
        </w:rPr>
        <w:t>’</w:t>
      </w:r>
      <w:r w:rsidR="009E4C76" w:rsidRPr="00CE611F">
        <w:rPr>
          <w:lang w:val="fr-FR"/>
        </w:rPr>
        <w:t>assistance technique fournis par les organisations internationales dans le domaine des droits de l</w:t>
      </w:r>
      <w:r w:rsidR="009E4C76">
        <w:rPr>
          <w:lang w:val="fr-FR"/>
        </w:rPr>
        <w:t>’</w:t>
      </w:r>
      <w:r w:rsidR="009E4C76" w:rsidRPr="00CE611F">
        <w:rPr>
          <w:lang w:val="fr-FR"/>
        </w:rPr>
        <w:t>homme ;</w:t>
      </w:r>
    </w:p>
    <w:p w14:paraId="65A1CADA" w14:textId="77777777" w:rsidR="009E4C76" w:rsidRPr="00CE611F" w:rsidRDefault="00BA1577" w:rsidP="00BA1577">
      <w:pPr>
        <w:pStyle w:val="Bullet1G"/>
        <w:rPr>
          <w:lang w:val="fr-FR"/>
        </w:rPr>
      </w:pPr>
      <w:r>
        <w:rPr>
          <w:lang w:val="fr-FR"/>
        </w:rPr>
        <w:t>L</w:t>
      </w:r>
      <w:r w:rsidR="009E4C76" w:rsidRPr="00CE611F">
        <w:rPr>
          <w:lang w:val="fr-FR"/>
        </w:rPr>
        <w:t>e</w:t>
      </w:r>
      <w:r w:rsidR="009E4C76" w:rsidRPr="00CE611F">
        <w:rPr>
          <w:b/>
          <w:lang w:val="fr-FR"/>
        </w:rPr>
        <w:t xml:space="preserve"> </w:t>
      </w:r>
      <w:r w:rsidR="009E4C76" w:rsidRPr="00CE611F">
        <w:rPr>
          <w:bCs/>
          <w:lang w:val="fr-FR"/>
        </w:rPr>
        <w:t>Département des organes créés en vertu des instruments internationaux relatifs aux droits de l</w:t>
      </w:r>
      <w:r w:rsidR="009E4C76">
        <w:rPr>
          <w:bCs/>
          <w:lang w:val="fr-FR"/>
        </w:rPr>
        <w:t>’</w:t>
      </w:r>
      <w:r w:rsidR="009E4C76" w:rsidRPr="00CE611F">
        <w:rPr>
          <w:bCs/>
          <w:lang w:val="fr-FR"/>
        </w:rPr>
        <w:t>homme</w:t>
      </w:r>
      <w:r w:rsidR="009E4C76" w:rsidRPr="00CE611F">
        <w:rPr>
          <w:lang w:val="fr-FR"/>
        </w:rPr>
        <w:t xml:space="preserve">, principalement chargé </w:t>
      </w:r>
      <w:r w:rsidR="00DD2F62">
        <w:rPr>
          <w:lang w:val="fr-FR"/>
        </w:rPr>
        <w:t>de suivre les</w:t>
      </w:r>
      <w:r w:rsidR="009E4C76" w:rsidRPr="00CE611F">
        <w:rPr>
          <w:lang w:val="fr-FR"/>
        </w:rPr>
        <w:t xml:space="preserve"> questions à l</w:t>
      </w:r>
      <w:r w:rsidR="009E4C76">
        <w:rPr>
          <w:lang w:val="fr-FR"/>
        </w:rPr>
        <w:t>’</w:t>
      </w:r>
      <w:r w:rsidR="009E4C76" w:rsidRPr="00CE611F">
        <w:rPr>
          <w:lang w:val="fr-FR"/>
        </w:rPr>
        <w:t>étude dans le cadre du mécanisme de l</w:t>
      </w:r>
      <w:r w:rsidR="009E4C76">
        <w:rPr>
          <w:lang w:val="fr-FR"/>
        </w:rPr>
        <w:t>’</w:t>
      </w:r>
      <w:r w:rsidR="009E4C76" w:rsidRPr="00CE611F">
        <w:rPr>
          <w:lang w:val="fr-FR"/>
        </w:rPr>
        <w:t>Examen périodique universel et des organes des traités des Nations</w:t>
      </w:r>
      <w:r>
        <w:rPr>
          <w:lang w:val="fr-FR"/>
        </w:rPr>
        <w:t> </w:t>
      </w:r>
      <w:r w:rsidR="009E4C76" w:rsidRPr="00CE611F">
        <w:rPr>
          <w:lang w:val="fr-FR"/>
        </w:rPr>
        <w:t>Unies</w:t>
      </w:r>
      <w:r w:rsidR="00DD2F62">
        <w:rPr>
          <w:lang w:val="fr-FR"/>
        </w:rPr>
        <w:t> ;</w:t>
      </w:r>
      <w:r w:rsidR="009E4C76" w:rsidRPr="00CE611F">
        <w:rPr>
          <w:lang w:val="fr-FR"/>
        </w:rPr>
        <w:t xml:space="preserve"> d</w:t>
      </w:r>
      <w:r w:rsidR="009E4C76">
        <w:rPr>
          <w:lang w:val="fr-FR"/>
        </w:rPr>
        <w:t>’</w:t>
      </w:r>
      <w:r w:rsidR="009E4C76" w:rsidRPr="00CE611F">
        <w:rPr>
          <w:lang w:val="fr-FR"/>
        </w:rPr>
        <w:t>élaborer les rapports relatifs à l</w:t>
      </w:r>
      <w:r w:rsidR="009E4C76">
        <w:rPr>
          <w:lang w:val="fr-FR"/>
        </w:rPr>
        <w:t>’</w:t>
      </w:r>
      <w:r w:rsidR="009E4C76" w:rsidRPr="00CE611F">
        <w:rPr>
          <w:lang w:val="fr-FR"/>
        </w:rPr>
        <w:t xml:space="preserve">Examen périodique universel à présenter aux organes chargés du suivi de la mise en </w:t>
      </w:r>
      <w:r w:rsidRPr="00CE611F">
        <w:rPr>
          <w:lang w:val="fr-FR"/>
        </w:rPr>
        <w:t>œuvre</w:t>
      </w:r>
      <w:r w:rsidR="009E4C76" w:rsidRPr="00CE611F">
        <w:rPr>
          <w:lang w:val="fr-FR"/>
        </w:rPr>
        <w:t xml:space="preserve"> des instruments internationaux relatifs aux droits de l</w:t>
      </w:r>
      <w:r w:rsidR="009E4C76">
        <w:rPr>
          <w:lang w:val="fr-FR"/>
        </w:rPr>
        <w:t>’</w:t>
      </w:r>
      <w:r w:rsidR="009E4C76" w:rsidRPr="00CE611F">
        <w:rPr>
          <w:lang w:val="fr-FR"/>
        </w:rPr>
        <w:t>homme auxquels l</w:t>
      </w:r>
      <w:r w:rsidR="009E4C76">
        <w:rPr>
          <w:lang w:val="fr-FR"/>
        </w:rPr>
        <w:t>’</w:t>
      </w:r>
      <w:r w:rsidR="009E4C76" w:rsidRPr="00CE611F">
        <w:rPr>
          <w:lang w:val="fr-FR"/>
        </w:rPr>
        <w:t>État est partie, en collaboration avec les unités administratives concernées du Ministère et les autorités compétentes de l</w:t>
      </w:r>
      <w:r w:rsidR="009E4C76">
        <w:rPr>
          <w:lang w:val="fr-FR"/>
        </w:rPr>
        <w:t>’</w:t>
      </w:r>
      <w:r w:rsidR="009E4C76" w:rsidRPr="00CE611F">
        <w:rPr>
          <w:lang w:val="fr-FR"/>
        </w:rPr>
        <w:t>État ; de</w:t>
      </w:r>
      <w:r w:rsidR="00DD2F62">
        <w:rPr>
          <w:lang w:val="fr-FR"/>
        </w:rPr>
        <w:t xml:space="preserve"> présenter les</w:t>
      </w:r>
      <w:r w:rsidR="009E4C76" w:rsidRPr="00CE611F">
        <w:rPr>
          <w:lang w:val="fr-FR"/>
        </w:rPr>
        <w:t xml:space="preserve">dits rapports aux organes internationaux de suivi concernés et de </w:t>
      </w:r>
      <w:r w:rsidR="00DD2F62">
        <w:rPr>
          <w:lang w:val="fr-FR"/>
        </w:rPr>
        <w:t>préparer l’examen de</w:t>
      </w:r>
      <w:r w:rsidR="009E4C76" w:rsidRPr="00CE611F">
        <w:rPr>
          <w:lang w:val="fr-FR"/>
        </w:rPr>
        <w:t>s rapports établis dans le cadre du mécanisme de l</w:t>
      </w:r>
      <w:r w:rsidR="009E4C76">
        <w:rPr>
          <w:lang w:val="fr-FR"/>
        </w:rPr>
        <w:t>’</w:t>
      </w:r>
      <w:r w:rsidR="009E4C76" w:rsidRPr="00CE611F">
        <w:rPr>
          <w:lang w:val="fr-FR"/>
        </w:rPr>
        <w:t>Examen périodique universel et de ceux présentés aux organes de suivi internationaux et régionaux concernés ; d</w:t>
      </w:r>
      <w:r w:rsidR="009E4C76">
        <w:rPr>
          <w:lang w:val="fr-FR"/>
        </w:rPr>
        <w:t>’</w:t>
      </w:r>
      <w:r w:rsidR="009E4C76" w:rsidRPr="00CE611F">
        <w:rPr>
          <w:lang w:val="fr-FR"/>
        </w:rPr>
        <w:t>examiner l</w:t>
      </w:r>
      <w:r w:rsidR="009E4C76">
        <w:rPr>
          <w:lang w:val="fr-FR"/>
        </w:rPr>
        <w:t>’</w:t>
      </w:r>
      <w:r w:rsidR="009E4C76" w:rsidRPr="00CE611F">
        <w:rPr>
          <w:lang w:val="fr-FR"/>
        </w:rPr>
        <w:t>acceptation ou le rejet des recommandations formulées par le groupe de travail chargé de l</w:t>
      </w:r>
      <w:r w:rsidR="009E4C76">
        <w:rPr>
          <w:lang w:val="fr-FR"/>
        </w:rPr>
        <w:t>’</w:t>
      </w:r>
      <w:r w:rsidR="009E4C76" w:rsidRPr="00CE611F">
        <w:rPr>
          <w:lang w:val="fr-FR"/>
        </w:rPr>
        <w:t>Examen périodique universel</w:t>
      </w:r>
      <w:r w:rsidR="00DD2F62">
        <w:rPr>
          <w:lang w:val="fr-FR"/>
        </w:rPr>
        <w:t> ;</w:t>
      </w:r>
      <w:r w:rsidR="009E4C76" w:rsidRPr="00CE611F">
        <w:rPr>
          <w:lang w:val="fr-FR"/>
        </w:rPr>
        <w:t xml:space="preserve"> et d</w:t>
      </w:r>
      <w:r w:rsidR="009E4C76">
        <w:rPr>
          <w:lang w:val="fr-FR"/>
        </w:rPr>
        <w:t>’</w:t>
      </w:r>
      <w:r w:rsidR="009E4C76" w:rsidRPr="00CE611F">
        <w:rPr>
          <w:lang w:val="fr-FR"/>
        </w:rPr>
        <w:t>élaborer les plans et propositions de suites à donner aux recommandations formulées par le groupe de travail chargé de l</w:t>
      </w:r>
      <w:r w:rsidR="009E4C76">
        <w:rPr>
          <w:lang w:val="fr-FR"/>
        </w:rPr>
        <w:t>’</w:t>
      </w:r>
      <w:r w:rsidR="009E4C76" w:rsidRPr="00CE611F">
        <w:rPr>
          <w:lang w:val="fr-FR"/>
        </w:rPr>
        <w:t>EPU et par les organes des traités, en collaboration avec les autorités compétentes de l</w:t>
      </w:r>
      <w:r w:rsidR="009E4C76">
        <w:rPr>
          <w:lang w:val="fr-FR"/>
        </w:rPr>
        <w:t>’</w:t>
      </w:r>
      <w:r w:rsidR="009E4C76" w:rsidRPr="00CE611F">
        <w:rPr>
          <w:lang w:val="fr-FR"/>
        </w:rPr>
        <w:t>État.</w:t>
      </w:r>
    </w:p>
    <w:p w14:paraId="0AEFF905" w14:textId="77777777" w:rsidR="009E4C76" w:rsidRPr="00CE611F" w:rsidRDefault="009E4C76" w:rsidP="00BA1577">
      <w:pPr>
        <w:pStyle w:val="H4G"/>
        <w:rPr>
          <w:rtl/>
          <w:lang w:bidi="fr-FR"/>
        </w:rPr>
      </w:pPr>
      <w:r w:rsidRPr="00CE611F">
        <w:rPr>
          <w:lang w:bidi="ar-QA"/>
        </w:rPr>
        <w:tab/>
      </w:r>
      <w:r w:rsidRPr="00CE611F">
        <w:rPr>
          <w:lang w:bidi="ar-QA"/>
        </w:rPr>
        <w:tab/>
        <w:t>La Commission de lutte contre la traite des êtres humains</w:t>
      </w:r>
    </w:p>
    <w:p w14:paraId="3330F6E7" w14:textId="77777777" w:rsidR="009E4C76" w:rsidRPr="003B4CD2" w:rsidRDefault="009E4C76" w:rsidP="005D0B7C">
      <w:pPr>
        <w:pStyle w:val="SingleTxtG"/>
        <w:rPr>
          <w:rtl/>
          <w:lang w:bidi="fr-FR"/>
        </w:rPr>
      </w:pPr>
      <w:r w:rsidRPr="003B4CD2">
        <w:rPr>
          <w:lang w:bidi="ar-QA"/>
        </w:rPr>
        <w:t>69.</w:t>
      </w:r>
      <w:r w:rsidRPr="003B4CD2">
        <w:rPr>
          <w:lang w:bidi="ar-QA"/>
        </w:rPr>
        <w:tab/>
        <w:t>Créée en 2017, la Commission nationale de lutte contre la traite des personnes vise à</w:t>
      </w:r>
      <w:r w:rsidR="003B4CD2" w:rsidRPr="003B4CD2">
        <w:rPr>
          <w:lang w:bidi="ar-QA"/>
        </w:rPr>
        <w:t> </w:t>
      </w:r>
      <w:r w:rsidRPr="003B4CD2">
        <w:rPr>
          <w:lang w:bidi="ar-QA"/>
        </w:rPr>
        <w:t xml:space="preserve">coordonner les efforts nationaux de surveillance, de prévention et de lutte contre la traite des êtres humains. Elle est présidée par un représentant du Ministère du développement administratif, du travail et des affaires sociales et un représentant du Ministère des affaires étrangères en assure la vice-présidence. Elle est également composée de membres représentant les </w:t>
      </w:r>
      <w:r w:rsidR="0023337C">
        <w:rPr>
          <w:lang w:bidi="ar-QA"/>
        </w:rPr>
        <w:t>M</w:t>
      </w:r>
      <w:r w:rsidRPr="003B4CD2">
        <w:rPr>
          <w:lang w:bidi="ar-QA"/>
        </w:rPr>
        <w:t>inistères de l’intérieur, de la justice et de la santé publique, ainsi que de représentants du bureau du Procureur, du Bureau de la communication gouvernementale, de la Commission nationale des droits de l’homme, de l’Agence nationale d’action sociale et du</w:t>
      </w:r>
      <w:r w:rsidR="003B4CD2" w:rsidRPr="003B4CD2">
        <w:rPr>
          <w:lang w:bidi="ar-QA"/>
        </w:rPr>
        <w:t> </w:t>
      </w:r>
      <w:r w:rsidRPr="003B4CD2">
        <w:rPr>
          <w:lang w:bidi="ar-QA"/>
        </w:rPr>
        <w:t>Centre de protection et de réadaptation sociale. La Commission coordonne les actions nationales de surveillance, d’interdiction et de lutte contre la traite des personnes. Elle</w:t>
      </w:r>
      <w:r w:rsidR="0023337C">
        <w:rPr>
          <w:lang w:bidi="ar-QA"/>
        </w:rPr>
        <w:t> </w:t>
      </w:r>
      <w:r w:rsidRPr="003B4CD2">
        <w:rPr>
          <w:lang w:bidi="ar-QA"/>
        </w:rPr>
        <w:t xml:space="preserve">élabore la stratégie nationale de lutte contre la traite des personnes, prépare et diffuse un rapport annuel résumant les actions de l’État dans ce domaine et assure la coordination avec les autorités et parties compétentes pour garantir la protection et l’assistance nécessaires aux victimes de la traite des personnes. Le projet de </w:t>
      </w:r>
      <w:r w:rsidR="0089136A">
        <w:rPr>
          <w:lang w:bidi="ar-QA"/>
        </w:rPr>
        <w:t>s</w:t>
      </w:r>
      <w:r w:rsidRPr="003B4CD2">
        <w:rPr>
          <w:lang w:bidi="ar-QA"/>
        </w:rPr>
        <w:t>tratégie nationale de lutte contre la traite des personnes (2017-2022) a été élaboré et une Initiative arabe de lutte contre ce fléau a également été lancée, en collaboration avec l’Office des Nations</w:t>
      </w:r>
      <w:r w:rsidR="003B4CD2">
        <w:rPr>
          <w:lang w:bidi="ar-QA"/>
        </w:rPr>
        <w:t> </w:t>
      </w:r>
      <w:r w:rsidRPr="003B4CD2">
        <w:rPr>
          <w:lang w:bidi="ar-QA"/>
        </w:rPr>
        <w:t>Unies contre la drogue et le crime et la Ligue des États arabes pour la période 2011 à 2014. Au</w:t>
      </w:r>
      <w:r w:rsidR="0089136A">
        <w:rPr>
          <w:lang w:bidi="ar-QA"/>
        </w:rPr>
        <w:t> </w:t>
      </w:r>
      <w:r w:rsidRPr="003B4CD2">
        <w:rPr>
          <w:lang w:bidi="ar-QA"/>
        </w:rPr>
        <w:t>titre de cette initiative, l’État a mobilisé 6</w:t>
      </w:r>
      <w:r w:rsidR="003B4CD2">
        <w:rPr>
          <w:lang w:bidi="ar-QA"/>
        </w:rPr>
        <w:t> </w:t>
      </w:r>
      <w:r w:rsidRPr="003B4CD2">
        <w:rPr>
          <w:lang w:bidi="ar-QA"/>
        </w:rPr>
        <w:t xml:space="preserve">millions de dollars </w:t>
      </w:r>
      <w:r w:rsidR="0089136A">
        <w:rPr>
          <w:lang w:bidi="ar-QA"/>
        </w:rPr>
        <w:t xml:space="preserve">des États-Unis </w:t>
      </w:r>
      <w:r w:rsidRPr="003B4CD2">
        <w:rPr>
          <w:lang w:bidi="ar-QA"/>
        </w:rPr>
        <w:t>visant à</w:t>
      </w:r>
      <w:r w:rsidR="0089136A">
        <w:rPr>
          <w:lang w:bidi="ar-QA"/>
        </w:rPr>
        <w:t> </w:t>
      </w:r>
      <w:r w:rsidRPr="003B4CD2">
        <w:rPr>
          <w:lang w:bidi="ar-QA"/>
        </w:rPr>
        <w:t>renforcer les capacités nationales de lutte contre la traite des personnes dans la région arabe, grâce à des cycles de formation destinés aux magistrats, inspecteurs et officiers de police chargés de cette lutte, dont le dernier en décembre 2017.</w:t>
      </w:r>
    </w:p>
    <w:p w14:paraId="787CDDB2" w14:textId="77777777" w:rsidR="009E4C76" w:rsidRPr="00CE611F" w:rsidRDefault="009E4C76" w:rsidP="003B4CD2">
      <w:pPr>
        <w:pStyle w:val="H23G"/>
        <w:rPr>
          <w:rtl/>
          <w:lang w:bidi="fr-FR"/>
        </w:rPr>
      </w:pPr>
      <w:r w:rsidRPr="00CE611F">
        <w:rPr>
          <w:lang w:bidi="ar-QA"/>
        </w:rPr>
        <w:tab/>
      </w:r>
      <w:r w:rsidRPr="00CE611F">
        <w:rPr>
          <w:lang w:bidi="ar-QA"/>
        </w:rPr>
        <w:tab/>
        <w:t>Le Comité national du droit international humanitaire</w:t>
      </w:r>
    </w:p>
    <w:p w14:paraId="6951F770" w14:textId="77777777" w:rsidR="009E4C76" w:rsidRPr="00CE611F" w:rsidRDefault="009E4C76" w:rsidP="005D0B7C">
      <w:pPr>
        <w:pStyle w:val="SingleTxtG"/>
        <w:rPr>
          <w:rtl/>
          <w:lang w:bidi="fr-FR"/>
        </w:rPr>
      </w:pPr>
      <w:r w:rsidRPr="00CE611F">
        <w:rPr>
          <w:lang w:bidi="ar-QA"/>
        </w:rPr>
        <w:t>70.</w:t>
      </w:r>
      <w:r w:rsidRPr="00CE611F">
        <w:rPr>
          <w:lang w:bidi="ar-QA"/>
        </w:rPr>
        <w:tab/>
        <w:t>Le Comité national du droit international humanitaire a été créé par l</w:t>
      </w:r>
      <w:r>
        <w:rPr>
          <w:lang w:bidi="ar-QA"/>
        </w:rPr>
        <w:t>’</w:t>
      </w:r>
      <w:r w:rsidRPr="00CE611F">
        <w:rPr>
          <w:lang w:bidi="ar-QA"/>
        </w:rPr>
        <w:t xml:space="preserve">arrêté ministériel </w:t>
      </w:r>
      <w:r w:rsidR="003B4CD2">
        <w:rPr>
          <w:lang w:val="fr-FR" w:bidi="ar-QA"/>
        </w:rPr>
        <w:t>n</w:t>
      </w:r>
      <w:r w:rsidR="003B4CD2" w:rsidRPr="00D52183">
        <w:rPr>
          <w:vertAlign w:val="superscript"/>
          <w:lang w:val="fr-FR" w:bidi="ar-QA"/>
        </w:rPr>
        <w:t>o</w:t>
      </w:r>
      <w:r w:rsidR="003B4CD2">
        <w:rPr>
          <w:lang w:val="fr-FR" w:bidi="ar-QA"/>
        </w:rPr>
        <w:t> </w:t>
      </w:r>
      <w:r w:rsidRPr="00CE611F">
        <w:rPr>
          <w:lang w:bidi="ar-QA"/>
        </w:rPr>
        <w:t>27 de 2012 en vue de formuler des recommandations à l</w:t>
      </w:r>
      <w:r>
        <w:rPr>
          <w:lang w:bidi="ar-QA"/>
        </w:rPr>
        <w:t>’</w:t>
      </w:r>
      <w:r w:rsidRPr="00CE611F">
        <w:rPr>
          <w:lang w:bidi="ar-QA"/>
        </w:rPr>
        <w:t>intention du Gouvernement pour l</w:t>
      </w:r>
      <w:r>
        <w:rPr>
          <w:lang w:bidi="ar-QA"/>
        </w:rPr>
        <w:t>’</w:t>
      </w:r>
      <w:r w:rsidRPr="00CE611F">
        <w:rPr>
          <w:lang w:bidi="ar-QA"/>
        </w:rPr>
        <w:t xml:space="preserve">aider à mettre en </w:t>
      </w:r>
      <w:r w:rsidR="003B4CD2" w:rsidRPr="00CE611F">
        <w:rPr>
          <w:lang w:bidi="ar-QA"/>
        </w:rPr>
        <w:t>œuvre</w:t>
      </w:r>
      <w:r w:rsidRPr="00CE611F">
        <w:rPr>
          <w:lang w:bidi="ar-QA"/>
        </w:rPr>
        <w:t xml:space="preserve"> les principes du droit international humanitaire et à renforcer la sensibilisation en la matière.</w:t>
      </w:r>
    </w:p>
    <w:p w14:paraId="088E749C" w14:textId="77777777" w:rsidR="009E4C76" w:rsidRPr="00CE611F" w:rsidRDefault="009E4C76" w:rsidP="003B4CD2">
      <w:pPr>
        <w:pStyle w:val="H23G"/>
        <w:rPr>
          <w:rtl/>
          <w:lang w:bidi="fr-FR"/>
        </w:rPr>
      </w:pPr>
      <w:r w:rsidRPr="00CE611F">
        <w:rPr>
          <w:lang w:bidi="ar-QA"/>
        </w:rPr>
        <w:tab/>
      </w:r>
      <w:r w:rsidRPr="00CE611F">
        <w:rPr>
          <w:lang w:bidi="ar-QA"/>
        </w:rPr>
        <w:tab/>
        <w:t>Le Comité permanent pour les situations d</w:t>
      </w:r>
      <w:r>
        <w:rPr>
          <w:lang w:bidi="ar-QA"/>
        </w:rPr>
        <w:t>’</w:t>
      </w:r>
      <w:r w:rsidRPr="00CE611F">
        <w:rPr>
          <w:lang w:bidi="ar-QA"/>
        </w:rPr>
        <w:t>urgence</w:t>
      </w:r>
    </w:p>
    <w:p w14:paraId="5C1C2DE2" w14:textId="77777777" w:rsidR="009E4C76" w:rsidRPr="00CE611F" w:rsidRDefault="009E4C76" w:rsidP="005D0B7C">
      <w:pPr>
        <w:pStyle w:val="SingleTxtG"/>
        <w:rPr>
          <w:b/>
          <w:bCs/>
          <w:rtl/>
          <w:lang w:bidi="fr-FR"/>
        </w:rPr>
      </w:pPr>
      <w:r w:rsidRPr="00CE611F">
        <w:t>71.</w:t>
      </w:r>
      <w:r w:rsidRPr="00CE611F">
        <w:tab/>
      </w:r>
      <w:r w:rsidRPr="00CE611F">
        <w:rPr>
          <w:lang w:bidi="ar-QA"/>
        </w:rPr>
        <w:t xml:space="preserve">Créé par le décret </w:t>
      </w:r>
      <w:r w:rsidR="003B4CD2">
        <w:rPr>
          <w:lang w:val="fr-FR" w:bidi="ar-QA"/>
        </w:rPr>
        <w:t>n</w:t>
      </w:r>
      <w:r w:rsidR="003B4CD2" w:rsidRPr="00D52183">
        <w:rPr>
          <w:vertAlign w:val="superscript"/>
          <w:lang w:val="fr-FR" w:bidi="ar-QA"/>
        </w:rPr>
        <w:t>o</w:t>
      </w:r>
      <w:r w:rsidR="003B4CD2">
        <w:rPr>
          <w:lang w:val="fr-FR" w:bidi="ar-QA"/>
        </w:rPr>
        <w:t> </w:t>
      </w:r>
      <w:r w:rsidRPr="00CE611F">
        <w:rPr>
          <w:lang w:bidi="ar-QA"/>
        </w:rPr>
        <w:t>14 de 2011 du Conseil des ministres, le Comité permanent pour les situations d</w:t>
      </w:r>
      <w:r>
        <w:rPr>
          <w:lang w:bidi="ar-QA"/>
        </w:rPr>
        <w:t>’</w:t>
      </w:r>
      <w:r w:rsidRPr="00CE611F">
        <w:rPr>
          <w:lang w:bidi="ar-QA"/>
        </w:rPr>
        <w:t>urgence a pour mission d</w:t>
      </w:r>
      <w:r>
        <w:rPr>
          <w:lang w:bidi="ar-QA"/>
        </w:rPr>
        <w:t>’</w:t>
      </w:r>
      <w:r w:rsidRPr="00CE611F">
        <w:rPr>
          <w:lang w:bidi="ar-QA"/>
        </w:rPr>
        <w:t>élaborer des études, plans et procédures d</w:t>
      </w:r>
      <w:r>
        <w:rPr>
          <w:lang w:bidi="ar-QA"/>
        </w:rPr>
        <w:t>’</w:t>
      </w:r>
      <w:r w:rsidRPr="00CE611F">
        <w:rPr>
          <w:lang w:bidi="ar-QA"/>
        </w:rPr>
        <w:t>intervention en cas de catastrophe, de même que des principes et règles permettant de garantir la rapidité des secours aux sinistrés, la sécurité et le bon fonctionnement des moyens de transport et de communication, ainsi que des plans de sensibilisation, qu</w:t>
      </w:r>
      <w:r>
        <w:rPr>
          <w:lang w:bidi="ar-QA"/>
        </w:rPr>
        <w:t>’</w:t>
      </w:r>
      <w:r w:rsidRPr="00CE611F">
        <w:rPr>
          <w:lang w:bidi="ar-QA"/>
        </w:rPr>
        <w:t>il est chargé de diffuser dans les médias.</w:t>
      </w:r>
    </w:p>
    <w:p w14:paraId="40190D32" w14:textId="77777777" w:rsidR="009E4C76" w:rsidRPr="00CE611F" w:rsidRDefault="009E4C76" w:rsidP="003B4CD2">
      <w:pPr>
        <w:pStyle w:val="H23G"/>
        <w:rPr>
          <w:rtl/>
          <w:lang w:bidi="fr-FR"/>
        </w:rPr>
      </w:pPr>
      <w:r w:rsidRPr="00CE611F">
        <w:rPr>
          <w:lang w:bidi="ar-QA"/>
        </w:rPr>
        <w:tab/>
      </w:r>
      <w:r w:rsidRPr="00CE611F">
        <w:rPr>
          <w:lang w:bidi="ar-QA"/>
        </w:rPr>
        <w:tab/>
        <w:t>La Commission du changement climatique et du développement propre</w:t>
      </w:r>
    </w:p>
    <w:p w14:paraId="1C1C05B1" w14:textId="77777777" w:rsidR="009E4C76" w:rsidRPr="00CE611F" w:rsidRDefault="009E4C76" w:rsidP="005D0B7C">
      <w:pPr>
        <w:pStyle w:val="SingleTxtG"/>
        <w:rPr>
          <w:rtl/>
          <w:lang w:bidi="fr-FR"/>
        </w:rPr>
      </w:pPr>
      <w:r w:rsidRPr="00CE611F">
        <w:rPr>
          <w:lang w:bidi="ar-QA"/>
        </w:rPr>
        <w:t>72.</w:t>
      </w:r>
      <w:r w:rsidRPr="00CE611F">
        <w:rPr>
          <w:lang w:bidi="ar-QA"/>
        </w:rPr>
        <w:tab/>
        <w:t xml:space="preserve">La Commission du changement climatique et du développement propre a été créée par le décret du Conseil des ministres </w:t>
      </w:r>
      <w:r w:rsidR="003B4CD2">
        <w:rPr>
          <w:lang w:val="fr-FR" w:bidi="ar-QA"/>
        </w:rPr>
        <w:t>n</w:t>
      </w:r>
      <w:r w:rsidR="003B4CD2" w:rsidRPr="00D52183">
        <w:rPr>
          <w:vertAlign w:val="superscript"/>
          <w:lang w:val="fr-FR" w:bidi="ar-QA"/>
        </w:rPr>
        <w:t>o</w:t>
      </w:r>
      <w:r w:rsidR="003B4CD2">
        <w:rPr>
          <w:lang w:val="fr-FR" w:bidi="ar-QA"/>
        </w:rPr>
        <w:t> </w:t>
      </w:r>
      <w:r w:rsidRPr="00CE611F">
        <w:rPr>
          <w:lang w:bidi="ar-QA"/>
        </w:rPr>
        <w:t>15 de 2011 pour assurer le suivi des réunions des États parties à la Convention-cadre des Nations</w:t>
      </w:r>
      <w:r w:rsidR="003B4CD2">
        <w:rPr>
          <w:lang w:bidi="ar-QA"/>
        </w:rPr>
        <w:t> </w:t>
      </w:r>
      <w:r w:rsidRPr="00CE611F">
        <w:rPr>
          <w:lang w:bidi="ar-QA"/>
        </w:rPr>
        <w:t>Unies sur les changements climatiques et du Protocole de Kyoto y relatif, ainsi que des recommandations qui en sont issues, et de veiller au respect des engagements pris à ce titre.</w:t>
      </w:r>
    </w:p>
    <w:p w14:paraId="7A13188F" w14:textId="77777777" w:rsidR="009E4C76" w:rsidRPr="00CE611F" w:rsidRDefault="009E4C76" w:rsidP="003B4CD2">
      <w:pPr>
        <w:pStyle w:val="H23G"/>
        <w:rPr>
          <w:rtl/>
          <w:lang w:val="fr-FR" w:bidi="fr-FR"/>
        </w:rPr>
      </w:pPr>
      <w:r w:rsidRPr="00CE611F">
        <w:rPr>
          <w:lang w:val="fr-FR" w:bidi="ar-QA"/>
        </w:rPr>
        <w:tab/>
      </w:r>
      <w:r w:rsidRPr="00CE611F">
        <w:rPr>
          <w:lang w:val="fr-FR" w:bidi="ar-QA"/>
        </w:rPr>
        <w:tab/>
        <w:t>Le Comité national de l</w:t>
      </w:r>
      <w:r>
        <w:rPr>
          <w:lang w:val="fr-FR" w:bidi="ar-QA"/>
        </w:rPr>
        <w:t>’</w:t>
      </w:r>
      <w:r w:rsidRPr="00CE611F">
        <w:rPr>
          <w:lang w:val="fr-FR" w:bidi="ar-QA"/>
        </w:rPr>
        <w:t>hygiène et de la sécurité au travail</w:t>
      </w:r>
    </w:p>
    <w:p w14:paraId="49A22E2B" w14:textId="77777777" w:rsidR="009E4C76" w:rsidRPr="00CE611F" w:rsidRDefault="009E4C76" w:rsidP="005D0B7C">
      <w:pPr>
        <w:pStyle w:val="SingleTxtG"/>
        <w:rPr>
          <w:rtl/>
          <w:lang w:bidi="fr-FR"/>
        </w:rPr>
      </w:pPr>
      <w:r w:rsidRPr="00CE611F">
        <w:rPr>
          <w:lang w:bidi="ar-QA"/>
        </w:rPr>
        <w:t>73.</w:t>
      </w:r>
      <w:r w:rsidRPr="00CE611F">
        <w:rPr>
          <w:lang w:bidi="ar-QA"/>
        </w:rPr>
        <w:tab/>
        <w:t xml:space="preserve">Créé par le décret du Conseil des ministres </w:t>
      </w:r>
      <w:r w:rsidR="003B4CD2">
        <w:rPr>
          <w:lang w:val="fr-FR" w:bidi="ar-QA"/>
        </w:rPr>
        <w:t>n</w:t>
      </w:r>
      <w:r w:rsidR="003B4CD2" w:rsidRPr="00D52183">
        <w:rPr>
          <w:vertAlign w:val="superscript"/>
          <w:lang w:val="fr-FR" w:bidi="ar-QA"/>
        </w:rPr>
        <w:t>o</w:t>
      </w:r>
      <w:r w:rsidR="003B4CD2">
        <w:rPr>
          <w:lang w:val="fr-FR" w:bidi="ar-QA"/>
        </w:rPr>
        <w:t> </w:t>
      </w:r>
      <w:r w:rsidRPr="00CE611F">
        <w:rPr>
          <w:lang w:bidi="ar-QA"/>
        </w:rPr>
        <w:t>16 de 2011, cet organe a pour mission de proposer des politiques publiques, des programmes et une réglementation nationales sur l</w:t>
      </w:r>
      <w:r>
        <w:rPr>
          <w:lang w:bidi="ar-QA"/>
        </w:rPr>
        <w:t>’</w:t>
      </w:r>
      <w:r w:rsidRPr="00CE611F">
        <w:rPr>
          <w:lang w:bidi="ar-QA"/>
        </w:rPr>
        <w:t>hygiène et la sécurité au travail.</w:t>
      </w:r>
    </w:p>
    <w:p w14:paraId="6DD20A26" w14:textId="77777777" w:rsidR="009E4C76" w:rsidRPr="00CE611F" w:rsidRDefault="009E4C76" w:rsidP="003B4CD2">
      <w:pPr>
        <w:pStyle w:val="H23G"/>
        <w:rPr>
          <w:rtl/>
          <w:lang w:bidi="fr-FR"/>
        </w:rPr>
      </w:pPr>
      <w:r w:rsidRPr="00CE611F">
        <w:rPr>
          <w:lang w:bidi="ar-QA"/>
        </w:rPr>
        <w:tab/>
      </w:r>
      <w:r w:rsidRPr="00CE611F">
        <w:rPr>
          <w:lang w:bidi="ar-QA"/>
        </w:rPr>
        <w:tab/>
        <w:t>L</w:t>
      </w:r>
      <w:r>
        <w:rPr>
          <w:lang w:bidi="ar-QA"/>
        </w:rPr>
        <w:t>’</w:t>
      </w:r>
      <w:r w:rsidRPr="00CE611F">
        <w:rPr>
          <w:lang w:bidi="ar-QA"/>
        </w:rPr>
        <w:t>Instance du contrôle administratif et de la transparence</w:t>
      </w:r>
    </w:p>
    <w:p w14:paraId="2DDC4E8A" w14:textId="77777777" w:rsidR="009E4C76" w:rsidRPr="00CE611F" w:rsidRDefault="009E4C76" w:rsidP="005D0B7C">
      <w:pPr>
        <w:pStyle w:val="SingleTxtG"/>
        <w:rPr>
          <w:rtl/>
          <w:lang w:bidi="ar-QA"/>
        </w:rPr>
      </w:pPr>
      <w:r w:rsidRPr="00CE611F">
        <w:rPr>
          <w:lang w:bidi="ar-QA"/>
        </w:rPr>
        <w:t>74.</w:t>
      </w:r>
      <w:r w:rsidRPr="00CE611F">
        <w:rPr>
          <w:lang w:bidi="ar-QA"/>
        </w:rPr>
        <w:tab/>
      </w:r>
      <w:r w:rsidRPr="00CE611F">
        <w:rPr>
          <w:spacing w:val="-2"/>
          <w:lang w:bidi="ar-QA"/>
        </w:rPr>
        <w:t>L</w:t>
      </w:r>
      <w:r>
        <w:rPr>
          <w:spacing w:val="-2"/>
          <w:lang w:bidi="ar-QA"/>
        </w:rPr>
        <w:t>’</w:t>
      </w:r>
      <w:r w:rsidRPr="00CE611F">
        <w:rPr>
          <w:spacing w:val="-2"/>
          <w:lang w:bidi="ar-QA"/>
        </w:rPr>
        <w:t>Instance du contrôle administratif et de la transparence a été créée par le décret de l</w:t>
      </w:r>
      <w:r>
        <w:rPr>
          <w:spacing w:val="-2"/>
          <w:lang w:bidi="ar-QA"/>
        </w:rPr>
        <w:t>’</w:t>
      </w:r>
      <w:r w:rsidRPr="00CE611F">
        <w:rPr>
          <w:spacing w:val="-2"/>
          <w:lang w:bidi="ar-QA"/>
        </w:rPr>
        <w:t xml:space="preserve">Émir </w:t>
      </w:r>
      <w:r w:rsidR="003B4CD2">
        <w:rPr>
          <w:lang w:val="fr-FR" w:bidi="ar-QA"/>
        </w:rPr>
        <w:t>n</w:t>
      </w:r>
      <w:r w:rsidR="003B4CD2" w:rsidRPr="00D52183">
        <w:rPr>
          <w:vertAlign w:val="superscript"/>
          <w:lang w:val="fr-FR" w:bidi="ar-QA"/>
        </w:rPr>
        <w:t>o</w:t>
      </w:r>
      <w:r w:rsidR="003B4CD2">
        <w:rPr>
          <w:lang w:val="fr-FR" w:bidi="ar-QA"/>
        </w:rPr>
        <w:t> </w:t>
      </w:r>
      <w:r w:rsidRPr="00CE611F">
        <w:rPr>
          <w:spacing w:val="-2"/>
          <w:lang w:bidi="ar-QA"/>
        </w:rPr>
        <w:t>75 de 2011 en tant qu</w:t>
      </w:r>
      <w:r>
        <w:rPr>
          <w:spacing w:val="-2"/>
          <w:lang w:bidi="ar-QA"/>
        </w:rPr>
        <w:t>’</w:t>
      </w:r>
      <w:r w:rsidRPr="00CE611F">
        <w:rPr>
          <w:spacing w:val="-2"/>
          <w:lang w:bidi="ar-QA"/>
        </w:rPr>
        <w:t>organisme de contrôle, chargé d</w:t>
      </w:r>
      <w:r>
        <w:rPr>
          <w:spacing w:val="-2"/>
          <w:lang w:bidi="ar-QA"/>
        </w:rPr>
        <w:t>’</w:t>
      </w:r>
      <w:r w:rsidRPr="00CE611F">
        <w:rPr>
          <w:spacing w:val="-2"/>
          <w:lang w:bidi="ar-QA"/>
        </w:rPr>
        <w:t>instaurer la transparence et l</w:t>
      </w:r>
      <w:r>
        <w:rPr>
          <w:spacing w:val="-2"/>
          <w:lang w:bidi="ar-QA"/>
        </w:rPr>
        <w:t>’</w:t>
      </w:r>
      <w:r w:rsidRPr="00CE611F">
        <w:rPr>
          <w:spacing w:val="-2"/>
          <w:lang w:bidi="ar-QA"/>
        </w:rPr>
        <w:t>intégrité et de lutter contre la corruption sous toutes ses formes.</w:t>
      </w:r>
    </w:p>
    <w:p w14:paraId="77BDCBFC" w14:textId="77777777" w:rsidR="009E4C76" w:rsidRPr="00CE611F" w:rsidRDefault="009E4C76" w:rsidP="00AE00B3">
      <w:pPr>
        <w:pStyle w:val="H23G"/>
        <w:rPr>
          <w:lang w:bidi="ar-QA"/>
        </w:rPr>
      </w:pPr>
      <w:r w:rsidRPr="00CE611F">
        <w:rPr>
          <w:lang w:bidi="ar-QA"/>
        </w:rPr>
        <w:tab/>
      </w:r>
      <w:r w:rsidRPr="00CE611F">
        <w:rPr>
          <w:lang w:bidi="ar-QA"/>
        </w:rPr>
        <w:tab/>
        <w:t>Les mécanismes non gouvernementaux</w:t>
      </w:r>
    </w:p>
    <w:p w14:paraId="47478A2B" w14:textId="77777777" w:rsidR="009E4C76" w:rsidRPr="00CE611F" w:rsidRDefault="009E4C76" w:rsidP="00AE00B3">
      <w:pPr>
        <w:pStyle w:val="H4G"/>
        <w:rPr>
          <w:lang w:bidi="ar-QA"/>
        </w:rPr>
      </w:pPr>
      <w:r w:rsidRPr="00CE611F">
        <w:rPr>
          <w:lang w:bidi="ar-QA"/>
        </w:rPr>
        <w:tab/>
      </w:r>
      <w:r w:rsidRPr="00CE611F">
        <w:rPr>
          <w:lang w:bidi="ar-QA"/>
        </w:rPr>
        <w:tab/>
        <w:t>La Fondation arabe pour la démocratie</w:t>
      </w:r>
    </w:p>
    <w:p w14:paraId="1E8C64C5" w14:textId="77777777" w:rsidR="009E4C76" w:rsidRPr="00CE611F" w:rsidRDefault="009E4C76" w:rsidP="005D0B7C">
      <w:pPr>
        <w:pStyle w:val="SingleTxtG"/>
        <w:rPr>
          <w:rtl/>
          <w:lang w:bidi="fr-FR"/>
        </w:rPr>
      </w:pPr>
      <w:r w:rsidRPr="00CE611F">
        <w:rPr>
          <w:lang w:bidi="ar-QA"/>
        </w:rPr>
        <w:t>75.</w:t>
      </w:r>
      <w:r w:rsidRPr="00CE611F">
        <w:rPr>
          <w:lang w:bidi="ar-QA"/>
        </w:rPr>
        <w:tab/>
        <w:t>La Fondation arabe pour la démocratie, dont le siège est situé à Doha, a été créée par le décret de l</w:t>
      </w:r>
      <w:r>
        <w:rPr>
          <w:lang w:bidi="ar-QA"/>
        </w:rPr>
        <w:t>’</w:t>
      </w:r>
      <w:r w:rsidRPr="00CE611F">
        <w:rPr>
          <w:lang w:bidi="ar-QA"/>
        </w:rPr>
        <w:t xml:space="preserve">Émir </w:t>
      </w:r>
      <w:r w:rsidR="00AE00B3">
        <w:rPr>
          <w:lang w:val="fr-FR" w:bidi="ar-QA"/>
        </w:rPr>
        <w:t>n</w:t>
      </w:r>
      <w:r w:rsidR="00AE00B3" w:rsidRPr="00D52183">
        <w:rPr>
          <w:vertAlign w:val="superscript"/>
          <w:lang w:val="fr-FR" w:bidi="ar-QA"/>
        </w:rPr>
        <w:t>o</w:t>
      </w:r>
      <w:r w:rsidR="00AE00B3">
        <w:rPr>
          <w:lang w:val="fr-FR" w:bidi="ar-QA"/>
        </w:rPr>
        <w:t> </w:t>
      </w:r>
      <w:r w:rsidRPr="00CE611F">
        <w:rPr>
          <w:lang w:bidi="ar-QA"/>
        </w:rPr>
        <w:t xml:space="preserve">51 de 2007 lors du « deuxième Forum sur la démocratie et la réforme </w:t>
      </w:r>
      <w:r w:rsidRPr="00AE00B3">
        <w:t>politique dans le monde arabe » (mai 2017), sachant qu’elle est la première en son genre dans le monde arabe. Elle a pour but d’encourager la promotion de la culture démocratique dans la région. Il convient de noter que le Gouvernement a fait don d’un montant de 10</w:t>
      </w:r>
      <w:r w:rsidR="00AE00B3" w:rsidRPr="00AE00B3">
        <w:t> </w:t>
      </w:r>
      <w:r w:rsidRPr="00AE00B3">
        <w:t>millions de dollars à cette institution afin de soutenir ses activités. La</w:t>
      </w:r>
      <w:r w:rsidR="007C3CCD">
        <w:t xml:space="preserve"> </w:t>
      </w:r>
      <w:r w:rsidRPr="00AE00B3">
        <w:t>Fondation a publié son premier rapport sur la situation de la démocratie dans les pays arabes en 2008, en s’appuyant sur des données tirées de 17</w:t>
      </w:r>
      <w:r w:rsidR="00AE00B3" w:rsidRPr="00AE00B3">
        <w:t> </w:t>
      </w:r>
      <w:r w:rsidRPr="00AE00B3">
        <w:t>rapports nationaux. Pour de plus amples informations, consultez le site de la Fondation à l’adresse suivante (</w:t>
      </w:r>
      <w:hyperlink r:id="rId14" w:history="1">
        <w:r w:rsidRPr="00AE00B3">
          <w:t>www.adf.org.qa</w:t>
        </w:r>
      </w:hyperlink>
      <w:r w:rsidRPr="00AE00B3">
        <w:t>).</w:t>
      </w:r>
    </w:p>
    <w:p w14:paraId="0B02A88B" w14:textId="77777777" w:rsidR="009E4C76" w:rsidRPr="00CE611F" w:rsidRDefault="009E4C76" w:rsidP="00AE00B3">
      <w:pPr>
        <w:pStyle w:val="H4G"/>
        <w:rPr>
          <w:rtl/>
          <w:lang w:bidi="fr-FR"/>
        </w:rPr>
      </w:pPr>
      <w:r w:rsidRPr="00CE611F">
        <w:rPr>
          <w:lang w:bidi="ar-QA"/>
        </w:rPr>
        <w:tab/>
      </w:r>
      <w:r w:rsidRPr="00CE611F">
        <w:rPr>
          <w:lang w:bidi="ar-QA"/>
        </w:rPr>
        <w:tab/>
        <w:t>Le Centre de Doha pour la liberté de la presse</w:t>
      </w:r>
    </w:p>
    <w:p w14:paraId="0008A136" w14:textId="77777777" w:rsidR="009E4C76" w:rsidRPr="00CE611F" w:rsidRDefault="009E4C76" w:rsidP="005D0B7C">
      <w:pPr>
        <w:pStyle w:val="SingleTxtG"/>
        <w:rPr>
          <w:rtl/>
          <w:lang w:bidi="fr-FR"/>
        </w:rPr>
      </w:pPr>
      <w:r w:rsidRPr="00CE611F">
        <w:rPr>
          <w:lang w:bidi="ar-QA"/>
        </w:rPr>
        <w:t>76.</w:t>
      </w:r>
      <w:r w:rsidRPr="00CE611F">
        <w:rPr>
          <w:lang w:bidi="ar-QA"/>
        </w:rPr>
        <w:tab/>
        <w:t>Dans le cadre de la consécration du rôle des médias en tant qu</w:t>
      </w:r>
      <w:r>
        <w:rPr>
          <w:lang w:bidi="ar-QA"/>
        </w:rPr>
        <w:t>’</w:t>
      </w:r>
      <w:r w:rsidRPr="00CE611F">
        <w:rPr>
          <w:lang w:bidi="ar-QA"/>
        </w:rPr>
        <w:t>élément fondamental dont il convient de tenir compte dans les orientations politiques du Gouvernement, du fait que les libertés d</w:t>
      </w:r>
      <w:r>
        <w:rPr>
          <w:lang w:bidi="ar-QA"/>
        </w:rPr>
        <w:t>’</w:t>
      </w:r>
      <w:r w:rsidRPr="00CE611F">
        <w:rPr>
          <w:lang w:bidi="ar-QA"/>
        </w:rPr>
        <w:t>opinion et d</w:t>
      </w:r>
      <w:r>
        <w:rPr>
          <w:lang w:bidi="ar-QA"/>
        </w:rPr>
        <w:t>’</w:t>
      </w:r>
      <w:r w:rsidRPr="00CE611F">
        <w:rPr>
          <w:lang w:bidi="ar-QA"/>
        </w:rPr>
        <w:t>expression garanties par la Constitution constituent les piliers de toute société démocratique contemporaine et moderne, et compte tenu de l</w:t>
      </w:r>
      <w:r>
        <w:rPr>
          <w:lang w:bidi="ar-QA"/>
        </w:rPr>
        <w:t>’</w:t>
      </w:r>
      <w:r w:rsidRPr="00CE611F">
        <w:rPr>
          <w:lang w:bidi="ar-QA"/>
        </w:rPr>
        <w:t>importance du rôle des médias en matière d</w:t>
      </w:r>
      <w:r>
        <w:rPr>
          <w:lang w:bidi="ar-QA"/>
        </w:rPr>
        <w:t>’</w:t>
      </w:r>
      <w:r w:rsidRPr="00CE611F">
        <w:rPr>
          <w:lang w:bidi="ar-QA"/>
        </w:rPr>
        <w:t>encouragement et d</w:t>
      </w:r>
      <w:r>
        <w:rPr>
          <w:lang w:bidi="ar-QA"/>
        </w:rPr>
        <w:t>’</w:t>
      </w:r>
      <w:r w:rsidRPr="00CE611F">
        <w:rPr>
          <w:lang w:bidi="ar-QA"/>
        </w:rPr>
        <w:t>incitation au dialogue, d</w:t>
      </w:r>
      <w:r>
        <w:rPr>
          <w:lang w:bidi="ar-QA"/>
        </w:rPr>
        <w:t>’</w:t>
      </w:r>
      <w:r w:rsidRPr="00CE611F">
        <w:rPr>
          <w:lang w:bidi="ar-QA"/>
        </w:rPr>
        <w:t>élargissement du champ de la tolérance, de la coexistence pacifique et de l</w:t>
      </w:r>
      <w:r>
        <w:rPr>
          <w:lang w:bidi="ar-QA"/>
        </w:rPr>
        <w:t>’</w:t>
      </w:r>
      <w:r w:rsidRPr="00CE611F">
        <w:rPr>
          <w:lang w:bidi="ar-QA"/>
        </w:rPr>
        <w:t>instauration d</w:t>
      </w:r>
      <w:r>
        <w:rPr>
          <w:lang w:bidi="ar-QA"/>
        </w:rPr>
        <w:t>’</w:t>
      </w:r>
      <w:r w:rsidRPr="00CE611F">
        <w:rPr>
          <w:lang w:bidi="ar-QA"/>
        </w:rPr>
        <w:t>un environnement peu propice au terrorisme et à la haine, le décret de l</w:t>
      </w:r>
      <w:r>
        <w:rPr>
          <w:lang w:bidi="ar-QA"/>
        </w:rPr>
        <w:t>’</w:t>
      </w:r>
      <w:r w:rsidRPr="00CE611F">
        <w:rPr>
          <w:lang w:bidi="ar-QA"/>
        </w:rPr>
        <w:t xml:space="preserve">Émir </w:t>
      </w:r>
      <w:r w:rsidR="00AE00B3">
        <w:rPr>
          <w:lang w:val="fr-FR" w:bidi="ar-QA"/>
        </w:rPr>
        <w:t>n</w:t>
      </w:r>
      <w:r w:rsidR="00AE00B3" w:rsidRPr="00D52183">
        <w:rPr>
          <w:vertAlign w:val="superscript"/>
          <w:lang w:val="fr-FR" w:bidi="ar-QA"/>
        </w:rPr>
        <w:t>o</w:t>
      </w:r>
      <w:r w:rsidR="00AE00B3">
        <w:rPr>
          <w:lang w:val="fr-FR" w:bidi="ar-QA"/>
        </w:rPr>
        <w:t> </w:t>
      </w:r>
      <w:r w:rsidRPr="00CE611F">
        <w:rPr>
          <w:lang w:bidi="ar-QA"/>
        </w:rPr>
        <w:t>86 de 2007 a</w:t>
      </w:r>
      <w:r w:rsidR="00830100">
        <w:rPr>
          <w:lang w:bidi="ar-QA"/>
        </w:rPr>
        <w:t> </w:t>
      </w:r>
      <w:r w:rsidRPr="00CE611F">
        <w:rPr>
          <w:lang w:bidi="ar-QA"/>
        </w:rPr>
        <w:t>créé le Centre de Doha pour la liberté de la presse, en tant qu</w:t>
      </w:r>
      <w:r>
        <w:rPr>
          <w:lang w:bidi="ar-QA"/>
        </w:rPr>
        <w:t>’</w:t>
      </w:r>
      <w:r w:rsidRPr="00CE611F">
        <w:rPr>
          <w:lang w:bidi="ar-QA"/>
        </w:rPr>
        <w:t>institution privée d</w:t>
      </w:r>
      <w:r>
        <w:rPr>
          <w:lang w:bidi="ar-QA"/>
        </w:rPr>
        <w:t>’</w:t>
      </w:r>
      <w:r w:rsidRPr="00CE611F">
        <w:rPr>
          <w:lang w:bidi="ar-QA"/>
        </w:rPr>
        <w:t>intérêt public. La liberté, la crédibilité, l</w:t>
      </w:r>
      <w:r>
        <w:rPr>
          <w:lang w:bidi="ar-QA"/>
        </w:rPr>
        <w:t>’</w:t>
      </w:r>
      <w:r w:rsidRPr="00CE611F">
        <w:rPr>
          <w:lang w:bidi="ar-QA"/>
        </w:rPr>
        <w:t xml:space="preserve">indépendance, la responsabilité et la transparence sont les principes stratégiques qui sous-tendent les objectifs de la création de ce </w:t>
      </w:r>
      <w:r w:rsidR="007C3CCD">
        <w:rPr>
          <w:lang w:bidi="ar-QA"/>
        </w:rPr>
        <w:t>c</w:t>
      </w:r>
      <w:r w:rsidRPr="00CE611F">
        <w:rPr>
          <w:lang w:bidi="ar-QA"/>
        </w:rPr>
        <w:t>entre, chargé de protéger le système des médias conformément aux normes internationales, d</w:t>
      </w:r>
      <w:r>
        <w:rPr>
          <w:lang w:bidi="ar-QA"/>
        </w:rPr>
        <w:t>’</w:t>
      </w:r>
      <w:r w:rsidRPr="00CE611F">
        <w:rPr>
          <w:lang w:bidi="ar-QA"/>
        </w:rPr>
        <w:t>effectuer des recherches dans le domaine des médias, de créer une base de données ayant vocation à être mise à la disposition du secteur des médias, d</w:t>
      </w:r>
      <w:r>
        <w:rPr>
          <w:lang w:bidi="ar-QA"/>
        </w:rPr>
        <w:t>’</w:t>
      </w:r>
      <w:r w:rsidRPr="00CE611F">
        <w:rPr>
          <w:lang w:bidi="ar-QA"/>
        </w:rPr>
        <w:t>ériger un monument visant à perpétuer, à l</w:t>
      </w:r>
      <w:r>
        <w:rPr>
          <w:lang w:bidi="ar-QA"/>
        </w:rPr>
        <w:t>’</w:t>
      </w:r>
      <w:r w:rsidRPr="00CE611F">
        <w:rPr>
          <w:lang w:bidi="ar-QA"/>
        </w:rPr>
        <w:t>échelle internationale, le souvenir des symboles, héros et victimes du combat pour la liberté de la presse, ainsi que de venir en aide aux journalistes victimes de violations dans le cadre de l</w:t>
      </w:r>
      <w:r>
        <w:rPr>
          <w:lang w:bidi="ar-QA"/>
        </w:rPr>
        <w:t>’</w:t>
      </w:r>
      <w:r w:rsidRPr="00CE611F">
        <w:rPr>
          <w:lang w:bidi="ar-QA"/>
        </w:rPr>
        <w:t>exercice de leur profession, en particulier dans les situations de crise. Il convient d</w:t>
      </w:r>
      <w:r>
        <w:rPr>
          <w:lang w:bidi="ar-QA"/>
        </w:rPr>
        <w:t>’</w:t>
      </w:r>
      <w:r w:rsidRPr="00CE611F">
        <w:rPr>
          <w:lang w:bidi="ar-QA"/>
        </w:rPr>
        <w:t xml:space="preserve">indiquer que le Centre de Doha pour la liberté de la presse a signé un protocole de </w:t>
      </w:r>
      <w:r w:rsidRPr="00AE00B3">
        <w:t>coopération avec l’organisation « Reporters sans frontières » en janvier 2008. Pour de plus amples informations, consulter le site du Centre à l’adresse suivante (</w:t>
      </w:r>
      <w:hyperlink r:id="rId15" w:history="1">
        <w:r w:rsidRPr="00AE00B3">
          <w:t>www.dohacentre.org</w:t>
        </w:r>
      </w:hyperlink>
      <w:r w:rsidRPr="00AE00B3">
        <w:t>).</w:t>
      </w:r>
    </w:p>
    <w:p w14:paraId="661D3762" w14:textId="77777777" w:rsidR="009E4C76" w:rsidRPr="00CE611F" w:rsidRDefault="009E4C76" w:rsidP="00AE00B3">
      <w:pPr>
        <w:pStyle w:val="H4G"/>
      </w:pPr>
      <w:r w:rsidRPr="00CE611F">
        <w:rPr>
          <w:lang w:bidi="ar-QA"/>
        </w:rPr>
        <w:tab/>
      </w:r>
      <w:r w:rsidRPr="00CE611F">
        <w:rPr>
          <w:lang w:bidi="ar-QA"/>
        </w:rPr>
        <w:tab/>
        <w:t>Le Centre international de Doha pour le dialogue interconfessionnel</w:t>
      </w:r>
    </w:p>
    <w:p w14:paraId="09E28F3C" w14:textId="77777777" w:rsidR="009E4C76" w:rsidRPr="00CE611F" w:rsidRDefault="009E4C76" w:rsidP="005D0B7C">
      <w:pPr>
        <w:pStyle w:val="SingleTxtG"/>
        <w:rPr>
          <w:rtl/>
          <w:lang w:bidi="fr-FR"/>
        </w:rPr>
      </w:pPr>
      <w:r w:rsidRPr="00CE611F">
        <w:rPr>
          <w:lang w:bidi="ar-QA"/>
        </w:rPr>
        <w:t>77.</w:t>
      </w:r>
      <w:r w:rsidRPr="00CE611F">
        <w:rPr>
          <w:lang w:bidi="ar-QA"/>
        </w:rPr>
        <w:tab/>
        <w:t>Le Centre international de Doha pour le dialogue interconfessionnel a été mis en place en réponse aux recommandations de la cinquième Conférence de Doha afférente à</w:t>
      </w:r>
      <w:r w:rsidR="00AE00B3">
        <w:rPr>
          <w:lang w:bidi="ar-QA"/>
        </w:rPr>
        <w:t> </w:t>
      </w:r>
      <w:r w:rsidRPr="00CE611F">
        <w:rPr>
          <w:lang w:bidi="ar-QA"/>
        </w:rPr>
        <w:t xml:space="preserve">cette question (mai 2007). Il a été inauguré un an plus tard (mai 2008), lors de la sixième Conférence internationale de Doha sur le dialogue interconfessionnel. Il a pour mission de </w:t>
      </w:r>
      <w:r w:rsidRPr="00AE00B3">
        <w:t>diffuser et de promouvoir la culture du dialogue et de la coexistence pacifique. Pour de plus amples informations, consulter le site du Centre à l’adresse suivante (www.dicid.org).</w:t>
      </w:r>
      <w:bookmarkStart w:id="43" w:name="_Toc281916561"/>
      <w:bookmarkStart w:id="44" w:name="_Toc281916776"/>
      <w:bookmarkStart w:id="45" w:name="_Toc281916940"/>
      <w:bookmarkStart w:id="46" w:name="_Toc282337904"/>
    </w:p>
    <w:p w14:paraId="539DAFBC" w14:textId="77777777" w:rsidR="009E4C76" w:rsidRPr="00CE611F" w:rsidRDefault="009E4C76" w:rsidP="00AE00B3">
      <w:pPr>
        <w:pStyle w:val="H4G"/>
        <w:rPr>
          <w:rtl/>
          <w:lang w:bidi="fr-FR"/>
        </w:rPr>
      </w:pPr>
      <w:r w:rsidRPr="00CE611F">
        <w:rPr>
          <w:lang w:bidi="ar-QA"/>
        </w:rPr>
        <w:tab/>
      </w:r>
      <w:r w:rsidRPr="00CE611F">
        <w:rPr>
          <w:lang w:bidi="ar-QA"/>
        </w:rPr>
        <w:tab/>
        <w:t>La Commission qatarie pour l</w:t>
      </w:r>
      <w:r>
        <w:rPr>
          <w:lang w:bidi="ar-QA"/>
        </w:rPr>
        <w:t>’</w:t>
      </w:r>
      <w:r w:rsidRPr="00CE611F">
        <w:rPr>
          <w:lang w:bidi="ar-QA"/>
        </w:rPr>
        <w:t>alliance des civilisations</w:t>
      </w:r>
    </w:p>
    <w:p w14:paraId="636BAF50" w14:textId="77777777" w:rsidR="009E4C76" w:rsidRPr="00CE611F" w:rsidRDefault="009E4C76" w:rsidP="005D0B7C">
      <w:pPr>
        <w:pStyle w:val="SingleTxtG"/>
        <w:rPr>
          <w:rtl/>
          <w:lang w:bidi="fr-FR"/>
        </w:rPr>
      </w:pPr>
      <w:r w:rsidRPr="00CE611F">
        <w:rPr>
          <w:lang w:bidi="ar-QA"/>
        </w:rPr>
        <w:t>78.</w:t>
      </w:r>
      <w:r w:rsidRPr="00CE611F">
        <w:rPr>
          <w:lang w:bidi="ar-QA"/>
        </w:rPr>
        <w:tab/>
        <w:t>La Commission qatarie pour l</w:t>
      </w:r>
      <w:r>
        <w:rPr>
          <w:lang w:bidi="ar-QA"/>
        </w:rPr>
        <w:t>’</w:t>
      </w:r>
      <w:r w:rsidRPr="00CE611F">
        <w:rPr>
          <w:lang w:bidi="ar-QA"/>
        </w:rPr>
        <w:t xml:space="preserve">alliance des civilisations a été créée par le décret du Conseil des ministres </w:t>
      </w:r>
      <w:r w:rsidR="00AE00B3">
        <w:rPr>
          <w:lang w:val="fr-FR" w:bidi="ar-QA"/>
        </w:rPr>
        <w:t>n</w:t>
      </w:r>
      <w:r w:rsidR="00AE00B3" w:rsidRPr="00D52183">
        <w:rPr>
          <w:vertAlign w:val="superscript"/>
          <w:lang w:val="fr-FR" w:bidi="ar-QA"/>
        </w:rPr>
        <w:t>o</w:t>
      </w:r>
      <w:r w:rsidR="00AE00B3">
        <w:rPr>
          <w:lang w:val="fr-FR" w:bidi="ar-QA"/>
        </w:rPr>
        <w:t> </w:t>
      </w:r>
      <w:r w:rsidRPr="00CE611F">
        <w:rPr>
          <w:lang w:bidi="ar-QA"/>
        </w:rPr>
        <w:t>8 de 2010 pour lutter contre le fanatisme, renforcer les valeurs de tolérance, de solidarité et de paix entre les peuples du monde et promouvoir le développement humain.</w:t>
      </w:r>
    </w:p>
    <w:p w14:paraId="35317F1B" w14:textId="77777777" w:rsidR="009E4C76" w:rsidRPr="00CE611F" w:rsidRDefault="009E4C76" w:rsidP="00AE00B3">
      <w:pPr>
        <w:pStyle w:val="H4G"/>
        <w:rPr>
          <w:rtl/>
          <w:lang w:bidi="fr-FR"/>
        </w:rPr>
      </w:pPr>
      <w:r w:rsidRPr="00CE611F">
        <w:rPr>
          <w:lang w:bidi="ar-QA"/>
        </w:rPr>
        <w:tab/>
      </w:r>
      <w:r w:rsidRPr="00CE611F">
        <w:rPr>
          <w:lang w:bidi="ar-QA"/>
        </w:rPr>
        <w:tab/>
        <w:t>La Fondation Silatech</w:t>
      </w:r>
    </w:p>
    <w:p w14:paraId="46E60FFE" w14:textId="77777777" w:rsidR="009E4C76" w:rsidRPr="007C3CCD" w:rsidRDefault="009E4C76" w:rsidP="005D0B7C">
      <w:pPr>
        <w:pStyle w:val="SingleTxtG"/>
        <w:rPr>
          <w:rtl/>
          <w:lang w:bidi="fr-FR"/>
        </w:rPr>
      </w:pPr>
      <w:r w:rsidRPr="007C3CCD">
        <w:rPr>
          <w:lang w:bidi="ar-QA"/>
        </w:rPr>
        <w:t>79.</w:t>
      </w:r>
      <w:r w:rsidRPr="007C3CCD">
        <w:rPr>
          <w:lang w:bidi="ar-QA"/>
        </w:rPr>
        <w:tab/>
        <w:t>Créée en 2008, la Fondation Silatech vise à créer des emplois pour les jeunes dans le mon</w:t>
      </w:r>
      <w:r w:rsidR="00AE00B3" w:rsidRPr="007C3CCD">
        <w:rPr>
          <w:lang w:bidi="ar-QA"/>
        </w:rPr>
        <w:t>d</w:t>
      </w:r>
      <w:r w:rsidRPr="007C3CCD">
        <w:rPr>
          <w:lang w:bidi="ar-QA"/>
        </w:rPr>
        <w:t>e arabe et à promouvoir leur esprit entrepreneurial, en leur permettant d’accéder aux capitaux et aux marchés et de participer au développement économique et social ; sachant qu’elle a réalisé des programmes dans 17</w:t>
      </w:r>
      <w:r w:rsidR="00AE00B3" w:rsidRPr="007C3CCD">
        <w:rPr>
          <w:lang w:bidi="ar-QA"/>
        </w:rPr>
        <w:t> </w:t>
      </w:r>
      <w:r w:rsidRPr="007C3CCD">
        <w:rPr>
          <w:lang w:bidi="ar-QA"/>
        </w:rPr>
        <w:t>pays arabes.</w:t>
      </w:r>
    </w:p>
    <w:p w14:paraId="03004D4E" w14:textId="77777777" w:rsidR="009E4C76" w:rsidRPr="00CE611F" w:rsidRDefault="009E4C76" w:rsidP="00AE00B3">
      <w:pPr>
        <w:pStyle w:val="H4G"/>
        <w:rPr>
          <w:rtl/>
          <w:lang w:bidi="fr-FR"/>
        </w:rPr>
      </w:pPr>
      <w:r w:rsidRPr="00CE611F">
        <w:rPr>
          <w:lang w:bidi="ar-QA"/>
        </w:rPr>
        <w:tab/>
      </w:r>
      <w:r w:rsidRPr="00CE611F">
        <w:rPr>
          <w:lang w:bidi="ar-QA"/>
        </w:rPr>
        <w:tab/>
        <w:t>La Fondation « L</w:t>
      </w:r>
      <w:r>
        <w:rPr>
          <w:lang w:bidi="ar-QA"/>
        </w:rPr>
        <w:t>’</w:t>
      </w:r>
      <w:r w:rsidRPr="00CE611F">
        <w:rPr>
          <w:lang w:bidi="ar-QA"/>
        </w:rPr>
        <w:t>Éducation avant tout »</w:t>
      </w:r>
    </w:p>
    <w:p w14:paraId="3DA26E7F" w14:textId="77777777" w:rsidR="009E4C76" w:rsidRPr="00CE611F" w:rsidRDefault="009E4C76" w:rsidP="005D0B7C">
      <w:pPr>
        <w:pStyle w:val="SingleTxtG"/>
        <w:rPr>
          <w:rtl/>
          <w:lang w:bidi="fr-FR"/>
        </w:rPr>
      </w:pPr>
      <w:r w:rsidRPr="00CE611F">
        <w:rPr>
          <w:lang w:bidi="ar-QA"/>
        </w:rPr>
        <w:t>80.</w:t>
      </w:r>
      <w:r w:rsidRPr="00CE611F">
        <w:rPr>
          <w:lang w:bidi="ar-QA"/>
        </w:rPr>
        <w:tab/>
        <w:t>La Fondation « L</w:t>
      </w:r>
      <w:r>
        <w:rPr>
          <w:lang w:bidi="ar-QA"/>
        </w:rPr>
        <w:t>’</w:t>
      </w:r>
      <w:r w:rsidRPr="00CE611F">
        <w:rPr>
          <w:lang w:bidi="ar-QA"/>
        </w:rPr>
        <w:t>Éducation avant tout » a été créée en 2012 afin de dispenser une instruction aux enfants dans les régions pauvres frappées par des conflits armés. Les trois programmes de la Fondation offrent des possibilités d</w:t>
      </w:r>
      <w:r>
        <w:rPr>
          <w:lang w:bidi="ar-QA"/>
        </w:rPr>
        <w:t>’</w:t>
      </w:r>
      <w:r w:rsidRPr="00CE611F">
        <w:rPr>
          <w:lang w:bidi="ar-QA"/>
        </w:rPr>
        <w:t>éducation, notamment dans les sociétés en proie à la pauvreté et aux conflits.</w:t>
      </w:r>
    </w:p>
    <w:p w14:paraId="1B75CAB8" w14:textId="77777777" w:rsidR="009E4C76" w:rsidRPr="007C3CCD" w:rsidRDefault="009E4C76" w:rsidP="005D0B7C">
      <w:pPr>
        <w:pStyle w:val="SingleTxtG"/>
        <w:rPr>
          <w:spacing w:val="-1"/>
          <w:rtl/>
          <w:lang w:bidi="fr-FR"/>
        </w:rPr>
      </w:pPr>
      <w:r w:rsidRPr="007C3CCD">
        <w:rPr>
          <w:spacing w:val="-1"/>
          <w:lang w:bidi="ar-QA"/>
        </w:rPr>
        <w:t>81.</w:t>
      </w:r>
      <w:r w:rsidRPr="007C3CCD">
        <w:rPr>
          <w:spacing w:val="-1"/>
          <w:lang w:bidi="ar-QA"/>
        </w:rPr>
        <w:tab/>
        <w:t>La Fondation vise à scolariser 10</w:t>
      </w:r>
      <w:r w:rsidR="00AE00B3" w:rsidRPr="007C3CCD">
        <w:rPr>
          <w:spacing w:val="-1"/>
          <w:lang w:bidi="ar-QA"/>
        </w:rPr>
        <w:t> </w:t>
      </w:r>
      <w:r w:rsidRPr="007C3CCD">
        <w:rPr>
          <w:spacing w:val="-1"/>
          <w:lang w:bidi="ar-QA"/>
        </w:rPr>
        <w:t>millions d’enfants, à aider à améliorer la qualité de l’enseignement et à mobiliser un milliard de dollars pour soutenir l’éducation et assurer la pérennité du programme. À ce jour, la Fondation « L’Éducation avant tout » a offert à</w:t>
      </w:r>
      <w:r w:rsidR="007C3CCD" w:rsidRPr="007C3CCD">
        <w:rPr>
          <w:spacing w:val="-1"/>
          <w:lang w:bidi="ar-QA"/>
        </w:rPr>
        <w:t> </w:t>
      </w:r>
      <w:r w:rsidRPr="007C3CCD">
        <w:rPr>
          <w:spacing w:val="-1"/>
          <w:lang w:bidi="ar-QA"/>
        </w:rPr>
        <w:t>7,1</w:t>
      </w:r>
      <w:r w:rsidR="00AE00B3" w:rsidRPr="007C3CCD">
        <w:rPr>
          <w:spacing w:val="-1"/>
          <w:lang w:bidi="ar-QA"/>
        </w:rPr>
        <w:t> </w:t>
      </w:r>
      <w:r w:rsidRPr="007C3CCD">
        <w:rPr>
          <w:spacing w:val="-1"/>
          <w:lang w:bidi="ar-QA"/>
        </w:rPr>
        <w:t>millions d’enfants marginalisés et non scolarisés la possibilité d’accéder à l’instruction et de recevoir une éducation de qualité, ce qui fait d’elle la seule institution au monde mettant l’accent sur la scolarisation des enfants privés d’éducation. La Fondation cherche à</w:t>
      </w:r>
      <w:r w:rsidR="007C3CCD">
        <w:rPr>
          <w:spacing w:val="-1"/>
          <w:lang w:bidi="ar-QA"/>
        </w:rPr>
        <w:t> </w:t>
      </w:r>
      <w:r w:rsidRPr="007C3CCD">
        <w:rPr>
          <w:spacing w:val="-1"/>
          <w:lang w:bidi="ar-QA"/>
        </w:rPr>
        <w:t xml:space="preserve">établir des partenariats avec des organisations locales et internationales afin d’éliminer les obstacles à l’accès des enfants à une éducation de qualité, tels que la pauvreté, les différends </w:t>
      </w:r>
      <w:r w:rsidRPr="007C3CCD">
        <w:rPr>
          <w:lang w:bidi="ar-QA"/>
        </w:rPr>
        <w:t>et conflits et la discrimination fondée sur le sexe. La Fondation « L’Éducation avant tout » a été sélectionnée pour faire partie du Comité directeur de l’UNESCO sur l’éducation jusqu’en</w:t>
      </w:r>
      <w:r w:rsidRPr="007C3CCD">
        <w:rPr>
          <w:spacing w:val="-1"/>
          <w:lang w:bidi="ar-QA"/>
        </w:rPr>
        <w:t xml:space="preserve"> 2030 en guise de reconnaissance pour les efforts déployés par les organisations impliquées dans la réalisation des objectifs du développement durable dans le domaine de l’éducation universelle. La Fondation a également été invitée par le </w:t>
      </w:r>
      <w:r w:rsidR="004F475A">
        <w:rPr>
          <w:spacing w:val="-1"/>
          <w:lang w:bidi="ar-QA"/>
        </w:rPr>
        <w:t>P</w:t>
      </w:r>
      <w:r w:rsidRPr="007C3CCD">
        <w:rPr>
          <w:spacing w:val="-1"/>
          <w:lang w:bidi="ar-QA"/>
        </w:rPr>
        <w:t>résident de l’Assemblée générale des Nations</w:t>
      </w:r>
      <w:r w:rsidR="00241CFD" w:rsidRPr="007C3CCD">
        <w:rPr>
          <w:spacing w:val="-1"/>
          <w:lang w:bidi="ar-QA"/>
        </w:rPr>
        <w:t> </w:t>
      </w:r>
      <w:r w:rsidRPr="007C3CCD">
        <w:rPr>
          <w:spacing w:val="-1"/>
          <w:lang w:bidi="ar-QA"/>
        </w:rPr>
        <w:t>Unies à participer à la réunion de haut niveau de l’Assemblée générale des Nations</w:t>
      </w:r>
      <w:r w:rsidR="00241CFD" w:rsidRPr="007C3CCD">
        <w:rPr>
          <w:spacing w:val="-1"/>
          <w:lang w:bidi="ar-QA"/>
        </w:rPr>
        <w:t> </w:t>
      </w:r>
      <w:r w:rsidRPr="007C3CCD">
        <w:rPr>
          <w:spacing w:val="-1"/>
          <w:lang w:bidi="ar-QA"/>
        </w:rPr>
        <w:t>Unies sur l’éducation.</w:t>
      </w:r>
    </w:p>
    <w:p w14:paraId="10EEB164" w14:textId="77777777" w:rsidR="009E4C76" w:rsidRPr="00CE611F" w:rsidRDefault="009E4C76" w:rsidP="00241CFD">
      <w:pPr>
        <w:pStyle w:val="H23G"/>
        <w:rPr>
          <w:lang w:bidi="ar-QA"/>
        </w:rPr>
      </w:pPr>
      <w:r w:rsidRPr="00CE611F">
        <w:rPr>
          <w:lang w:bidi="ar-QA"/>
        </w:rPr>
        <w:tab/>
      </w:r>
      <w:r w:rsidRPr="00CE611F">
        <w:rPr>
          <w:lang w:bidi="ar-QA"/>
        </w:rPr>
        <w:tab/>
        <w:t>Diffusion des instruments relatifs aux droits de l</w:t>
      </w:r>
      <w:r>
        <w:rPr>
          <w:lang w:bidi="ar-QA"/>
        </w:rPr>
        <w:t>’</w:t>
      </w:r>
      <w:r w:rsidRPr="00CE611F">
        <w:rPr>
          <w:lang w:bidi="ar-QA"/>
        </w:rPr>
        <w:t>homme</w:t>
      </w:r>
      <w:bookmarkEnd w:id="43"/>
      <w:bookmarkEnd w:id="44"/>
      <w:bookmarkEnd w:id="45"/>
      <w:bookmarkEnd w:id="46"/>
    </w:p>
    <w:p w14:paraId="3017F3D0" w14:textId="77777777" w:rsidR="009E4C76" w:rsidRPr="00CE611F" w:rsidRDefault="009E4C76" w:rsidP="00156C4F">
      <w:pPr>
        <w:pStyle w:val="H23G"/>
        <w:rPr>
          <w:rtl/>
          <w:lang w:bidi="fr-FR"/>
        </w:rPr>
      </w:pPr>
      <w:bookmarkStart w:id="47" w:name="_Toc281916562"/>
      <w:bookmarkStart w:id="48" w:name="_Toc281916777"/>
      <w:bookmarkStart w:id="49" w:name="_Toc281916941"/>
      <w:bookmarkStart w:id="50" w:name="_Toc282337905"/>
      <w:r w:rsidRPr="00CE611F">
        <w:rPr>
          <w:lang w:bidi="ar-QA"/>
        </w:rPr>
        <w:tab/>
      </w:r>
      <w:r w:rsidRPr="00CE611F">
        <w:rPr>
          <w:lang w:bidi="ar-QA"/>
        </w:rPr>
        <w:tab/>
        <w:t xml:space="preserve">La diffusion </w:t>
      </w:r>
      <w:r w:rsidRPr="00CE611F">
        <w:rPr>
          <w:iCs/>
          <w:lang w:bidi="ar-QA"/>
        </w:rPr>
        <w:t>des</w:t>
      </w:r>
      <w:r w:rsidRPr="00CE611F">
        <w:rPr>
          <w:lang w:bidi="ar-QA"/>
        </w:rPr>
        <w:t xml:space="preserve"> instruments internationaux relatifs aux droits de l</w:t>
      </w:r>
      <w:r>
        <w:rPr>
          <w:lang w:bidi="ar-QA"/>
        </w:rPr>
        <w:t>’</w:t>
      </w:r>
      <w:r w:rsidRPr="00CE611F">
        <w:rPr>
          <w:lang w:bidi="ar-QA"/>
        </w:rPr>
        <w:t>homm</w:t>
      </w:r>
      <w:r w:rsidRPr="00241CFD">
        <w:t xml:space="preserve">e </w:t>
      </w:r>
      <w:r w:rsidR="00241CFD">
        <w:rPr>
          <w:lang w:bidi="ar-QA"/>
        </w:rPr>
        <w:br/>
      </w:r>
      <w:r w:rsidRPr="00CE611F">
        <w:rPr>
          <w:lang w:bidi="ar-QA"/>
        </w:rPr>
        <w:t>et la sensibilisation à leurs dispositions</w:t>
      </w:r>
      <w:bookmarkEnd w:id="47"/>
      <w:bookmarkEnd w:id="48"/>
      <w:bookmarkEnd w:id="49"/>
      <w:bookmarkEnd w:id="50"/>
    </w:p>
    <w:p w14:paraId="21F14C07" w14:textId="77777777" w:rsidR="009E4C76" w:rsidRPr="00CE611F" w:rsidRDefault="009E4C76" w:rsidP="005D0B7C">
      <w:pPr>
        <w:pStyle w:val="SingleTxtG"/>
        <w:rPr>
          <w:rtl/>
          <w:lang w:bidi="fr-FR"/>
        </w:rPr>
      </w:pPr>
      <w:r w:rsidRPr="00CE611F">
        <w:rPr>
          <w:lang w:bidi="ar-QA"/>
        </w:rPr>
        <w:t>82.</w:t>
      </w:r>
      <w:r w:rsidRPr="00CE611F">
        <w:rPr>
          <w:lang w:bidi="ar-QA"/>
        </w:rPr>
        <w:tab/>
        <w:t>Les organisations de défense des droits de l</w:t>
      </w:r>
      <w:r>
        <w:rPr>
          <w:lang w:bidi="ar-QA"/>
        </w:rPr>
        <w:t>’</w:t>
      </w:r>
      <w:r w:rsidRPr="00CE611F">
        <w:rPr>
          <w:lang w:bidi="ar-QA"/>
        </w:rPr>
        <w:t>homme ont organisé plusieurs séminaires, ateliers et sessions de formation en matière de droits de l</w:t>
      </w:r>
      <w:r>
        <w:rPr>
          <w:lang w:bidi="ar-QA"/>
        </w:rPr>
        <w:t>’</w:t>
      </w:r>
      <w:r w:rsidRPr="00CE611F">
        <w:rPr>
          <w:lang w:bidi="ar-QA"/>
        </w:rPr>
        <w:t>enfant, des femmes, des personnes handicapées et des travailleurs et portant aussi sur d</w:t>
      </w:r>
      <w:r>
        <w:rPr>
          <w:lang w:bidi="ar-QA"/>
        </w:rPr>
        <w:t>’</w:t>
      </w:r>
      <w:r w:rsidRPr="00CE611F">
        <w:rPr>
          <w:lang w:bidi="ar-QA"/>
        </w:rPr>
        <w:t>autres questions, à</w:t>
      </w:r>
      <w:r w:rsidR="00830100">
        <w:rPr>
          <w:lang w:bidi="ar-QA"/>
        </w:rPr>
        <w:t> </w:t>
      </w:r>
      <w:r w:rsidRPr="00CE611F">
        <w:rPr>
          <w:lang w:bidi="ar-QA"/>
        </w:rPr>
        <w:t>l</w:t>
      </w:r>
      <w:r>
        <w:rPr>
          <w:lang w:bidi="ar-QA"/>
        </w:rPr>
        <w:t>’</w:t>
      </w:r>
      <w:r w:rsidRPr="00CE611F">
        <w:rPr>
          <w:lang w:bidi="ar-QA"/>
        </w:rPr>
        <w:t>intention de diverses catégories de fonctionnaires, comme les personnels du Ministère de l</w:t>
      </w:r>
      <w:r>
        <w:rPr>
          <w:lang w:bidi="ar-QA"/>
        </w:rPr>
        <w:t>’</w:t>
      </w:r>
      <w:r w:rsidRPr="00CE611F">
        <w:rPr>
          <w:lang w:bidi="ar-QA"/>
        </w:rPr>
        <w:t>intérieur, du parquet, de la magistrature et du corps médical.</w:t>
      </w:r>
    </w:p>
    <w:p w14:paraId="40FE7DBD" w14:textId="77777777" w:rsidR="009E4C76" w:rsidRPr="00CE611F" w:rsidRDefault="009E4C76" w:rsidP="005D0B7C">
      <w:pPr>
        <w:pStyle w:val="SingleTxtG"/>
        <w:rPr>
          <w:lang w:bidi="ar-QA"/>
        </w:rPr>
      </w:pPr>
      <w:r w:rsidRPr="00CE611F">
        <w:rPr>
          <w:lang w:bidi="ar-QA"/>
        </w:rPr>
        <w:t>83.</w:t>
      </w:r>
      <w:r w:rsidRPr="00CE611F">
        <w:rPr>
          <w:lang w:bidi="ar-QA"/>
        </w:rPr>
        <w:tab/>
        <w:t>L</w:t>
      </w:r>
      <w:r>
        <w:rPr>
          <w:lang w:bidi="ar-QA"/>
        </w:rPr>
        <w:t>’</w:t>
      </w:r>
      <w:r w:rsidRPr="00CE611F">
        <w:rPr>
          <w:lang w:bidi="ar-QA"/>
        </w:rPr>
        <w:t xml:space="preserve">État a également mis en </w:t>
      </w:r>
      <w:r w:rsidR="00F938D9" w:rsidRPr="00CE611F">
        <w:rPr>
          <w:lang w:bidi="ar-QA"/>
        </w:rPr>
        <w:t>œuvre</w:t>
      </w:r>
      <w:r w:rsidRPr="00CE611F">
        <w:rPr>
          <w:lang w:bidi="ar-QA"/>
        </w:rPr>
        <w:t xml:space="preserve"> plusieurs programmes visant à intégrer les notions relatives aux droits de l</w:t>
      </w:r>
      <w:r>
        <w:rPr>
          <w:lang w:bidi="ar-QA"/>
        </w:rPr>
        <w:t>’</w:t>
      </w:r>
      <w:r w:rsidRPr="00CE611F">
        <w:rPr>
          <w:lang w:bidi="ar-QA"/>
        </w:rPr>
        <w:t>homme, étant précisé que de nombreuses études et recherches sur les droits de l</w:t>
      </w:r>
      <w:r>
        <w:rPr>
          <w:lang w:bidi="ar-QA"/>
        </w:rPr>
        <w:t>’</w:t>
      </w:r>
      <w:r w:rsidRPr="00CE611F">
        <w:rPr>
          <w:lang w:bidi="ar-QA"/>
        </w:rPr>
        <w:t>homme ont été publiées et que divers séminaires, ateliers et cours de formation locaux, ont été organisés.</w:t>
      </w:r>
    </w:p>
    <w:p w14:paraId="7E2A834A" w14:textId="77777777" w:rsidR="009E4C76" w:rsidRPr="00CE611F" w:rsidRDefault="009E4C76" w:rsidP="005D0B7C">
      <w:pPr>
        <w:pStyle w:val="SingleTxtG"/>
        <w:rPr>
          <w:lang w:bidi="ar-QA"/>
        </w:rPr>
      </w:pPr>
      <w:r w:rsidRPr="00CE611F">
        <w:rPr>
          <w:lang w:bidi="ar-QA"/>
        </w:rPr>
        <w:t>84.</w:t>
      </w:r>
      <w:r w:rsidRPr="00CE611F">
        <w:rPr>
          <w:lang w:bidi="ar-QA"/>
        </w:rPr>
        <w:tab/>
        <w:t>La Commission nationale des droits de l</w:t>
      </w:r>
      <w:r>
        <w:rPr>
          <w:lang w:bidi="ar-QA"/>
        </w:rPr>
        <w:t>’</w:t>
      </w:r>
      <w:r w:rsidRPr="00CE611F">
        <w:rPr>
          <w:lang w:bidi="ar-QA"/>
        </w:rPr>
        <w:t>homme a organisé plusieurs sessions et programmes de formation et de sensibilisation aux droits de l</w:t>
      </w:r>
      <w:r>
        <w:rPr>
          <w:lang w:bidi="ar-QA"/>
        </w:rPr>
        <w:t>’</w:t>
      </w:r>
      <w:r w:rsidRPr="00CE611F">
        <w:rPr>
          <w:lang w:bidi="ar-QA"/>
        </w:rPr>
        <w:t>homme, parmi lesquels l</w:t>
      </w:r>
      <w:r>
        <w:rPr>
          <w:lang w:bidi="ar-QA"/>
        </w:rPr>
        <w:t>’</w:t>
      </w:r>
      <w:r w:rsidRPr="00CE611F">
        <w:rPr>
          <w:lang w:bidi="ar-QA"/>
        </w:rPr>
        <w:t>exécution régulière de programmes de sensibilisation aux droits de la femme par le biais de sessions de formation, d</w:t>
      </w:r>
      <w:r>
        <w:rPr>
          <w:lang w:bidi="ar-QA"/>
        </w:rPr>
        <w:t>’</w:t>
      </w:r>
      <w:r w:rsidRPr="00CE611F">
        <w:rPr>
          <w:lang w:bidi="ar-QA"/>
        </w:rPr>
        <w:t>ateliers et de conférences destinés aux étudiantes et étudiants des universités, ainsi que des conférences-débats organisées en 2015 et 2016 à l</w:t>
      </w:r>
      <w:r>
        <w:rPr>
          <w:lang w:bidi="ar-QA"/>
        </w:rPr>
        <w:t>’</w:t>
      </w:r>
      <w:r w:rsidRPr="00CE611F">
        <w:rPr>
          <w:lang w:bidi="ar-QA"/>
        </w:rPr>
        <w:t>intention des élèves des lycées et collèges. La Commission a en outre participé à un programme de « clinique juridique » associant les étudiants de la Faculté de droit de l</w:t>
      </w:r>
      <w:r>
        <w:rPr>
          <w:lang w:bidi="ar-QA"/>
        </w:rPr>
        <w:t>’</w:t>
      </w:r>
      <w:r w:rsidRPr="00CE611F">
        <w:rPr>
          <w:lang w:bidi="ar-QA"/>
        </w:rPr>
        <w:t>Université du Qatar afin de les familiariser avec les dispositions de la Convention.</w:t>
      </w:r>
    </w:p>
    <w:p w14:paraId="3FFBA099" w14:textId="77777777" w:rsidR="009E4C76" w:rsidRPr="00830100" w:rsidRDefault="009E4C76" w:rsidP="005D0B7C">
      <w:pPr>
        <w:pStyle w:val="SingleTxtG"/>
        <w:rPr>
          <w:spacing w:val="-1"/>
          <w:lang w:bidi="ar-QA"/>
        </w:rPr>
      </w:pPr>
      <w:r w:rsidRPr="00830100">
        <w:rPr>
          <w:spacing w:val="-1"/>
          <w:lang w:bidi="ar-QA"/>
        </w:rPr>
        <w:t>85.</w:t>
      </w:r>
      <w:r w:rsidRPr="00830100">
        <w:rPr>
          <w:spacing w:val="-1"/>
          <w:lang w:bidi="ar-QA"/>
        </w:rPr>
        <w:tab/>
        <w:t>Les organisations de la société civile organisent, en collaboration avec la</w:t>
      </w:r>
      <w:r w:rsidR="00830100" w:rsidRPr="00830100">
        <w:rPr>
          <w:spacing w:val="-1"/>
          <w:lang w:bidi="ar-QA"/>
        </w:rPr>
        <w:t xml:space="preserve"> </w:t>
      </w:r>
      <w:r w:rsidRPr="00830100">
        <w:rPr>
          <w:spacing w:val="-1"/>
          <w:lang w:bidi="ar-QA"/>
        </w:rPr>
        <w:t>Commission nationale des droits de l’homme, des sessions de formation continue et des ateliers destinés à</w:t>
      </w:r>
      <w:r w:rsidR="00830100">
        <w:rPr>
          <w:spacing w:val="-1"/>
          <w:lang w:bidi="ar-QA"/>
        </w:rPr>
        <w:t> </w:t>
      </w:r>
      <w:r w:rsidRPr="00830100">
        <w:rPr>
          <w:spacing w:val="-1"/>
          <w:lang w:bidi="ar-QA"/>
        </w:rPr>
        <w:t>mieux faire connaître les dispositions de la Convention sur l’élimination de toutes les formes de discrimination à l’égard des femmes, de la Convention relative aux droits des personnes handicapées et du Protocole sur la traite des êtres humains, ainsi qu’à sensibiliser les participants à l’importance de ces instruments internationaux et à former le personnel des services de justice et de police chargés de l’application des lois, outre les avocats et les journalistes. À titre d’exemple, la Commission a organisé, en février 2016, une formation à diverses questions relatives aux droits de l’homme, dont les droits de la femme, à l’intention du Commandement général des forces armées qataries. Elle a également organisé, en avril 2016, un atelier sur la législation nationale, notamment celle qui concerne les femmes, au cours duquel elle a présenté sa vision de la législation nationale à des organes chargés de l’application des lois au sein de la police, du bureau du</w:t>
      </w:r>
      <w:r w:rsidR="00830100" w:rsidRPr="00830100">
        <w:rPr>
          <w:spacing w:val="-1"/>
          <w:lang w:bidi="ar-QA"/>
        </w:rPr>
        <w:t xml:space="preserve"> </w:t>
      </w:r>
      <w:r w:rsidRPr="00830100">
        <w:rPr>
          <w:spacing w:val="-1"/>
          <w:lang w:bidi="ar-QA"/>
        </w:rPr>
        <w:t>Procureur général et des tribunaux.</w:t>
      </w:r>
    </w:p>
    <w:p w14:paraId="334CEB05" w14:textId="77777777" w:rsidR="009E4C76" w:rsidRPr="00830100" w:rsidRDefault="009E4C76" w:rsidP="005D0B7C">
      <w:pPr>
        <w:pStyle w:val="SingleTxtG"/>
        <w:rPr>
          <w:rtl/>
          <w:lang w:bidi="fr-FR"/>
        </w:rPr>
      </w:pPr>
      <w:r w:rsidRPr="00830100">
        <w:rPr>
          <w:lang w:bidi="ar-QA"/>
        </w:rPr>
        <w:t>86.</w:t>
      </w:r>
      <w:r w:rsidRPr="00830100">
        <w:rPr>
          <w:lang w:bidi="ar-QA"/>
        </w:rPr>
        <w:tab/>
        <w:t>Le Qatar accueille à Doha le Centre de formation et de documentation des Nations</w:t>
      </w:r>
      <w:r w:rsidR="00830100">
        <w:rPr>
          <w:lang w:bidi="ar-QA"/>
        </w:rPr>
        <w:t> </w:t>
      </w:r>
      <w:r w:rsidRPr="00830100">
        <w:rPr>
          <w:lang w:bidi="ar-QA"/>
        </w:rPr>
        <w:t xml:space="preserve">Unies sur les droits de l’homme pour l’Asie du Sud-ouest et la région arabe, créé en application de la résolution </w:t>
      </w:r>
      <w:r w:rsidR="00870300" w:rsidRPr="00830100">
        <w:rPr>
          <w:lang w:val="fr-FR" w:bidi="ar-QA"/>
        </w:rPr>
        <w:t>n</w:t>
      </w:r>
      <w:r w:rsidR="00870300" w:rsidRPr="00830100">
        <w:rPr>
          <w:vertAlign w:val="superscript"/>
          <w:lang w:val="fr-FR" w:bidi="ar-QA"/>
        </w:rPr>
        <w:t>o</w:t>
      </w:r>
      <w:r w:rsidR="00870300" w:rsidRPr="00830100">
        <w:rPr>
          <w:lang w:val="fr-FR" w:bidi="ar-QA"/>
        </w:rPr>
        <w:t> </w:t>
      </w:r>
      <w:r w:rsidRPr="00830100">
        <w:rPr>
          <w:lang w:bidi="ar-QA"/>
        </w:rPr>
        <w:t>135 de l’Assemblée générale des Nations</w:t>
      </w:r>
      <w:r w:rsidR="00870300" w:rsidRPr="00830100">
        <w:rPr>
          <w:lang w:bidi="ar-QA"/>
        </w:rPr>
        <w:t> </w:t>
      </w:r>
      <w:r w:rsidRPr="00830100">
        <w:rPr>
          <w:lang w:bidi="ar-QA"/>
        </w:rPr>
        <w:t>Unies, adoptée à</w:t>
      </w:r>
      <w:r w:rsidR="00830100">
        <w:rPr>
          <w:lang w:bidi="ar-QA"/>
        </w:rPr>
        <w:t> </w:t>
      </w:r>
      <w:r w:rsidRPr="00830100">
        <w:rPr>
          <w:lang w:bidi="ar-QA"/>
        </w:rPr>
        <w:t>sa soixantième session. Cet organe est chargé de mener des activités de formation et de documentation en matière de droits de l’homme, conformément aux normes internationales, et de soutenir les efforts régionaux visant à assurer la protection et la promotion de ces droits, en collaboration avec les Gouvernements, les organismes et programmes spécialisés des Nations</w:t>
      </w:r>
      <w:r w:rsidR="00870300" w:rsidRPr="00830100">
        <w:rPr>
          <w:lang w:bidi="ar-QA"/>
        </w:rPr>
        <w:t> </w:t>
      </w:r>
      <w:r w:rsidRPr="00830100">
        <w:rPr>
          <w:lang w:bidi="ar-QA"/>
        </w:rPr>
        <w:t>Unies, les institutions nationales des droits de l’homme et les organisations non gouvernementales, sous les auspices du Haut-Commissariat des Nations</w:t>
      </w:r>
      <w:r w:rsidR="00870300" w:rsidRPr="00830100">
        <w:rPr>
          <w:lang w:bidi="ar-QA"/>
        </w:rPr>
        <w:t> </w:t>
      </w:r>
      <w:r w:rsidRPr="00830100">
        <w:rPr>
          <w:lang w:bidi="ar-QA"/>
        </w:rPr>
        <w:t>Unies aux droits de</w:t>
      </w:r>
      <w:r w:rsidR="00830100">
        <w:rPr>
          <w:lang w:bidi="ar-QA"/>
        </w:rPr>
        <w:t> </w:t>
      </w:r>
      <w:r w:rsidRPr="00830100">
        <w:rPr>
          <w:lang w:bidi="ar-QA"/>
        </w:rPr>
        <w:t>l’homme.</w:t>
      </w:r>
      <w:bookmarkStart w:id="51" w:name="_Toc282337906"/>
    </w:p>
    <w:p w14:paraId="28E0E5B3" w14:textId="77777777" w:rsidR="009E4C76" w:rsidRPr="00CE611F" w:rsidRDefault="009E4C76" w:rsidP="00870300">
      <w:pPr>
        <w:pStyle w:val="H23G"/>
        <w:rPr>
          <w:rtl/>
          <w:lang w:bidi="fr-FR"/>
        </w:rPr>
      </w:pPr>
      <w:r w:rsidRPr="00CE611F">
        <w:rPr>
          <w:lang w:bidi="ar-QA"/>
        </w:rPr>
        <w:tab/>
      </w:r>
      <w:r w:rsidRPr="00CE611F">
        <w:rPr>
          <w:lang w:bidi="ar-QA"/>
        </w:rPr>
        <w:tab/>
        <w:t>La sensibilisation aux droits de l</w:t>
      </w:r>
      <w:r>
        <w:rPr>
          <w:lang w:bidi="ar-QA"/>
        </w:rPr>
        <w:t>’</w:t>
      </w:r>
      <w:r w:rsidRPr="00CE611F">
        <w:rPr>
          <w:lang w:bidi="ar-QA"/>
        </w:rPr>
        <w:t xml:space="preserve">homme au moyen des programmes scolaires </w:t>
      </w:r>
      <w:r w:rsidR="00870300">
        <w:rPr>
          <w:lang w:bidi="ar-QA"/>
        </w:rPr>
        <w:br/>
      </w:r>
      <w:r w:rsidRPr="00CE611F">
        <w:rPr>
          <w:lang w:bidi="ar-QA"/>
        </w:rPr>
        <w:t>et des médias officiels</w:t>
      </w:r>
      <w:bookmarkEnd w:id="51"/>
    </w:p>
    <w:p w14:paraId="56D8D76C" w14:textId="77777777" w:rsidR="009E4C76" w:rsidRPr="00034063" w:rsidRDefault="009E4C76" w:rsidP="005D0B7C">
      <w:pPr>
        <w:pStyle w:val="SingleTxtG"/>
        <w:rPr>
          <w:spacing w:val="-1"/>
          <w:rtl/>
          <w:lang w:bidi="fr-FR"/>
        </w:rPr>
      </w:pPr>
      <w:r w:rsidRPr="00CE611F">
        <w:rPr>
          <w:lang w:bidi="ar-QA"/>
        </w:rPr>
        <w:t>87.</w:t>
      </w:r>
      <w:r w:rsidRPr="00CE611F">
        <w:rPr>
          <w:lang w:bidi="ar-QA"/>
        </w:rPr>
        <w:tab/>
        <w:t>L</w:t>
      </w:r>
      <w:r>
        <w:rPr>
          <w:lang w:bidi="ar-QA"/>
        </w:rPr>
        <w:t>’</w:t>
      </w:r>
      <w:r w:rsidRPr="00CE611F">
        <w:rPr>
          <w:lang w:bidi="ar-QA"/>
        </w:rPr>
        <w:t>action de sensibilisation s</w:t>
      </w:r>
      <w:r>
        <w:rPr>
          <w:lang w:bidi="ar-QA"/>
        </w:rPr>
        <w:t>’</w:t>
      </w:r>
      <w:r w:rsidRPr="00CE611F">
        <w:rPr>
          <w:lang w:bidi="ar-QA"/>
        </w:rPr>
        <w:t>effectue à ce niveau au moyen de l</w:t>
      </w:r>
      <w:r>
        <w:rPr>
          <w:lang w:bidi="ar-QA"/>
        </w:rPr>
        <w:t>’</w:t>
      </w:r>
      <w:r w:rsidRPr="00CE611F">
        <w:rPr>
          <w:lang w:bidi="ar-QA"/>
        </w:rPr>
        <w:t>intégration des notions relatives aux droits de l</w:t>
      </w:r>
      <w:r>
        <w:rPr>
          <w:lang w:bidi="ar-QA"/>
        </w:rPr>
        <w:t>’</w:t>
      </w:r>
      <w:r w:rsidRPr="00CE611F">
        <w:rPr>
          <w:lang w:bidi="ar-QA"/>
        </w:rPr>
        <w:t>homme dans divers programmes d</w:t>
      </w:r>
      <w:r>
        <w:rPr>
          <w:lang w:bidi="ar-QA"/>
        </w:rPr>
        <w:t>’</w:t>
      </w:r>
      <w:r w:rsidRPr="00CE611F">
        <w:rPr>
          <w:lang w:bidi="ar-QA"/>
        </w:rPr>
        <w:t>enseignement en tant que discipline autonome ou en tant qu</w:t>
      </w:r>
      <w:r>
        <w:rPr>
          <w:lang w:bidi="ar-QA"/>
        </w:rPr>
        <w:t>’</w:t>
      </w:r>
      <w:r w:rsidRPr="00CE611F">
        <w:rPr>
          <w:lang w:bidi="ar-QA"/>
        </w:rPr>
        <w:t>activité d</w:t>
      </w:r>
      <w:r>
        <w:rPr>
          <w:lang w:bidi="ar-QA"/>
        </w:rPr>
        <w:t>’</w:t>
      </w:r>
      <w:r w:rsidRPr="00CE611F">
        <w:rPr>
          <w:lang w:bidi="ar-QA"/>
        </w:rPr>
        <w:t xml:space="preserve">éducation formelle ou informelle, sous forme de graphismes et de symboles. Les programmes et manuels scolaires intègrent de </w:t>
      </w:r>
      <w:r w:rsidRPr="00034063">
        <w:rPr>
          <w:spacing w:val="-1"/>
          <w:lang w:bidi="ar-QA"/>
        </w:rPr>
        <w:t xml:space="preserve">nombreux droits, tels que les droits civils et politiques, les droits économiques, les droits de l’enfant, les droits de la femme, les droits sociaux et culturels, les droits des personnes âgées et les droits des personnes handicapées. Il convient de mentionner à cet égard l’éducation </w:t>
      </w:r>
      <w:r w:rsidRPr="00034063">
        <w:rPr>
          <w:lang w:bidi="ar-QA"/>
        </w:rPr>
        <w:t>éthique qui renforce les valeurs de coopération, de solidarité, d’égalité, d’amour, de paix et de tolérance, ainsi que d’autres valeurs liées aux responsabilités civiles et sociales, telles que le respect de la loi, la citoyenneté, la participation effective aux mécanismes sociaux et à leurs diverses activités, la franchise, l’honnêteté et la confiance, auxquelles il convient d’ajouter le nécessaire renforcement de valeurs comme le respect du patrimoine culturel et civilisationnel du Qatar, y</w:t>
      </w:r>
      <w:r w:rsidR="00AA4CC0" w:rsidRPr="00034063">
        <w:rPr>
          <w:lang w:bidi="ar-QA"/>
        </w:rPr>
        <w:t> </w:t>
      </w:r>
      <w:r w:rsidRPr="00034063">
        <w:rPr>
          <w:lang w:bidi="ar-QA"/>
        </w:rPr>
        <w:t>compris les vestiges culturels, et l’environnement.</w:t>
      </w:r>
    </w:p>
    <w:p w14:paraId="57CD2A71" w14:textId="77777777" w:rsidR="009E4C76" w:rsidRPr="00315428" w:rsidRDefault="009E4C76" w:rsidP="005D0B7C">
      <w:pPr>
        <w:pStyle w:val="SingleTxtG"/>
        <w:rPr>
          <w:rtl/>
          <w:lang w:bidi="fr-FR"/>
        </w:rPr>
      </w:pPr>
      <w:r w:rsidRPr="00315428">
        <w:rPr>
          <w:lang w:bidi="ar-QA"/>
        </w:rPr>
        <w:t>88.</w:t>
      </w:r>
      <w:r w:rsidRPr="00315428">
        <w:rPr>
          <w:lang w:bidi="ar-QA"/>
        </w:rPr>
        <w:tab/>
        <w:t>À partir de janvier 2017, la télévision du Qatar, en collaboration avec la Commission nationale des droits de l’homme, a diffusé pendant une année un programme hebdomadaire destiné à faire connaître la situation des personnes handicapées et à promouvoir leurs droits, afin de lutter contre les stéréotypes frappant cette frange de la population.</w:t>
      </w:r>
    </w:p>
    <w:p w14:paraId="74E21394" w14:textId="77777777" w:rsidR="009E4C76" w:rsidRPr="00CE611F" w:rsidRDefault="009E4C76" w:rsidP="005D0B7C">
      <w:pPr>
        <w:pStyle w:val="SingleTxtG"/>
        <w:rPr>
          <w:b/>
          <w:bCs/>
          <w:rtl/>
          <w:lang w:bidi="fr-FR"/>
        </w:rPr>
      </w:pPr>
      <w:r w:rsidRPr="00CE611F">
        <w:t>89.</w:t>
      </w:r>
      <w:r w:rsidRPr="00CE611F">
        <w:tab/>
      </w:r>
      <w:r w:rsidRPr="00CE611F">
        <w:rPr>
          <w:lang w:bidi="ar-QA"/>
        </w:rPr>
        <w:t>L</w:t>
      </w:r>
      <w:r>
        <w:rPr>
          <w:lang w:bidi="ar-QA"/>
        </w:rPr>
        <w:t>’</w:t>
      </w:r>
      <w:r w:rsidRPr="00CE611F">
        <w:rPr>
          <w:lang w:bidi="ar-QA"/>
        </w:rPr>
        <w:t>État accorde une attention particulière à la formation et à l</w:t>
      </w:r>
      <w:r>
        <w:rPr>
          <w:lang w:bidi="ar-QA"/>
        </w:rPr>
        <w:t>’</w:t>
      </w:r>
      <w:r w:rsidRPr="00CE611F">
        <w:rPr>
          <w:lang w:bidi="ar-QA"/>
        </w:rPr>
        <w:t>éducation aux droits de l</w:t>
      </w:r>
      <w:r>
        <w:rPr>
          <w:lang w:bidi="ar-QA"/>
        </w:rPr>
        <w:t>’</w:t>
      </w:r>
      <w:r w:rsidRPr="00CE611F">
        <w:rPr>
          <w:lang w:bidi="ar-QA"/>
        </w:rPr>
        <w:t>homme, grâce aux activités de plusieurs organisations gouvernementales et non gouvernementales qui organisent des sessions de formation à la promotion et à la protection des droits de l</w:t>
      </w:r>
      <w:r>
        <w:rPr>
          <w:lang w:bidi="ar-QA"/>
        </w:rPr>
        <w:t>’</w:t>
      </w:r>
      <w:r w:rsidRPr="00CE611F">
        <w:rPr>
          <w:lang w:bidi="ar-QA"/>
        </w:rPr>
        <w:t xml:space="preserve">homme. </w:t>
      </w:r>
    </w:p>
    <w:p w14:paraId="20160F80" w14:textId="77777777" w:rsidR="009E4C76" w:rsidRPr="00CE611F" w:rsidRDefault="009E4C76" w:rsidP="00AA4CC0">
      <w:pPr>
        <w:pStyle w:val="H23G"/>
        <w:rPr>
          <w:rtl/>
          <w:lang w:bidi="fr-FR"/>
        </w:rPr>
      </w:pPr>
      <w:r w:rsidRPr="00CE611F">
        <w:rPr>
          <w:lang w:bidi="ar-QA"/>
        </w:rPr>
        <w:tab/>
      </w:r>
      <w:r w:rsidRPr="00CE611F">
        <w:rPr>
          <w:lang w:bidi="ar-QA"/>
        </w:rPr>
        <w:tab/>
        <w:t>Aides au développement accordées par l</w:t>
      </w:r>
      <w:r>
        <w:rPr>
          <w:lang w:bidi="ar-QA"/>
        </w:rPr>
        <w:t>’</w:t>
      </w:r>
      <w:r w:rsidRPr="00CE611F">
        <w:rPr>
          <w:lang w:bidi="ar-QA"/>
        </w:rPr>
        <w:t>État</w:t>
      </w:r>
    </w:p>
    <w:p w14:paraId="095D695C" w14:textId="77777777" w:rsidR="009E4C76" w:rsidRPr="00CE611F" w:rsidRDefault="009E4C76" w:rsidP="005D0B7C">
      <w:pPr>
        <w:pStyle w:val="SingleTxtG"/>
        <w:rPr>
          <w:lang w:bidi="ar-QA"/>
        </w:rPr>
      </w:pPr>
      <w:r w:rsidRPr="00CE611F">
        <w:rPr>
          <w:lang w:bidi="ar-QA"/>
        </w:rPr>
        <w:t>90.</w:t>
      </w:r>
      <w:r w:rsidRPr="00CE611F">
        <w:rPr>
          <w:lang w:bidi="ar-QA"/>
        </w:rPr>
        <w:tab/>
        <w:t>Le Qatar accorde une attention particulière à l</w:t>
      </w:r>
      <w:r>
        <w:rPr>
          <w:lang w:bidi="ar-QA"/>
        </w:rPr>
        <w:t>’</w:t>
      </w:r>
      <w:r w:rsidRPr="00CE611F">
        <w:rPr>
          <w:lang w:bidi="ar-QA"/>
        </w:rPr>
        <w:t xml:space="preserve">aide au développement, conformément aux directives de Son </w:t>
      </w:r>
      <w:r w:rsidR="004335A1">
        <w:rPr>
          <w:lang w:bidi="ar-QA"/>
        </w:rPr>
        <w:t>A</w:t>
      </w:r>
      <w:r w:rsidRPr="00CE611F">
        <w:rPr>
          <w:lang w:bidi="ar-QA"/>
        </w:rPr>
        <w:t>ltesse l</w:t>
      </w:r>
      <w:r>
        <w:rPr>
          <w:lang w:bidi="ar-QA"/>
        </w:rPr>
        <w:t>’</w:t>
      </w:r>
      <w:r w:rsidRPr="00CE611F">
        <w:rPr>
          <w:lang w:bidi="ar-QA"/>
        </w:rPr>
        <w:t xml:space="preserve">Émir du Qatar concernant la nécessité de soutenir toutes les </w:t>
      </w:r>
      <w:r w:rsidR="00AA4CC0" w:rsidRPr="00CE611F">
        <w:rPr>
          <w:lang w:bidi="ar-QA"/>
        </w:rPr>
        <w:t>œuvres</w:t>
      </w:r>
      <w:r w:rsidRPr="00CE611F">
        <w:rPr>
          <w:lang w:bidi="ar-QA"/>
        </w:rPr>
        <w:t xml:space="preserve"> caritatives et initiatives visant le développement des êtres humains. Le Qatar a fourni une aide au développement aux pays en développement dans diverses parties du monde et a contribué à la réalisation de nombreux objectifs de développement de ces pays. L</w:t>
      </w:r>
      <w:r>
        <w:rPr>
          <w:lang w:bidi="ar-QA"/>
        </w:rPr>
        <w:t>’</w:t>
      </w:r>
      <w:r w:rsidRPr="00CE611F">
        <w:rPr>
          <w:lang w:bidi="ar-QA"/>
        </w:rPr>
        <w:t>aide au développement fournie par le Qatar se caractérise par la neutralité, la non-ingérence dans les affaires intérieures des pays bénéficiaires, la flexibilité et la fluidité des procédures d</w:t>
      </w:r>
      <w:r>
        <w:rPr>
          <w:lang w:bidi="ar-QA"/>
        </w:rPr>
        <w:t>’</w:t>
      </w:r>
      <w:r w:rsidRPr="00CE611F">
        <w:rPr>
          <w:lang w:bidi="ar-QA"/>
        </w:rPr>
        <w:t>obtention, sachant qu</w:t>
      </w:r>
      <w:r>
        <w:rPr>
          <w:lang w:bidi="ar-QA"/>
        </w:rPr>
        <w:t>’</w:t>
      </w:r>
      <w:r w:rsidRPr="00CE611F">
        <w:rPr>
          <w:lang w:bidi="ar-QA"/>
        </w:rPr>
        <w:t>elle est dispensée aussi bien par des entités gouvernementales que non gouvernementales.</w:t>
      </w:r>
    </w:p>
    <w:p w14:paraId="5F9FA950" w14:textId="77777777" w:rsidR="009E4C76" w:rsidRPr="00CE611F" w:rsidRDefault="009E4C76" w:rsidP="005D0B7C">
      <w:pPr>
        <w:pStyle w:val="SingleTxtG"/>
        <w:rPr>
          <w:rtl/>
          <w:lang w:bidi="fr-FR"/>
        </w:rPr>
      </w:pPr>
      <w:r w:rsidRPr="00CE611F">
        <w:rPr>
          <w:lang w:bidi="ar-QA"/>
        </w:rPr>
        <w:t>91.</w:t>
      </w:r>
      <w:r w:rsidRPr="00CE611F">
        <w:rPr>
          <w:lang w:bidi="ar-QA"/>
        </w:rPr>
        <w:tab/>
        <w:t>Le Qatar a activement contribué au développement d</w:t>
      </w:r>
      <w:r>
        <w:rPr>
          <w:lang w:bidi="ar-QA"/>
        </w:rPr>
        <w:t>’</w:t>
      </w:r>
      <w:r w:rsidRPr="00CE611F">
        <w:rPr>
          <w:lang w:bidi="ar-QA"/>
        </w:rPr>
        <w:t>un partenariat international pour le développement. Il fait partie des pays donateurs et partenaires influents de l</w:t>
      </w:r>
      <w:r>
        <w:rPr>
          <w:lang w:bidi="ar-QA"/>
        </w:rPr>
        <w:t>’</w:t>
      </w:r>
      <w:r w:rsidRPr="00CE611F">
        <w:rPr>
          <w:lang w:bidi="ar-QA"/>
        </w:rPr>
        <w:t>aide au développement international. L</w:t>
      </w:r>
      <w:r>
        <w:rPr>
          <w:lang w:bidi="ar-QA"/>
        </w:rPr>
        <w:t>’</w:t>
      </w:r>
      <w:r w:rsidRPr="00CE611F">
        <w:rPr>
          <w:lang w:bidi="ar-QA"/>
        </w:rPr>
        <w:t>assistance et l</w:t>
      </w:r>
      <w:r>
        <w:rPr>
          <w:lang w:bidi="ar-QA"/>
        </w:rPr>
        <w:t>’</w:t>
      </w:r>
      <w:r w:rsidRPr="00CE611F">
        <w:rPr>
          <w:lang w:bidi="ar-QA"/>
        </w:rPr>
        <w:t>aide au développement constituent un pilier fondamental de la politique extérieure de l</w:t>
      </w:r>
      <w:r>
        <w:rPr>
          <w:lang w:bidi="ar-QA"/>
        </w:rPr>
        <w:t>’</w:t>
      </w:r>
      <w:r w:rsidRPr="00CE611F">
        <w:rPr>
          <w:lang w:bidi="ar-QA"/>
        </w:rPr>
        <w:t>État.</w:t>
      </w:r>
    </w:p>
    <w:p w14:paraId="0B2F596D" w14:textId="77777777" w:rsidR="009E4C76" w:rsidRPr="00CE611F" w:rsidRDefault="009E4C76" w:rsidP="005D0B7C">
      <w:pPr>
        <w:pStyle w:val="SingleTxtG"/>
        <w:rPr>
          <w:lang w:bidi="ar-QA"/>
        </w:rPr>
      </w:pPr>
      <w:r w:rsidRPr="00CE611F">
        <w:rPr>
          <w:lang w:bidi="ar-QA"/>
        </w:rPr>
        <w:t>92.</w:t>
      </w:r>
      <w:r w:rsidRPr="00CE611F">
        <w:rPr>
          <w:lang w:bidi="ar-QA"/>
        </w:rPr>
        <w:tab/>
        <w:t>La contribution du Qatar ne se limite pas à l</w:t>
      </w:r>
      <w:r>
        <w:rPr>
          <w:lang w:bidi="ar-QA"/>
        </w:rPr>
        <w:t>’</w:t>
      </w:r>
      <w:r w:rsidRPr="00CE611F">
        <w:rPr>
          <w:lang w:bidi="ar-QA"/>
        </w:rPr>
        <w:t>assistance humanitaire et l</w:t>
      </w:r>
      <w:r>
        <w:rPr>
          <w:lang w:bidi="ar-QA"/>
        </w:rPr>
        <w:t>’</w:t>
      </w:r>
      <w:r w:rsidRPr="00CE611F">
        <w:rPr>
          <w:lang w:bidi="ar-QA"/>
        </w:rPr>
        <w:t>aide au développement, puisqu</w:t>
      </w:r>
      <w:r>
        <w:rPr>
          <w:lang w:bidi="ar-QA"/>
        </w:rPr>
        <w:t>’</w:t>
      </w:r>
      <w:r w:rsidRPr="00CE611F">
        <w:rPr>
          <w:lang w:bidi="ar-QA"/>
        </w:rPr>
        <w:t>elle inclut aussi les initiatives humanitaires et de développement que le Qatar propose au plan international, parmi lesquelles les suivantes :</w:t>
      </w:r>
    </w:p>
    <w:p w14:paraId="32866BA3" w14:textId="77777777" w:rsidR="009E4C76" w:rsidRPr="00CE611F" w:rsidRDefault="00AA4CC0" w:rsidP="00AA4CC0">
      <w:pPr>
        <w:pStyle w:val="Bullet1G"/>
        <w:rPr>
          <w:lang w:val="fr-FR" w:bidi="ar-QA"/>
        </w:rPr>
      </w:pPr>
      <w:r>
        <w:rPr>
          <w:lang w:val="fr-FR" w:bidi="ar-QA"/>
        </w:rPr>
        <w:t>L</w:t>
      </w:r>
      <w:r w:rsidR="009E4C76">
        <w:rPr>
          <w:lang w:val="fr-FR" w:bidi="ar-QA"/>
        </w:rPr>
        <w:t>’</w:t>
      </w:r>
      <w:r w:rsidR="009E4C76" w:rsidRPr="00CE611F">
        <w:rPr>
          <w:lang w:val="fr-FR" w:bidi="ar-QA"/>
        </w:rPr>
        <w:t>Initiative « HOPEFOR », présentée en juin 2010 à New York, qui vise à améliorer l</w:t>
      </w:r>
      <w:r w:rsidR="009E4C76">
        <w:rPr>
          <w:lang w:val="fr-FR" w:bidi="ar-QA"/>
        </w:rPr>
        <w:t>’</w:t>
      </w:r>
      <w:r w:rsidR="009E4C76" w:rsidRPr="00CE611F">
        <w:rPr>
          <w:lang w:val="fr-FR" w:bidi="ar-QA"/>
        </w:rPr>
        <w:t>efficacité et la coordination de l</w:t>
      </w:r>
      <w:r w:rsidR="009E4C76">
        <w:rPr>
          <w:lang w:val="fr-FR" w:bidi="ar-QA"/>
        </w:rPr>
        <w:t>’</w:t>
      </w:r>
      <w:r w:rsidR="009E4C76" w:rsidRPr="00CE611F">
        <w:rPr>
          <w:lang w:val="fr-FR" w:bidi="ar-QA"/>
        </w:rPr>
        <w:t>utilisation des ressources militaires et de la protection civile face aux catastrophes naturelles ;</w:t>
      </w:r>
    </w:p>
    <w:p w14:paraId="69DC192A" w14:textId="77777777" w:rsidR="009E4C76" w:rsidRPr="00CE611F" w:rsidRDefault="00AA4CC0" w:rsidP="00AA4CC0">
      <w:pPr>
        <w:pStyle w:val="Bullet1G"/>
        <w:rPr>
          <w:lang w:val="fr-FR" w:bidi="ar-QA"/>
        </w:rPr>
      </w:pPr>
      <w:r>
        <w:rPr>
          <w:lang w:val="fr-FR" w:bidi="ar-QA"/>
        </w:rPr>
        <w:t>L</w:t>
      </w:r>
      <w:r w:rsidR="009E4C76">
        <w:rPr>
          <w:lang w:val="fr-FR" w:bidi="ar-QA"/>
        </w:rPr>
        <w:t>’</w:t>
      </w:r>
      <w:r w:rsidR="009E4C76" w:rsidRPr="00CE611F">
        <w:rPr>
          <w:lang w:val="fr-FR" w:bidi="ar-QA"/>
        </w:rPr>
        <w:t>Initiative « Protection de l</w:t>
      </w:r>
      <w:r w:rsidR="009E4C76">
        <w:rPr>
          <w:lang w:val="fr-FR" w:bidi="ar-QA"/>
        </w:rPr>
        <w:t>’</w:t>
      </w:r>
      <w:r w:rsidR="009E4C76" w:rsidRPr="00CE611F">
        <w:rPr>
          <w:lang w:val="fr-FR" w:bidi="ar-QA"/>
        </w:rPr>
        <w:t>éducation dans les zones de conflit et d</w:t>
      </w:r>
      <w:r w:rsidR="009E4C76">
        <w:rPr>
          <w:lang w:val="fr-FR" w:bidi="ar-QA"/>
        </w:rPr>
        <w:t>’</w:t>
      </w:r>
      <w:r w:rsidR="009E4C76" w:rsidRPr="00CE611F">
        <w:rPr>
          <w:lang w:val="fr-FR" w:bidi="ar-QA"/>
        </w:rPr>
        <w:t>insécurité » (précédemment Fondation « L</w:t>
      </w:r>
      <w:r w:rsidR="009E4C76">
        <w:rPr>
          <w:lang w:val="fr-FR" w:bidi="ar-QA"/>
        </w:rPr>
        <w:t>’</w:t>
      </w:r>
      <w:r w:rsidR="009E4C76" w:rsidRPr="00CE611F">
        <w:rPr>
          <w:lang w:val="fr-FR" w:bidi="ar-QA"/>
        </w:rPr>
        <w:t>Éducation avant tout »), lancée en 2008, en tant qu</w:t>
      </w:r>
      <w:r w:rsidR="009E4C76">
        <w:rPr>
          <w:lang w:val="fr-FR" w:bidi="ar-QA"/>
        </w:rPr>
        <w:t>’</w:t>
      </w:r>
      <w:r w:rsidR="009E4C76" w:rsidRPr="00CE611F">
        <w:rPr>
          <w:lang w:val="fr-FR" w:bidi="ar-QA"/>
        </w:rPr>
        <w:t>initiative internationale axée sur la protection, le soutien et le renforcement du droit à l</w:t>
      </w:r>
      <w:r w:rsidR="009E4C76">
        <w:rPr>
          <w:lang w:val="fr-FR" w:bidi="ar-QA"/>
        </w:rPr>
        <w:t>’</w:t>
      </w:r>
      <w:r w:rsidR="009E4C76" w:rsidRPr="00CE611F">
        <w:rPr>
          <w:lang w:val="fr-FR" w:bidi="ar-QA"/>
        </w:rPr>
        <w:t>éducation dans les zones touchées ou menacées par des différends, des conflits ou des guerres ;</w:t>
      </w:r>
    </w:p>
    <w:p w14:paraId="3BBE4F01" w14:textId="77777777" w:rsidR="009E4C76" w:rsidRPr="00CE611F" w:rsidRDefault="00AA4CC0" w:rsidP="00AA4CC0">
      <w:pPr>
        <w:pStyle w:val="Bullet1G"/>
        <w:rPr>
          <w:lang w:val="fr-FR" w:bidi="ar-QA"/>
        </w:rPr>
      </w:pPr>
      <w:r>
        <w:rPr>
          <w:lang w:val="fr-FR" w:bidi="ar-QA"/>
        </w:rPr>
        <w:t>L</w:t>
      </w:r>
      <w:r w:rsidR="009E4C76">
        <w:rPr>
          <w:lang w:val="fr-FR" w:bidi="ar-QA"/>
        </w:rPr>
        <w:t>’</w:t>
      </w:r>
      <w:r w:rsidR="005B68EB">
        <w:rPr>
          <w:lang w:val="fr-FR" w:bidi="ar-QA"/>
        </w:rPr>
        <w:t>I</w:t>
      </w:r>
      <w:r w:rsidR="009E4C76" w:rsidRPr="00CE611F">
        <w:rPr>
          <w:lang w:val="fr-FR" w:bidi="ar-QA"/>
        </w:rPr>
        <w:t>nitiative « Al</w:t>
      </w:r>
      <w:r w:rsidR="007B6FD5">
        <w:rPr>
          <w:lang w:val="fr-FR" w:bidi="ar-QA"/>
        </w:rPr>
        <w:t>-</w:t>
      </w:r>
      <w:r w:rsidR="009E4C76" w:rsidRPr="00CE611F">
        <w:rPr>
          <w:lang w:val="fr-FR" w:bidi="ar-QA"/>
        </w:rPr>
        <w:t>Fakhoura » lancée en 2009 afin de contribuer à la protection des élèves et des écoles dans les zones de conflit partout dans le monde, et en particulier à Gaza ;</w:t>
      </w:r>
    </w:p>
    <w:p w14:paraId="0EE99EAD" w14:textId="77777777" w:rsidR="009E4C76" w:rsidRPr="00CE611F" w:rsidRDefault="00AA4CC0" w:rsidP="00AA4CC0">
      <w:pPr>
        <w:pStyle w:val="Bullet1G"/>
        <w:rPr>
          <w:lang w:val="fr-FR" w:bidi="ar-QA"/>
        </w:rPr>
      </w:pPr>
      <w:r>
        <w:rPr>
          <w:lang w:val="fr-FR" w:bidi="ar-QA"/>
        </w:rPr>
        <w:t>L</w:t>
      </w:r>
      <w:r w:rsidR="009E4C76">
        <w:rPr>
          <w:lang w:val="fr-FR" w:bidi="ar-QA"/>
        </w:rPr>
        <w:t>’</w:t>
      </w:r>
      <w:r w:rsidR="009E4C76" w:rsidRPr="00CE611F">
        <w:rPr>
          <w:lang w:val="fr-FR" w:bidi="ar-QA"/>
        </w:rPr>
        <w:t>Initiative mondiale « Éduquer un enfant », visant à réduire le nombre d</w:t>
      </w:r>
      <w:r w:rsidR="009E4C76">
        <w:rPr>
          <w:lang w:val="fr-FR" w:bidi="ar-QA"/>
        </w:rPr>
        <w:t>’</w:t>
      </w:r>
      <w:r w:rsidR="009E4C76" w:rsidRPr="00CE611F">
        <w:rPr>
          <w:lang w:val="fr-FR" w:bidi="ar-QA"/>
        </w:rPr>
        <w:t>enfants privés de leur droit à l</w:t>
      </w:r>
      <w:r w:rsidR="009E4C76">
        <w:rPr>
          <w:lang w:val="fr-FR" w:bidi="ar-QA"/>
        </w:rPr>
        <w:t>’</w:t>
      </w:r>
      <w:r w:rsidR="009E4C76" w:rsidRPr="00CE611F">
        <w:rPr>
          <w:lang w:val="fr-FR" w:bidi="ar-QA"/>
        </w:rPr>
        <w:t>éducation dans toutes les régions du monde pour cause de conflit, de guerre ou de catastrophe naturelle, ainsi que les enfants vivant dans les quartiers pauvres des villes et les zones rurales reculées et les membres de groupes ayant du mal à avoir accès à l</w:t>
      </w:r>
      <w:r w:rsidR="009E4C76">
        <w:rPr>
          <w:lang w:val="fr-FR" w:bidi="ar-QA"/>
        </w:rPr>
        <w:t>’</w:t>
      </w:r>
      <w:r w:rsidR="009E4C76" w:rsidRPr="00CE611F">
        <w:rPr>
          <w:lang w:val="fr-FR" w:bidi="ar-QA"/>
        </w:rPr>
        <w:t>éducation, notamment les filles, les personnes handicapées et les minorités ;</w:t>
      </w:r>
    </w:p>
    <w:p w14:paraId="33790700" w14:textId="77777777" w:rsidR="009E4C76" w:rsidRPr="00731E84" w:rsidRDefault="00AA4CC0" w:rsidP="00AA4CC0">
      <w:pPr>
        <w:pStyle w:val="Bullet1G"/>
        <w:rPr>
          <w:spacing w:val="-1"/>
          <w:lang w:val="fr-FR" w:bidi="ar-QA"/>
        </w:rPr>
      </w:pPr>
      <w:r w:rsidRPr="00731E84">
        <w:rPr>
          <w:spacing w:val="-1"/>
          <w:lang w:val="fr-FR" w:bidi="ar-QA"/>
        </w:rPr>
        <w:t>L</w:t>
      </w:r>
      <w:r w:rsidR="009E4C76" w:rsidRPr="00731E84">
        <w:rPr>
          <w:spacing w:val="-1"/>
          <w:lang w:val="fr-FR" w:bidi="ar-QA"/>
        </w:rPr>
        <w:t>a création en Mauritanie de la « Fondation mauritano-qatarie pour le développement social », dont les programmes d’alphabétisation visent à instruire et former des enfants et sont complétés par la création de microentreprises pour leur venir en aide ;</w:t>
      </w:r>
    </w:p>
    <w:p w14:paraId="450E4EA9" w14:textId="77777777" w:rsidR="009E4C76" w:rsidRPr="00CE611F" w:rsidRDefault="00AA4CC0" w:rsidP="00AA4CC0">
      <w:pPr>
        <w:pStyle w:val="Bullet1G"/>
        <w:rPr>
          <w:lang w:val="fr-FR" w:bidi="ar-QA"/>
        </w:rPr>
      </w:pPr>
      <w:r>
        <w:rPr>
          <w:lang w:val="fr-FR" w:bidi="ar-QA"/>
        </w:rPr>
        <w:t>L</w:t>
      </w:r>
      <w:r w:rsidR="009E4C76" w:rsidRPr="00CE611F">
        <w:rPr>
          <w:lang w:val="fr-FR" w:bidi="ar-QA"/>
        </w:rPr>
        <w:t>a création du Fonds qatari pour le développement, dont l</w:t>
      </w:r>
      <w:r w:rsidR="009E4C76">
        <w:rPr>
          <w:lang w:val="fr-FR" w:bidi="ar-QA"/>
        </w:rPr>
        <w:t>’</w:t>
      </w:r>
      <w:r w:rsidR="009E4C76" w:rsidRPr="00CE611F">
        <w:rPr>
          <w:lang w:val="fr-FR" w:bidi="ar-QA"/>
        </w:rPr>
        <w:t>objectif est d</w:t>
      </w:r>
      <w:r w:rsidR="009E4C76">
        <w:rPr>
          <w:lang w:val="fr-FR" w:bidi="ar-QA"/>
        </w:rPr>
        <w:t>’</w:t>
      </w:r>
      <w:r w:rsidR="009E4C76" w:rsidRPr="00CE611F">
        <w:rPr>
          <w:lang w:val="fr-FR" w:bidi="ar-QA"/>
        </w:rPr>
        <w:t>aider les pays à moderniser leur économie et à exécuter des programmes de développement ;</w:t>
      </w:r>
    </w:p>
    <w:p w14:paraId="50EC840F" w14:textId="77777777" w:rsidR="009E4C76" w:rsidRPr="00CE611F" w:rsidRDefault="00AA4CC0" w:rsidP="00AA4CC0">
      <w:pPr>
        <w:pStyle w:val="Bullet1G"/>
        <w:rPr>
          <w:lang w:val="fr-FR" w:bidi="ar-QA"/>
        </w:rPr>
      </w:pPr>
      <w:r>
        <w:rPr>
          <w:lang w:val="fr-FR"/>
        </w:rPr>
        <w:t>L</w:t>
      </w:r>
      <w:r w:rsidR="009E4C76" w:rsidRPr="00CE611F">
        <w:rPr>
          <w:lang w:val="fr-FR"/>
        </w:rPr>
        <w:t>a contribution significative au lancement du Fonds du Sud pour le développement et l</w:t>
      </w:r>
      <w:r w:rsidR="009E4C76">
        <w:rPr>
          <w:lang w:val="fr-FR"/>
        </w:rPr>
        <w:t>’</w:t>
      </w:r>
      <w:r w:rsidR="009E4C76" w:rsidRPr="00CE611F">
        <w:rPr>
          <w:lang w:val="fr-FR"/>
        </w:rPr>
        <w:t>assistance humanitaire (regroupant le Groupe des 77 et la Chine), officiellement créé lors du deuxième Sommet du Sud (Doha, 2005).</w:t>
      </w:r>
    </w:p>
    <w:p w14:paraId="1C93050C" w14:textId="77777777" w:rsidR="009E4C76" w:rsidRPr="00CE611F" w:rsidRDefault="009E4C76" w:rsidP="00595727">
      <w:pPr>
        <w:pStyle w:val="H1G"/>
        <w:rPr>
          <w:sz w:val="22"/>
          <w:szCs w:val="32"/>
          <w:rtl/>
          <w:lang w:val="fr-FR" w:bidi="fr-FR"/>
        </w:rPr>
      </w:pPr>
      <w:bookmarkStart w:id="52" w:name="_Toc281916566"/>
      <w:bookmarkStart w:id="53" w:name="_Toc281916781"/>
      <w:bookmarkStart w:id="54" w:name="_Toc281916945"/>
      <w:bookmarkStart w:id="55" w:name="_Toc282337908"/>
      <w:r w:rsidRPr="00CE611F">
        <w:rPr>
          <w:lang w:val="fr-FR" w:bidi="ar-QA"/>
        </w:rPr>
        <w:tab/>
        <w:t>C.</w:t>
      </w:r>
      <w:r w:rsidRPr="00CE611F">
        <w:rPr>
          <w:lang w:val="fr-FR" w:bidi="ar-QA"/>
        </w:rPr>
        <w:tab/>
        <w:t>Processus d</w:t>
      </w:r>
      <w:r>
        <w:rPr>
          <w:lang w:val="fr-FR" w:bidi="ar-QA"/>
        </w:rPr>
        <w:t>’</w:t>
      </w:r>
      <w:r w:rsidRPr="00CE611F">
        <w:rPr>
          <w:lang w:val="fr-FR" w:bidi="ar-QA"/>
        </w:rPr>
        <w:t>élaboration des rapports au niveau national</w:t>
      </w:r>
      <w:bookmarkEnd w:id="52"/>
      <w:bookmarkEnd w:id="53"/>
      <w:bookmarkEnd w:id="54"/>
      <w:bookmarkEnd w:id="55"/>
    </w:p>
    <w:p w14:paraId="4F356FC8" w14:textId="77777777" w:rsidR="009E4C76" w:rsidRPr="00CE611F" w:rsidRDefault="009E4C76" w:rsidP="005D0B7C">
      <w:pPr>
        <w:pStyle w:val="SingleTxtG"/>
        <w:rPr>
          <w:rtl/>
          <w:lang w:bidi="fr-FR"/>
        </w:rPr>
      </w:pPr>
      <w:r w:rsidRPr="00CE611F">
        <w:rPr>
          <w:lang w:bidi="ar-QA"/>
        </w:rPr>
        <w:t>93.</w:t>
      </w:r>
      <w:r w:rsidRPr="00CE611F">
        <w:rPr>
          <w:lang w:bidi="ar-QA"/>
        </w:rPr>
        <w:tab/>
        <w:t>Le Qatar veille à remplir ses engagements au titre des instruments internationaux auxquels il est partie, au moyen de la mise en place par le Conseil des ministres ou le Ministère des affaires étrangères, de comités mixtes chargés d</w:t>
      </w:r>
      <w:r>
        <w:rPr>
          <w:lang w:bidi="ar-QA"/>
        </w:rPr>
        <w:t>’</w:t>
      </w:r>
      <w:r w:rsidRPr="00CE611F">
        <w:rPr>
          <w:lang w:bidi="ar-QA"/>
        </w:rPr>
        <w:t xml:space="preserve">élaborer les rapports périodiques relatifs au suivi de la mise en </w:t>
      </w:r>
      <w:r w:rsidR="00595727" w:rsidRPr="00CE611F">
        <w:rPr>
          <w:lang w:bidi="ar-QA"/>
        </w:rPr>
        <w:t>œuvre</w:t>
      </w:r>
      <w:r w:rsidRPr="00CE611F">
        <w:rPr>
          <w:lang w:bidi="ar-QA"/>
        </w:rPr>
        <w:t xml:space="preserve"> de ces instruments, composés de représentants des principaux acteurs publics concernés. Les avis et propositions de la</w:t>
      </w:r>
      <w:r w:rsidR="00595727">
        <w:rPr>
          <w:lang w:bidi="ar-QA"/>
        </w:rPr>
        <w:t> </w:t>
      </w:r>
      <w:r w:rsidRPr="00CE611F">
        <w:rPr>
          <w:lang w:bidi="ar-QA"/>
        </w:rPr>
        <w:t>Commission nationale des droits de l</w:t>
      </w:r>
      <w:r>
        <w:rPr>
          <w:lang w:bidi="ar-QA"/>
        </w:rPr>
        <w:t>’</w:t>
      </w:r>
      <w:r w:rsidRPr="00CE611F">
        <w:rPr>
          <w:lang w:bidi="ar-QA"/>
        </w:rPr>
        <w:t>homme sont également pris en compte après l</w:t>
      </w:r>
      <w:r>
        <w:rPr>
          <w:lang w:bidi="ar-QA"/>
        </w:rPr>
        <w:t>’</w:t>
      </w:r>
      <w:r w:rsidRPr="00CE611F">
        <w:rPr>
          <w:lang w:bidi="ar-QA"/>
        </w:rPr>
        <w:t>achèvement de la préparation des rapports.</w:t>
      </w:r>
    </w:p>
    <w:p w14:paraId="500E1E00" w14:textId="77777777" w:rsidR="009E4C76" w:rsidRPr="00306908" w:rsidRDefault="009E4C76" w:rsidP="005D0B7C">
      <w:pPr>
        <w:pStyle w:val="SingleTxtG"/>
        <w:rPr>
          <w:rtl/>
          <w:lang w:bidi="fr-FR"/>
        </w:rPr>
      </w:pPr>
      <w:r w:rsidRPr="00306908">
        <w:rPr>
          <w:lang w:bidi="ar-QA"/>
        </w:rPr>
        <w:t>94.</w:t>
      </w:r>
      <w:r w:rsidRPr="00306908">
        <w:rPr>
          <w:lang w:bidi="ar-QA"/>
        </w:rPr>
        <w:tab/>
        <w:t>Le Conseil des ministres ou le Ministère des affaires étrangères désigne les délégations chargées de présenter et de discuter les rapports de l’État devant les organes conventionnels des droits de l’homme et le Qatar veille à ce que les délégations soient formées de membres qualifiés émanant notamment des organismes ayant contribué à l’élaboration des rapports. L’État assure également le suivi des observations finales formulées par les organes conventionnels, notamment par le biais du Ministère des affaires étrangères qui, en tant qu’acteur principal de la coordination entre les parties prenantes, procède à l’examen de ces observations et incite les ministères et autres instances concernées à en tenir compte lors de l’élaboration des plans et programmes annuels.</w:t>
      </w:r>
    </w:p>
    <w:p w14:paraId="48A1D7BE" w14:textId="77777777" w:rsidR="009E4C76" w:rsidRPr="00CE611F" w:rsidRDefault="009E4C76" w:rsidP="005D0B7C">
      <w:pPr>
        <w:pStyle w:val="SingleTxtG"/>
        <w:rPr>
          <w:rtl/>
          <w:lang w:bidi="fr-FR"/>
        </w:rPr>
      </w:pPr>
      <w:r w:rsidRPr="00CE611F">
        <w:rPr>
          <w:lang w:bidi="ar-QA"/>
        </w:rPr>
        <w:t>95.</w:t>
      </w:r>
      <w:r w:rsidRPr="00CE611F">
        <w:rPr>
          <w:lang w:bidi="ar-QA"/>
        </w:rPr>
        <w:tab/>
        <w:t>Par ailleurs, le Conseil des ministres a approuvé la mise en place d</w:t>
      </w:r>
      <w:r>
        <w:rPr>
          <w:lang w:bidi="ar-QA"/>
        </w:rPr>
        <w:t>’</w:t>
      </w:r>
      <w:r w:rsidRPr="00CE611F">
        <w:rPr>
          <w:lang w:bidi="ar-QA"/>
        </w:rPr>
        <w:t>une commission permanente chargée d</w:t>
      </w:r>
      <w:r>
        <w:rPr>
          <w:lang w:bidi="ar-QA"/>
        </w:rPr>
        <w:t>’</w:t>
      </w:r>
      <w:r w:rsidRPr="00CE611F">
        <w:rPr>
          <w:lang w:bidi="ar-QA"/>
        </w:rPr>
        <w:t>élaborer les rapports au titre de l</w:t>
      </w:r>
      <w:r>
        <w:rPr>
          <w:lang w:bidi="ar-QA"/>
        </w:rPr>
        <w:t>’</w:t>
      </w:r>
      <w:r w:rsidRPr="00CE611F">
        <w:rPr>
          <w:lang w:bidi="ar-QA"/>
        </w:rPr>
        <w:t>Examen périodique universel et d</w:t>
      </w:r>
      <w:r>
        <w:rPr>
          <w:lang w:bidi="ar-QA"/>
        </w:rPr>
        <w:t>’</w:t>
      </w:r>
      <w:r w:rsidRPr="00CE611F">
        <w:rPr>
          <w:lang w:bidi="ar-QA"/>
        </w:rPr>
        <w:t>assurer le suivi des recommandations formulées à l</w:t>
      </w:r>
      <w:r>
        <w:rPr>
          <w:lang w:bidi="ar-QA"/>
        </w:rPr>
        <w:t>’</w:t>
      </w:r>
      <w:r w:rsidRPr="00CE611F">
        <w:rPr>
          <w:lang w:bidi="ar-QA"/>
        </w:rPr>
        <w:t>issue de l</w:t>
      </w:r>
      <w:r>
        <w:rPr>
          <w:lang w:bidi="ar-QA"/>
        </w:rPr>
        <w:t>’</w:t>
      </w:r>
      <w:r w:rsidRPr="00CE611F">
        <w:rPr>
          <w:lang w:bidi="ar-QA"/>
        </w:rPr>
        <w:t xml:space="preserve">examen de chaque rapport. Cette </w:t>
      </w:r>
      <w:r w:rsidR="007B6FD5">
        <w:rPr>
          <w:lang w:bidi="ar-QA"/>
        </w:rPr>
        <w:t>c</w:t>
      </w:r>
      <w:r w:rsidRPr="00CE611F">
        <w:rPr>
          <w:lang w:bidi="ar-QA"/>
        </w:rPr>
        <w:t>ommission a été créée par décret du Conseil des ministres à sa trente-troisième session, qui s</w:t>
      </w:r>
      <w:r>
        <w:rPr>
          <w:lang w:bidi="ar-QA"/>
        </w:rPr>
        <w:t>’</w:t>
      </w:r>
      <w:r w:rsidRPr="00CE611F">
        <w:rPr>
          <w:lang w:bidi="ar-QA"/>
        </w:rPr>
        <w:t>est tenue le 24</w:t>
      </w:r>
      <w:r w:rsidR="00595727">
        <w:rPr>
          <w:lang w:bidi="ar-QA"/>
        </w:rPr>
        <w:t> </w:t>
      </w:r>
      <w:r w:rsidRPr="00CE611F">
        <w:rPr>
          <w:lang w:bidi="ar-QA"/>
        </w:rPr>
        <w:t>novembre 2010 sous la présidence du Ministre des affaires étrangères. Elle comprend des représentants de ce département et des Ministères de l</w:t>
      </w:r>
      <w:r>
        <w:rPr>
          <w:lang w:bidi="ar-QA"/>
        </w:rPr>
        <w:t>’</w:t>
      </w:r>
      <w:r w:rsidRPr="00CE611F">
        <w:rPr>
          <w:lang w:bidi="ar-QA"/>
        </w:rPr>
        <w:t>intérieur, du développement administratif, du travail et des affaires sociales et de la justice, ainsi que des représentants du Conseil de la Shura, du Ministère de la santé publique, du Ministère de la culture et des sports et du Ministère de l</w:t>
      </w:r>
      <w:r>
        <w:rPr>
          <w:lang w:bidi="ar-QA"/>
        </w:rPr>
        <w:t>’</w:t>
      </w:r>
      <w:r w:rsidRPr="00CE611F">
        <w:rPr>
          <w:lang w:bidi="ar-QA"/>
        </w:rPr>
        <w:t>éducation et de l</w:t>
      </w:r>
      <w:r>
        <w:rPr>
          <w:lang w:bidi="ar-QA"/>
        </w:rPr>
        <w:t>’</w:t>
      </w:r>
      <w:r w:rsidRPr="00CE611F">
        <w:rPr>
          <w:lang w:bidi="ar-QA"/>
        </w:rPr>
        <w:t>enseignement supérieur.</w:t>
      </w:r>
    </w:p>
    <w:p w14:paraId="03DE6387" w14:textId="77777777" w:rsidR="009E4C76" w:rsidRPr="00CE611F" w:rsidRDefault="009E4C76" w:rsidP="00595727">
      <w:pPr>
        <w:pStyle w:val="HChG"/>
        <w:rPr>
          <w:lang w:val="fr-FR" w:bidi="ar-QA"/>
        </w:rPr>
      </w:pPr>
      <w:r w:rsidRPr="00CE611F">
        <w:rPr>
          <w:lang w:val="fr-FR" w:bidi="ar-QA"/>
        </w:rPr>
        <w:tab/>
        <w:t>III.</w:t>
      </w:r>
      <w:r w:rsidRPr="00CE611F">
        <w:rPr>
          <w:lang w:val="fr-FR" w:bidi="ar-QA"/>
        </w:rPr>
        <w:tab/>
        <w:t>Informations sur la non-discrimination, l</w:t>
      </w:r>
      <w:r>
        <w:rPr>
          <w:lang w:val="fr-FR" w:bidi="ar-QA"/>
        </w:rPr>
        <w:t>’</w:t>
      </w:r>
      <w:r w:rsidRPr="00CE611F">
        <w:rPr>
          <w:lang w:val="fr-FR" w:bidi="ar-QA"/>
        </w:rPr>
        <w:t xml:space="preserve">égalité </w:t>
      </w:r>
      <w:r w:rsidR="00595727">
        <w:rPr>
          <w:lang w:val="fr-FR" w:bidi="ar-QA"/>
        </w:rPr>
        <w:br/>
      </w:r>
      <w:r w:rsidRPr="00CE611F">
        <w:rPr>
          <w:lang w:val="fr-FR" w:bidi="ar-QA"/>
        </w:rPr>
        <w:t>et les recours efficaces</w:t>
      </w:r>
    </w:p>
    <w:p w14:paraId="059CDACF" w14:textId="77777777" w:rsidR="009E4C76" w:rsidRPr="00CE611F" w:rsidRDefault="009E4C76" w:rsidP="00595727">
      <w:pPr>
        <w:pStyle w:val="H1G"/>
        <w:rPr>
          <w:rtl/>
          <w:lang w:val="fr-FR" w:bidi="fr-FR"/>
        </w:rPr>
      </w:pPr>
      <w:r w:rsidRPr="00CE611F">
        <w:rPr>
          <w:lang w:val="fr-FR" w:bidi="ar-QA"/>
        </w:rPr>
        <w:tab/>
        <w:t>A.</w:t>
      </w:r>
      <w:r w:rsidRPr="00CE611F">
        <w:rPr>
          <w:lang w:val="fr-FR" w:bidi="ar-QA"/>
        </w:rPr>
        <w:tab/>
        <w:t>Non-discrimination et égalité</w:t>
      </w:r>
    </w:p>
    <w:p w14:paraId="6D82E37B" w14:textId="77777777" w:rsidR="009E4C76" w:rsidRPr="006306BD" w:rsidRDefault="009E4C76" w:rsidP="005D0B7C">
      <w:pPr>
        <w:pStyle w:val="SingleTxtG"/>
        <w:rPr>
          <w:lang w:bidi="ar-DZ"/>
        </w:rPr>
      </w:pPr>
      <w:r w:rsidRPr="006306BD">
        <w:rPr>
          <w:lang w:bidi="ar-QA"/>
        </w:rPr>
        <w:t>96.</w:t>
      </w:r>
      <w:r w:rsidRPr="006306BD">
        <w:rPr>
          <w:lang w:bidi="ar-QA"/>
        </w:rPr>
        <w:tab/>
        <w:t>La Constitution permanente de l’État du Qatar consacre les principes d’égalité et de non</w:t>
      </w:r>
      <w:r w:rsidR="00595727" w:rsidRPr="006306BD">
        <w:rPr>
          <w:lang w:bidi="ar-QA"/>
        </w:rPr>
        <w:t>-</w:t>
      </w:r>
      <w:r w:rsidRPr="006306BD">
        <w:rPr>
          <w:lang w:bidi="ar-QA"/>
        </w:rPr>
        <w:t>discrimination prévu</w:t>
      </w:r>
      <w:r w:rsidR="006306BD">
        <w:rPr>
          <w:lang w:bidi="ar-QA"/>
        </w:rPr>
        <w:t>s</w:t>
      </w:r>
      <w:r w:rsidRPr="006306BD">
        <w:rPr>
          <w:lang w:bidi="ar-QA"/>
        </w:rPr>
        <w:t xml:space="preserve"> aux articles</w:t>
      </w:r>
      <w:r w:rsidR="00595727" w:rsidRPr="006306BD">
        <w:rPr>
          <w:lang w:bidi="ar-QA"/>
        </w:rPr>
        <w:t> </w:t>
      </w:r>
      <w:r w:rsidRPr="006306BD">
        <w:rPr>
          <w:lang w:bidi="ar-QA"/>
        </w:rPr>
        <w:t>18 et 19 du Titre II intitulé « Principes fondamentaux de la société ». Ainsi, selon l’article</w:t>
      </w:r>
      <w:r w:rsidR="00595727" w:rsidRPr="006306BD">
        <w:rPr>
          <w:lang w:bidi="ar-QA"/>
        </w:rPr>
        <w:t> </w:t>
      </w:r>
      <w:r w:rsidRPr="006306BD">
        <w:rPr>
          <w:lang w:bidi="ar-QA"/>
        </w:rPr>
        <w:t>18 : « La société est fondée sur les valeurs de justice, de bienveillance, de liberté, d’égalité et de haute moralité ». Les</w:t>
      </w:r>
      <w:r w:rsidR="006306BD">
        <w:rPr>
          <w:lang w:bidi="ar-QA"/>
        </w:rPr>
        <w:t> </w:t>
      </w:r>
      <w:r w:rsidRPr="006306BD">
        <w:rPr>
          <w:lang w:bidi="ar-QA"/>
        </w:rPr>
        <w:t>principes visés à</w:t>
      </w:r>
      <w:r w:rsidR="006306BD">
        <w:rPr>
          <w:lang w:bidi="ar-QA"/>
        </w:rPr>
        <w:t xml:space="preserve"> </w:t>
      </w:r>
      <w:r w:rsidRPr="006306BD">
        <w:rPr>
          <w:lang w:bidi="ar-QA"/>
        </w:rPr>
        <w:t>l’article</w:t>
      </w:r>
      <w:r w:rsidR="00595727" w:rsidRPr="006306BD">
        <w:rPr>
          <w:lang w:bidi="ar-QA"/>
        </w:rPr>
        <w:t> </w:t>
      </w:r>
      <w:r w:rsidRPr="006306BD">
        <w:rPr>
          <w:lang w:bidi="ar-QA"/>
        </w:rPr>
        <w:t>18 de la Constitution ont été renforcés par l’article</w:t>
      </w:r>
      <w:r w:rsidR="00595727" w:rsidRPr="006306BD">
        <w:rPr>
          <w:lang w:bidi="ar-QA"/>
        </w:rPr>
        <w:t> </w:t>
      </w:r>
      <w:r w:rsidRPr="006306BD">
        <w:rPr>
          <w:lang w:bidi="ar-QA"/>
        </w:rPr>
        <w:t>19 qui dispose ce qui suit : « L’État maintient les piliers de la société et assure sécurité, stabilité et égalité des chances à tous les citoyens ». En</w:t>
      </w:r>
      <w:r w:rsidR="00595727" w:rsidRPr="006306BD">
        <w:rPr>
          <w:lang w:bidi="ar-QA"/>
        </w:rPr>
        <w:t> </w:t>
      </w:r>
      <w:r w:rsidRPr="006306BD">
        <w:rPr>
          <w:lang w:bidi="ar-QA"/>
        </w:rPr>
        <w:t xml:space="preserve">conséquence, toutes les politiques publiques sont tenues de garantir et de protéger les valeurs précitées, parmi lesquelles l’égalité, qui est l’un des principes constitutionnels suprêmes protégés par la Constitution, un principe non susceptible de dérogation et dont la protection a été renforcée par la création de la Cour suprême constitutionnelle (loi </w:t>
      </w:r>
      <w:r w:rsidR="00595727" w:rsidRPr="006306BD">
        <w:rPr>
          <w:lang w:val="fr-FR" w:bidi="ar-QA"/>
        </w:rPr>
        <w:t>n</w:t>
      </w:r>
      <w:r w:rsidR="00595727" w:rsidRPr="006306BD">
        <w:rPr>
          <w:vertAlign w:val="superscript"/>
          <w:lang w:val="fr-FR" w:bidi="ar-QA"/>
        </w:rPr>
        <w:t>o</w:t>
      </w:r>
      <w:r w:rsidR="00595727" w:rsidRPr="006306BD">
        <w:rPr>
          <w:lang w:val="fr-FR" w:bidi="ar-QA"/>
        </w:rPr>
        <w:t> </w:t>
      </w:r>
      <w:r w:rsidRPr="006306BD">
        <w:rPr>
          <w:lang w:bidi="ar-QA"/>
        </w:rPr>
        <w:t>12 de</w:t>
      </w:r>
      <w:r w:rsidR="00595727" w:rsidRPr="006306BD">
        <w:rPr>
          <w:lang w:bidi="ar-QA"/>
        </w:rPr>
        <w:t> </w:t>
      </w:r>
      <w:r w:rsidRPr="006306BD">
        <w:rPr>
          <w:lang w:bidi="ar-QA"/>
        </w:rPr>
        <w:t>2008 du 18</w:t>
      </w:r>
      <w:r w:rsidR="00595727" w:rsidRPr="006306BD">
        <w:rPr>
          <w:lang w:bidi="ar-QA"/>
        </w:rPr>
        <w:t> </w:t>
      </w:r>
      <w:r w:rsidRPr="006306BD">
        <w:rPr>
          <w:lang w:bidi="ar-QA"/>
        </w:rPr>
        <w:t>juin 2008), qui est compétente pour se prononcer sur la constitutionnalité des lois et règlements.</w:t>
      </w:r>
    </w:p>
    <w:p w14:paraId="515DCCEF" w14:textId="77777777" w:rsidR="009E4C76" w:rsidRPr="00CE611F" w:rsidRDefault="009E4C76" w:rsidP="005D0B7C">
      <w:pPr>
        <w:pStyle w:val="SingleTxtG"/>
        <w:rPr>
          <w:lang w:bidi="ar-QA"/>
        </w:rPr>
      </w:pPr>
      <w:r w:rsidRPr="00CE611F">
        <w:rPr>
          <w:lang w:bidi="ar-QA"/>
        </w:rPr>
        <w:t>97.</w:t>
      </w:r>
      <w:r w:rsidRPr="00CE611F">
        <w:rPr>
          <w:lang w:bidi="ar-QA"/>
        </w:rPr>
        <w:tab/>
        <w:t>Le principe général d</w:t>
      </w:r>
      <w:r>
        <w:rPr>
          <w:lang w:bidi="ar-QA"/>
        </w:rPr>
        <w:t>’</w:t>
      </w:r>
      <w:r w:rsidRPr="00CE611F">
        <w:rPr>
          <w:lang w:bidi="ar-QA"/>
        </w:rPr>
        <w:t>égalité visé à l</w:t>
      </w:r>
      <w:r>
        <w:rPr>
          <w:lang w:bidi="ar-QA"/>
        </w:rPr>
        <w:t>’</w:t>
      </w:r>
      <w:r w:rsidRPr="00CE611F">
        <w:rPr>
          <w:lang w:bidi="ar-QA"/>
        </w:rPr>
        <w:t>article</w:t>
      </w:r>
      <w:r w:rsidR="00595727">
        <w:rPr>
          <w:lang w:bidi="ar-QA"/>
        </w:rPr>
        <w:t> </w:t>
      </w:r>
      <w:r w:rsidRPr="00CE611F">
        <w:rPr>
          <w:lang w:bidi="ar-QA"/>
        </w:rPr>
        <w:t xml:space="preserve">18 de la Constitution </w:t>
      </w:r>
      <w:r>
        <w:rPr>
          <w:lang w:bidi="ar-QA"/>
        </w:rPr>
        <w:t>est</w:t>
      </w:r>
      <w:r w:rsidRPr="00CE611F">
        <w:rPr>
          <w:lang w:bidi="ar-QA"/>
        </w:rPr>
        <w:t xml:space="preserve"> évoqué de manière détaillée par les articles</w:t>
      </w:r>
      <w:r w:rsidR="00595727">
        <w:rPr>
          <w:lang w:bidi="ar-QA"/>
        </w:rPr>
        <w:t> </w:t>
      </w:r>
      <w:r w:rsidRPr="00CE611F">
        <w:rPr>
          <w:lang w:bidi="ar-QA"/>
        </w:rPr>
        <w:t>34 et 35 du Titre</w:t>
      </w:r>
      <w:r w:rsidR="00595727">
        <w:rPr>
          <w:lang w:bidi="ar-QA"/>
        </w:rPr>
        <w:t> </w:t>
      </w:r>
      <w:r w:rsidRPr="00CE611F">
        <w:rPr>
          <w:lang w:bidi="ar-QA"/>
        </w:rPr>
        <w:t>III de la Constitution consacré aux droits et devoirs publics. Ainsi, selon l</w:t>
      </w:r>
      <w:r>
        <w:rPr>
          <w:lang w:bidi="ar-QA"/>
        </w:rPr>
        <w:t>’</w:t>
      </w:r>
      <w:r w:rsidRPr="00CE611F">
        <w:rPr>
          <w:lang w:bidi="ar-QA"/>
        </w:rPr>
        <w:t>article</w:t>
      </w:r>
      <w:r w:rsidR="00595727">
        <w:rPr>
          <w:lang w:bidi="ar-QA"/>
        </w:rPr>
        <w:t> </w:t>
      </w:r>
      <w:r w:rsidRPr="00CE611F">
        <w:rPr>
          <w:lang w:bidi="ar-QA"/>
        </w:rPr>
        <w:t>34, les citoyens du Qatar sont égaux en droits et en devoirs et l</w:t>
      </w:r>
      <w:r>
        <w:rPr>
          <w:lang w:bidi="ar-QA"/>
        </w:rPr>
        <w:t>’</w:t>
      </w:r>
      <w:r w:rsidRPr="00CE611F">
        <w:rPr>
          <w:lang w:bidi="ar-QA"/>
        </w:rPr>
        <w:t>article</w:t>
      </w:r>
      <w:r w:rsidR="00595727">
        <w:rPr>
          <w:lang w:bidi="ar-QA"/>
        </w:rPr>
        <w:t> </w:t>
      </w:r>
      <w:r w:rsidRPr="00CE611F">
        <w:rPr>
          <w:lang w:bidi="ar-QA"/>
        </w:rPr>
        <w:t>35 garantit le droit à l</w:t>
      </w:r>
      <w:r>
        <w:rPr>
          <w:lang w:bidi="ar-QA"/>
        </w:rPr>
        <w:t>’</w:t>
      </w:r>
      <w:r w:rsidRPr="00CE611F">
        <w:rPr>
          <w:lang w:bidi="ar-QA"/>
        </w:rPr>
        <w:t>égalité devant la loi, en précisant que toutes les personnes sont égales devant la loi, sans aucune discrimination fondée sur le sexe, la race, la langue ou la religion. Le Titre</w:t>
      </w:r>
      <w:r w:rsidR="00595727">
        <w:rPr>
          <w:lang w:bidi="ar-QA"/>
        </w:rPr>
        <w:t> </w:t>
      </w:r>
      <w:r w:rsidRPr="00CE611F">
        <w:rPr>
          <w:lang w:bidi="ar-QA"/>
        </w:rPr>
        <w:t>III de la Constitution (art.</w:t>
      </w:r>
      <w:r w:rsidR="00595727">
        <w:rPr>
          <w:lang w:bidi="ar-QA"/>
        </w:rPr>
        <w:t> </w:t>
      </w:r>
      <w:r w:rsidRPr="00CE611F">
        <w:rPr>
          <w:lang w:bidi="ar-QA"/>
        </w:rPr>
        <w:t>34 à 58) garantit les droits et libertés fondamentaux, en consacrant les principes de complémentarité, d</w:t>
      </w:r>
      <w:r>
        <w:rPr>
          <w:lang w:bidi="ar-QA"/>
        </w:rPr>
        <w:t>’</w:t>
      </w:r>
      <w:r w:rsidRPr="00CE611F">
        <w:rPr>
          <w:lang w:bidi="ar-QA"/>
        </w:rPr>
        <w:t>interdépendance, d</w:t>
      </w:r>
      <w:r>
        <w:rPr>
          <w:lang w:bidi="ar-QA"/>
        </w:rPr>
        <w:t>’</w:t>
      </w:r>
      <w:r w:rsidRPr="00CE611F">
        <w:rPr>
          <w:lang w:bidi="ar-QA"/>
        </w:rPr>
        <w:t>indissociabilité et d</w:t>
      </w:r>
      <w:r>
        <w:rPr>
          <w:lang w:bidi="ar-QA"/>
        </w:rPr>
        <w:t>’</w:t>
      </w:r>
      <w:r w:rsidRPr="00CE611F">
        <w:rPr>
          <w:lang w:bidi="ar-QA"/>
        </w:rPr>
        <w:t>indivisibilité et en garantissant les droits économiques, sociaux, culturels, civils et politiques. En outre, le Titre</w:t>
      </w:r>
      <w:r w:rsidR="00595727">
        <w:rPr>
          <w:lang w:bidi="ar-QA"/>
        </w:rPr>
        <w:t> </w:t>
      </w:r>
      <w:r w:rsidRPr="00CE611F">
        <w:rPr>
          <w:lang w:bidi="ar-QA"/>
        </w:rPr>
        <w:t>III de la Constitution relatif aux droits et libertés publics constitue une garantie constitutionnelle des droits de l</w:t>
      </w:r>
      <w:r>
        <w:rPr>
          <w:lang w:bidi="ar-QA"/>
        </w:rPr>
        <w:t>’</w:t>
      </w:r>
      <w:r w:rsidRPr="00CE611F">
        <w:rPr>
          <w:lang w:bidi="ar-QA"/>
        </w:rPr>
        <w:t>homme au sein de l</w:t>
      </w:r>
      <w:r>
        <w:rPr>
          <w:lang w:bidi="ar-QA"/>
        </w:rPr>
        <w:t>’</w:t>
      </w:r>
      <w:r w:rsidRPr="00CE611F">
        <w:rPr>
          <w:lang w:bidi="ar-QA"/>
        </w:rPr>
        <w:t>État, étant donné qu</w:t>
      </w:r>
      <w:r>
        <w:rPr>
          <w:lang w:bidi="ar-QA"/>
        </w:rPr>
        <w:t>’</w:t>
      </w:r>
      <w:r w:rsidRPr="00CE611F">
        <w:rPr>
          <w:lang w:bidi="ar-QA"/>
        </w:rPr>
        <w:t>il leur confère une primauté sur la législation et les lois ordinaires, ainsi qu</w:t>
      </w:r>
      <w:r>
        <w:rPr>
          <w:lang w:bidi="ar-QA"/>
        </w:rPr>
        <w:t>’</w:t>
      </w:r>
      <w:r w:rsidRPr="00CE611F">
        <w:rPr>
          <w:lang w:bidi="ar-QA"/>
        </w:rPr>
        <w:t>un caractère obligatoire.</w:t>
      </w:r>
    </w:p>
    <w:p w14:paraId="168BD25B" w14:textId="77777777" w:rsidR="009E4C76" w:rsidRPr="00CE611F" w:rsidRDefault="009E4C76" w:rsidP="005D0B7C">
      <w:pPr>
        <w:pStyle w:val="SingleTxtG"/>
        <w:rPr>
          <w:rtl/>
          <w:lang w:bidi="fr-FR"/>
        </w:rPr>
      </w:pPr>
      <w:r w:rsidRPr="00CE611F">
        <w:rPr>
          <w:lang w:bidi="ar-QA"/>
        </w:rPr>
        <w:t>98.</w:t>
      </w:r>
      <w:r w:rsidRPr="00CE611F">
        <w:rPr>
          <w:lang w:bidi="ar-QA"/>
        </w:rPr>
        <w:tab/>
        <w:t>La protection constitutionnelle du droit à l</w:t>
      </w:r>
      <w:r>
        <w:rPr>
          <w:lang w:bidi="ar-QA"/>
        </w:rPr>
        <w:t>’</w:t>
      </w:r>
      <w:r w:rsidRPr="00CE611F">
        <w:rPr>
          <w:lang w:bidi="ar-QA"/>
        </w:rPr>
        <w:t>égalité et à la non-discrimination, mentionnée ci-dessus, a été consolidée et renforcée par l</w:t>
      </w:r>
      <w:r>
        <w:rPr>
          <w:lang w:bidi="ar-QA"/>
        </w:rPr>
        <w:t>’</w:t>
      </w:r>
      <w:r w:rsidRPr="00CE611F">
        <w:rPr>
          <w:lang w:bidi="ar-QA"/>
        </w:rPr>
        <w:t>adhésion du Qatar à la Convention internationale sur l</w:t>
      </w:r>
      <w:r>
        <w:rPr>
          <w:lang w:bidi="ar-QA"/>
        </w:rPr>
        <w:t>’</w:t>
      </w:r>
      <w:r w:rsidRPr="00CE611F">
        <w:rPr>
          <w:lang w:bidi="ar-QA"/>
        </w:rPr>
        <w:t>élimination de toutes les formes de discrimination raciale en 1976, étant donné qu</w:t>
      </w:r>
      <w:r>
        <w:rPr>
          <w:lang w:bidi="ar-QA"/>
        </w:rPr>
        <w:t>’</w:t>
      </w:r>
      <w:r w:rsidRPr="00CE611F">
        <w:rPr>
          <w:lang w:bidi="ar-QA"/>
        </w:rPr>
        <w:t>en vertu de l</w:t>
      </w:r>
      <w:r>
        <w:rPr>
          <w:lang w:bidi="ar-QA"/>
        </w:rPr>
        <w:t>’</w:t>
      </w:r>
      <w:r w:rsidRPr="00CE611F">
        <w:rPr>
          <w:lang w:bidi="ar-QA"/>
        </w:rPr>
        <w:t>article</w:t>
      </w:r>
      <w:r w:rsidR="006306BD">
        <w:rPr>
          <w:lang w:bidi="ar-QA"/>
        </w:rPr>
        <w:t> </w:t>
      </w:r>
      <w:r w:rsidRPr="00CE611F">
        <w:rPr>
          <w:lang w:bidi="ar-QA"/>
        </w:rPr>
        <w:t>68 de la Constitution permanente du pays : « Les traités et conventions acquièrent force de loi après leur ratification et publication au Journal officiel</w:t>
      </w:r>
      <w:r>
        <w:rPr>
          <w:lang w:bidi="ar-QA"/>
        </w:rPr>
        <w:t> »</w:t>
      </w:r>
      <w:r w:rsidR="00E118B6">
        <w:rPr>
          <w:lang w:bidi="ar-QA"/>
        </w:rPr>
        <w:t xml:space="preserve"> </w:t>
      </w:r>
      <w:r w:rsidRPr="00CE611F">
        <w:rPr>
          <w:lang w:bidi="ar-QA"/>
        </w:rPr>
        <w:t>et que leurs dispositions deviennent dès lors directement applicables devant les tribunaux qataris. En outre, l</w:t>
      </w:r>
      <w:r>
        <w:rPr>
          <w:lang w:bidi="ar-QA"/>
        </w:rPr>
        <w:t>’</w:t>
      </w:r>
      <w:r w:rsidRPr="00CE611F">
        <w:rPr>
          <w:lang w:bidi="ar-QA"/>
        </w:rPr>
        <w:t>article</w:t>
      </w:r>
      <w:r w:rsidR="006306BD">
        <w:rPr>
          <w:lang w:bidi="ar-QA"/>
        </w:rPr>
        <w:t> </w:t>
      </w:r>
      <w:r w:rsidRPr="00CE611F">
        <w:rPr>
          <w:lang w:bidi="ar-QA"/>
        </w:rPr>
        <w:t>6 de la Constitution permanente dispose expressément ce qui suit : « L</w:t>
      </w:r>
      <w:r>
        <w:rPr>
          <w:lang w:bidi="ar-QA"/>
        </w:rPr>
        <w:t>’</w:t>
      </w:r>
      <w:r w:rsidRPr="00CE611F">
        <w:rPr>
          <w:lang w:bidi="ar-QA"/>
        </w:rPr>
        <w:t>État respecte les conventions internationales et s</w:t>
      </w:r>
      <w:r>
        <w:rPr>
          <w:lang w:bidi="ar-QA"/>
        </w:rPr>
        <w:t>’</w:t>
      </w:r>
      <w:r w:rsidRPr="00CE611F">
        <w:rPr>
          <w:lang w:bidi="ar-QA"/>
        </w:rPr>
        <w:t>efforce d</w:t>
      </w:r>
      <w:r>
        <w:rPr>
          <w:lang w:bidi="ar-QA"/>
        </w:rPr>
        <w:t>’</w:t>
      </w:r>
      <w:r w:rsidRPr="00CE611F">
        <w:rPr>
          <w:lang w:bidi="ar-QA"/>
        </w:rPr>
        <w:t>appliquer tous les accords, traités et instruments internationaux auxquels il est partie ».</w:t>
      </w:r>
    </w:p>
    <w:p w14:paraId="0D11A542" w14:textId="77777777" w:rsidR="009E4C76" w:rsidRPr="00CE611F" w:rsidRDefault="009E4C76" w:rsidP="005D0B7C">
      <w:pPr>
        <w:pStyle w:val="SingleTxtG"/>
        <w:rPr>
          <w:rtl/>
          <w:lang w:bidi="fr-FR"/>
        </w:rPr>
      </w:pPr>
      <w:r w:rsidRPr="00CE611F">
        <w:rPr>
          <w:lang w:bidi="ar-QA"/>
        </w:rPr>
        <w:t>99.</w:t>
      </w:r>
      <w:r w:rsidRPr="00CE611F">
        <w:rPr>
          <w:lang w:bidi="ar-QA"/>
        </w:rPr>
        <w:tab/>
        <w:t>Outre la protection constitutionnelle précitée, il existe de nombreuses lois consacrant le principe de non-discrimination, parmi lesquelles les suivantes :</w:t>
      </w:r>
    </w:p>
    <w:p w14:paraId="78FD914A" w14:textId="77777777" w:rsidR="009E4C76" w:rsidRPr="00CE611F" w:rsidRDefault="00E118B6" w:rsidP="00E118B6">
      <w:pPr>
        <w:pStyle w:val="Bullet1G"/>
        <w:rPr>
          <w:lang w:val="fr-FR" w:bidi="ar-QA"/>
        </w:rPr>
      </w:pPr>
      <w:r>
        <w:rPr>
          <w:lang w:val="fr-FR" w:bidi="ar-QA"/>
        </w:rPr>
        <w:t>L</w:t>
      </w:r>
      <w:r w:rsidR="009E4C76" w:rsidRPr="00CE611F">
        <w:rPr>
          <w:lang w:val="fr-FR" w:bidi="ar-QA"/>
        </w:rPr>
        <w:t xml:space="preserve">a loi </w:t>
      </w:r>
      <w:r>
        <w:rPr>
          <w:lang w:val="fr-FR" w:bidi="ar-QA"/>
        </w:rPr>
        <w:t>n</w:t>
      </w:r>
      <w:r w:rsidRPr="00D52183">
        <w:rPr>
          <w:vertAlign w:val="superscript"/>
          <w:lang w:val="fr-FR" w:bidi="ar-QA"/>
        </w:rPr>
        <w:t>o</w:t>
      </w:r>
      <w:r>
        <w:rPr>
          <w:lang w:val="fr-FR" w:bidi="ar-QA"/>
        </w:rPr>
        <w:t> </w:t>
      </w:r>
      <w:r w:rsidR="009E4C76" w:rsidRPr="00CE611F">
        <w:rPr>
          <w:lang w:val="fr-FR" w:bidi="ar-QA"/>
        </w:rPr>
        <w:t>8 de 1979 relative à l</w:t>
      </w:r>
      <w:r w:rsidR="009E4C76">
        <w:rPr>
          <w:lang w:val="fr-FR" w:bidi="ar-QA"/>
        </w:rPr>
        <w:t>’</w:t>
      </w:r>
      <w:r w:rsidR="009E4C76" w:rsidRPr="00CE611F">
        <w:rPr>
          <w:lang w:val="fr-FR" w:bidi="ar-QA"/>
        </w:rPr>
        <w:t>édition et aux publications ;</w:t>
      </w:r>
    </w:p>
    <w:p w14:paraId="32BBCC8E" w14:textId="77777777" w:rsidR="009E4C76" w:rsidRPr="00CE611F" w:rsidRDefault="00E118B6" w:rsidP="00E118B6">
      <w:pPr>
        <w:pStyle w:val="Bullet1G"/>
        <w:rPr>
          <w:rtl/>
          <w:lang w:val="fr-FR" w:bidi="fr-FR"/>
        </w:rPr>
      </w:pPr>
      <w:r>
        <w:rPr>
          <w:lang w:val="fr-FR" w:bidi="ar-QA"/>
        </w:rPr>
        <w:t>L</w:t>
      </w:r>
      <w:r w:rsidR="009E4C76" w:rsidRPr="00CE611F">
        <w:rPr>
          <w:lang w:val="fr-FR" w:bidi="ar-QA"/>
        </w:rPr>
        <w:t xml:space="preserve">a loi </w:t>
      </w:r>
      <w:r>
        <w:rPr>
          <w:lang w:val="fr-FR" w:bidi="ar-QA"/>
        </w:rPr>
        <w:t>n</w:t>
      </w:r>
      <w:r w:rsidRPr="00D52183">
        <w:rPr>
          <w:vertAlign w:val="superscript"/>
          <w:lang w:val="fr-FR" w:bidi="ar-QA"/>
        </w:rPr>
        <w:t>o</w:t>
      </w:r>
      <w:r>
        <w:rPr>
          <w:lang w:val="fr-FR" w:bidi="ar-QA"/>
        </w:rPr>
        <w:t> </w:t>
      </w:r>
      <w:r w:rsidR="009E4C76" w:rsidRPr="00CE611F">
        <w:rPr>
          <w:lang w:val="fr-FR" w:bidi="ar-QA"/>
        </w:rPr>
        <w:t>13 de 1993 portant promulgation du Code de procédure civile et commerciale ;</w:t>
      </w:r>
    </w:p>
    <w:p w14:paraId="69A3230C" w14:textId="77777777" w:rsidR="009E4C76" w:rsidRPr="00CE611F" w:rsidRDefault="009E4C76" w:rsidP="00E118B6">
      <w:pPr>
        <w:pStyle w:val="Bullet1G"/>
        <w:rPr>
          <w:rtl/>
          <w:lang w:val="fr-FR" w:bidi="fr-FR"/>
        </w:rPr>
      </w:pPr>
      <w:r w:rsidRPr="00CE611F">
        <w:rPr>
          <w:lang w:val="fr-FR" w:bidi="ar-QA"/>
        </w:rPr>
        <w:t xml:space="preserve">La loi </w:t>
      </w:r>
      <w:r w:rsidR="00E118B6">
        <w:rPr>
          <w:lang w:val="fr-FR" w:bidi="ar-QA"/>
        </w:rPr>
        <w:t>n</w:t>
      </w:r>
      <w:r w:rsidR="00E118B6" w:rsidRPr="00D52183">
        <w:rPr>
          <w:vertAlign w:val="superscript"/>
          <w:lang w:val="fr-FR" w:bidi="ar-QA"/>
        </w:rPr>
        <w:t>o</w:t>
      </w:r>
      <w:r w:rsidR="00E118B6">
        <w:rPr>
          <w:lang w:val="fr-FR" w:bidi="ar-QA"/>
        </w:rPr>
        <w:t> </w:t>
      </w:r>
      <w:r w:rsidRPr="00CE611F">
        <w:rPr>
          <w:lang w:val="fr-FR" w:bidi="ar-QA"/>
        </w:rPr>
        <w:t>14 de 2004 promulguant le Code du travail, tel que modifié ;</w:t>
      </w:r>
    </w:p>
    <w:p w14:paraId="32847DCB" w14:textId="77777777" w:rsidR="009E4C76" w:rsidRPr="00CE611F" w:rsidRDefault="00E118B6" w:rsidP="00E118B6">
      <w:pPr>
        <w:pStyle w:val="Bullet1G"/>
        <w:rPr>
          <w:rtl/>
          <w:lang w:val="fr-FR" w:bidi="fr-FR"/>
        </w:rPr>
      </w:pPr>
      <w:r>
        <w:rPr>
          <w:lang w:val="fr-FR" w:bidi="ar-QA"/>
        </w:rPr>
        <w:t>L</w:t>
      </w:r>
      <w:r w:rsidR="009E4C76" w:rsidRPr="00CE611F">
        <w:rPr>
          <w:lang w:val="fr-FR" w:bidi="ar-QA"/>
        </w:rPr>
        <w:t xml:space="preserve">a loi </w:t>
      </w:r>
      <w:r>
        <w:rPr>
          <w:lang w:val="fr-FR" w:bidi="ar-QA"/>
        </w:rPr>
        <w:t>n</w:t>
      </w:r>
      <w:r w:rsidRPr="00D52183">
        <w:rPr>
          <w:vertAlign w:val="superscript"/>
          <w:lang w:val="fr-FR" w:bidi="ar-QA"/>
        </w:rPr>
        <w:t>o</w:t>
      </w:r>
      <w:r>
        <w:rPr>
          <w:lang w:val="fr-FR" w:bidi="ar-QA"/>
        </w:rPr>
        <w:t> </w:t>
      </w:r>
      <w:r w:rsidR="009E4C76" w:rsidRPr="00CE611F">
        <w:rPr>
          <w:lang w:val="fr-FR" w:bidi="ar-QA"/>
        </w:rPr>
        <w:t>23 de 2004 portant promulgation du Code de procédure pénale, qui s</w:t>
      </w:r>
      <w:r w:rsidR="009E4C76">
        <w:rPr>
          <w:lang w:val="fr-FR" w:bidi="ar-QA"/>
        </w:rPr>
        <w:t>’</w:t>
      </w:r>
      <w:r w:rsidR="009E4C76" w:rsidRPr="00CE611F">
        <w:rPr>
          <w:lang w:val="fr-FR" w:bidi="ar-QA"/>
        </w:rPr>
        <w:t>applique de manière identique à tous les citoyens vivant sur le territoire de l</w:t>
      </w:r>
      <w:r w:rsidR="009E4C76">
        <w:rPr>
          <w:lang w:val="fr-FR" w:bidi="ar-QA"/>
        </w:rPr>
        <w:t>’</w:t>
      </w:r>
      <w:r w:rsidR="009E4C76" w:rsidRPr="00CE611F">
        <w:rPr>
          <w:lang w:val="fr-FR" w:bidi="ar-QA"/>
        </w:rPr>
        <w:t>État, qu</w:t>
      </w:r>
      <w:r w:rsidR="009E4C76">
        <w:rPr>
          <w:lang w:val="fr-FR" w:bidi="ar-QA"/>
        </w:rPr>
        <w:t>’</w:t>
      </w:r>
      <w:r w:rsidR="009E4C76" w:rsidRPr="00CE611F">
        <w:rPr>
          <w:lang w:val="fr-FR" w:bidi="ar-QA"/>
        </w:rPr>
        <w:t>il s</w:t>
      </w:r>
      <w:r w:rsidR="009E4C76">
        <w:rPr>
          <w:lang w:val="fr-FR" w:bidi="ar-QA"/>
        </w:rPr>
        <w:t>’</w:t>
      </w:r>
      <w:r w:rsidR="009E4C76" w:rsidRPr="00CE611F">
        <w:rPr>
          <w:lang w:val="fr-FR" w:bidi="ar-QA"/>
        </w:rPr>
        <w:t>agisse de ressortissants ou de résidents, dans le cadre des poursuites pénales, de la collecte des éléments de preuve, des enquêtes, des procès et de l</w:t>
      </w:r>
      <w:r w:rsidR="009E4C76">
        <w:rPr>
          <w:lang w:val="fr-FR" w:bidi="ar-QA"/>
        </w:rPr>
        <w:t>’</w:t>
      </w:r>
      <w:r w:rsidR="009E4C76" w:rsidRPr="00CE611F">
        <w:rPr>
          <w:lang w:val="fr-FR" w:bidi="ar-QA"/>
        </w:rPr>
        <w:t>exécution des peines, sans distinction ou discrimination d</w:t>
      </w:r>
      <w:r w:rsidR="009E4C76">
        <w:rPr>
          <w:lang w:val="fr-FR" w:bidi="ar-QA"/>
        </w:rPr>
        <w:t>’</w:t>
      </w:r>
      <w:r w:rsidR="009E4C76" w:rsidRPr="00CE611F">
        <w:rPr>
          <w:lang w:val="fr-FR" w:bidi="ar-QA"/>
        </w:rPr>
        <w:t>aucune sorte ;</w:t>
      </w:r>
    </w:p>
    <w:p w14:paraId="1FDAA6F2" w14:textId="77777777" w:rsidR="009E4C76" w:rsidRPr="00CE611F" w:rsidRDefault="00E118B6" w:rsidP="00E118B6">
      <w:pPr>
        <w:pStyle w:val="Bullet1G"/>
        <w:rPr>
          <w:rtl/>
          <w:lang w:val="fr-FR" w:bidi="fr-FR"/>
        </w:rPr>
      </w:pPr>
      <w:r>
        <w:rPr>
          <w:lang w:val="fr-FR" w:bidi="ar-QA"/>
        </w:rPr>
        <w:t>L</w:t>
      </w:r>
      <w:r w:rsidR="009E4C76" w:rsidRPr="00CE611F">
        <w:rPr>
          <w:lang w:val="fr-FR" w:bidi="ar-QA"/>
        </w:rPr>
        <w:t xml:space="preserve">e Code civil, promulgué par la loi </w:t>
      </w:r>
      <w:r>
        <w:rPr>
          <w:lang w:val="fr-FR" w:bidi="ar-QA"/>
        </w:rPr>
        <w:t>n</w:t>
      </w:r>
      <w:r w:rsidRPr="00D52183">
        <w:rPr>
          <w:vertAlign w:val="superscript"/>
          <w:lang w:val="fr-FR" w:bidi="ar-QA"/>
        </w:rPr>
        <w:t>o</w:t>
      </w:r>
      <w:r>
        <w:rPr>
          <w:lang w:val="fr-FR" w:bidi="ar-QA"/>
        </w:rPr>
        <w:t> </w:t>
      </w:r>
      <w:r w:rsidR="009E4C76" w:rsidRPr="00CE611F">
        <w:rPr>
          <w:lang w:val="fr-FR" w:bidi="ar-QA"/>
        </w:rPr>
        <w:t>22 de 2004, qui ne pas fait de distinction entre les citoyens et les résidents en matière de droits civils ;</w:t>
      </w:r>
    </w:p>
    <w:p w14:paraId="22434F5B" w14:textId="77777777" w:rsidR="009E4C76" w:rsidRPr="00CE611F" w:rsidRDefault="00E118B6" w:rsidP="00E118B6">
      <w:pPr>
        <w:pStyle w:val="Bullet1G"/>
        <w:rPr>
          <w:rtl/>
          <w:lang w:val="fr-FR" w:bidi="fr-FR"/>
        </w:rPr>
      </w:pPr>
      <w:r>
        <w:rPr>
          <w:lang w:val="fr-FR" w:bidi="ar-QA"/>
        </w:rPr>
        <w:t>L</w:t>
      </w:r>
      <w:r w:rsidR="009E4C76" w:rsidRPr="00CE611F">
        <w:rPr>
          <w:lang w:val="fr-FR" w:bidi="ar-QA"/>
        </w:rPr>
        <w:t xml:space="preserve">e Code de la famille promulgué par la loi </w:t>
      </w:r>
      <w:r>
        <w:rPr>
          <w:lang w:val="fr-FR" w:bidi="ar-QA"/>
        </w:rPr>
        <w:t>n</w:t>
      </w:r>
      <w:r w:rsidRPr="00D52183">
        <w:rPr>
          <w:vertAlign w:val="superscript"/>
          <w:lang w:val="fr-FR" w:bidi="ar-QA"/>
        </w:rPr>
        <w:t>o</w:t>
      </w:r>
      <w:r>
        <w:rPr>
          <w:lang w:val="fr-FR" w:bidi="ar-QA"/>
        </w:rPr>
        <w:t> </w:t>
      </w:r>
      <w:r w:rsidR="009E4C76" w:rsidRPr="00CE611F">
        <w:rPr>
          <w:lang w:val="fr-FR" w:bidi="ar-QA"/>
        </w:rPr>
        <w:t>22 de 2006 ;</w:t>
      </w:r>
    </w:p>
    <w:p w14:paraId="0B482DCE" w14:textId="77777777" w:rsidR="009E4C76" w:rsidRPr="00CE611F" w:rsidRDefault="00E118B6" w:rsidP="00E118B6">
      <w:pPr>
        <w:pStyle w:val="Bullet1G"/>
        <w:rPr>
          <w:lang w:val="fr-FR" w:bidi="ar-QA"/>
        </w:rPr>
      </w:pPr>
      <w:r>
        <w:rPr>
          <w:lang w:val="fr-FR" w:bidi="ar-QA"/>
        </w:rPr>
        <w:t>L</w:t>
      </w:r>
      <w:r w:rsidR="009E4C76" w:rsidRPr="00CE611F">
        <w:rPr>
          <w:lang w:val="fr-FR" w:bidi="ar-QA"/>
        </w:rPr>
        <w:t xml:space="preserve">a loi </w:t>
      </w:r>
      <w:r>
        <w:rPr>
          <w:lang w:val="fr-FR" w:bidi="ar-QA"/>
        </w:rPr>
        <w:t>n</w:t>
      </w:r>
      <w:r w:rsidRPr="00D52183">
        <w:rPr>
          <w:vertAlign w:val="superscript"/>
          <w:lang w:val="fr-FR" w:bidi="ar-QA"/>
        </w:rPr>
        <w:t>o</w:t>
      </w:r>
      <w:r>
        <w:rPr>
          <w:lang w:val="fr-FR" w:bidi="ar-QA"/>
        </w:rPr>
        <w:t> </w:t>
      </w:r>
      <w:r w:rsidR="009E4C76" w:rsidRPr="00CE611F">
        <w:rPr>
          <w:lang w:val="fr-FR" w:bidi="ar-QA"/>
        </w:rPr>
        <w:t>7 de 2007 sur le contentieux administratif ;</w:t>
      </w:r>
    </w:p>
    <w:p w14:paraId="6B11DFD8" w14:textId="77777777" w:rsidR="009E4C76" w:rsidRPr="00CE611F" w:rsidRDefault="00E118B6" w:rsidP="00E118B6">
      <w:pPr>
        <w:pStyle w:val="Bullet1G"/>
        <w:rPr>
          <w:lang w:val="fr-FR" w:bidi="ar-QA"/>
        </w:rPr>
      </w:pPr>
      <w:r>
        <w:rPr>
          <w:lang w:val="fr-FR" w:bidi="ar-QA"/>
        </w:rPr>
        <w:t>L</w:t>
      </w:r>
      <w:r w:rsidR="009E4C76" w:rsidRPr="00CE611F">
        <w:rPr>
          <w:lang w:val="fr-FR" w:bidi="ar-QA"/>
        </w:rPr>
        <w:t xml:space="preserve">a loi </w:t>
      </w:r>
      <w:r>
        <w:rPr>
          <w:lang w:val="fr-FR" w:bidi="ar-QA"/>
        </w:rPr>
        <w:t>n</w:t>
      </w:r>
      <w:r w:rsidRPr="00D52183">
        <w:rPr>
          <w:vertAlign w:val="superscript"/>
          <w:lang w:val="fr-FR" w:bidi="ar-QA"/>
        </w:rPr>
        <w:t>o</w:t>
      </w:r>
      <w:r>
        <w:rPr>
          <w:lang w:val="fr-FR" w:bidi="ar-QA"/>
        </w:rPr>
        <w:t> </w:t>
      </w:r>
      <w:r w:rsidR="009E4C76" w:rsidRPr="00CE611F">
        <w:rPr>
          <w:lang w:val="fr-FR" w:bidi="ar-QA"/>
        </w:rPr>
        <w:t>12 de 2008 portant création de la Cour suprême constitutionnelle ;</w:t>
      </w:r>
    </w:p>
    <w:p w14:paraId="27C56186" w14:textId="77777777" w:rsidR="009E4C76" w:rsidRPr="00CE611F" w:rsidRDefault="00E118B6" w:rsidP="00E118B6">
      <w:pPr>
        <w:pStyle w:val="Bullet1G"/>
        <w:rPr>
          <w:lang w:val="fr-FR" w:bidi="ar-QA"/>
        </w:rPr>
      </w:pPr>
      <w:r>
        <w:rPr>
          <w:lang w:val="fr-FR" w:bidi="ar-QA"/>
        </w:rPr>
        <w:t>L</w:t>
      </w:r>
      <w:r w:rsidR="009E4C76" w:rsidRPr="00CE611F">
        <w:rPr>
          <w:lang w:val="fr-FR" w:bidi="ar-QA"/>
        </w:rPr>
        <w:t xml:space="preserve">a loi </w:t>
      </w:r>
      <w:r>
        <w:rPr>
          <w:lang w:val="fr-FR" w:bidi="ar-QA"/>
        </w:rPr>
        <w:t>n</w:t>
      </w:r>
      <w:r w:rsidRPr="00D52183">
        <w:rPr>
          <w:vertAlign w:val="superscript"/>
          <w:lang w:val="fr-FR" w:bidi="ar-QA"/>
        </w:rPr>
        <w:t>o</w:t>
      </w:r>
      <w:r>
        <w:rPr>
          <w:lang w:val="fr-FR" w:bidi="ar-QA"/>
        </w:rPr>
        <w:t> </w:t>
      </w:r>
      <w:r w:rsidR="009E4C76" w:rsidRPr="00CE611F">
        <w:rPr>
          <w:lang w:val="fr-FR" w:bidi="ar-QA"/>
        </w:rPr>
        <w:t>19 de 2008 relative à la détermination du « prix du sang » ;</w:t>
      </w:r>
    </w:p>
    <w:p w14:paraId="5A3B157D" w14:textId="77777777" w:rsidR="009E4C76" w:rsidRPr="00CE611F" w:rsidRDefault="00E118B6" w:rsidP="00E118B6">
      <w:pPr>
        <w:pStyle w:val="Bullet1G"/>
        <w:rPr>
          <w:lang w:val="fr-FR" w:bidi="fr-FR"/>
        </w:rPr>
      </w:pPr>
      <w:r>
        <w:rPr>
          <w:lang w:val="fr-FR" w:bidi="ar-QA"/>
        </w:rPr>
        <w:t>L</w:t>
      </w:r>
      <w:r w:rsidR="009E4C76" w:rsidRPr="00CE611F">
        <w:rPr>
          <w:lang w:val="fr-FR" w:bidi="ar-QA"/>
        </w:rPr>
        <w:t xml:space="preserve">a loi </w:t>
      </w:r>
      <w:r>
        <w:rPr>
          <w:lang w:val="fr-FR" w:bidi="ar-QA"/>
        </w:rPr>
        <w:t>n</w:t>
      </w:r>
      <w:r w:rsidRPr="00D52183">
        <w:rPr>
          <w:vertAlign w:val="superscript"/>
          <w:lang w:val="fr-FR" w:bidi="ar-QA"/>
        </w:rPr>
        <w:t>o</w:t>
      </w:r>
      <w:r>
        <w:rPr>
          <w:lang w:val="fr-FR" w:bidi="ar-QA"/>
        </w:rPr>
        <w:t> </w:t>
      </w:r>
      <w:r w:rsidR="009E4C76" w:rsidRPr="00CE611F">
        <w:rPr>
          <w:lang w:val="fr-FR" w:bidi="ar-QA"/>
        </w:rPr>
        <w:t xml:space="preserve">8 de 2010 portant modification du Code pénal promulgué par la loi </w:t>
      </w:r>
      <w:r>
        <w:rPr>
          <w:lang w:val="fr-FR" w:bidi="ar-QA"/>
        </w:rPr>
        <w:t>n</w:t>
      </w:r>
      <w:r w:rsidRPr="00D52183">
        <w:rPr>
          <w:vertAlign w:val="superscript"/>
          <w:lang w:val="fr-FR" w:bidi="ar-QA"/>
        </w:rPr>
        <w:t>o</w:t>
      </w:r>
      <w:r>
        <w:rPr>
          <w:lang w:val="fr-FR" w:bidi="ar-QA"/>
        </w:rPr>
        <w:t> </w:t>
      </w:r>
      <w:r w:rsidR="009E4C76" w:rsidRPr="00CE611F">
        <w:rPr>
          <w:lang w:val="fr-FR" w:bidi="ar-QA"/>
        </w:rPr>
        <w:t>11 de</w:t>
      </w:r>
      <w:r>
        <w:rPr>
          <w:lang w:val="fr-FR" w:bidi="ar-QA"/>
        </w:rPr>
        <w:t> </w:t>
      </w:r>
      <w:r w:rsidR="009E4C76" w:rsidRPr="00CE611F">
        <w:rPr>
          <w:lang w:val="fr-FR" w:bidi="ar-QA"/>
        </w:rPr>
        <w:t>2004 ;</w:t>
      </w:r>
    </w:p>
    <w:p w14:paraId="27B44503" w14:textId="77777777" w:rsidR="009E4C76" w:rsidRPr="00CE611F" w:rsidRDefault="00E118B6" w:rsidP="00E118B6">
      <w:pPr>
        <w:pStyle w:val="Bullet1G"/>
        <w:rPr>
          <w:rtl/>
          <w:lang w:val="fr-FR" w:bidi="fr-FR"/>
        </w:rPr>
      </w:pPr>
      <w:r>
        <w:rPr>
          <w:lang w:val="fr-FR" w:bidi="ar-QA"/>
        </w:rPr>
        <w:t>L</w:t>
      </w:r>
      <w:r w:rsidR="009E4C76" w:rsidRPr="00CE611F">
        <w:rPr>
          <w:lang w:val="fr-FR" w:bidi="ar-QA"/>
        </w:rPr>
        <w:t xml:space="preserve">a loi </w:t>
      </w:r>
      <w:r>
        <w:rPr>
          <w:lang w:val="fr-FR" w:bidi="ar-QA"/>
        </w:rPr>
        <w:t>n</w:t>
      </w:r>
      <w:r w:rsidRPr="00D52183">
        <w:rPr>
          <w:vertAlign w:val="superscript"/>
          <w:lang w:val="fr-FR" w:bidi="ar-QA"/>
        </w:rPr>
        <w:t>o</w:t>
      </w:r>
      <w:r>
        <w:rPr>
          <w:lang w:val="fr-FR" w:bidi="ar-QA"/>
        </w:rPr>
        <w:t> </w:t>
      </w:r>
      <w:r w:rsidR="009E4C76" w:rsidRPr="00CE611F">
        <w:rPr>
          <w:lang w:val="fr-FR" w:bidi="ar-QA"/>
        </w:rPr>
        <w:t>15 de 2011 relative à la lutte contre la traite des êtres humains ;</w:t>
      </w:r>
    </w:p>
    <w:p w14:paraId="49C84D72" w14:textId="77777777" w:rsidR="009E4C76" w:rsidRPr="00CE611F" w:rsidRDefault="00E118B6" w:rsidP="00E118B6">
      <w:pPr>
        <w:pStyle w:val="Bullet1G"/>
        <w:rPr>
          <w:lang w:val="fr-FR" w:bidi="ar-QA"/>
        </w:rPr>
      </w:pPr>
      <w:r>
        <w:rPr>
          <w:lang w:val="fr-FR" w:bidi="ar-QA"/>
        </w:rPr>
        <w:t>L</w:t>
      </w:r>
      <w:r w:rsidR="009E4C76" w:rsidRPr="00CE611F">
        <w:rPr>
          <w:lang w:val="fr-FR" w:bidi="ar-QA"/>
        </w:rPr>
        <w:t xml:space="preserve">a loi </w:t>
      </w:r>
      <w:r>
        <w:rPr>
          <w:lang w:val="fr-FR" w:bidi="ar-QA"/>
        </w:rPr>
        <w:t>n</w:t>
      </w:r>
      <w:r w:rsidRPr="00D52183">
        <w:rPr>
          <w:vertAlign w:val="superscript"/>
          <w:lang w:val="fr-FR" w:bidi="ar-QA"/>
        </w:rPr>
        <w:t>o</w:t>
      </w:r>
      <w:r>
        <w:rPr>
          <w:lang w:val="fr-FR" w:bidi="ar-QA"/>
        </w:rPr>
        <w:t> </w:t>
      </w:r>
      <w:r w:rsidR="009E4C76" w:rsidRPr="00CE611F">
        <w:rPr>
          <w:lang w:val="fr-FR" w:bidi="ar-QA"/>
        </w:rPr>
        <w:t>14 de 2014 sur la lutte contre la cybercriminalité ;</w:t>
      </w:r>
    </w:p>
    <w:p w14:paraId="244FE196" w14:textId="77777777" w:rsidR="009E4C76" w:rsidRPr="00E118B6" w:rsidRDefault="009E4C76" w:rsidP="00E118B6">
      <w:pPr>
        <w:pStyle w:val="Bullet1G"/>
        <w:rPr>
          <w:spacing w:val="-1"/>
          <w:lang w:val="fr-FR" w:bidi="ar-QA"/>
        </w:rPr>
      </w:pPr>
      <w:r w:rsidRPr="00E118B6">
        <w:rPr>
          <w:spacing w:val="-1"/>
          <w:lang w:val="fr-FR" w:bidi="ar-QA"/>
        </w:rPr>
        <w:t xml:space="preserve">La loi </w:t>
      </w:r>
      <w:r w:rsidR="00E118B6" w:rsidRPr="00E118B6">
        <w:rPr>
          <w:spacing w:val="-1"/>
          <w:lang w:val="fr-FR" w:bidi="ar-QA"/>
        </w:rPr>
        <w:t>n</w:t>
      </w:r>
      <w:r w:rsidR="00E118B6" w:rsidRPr="00E118B6">
        <w:rPr>
          <w:spacing w:val="-1"/>
          <w:vertAlign w:val="superscript"/>
          <w:lang w:val="fr-FR" w:bidi="ar-QA"/>
        </w:rPr>
        <w:t>o</w:t>
      </w:r>
      <w:r w:rsidR="00E118B6" w:rsidRPr="00E118B6">
        <w:rPr>
          <w:spacing w:val="-1"/>
          <w:lang w:val="fr-FR" w:bidi="ar-QA"/>
        </w:rPr>
        <w:t> </w:t>
      </w:r>
      <w:r w:rsidRPr="00E118B6">
        <w:rPr>
          <w:spacing w:val="-1"/>
          <w:lang w:val="fr-FR" w:bidi="ar-QA"/>
        </w:rPr>
        <w:t>21 de 2015 régissant l’entrée, la sortie et le séjour des travailleurs migrants ;</w:t>
      </w:r>
    </w:p>
    <w:p w14:paraId="278E02CC" w14:textId="77777777" w:rsidR="009E4C76" w:rsidRPr="00CE611F" w:rsidRDefault="00E118B6" w:rsidP="00E118B6">
      <w:pPr>
        <w:pStyle w:val="Bullet1G"/>
        <w:rPr>
          <w:lang w:val="fr-FR" w:bidi="ar-QA"/>
        </w:rPr>
      </w:pPr>
      <w:r>
        <w:rPr>
          <w:lang w:val="fr-FR" w:bidi="ar-QA"/>
        </w:rPr>
        <w:t>L</w:t>
      </w:r>
      <w:r w:rsidR="009E4C76" w:rsidRPr="00CE611F">
        <w:rPr>
          <w:lang w:val="fr-FR" w:bidi="ar-QA"/>
        </w:rPr>
        <w:t xml:space="preserve">a loi </w:t>
      </w:r>
      <w:r>
        <w:rPr>
          <w:lang w:val="fr-FR" w:bidi="ar-QA"/>
        </w:rPr>
        <w:t>n</w:t>
      </w:r>
      <w:r w:rsidRPr="00D52183">
        <w:rPr>
          <w:vertAlign w:val="superscript"/>
          <w:lang w:val="fr-FR" w:bidi="ar-QA"/>
        </w:rPr>
        <w:t>o</w:t>
      </w:r>
      <w:r>
        <w:rPr>
          <w:lang w:val="fr-FR" w:bidi="ar-QA"/>
        </w:rPr>
        <w:t> </w:t>
      </w:r>
      <w:r w:rsidR="009E4C76" w:rsidRPr="00CE611F">
        <w:rPr>
          <w:lang w:val="fr-FR" w:bidi="ar-QA"/>
        </w:rPr>
        <w:t>13 de 2016 relative à la protection de la confidentialité des données personnelles.</w:t>
      </w:r>
    </w:p>
    <w:p w14:paraId="0E0E14A5" w14:textId="77777777" w:rsidR="009E4C76" w:rsidRPr="00CE611F" w:rsidRDefault="009E4C76" w:rsidP="005D0B7C">
      <w:pPr>
        <w:pStyle w:val="SingleTxtG"/>
        <w:rPr>
          <w:rtl/>
          <w:lang w:bidi="fr-FR"/>
        </w:rPr>
      </w:pPr>
      <w:r w:rsidRPr="00CE611F">
        <w:rPr>
          <w:lang w:bidi="ar-QA"/>
        </w:rPr>
        <w:t>100.</w:t>
      </w:r>
      <w:r w:rsidR="00E118B6">
        <w:rPr>
          <w:lang w:bidi="ar-QA"/>
        </w:rPr>
        <w:tab/>
      </w:r>
      <w:r w:rsidRPr="00CE611F">
        <w:rPr>
          <w:lang w:bidi="ar-QA"/>
        </w:rPr>
        <w:t xml:space="preserve">La loi </w:t>
      </w:r>
      <w:r w:rsidR="00E118B6">
        <w:rPr>
          <w:lang w:val="fr-FR" w:bidi="ar-QA"/>
        </w:rPr>
        <w:t>n</w:t>
      </w:r>
      <w:r w:rsidR="00E118B6" w:rsidRPr="00D52183">
        <w:rPr>
          <w:vertAlign w:val="superscript"/>
          <w:lang w:val="fr-FR" w:bidi="ar-QA"/>
        </w:rPr>
        <w:t>o</w:t>
      </w:r>
      <w:r w:rsidR="00E118B6">
        <w:rPr>
          <w:lang w:val="fr-FR" w:bidi="ar-QA"/>
        </w:rPr>
        <w:t> </w:t>
      </w:r>
      <w:r w:rsidRPr="00CE611F">
        <w:rPr>
          <w:lang w:bidi="ar-QA"/>
        </w:rPr>
        <w:t>15 de 2016 relative aux ressources humaines dans la fonction publique consacre les principes de non-discrimination et d</w:t>
      </w:r>
      <w:r>
        <w:rPr>
          <w:lang w:bidi="ar-QA"/>
        </w:rPr>
        <w:t>’</w:t>
      </w:r>
      <w:r w:rsidRPr="00CE611F">
        <w:rPr>
          <w:lang w:bidi="ar-QA"/>
        </w:rPr>
        <w:t>égalité des fonctionnaires en droits et devoirs</w:t>
      </w:r>
      <w:r w:rsidR="00E118B6">
        <w:rPr>
          <w:lang w:bidi="ar-QA"/>
        </w:rPr>
        <w:t>.</w:t>
      </w:r>
    </w:p>
    <w:p w14:paraId="4D3AAAD3" w14:textId="77777777" w:rsidR="009E4C76" w:rsidRPr="00CE611F" w:rsidRDefault="009E4C76" w:rsidP="006D6C0C">
      <w:pPr>
        <w:pStyle w:val="SingleTxtG"/>
        <w:keepNext/>
        <w:keepLines/>
        <w:rPr>
          <w:rtl/>
          <w:lang w:bidi="fr-FR"/>
        </w:rPr>
      </w:pPr>
      <w:r w:rsidRPr="00CE611F">
        <w:rPr>
          <w:lang w:bidi="ar-QA"/>
        </w:rPr>
        <w:t>101.</w:t>
      </w:r>
      <w:r w:rsidRPr="00CE611F">
        <w:rPr>
          <w:lang w:bidi="ar-QA"/>
        </w:rPr>
        <w:tab/>
        <w:t>La législation nationale veille à éliminer tout ce qui serait susceptible de justifier ou de favoriser le racisme ou les pratiques discriminatoires. Ainsi, l</w:t>
      </w:r>
      <w:r>
        <w:rPr>
          <w:lang w:bidi="ar-QA"/>
        </w:rPr>
        <w:t>’</w:t>
      </w:r>
      <w:r w:rsidRPr="00CE611F">
        <w:rPr>
          <w:lang w:bidi="ar-QA"/>
        </w:rPr>
        <w:t>article</w:t>
      </w:r>
      <w:r w:rsidR="0048413B">
        <w:rPr>
          <w:lang w:bidi="ar-QA"/>
        </w:rPr>
        <w:t> </w:t>
      </w:r>
      <w:r w:rsidRPr="00CE611F">
        <w:rPr>
          <w:lang w:bidi="ar-QA"/>
        </w:rPr>
        <w:t xml:space="preserve">47 de la loi </w:t>
      </w:r>
      <w:r w:rsidR="0048413B">
        <w:rPr>
          <w:lang w:val="fr-FR" w:bidi="ar-QA"/>
        </w:rPr>
        <w:t>n</w:t>
      </w:r>
      <w:r w:rsidR="0048413B" w:rsidRPr="00D52183">
        <w:rPr>
          <w:vertAlign w:val="superscript"/>
          <w:lang w:val="fr-FR" w:bidi="ar-QA"/>
        </w:rPr>
        <w:t>o</w:t>
      </w:r>
      <w:r w:rsidR="0048413B">
        <w:rPr>
          <w:lang w:val="fr-FR" w:bidi="ar-QA"/>
        </w:rPr>
        <w:t> </w:t>
      </w:r>
      <w:r w:rsidRPr="00CE611F">
        <w:rPr>
          <w:lang w:bidi="ar-QA"/>
        </w:rPr>
        <w:t>8 de</w:t>
      </w:r>
      <w:r w:rsidR="0048413B">
        <w:rPr>
          <w:lang w:bidi="ar-QA"/>
        </w:rPr>
        <w:t> </w:t>
      </w:r>
      <w:r w:rsidRPr="00CE611F">
        <w:rPr>
          <w:lang w:bidi="ar-QA"/>
        </w:rPr>
        <w:t>1979 relative à l</w:t>
      </w:r>
      <w:r>
        <w:rPr>
          <w:lang w:bidi="ar-QA"/>
        </w:rPr>
        <w:t>’</w:t>
      </w:r>
      <w:r w:rsidRPr="00CE611F">
        <w:rPr>
          <w:lang w:bidi="ar-QA"/>
        </w:rPr>
        <w:t>édition et aux publications dispose ce qui suit : « Est interdite la publication de tout matériel susceptible de répandre le trouble ou la discorde au sein de la société ou de susciter des dissensions confessionnelles, raciales ou religieuses ». Selon l</w:t>
      </w:r>
      <w:r>
        <w:rPr>
          <w:lang w:bidi="ar-QA"/>
        </w:rPr>
        <w:t>’</w:t>
      </w:r>
      <w:r w:rsidRPr="00CE611F">
        <w:rPr>
          <w:lang w:bidi="ar-QA"/>
        </w:rPr>
        <w:t>article</w:t>
      </w:r>
      <w:r w:rsidR="0048413B">
        <w:rPr>
          <w:lang w:bidi="ar-QA"/>
        </w:rPr>
        <w:t> </w:t>
      </w:r>
      <w:r w:rsidRPr="00CE611F">
        <w:rPr>
          <w:lang w:bidi="ar-QA"/>
        </w:rPr>
        <w:t>47 du Code pénal, quiconque commet l</w:t>
      </w:r>
      <w:r>
        <w:rPr>
          <w:lang w:bidi="ar-QA"/>
        </w:rPr>
        <w:t>’</w:t>
      </w:r>
      <w:r w:rsidRPr="00CE611F">
        <w:rPr>
          <w:lang w:bidi="ar-QA"/>
        </w:rPr>
        <w:t>une des infractions susmentionnées encourt une peine pouvant aller jusqu</w:t>
      </w:r>
      <w:r>
        <w:rPr>
          <w:lang w:bidi="ar-QA"/>
        </w:rPr>
        <w:t>’</w:t>
      </w:r>
      <w:r w:rsidRPr="00CE611F">
        <w:rPr>
          <w:lang w:bidi="ar-QA"/>
        </w:rPr>
        <w:t>à six mois d</w:t>
      </w:r>
      <w:r>
        <w:rPr>
          <w:lang w:bidi="ar-QA"/>
        </w:rPr>
        <w:t>’</w:t>
      </w:r>
      <w:r w:rsidRPr="00CE611F">
        <w:rPr>
          <w:lang w:bidi="ar-QA"/>
        </w:rPr>
        <w:t>emprisonnement ou une amende allant jusqu</w:t>
      </w:r>
      <w:r>
        <w:rPr>
          <w:lang w:bidi="ar-QA"/>
        </w:rPr>
        <w:t>’</w:t>
      </w:r>
      <w:r w:rsidRPr="00CE611F">
        <w:rPr>
          <w:lang w:bidi="ar-QA"/>
        </w:rPr>
        <w:t>à 3</w:t>
      </w:r>
      <w:r w:rsidR="0048413B">
        <w:rPr>
          <w:lang w:bidi="ar-QA"/>
        </w:rPr>
        <w:t> </w:t>
      </w:r>
      <w:r w:rsidRPr="00CE611F">
        <w:rPr>
          <w:lang w:bidi="ar-QA"/>
        </w:rPr>
        <w:t>000</w:t>
      </w:r>
      <w:r w:rsidR="0048413B">
        <w:rPr>
          <w:lang w:bidi="ar-QA"/>
        </w:rPr>
        <w:t> </w:t>
      </w:r>
      <w:r w:rsidRPr="00CE611F">
        <w:rPr>
          <w:lang w:bidi="ar-QA"/>
        </w:rPr>
        <w:t>riyals. Selon le paragraphe</w:t>
      </w:r>
      <w:r w:rsidR="0048413B">
        <w:rPr>
          <w:lang w:bidi="ar-QA"/>
        </w:rPr>
        <w:t> </w:t>
      </w:r>
      <w:r w:rsidRPr="00CE611F">
        <w:rPr>
          <w:lang w:bidi="ar-QA"/>
        </w:rPr>
        <w:t>11 de l</w:t>
      </w:r>
      <w:r>
        <w:rPr>
          <w:lang w:bidi="ar-QA"/>
        </w:rPr>
        <w:t>’</w:t>
      </w:r>
      <w:r w:rsidRPr="00CE611F">
        <w:rPr>
          <w:lang w:bidi="ar-QA"/>
        </w:rPr>
        <w:t>article</w:t>
      </w:r>
      <w:r w:rsidR="0048413B">
        <w:rPr>
          <w:lang w:bidi="ar-QA"/>
        </w:rPr>
        <w:t> </w:t>
      </w:r>
      <w:r w:rsidRPr="00CE611F">
        <w:rPr>
          <w:lang w:bidi="ar-QA"/>
        </w:rPr>
        <w:t>2 de la décision édictée en 1992 par le</w:t>
      </w:r>
      <w:r w:rsidR="0048413B">
        <w:rPr>
          <w:lang w:bidi="ar-QA"/>
        </w:rPr>
        <w:t> </w:t>
      </w:r>
      <w:r w:rsidRPr="00CE611F">
        <w:rPr>
          <w:lang w:bidi="ar-QA"/>
        </w:rPr>
        <w:t>Ministre de l</w:t>
      </w:r>
      <w:r>
        <w:rPr>
          <w:lang w:bidi="ar-QA"/>
        </w:rPr>
        <w:t>’</w:t>
      </w:r>
      <w:r w:rsidRPr="00CE611F">
        <w:rPr>
          <w:lang w:bidi="ar-QA"/>
        </w:rPr>
        <w:t>information et de la culture, aucun service de censure de la presse écrite ou audiovisuelle dudit département ministériel ne peut autoriser la distribution, la diffusion ou la publication d</w:t>
      </w:r>
      <w:r>
        <w:rPr>
          <w:lang w:bidi="ar-QA"/>
        </w:rPr>
        <w:t>’</w:t>
      </w:r>
      <w:r w:rsidRPr="00CE611F">
        <w:rPr>
          <w:lang w:bidi="ar-QA"/>
        </w:rPr>
        <w:t>un quelconque support médiatique incluant la représentation « d</w:t>
      </w:r>
      <w:r>
        <w:rPr>
          <w:lang w:bidi="ar-QA"/>
        </w:rPr>
        <w:t>’</w:t>
      </w:r>
      <w:r w:rsidRPr="00CE611F">
        <w:rPr>
          <w:lang w:bidi="ar-QA"/>
        </w:rPr>
        <w:t>une race humaine ou d</w:t>
      </w:r>
      <w:r>
        <w:rPr>
          <w:lang w:bidi="ar-QA"/>
        </w:rPr>
        <w:t>’</w:t>
      </w:r>
      <w:r w:rsidRPr="00CE611F">
        <w:rPr>
          <w:lang w:bidi="ar-QA"/>
        </w:rPr>
        <w:t>un groupe ethnique de manière à susciter l</w:t>
      </w:r>
      <w:r>
        <w:rPr>
          <w:lang w:bidi="ar-QA"/>
        </w:rPr>
        <w:t>’</w:t>
      </w:r>
      <w:r w:rsidRPr="00CE611F">
        <w:rPr>
          <w:lang w:bidi="ar-QA"/>
        </w:rPr>
        <w:t>ironie, sauf si cela s</w:t>
      </w:r>
      <w:r>
        <w:rPr>
          <w:lang w:bidi="ar-QA"/>
        </w:rPr>
        <w:t>’</w:t>
      </w:r>
      <w:r w:rsidRPr="00CE611F">
        <w:rPr>
          <w:lang w:bidi="ar-QA"/>
        </w:rPr>
        <w:t>avère nécessaire pour donner une impression positive et servir une noble cause », comme par exemple pour lutter contre le racisme.</w:t>
      </w:r>
    </w:p>
    <w:p w14:paraId="5EB832EC" w14:textId="77777777" w:rsidR="009E4C76" w:rsidRPr="00CE611F" w:rsidRDefault="009E4C76" w:rsidP="005D0B7C">
      <w:pPr>
        <w:pStyle w:val="SingleTxtG"/>
        <w:rPr>
          <w:lang w:bidi="ar-QA"/>
        </w:rPr>
      </w:pPr>
      <w:r w:rsidRPr="00CE611F">
        <w:rPr>
          <w:lang w:bidi="ar-QA"/>
        </w:rPr>
        <w:t>102.</w:t>
      </w:r>
      <w:r w:rsidRPr="00CE611F">
        <w:rPr>
          <w:lang w:bidi="ar-QA"/>
        </w:rPr>
        <w:tab/>
        <w:t>En outre, l</w:t>
      </w:r>
      <w:r>
        <w:rPr>
          <w:lang w:bidi="ar-QA"/>
        </w:rPr>
        <w:t>’</w:t>
      </w:r>
      <w:r w:rsidRPr="00CE611F">
        <w:rPr>
          <w:lang w:bidi="ar-QA"/>
        </w:rPr>
        <w:t>article</w:t>
      </w:r>
      <w:r w:rsidR="0048413B">
        <w:rPr>
          <w:lang w:bidi="ar-QA"/>
        </w:rPr>
        <w:t> </w:t>
      </w:r>
      <w:r w:rsidRPr="00CE611F">
        <w:rPr>
          <w:lang w:bidi="ar-QA"/>
        </w:rPr>
        <w:t xml:space="preserve">256 du Code pénal qatari de 2004, tel que modifié par la loi </w:t>
      </w:r>
      <w:r w:rsidR="0048413B">
        <w:rPr>
          <w:lang w:val="fr-FR" w:bidi="ar-QA"/>
        </w:rPr>
        <w:t>n</w:t>
      </w:r>
      <w:r w:rsidR="0048413B" w:rsidRPr="00D52183">
        <w:rPr>
          <w:vertAlign w:val="superscript"/>
          <w:lang w:val="fr-FR" w:bidi="ar-QA"/>
        </w:rPr>
        <w:t>o</w:t>
      </w:r>
      <w:r w:rsidR="0048413B">
        <w:rPr>
          <w:lang w:val="fr-FR" w:bidi="ar-QA"/>
        </w:rPr>
        <w:t> </w:t>
      </w:r>
      <w:r w:rsidRPr="00CE611F">
        <w:rPr>
          <w:lang w:bidi="ar-QA"/>
        </w:rPr>
        <w:t>8 de 2010, incrimine les insultes proférées à l</w:t>
      </w:r>
      <w:r>
        <w:rPr>
          <w:lang w:bidi="ar-QA"/>
        </w:rPr>
        <w:t>’</w:t>
      </w:r>
      <w:r w:rsidRPr="00CE611F">
        <w:rPr>
          <w:lang w:bidi="ar-QA"/>
        </w:rPr>
        <w:t>égard des religions révélées et le dénigrement de Dieu et des prophètes, ainsi que les actes de vandalisme, de destruction ou de profanation des lieux de culte, en disposant explicitement ce qui suit : « Encourt jusqu</w:t>
      </w:r>
      <w:r>
        <w:rPr>
          <w:lang w:bidi="ar-QA"/>
        </w:rPr>
        <w:t>’</w:t>
      </w:r>
      <w:r w:rsidRPr="00CE611F">
        <w:rPr>
          <w:lang w:bidi="ar-QA"/>
        </w:rPr>
        <w:t>à sept ans d</w:t>
      </w:r>
      <w:r>
        <w:rPr>
          <w:lang w:bidi="ar-QA"/>
        </w:rPr>
        <w:t>’</w:t>
      </w:r>
      <w:r w:rsidRPr="00CE611F">
        <w:rPr>
          <w:lang w:bidi="ar-QA"/>
        </w:rPr>
        <w:t xml:space="preserve">emprisonnement quiconque insulte une religion révélée protégée par la charia, </w:t>
      </w:r>
      <w:r>
        <w:rPr>
          <w:lang w:bidi="ar-QA"/>
        </w:rPr>
        <w:t xml:space="preserve">commet un </w:t>
      </w:r>
      <w:r w:rsidRPr="00CE611F">
        <w:rPr>
          <w:lang w:bidi="ar-QA"/>
        </w:rPr>
        <w:t xml:space="preserve">outrage </w:t>
      </w:r>
      <w:r>
        <w:rPr>
          <w:lang w:bidi="ar-QA"/>
        </w:rPr>
        <w:t xml:space="preserve">envers </w:t>
      </w:r>
      <w:r w:rsidRPr="00CE611F">
        <w:rPr>
          <w:lang w:bidi="ar-QA"/>
        </w:rPr>
        <w:t>un prophète oralement, par écrit, en images, par gestes ou par tout autre moyen, ou encore dégrade, détruit, vandalise, profane des lieux et objets destinés à la célébration du culte de l</w:t>
      </w:r>
      <w:r>
        <w:rPr>
          <w:lang w:bidi="ar-QA"/>
        </w:rPr>
        <w:t>’</w:t>
      </w:r>
      <w:r w:rsidRPr="00CE611F">
        <w:rPr>
          <w:lang w:bidi="ar-QA"/>
        </w:rPr>
        <w:t>une des religions révélées protégées par la charia ».</w:t>
      </w:r>
    </w:p>
    <w:p w14:paraId="5B867281" w14:textId="77777777" w:rsidR="009E4C76" w:rsidRPr="00CE611F" w:rsidRDefault="009E4C76" w:rsidP="005D0B7C">
      <w:pPr>
        <w:pStyle w:val="SingleTxtG"/>
        <w:rPr>
          <w:rtl/>
          <w:lang w:bidi="fr-FR"/>
        </w:rPr>
      </w:pPr>
      <w:r w:rsidRPr="00CE611F">
        <w:rPr>
          <w:lang w:bidi="ar-QA"/>
        </w:rPr>
        <w:t>103.</w:t>
      </w:r>
      <w:r w:rsidRPr="00CE611F">
        <w:rPr>
          <w:lang w:bidi="ar-QA"/>
        </w:rPr>
        <w:tab/>
        <w:t>L</w:t>
      </w:r>
      <w:r>
        <w:rPr>
          <w:lang w:bidi="ar-QA"/>
        </w:rPr>
        <w:t>’</w:t>
      </w:r>
      <w:r w:rsidRPr="00CE611F">
        <w:rPr>
          <w:lang w:bidi="ar-QA"/>
        </w:rPr>
        <w:t>article</w:t>
      </w:r>
      <w:r w:rsidR="0048413B">
        <w:rPr>
          <w:lang w:bidi="ar-QA"/>
        </w:rPr>
        <w:t> </w:t>
      </w:r>
      <w:r w:rsidRPr="00CE611F">
        <w:rPr>
          <w:lang w:bidi="ar-QA"/>
        </w:rPr>
        <w:t>159</w:t>
      </w:r>
      <w:r w:rsidR="0048413B">
        <w:rPr>
          <w:lang w:bidi="ar-QA"/>
        </w:rPr>
        <w:t> </w:t>
      </w:r>
      <w:r w:rsidRPr="0048413B">
        <w:rPr>
          <w:i/>
          <w:lang w:bidi="ar-QA"/>
        </w:rPr>
        <w:t>bis</w:t>
      </w:r>
      <w:r w:rsidRPr="00CE611F">
        <w:rPr>
          <w:lang w:bidi="ar-QA"/>
        </w:rPr>
        <w:t xml:space="preserve"> dispose </w:t>
      </w:r>
      <w:r>
        <w:rPr>
          <w:lang w:bidi="ar-QA"/>
        </w:rPr>
        <w:t>en outre</w:t>
      </w:r>
      <w:r w:rsidRPr="00CE611F">
        <w:rPr>
          <w:lang w:bidi="ar-QA"/>
        </w:rPr>
        <w:t xml:space="preserve"> ce qui suit : « Encourt jusqu</w:t>
      </w:r>
      <w:r>
        <w:rPr>
          <w:lang w:bidi="ar-QA"/>
        </w:rPr>
        <w:t>’</w:t>
      </w:r>
      <w:r w:rsidRPr="00CE611F">
        <w:rPr>
          <w:lang w:bidi="ar-QA"/>
        </w:rPr>
        <w:t>à cinq ans d</w:t>
      </w:r>
      <w:r>
        <w:rPr>
          <w:lang w:bidi="ar-QA"/>
        </w:rPr>
        <w:t>’</w:t>
      </w:r>
      <w:r w:rsidRPr="00CE611F">
        <w:rPr>
          <w:lang w:bidi="ar-QA"/>
        </w:rPr>
        <w:t>emprisonnement tout agent de l</w:t>
      </w:r>
      <w:r>
        <w:rPr>
          <w:lang w:bidi="ar-QA"/>
        </w:rPr>
        <w:t>’</w:t>
      </w:r>
      <w:r w:rsidRPr="00CE611F">
        <w:rPr>
          <w:lang w:bidi="ar-QA"/>
        </w:rPr>
        <w:t>État ou toute autre personne, agissant à titre officiel, qui recourt à la torture, y incite ou y consent tacitement... la torture désigne tout acte par lequel une douleur ou des souffrances aiguës, physiques ou mentales, sont intentionnellement infligées à une personne, notamment afin d</w:t>
      </w:r>
      <w:r>
        <w:rPr>
          <w:lang w:bidi="ar-QA"/>
        </w:rPr>
        <w:t>’</w:t>
      </w:r>
      <w:r w:rsidRPr="00CE611F">
        <w:rPr>
          <w:lang w:bidi="ar-QA"/>
        </w:rPr>
        <w:t>obtenir d</w:t>
      </w:r>
      <w:r>
        <w:rPr>
          <w:lang w:bidi="ar-QA"/>
        </w:rPr>
        <w:t>’</w:t>
      </w:r>
      <w:r w:rsidRPr="00CE611F">
        <w:rPr>
          <w:lang w:bidi="ar-QA"/>
        </w:rPr>
        <w:t>elle ou d</w:t>
      </w:r>
      <w:r>
        <w:rPr>
          <w:lang w:bidi="ar-QA"/>
        </w:rPr>
        <w:t>’</w:t>
      </w:r>
      <w:r w:rsidRPr="00CE611F">
        <w:rPr>
          <w:lang w:bidi="ar-QA"/>
        </w:rPr>
        <w:t>une tierce personne des renseignements ou des aveux, de la punir d</w:t>
      </w:r>
      <w:r>
        <w:rPr>
          <w:lang w:bidi="ar-QA"/>
        </w:rPr>
        <w:t>’</w:t>
      </w:r>
      <w:r w:rsidRPr="00CE611F">
        <w:rPr>
          <w:lang w:bidi="ar-QA"/>
        </w:rPr>
        <w:t>un acte qu</w:t>
      </w:r>
      <w:r>
        <w:rPr>
          <w:lang w:bidi="ar-QA"/>
        </w:rPr>
        <w:t>’</w:t>
      </w:r>
      <w:r w:rsidRPr="00CE611F">
        <w:rPr>
          <w:lang w:bidi="ar-QA"/>
        </w:rPr>
        <w:t>elle ou une tierce personne a commis ou est soupçonnée d</w:t>
      </w:r>
      <w:r>
        <w:rPr>
          <w:lang w:bidi="ar-QA"/>
        </w:rPr>
        <w:t>’</w:t>
      </w:r>
      <w:r w:rsidRPr="00CE611F">
        <w:rPr>
          <w:lang w:bidi="ar-QA"/>
        </w:rPr>
        <w:t>avoir commis, de l</w:t>
      </w:r>
      <w:r>
        <w:rPr>
          <w:lang w:bidi="ar-QA"/>
        </w:rPr>
        <w:t>’</w:t>
      </w:r>
      <w:r w:rsidRPr="00CE611F">
        <w:rPr>
          <w:lang w:bidi="ar-QA"/>
        </w:rPr>
        <w:t>intimider ou de faire pression sur elle ou d</w:t>
      </w:r>
      <w:r>
        <w:rPr>
          <w:lang w:bidi="ar-QA"/>
        </w:rPr>
        <w:t>’</w:t>
      </w:r>
      <w:r w:rsidRPr="00CE611F">
        <w:rPr>
          <w:lang w:bidi="ar-QA"/>
        </w:rPr>
        <w:t>intimider ou de faire pression sur une tierce personne, ou pour tout autre motif fondé sur n</w:t>
      </w:r>
      <w:r>
        <w:rPr>
          <w:lang w:bidi="ar-QA"/>
        </w:rPr>
        <w:t>’</w:t>
      </w:r>
      <w:r w:rsidRPr="00CE611F">
        <w:rPr>
          <w:lang w:bidi="ar-QA"/>
        </w:rPr>
        <w:t>importe quelle forme de discrimination ».</w:t>
      </w:r>
    </w:p>
    <w:p w14:paraId="4FE3B8D9" w14:textId="77777777" w:rsidR="009E4C76" w:rsidRPr="00CE611F" w:rsidRDefault="009E4C76" w:rsidP="005D0B7C">
      <w:pPr>
        <w:pStyle w:val="SingleTxtG"/>
        <w:rPr>
          <w:lang w:bidi="ar-QA"/>
        </w:rPr>
      </w:pPr>
      <w:r w:rsidRPr="00CE611F">
        <w:rPr>
          <w:lang w:bidi="ar-QA"/>
        </w:rPr>
        <w:t>104.</w:t>
      </w:r>
      <w:r w:rsidRPr="00CE611F">
        <w:rPr>
          <w:lang w:bidi="ar-QA"/>
        </w:rPr>
        <w:tab/>
        <w:t>Par ailleurs, la Constitution qatarie consacre le principe de l</w:t>
      </w:r>
      <w:r>
        <w:rPr>
          <w:lang w:bidi="ar-QA"/>
        </w:rPr>
        <w:t>’</w:t>
      </w:r>
      <w:r w:rsidRPr="00CE611F">
        <w:rPr>
          <w:lang w:bidi="ar-QA"/>
        </w:rPr>
        <w:t xml:space="preserve">indépendance de la justice </w:t>
      </w:r>
      <w:r>
        <w:rPr>
          <w:lang w:bidi="ar-QA"/>
        </w:rPr>
        <w:t>en</w:t>
      </w:r>
      <w:r w:rsidRPr="00CE611F">
        <w:rPr>
          <w:lang w:bidi="ar-QA"/>
        </w:rPr>
        <w:t xml:space="preserve"> son article</w:t>
      </w:r>
      <w:r w:rsidR="00B731D1">
        <w:rPr>
          <w:lang w:bidi="ar-QA"/>
        </w:rPr>
        <w:t> </w:t>
      </w:r>
      <w:r w:rsidRPr="00CE611F">
        <w:rPr>
          <w:lang w:bidi="ar-QA"/>
        </w:rPr>
        <w:t>130, qui dispose ce qui suit : « Le pouvoir judiciaire est indépendant. Il est exercé par les tribunaux, qui sont de différents types et degrés ». Elle souligne l</w:t>
      </w:r>
      <w:r>
        <w:rPr>
          <w:lang w:bidi="ar-QA"/>
        </w:rPr>
        <w:t>’</w:t>
      </w:r>
      <w:r w:rsidRPr="00CE611F">
        <w:rPr>
          <w:lang w:bidi="ar-QA"/>
        </w:rPr>
        <w:t>importance de l</w:t>
      </w:r>
      <w:r>
        <w:rPr>
          <w:lang w:bidi="ar-QA"/>
        </w:rPr>
        <w:t>’</w:t>
      </w:r>
      <w:r w:rsidRPr="00CE611F">
        <w:rPr>
          <w:lang w:bidi="ar-QA"/>
        </w:rPr>
        <w:t>intégrité et de l</w:t>
      </w:r>
      <w:r>
        <w:rPr>
          <w:lang w:bidi="ar-QA"/>
        </w:rPr>
        <w:t>’</w:t>
      </w:r>
      <w:r w:rsidRPr="00CE611F">
        <w:rPr>
          <w:lang w:bidi="ar-QA"/>
        </w:rPr>
        <w:t>impartialité des juges, car ils sont chargés de la défense des droits et libertés. Ainsi, l</w:t>
      </w:r>
      <w:r>
        <w:rPr>
          <w:lang w:bidi="ar-QA"/>
        </w:rPr>
        <w:t>’</w:t>
      </w:r>
      <w:r w:rsidRPr="00CE611F">
        <w:rPr>
          <w:lang w:bidi="ar-QA"/>
        </w:rPr>
        <w:t>article</w:t>
      </w:r>
      <w:r w:rsidR="00B731D1">
        <w:rPr>
          <w:lang w:bidi="ar-QA"/>
        </w:rPr>
        <w:t> </w:t>
      </w:r>
      <w:r w:rsidRPr="00CE611F">
        <w:rPr>
          <w:lang w:bidi="ar-QA"/>
        </w:rPr>
        <w:t>131 dispose ce qui suit : « Les juges sont indépendants et ne sont soumis, dans le cadre de l</w:t>
      </w:r>
      <w:r>
        <w:rPr>
          <w:lang w:bidi="ar-QA"/>
        </w:rPr>
        <w:t>’</w:t>
      </w:r>
      <w:r w:rsidRPr="00CE611F">
        <w:rPr>
          <w:lang w:bidi="ar-QA"/>
        </w:rPr>
        <w:t>exercice de leurs fonctions, à aucune autre autorité qu</w:t>
      </w:r>
      <w:r>
        <w:rPr>
          <w:lang w:bidi="ar-QA"/>
        </w:rPr>
        <w:t>’</w:t>
      </w:r>
      <w:r w:rsidRPr="00CE611F">
        <w:rPr>
          <w:lang w:bidi="ar-QA"/>
        </w:rPr>
        <w:t>à celle de la loi et nul n</w:t>
      </w:r>
      <w:r>
        <w:rPr>
          <w:lang w:bidi="ar-QA"/>
        </w:rPr>
        <w:t>’</w:t>
      </w:r>
      <w:r w:rsidRPr="00CE611F">
        <w:rPr>
          <w:lang w:bidi="ar-QA"/>
        </w:rPr>
        <w:t>est autorisé à intervenir dans le cours de la justice ». Le principe de l</w:t>
      </w:r>
      <w:r>
        <w:rPr>
          <w:lang w:bidi="ar-QA"/>
        </w:rPr>
        <w:t>’</w:t>
      </w:r>
      <w:r w:rsidRPr="00CE611F">
        <w:rPr>
          <w:lang w:bidi="ar-QA"/>
        </w:rPr>
        <w:t xml:space="preserve">indépendance de la justice est également consacré par la loi </w:t>
      </w:r>
      <w:r w:rsidR="00B731D1">
        <w:rPr>
          <w:lang w:val="fr-FR" w:bidi="ar-QA"/>
        </w:rPr>
        <w:t>n</w:t>
      </w:r>
      <w:r w:rsidR="00B731D1" w:rsidRPr="00D52183">
        <w:rPr>
          <w:vertAlign w:val="superscript"/>
          <w:lang w:val="fr-FR" w:bidi="ar-QA"/>
        </w:rPr>
        <w:t>o</w:t>
      </w:r>
      <w:r w:rsidR="00B731D1">
        <w:rPr>
          <w:lang w:val="fr-FR" w:bidi="ar-QA"/>
        </w:rPr>
        <w:t> </w:t>
      </w:r>
      <w:r w:rsidRPr="00CE611F">
        <w:rPr>
          <w:lang w:bidi="ar-QA"/>
        </w:rPr>
        <w:t>10 de 2003 sur l</w:t>
      </w:r>
      <w:r>
        <w:rPr>
          <w:lang w:bidi="ar-QA"/>
        </w:rPr>
        <w:t>’</w:t>
      </w:r>
      <w:r w:rsidRPr="00CE611F">
        <w:rPr>
          <w:lang w:bidi="ar-QA"/>
        </w:rPr>
        <w:t>autorité judiciaire, dont l</w:t>
      </w:r>
      <w:r>
        <w:rPr>
          <w:lang w:bidi="ar-QA"/>
        </w:rPr>
        <w:t>’</w:t>
      </w:r>
      <w:r w:rsidRPr="00CE611F">
        <w:rPr>
          <w:lang w:bidi="ar-QA"/>
        </w:rPr>
        <w:t>article</w:t>
      </w:r>
      <w:r w:rsidR="00B731D1">
        <w:rPr>
          <w:lang w:bidi="ar-QA"/>
        </w:rPr>
        <w:t> </w:t>
      </w:r>
      <w:r w:rsidRPr="00CE611F">
        <w:rPr>
          <w:lang w:bidi="ar-QA"/>
        </w:rPr>
        <w:t>2 énonce ce qui suit : « Les juges sont indépendants et ne peuvent être révoqués que dans les cas prévus par la loi. Nul ne peut porter atteinte à l</w:t>
      </w:r>
      <w:r>
        <w:rPr>
          <w:lang w:bidi="ar-QA"/>
        </w:rPr>
        <w:t>’</w:t>
      </w:r>
      <w:r w:rsidRPr="00CE611F">
        <w:rPr>
          <w:lang w:bidi="ar-QA"/>
        </w:rPr>
        <w:t>indépendance du pouvoir judiciaire ni s</w:t>
      </w:r>
      <w:r>
        <w:rPr>
          <w:lang w:bidi="ar-QA"/>
        </w:rPr>
        <w:t>’</w:t>
      </w:r>
      <w:r w:rsidRPr="00CE611F">
        <w:rPr>
          <w:lang w:bidi="ar-QA"/>
        </w:rPr>
        <w:t>ingérer dans le fonctionnement de la justice ». Conformément à la loi sur l</w:t>
      </w:r>
      <w:r>
        <w:rPr>
          <w:lang w:bidi="ar-QA"/>
        </w:rPr>
        <w:t>’</w:t>
      </w:r>
      <w:r w:rsidRPr="00CE611F">
        <w:rPr>
          <w:lang w:bidi="ar-QA"/>
        </w:rPr>
        <w:t xml:space="preserve">autorité judiciaire, le système judiciaire du Qatar se compose de la </w:t>
      </w:r>
      <w:r w:rsidR="00AA279F">
        <w:rPr>
          <w:lang w:bidi="ar-QA"/>
        </w:rPr>
        <w:t>C</w:t>
      </w:r>
      <w:r w:rsidRPr="00CE611F">
        <w:rPr>
          <w:lang w:bidi="ar-QA"/>
        </w:rPr>
        <w:t>our de cassation, de la cour d</w:t>
      </w:r>
      <w:r>
        <w:rPr>
          <w:lang w:bidi="ar-QA"/>
        </w:rPr>
        <w:t>’</w:t>
      </w:r>
      <w:r w:rsidRPr="00CE611F">
        <w:rPr>
          <w:lang w:bidi="ar-QA"/>
        </w:rPr>
        <w:t>appel et du tribunal de première instance. La même loi a mis en place un Conseil supérieur de la magistrature chargé de garantir l</w:t>
      </w:r>
      <w:r>
        <w:rPr>
          <w:lang w:bidi="ar-QA"/>
        </w:rPr>
        <w:t>’</w:t>
      </w:r>
      <w:r w:rsidRPr="00CE611F">
        <w:rPr>
          <w:lang w:bidi="ar-QA"/>
        </w:rPr>
        <w:t>indépendance du pouvoir judiciaire, mais aussi de se prononcer sur les questions concernant la magistrature, d</w:t>
      </w:r>
      <w:r>
        <w:rPr>
          <w:lang w:bidi="ar-QA"/>
        </w:rPr>
        <w:t>’</w:t>
      </w:r>
      <w:r w:rsidRPr="00CE611F">
        <w:rPr>
          <w:lang w:bidi="ar-QA"/>
        </w:rPr>
        <w:t>étudier et de proposer des projets de lois sur la modernisation du système judiciaire, de donner son avis sur la nomination, la promotion, le transfert, l</w:t>
      </w:r>
      <w:r>
        <w:rPr>
          <w:lang w:bidi="ar-QA"/>
        </w:rPr>
        <w:t>’</w:t>
      </w:r>
      <w:r w:rsidRPr="00CE611F">
        <w:rPr>
          <w:lang w:bidi="ar-QA"/>
        </w:rPr>
        <w:t>affectation et la mise à la retraite des magistrats conformément aux dispositions de la loi précitée, ainsi que d</w:t>
      </w:r>
      <w:r>
        <w:rPr>
          <w:lang w:bidi="ar-QA"/>
        </w:rPr>
        <w:t>’</w:t>
      </w:r>
      <w:r w:rsidRPr="00CE611F">
        <w:rPr>
          <w:lang w:bidi="ar-QA"/>
        </w:rPr>
        <w:t>enquêter sur les plaintes visant des membres du pouvoir judiciaire, les décisions étant alors rendues en dernier ressort. La loi susmentionnée garantit l</w:t>
      </w:r>
      <w:r>
        <w:rPr>
          <w:lang w:bidi="ar-QA"/>
        </w:rPr>
        <w:t>’</w:t>
      </w:r>
      <w:r w:rsidRPr="00CE611F">
        <w:rPr>
          <w:lang w:bidi="ar-QA"/>
        </w:rPr>
        <w:t>indépendance financière des tribunaux, en leur attribuant un budget autonome, annexé au budget général de l</w:t>
      </w:r>
      <w:r>
        <w:rPr>
          <w:lang w:bidi="ar-QA"/>
        </w:rPr>
        <w:t>’</w:t>
      </w:r>
      <w:r w:rsidRPr="00CE611F">
        <w:rPr>
          <w:lang w:bidi="ar-QA"/>
        </w:rPr>
        <w:t>État.</w:t>
      </w:r>
    </w:p>
    <w:p w14:paraId="6E372B94" w14:textId="77777777" w:rsidR="009E4C76" w:rsidRPr="00CE611F" w:rsidRDefault="009E4C76" w:rsidP="005D0B7C">
      <w:pPr>
        <w:pStyle w:val="SingleTxtG"/>
        <w:rPr>
          <w:rtl/>
          <w:lang w:bidi="fr-FR"/>
        </w:rPr>
      </w:pPr>
      <w:r w:rsidRPr="00CE611F">
        <w:rPr>
          <w:lang w:bidi="ar-QA"/>
        </w:rPr>
        <w:t>105.</w:t>
      </w:r>
      <w:r w:rsidRPr="00CE611F">
        <w:rPr>
          <w:lang w:bidi="ar-QA"/>
        </w:rPr>
        <w:tab/>
        <w:t>À l</w:t>
      </w:r>
      <w:r>
        <w:rPr>
          <w:lang w:bidi="ar-QA"/>
        </w:rPr>
        <w:t>’</w:t>
      </w:r>
      <w:r w:rsidRPr="00CE611F">
        <w:rPr>
          <w:lang w:bidi="ar-QA"/>
        </w:rPr>
        <w:t>instar de la plupart des constitutions modernes, la Constitution qatarie a opté pour un contrôle centralisé de la constitutionnalité des lois et a confié à une loi le soin d</w:t>
      </w:r>
      <w:r>
        <w:rPr>
          <w:lang w:bidi="ar-QA"/>
        </w:rPr>
        <w:t>’</w:t>
      </w:r>
      <w:r w:rsidRPr="00CE611F">
        <w:rPr>
          <w:lang w:bidi="ar-QA"/>
        </w:rPr>
        <w:t>en réglementer l</w:t>
      </w:r>
      <w:r>
        <w:rPr>
          <w:lang w:bidi="ar-QA"/>
        </w:rPr>
        <w:t>’</w:t>
      </w:r>
      <w:r w:rsidRPr="00CE611F">
        <w:rPr>
          <w:lang w:bidi="ar-QA"/>
        </w:rPr>
        <w:t xml:space="preserve">exercice, car un tel système permet de maintenir un équilibre optimal entre les différents pouvoirs. Ainsi, la loi </w:t>
      </w:r>
      <w:r w:rsidR="00005C86">
        <w:rPr>
          <w:lang w:val="fr-FR" w:bidi="ar-QA"/>
        </w:rPr>
        <w:t>n</w:t>
      </w:r>
      <w:r w:rsidR="00005C86" w:rsidRPr="00D52183">
        <w:rPr>
          <w:vertAlign w:val="superscript"/>
          <w:lang w:val="fr-FR" w:bidi="ar-QA"/>
        </w:rPr>
        <w:t>o</w:t>
      </w:r>
      <w:r w:rsidR="00005C86">
        <w:rPr>
          <w:lang w:val="fr-FR" w:bidi="ar-QA"/>
        </w:rPr>
        <w:t> </w:t>
      </w:r>
      <w:r w:rsidRPr="00CE611F">
        <w:rPr>
          <w:lang w:bidi="ar-QA"/>
        </w:rPr>
        <w:t xml:space="preserve">12 de </w:t>
      </w:r>
      <w:smartTag w:uri="urn:schemas-microsoft-com:office:smarttags" w:element="metricconverter">
        <w:smartTagPr>
          <w:attr w:name="ProductID" w:val="2008 a"/>
        </w:smartTagPr>
        <w:r w:rsidRPr="00CE611F">
          <w:rPr>
            <w:lang w:bidi="ar-QA"/>
          </w:rPr>
          <w:t>2008 a</w:t>
        </w:r>
      </w:smartTag>
      <w:r w:rsidRPr="00CE611F">
        <w:rPr>
          <w:lang w:bidi="ar-QA"/>
        </w:rPr>
        <w:t xml:space="preserve"> mis en place une Cour suprême constitutionnelle en tant que juridiction indépendante disposant de son propre budget, compétente pour se prononcer sur la constitutionnalité des lois et règlements, mais également pour trancher les conflits de compétence et les différends relatifs à l</w:t>
      </w:r>
      <w:r>
        <w:rPr>
          <w:lang w:bidi="ar-QA"/>
        </w:rPr>
        <w:t>’</w:t>
      </w:r>
      <w:r w:rsidRPr="00CE611F">
        <w:rPr>
          <w:lang w:bidi="ar-QA"/>
        </w:rPr>
        <w:t>exécution des dispositions contradictoires de jugements définitifs rendus par des juridictions ou des instances ayant des compétences juridictionnelles, ainsi qu</w:t>
      </w:r>
      <w:r>
        <w:rPr>
          <w:lang w:bidi="ar-QA"/>
        </w:rPr>
        <w:t>’</w:t>
      </w:r>
      <w:r w:rsidRPr="00CE611F">
        <w:rPr>
          <w:lang w:bidi="ar-QA"/>
        </w:rPr>
        <w:t>en matière d</w:t>
      </w:r>
      <w:r>
        <w:rPr>
          <w:lang w:bidi="ar-QA"/>
        </w:rPr>
        <w:t>’</w:t>
      </w:r>
      <w:r w:rsidRPr="00CE611F">
        <w:rPr>
          <w:lang w:bidi="ar-QA"/>
        </w:rPr>
        <w:t>interprétation de lois dont l</w:t>
      </w:r>
      <w:r>
        <w:rPr>
          <w:lang w:bidi="ar-QA"/>
        </w:rPr>
        <w:t>’</w:t>
      </w:r>
      <w:r w:rsidRPr="00CE611F">
        <w:rPr>
          <w:lang w:bidi="ar-QA"/>
        </w:rPr>
        <w:t>application est litigieuse et dont la portée est telle qu</w:t>
      </w:r>
      <w:r>
        <w:rPr>
          <w:lang w:bidi="ar-QA"/>
        </w:rPr>
        <w:t>’</w:t>
      </w:r>
      <w:r w:rsidRPr="00CE611F">
        <w:rPr>
          <w:lang w:bidi="ar-QA"/>
        </w:rPr>
        <w:t>une interprétation uniforme devient nécessaire. Dans ce cas, ladite interprétation est effectuée à la demande du Premier Ministre ou du Président du Conseil de la Shura. Selon les textes susmentionnés, la Cour constitutionnelle est compétente pour se prononcer sur la constitutionnalité des lois et règlements, de sa propre initiative ou sur requête des parties. Ses jugements et décisions sont définitifs et ne sont susceptibles d</w:t>
      </w:r>
      <w:r>
        <w:rPr>
          <w:lang w:bidi="ar-QA"/>
        </w:rPr>
        <w:t>’</w:t>
      </w:r>
      <w:r w:rsidRPr="00CE611F">
        <w:rPr>
          <w:lang w:bidi="ar-QA"/>
        </w:rPr>
        <w:t>aucun recours. Ils s</w:t>
      </w:r>
      <w:r>
        <w:rPr>
          <w:lang w:bidi="ar-QA"/>
        </w:rPr>
        <w:t>’</w:t>
      </w:r>
      <w:r w:rsidRPr="00CE611F">
        <w:rPr>
          <w:lang w:bidi="ar-QA"/>
        </w:rPr>
        <w:t>imposent à tous les organismes publics et à toute personne résidant au Qatar. L</w:t>
      </w:r>
      <w:r>
        <w:rPr>
          <w:lang w:bidi="ar-QA"/>
        </w:rPr>
        <w:t>’</w:t>
      </w:r>
      <w:r w:rsidRPr="00CE611F">
        <w:rPr>
          <w:lang w:bidi="ar-QA"/>
        </w:rPr>
        <w:t>indépendance de la justice a été renforcée par l</w:t>
      </w:r>
      <w:r>
        <w:rPr>
          <w:lang w:bidi="ar-QA"/>
        </w:rPr>
        <w:t>’</w:t>
      </w:r>
      <w:r w:rsidRPr="00CE611F">
        <w:rPr>
          <w:lang w:bidi="ar-QA"/>
        </w:rPr>
        <w:t xml:space="preserve">adoption de la loi </w:t>
      </w:r>
      <w:r w:rsidR="00005C86">
        <w:rPr>
          <w:lang w:val="fr-FR" w:bidi="ar-QA"/>
        </w:rPr>
        <w:t>n</w:t>
      </w:r>
      <w:r w:rsidR="00005C86" w:rsidRPr="00D52183">
        <w:rPr>
          <w:vertAlign w:val="superscript"/>
          <w:lang w:val="fr-FR" w:bidi="ar-QA"/>
        </w:rPr>
        <w:t>o</w:t>
      </w:r>
      <w:r w:rsidR="00005C86">
        <w:rPr>
          <w:lang w:val="fr-FR" w:bidi="ar-QA"/>
        </w:rPr>
        <w:t> </w:t>
      </w:r>
      <w:r w:rsidRPr="00CE611F">
        <w:rPr>
          <w:lang w:bidi="ar-QA"/>
        </w:rPr>
        <w:t>7 de 2007 relative au contentieux administratif, en vertu de laquelle tout abus de pouvoir est considéré comme un motif justifiant l</w:t>
      </w:r>
      <w:r>
        <w:rPr>
          <w:lang w:bidi="ar-QA"/>
        </w:rPr>
        <w:t>’</w:t>
      </w:r>
      <w:r w:rsidRPr="00CE611F">
        <w:rPr>
          <w:lang w:bidi="ar-QA"/>
        </w:rPr>
        <w:t>annulation d</w:t>
      </w:r>
      <w:r>
        <w:rPr>
          <w:lang w:bidi="ar-QA"/>
        </w:rPr>
        <w:t>’</w:t>
      </w:r>
      <w:r w:rsidRPr="00CE611F">
        <w:rPr>
          <w:lang w:bidi="ar-QA"/>
        </w:rPr>
        <w:t>une décision administrative contestée ou le versement d</w:t>
      </w:r>
      <w:r>
        <w:rPr>
          <w:lang w:bidi="ar-QA"/>
        </w:rPr>
        <w:t>’</w:t>
      </w:r>
      <w:r w:rsidRPr="00CE611F">
        <w:rPr>
          <w:lang w:bidi="ar-QA"/>
        </w:rPr>
        <w:t>indemnisations en guise de réparation.</w:t>
      </w:r>
    </w:p>
    <w:p w14:paraId="558FC94C" w14:textId="77777777" w:rsidR="009E4C76" w:rsidRPr="00CE611F" w:rsidRDefault="009E4C76" w:rsidP="005D0B7C">
      <w:pPr>
        <w:pStyle w:val="SingleTxtG"/>
        <w:rPr>
          <w:rtl/>
          <w:lang w:bidi="fr-FR"/>
        </w:rPr>
      </w:pPr>
      <w:r w:rsidRPr="00CE611F">
        <w:rPr>
          <w:lang w:bidi="ar-QA"/>
        </w:rPr>
        <w:t>106.</w:t>
      </w:r>
      <w:r w:rsidR="00005C86">
        <w:rPr>
          <w:lang w:bidi="ar-QA"/>
        </w:rPr>
        <w:tab/>
      </w:r>
      <w:r w:rsidRPr="00CE611F">
        <w:rPr>
          <w:lang w:bidi="ar-QA"/>
        </w:rPr>
        <w:t>La Constitution du Qatar traite dans son Titre</w:t>
      </w:r>
      <w:r w:rsidR="00E10E5D">
        <w:rPr>
          <w:lang w:bidi="ar-QA"/>
        </w:rPr>
        <w:t> </w:t>
      </w:r>
      <w:r w:rsidRPr="00CE611F">
        <w:rPr>
          <w:lang w:bidi="ar-QA"/>
        </w:rPr>
        <w:t>III (art.</w:t>
      </w:r>
      <w:r w:rsidR="00E10E5D">
        <w:rPr>
          <w:lang w:bidi="ar-QA"/>
        </w:rPr>
        <w:t> </w:t>
      </w:r>
      <w:r w:rsidRPr="00CE611F">
        <w:rPr>
          <w:lang w:bidi="ar-QA"/>
        </w:rPr>
        <w:t>34 à 58) des droits fondamentaux et des libertés, en consacrant les principes de complémentarité, d</w:t>
      </w:r>
      <w:r>
        <w:rPr>
          <w:lang w:bidi="ar-QA"/>
        </w:rPr>
        <w:t>’</w:t>
      </w:r>
      <w:r w:rsidRPr="00CE611F">
        <w:rPr>
          <w:lang w:bidi="ar-QA"/>
        </w:rPr>
        <w:t>interdépendance, d</w:t>
      </w:r>
      <w:r>
        <w:rPr>
          <w:lang w:bidi="ar-QA"/>
        </w:rPr>
        <w:t>’</w:t>
      </w:r>
      <w:r w:rsidRPr="00CE611F">
        <w:rPr>
          <w:lang w:bidi="ar-QA"/>
        </w:rPr>
        <w:t>indissociabilité et d</w:t>
      </w:r>
      <w:r>
        <w:rPr>
          <w:lang w:bidi="ar-QA"/>
        </w:rPr>
        <w:t>’</w:t>
      </w:r>
      <w:r w:rsidRPr="00CE611F">
        <w:rPr>
          <w:lang w:bidi="ar-QA"/>
        </w:rPr>
        <w:t>indivisibilité, et en garantissant aussi les droits économiques, sociaux, culturels, civils et politiques sur un pied d</w:t>
      </w:r>
      <w:r>
        <w:rPr>
          <w:lang w:bidi="ar-QA"/>
        </w:rPr>
        <w:t>’</w:t>
      </w:r>
      <w:r w:rsidRPr="00CE611F">
        <w:rPr>
          <w:lang w:bidi="ar-QA"/>
        </w:rPr>
        <w:t>égalité. Elle garantit notamment les droits politiques dans son article</w:t>
      </w:r>
      <w:r w:rsidR="00E10E5D">
        <w:rPr>
          <w:lang w:bidi="ar-QA"/>
        </w:rPr>
        <w:t> </w:t>
      </w:r>
      <w:r w:rsidRPr="00CE611F">
        <w:rPr>
          <w:lang w:bidi="ar-QA"/>
        </w:rPr>
        <w:t>42, selon lequel l</w:t>
      </w:r>
      <w:r>
        <w:rPr>
          <w:lang w:bidi="ar-QA"/>
        </w:rPr>
        <w:t>’</w:t>
      </w:r>
      <w:r w:rsidRPr="00CE611F">
        <w:rPr>
          <w:lang w:bidi="ar-QA"/>
        </w:rPr>
        <w:t>État assure les droits électoraux des citoyens sans discrimination fondée sur le sexe, la race, la langue ou la religion, conformément à l</w:t>
      </w:r>
      <w:r>
        <w:rPr>
          <w:lang w:bidi="ar-QA"/>
        </w:rPr>
        <w:t>’</w:t>
      </w:r>
      <w:r w:rsidRPr="00CE611F">
        <w:rPr>
          <w:lang w:bidi="ar-QA"/>
        </w:rPr>
        <w:t>article</w:t>
      </w:r>
      <w:r w:rsidR="00E10E5D">
        <w:rPr>
          <w:lang w:bidi="ar-QA"/>
        </w:rPr>
        <w:t> </w:t>
      </w:r>
      <w:r w:rsidRPr="00CE611F">
        <w:rPr>
          <w:lang w:bidi="ar-QA"/>
        </w:rPr>
        <w:t>35 de la Constitution. La Constitution garantit également le droit à la participation politique et à l</w:t>
      </w:r>
      <w:r>
        <w:rPr>
          <w:lang w:bidi="ar-QA"/>
        </w:rPr>
        <w:t>’</w:t>
      </w:r>
      <w:r w:rsidRPr="00CE611F">
        <w:rPr>
          <w:lang w:bidi="ar-QA"/>
        </w:rPr>
        <w:t>exercice des fonctions publiques. Les droits politiques garantis par la Constitution doivent en outre être lus à la lumière de l</w:t>
      </w:r>
      <w:r>
        <w:rPr>
          <w:lang w:bidi="ar-QA"/>
        </w:rPr>
        <w:t>’</w:t>
      </w:r>
      <w:r w:rsidRPr="00CE611F">
        <w:rPr>
          <w:lang w:bidi="ar-QA"/>
        </w:rPr>
        <w:t>article</w:t>
      </w:r>
      <w:r w:rsidR="00E10E5D">
        <w:rPr>
          <w:lang w:bidi="ar-QA"/>
        </w:rPr>
        <w:t> </w:t>
      </w:r>
      <w:r w:rsidRPr="00CE611F">
        <w:rPr>
          <w:lang w:bidi="ar-QA"/>
        </w:rPr>
        <w:t>34 de la Constitution, qui dispose ce qui suit : « Les citoyens du Qatar sont égaux en droits et en devoirs ». Il convient également de noter que la Constitution a insisté dans son article</w:t>
      </w:r>
      <w:r w:rsidR="00E10E5D">
        <w:rPr>
          <w:lang w:bidi="ar-QA"/>
        </w:rPr>
        <w:t> </w:t>
      </w:r>
      <w:r w:rsidRPr="00CE611F">
        <w:rPr>
          <w:lang w:bidi="ar-QA"/>
        </w:rPr>
        <w:t>146 sur l</w:t>
      </w:r>
      <w:r>
        <w:rPr>
          <w:lang w:bidi="ar-QA"/>
        </w:rPr>
        <w:t>’</w:t>
      </w:r>
      <w:r w:rsidRPr="00CE611F">
        <w:rPr>
          <w:lang w:bidi="ar-QA"/>
        </w:rPr>
        <w:t>exigence de ne pas restreindre ces droits ou d</w:t>
      </w:r>
      <w:r>
        <w:rPr>
          <w:lang w:bidi="ar-QA"/>
        </w:rPr>
        <w:t>’</w:t>
      </w:r>
      <w:r w:rsidRPr="00CE611F">
        <w:rPr>
          <w:lang w:bidi="ar-QA"/>
        </w:rPr>
        <w:t>y déroger sous prétexte d</w:t>
      </w:r>
      <w:r>
        <w:rPr>
          <w:lang w:bidi="ar-QA"/>
        </w:rPr>
        <w:t>’</w:t>
      </w:r>
      <w:r w:rsidRPr="00CE611F">
        <w:rPr>
          <w:lang w:bidi="ar-QA"/>
        </w:rPr>
        <w:t>organiser ou de modifier leurs modalités d</w:t>
      </w:r>
      <w:r>
        <w:rPr>
          <w:lang w:bidi="ar-QA"/>
        </w:rPr>
        <w:t>’</w:t>
      </w:r>
      <w:r w:rsidRPr="00CE611F">
        <w:rPr>
          <w:lang w:bidi="ar-QA"/>
        </w:rPr>
        <w:t>exercice.</w:t>
      </w:r>
    </w:p>
    <w:p w14:paraId="082A3E42" w14:textId="77777777" w:rsidR="009E4C76" w:rsidRPr="00CE611F" w:rsidRDefault="009E4C76" w:rsidP="005D0B7C">
      <w:pPr>
        <w:pStyle w:val="SingleTxtG"/>
        <w:rPr>
          <w:lang w:bidi="ar-QA"/>
        </w:rPr>
      </w:pPr>
      <w:r w:rsidRPr="00CE611F">
        <w:rPr>
          <w:lang w:bidi="ar-QA"/>
        </w:rPr>
        <w:t>107.</w:t>
      </w:r>
      <w:r w:rsidRPr="00CE611F">
        <w:rPr>
          <w:lang w:bidi="ar-QA"/>
        </w:rPr>
        <w:tab/>
        <w:t>Afin de promouvoir et de protéger les droits politiques, un service de la « gestion des élections » au Ministère de l</w:t>
      </w:r>
      <w:r>
        <w:rPr>
          <w:lang w:bidi="ar-QA"/>
        </w:rPr>
        <w:t>’</w:t>
      </w:r>
      <w:r w:rsidRPr="00CE611F">
        <w:rPr>
          <w:lang w:bidi="ar-QA"/>
        </w:rPr>
        <w:t xml:space="preserve">intérieur a été créé par le décret </w:t>
      </w:r>
      <w:r w:rsidR="00E10E5D">
        <w:rPr>
          <w:lang w:val="fr-FR" w:bidi="ar-QA"/>
        </w:rPr>
        <w:t>n</w:t>
      </w:r>
      <w:r w:rsidR="00E10E5D" w:rsidRPr="00D52183">
        <w:rPr>
          <w:vertAlign w:val="superscript"/>
          <w:lang w:val="fr-FR" w:bidi="ar-QA"/>
        </w:rPr>
        <w:t>o</w:t>
      </w:r>
      <w:r w:rsidR="00E10E5D">
        <w:rPr>
          <w:lang w:val="fr-FR" w:bidi="ar-QA"/>
        </w:rPr>
        <w:t> </w:t>
      </w:r>
      <w:r w:rsidRPr="00CE611F">
        <w:rPr>
          <w:lang w:bidi="ar-QA"/>
        </w:rPr>
        <w:t>1 de 2003 du Ministre d</w:t>
      </w:r>
      <w:r>
        <w:rPr>
          <w:lang w:bidi="ar-QA"/>
        </w:rPr>
        <w:t>’</w:t>
      </w:r>
      <w:r w:rsidRPr="00CE611F">
        <w:rPr>
          <w:lang w:bidi="ar-QA"/>
        </w:rPr>
        <w:t>État aux affaires intérieures</w:t>
      </w:r>
      <w:r>
        <w:rPr>
          <w:lang w:bidi="ar-QA"/>
        </w:rPr>
        <w:t> ; il est</w:t>
      </w:r>
      <w:r w:rsidRPr="00CE611F">
        <w:rPr>
          <w:lang w:bidi="ar-QA"/>
        </w:rPr>
        <w:t xml:space="preserve"> chargé d</w:t>
      </w:r>
      <w:r>
        <w:rPr>
          <w:lang w:bidi="ar-QA"/>
        </w:rPr>
        <w:t>’</w:t>
      </w:r>
      <w:r w:rsidRPr="00CE611F">
        <w:rPr>
          <w:lang w:bidi="ar-QA"/>
        </w:rPr>
        <w:t>assurer la gestion, l</w:t>
      </w:r>
      <w:r>
        <w:rPr>
          <w:lang w:bidi="ar-QA"/>
        </w:rPr>
        <w:t>’</w:t>
      </w:r>
      <w:r w:rsidRPr="00CE611F">
        <w:rPr>
          <w:lang w:bidi="ar-QA"/>
        </w:rPr>
        <w:t xml:space="preserve">organisation et le suivi de la mise en </w:t>
      </w:r>
      <w:r w:rsidR="00E10E5D" w:rsidRPr="00CE611F">
        <w:rPr>
          <w:lang w:bidi="ar-QA"/>
        </w:rPr>
        <w:t>œuvre</w:t>
      </w:r>
      <w:r w:rsidRPr="00CE611F">
        <w:rPr>
          <w:lang w:bidi="ar-QA"/>
        </w:rPr>
        <w:t xml:space="preserve"> du processus électoral, en collaboration avec les autorités et organes concernés, ainsi qu</w:t>
      </w:r>
      <w:r>
        <w:rPr>
          <w:lang w:bidi="ar-QA"/>
        </w:rPr>
        <w:t>e d’</w:t>
      </w:r>
      <w:r w:rsidRPr="00CE611F">
        <w:rPr>
          <w:lang w:bidi="ar-QA"/>
        </w:rPr>
        <w:t>adopter les mesures et moyens nécessaires au bon déroulement des opérations électorales.</w:t>
      </w:r>
    </w:p>
    <w:p w14:paraId="57A30EB1" w14:textId="77777777" w:rsidR="009E4C76" w:rsidRPr="00E10E5D" w:rsidRDefault="009E4C76" w:rsidP="005D0B7C">
      <w:pPr>
        <w:pStyle w:val="SingleTxtG"/>
        <w:rPr>
          <w:rtl/>
          <w:lang w:bidi="fr-FR"/>
        </w:rPr>
      </w:pPr>
      <w:r w:rsidRPr="00E10E5D">
        <w:rPr>
          <w:lang w:bidi="ar-QA"/>
        </w:rPr>
        <w:t>108.</w:t>
      </w:r>
      <w:r w:rsidRPr="00E10E5D">
        <w:rPr>
          <w:lang w:bidi="ar-QA"/>
        </w:rPr>
        <w:tab/>
        <w:t>Les premières élections auxquelles les femmes ont participé sur un pied d’égalité avec les hommes, en tant qu’électrices et candidates, ont eu lieu en 1999 à l’occasion des premières élections au Conseil municipal central. Le taux de participation à ce scrutin a atteint 77,4 % pour les femmes et 81,5 % pour les hommes, sachant que sur les six femmes candidates, aucune n’avait alors remporté de siège. Lors des secondes élections à cette même assemblée, le taux de participation a globalement baissé, passant à 27 % pour les femmes et à 36,2 % pour les hommes, une femme ayant toutefois obtenu un siège sur les</w:t>
      </w:r>
      <w:r w:rsidR="00E10E5D">
        <w:rPr>
          <w:lang w:bidi="ar-QA"/>
        </w:rPr>
        <w:t> </w:t>
      </w:r>
      <w:r w:rsidRPr="00E10E5D">
        <w:rPr>
          <w:lang w:bidi="ar-QA"/>
        </w:rPr>
        <w:t>29</w:t>
      </w:r>
      <w:r w:rsidR="00E10E5D">
        <w:rPr>
          <w:lang w:bidi="ar-QA"/>
        </w:rPr>
        <w:t> </w:t>
      </w:r>
      <w:r w:rsidRPr="00E10E5D">
        <w:rPr>
          <w:lang w:bidi="ar-QA"/>
        </w:rPr>
        <w:t xml:space="preserve">postes vacants du Conseil municipal central. Le taux de participation aux élections organisées en 2007 pour la troisième fois a augmenté, atteignant 51,8 % pour ce qui est des femmes et 47,5 % pour les hommes, sachant que sur trois femmes candidates, une seule a réussi à obtenir un siège au Conseil. Le taux de participation aux élections organisées pour la cinquième fois en </w:t>
      </w:r>
      <w:smartTag w:uri="urn:schemas-microsoft-com:office:smarttags" w:element="metricconverter">
        <w:smartTagPr>
          <w:attr w:name="ProductID" w:val="2015 a"/>
        </w:smartTagPr>
        <w:r w:rsidRPr="00E10E5D">
          <w:rPr>
            <w:lang w:bidi="ar-QA"/>
          </w:rPr>
          <w:t>2015 a</w:t>
        </w:r>
      </w:smartTag>
      <w:r w:rsidRPr="00E10E5D">
        <w:rPr>
          <w:lang w:bidi="ar-QA"/>
        </w:rPr>
        <w:t xml:space="preserve"> également enregistré une hausse, atteignant 70,3 % pour les femmes et 65,2 % pour les hommes.</w:t>
      </w:r>
    </w:p>
    <w:p w14:paraId="2577764B" w14:textId="77777777" w:rsidR="009E4C76" w:rsidRDefault="009E4C76" w:rsidP="006C4132">
      <w:pPr>
        <w:pStyle w:val="H23G"/>
        <w:ind w:right="0" w:firstLine="0"/>
      </w:pPr>
      <w:r w:rsidRPr="00E10E5D">
        <w:rPr>
          <w:b w:val="0"/>
        </w:rPr>
        <w:t>Tableau 14</w:t>
      </w:r>
      <w:r w:rsidR="00E10E5D" w:rsidRPr="00E10E5D">
        <w:rPr>
          <w:b w:val="0"/>
        </w:rPr>
        <w:t xml:space="preserve"> </w:t>
      </w:r>
      <w:r w:rsidRPr="00E10E5D">
        <w:rPr>
          <w:b w:val="0"/>
        </w:rPr>
        <w:br/>
      </w:r>
      <w:r w:rsidRPr="00CE611F">
        <w:t>Participation selon le sexe aux élections du Conseil municipal central au cours des quatre derniers scrutins (2003</w:t>
      </w:r>
      <w:r w:rsidR="00E10E5D">
        <w:t>-</w:t>
      </w:r>
      <w:r w:rsidRPr="00CE611F">
        <w:t>2015)</w:t>
      </w:r>
    </w:p>
    <w:tbl>
      <w:tblPr>
        <w:tblStyle w:val="TableElegant11"/>
        <w:tblW w:w="8505"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993"/>
        <w:gridCol w:w="729"/>
        <w:gridCol w:w="830"/>
        <w:gridCol w:w="822"/>
        <w:gridCol w:w="797"/>
        <w:gridCol w:w="791"/>
        <w:gridCol w:w="805"/>
        <w:gridCol w:w="812"/>
        <w:gridCol w:w="792"/>
      </w:tblGrid>
      <w:tr w:rsidR="006C4132" w:rsidRPr="00D74294" w14:paraId="6EAA6203" w14:textId="77777777" w:rsidTr="004702BD">
        <w:trPr>
          <w:trHeight w:val="240"/>
          <w:tblHeader/>
        </w:trPr>
        <w:tc>
          <w:tcPr>
            <w:tcW w:w="2127" w:type="dxa"/>
            <w:gridSpan w:val="2"/>
            <w:vMerge w:val="restart"/>
            <w:tcBorders>
              <w:top w:val="single" w:sz="4" w:space="0" w:color="auto"/>
              <w:bottom w:val="single" w:sz="12" w:space="0" w:color="auto"/>
            </w:tcBorders>
            <w:shd w:val="clear" w:color="auto" w:fill="auto"/>
            <w:vAlign w:val="bottom"/>
          </w:tcPr>
          <w:p w14:paraId="7301D47D" w14:textId="77777777" w:rsidR="006C4132" w:rsidRPr="00D74294" w:rsidRDefault="006C4132" w:rsidP="006C4132">
            <w:pPr>
              <w:pStyle w:val="SingleTxtG"/>
              <w:keepNext/>
              <w:keepLines/>
              <w:spacing w:before="80" w:after="80" w:line="200" w:lineRule="exact"/>
              <w:ind w:left="0" w:right="0"/>
              <w:jc w:val="left"/>
              <w:rPr>
                <w:i/>
                <w:iCs/>
                <w:caps/>
                <w:sz w:val="16"/>
              </w:rPr>
            </w:pPr>
          </w:p>
        </w:tc>
        <w:tc>
          <w:tcPr>
            <w:tcW w:w="1559" w:type="dxa"/>
            <w:gridSpan w:val="2"/>
            <w:tcBorders>
              <w:top w:val="single" w:sz="4" w:space="0" w:color="auto"/>
              <w:bottom w:val="single" w:sz="4" w:space="0" w:color="auto"/>
              <w:right w:val="single" w:sz="24" w:space="0" w:color="FFFFFF" w:themeColor="background1"/>
            </w:tcBorders>
            <w:shd w:val="clear" w:color="auto" w:fill="auto"/>
            <w:vAlign w:val="bottom"/>
          </w:tcPr>
          <w:p w14:paraId="2841B6EC" w14:textId="77777777" w:rsidR="006C4132" w:rsidRPr="00D74294" w:rsidRDefault="006C4132" w:rsidP="006C4132">
            <w:pPr>
              <w:pStyle w:val="SingleTxtG"/>
              <w:keepNext/>
              <w:keepLines/>
              <w:spacing w:before="80" w:after="80" w:line="200" w:lineRule="exact"/>
              <w:ind w:left="0" w:right="0"/>
              <w:jc w:val="center"/>
              <w:rPr>
                <w:i/>
                <w:iCs/>
                <w:caps/>
                <w:sz w:val="16"/>
              </w:rPr>
            </w:pPr>
            <w:r w:rsidRPr="004D4874">
              <w:rPr>
                <w:i/>
                <w:sz w:val="16"/>
              </w:rPr>
              <w:t>Élections de 2003</w:t>
            </w:r>
          </w:p>
        </w:tc>
        <w:tc>
          <w:tcPr>
            <w:tcW w:w="161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C134AC8" w14:textId="77777777" w:rsidR="006C4132" w:rsidRPr="00D74294" w:rsidRDefault="006C4132" w:rsidP="006C4132">
            <w:pPr>
              <w:pStyle w:val="SingleTxtG"/>
              <w:keepNext/>
              <w:keepLines/>
              <w:spacing w:before="80" w:after="80" w:line="200" w:lineRule="exact"/>
              <w:ind w:left="0" w:right="0"/>
              <w:jc w:val="center"/>
              <w:rPr>
                <w:i/>
                <w:iCs/>
                <w:caps/>
                <w:sz w:val="16"/>
              </w:rPr>
            </w:pPr>
            <w:r w:rsidRPr="004D4874">
              <w:rPr>
                <w:i/>
                <w:sz w:val="16"/>
              </w:rPr>
              <w:t>Élections de 2007</w:t>
            </w:r>
          </w:p>
        </w:tc>
        <w:tc>
          <w:tcPr>
            <w:tcW w:w="159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B28CCB3" w14:textId="77777777" w:rsidR="006C4132" w:rsidRPr="00D74294" w:rsidRDefault="006C4132" w:rsidP="006C4132">
            <w:pPr>
              <w:pStyle w:val="SingleTxtG"/>
              <w:keepNext/>
              <w:keepLines/>
              <w:spacing w:before="80" w:after="80" w:line="200" w:lineRule="exact"/>
              <w:ind w:left="0" w:right="0"/>
              <w:jc w:val="center"/>
              <w:rPr>
                <w:i/>
                <w:iCs/>
                <w:caps/>
                <w:sz w:val="16"/>
              </w:rPr>
            </w:pPr>
            <w:r w:rsidRPr="004D4874">
              <w:rPr>
                <w:i/>
                <w:sz w:val="16"/>
              </w:rPr>
              <w:t>Élections de 2011</w:t>
            </w:r>
          </w:p>
        </w:tc>
        <w:tc>
          <w:tcPr>
            <w:tcW w:w="1604" w:type="dxa"/>
            <w:gridSpan w:val="2"/>
            <w:tcBorders>
              <w:top w:val="single" w:sz="4" w:space="0" w:color="auto"/>
              <w:left w:val="single" w:sz="24" w:space="0" w:color="FFFFFF" w:themeColor="background1"/>
              <w:bottom w:val="single" w:sz="4" w:space="0" w:color="auto"/>
            </w:tcBorders>
            <w:shd w:val="clear" w:color="auto" w:fill="auto"/>
            <w:vAlign w:val="bottom"/>
          </w:tcPr>
          <w:p w14:paraId="3741B430" w14:textId="77777777" w:rsidR="006C4132" w:rsidRPr="00D74294" w:rsidRDefault="006C4132" w:rsidP="006C4132">
            <w:pPr>
              <w:pStyle w:val="SingleTxtG"/>
              <w:keepNext/>
              <w:keepLines/>
              <w:spacing w:before="80" w:after="80" w:line="200" w:lineRule="exact"/>
              <w:ind w:left="0" w:right="0"/>
              <w:jc w:val="center"/>
              <w:rPr>
                <w:i/>
                <w:iCs/>
                <w:caps/>
                <w:sz w:val="16"/>
              </w:rPr>
            </w:pPr>
            <w:r w:rsidRPr="004D4874">
              <w:rPr>
                <w:i/>
                <w:sz w:val="16"/>
              </w:rPr>
              <w:t>Élections de 2015</w:t>
            </w:r>
          </w:p>
        </w:tc>
      </w:tr>
      <w:tr w:rsidR="006C4132" w:rsidRPr="00D74294" w14:paraId="59328F8A" w14:textId="77777777" w:rsidTr="004702BD">
        <w:trPr>
          <w:trHeight w:val="240"/>
          <w:tblHeader/>
        </w:trPr>
        <w:tc>
          <w:tcPr>
            <w:tcW w:w="2127" w:type="dxa"/>
            <w:gridSpan w:val="2"/>
            <w:vMerge/>
            <w:tcBorders>
              <w:top w:val="single" w:sz="12" w:space="0" w:color="auto"/>
              <w:bottom w:val="single" w:sz="12" w:space="0" w:color="auto"/>
            </w:tcBorders>
            <w:shd w:val="clear" w:color="auto" w:fill="auto"/>
            <w:vAlign w:val="bottom"/>
          </w:tcPr>
          <w:p w14:paraId="197EFF5C" w14:textId="77777777" w:rsidR="006C4132" w:rsidRPr="00D74294" w:rsidRDefault="006C4132" w:rsidP="006C4132">
            <w:pPr>
              <w:pStyle w:val="SingleTxtG"/>
              <w:keepNext/>
              <w:keepLines/>
              <w:spacing w:before="40" w:after="40" w:line="220" w:lineRule="exact"/>
              <w:ind w:left="0" w:right="0"/>
              <w:jc w:val="left"/>
              <w:rPr>
                <w:caps/>
                <w:sz w:val="18"/>
                <w:rtl/>
              </w:rPr>
            </w:pPr>
          </w:p>
        </w:tc>
        <w:tc>
          <w:tcPr>
            <w:tcW w:w="729" w:type="dxa"/>
            <w:tcBorders>
              <w:top w:val="single" w:sz="4" w:space="0" w:color="auto"/>
              <w:bottom w:val="single" w:sz="12" w:space="0" w:color="auto"/>
            </w:tcBorders>
            <w:shd w:val="clear" w:color="auto" w:fill="auto"/>
            <w:vAlign w:val="bottom"/>
          </w:tcPr>
          <w:p w14:paraId="3817200C" w14:textId="77777777" w:rsidR="006C4132" w:rsidRPr="00CA13FB" w:rsidRDefault="006C4132" w:rsidP="006C4132">
            <w:pPr>
              <w:keepNext/>
              <w:keepLines/>
              <w:spacing w:before="80" w:after="80" w:line="200" w:lineRule="exact"/>
              <w:rPr>
                <w:i/>
                <w:sz w:val="16"/>
              </w:rPr>
            </w:pPr>
            <w:r>
              <w:rPr>
                <w:i/>
                <w:sz w:val="16"/>
              </w:rPr>
              <w:t>Femmes</w:t>
            </w:r>
          </w:p>
        </w:tc>
        <w:tc>
          <w:tcPr>
            <w:tcW w:w="830" w:type="dxa"/>
            <w:tcBorders>
              <w:top w:val="single" w:sz="4" w:space="0" w:color="auto"/>
              <w:bottom w:val="single" w:sz="12" w:space="0" w:color="auto"/>
              <w:right w:val="single" w:sz="24" w:space="0" w:color="FFFFFF" w:themeColor="background1"/>
            </w:tcBorders>
            <w:shd w:val="clear" w:color="auto" w:fill="auto"/>
            <w:vAlign w:val="bottom"/>
          </w:tcPr>
          <w:p w14:paraId="6A354BF7" w14:textId="77777777" w:rsidR="006C4132" w:rsidRPr="00CA13FB" w:rsidRDefault="006C4132" w:rsidP="006C4132">
            <w:pPr>
              <w:keepNext/>
              <w:keepLines/>
              <w:spacing w:before="80" w:after="80" w:line="200" w:lineRule="exact"/>
              <w:rPr>
                <w:i/>
                <w:sz w:val="16"/>
              </w:rPr>
            </w:pPr>
            <w:r>
              <w:rPr>
                <w:i/>
                <w:sz w:val="16"/>
              </w:rPr>
              <w:t>Hommes</w:t>
            </w:r>
          </w:p>
        </w:tc>
        <w:tc>
          <w:tcPr>
            <w:tcW w:w="822" w:type="dxa"/>
            <w:tcBorders>
              <w:top w:val="single" w:sz="4" w:space="0" w:color="auto"/>
              <w:left w:val="single" w:sz="24" w:space="0" w:color="FFFFFF" w:themeColor="background1"/>
              <w:bottom w:val="single" w:sz="12" w:space="0" w:color="auto"/>
            </w:tcBorders>
            <w:shd w:val="clear" w:color="auto" w:fill="auto"/>
            <w:vAlign w:val="bottom"/>
          </w:tcPr>
          <w:p w14:paraId="19B03A3E" w14:textId="77777777" w:rsidR="006C4132" w:rsidRPr="00CA13FB" w:rsidRDefault="006C4132" w:rsidP="006C4132">
            <w:pPr>
              <w:keepNext/>
              <w:keepLines/>
              <w:spacing w:before="80" w:after="80" w:line="200" w:lineRule="exact"/>
              <w:rPr>
                <w:i/>
                <w:sz w:val="16"/>
              </w:rPr>
            </w:pPr>
            <w:r>
              <w:rPr>
                <w:i/>
                <w:sz w:val="16"/>
              </w:rPr>
              <w:t>Femmes</w:t>
            </w:r>
          </w:p>
        </w:tc>
        <w:tc>
          <w:tcPr>
            <w:tcW w:w="797" w:type="dxa"/>
            <w:tcBorders>
              <w:top w:val="single" w:sz="4" w:space="0" w:color="auto"/>
              <w:bottom w:val="single" w:sz="12" w:space="0" w:color="auto"/>
              <w:right w:val="single" w:sz="24" w:space="0" w:color="FFFFFF" w:themeColor="background1"/>
            </w:tcBorders>
            <w:shd w:val="clear" w:color="auto" w:fill="auto"/>
            <w:vAlign w:val="bottom"/>
          </w:tcPr>
          <w:p w14:paraId="18B72B80" w14:textId="77777777" w:rsidR="006C4132" w:rsidRPr="00CA13FB" w:rsidRDefault="006C4132" w:rsidP="006C4132">
            <w:pPr>
              <w:keepNext/>
              <w:keepLines/>
              <w:spacing w:before="80" w:after="80" w:line="200" w:lineRule="exact"/>
              <w:rPr>
                <w:i/>
                <w:sz w:val="16"/>
              </w:rPr>
            </w:pPr>
            <w:r>
              <w:rPr>
                <w:i/>
                <w:sz w:val="16"/>
              </w:rPr>
              <w:t>Hommes</w:t>
            </w:r>
          </w:p>
        </w:tc>
        <w:tc>
          <w:tcPr>
            <w:tcW w:w="791" w:type="dxa"/>
            <w:tcBorders>
              <w:top w:val="single" w:sz="4" w:space="0" w:color="auto"/>
              <w:left w:val="single" w:sz="24" w:space="0" w:color="FFFFFF" w:themeColor="background1"/>
              <w:bottom w:val="single" w:sz="12" w:space="0" w:color="auto"/>
            </w:tcBorders>
            <w:shd w:val="clear" w:color="auto" w:fill="auto"/>
            <w:vAlign w:val="bottom"/>
          </w:tcPr>
          <w:p w14:paraId="460C9236" w14:textId="77777777" w:rsidR="006C4132" w:rsidRPr="00CA13FB" w:rsidRDefault="006C4132" w:rsidP="006C4132">
            <w:pPr>
              <w:keepNext/>
              <w:keepLines/>
              <w:spacing w:before="80" w:after="80" w:line="200" w:lineRule="exact"/>
              <w:rPr>
                <w:i/>
                <w:sz w:val="16"/>
              </w:rPr>
            </w:pPr>
            <w:r>
              <w:rPr>
                <w:i/>
                <w:sz w:val="16"/>
              </w:rPr>
              <w:t>Femmes</w:t>
            </w:r>
          </w:p>
        </w:tc>
        <w:tc>
          <w:tcPr>
            <w:tcW w:w="805" w:type="dxa"/>
            <w:tcBorders>
              <w:top w:val="single" w:sz="4" w:space="0" w:color="auto"/>
              <w:bottom w:val="single" w:sz="12" w:space="0" w:color="auto"/>
              <w:right w:val="single" w:sz="24" w:space="0" w:color="FFFFFF" w:themeColor="background1"/>
            </w:tcBorders>
            <w:shd w:val="clear" w:color="auto" w:fill="auto"/>
            <w:vAlign w:val="bottom"/>
          </w:tcPr>
          <w:p w14:paraId="6B51EABF" w14:textId="77777777" w:rsidR="006C4132" w:rsidRPr="00CA13FB" w:rsidRDefault="006C4132" w:rsidP="006C4132">
            <w:pPr>
              <w:keepNext/>
              <w:keepLines/>
              <w:spacing w:before="80" w:after="80" w:line="200" w:lineRule="exact"/>
              <w:rPr>
                <w:i/>
                <w:sz w:val="16"/>
              </w:rPr>
            </w:pPr>
            <w:r>
              <w:rPr>
                <w:i/>
                <w:sz w:val="16"/>
              </w:rPr>
              <w:t>Hommes</w:t>
            </w:r>
          </w:p>
        </w:tc>
        <w:tc>
          <w:tcPr>
            <w:tcW w:w="812" w:type="dxa"/>
            <w:tcBorders>
              <w:top w:val="single" w:sz="4" w:space="0" w:color="auto"/>
              <w:left w:val="single" w:sz="24" w:space="0" w:color="FFFFFF" w:themeColor="background1"/>
              <w:bottom w:val="single" w:sz="12" w:space="0" w:color="auto"/>
            </w:tcBorders>
            <w:shd w:val="clear" w:color="auto" w:fill="auto"/>
            <w:vAlign w:val="bottom"/>
          </w:tcPr>
          <w:p w14:paraId="40A78604" w14:textId="77777777" w:rsidR="006C4132" w:rsidRPr="00CA13FB" w:rsidRDefault="006C4132" w:rsidP="006C4132">
            <w:pPr>
              <w:keepNext/>
              <w:keepLines/>
              <w:spacing w:before="80" w:after="80" w:line="200" w:lineRule="exact"/>
              <w:rPr>
                <w:i/>
                <w:sz w:val="16"/>
              </w:rPr>
            </w:pPr>
            <w:r>
              <w:rPr>
                <w:i/>
                <w:sz w:val="16"/>
              </w:rPr>
              <w:t>Femmes</w:t>
            </w:r>
          </w:p>
        </w:tc>
        <w:tc>
          <w:tcPr>
            <w:tcW w:w="792" w:type="dxa"/>
            <w:tcBorders>
              <w:top w:val="single" w:sz="4" w:space="0" w:color="auto"/>
              <w:bottom w:val="single" w:sz="12" w:space="0" w:color="auto"/>
            </w:tcBorders>
            <w:shd w:val="clear" w:color="auto" w:fill="auto"/>
            <w:vAlign w:val="bottom"/>
          </w:tcPr>
          <w:p w14:paraId="75CD1F31" w14:textId="77777777" w:rsidR="006C4132" w:rsidRPr="00CA13FB" w:rsidRDefault="006C4132" w:rsidP="006C4132">
            <w:pPr>
              <w:keepNext/>
              <w:keepLines/>
              <w:spacing w:before="80" w:after="80" w:line="200" w:lineRule="exact"/>
              <w:rPr>
                <w:i/>
                <w:sz w:val="16"/>
              </w:rPr>
            </w:pPr>
            <w:r>
              <w:rPr>
                <w:i/>
                <w:sz w:val="16"/>
              </w:rPr>
              <w:t>Hommes</w:t>
            </w:r>
          </w:p>
        </w:tc>
      </w:tr>
      <w:tr w:rsidR="006C4132" w:rsidRPr="00D74294" w14:paraId="47F99A42" w14:textId="77777777" w:rsidTr="00A840D0">
        <w:trPr>
          <w:trHeight w:val="240"/>
        </w:trPr>
        <w:tc>
          <w:tcPr>
            <w:tcW w:w="1134" w:type="dxa"/>
            <w:vMerge w:val="restart"/>
            <w:tcBorders>
              <w:top w:val="single" w:sz="12" w:space="0" w:color="auto"/>
            </w:tcBorders>
            <w:shd w:val="clear" w:color="auto" w:fill="auto"/>
            <w:vAlign w:val="center"/>
          </w:tcPr>
          <w:p w14:paraId="03B97AFA" w14:textId="77777777" w:rsidR="006C4132" w:rsidRPr="00D74294" w:rsidRDefault="006C4132" w:rsidP="006C4132">
            <w:pPr>
              <w:pStyle w:val="SingleTxtG"/>
              <w:keepNext/>
              <w:keepLines/>
              <w:spacing w:before="40" w:after="40" w:line="220" w:lineRule="exact"/>
              <w:ind w:left="0" w:right="0"/>
              <w:jc w:val="left"/>
              <w:rPr>
                <w:sz w:val="18"/>
              </w:rPr>
            </w:pPr>
            <w:r>
              <w:rPr>
                <w:sz w:val="18"/>
              </w:rPr>
              <w:t>Nombre</w:t>
            </w:r>
          </w:p>
        </w:tc>
        <w:tc>
          <w:tcPr>
            <w:tcW w:w="993" w:type="dxa"/>
            <w:tcBorders>
              <w:top w:val="single" w:sz="12" w:space="0" w:color="auto"/>
            </w:tcBorders>
            <w:shd w:val="clear" w:color="auto" w:fill="auto"/>
          </w:tcPr>
          <w:p w14:paraId="7DAF7420" w14:textId="77777777" w:rsidR="006C4132" w:rsidRPr="00D74294" w:rsidRDefault="006C4132" w:rsidP="006C4132">
            <w:pPr>
              <w:pStyle w:val="SingleTxtG"/>
              <w:keepNext/>
              <w:keepLines/>
              <w:spacing w:before="40" w:after="40" w:line="220" w:lineRule="exact"/>
              <w:ind w:left="0" w:right="0"/>
              <w:jc w:val="left"/>
              <w:rPr>
                <w:sz w:val="18"/>
              </w:rPr>
            </w:pPr>
            <w:r>
              <w:rPr>
                <w:sz w:val="18"/>
              </w:rPr>
              <w:t>Électeurs</w:t>
            </w:r>
          </w:p>
        </w:tc>
        <w:tc>
          <w:tcPr>
            <w:tcW w:w="729" w:type="dxa"/>
            <w:tcBorders>
              <w:top w:val="single" w:sz="12" w:space="0" w:color="auto"/>
            </w:tcBorders>
            <w:shd w:val="clear" w:color="auto" w:fill="auto"/>
            <w:vAlign w:val="bottom"/>
          </w:tcPr>
          <w:p w14:paraId="4F06EF61"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11</w:t>
            </w:r>
            <w:r w:rsidR="006F4B17">
              <w:rPr>
                <w:sz w:val="18"/>
              </w:rPr>
              <w:t> </w:t>
            </w:r>
            <w:r w:rsidRPr="00D74294">
              <w:rPr>
                <w:sz w:val="18"/>
              </w:rPr>
              <w:t>055</w:t>
            </w:r>
          </w:p>
        </w:tc>
        <w:tc>
          <w:tcPr>
            <w:tcW w:w="830" w:type="dxa"/>
            <w:tcBorders>
              <w:top w:val="single" w:sz="12" w:space="0" w:color="auto"/>
            </w:tcBorders>
            <w:shd w:val="clear" w:color="auto" w:fill="auto"/>
            <w:vAlign w:val="bottom"/>
          </w:tcPr>
          <w:p w14:paraId="581A2A8A"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13</w:t>
            </w:r>
            <w:r w:rsidR="006F4B17">
              <w:rPr>
                <w:sz w:val="18"/>
              </w:rPr>
              <w:t> </w:t>
            </w:r>
            <w:r w:rsidRPr="00D74294">
              <w:rPr>
                <w:sz w:val="18"/>
              </w:rPr>
              <w:t>124</w:t>
            </w:r>
          </w:p>
        </w:tc>
        <w:tc>
          <w:tcPr>
            <w:tcW w:w="822" w:type="dxa"/>
            <w:tcBorders>
              <w:top w:val="single" w:sz="12" w:space="0" w:color="auto"/>
            </w:tcBorders>
            <w:shd w:val="clear" w:color="auto" w:fill="auto"/>
            <w:vAlign w:val="bottom"/>
          </w:tcPr>
          <w:p w14:paraId="7EDEC2DA"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13</w:t>
            </w:r>
            <w:r w:rsidR="006F4B17">
              <w:rPr>
                <w:sz w:val="18"/>
              </w:rPr>
              <w:t> </w:t>
            </w:r>
            <w:r w:rsidRPr="00D74294">
              <w:rPr>
                <w:sz w:val="18"/>
              </w:rPr>
              <w:t>608</w:t>
            </w:r>
          </w:p>
        </w:tc>
        <w:tc>
          <w:tcPr>
            <w:tcW w:w="797" w:type="dxa"/>
            <w:tcBorders>
              <w:top w:val="single" w:sz="12" w:space="0" w:color="auto"/>
            </w:tcBorders>
            <w:shd w:val="clear" w:color="auto" w:fill="auto"/>
            <w:vAlign w:val="bottom"/>
          </w:tcPr>
          <w:p w14:paraId="42E6136A"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14</w:t>
            </w:r>
            <w:r w:rsidR="006F4B17">
              <w:rPr>
                <w:sz w:val="18"/>
              </w:rPr>
              <w:t> </w:t>
            </w:r>
            <w:r w:rsidRPr="00D74294">
              <w:rPr>
                <w:sz w:val="18"/>
              </w:rPr>
              <w:t>531</w:t>
            </w:r>
          </w:p>
        </w:tc>
        <w:tc>
          <w:tcPr>
            <w:tcW w:w="791" w:type="dxa"/>
            <w:tcBorders>
              <w:top w:val="single" w:sz="12" w:space="0" w:color="auto"/>
            </w:tcBorders>
            <w:shd w:val="clear" w:color="auto" w:fill="auto"/>
            <w:vAlign w:val="bottom"/>
          </w:tcPr>
          <w:p w14:paraId="0F83AAD8"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16</w:t>
            </w:r>
            <w:r w:rsidR="006F4B17">
              <w:rPr>
                <w:sz w:val="18"/>
              </w:rPr>
              <w:t> </w:t>
            </w:r>
            <w:r w:rsidRPr="00D74294">
              <w:rPr>
                <w:sz w:val="18"/>
              </w:rPr>
              <w:t>331</w:t>
            </w:r>
          </w:p>
        </w:tc>
        <w:tc>
          <w:tcPr>
            <w:tcW w:w="805" w:type="dxa"/>
            <w:tcBorders>
              <w:top w:val="single" w:sz="12" w:space="0" w:color="auto"/>
            </w:tcBorders>
            <w:shd w:val="clear" w:color="auto" w:fill="auto"/>
            <w:vAlign w:val="bottom"/>
          </w:tcPr>
          <w:p w14:paraId="493DD212"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16</w:t>
            </w:r>
            <w:r w:rsidR="006F4B17">
              <w:rPr>
                <w:sz w:val="18"/>
              </w:rPr>
              <w:t> </w:t>
            </w:r>
            <w:r w:rsidRPr="00D74294">
              <w:rPr>
                <w:sz w:val="18"/>
              </w:rPr>
              <w:t>441</w:t>
            </w:r>
          </w:p>
        </w:tc>
        <w:tc>
          <w:tcPr>
            <w:tcW w:w="812" w:type="dxa"/>
            <w:tcBorders>
              <w:top w:val="single" w:sz="12" w:space="0" w:color="auto"/>
            </w:tcBorders>
            <w:shd w:val="clear" w:color="auto" w:fill="auto"/>
            <w:vAlign w:val="bottom"/>
          </w:tcPr>
          <w:p w14:paraId="63B0DFD1"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9</w:t>
            </w:r>
            <w:r w:rsidR="006F4B17">
              <w:rPr>
                <w:sz w:val="18"/>
              </w:rPr>
              <w:t> </w:t>
            </w:r>
            <w:r w:rsidRPr="00D74294">
              <w:rPr>
                <w:sz w:val="18"/>
              </w:rPr>
              <w:t>704</w:t>
            </w:r>
          </w:p>
        </w:tc>
        <w:tc>
          <w:tcPr>
            <w:tcW w:w="792" w:type="dxa"/>
            <w:tcBorders>
              <w:top w:val="single" w:sz="12" w:space="0" w:color="auto"/>
            </w:tcBorders>
            <w:shd w:val="clear" w:color="auto" w:fill="auto"/>
            <w:vAlign w:val="bottom"/>
          </w:tcPr>
          <w:p w14:paraId="1387489E"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12</w:t>
            </w:r>
            <w:r w:rsidR="006F4B17">
              <w:rPr>
                <w:sz w:val="18"/>
              </w:rPr>
              <w:t> </w:t>
            </w:r>
            <w:r w:rsidRPr="00D74294">
              <w:rPr>
                <w:sz w:val="18"/>
              </w:rPr>
              <w:t>031</w:t>
            </w:r>
          </w:p>
        </w:tc>
      </w:tr>
      <w:tr w:rsidR="006C4132" w:rsidRPr="00D74294" w14:paraId="01973CA0" w14:textId="77777777" w:rsidTr="004702BD">
        <w:trPr>
          <w:trHeight w:val="240"/>
        </w:trPr>
        <w:tc>
          <w:tcPr>
            <w:tcW w:w="1134" w:type="dxa"/>
            <w:vMerge/>
            <w:shd w:val="clear" w:color="auto" w:fill="auto"/>
          </w:tcPr>
          <w:p w14:paraId="4D9FAD0B" w14:textId="77777777" w:rsidR="006C4132" w:rsidRPr="00D74294" w:rsidRDefault="006C4132" w:rsidP="006C4132">
            <w:pPr>
              <w:pStyle w:val="SingleTxtG"/>
              <w:keepNext/>
              <w:keepLines/>
              <w:spacing w:before="40" w:after="40" w:line="220" w:lineRule="exact"/>
              <w:ind w:left="0" w:right="0"/>
              <w:jc w:val="left"/>
              <w:rPr>
                <w:sz w:val="18"/>
              </w:rPr>
            </w:pPr>
          </w:p>
        </w:tc>
        <w:tc>
          <w:tcPr>
            <w:tcW w:w="993" w:type="dxa"/>
            <w:shd w:val="clear" w:color="auto" w:fill="auto"/>
          </w:tcPr>
          <w:p w14:paraId="01BE5B63" w14:textId="77777777" w:rsidR="006C4132" w:rsidRPr="00D74294" w:rsidRDefault="006C4132" w:rsidP="006C4132">
            <w:pPr>
              <w:pStyle w:val="SingleTxtG"/>
              <w:keepNext/>
              <w:keepLines/>
              <w:spacing w:before="40" w:after="40" w:line="220" w:lineRule="exact"/>
              <w:ind w:left="0" w:right="0"/>
              <w:jc w:val="left"/>
              <w:rPr>
                <w:sz w:val="18"/>
              </w:rPr>
            </w:pPr>
            <w:r w:rsidRPr="00D74294">
              <w:rPr>
                <w:sz w:val="18"/>
              </w:rPr>
              <w:t>Votants</w:t>
            </w:r>
          </w:p>
        </w:tc>
        <w:tc>
          <w:tcPr>
            <w:tcW w:w="729" w:type="dxa"/>
            <w:shd w:val="clear" w:color="auto" w:fill="auto"/>
            <w:vAlign w:val="bottom"/>
          </w:tcPr>
          <w:p w14:paraId="7EC49703"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2</w:t>
            </w:r>
            <w:r w:rsidR="006F4B17">
              <w:rPr>
                <w:sz w:val="18"/>
              </w:rPr>
              <w:t> </w:t>
            </w:r>
            <w:r w:rsidRPr="00D74294">
              <w:rPr>
                <w:sz w:val="18"/>
              </w:rPr>
              <w:t>985</w:t>
            </w:r>
          </w:p>
        </w:tc>
        <w:tc>
          <w:tcPr>
            <w:tcW w:w="830" w:type="dxa"/>
            <w:shd w:val="clear" w:color="auto" w:fill="auto"/>
            <w:vAlign w:val="bottom"/>
          </w:tcPr>
          <w:p w14:paraId="56E25B2E"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4</w:t>
            </w:r>
            <w:r w:rsidR="006F4B17">
              <w:rPr>
                <w:sz w:val="18"/>
              </w:rPr>
              <w:t> </w:t>
            </w:r>
            <w:r w:rsidRPr="00D74294">
              <w:rPr>
                <w:sz w:val="18"/>
              </w:rPr>
              <w:t>757</w:t>
            </w:r>
          </w:p>
        </w:tc>
        <w:tc>
          <w:tcPr>
            <w:tcW w:w="822" w:type="dxa"/>
            <w:shd w:val="clear" w:color="auto" w:fill="auto"/>
            <w:vAlign w:val="bottom"/>
          </w:tcPr>
          <w:p w14:paraId="44D0E5AD"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7</w:t>
            </w:r>
            <w:r w:rsidR="006F4B17">
              <w:rPr>
                <w:sz w:val="18"/>
              </w:rPr>
              <w:t> </w:t>
            </w:r>
            <w:r w:rsidRPr="00D74294">
              <w:rPr>
                <w:sz w:val="18"/>
              </w:rPr>
              <w:t>054</w:t>
            </w:r>
          </w:p>
        </w:tc>
        <w:tc>
          <w:tcPr>
            <w:tcW w:w="797" w:type="dxa"/>
            <w:shd w:val="clear" w:color="auto" w:fill="auto"/>
            <w:vAlign w:val="bottom"/>
          </w:tcPr>
          <w:p w14:paraId="1D080241"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6</w:t>
            </w:r>
            <w:r w:rsidR="006F4B17">
              <w:rPr>
                <w:sz w:val="18"/>
              </w:rPr>
              <w:t> </w:t>
            </w:r>
            <w:r w:rsidRPr="00D74294">
              <w:rPr>
                <w:sz w:val="18"/>
              </w:rPr>
              <w:t>905</w:t>
            </w:r>
          </w:p>
        </w:tc>
        <w:tc>
          <w:tcPr>
            <w:tcW w:w="791" w:type="dxa"/>
            <w:shd w:val="clear" w:color="auto" w:fill="auto"/>
            <w:vAlign w:val="bottom"/>
          </w:tcPr>
          <w:p w14:paraId="574B3A60"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6</w:t>
            </w:r>
            <w:r w:rsidR="006F4B17">
              <w:rPr>
                <w:sz w:val="18"/>
              </w:rPr>
              <w:t> </w:t>
            </w:r>
            <w:r w:rsidRPr="00D74294">
              <w:rPr>
                <w:sz w:val="18"/>
              </w:rPr>
              <w:t>120</w:t>
            </w:r>
          </w:p>
        </w:tc>
        <w:tc>
          <w:tcPr>
            <w:tcW w:w="805" w:type="dxa"/>
            <w:shd w:val="clear" w:color="auto" w:fill="auto"/>
            <w:vAlign w:val="bottom"/>
          </w:tcPr>
          <w:p w14:paraId="7C0B48A4"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7</w:t>
            </w:r>
            <w:r w:rsidR="006F4B17">
              <w:rPr>
                <w:sz w:val="18"/>
              </w:rPr>
              <w:t> </w:t>
            </w:r>
            <w:r w:rsidRPr="00D74294">
              <w:rPr>
                <w:sz w:val="18"/>
              </w:rPr>
              <w:t>486</w:t>
            </w:r>
          </w:p>
        </w:tc>
        <w:tc>
          <w:tcPr>
            <w:tcW w:w="812" w:type="dxa"/>
            <w:shd w:val="clear" w:color="auto" w:fill="auto"/>
            <w:vAlign w:val="bottom"/>
          </w:tcPr>
          <w:p w14:paraId="57EEBEA0"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6</w:t>
            </w:r>
            <w:r w:rsidR="006F4B17">
              <w:rPr>
                <w:sz w:val="18"/>
              </w:rPr>
              <w:t> </w:t>
            </w:r>
            <w:r w:rsidRPr="00D74294">
              <w:rPr>
                <w:sz w:val="18"/>
              </w:rPr>
              <w:t>826</w:t>
            </w:r>
          </w:p>
        </w:tc>
        <w:tc>
          <w:tcPr>
            <w:tcW w:w="792" w:type="dxa"/>
            <w:shd w:val="clear" w:color="auto" w:fill="auto"/>
            <w:vAlign w:val="bottom"/>
          </w:tcPr>
          <w:p w14:paraId="7D13F47C"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7</w:t>
            </w:r>
            <w:r w:rsidR="006F4B17">
              <w:rPr>
                <w:sz w:val="18"/>
              </w:rPr>
              <w:t> </w:t>
            </w:r>
            <w:r w:rsidRPr="00D74294">
              <w:rPr>
                <w:sz w:val="18"/>
              </w:rPr>
              <w:t>844</w:t>
            </w:r>
          </w:p>
        </w:tc>
      </w:tr>
      <w:tr w:rsidR="006C4132" w:rsidRPr="00D74294" w14:paraId="6DE438A8" w14:textId="77777777" w:rsidTr="004702BD">
        <w:trPr>
          <w:trHeight w:val="240"/>
        </w:trPr>
        <w:tc>
          <w:tcPr>
            <w:tcW w:w="1134" w:type="dxa"/>
            <w:vMerge/>
            <w:shd w:val="clear" w:color="auto" w:fill="auto"/>
          </w:tcPr>
          <w:p w14:paraId="21FD781B" w14:textId="77777777" w:rsidR="006C4132" w:rsidRPr="00D74294" w:rsidRDefault="006C4132" w:rsidP="006C4132">
            <w:pPr>
              <w:pStyle w:val="SingleTxtG"/>
              <w:keepNext/>
              <w:keepLines/>
              <w:spacing w:before="40" w:after="40" w:line="220" w:lineRule="exact"/>
              <w:ind w:left="0" w:right="0"/>
              <w:jc w:val="left"/>
              <w:rPr>
                <w:sz w:val="18"/>
              </w:rPr>
            </w:pPr>
          </w:p>
        </w:tc>
        <w:tc>
          <w:tcPr>
            <w:tcW w:w="993" w:type="dxa"/>
            <w:shd w:val="clear" w:color="auto" w:fill="auto"/>
          </w:tcPr>
          <w:p w14:paraId="13F55D35" w14:textId="77777777" w:rsidR="006C4132" w:rsidRPr="00D74294" w:rsidRDefault="006C4132" w:rsidP="006C4132">
            <w:pPr>
              <w:pStyle w:val="SingleTxtG"/>
              <w:keepNext/>
              <w:keepLines/>
              <w:spacing w:before="40" w:after="40" w:line="220" w:lineRule="exact"/>
              <w:ind w:left="0" w:right="0"/>
              <w:jc w:val="left"/>
              <w:rPr>
                <w:sz w:val="18"/>
              </w:rPr>
            </w:pPr>
            <w:r w:rsidRPr="00D74294">
              <w:rPr>
                <w:sz w:val="18"/>
              </w:rPr>
              <w:t>Candidats</w:t>
            </w:r>
          </w:p>
        </w:tc>
        <w:tc>
          <w:tcPr>
            <w:tcW w:w="729" w:type="dxa"/>
            <w:shd w:val="clear" w:color="auto" w:fill="auto"/>
            <w:vAlign w:val="bottom"/>
          </w:tcPr>
          <w:p w14:paraId="47057E7A"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1</w:t>
            </w:r>
          </w:p>
        </w:tc>
        <w:tc>
          <w:tcPr>
            <w:tcW w:w="830" w:type="dxa"/>
            <w:shd w:val="clear" w:color="auto" w:fill="auto"/>
            <w:vAlign w:val="bottom"/>
          </w:tcPr>
          <w:p w14:paraId="38D1E3B4"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83</w:t>
            </w:r>
          </w:p>
        </w:tc>
        <w:tc>
          <w:tcPr>
            <w:tcW w:w="822" w:type="dxa"/>
            <w:shd w:val="clear" w:color="auto" w:fill="auto"/>
            <w:vAlign w:val="bottom"/>
          </w:tcPr>
          <w:p w14:paraId="67193639"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3</w:t>
            </w:r>
          </w:p>
        </w:tc>
        <w:tc>
          <w:tcPr>
            <w:tcW w:w="797" w:type="dxa"/>
            <w:shd w:val="clear" w:color="auto" w:fill="auto"/>
            <w:vAlign w:val="bottom"/>
          </w:tcPr>
          <w:p w14:paraId="4D420DA3"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113</w:t>
            </w:r>
          </w:p>
        </w:tc>
        <w:tc>
          <w:tcPr>
            <w:tcW w:w="791" w:type="dxa"/>
            <w:shd w:val="clear" w:color="auto" w:fill="auto"/>
            <w:vAlign w:val="bottom"/>
          </w:tcPr>
          <w:p w14:paraId="7A11F363"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4</w:t>
            </w:r>
          </w:p>
        </w:tc>
        <w:tc>
          <w:tcPr>
            <w:tcW w:w="805" w:type="dxa"/>
            <w:shd w:val="clear" w:color="auto" w:fill="auto"/>
            <w:vAlign w:val="bottom"/>
          </w:tcPr>
          <w:p w14:paraId="1DB3209E"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97</w:t>
            </w:r>
          </w:p>
        </w:tc>
        <w:tc>
          <w:tcPr>
            <w:tcW w:w="812" w:type="dxa"/>
            <w:shd w:val="clear" w:color="auto" w:fill="auto"/>
            <w:vAlign w:val="bottom"/>
          </w:tcPr>
          <w:p w14:paraId="7BF7066A"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5</w:t>
            </w:r>
          </w:p>
        </w:tc>
        <w:tc>
          <w:tcPr>
            <w:tcW w:w="792" w:type="dxa"/>
            <w:shd w:val="clear" w:color="auto" w:fill="auto"/>
            <w:vAlign w:val="bottom"/>
          </w:tcPr>
          <w:p w14:paraId="4EBE197A"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131</w:t>
            </w:r>
          </w:p>
        </w:tc>
      </w:tr>
      <w:tr w:rsidR="006C4132" w:rsidRPr="00D74294" w14:paraId="42B9FABA" w14:textId="77777777" w:rsidTr="004702BD">
        <w:trPr>
          <w:trHeight w:val="240"/>
        </w:trPr>
        <w:tc>
          <w:tcPr>
            <w:tcW w:w="1134" w:type="dxa"/>
            <w:vMerge/>
            <w:shd w:val="clear" w:color="auto" w:fill="auto"/>
          </w:tcPr>
          <w:p w14:paraId="675E6EFA" w14:textId="77777777" w:rsidR="006C4132" w:rsidRPr="00D74294" w:rsidRDefault="006C4132" w:rsidP="006C4132">
            <w:pPr>
              <w:pStyle w:val="SingleTxtG"/>
              <w:keepNext/>
              <w:keepLines/>
              <w:spacing w:before="40" w:after="40" w:line="220" w:lineRule="exact"/>
              <w:ind w:left="0" w:right="0"/>
              <w:jc w:val="left"/>
              <w:rPr>
                <w:sz w:val="18"/>
                <w:rtl/>
              </w:rPr>
            </w:pPr>
          </w:p>
        </w:tc>
        <w:tc>
          <w:tcPr>
            <w:tcW w:w="993" w:type="dxa"/>
            <w:shd w:val="clear" w:color="auto" w:fill="auto"/>
          </w:tcPr>
          <w:p w14:paraId="2CD46708" w14:textId="77777777" w:rsidR="006C4132" w:rsidRPr="00D74294" w:rsidRDefault="006C4132" w:rsidP="006C4132">
            <w:pPr>
              <w:pStyle w:val="SingleTxtG"/>
              <w:keepNext/>
              <w:keepLines/>
              <w:spacing w:before="40" w:after="40" w:line="220" w:lineRule="exact"/>
              <w:ind w:left="0" w:right="0"/>
              <w:jc w:val="left"/>
              <w:rPr>
                <w:sz w:val="18"/>
              </w:rPr>
            </w:pPr>
            <w:r>
              <w:rPr>
                <w:sz w:val="18"/>
              </w:rPr>
              <w:t>Élus</w:t>
            </w:r>
          </w:p>
        </w:tc>
        <w:tc>
          <w:tcPr>
            <w:tcW w:w="729" w:type="dxa"/>
            <w:shd w:val="clear" w:color="auto" w:fill="auto"/>
            <w:vAlign w:val="bottom"/>
          </w:tcPr>
          <w:p w14:paraId="6B815B32"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1</w:t>
            </w:r>
          </w:p>
        </w:tc>
        <w:tc>
          <w:tcPr>
            <w:tcW w:w="830" w:type="dxa"/>
            <w:shd w:val="clear" w:color="auto" w:fill="auto"/>
            <w:vAlign w:val="bottom"/>
          </w:tcPr>
          <w:p w14:paraId="5C947D55"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28</w:t>
            </w:r>
          </w:p>
        </w:tc>
        <w:tc>
          <w:tcPr>
            <w:tcW w:w="822" w:type="dxa"/>
            <w:shd w:val="clear" w:color="auto" w:fill="auto"/>
            <w:vAlign w:val="bottom"/>
          </w:tcPr>
          <w:p w14:paraId="4798FC92"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1</w:t>
            </w:r>
          </w:p>
        </w:tc>
        <w:tc>
          <w:tcPr>
            <w:tcW w:w="797" w:type="dxa"/>
            <w:shd w:val="clear" w:color="auto" w:fill="auto"/>
            <w:vAlign w:val="bottom"/>
          </w:tcPr>
          <w:p w14:paraId="531E4CF2"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28</w:t>
            </w:r>
          </w:p>
        </w:tc>
        <w:tc>
          <w:tcPr>
            <w:tcW w:w="791" w:type="dxa"/>
            <w:shd w:val="clear" w:color="auto" w:fill="auto"/>
            <w:vAlign w:val="bottom"/>
          </w:tcPr>
          <w:p w14:paraId="4C7ACCEF"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1</w:t>
            </w:r>
          </w:p>
        </w:tc>
        <w:tc>
          <w:tcPr>
            <w:tcW w:w="805" w:type="dxa"/>
            <w:shd w:val="clear" w:color="auto" w:fill="auto"/>
            <w:vAlign w:val="bottom"/>
          </w:tcPr>
          <w:p w14:paraId="1E14D1AE"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28</w:t>
            </w:r>
          </w:p>
        </w:tc>
        <w:tc>
          <w:tcPr>
            <w:tcW w:w="812" w:type="dxa"/>
            <w:shd w:val="clear" w:color="auto" w:fill="auto"/>
            <w:vAlign w:val="bottom"/>
          </w:tcPr>
          <w:p w14:paraId="1FBCC66C"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2</w:t>
            </w:r>
          </w:p>
        </w:tc>
        <w:tc>
          <w:tcPr>
            <w:tcW w:w="792" w:type="dxa"/>
            <w:shd w:val="clear" w:color="auto" w:fill="auto"/>
            <w:vAlign w:val="bottom"/>
          </w:tcPr>
          <w:p w14:paraId="2814D848" w14:textId="77777777" w:rsidR="006C4132" w:rsidRPr="00D74294" w:rsidRDefault="006C4132" w:rsidP="006C4132">
            <w:pPr>
              <w:pStyle w:val="SingleTxtG"/>
              <w:keepNext/>
              <w:keepLines/>
              <w:spacing w:before="40" w:after="40" w:line="220" w:lineRule="exact"/>
              <w:ind w:left="113" w:right="28"/>
              <w:jc w:val="right"/>
              <w:rPr>
                <w:sz w:val="18"/>
              </w:rPr>
            </w:pPr>
            <w:r w:rsidRPr="00D74294">
              <w:rPr>
                <w:sz w:val="18"/>
              </w:rPr>
              <w:t>27</w:t>
            </w:r>
          </w:p>
        </w:tc>
      </w:tr>
      <w:tr w:rsidR="006C4132" w:rsidRPr="00D74294" w14:paraId="55E63BA8" w14:textId="77777777" w:rsidTr="00A840D0">
        <w:trPr>
          <w:trHeight w:val="240"/>
        </w:trPr>
        <w:tc>
          <w:tcPr>
            <w:tcW w:w="1134" w:type="dxa"/>
            <w:vMerge w:val="restart"/>
            <w:shd w:val="clear" w:color="auto" w:fill="auto"/>
            <w:vAlign w:val="center"/>
          </w:tcPr>
          <w:p w14:paraId="73D490BA" w14:textId="77777777" w:rsidR="006C4132" w:rsidRPr="00D74294" w:rsidRDefault="006C4132" w:rsidP="00A840D0">
            <w:pPr>
              <w:pStyle w:val="SingleTxtG"/>
              <w:keepNext/>
              <w:keepLines/>
              <w:spacing w:before="40" w:after="40" w:line="220" w:lineRule="exact"/>
              <w:ind w:left="0" w:right="0"/>
              <w:jc w:val="left"/>
              <w:rPr>
                <w:sz w:val="18"/>
              </w:rPr>
            </w:pPr>
            <w:r>
              <w:rPr>
                <w:sz w:val="18"/>
              </w:rPr>
              <w:t>Pourcentage</w:t>
            </w:r>
          </w:p>
        </w:tc>
        <w:tc>
          <w:tcPr>
            <w:tcW w:w="993" w:type="dxa"/>
            <w:shd w:val="clear" w:color="auto" w:fill="auto"/>
          </w:tcPr>
          <w:p w14:paraId="3CC123A2" w14:textId="77777777" w:rsidR="006C4132" w:rsidRPr="00D74294" w:rsidRDefault="006C4132" w:rsidP="006C4132">
            <w:pPr>
              <w:pStyle w:val="SingleTxtG"/>
              <w:spacing w:before="40" w:after="40" w:line="220" w:lineRule="exact"/>
              <w:ind w:left="0" w:right="0"/>
              <w:jc w:val="left"/>
              <w:rPr>
                <w:sz w:val="18"/>
              </w:rPr>
            </w:pPr>
            <w:r>
              <w:rPr>
                <w:sz w:val="18"/>
              </w:rPr>
              <w:t>Électeurs</w:t>
            </w:r>
          </w:p>
        </w:tc>
        <w:tc>
          <w:tcPr>
            <w:tcW w:w="729" w:type="dxa"/>
            <w:shd w:val="clear" w:color="auto" w:fill="auto"/>
            <w:vAlign w:val="bottom"/>
          </w:tcPr>
          <w:p w14:paraId="5880E5A0" w14:textId="77777777" w:rsidR="006C4132" w:rsidRPr="00D74294" w:rsidRDefault="006C4132" w:rsidP="006C4132">
            <w:pPr>
              <w:pStyle w:val="SingleTxtG"/>
              <w:spacing w:before="40" w:after="40" w:line="220" w:lineRule="exact"/>
              <w:ind w:left="113" w:right="28"/>
              <w:jc w:val="right"/>
              <w:rPr>
                <w:sz w:val="18"/>
              </w:rPr>
            </w:pPr>
            <w:r w:rsidRPr="00D74294">
              <w:rPr>
                <w:sz w:val="18"/>
              </w:rPr>
              <w:t>45,7</w:t>
            </w:r>
          </w:p>
        </w:tc>
        <w:tc>
          <w:tcPr>
            <w:tcW w:w="830" w:type="dxa"/>
            <w:shd w:val="clear" w:color="auto" w:fill="auto"/>
            <w:vAlign w:val="bottom"/>
          </w:tcPr>
          <w:p w14:paraId="63F61AEB" w14:textId="77777777" w:rsidR="006C4132" w:rsidRPr="00D74294" w:rsidRDefault="006C4132" w:rsidP="006C4132">
            <w:pPr>
              <w:pStyle w:val="SingleTxtG"/>
              <w:spacing w:before="40" w:after="40" w:line="220" w:lineRule="exact"/>
              <w:ind w:left="113" w:right="28"/>
              <w:jc w:val="right"/>
              <w:rPr>
                <w:sz w:val="18"/>
              </w:rPr>
            </w:pPr>
            <w:r w:rsidRPr="00D74294">
              <w:rPr>
                <w:sz w:val="18"/>
              </w:rPr>
              <w:t>54,3</w:t>
            </w:r>
          </w:p>
        </w:tc>
        <w:tc>
          <w:tcPr>
            <w:tcW w:w="822" w:type="dxa"/>
            <w:shd w:val="clear" w:color="auto" w:fill="auto"/>
            <w:vAlign w:val="bottom"/>
          </w:tcPr>
          <w:p w14:paraId="73738382" w14:textId="77777777" w:rsidR="006C4132" w:rsidRPr="00D74294" w:rsidRDefault="006C4132" w:rsidP="006C4132">
            <w:pPr>
              <w:pStyle w:val="SingleTxtG"/>
              <w:spacing w:before="40" w:after="40" w:line="220" w:lineRule="exact"/>
              <w:ind w:left="113" w:right="28"/>
              <w:jc w:val="right"/>
              <w:rPr>
                <w:sz w:val="18"/>
              </w:rPr>
            </w:pPr>
            <w:r w:rsidRPr="00D74294">
              <w:rPr>
                <w:sz w:val="18"/>
              </w:rPr>
              <w:t>48,4</w:t>
            </w:r>
          </w:p>
        </w:tc>
        <w:tc>
          <w:tcPr>
            <w:tcW w:w="797" w:type="dxa"/>
            <w:shd w:val="clear" w:color="auto" w:fill="auto"/>
            <w:vAlign w:val="bottom"/>
          </w:tcPr>
          <w:p w14:paraId="3188FFC6" w14:textId="77777777" w:rsidR="006C4132" w:rsidRPr="00D74294" w:rsidRDefault="006C4132" w:rsidP="006C4132">
            <w:pPr>
              <w:pStyle w:val="SingleTxtG"/>
              <w:spacing w:before="40" w:after="40" w:line="220" w:lineRule="exact"/>
              <w:ind w:left="113" w:right="28"/>
              <w:jc w:val="right"/>
              <w:rPr>
                <w:sz w:val="18"/>
              </w:rPr>
            </w:pPr>
            <w:r w:rsidRPr="00D74294">
              <w:rPr>
                <w:sz w:val="18"/>
              </w:rPr>
              <w:t>51,6</w:t>
            </w:r>
          </w:p>
        </w:tc>
        <w:tc>
          <w:tcPr>
            <w:tcW w:w="791" w:type="dxa"/>
            <w:shd w:val="clear" w:color="auto" w:fill="auto"/>
            <w:vAlign w:val="bottom"/>
          </w:tcPr>
          <w:p w14:paraId="6FC917FB" w14:textId="77777777" w:rsidR="006C4132" w:rsidRPr="00D74294" w:rsidRDefault="006C4132" w:rsidP="006C4132">
            <w:pPr>
              <w:pStyle w:val="SingleTxtG"/>
              <w:spacing w:before="40" w:after="40" w:line="220" w:lineRule="exact"/>
              <w:ind w:left="113" w:right="28"/>
              <w:jc w:val="right"/>
              <w:rPr>
                <w:sz w:val="18"/>
              </w:rPr>
            </w:pPr>
            <w:r w:rsidRPr="00D74294">
              <w:rPr>
                <w:sz w:val="18"/>
              </w:rPr>
              <w:t>49,7</w:t>
            </w:r>
          </w:p>
        </w:tc>
        <w:tc>
          <w:tcPr>
            <w:tcW w:w="805" w:type="dxa"/>
            <w:shd w:val="clear" w:color="auto" w:fill="auto"/>
            <w:vAlign w:val="bottom"/>
          </w:tcPr>
          <w:p w14:paraId="10A9FC36" w14:textId="77777777" w:rsidR="006C4132" w:rsidRPr="00D74294" w:rsidRDefault="006C4132" w:rsidP="006C4132">
            <w:pPr>
              <w:pStyle w:val="SingleTxtG"/>
              <w:spacing w:before="40" w:after="40" w:line="220" w:lineRule="exact"/>
              <w:ind w:left="113" w:right="28"/>
              <w:jc w:val="right"/>
              <w:rPr>
                <w:sz w:val="18"/>
              </w:rPr>
            </w:pPr>
            <w:r w:rsidRPr="00D74294">
              <w:rPr>
                <w:sz w:val="18"/>
              </w:rPr>
              <w:t>50,3</w:t>
            </w:r>
          </w:p>
        </w:tc>
        <w:tc>
          <w:tcPr>
            <w:tcW w:w="812" w:type="dxa"/>
            <w:shd w:val="clear" w:color="auto" w:fill="auto"/>
            <w:vAlign w:val="bottom"/>
          </w:tcPr>
          <w:p w14:paraId="643D5930" w14:textId="77777777" w:rsidR="006C4132" w:rsidRPr="00D74294" w:rsidRDefault="006C4132" w:rsidP="006C4132">
            <w:pPr>
              <w:pStyle w:val="SingleTxtG"/>
              <w:spacing w:before="40" w:after="40" w:line="220" w:lineRule="exact"/>
              <w:ind w:left="113" w:right="28"/>
              <w:jc w:val="right"/>
              <w:rPr>
                <w:sz w:val="18"/>
              </w:rPr>
            </w:pPr>
            <w:r w:rsidRPr="00D74294">
              <w:rPr>
                <w:sz w:val="18"/>
              </w:rPr>
              <w:t>44,6</w:t>
            </w:r>
          </w:p>
        </w:tc>
        <w:tc>
          <w:tcPr>
            <w:tcW w:w="792" w:type="dxa"/>
            <w:shd w:val="clear" w:color="auto" w:fill="auto"/>
            <w:vAlign w:val="bottom"/>
          </w:tcPr>
          <w:p w14:paraId="209381C6" w14:textId="77777777" w:rsidR="006C4132" w:rsidRPr="00D74294" w:rsidRDefault="006C4132" w:rsidP="006C4132">
            <w:pPr>
              <w:pStyle w:val="SingleTxtG"/>
              <w:spacing w:before="40" w:after="40" w:line="220" w:lineRule="exact"/>
              <w:ind w:left="113" w:right="28"/>
              <w:jc w:val="right"/>
              <w:rPr>
                <w:sz w:val="18"/>
              </w:rPr>
            </w:pPr>
            <w:r w:rsidRPr="00D74294">
              <w:rPr>
                <w:sz w:val="18"/>
              </w:rPr>
              <w:t>55,4</w:t>
            </w:r>
          </w:p>
        </w:tc>
      </w:tr>
      <w:tr w:rsidR="006C4132" w:rsidRPr="00D74294" w14:paraId="7AA57F50" w14:textId="77777777" w:rsidTr="004702BD">
        <w:trPr>
          <w:trHeight w:val="240"/>
        </w:trPr>
        <w:tc>
          <w:tcPr>
            <w:tcW w:w="1134" w:type="dxa"/>
            <w:vMerge/>
            <w:shd w:val="clear" w:color="auto" w:fill="auto"/>
          </w:tcPr>
          <w:p w14:paraId="7C8B74BE" w14:textId="77777777" w:rsidR="006C4132" w:rsidRPr="00D74294" w:rsidRDefault="006C4132" w:rsidP="006C4132">
            <w:pPr>
              <w:pStyle w:val="SingleTxtG"/>
              <w:spacing w:before="40" w:after="40" w:line="220" w:lineRule="exact"/>
              <w:ind w:left="0" w:right="0"/>
              <w:jc w:val="left"/>
              <w:rPr>
                <w:sz w:val="18"/>
                <w:rtl/>
              </w:rPr>
            </w:pPr>
          </w:p>
        </w:tc>
        <w:tc>
          <w:tcPr>
            <w:tcW w:w="993" w:type="dxa"/>
            <w:shd w:val="clear" w:color="auto" w:fill="auto"/>
          </w:tcPr>
          <w:p w14:paraId="0D0A9FA0" w14:textId="77777777" w:rsidR="006C4132" w:rsidRPr="00D74294" w:rsidRDefault="006C4132" w:rsidP="006C4132">
            <w:pPr>
              <w:pStyle w:val="SingleTxtG"/>
              <w:spacing w:before="40" w:after="40" w:line="220" w:lineRule="exact"/>
              <w:ind w:left="0" w:right="0"/>
              <w:jc w:val="left"/>
              <w:rPr>
                <w:sz w:val="18"/>
              </w:rPr>
            </w:pPr>
            <w:r w:rsidRPr="00D74294">
              <w:rPr>
                <w:sz w:val="18"/>
              </w:rPr>
              <w:t>Votants</w:t>
            </w:r>
          </w:p>
        </w:tc>
        <w:tc>
          <w:tcPr>
            <w:tcW w:w="729" w:type="dxa"/>
            <w:shd w:val="clear" w:color="auto" w:fill="auto"/>
            <w:vAlign w:val="bottom"/>
          </w:tcPr>
          <w:p w14:paraId="6B9A87AD" w14:textId="77777777" w:rsidR="006C4132" w:rsidRPr="00D74294" w:rsidRDefault="006C4132" w:rsidP="006C4132">
            <w:pPr>
              <w:pStyle w:val="SingleTxtG"/>
              <w:spacing w:before="40" w:after="40" w:line="220" w:lineRule="exact"/>
              <w:ind w:left="113" w:right="28"/>
              <w:jc w:val="right"/>
              <w:rPr>
                <w:sz w:val="18"/>
              </w:rPr>
            </w:pPr>
            <w:r w:rsidRPr="00D74294">
              <w:rPr>
                <w:sz w:val="18"/>
              </w:rPr>
              <w:t>38,6</w:t>
            </w:r>
          </w:p>
        </w:tc>
        <w:tc>
          <w:tcPr>
            <w:tcW w:w="830" w:type="dxa"/>
            <w:shd w:val="clear" w:color="auto" w:fill="auto"/>
            <w:vAlign w:val="bottom"/>
          </w:tcPr>
          <w:p w14:paraId="2253EDC9" w14:textId="77777777" w:rsidR="006C4132" w:rsidRPr="00D74294" w:rsidRDefault="006C4132" w:rsidP="006C4132">
            <w:pPr>
              <w:pStyle w:val="SingleTxtG"/>
              <w:spacing w:before="40" w:after="40" w:line="220" w:lineRule="exact"/>
              <w:ind w:left="113" w:right="28"/>
              <w:jc w:val="right"/>
              <w:rPr>
                <w:sz w:val="18"/>
              </w:rPr>
            </w:pPr>
            <w:r w:rsidRPr="00D74294">
              <w:rPr>
                <w:sz w:val="18"/>
              </w:rPr>
              <w:t>61,4</w:t>
            </w:r>
          </w:p>
        </w:tc>
        <w:tc>
          <w:tcPr>
            <w:tcW w:w="822" w:type="dxa"/>
            <w:shd w:val="clear" w:color="auto" w:fill="auto"/>
            <w:vAlign w:val="bottom"/>
          </w:tcPr>
          <w:p w14:paraId="08D60E44" w14:textId="77777777" w:rsidR="006C4132" w:rsidRPr="00D74294" w:rsidRDefault="006C4132" w:rsidP="006C4132">
            <w:pPr>
              <w:pStyle w:val="SingleTxtG"/>
              <w:spacing w:before="40" w:after="40" w:line="220" w:lineRule="exact"/>
              <w:ind w:left="113" w:right="28"/>
              <w:jc w:val="right"/>
              <w:rPr>
                <w:sz w:val="18"/>
              </w:rPr>
            </w:pPr>
            <w:r w:rsidRPr="00D74294">
              <w:rPr>
                <w:sz w:val="18"/>
              </w:rPr>
              <w:t>50,5</w:t>
            </w:r>
          </w:p>
        </w:tc>
        <w:tc>
          <w:tcPr>
            <w:tcW w:w="797" w:type="dxa"/>
            <w:shd w:val="clear" w:color="auto" w:fill="auto"/>
            <w:vAlign w:val="bottom"/>
          </w:tcPr>
          <w:p w14:paraId="16EDFCCE" w14:textId="77777777" w:rsidR="006C4132" w:rsidRPr="00D74294" w:rsidRDefault="006C4132" w:rsidP="006C4132">
            <w:pPr>
              <w:pStyle w:val="SingleTxtG"/>
              <w:spacing w:before="40" w:after="40" w:line="220" w:lineRule="exact"/>
              <w:ind w:left="113" w:right="28"/>
              <w:jc w:val="right"/>
              <w:rPr>
                <w:sz w:val="18"/>
              </w:rPr>
            </w:pPr>
            <w:r w:rsidRPr="00D74294">
              <w:rPr>
                <w:sz w:val="18"/>
              </w:rPr>
              <w:t>49,5</w:t>
            </w:r>
          </w:p>
        </w:tc>
        <w:tc>
          <w:tcPr>
            <w:tcW w:w="791" w:type="dxa"/>
            <w:shd w:val="clear" w:color="auto" w:fill="auto"/>
            <w:vAlign w:val="bottom"/>
          </w:tcPr>
          <w:p w14:paraId="430823DB" w14:textId="77777777" w:rsidR="006C4132" w:rsidRPr="00D74294" w:rsidRDefault="006C4132" w:rsidP="006C4132">
            <w:pPr>
              <w:pStyle w:val="SingleTxtG"/>
              <w:spacing w:before="40" w:after="40" w:line="220" w:lineRule="exact"/>
              <w:ind w:left="113" w:right="28"/>
              <w:jc w:val="right"/>
              <w:rPr>
                <w:sz w:val="18"/>
              </w:rPr>
            </w:pPr>
            <w:r w:rsidRPr="00D74294">
              <w:rPr>
                <w:sz w:val="18"/>
              </w:rPr>
              <w:t>45,0</w:t>
            </w:r>
          </w:p>
        </w:tc>
        <w:tc>
          <w:tcPr>
            <w:tcW w:w="805" w:type="dxa"/>
            <w:shd w:val="clear" w:color="auto" w:fill="auto"/>
            <w:vAlign w:val="bottom"/>
          </w:tcPr>
          <w:p w14:paraId="2A546B2A" w14:textId="77777777" w:rsidR="006C4132" w:rsidRPr="00D74294" w:rsidRDefault="006C4132" w:rsidP="006C4132">
            <w:pPr>
              <w:pStyle w:val="SingleTxtG"/>
              <w:spacing w:before="40" w:after="40" w:line="220" w:lineRule="exact"/>
              <w:ind w:left="113" w:right="28"/>
              <w:jc w:val="right"/>
              <w:rPr>
                <w:sz w:val="18"/>
              </w:rPr>
            </w:pPr>
            <w:r w:rsidRPr="00D74294">
              <w:rPr>
                <w:sz w:val="18"/>
              </w:rPr>
              <w:t>55,0</w:t>
            </w:r>
          </w:p>
        </w:tc>
        <w:tc>
          <w:tcPr>
            <w:tcW w:w="812" w:type="dxa"/>
            <w:shd w:val="clear" w:color="auto" w:fill="auto"/>
            <w:vAlign w:val="bottom"/>
          </w:tcPr>
          <w:p w14:paraId="03A00599" w14:textId="77777777" w:rsidR="006C4132" w:rsidRPr="00D74294" w:rsidRDefault="006C4132" w:rsidP="006C4132">
            <w:pPr>
              <w:pStyle w:val="SingleTxtG"/>
              <w:spacing w:before="40" w:after="40" w:line="220" w:lineRule="exact"/>
              <w:ind w:left="113" w:right="28"/>
              <w:jc w:val="right"/>
              <w:rPr>
                <w:sz w:val="18"/>
              </w:rPr>
            </w:pPr>
            <w:r w:rsidRPr="00D74294">
              <w:rPr>
                <w:sz w:val="18"/>
              </w:rPr>
              <w:t>46,5</w:t>
            </w:r>
          </w:p>
        </w:tc>
        <w:tc>
          <w:tcPr>
            <w:tcW w:w="792" w:type="dxa"/>
            <w:shd w:val="clear" w:color="auto" w:fill="auto"/>
            <w:vAlign w:val="bottom"/>
          </w:tcPr>
          <w:p w14:paraId="2D03822B" w14:textId="77777777" w:rsidR="006C4132" w:rsidRPr="00D74294" w:rsidRDefault="006C4132" w:rsidP="006C4132">
            <w:pPr>
              <w:pStyle w:val="SingleTxtG"/>
              <w:spacing w:before="40" w:after="40" w:line="220" w:lineRule="exact"/>
              <w:ind w:left="113" w:right="28"/>
              <w:jc w:val="right"/>
              <w:rPr>
                <w:sz w:val="18"/>
              </w:rPr>
            </w:pPr>
            <w:r w:rsidRPr="00D74294">
              <w:rPr>
                <w:sz w:val="18"/>
              </w:rPr>
              <w:t>53,5</w:t>
            </w:r>
          </w:p>
        </w:tc>
      </w:tr>
      <w:tr w:rsidR="006C4132" w:rsidRPr="00D74294" w14:paraId="41ABCAC2" w14:textId="77777777" w:rsidTr="004702BD">
        <w:trPr>
          <w:trHeight w:val="240"/>
        </w:trPr>
        <w:tc>
          <w:tcPr>
            <w:tcW w:w="1134" w:type="dxa"/>
            <w:vMerge/>
            <w:shd w:val="clear" w:color="auto" w:fill="auto"/>
          </w:tcPr>
          <w:p w14:paraId="3A121C25" w14:textId="77777777" w:rsidR="006C4132" w:rsidRPr="00D74294" w:rsidRDefault="006C4132" w:rsidP="006C4132">
            <w:pPr>
              <w:pStyle w:val="SingleTxtG"/>
              <w:spacing w:before="40" w:after="40" w:line="220" w:lineRule="exact"/>
              <w:ind w:left="0" w:right="0"/>
              <w:jc w:val="left"/>
              <w:rPr>
                <w:sz w:val="18"/>
                <w:rtl/>
              </w:rPr>
            </w:pPr>
          </w:p>
        </w:tc>
        <w:tc>
          <w:tcPr>
            <w:tcW w:w="993" w:type="dxa"/>
            <w:shd w:val="clear" w:color="auto" w:fill="auto"/>
          </w:tcPr>
          <w:p w14:paraId="63CE897C" w14:textId="77777777" w:rsidR="006C4132" w:rsidRPr="00D74294" w:rsidRDefault="006C4132" w:rsidP="006C4132">
            <w:pPr>
              <w:pStyle w:val="SingleTxtG"/>
              <w:spacing w:before="40" w:after="40" w:line="220" w:lineRule="exact"/>
              <w:ind w:left="0" w:right="0"/>
              <w:jc w:val="left"/>
              <w:rPr>
                <w:sz w:val="18"/>
              </w:rPr>
            </w:pPr>
            <w:r w:rsidRPr="00D74294">
              <w:rPr>
                <w:sz w:val="18"/>
              </w:rPr>
              <w:t>Candidats</w:t>
            </w:r>
          </w:p>
        </w:tc>
        <w:tc>
          <w:tcPr>
            <w:tcW w:w="729" w:type="dxa"/>
            <w:shd w:val="clear" w:color="auto" w:fill="auto"/>
            <w:vAlign w:val="bottom"/>
          </w:tcPr>
          <w:p w14:paraId="057D5648" w14:textId="77777777" w:rsidR="006C4132" w:rsidRPr="00D74294" w:rsidRDefault="006C4132" w:rsidP="006C4132">
            <w:pPr>
              <w:pStyle w:val="SingleTxtG"/>
              <w:spacing w:before="40" w:after="40" w:line="220" w:lineRule="exact"/>
              <w:ind w:left="113" w:right="28"/>
              <w:jc w:val="right"/>
              <w:rPr>
                <w:sz w:val="18"/>
              </w:rPr>
            </w:pPr>
            <w:r w:rsidRPr="00D74294">
              <w:rPr>
                <w:sz w:val="18"/>
              </w:rPr>
              <w:t>1,2</w:t>
            </w:r>
          </w:p>
        </w:tc>
        <w:tc>
          <w:tcPr>
            <w:tcW w:w="830" w:type="dxa"/>
            <w:shd w:val="clear" w:color="auto" w:fill="auto"/>
            <w:vAlign w:val="bottom"/>
          </w:tcPr>
          <w:p w14:paraId="3463C1C7" w14:textId="77777777" w:rsidR="006C4132" w:rsidRPr="00D74294" w:rsidRDefault="006C4132" w:rsidP="006C4132">
            <w:pPr>
              <w:pStyle w:val="SingleTxtG"/>
              <w:spacing w:before="40" w:after="40" w:line="220" w:lineRule="exact"/>
              <w:ind w:left="113" w:right="28"/>
              <w:jc w:val="right"/>
              <w:rPr>
                <w:sz w:val="18"/>
              </w:rPr>
            </w:pPr>
            <w:r w:rsidRPr="00D74294">
              <w:rPr>
                <w:sz w:val="18"/>
              </w:rPr>
              <w:t>98,8</w:t>
            </w:r>
          </w:p>
        </w:tc>
        <w:tc>
          <w:tcPr>
            <w:tcW w:w="822" w:type="dxa"/>
            <w:shd w:val="clear" w:color="auto" w:fill="auto"/>
            <w:vAlign w:val="bottom"/>
          </w:tcPr>
          <w:p w14:paraId="720DBCEA" w14:textId="77777777" w:rsidR="006C4132" w:rsidRPr="00D74294" w:rsidRDefault="006C4132" w:rsidP="006C4132">
            <w:pPr>
              <w:pStyle w:val="SingleTxtG"/>
              <w:spacing w:before="40" w:after="40" w:line="220" w:lineRule="exact"/>
              <w:ind w:left="113" w:right="28"/>
              <w:jc w:val="right"/>
              <w:rPr>
                <w:sz w:val="18"/>
              </w:rPr>
            </w:pPr>
            <w:r w:rsidRPr="00D74294">
              <w:rPr>
                <w:sz w:val="18"/>
              </w:rPr>
              <w:t>2,6</w:t>
            </w:r>
          </w:p>
        </w:tc>
        <w:tc>
          <w:tcPr>
            <w:tcW w:w="797" w:type="dxa"/>
            <w:shd w:val="clear" w:color="auto" w:fill="auto"/>
            <w:vAlign w:val="bottom"/>
          </w:tcPr>
          <w:p w14:paraId="1415641B" w14:textId="77777777" w:rsidR="006C4132" w:rsidRPr="00D74294" w:rsidRDefault="006C4132" w:rsidP="006C4132">
            <w:pPr>
              <w:pStyle w:val="SingleTxtG"/>
              <w:spacing w:before="40" w:after="40" w:line="220" w:lineRule="exact"/>
              <w:ind w:left="113" w:right="28"/>
              <w:jc w:val="right"/>
              <w:rPr>
                <w:sz w:val="18"/>
              </w:rPr>
            </w:pPr>
            <w:r w:rsidRPr="00D74294">
              <w:rPr>
                <w:sz w:val="18"/>
              </w:rPr>
              <w:t>97,4</w:t>
            </w:r>
          </w:p>
        </w:tc>
        <w:tc>
          <w:tcPr>
            <w:tcW w:w="791" w:type="dxa"/>
            <w:shd w:val="clear" w:color="auto" w:fill="auto"/>
            <w:vAlign w:val="bottom"/>
          </w:tcPr>
          <w:p w14:paraId="13AE2678" w14:textId="77777777" w:rsidR="006C4132" w:rsidRPr="00D74294" w:rsidRDefault="006C4132" w:rsidP="006C4132">
            <w:pPr>
              <w:pStyle w:val="SingleTxtG"/>
              <w:spacing w:before="40" w:after="40" w:line="220" w:lineRule="exact"/>
              <w:ind w:left="113" w:right="28"/>
              <w:jc w:val="right"/>
              <w:rPr>
                <w:sz w:val="18"/>
              </w:rPr>
            </w:pPr>
            <w:r w:rsidRPr="00D74294">
              <w:rPr>
                <w:sz w:val="18"/>
              </w:rPr>
              <w:t>4,0</w:t>
            </w:r>
          </w:p>
        </w:tc>
        <w:tc>
          <w:tcPr>
            <w:tcW w:w="805" w:type="dxa"/>
            <w:shd w:val="clear" w:color="auto" w:fill="auto"/>
            <w:vAlign w:val="bottom"/>
          </w:tcPr>
          <w:p w14:paraId="1B068816" w14:textId="77777777" w:rsidR="006C4132" w:rsidRPr="00D74294" w:rsidRDefault="006C4132" w:rsidP="006C4132">
            <w:pPr>
              <w:pStyle w:val="SingleTxtG"/>
              <w:spacing w:before="40" w:after="40" w:line="220" w:lineRule="exact"/>
              <w:ind w:left="113" w:right="28"/>
              <w:jc w:val="right"/>
              <w:rPr>
                <w:sz w:val="18"/>
              </w:rPr>
            </w:pPr>
            <w:r w:rsidRPr="00D74294">
              <w:rPr>
                <w:sz w:val="18"/>
              </w:rPr>
              <w:t>96,0</w:t>
            </w:r>
          </w:p>
        </w:tc>
        <w:tc>
          <w:tcPr>
            <w:tcW w:w="812" w:type="dxa"/>
            <w:shd w:val="clear" w:color="auto" w:fill="auto"/>
            <w:vAlign w:val="bottom"/>
          </w:tcPr>
          <w:p w14:paraId="649F7A33" w14:textId="77777777" w:rsidR="006C4132" w:rsidRPr="00D74294" w:rsidRDefault="006C4132" w:rsidP="006C4132">
            <w:pPr>
              <w:pStyle w:val="SingleTxtG"/>
              <w:spacing w:before="40" w:after="40" w:line="220" w:lineRule="exact"/>
              <w:ind w:left="113" w:right="28"/>
              <w:jc w:val="right"/>
              <w:rPr>
                <w:sz w:val="18"/>
              </w:rPr>
            </w:pPr>
            <w:r w:rsidRPr="00D74294">
              <w:rPr>
                <w:sz w:val="18"/>
              </w:rPr>
              <w:t>3,7</w:t>
            </w:r>
          </w:p>
        </w:tc>
        <w:tc>
          <w:tcPr>
            <w:tcW w:w="792" w:type="dxa"/>
            <w:shd w:val="clear" w:color="auto" w:fill="auto"/>
            <w:vAlign w:val="bottom"/>
          </w:tcPr>
          <w:p w14:paraId="551FD7EF" w14:textId="77777777" w:rsidR="006C4132" w:rsidRPr="00D74294" w:rsidRDefault="006C4132" w:rsidP="006C4132">
            <w:pPr>
              <w:pStyle w:val="SingleTxtG"/>
              <w:spacing w:before="40" w:after="40" w:line="220" w:lineRule="exact"/>
              <w:ind w:left="113" w:right="28"/>
              <w:jc w:val="right"/>
              <w:rPr>
                <w:sz w:val="18"/>
              </w:rPr>
            </w:pPr>
            <w:r w:rsidRPr="00D74294">
              <w:rPr>
                <w:sz w:val="18"/>
              </w:rPr>
              <w:t>96,3</w:t>
            </w:r>
          </w:p>
        </w:tc>
      </w:tr>
      <w:tr w:rsidR="006C4132" w:rsidRPr="00D74294" w14:paraId="7D4C9107" w14:textId="77777777" w:rsidTr="004702BD">
        <w:trPr>
          <w:trHeight w:val="240"/>
        </w:trPr>
        <w:tc>
          <w:tcPr>
            <w:tcW w:w="1134" w:type="dxa"/>
            <w:vMerge/>
            <w:tcBorders>
              <w:bottom w:val="single" w:sz="12" w:space="0" w:color="auto"/>
            </w:tcBorders>
            <w:shd w:val="clear" w:color="auto" w:fill="auto"/>
          </w:tcPr>
          <w:p w14:paraId="768E53A2" w14:textId="77777777" w:rsidR="006C4132" w:rsidRPr="00D74294" w:rsidRDefault="006C4132" w:rsidP="006C4132">
            <w:pPr>
              <w:pStyle w:val="SingleTxtG"/>
              <w:spacing w:before="40" w:after="40" w:line="220" w:lineRule="exact"/>
              <w:ind w:left="0" w:right="0"/>
              <w:jc w:val="left"/>
              <w:rPr>
                <w:sz w:val="18"/>
                <w:rtl/>
              </w:rPr>
            </w:pPr>
          </w:p>
        </w:tc>
        <w:tc>
          <w:tcPr>
            <w:tcW w:w="993" w:type="dxa"/>
            <w:tcBorders>
              <w:bottom w:val="single" w:sz="12" w:space="0" w:color="auto"/>
            </w:tcBorders>
            <w:shd w:val="clear" w:color="auto" w:fill="auto"/>
          </w:tcPr>
          <w:p w14:paraId="4D2B61EA" w14:textId="77777777" w:rsidR="006C4132" w:rsidRPr="00D74294" w:rsidRDefault="006C4132" w:rsidP="006C4132">
            <w:pPr>
              <w:pStyle w:val="SingleTxtG"/>
              <w:spacing w:before="40" w:after="40" w:line="220" w:lineRule="exact"/>
              <w:ind w:left="0" w:right="0"/>
              <w:jc w:val="left"/>
              <w:rPr>
                <w:sz w:val="18"/>
              </w:rPr>
            </w:pPr>
            <w:r>
              <w:rPr>
                <w:sz w:val="18"/>
              </w:rPr>
              <w:t>Élus</w:t>
            </w:r>
          </w:p>
        </w:tc>
        <w:tc>
          <w:tcPr>
            <w:tcW w:w="729" w:type="dxa"/>
            <w:tcBorders>
              <w:bottom w:val="single" w:sz="12" w:space="0" w:color="auto"/>
            </w:tcBorders>
            <w:shd w:val="clear" w:color="auto" w:fill="auto"/>
            <w:vAlign w:val="bottom"/>
          </w:tcPr>
          <w:p w14:paraId="145835C9" w14:textId="77777777" w:rsidR="006C4132" w:rsidRPr="00D74294" w:rsidRDefault="006C4132" w:rsidP="006C4132">
            <w:pPr>
              <w:pStyle w:val="SingleTxtG"/>
              <w:spacing w:before="40" w:after="40" w:line="220" w:lineRule="exact"/>
              <w:ind w:left="113" w:right="28"/>
              <w:jc w:val="right"/>
              <w:rPr>
                <w:sz w:val="18"/>
              </w:rPr>
            </w:pPr>
            <w:r w:rsidRPr="00D74294">
              <w:rPr>
                <w:sz w:val="18"/>
              </w:rPr>
              <w:t>3,4</w:t>
            </w:r>
          </w:p>
        </w:tc>
        <w:tc>
          <w:tcPr>
            <w:tcW w:w="830" w:type="dxa"/>
            <w:tcBorders>
              <w:bottom w:val="single" w:sz="12" w:space="0" w:color="auto"/>
            </w:tcBorders>
            <w:shd w:val="clear" w:color="auto" w:fill="auto"/>
            <w:vAlign w:val="bottom"/>
          </w:tcPr>
          <w:p w14:paraId="17142974" w14:textId="77777777" w:rsidR="006C4132" w:rsidRPr="00D74294" w:rsidRDefault="006C4132" w:rsidP="006C4132">
            <w:pPr>
              <w:pStyle w:val="SingleTxtG"/>
              <w:spacing w:before="40" w:after="40" w:line="220" w:lineRule="exact"/>
              <w:ind w:left="113" w:right="28"/>
              <w:jc w:val="right"/>
              <w:rPr>
                <w:sz w:val="18"/>
              </w:rPr>
            </w:pPr>
            <w:r w:rsidRPr="00D74294">
              <w:rPr>
                <w:sz w:val="18"/>
              </w:rPr>
              <w:t>96,6</w:t>
            </w:r>
          </w:p>
        </w:tc>
        <w:tc>
          <w:tcPr>
            <w:tcW w:w="822" w:type="dxa"/>
            <w:tcBorders>
              <w:bottom w:val="single" w:sz="12" w:space="0" w:color="auto"/>
            </w:tcBorders>
            <w:shd w:val="clear" w:color="auto" w:fill="auto"/>
            <w:vAlign w:val="bottom"/>
          </w:tcPr>
          <w:p w14:paraId="7B86FAEA" w14:textId="77777777" w:rsidR="006C4132" w:rsidRPr="00D74294" w:rsidRDefault="006C4132" w:rsidP="006C4132">
            <w:pPr>
              <w:pStyle w:val="SingleTxtG"/>
              <w:spacing w:before="40" w:after="40" w:line="220" w:lineRule="exact"/>
              <w:ind w:left="113" w:right="28"/>
              <w:jc w:val="right"/>
              <w:rPr>
                <w:sz w:val="18"/>
              </w:rPr>
            </w:pPr>
            <w:r w:rsidRPr="00D74294">
              <w:rPr>
                <w:sz w:val="18"/>
              </w:rPr>
              <w:t>3,4</w:t>
            </w:r>
          </w:p>
        </w:tc>
        <w:tc>
          <w:tcPr>
            <w:tcW w:w="797" w:type="dxa"/>
            <w:tcBorders>
              <w:bottom w:val="single" w:sz="12" w:space="0" w:color="auto"/>
            </w:tcBorders>
            <w:shd w:val="clear" w:color="auto" w:fill="auto"/>
            <w:vAlign w:val="bottom"/>
          </w:tcPr>
          <w:p w14:paraId="0454D08F" w14:textId="77777777" w:rsidR="006C4132" w:rsidRPr="00D74294" w:rsidRDefault="006C4132" w:rsidP="006C4132">
            <w:pPr>
              <w:pStyle w:val="SingleTxtG"/>
              <w:spacing w:before="40" w:after="40" w:line="220" w:lineRule="exact"/>
              <w:ind w:left="113" w:right="28"/>
              <w:jc w:val="right"/>
              <w:rPr>
                <w:sz w:val="18"/>
              </w:rPr>
            </w:pPr>
            <w:r w:rsidRPr="00D74294">
              <w:rPr>
                <w:sz w:val="18"/>
              </w:rPr>
              <w:t>96,6</w:t>
            </w:r>
          </w:p>
        </w:tc>
        <w:tc>
          <w:tcPr>
            <w:tcW w:w="791" w:type="dxa"/>
            <w:tcBorders>
              <w:bottom w:val="single" w:sz="12" w:space="0" w:color="auto"/>
            </w:tcBorders>
            <w:shd w:val="clear" w:color="auto" w:fill="auto"/>
            <w:vAlign w:val="bottom"/>
          </w:tcPr>
          <w:p w14:paraId="44D1A0A4" w14:textId="77777777" w:rsidR="006C4132" w:rsidRPr="00D74294" w:rsidRDefault="006C4132" w:rsidP="006C4132">
            <w:pPr>
              <w:pStyle w:val="SingleTxtG"/>
              <w:spacing w:before="40" w:after="40" w:line="220" w:lineRule="exact"/>
              <w:ind w:left="113" w:right="28"/>
              <w:jc w:val="right"/>
              <w:rPr>
                <w:sz w:val="18"/>
              </w:rPr>
            </w:pPr>
            <w:r w:rsidRPr="00D74294">
              <w:rPr>
                <w:sz w:val="18"/>
              </w:rPr>
              <w:t>3,4</w:t>
            </w:r>
          </w:p>
        </w:tc>
        <w:tc>
          <w:tcPr>
            <w:tcW w:w="805" w:type="dxa"/>
            <w:tcBorders>
              <w:bottom w:val="single" w:sz="12" w:space="0" w:color="auto"/>
            </w:tcBorders>
            <w:shd w:val="clear" w:color="auto" w:fill="auto"/>
            <w:vAlign w:val="bottom"/>
          </w:tcPr>
          <w:p w14:paraId="390C913D" w14:textId="77777777" w:rsidR="006C4132" w:rsidRPr="00D74294" w:rsidRDefault="006C4132" w:rsidP="006C4132">
            <w:pPr>
              <w:pStyle w:val="SingleTxtG"/>
              <w:spacing w:before="40" w:after="40" w:line="220" w:lineRule="exact"/>
              <w:ind w:left="113" w:right="28"/>
              <w:jc w:val="right"/>
              <w:rPr>
                <w:sz w:val="18"/>
              </w:rPr>
            </w:pPr>
            <w:r w:rsidRPr="00D74294">
              <w:rPr>
                <w:sz w:val="18"/>
              </w:rPr>
              <w:t>96,6</w:t>
            </w:r>
          </w:p>
        </w:tc>
        <w:tc>
          <w:tcPr>
            <w:tcW w:w="812" w:type="dxa"/>
            <w:tcBorders>
              <w:bottom w:val="single" w:sz="12" w:space="0" w:color="auto"/>
            </w:tcBorders>
            <w:shd w:val="clear" w:color="auto" w:fill="auto"/>
            <w:vAlign w:val="bottom"/>
          </w:tcPr>
          <w:p w14:paraId="322CACF3" w14:textId="77777777" w:rsidR="006C4132" w:rsidRPr="00D74294" w:rsidRDefault="006C4132" w:rsidP="006C4132">
            <w:pPr>
              <w:pStyle w:val="SingleTxtG"/>
              <w:spacing w:before="40" w:after="40" w:line="220" w:lineRule="exact"/>
              <w:ind w:left="113" w:right="28"/>
              <w:jc w:val="right"/>
              <w:rPr>
                <w:sz w:val="18"/>
              </w:rPr>
            </w:pPr>
            <w:r w:rsidRPr="00D74294">
              <w:rPr>
                <w:sz w:val="18"/>
              </w:rPr>
              <w:t>6,9</w:t>
            </w:r>
          </w:p>
        </w:tc>
        <w:tc>
          <w:tcPr>
            <w:tcW w:w="792" w:type="dxa"/>
            <w:tcBorders>
              <w:bottom w:val="single" w:sz="12" w:space="0" w:color="auto"/>
            </w:tcBorders>
            <w:shd w:val="clear" w:color="auto" w:fill="auto"/>
            <w:vAlign w:val="bottom"/>
          </w:tcPr>
          <w:p w14:paraId="76F3AD4E" w14:textId="77777777" w:rsidR="006C4132" w:rsidRPr="00D74294" w:rsidRDefault="006C4132" w:rsidP="006C4132">
            <w:pPr>
              <w:pStyle w:val="SingleTxtG"/>
              <w:spacing w:before="40" w:after="40" w:line="220" w:lineRule="exact"/>
              <w:ind w:left="113" w:right="28"/>
              <w:jc w:val="right"/>
              <w:rPr>
                <w:sz w:val="18"/>
              </w:rPr>
            </w:pPr>
            <w:r w:rsidRPr="00D74294">
              <w:rPr>
                <w:sz w:val="18"/>
              </w:rPr>
              <w:t>93,1</w:t>
            </w:r>
          </w:p>
        </w:tc>
      </w:tr>
    </w:tbl>
    <w:p w14:paraId="7D64B7F2" w14:textId="77777777" w:rsidR="009E4C76" w:rsidRPr="004D4874" w:rsidRDefault="009E4C76" w:rsidP="004D4874">
      <w:pPr>
        <w:pStyle w:val="SingleTxtG"/>
        <w:spacing w:before="120" w:after="240"/>
        <w:ind w:firstLine="170"/>
        <w:rPr>
          <w:sz w:val="18"/>
          <w:szCs w:val="18"/>
        </w:rPr>
      </w:pPr>
      <w:r w:rsidRPr="004D4874">
        <w:rPr>
          <w:i/>
          <w:sz w:val="18"/>
          <w:szCs w:val="18"/>
        </w:rPr>
        <w:t>Source</w:t>
      </w:r>
      <w:r w:rsidR="004D4874" w:rsidRPr="004D4874">
        <w:rPr>
          <w:sz w:val="18"/>
          <w:szCs w:val="18"/>
        </w:rPr>
        <w:t> </w:t>
      </w:r>
      <w:r w:rsidRPr="004D4874">
        <w:rPr>
          <w:sz w:val="18"/>
          <w:szCs w:val="18"/>
        </w:rPr>
        <w:t>:</w:t>
      </w:r>
      <w:r w:rsidR="004D4874" w:rsidRPr="004D4874">
        <w:rPr>
          <w:sz w:val="18"/>
          <w:szCs w:val="18"/>
        </w:rPr>
        <w:t xml:space="preserve"> </w:t>
      </w:r>
      <w:r w:rsidRPr="004D4874">
        <w:rPr>
          <w:sz w:val="18"/>
          <w:szCs w:val="18"/>
        </w:rPr>
        <w:t>Ministère de la planification, du développement et des statistiques.</w:t>
      </w:r>
    </w:p>
    <w:p w14:paraId="1BF1A93D" w14:textId="77777777" w:rsidR="009E4C76" w:rsidRPr="00CE611F" w:rsidRDefault="009E4C76" w:rsidP="005D0B7C">
      <w:pPr>
        <w:pStyle w:val="SingleTxtG"/>
        <w:rPr>
          <w:rtl/>
          <w:lang w:bidi="fr-FR"/>
        </w:rPr>
      </w:pPr>
      <w:r w:rsidRPr="00CE611F">
        <w:rPr>
          <w:lang w:bidi="ar-QA"/>
        </w:rPr>
        <w:t>109.</w:t>
      </w:r>
      <w:r w:rsidRPr="00CE611F">
        <w:rPr>
          <w:lang w:bidi="ar-QA"/>
        </w:rPr>
        <w:tab/>
        <w:t>La Constitution a garanti de nombreux droits civils reconnus par le droit international des droits de l</w:t>
      </w:r>
      <w:r>
        <w:rPr>
          <w:lang w:bidi="ar-QA"/>
        </w:rPr>
        <w:t>’</w:t>
      </w:r>
      <w:r w:rsidRPr="00CE611F">
        <w:rPr>
          <w:lang w:bidi="ar-QA"/>
        </w:rPr>
        <w:t>homme, notamment le droit de circuler librement, le droit de quitter le pays et d</w:t>
      </w:r>
      <w:r>
        <w:rPr>
          <w:lang w:bidi="ar-QA"/>
        </w:rPr>
        <w:t>’</w:t>
      </w:r>
      <w:r w:rsidRPr="00CE611F">
        <w:rPr>
          <w:lang w:bidi="ar-QA"/>
        </w:rPr>
        <w:t>y revenir, le droit à la nationalité, le droit à l</w:t>
      </w:r>
      <w:r>
        <w:rPr>
          <w:lang w:bidi="ar-QA"/>
        </w:rPr>
        <w:t>’</w:t>
      </w:r>
      <w:r w:rsidRPr="00CE611F">
        <w:rPr>
          <w:lang w:bidi="ar-QA"/>
        </w:rPr>
        <w:t xml:space="preserve">héritage et le droit à la liberté de pensée, de conscience et de </w:t>
      </w:r>
      <w:bookmarkStart w:id="56" w:name="_GoBack"/>
      <w:bookmarkEnd w:id="56"/>
      <w:r w:rsidRPr="00CE611F">
        <w:rPr>
          <w:lang w:bidi="ar-QA"/>
        </w:rPr>
        <w:t>religion.</w:t>
      </w:r>
    </w:p>
    <w:p w14:paraId="20F65969" w14:textId="77777777" w:rsidR="009E4C76" w:rsidRPr="00CE611F" w:rsidRDefault="009E4C76" w:rsidP="005D0B7C">
      <w:pPr>
        <w:pStyle w:val="SingleTxtG"/>
        <w:rPr>
          <w:lang w:bidi="ar-QA"/>
        </w:rPr>
      </w:pPr>
      <w:r w:rsidRPr="00CE611F">
        <w:rPr>
          <w:lang w:bidi="ar-QA"/>
        </w:rPr>
        <w:t>110.</w:t>
      </w:r>
      <w:r w:rsidRPr="00CE611F">
        <w:rPr>
          <w:lang w:bidi="ar-QA"/>
        </w:rPr>
        <w:tab/>
        <w:t>L</w:t>
      </w:r>
      <w:r>
        <w:rPr>
          <w:lang w:bidi="ar-QA"/>
        </w:rPr>
        <w:t>’</w:t>
      </w:r>
      <w:r w:rsidRPr="00CE611F">
        <w:rPr>
          <w:lang w:bidi="ar-QA"/>
        </w:rPr>
        <w:t>article</w:t>
      </w:r>
      <w:r w:rsidR="004D4874">
        <w:rPr>
          <w:lang w:bidi="ar-QA"/>
        </w:rPr>
        <w:t> </w:t>
      </w:r>
      <w:r w:rsidRPr="00CE611F">
        <w:rPr>
          <w:lang w:bidi="ar-QA"/>
        </w:rPr>
        <w:t>36 de la Constitution du Qatar reconnaît le droit à la liberté de circulation et de résidence, ainsi que le droit de se rendre à l</w:t>
      </w:r>
      <w:r>
        <w:rPr>
          <w:lang w:bidi="ar-QA"/>
        </w:rPr>
        <w:t>’</w:t>
      </w:r>
      <w:r w:rsidRPr="00CE611F">
        <w:rPr>
          <w:lang w:bidi="ar-QA"/>
        </w:rPr>
        <w:t xml:space="preserve">étranger, aussi bien </w:t>
      </w:r>
      <w:r>
        <w:rPr>
          <w:lang w:bidi="ar-QA"/>
        </w:rPr>
        <w:t>aux</w:t>
      </w:r>
      <w:r w:rsidRPr="00CE611F">
        <w:rPr>
          <w:lang w:bidi="ar-QA"/>
        </w:rPr>
        <w:t xml:space="preserve"> nationaux qu</w:t>
      </w:r>
      <w:r>
        <w:rPr>
          <w:lang w:bidi="ar-QA"/>
        </w:rPr>
        <w:t>’</w:t>
      </w:r>
      <w:r w:rsidRPr="00CE611F">
        <w:rPr>
          <w:lang w:bidi="ar-QA"/>
        </w:rPr>
        <w:t xml:space="preserve">aux migrants, dans les termes suivants : « La liberté individuelle est garantie. Nul ne peut être arrêté, emprisonné, fouillé, assigné à un lieu de résidence spécifique ou soumis à des restrictions en matière de liberté de résidence ou de déplacement, sauf en vertu de la loi ». La protection constitutionnelle énoncée ci-dessus a été renforcée par la promulgation de la loi </w:t>
      </w:r>
      <w:r w:rsidR="004D4874">
        <w:rPr>
          <w:lang w:val="fr-FR" w:bidi="ar-QA"/>
        </w:rPr>
        <w:t>n</w:t>
      </w:r>
      <w:r w:rsidR="004D4874" w:rsidRPr="00D52183">
        <w:rPr>
          <w:vertAlign w:val="superscript"/>
          <w:lang w:val="fr-FR" w:bidi="ar-QA"/>
        </w:rPr>
        <w:t>o</w:t>
      </w:r>
      <w:r w:rsidR="004D4874">
        <w:rPr>
          <w:lang w:val="fr-FR" w:bidi="ar-QA"/>
        </w:rPr>
        <w:t> </w:t>
      </w:r>
      <w:r w:rsidRPr="00CE611F">
        <w:rPr>
          <w:lang w:bidi="ar-QA"/>
        </w:rPr>
        <w:t>21 de 2015 régissant l</w:t>
      </w:r>
      <w:r>
        <w:rPr>
          <w:lang w:bidi="ar-QA"/>
        </w:rPr>
        <w:t>’</w:t>
      </w:r>
      <w:r w:rsidRPr="00CE611F">
        <w:rPr>
          <w:lang w:bidi="ar-QA"/>
        </w:rPr>
        <w:t>entrée, la sortie et le séjour des travailleurs migrants, telle que modifiée, qui met simplement à leur charge l</w:t>
      </w:r>
      <w:r>
        <w:rPr>
          <w:lang w:bidi="ar-QA"/>
        </w:rPr>
        <w:t>’</w:t>
      </w:r>
      <w:r w:rsidRPr="00CE611F">
        <w:rPr>
          <w:lang w:bidi="ar-QA"/>
        </w:rPr>
        <w:t>obligation d</w:t>
      </w:r>
      <w:r>
        <w:rPr>
          <w:lang w:bidi="ar-QA"/>
        </w:rPr>
        <w:t>’</w:t>
      </w:r>
      <w:r w:rsidRPr="00CE611F">
        <w:rPr>
          <w:lang w:bidi="ar-QA"/>
        </w:rPr>
        <w:t>informer l</w:t>
      </w:r>
      <w:r>
        <w:rPr>
          <w:lang w:bidi="ar-QA"/>
        </w:rPr>
        <w:t>’</w:t>
      </w:r>
      <w:r w:rsidRPr="00CE611F">
        <w:rPr>
          <w:lang w:bidi="ar-QA"/>
        </w:rPr>
        <w:t>autorité compétente de la date de leur départ trois jours au moins avant la date prévue, sachant qu</w:t>
      </w:r>
      <w:r>
        <w:rPr>
          <w:lang w:bidi="ar-QA"/>
        </w:rPr>
        <w:t>’</w:t>
      </w:r>
      <w:r w:rsidRPr="00CE611F">
        <w:rPr>
          <w:lang w:bidi="ar-QA"/>
        </w:rPr>
        <w:t>ils ont désormais le droit de quitter le pays sans l</w:t>
      </w:r>
      <w:r>
        <w:rPr>
          <w:lang w:bidi="ar-QA"/>
        </w:rPr>
        <w:t>’</w:t>
      </w:r>
      <w:r w:rsidRPr="00CE611F">
        <w:rPr>
          <w:lang w:bidi="ar-QA"/>
        </w:rPr>
        <w:t>autorisation de leurs employeurs.</w:t>
      </w:r>
    </w:p>
    <w:p w14:paraId="25D0D93A" w14:textId="77777777" w:rsidR="009E4C76" w:rsidRPr="00CE611F" w:rsidRDefault="009E4C76" w:rsidP="005D0B7C">
      <w:pPr>
        <w:pStyle w:val="SingleTxtG"/>
        <w:rPr>
          <w:lang w:bidi="ar-QA"/>
        </w:rPr>
      </w:pPr>
      <w:r w:rsidRPr="00CE611F">
        <w:rPr>
          <w:lang w:bidi="ar-QA"/>
        </w:rPr>
        <w:t>111.</w:t>
      </w:r>
      <w:r w:rsidRPr="00CE611F">
        <w:rPr>
          <w:lang w:bidi="ar-QA"/>
        </w:rPr>
        <w:tab/>
        <w:t>Le législateur reconnaît aux personnes handicapées, dans des conditions d</w:t>
      </w:r>
      <w:r>
        <w:rPr>
          <w:lang w:bidi="ar-QA"/>
        </w:rPr>
        <w:t>’</w:t>
      </w:r>
      <w:r w:rsidRPr="00CE611F">
        <w:rPr>
          <w:lang w:bidi="ar-QA"/>
        </w:rPr>
        <w:t>égalité avec les autres citoyens, la liberté de circulation, tant à l</w:t>
      </w:r>
      <w:r>
        <w:rPr>
          <w:lang w:bidi="ar-QA"/>
        </w:rPr>
        <w:t>’</w:t>
      </w:r>
      <w:r w:rsidRPr="00CE611F">
        <w:rPr>
          <w:lang w:bidi="ar-QA"/>
        </w:rPr>
        <w:t>intérieur qu</w:t>
      </w:r>
      <w:r>
        <w:rPr>
          <w:lang w:bidi="ar-QA"/>
        </w:rPr>
        <w:t>’</w:t>
      </w:r>
      <w:r w:rsidRPr="00CE611F">
        <w:rPr>
          <w:lang w:bidi="ar-QA"/>
        </w:rPr>
        <w:t>à l</w:t>
      </w:r>
      <w:r>
        <w:rPr>
          <w:lang w:bidi="ar-QA"/>
        </w:rPr>
        <w:t>’</w:t>
      </w:r>
      <w:r w:rsidRPr="00CE611F">
        <w:rPr>
          <w:lang w:bidi="ar-QA"/>
        </w:rPr>
        <w:t>extérieur du pays, ainsi que le droit de résider dans le lieu de leur choix et d</w:t>
      </w:r>
      <w:r>
        <w:rPr>
          <w:lang w:bidi="ar-QA"/>
        </w:rPr>
        <w:t>’</w:t>
      </w:r>
      <w:r w:rsidRPr="00CE611F">
        <w:rPr>
          <w:lang w:bidi="ar-QA"/>
        </w:rPr>
        <w:t>en changer, celui de quitter le pays et d</w:t>
      </w:r>
      <w:r>
        <w:rPr>
          <w:lang w:bidi="ar-QA"/>
        </w:rPr>
        <w:t>’</w:t>
      </w:r>
      <w:r w:rsidRPr="00CE611F">
        <w:rPr>
          <w:lang w:bidi="ar-QA"/>
        </w:rPr>
        <w:t>y retourner. Il est interdit d</w:t>
      </w:r>
      <w:r>
        <w:rPr>
          <w:lang w:bidi="ar-QA"/>
        </w:rPr>
        <w:t>’</w:t>
      </w:r>
      <w:r w:rsidRPr="00CE611F">
        <w:rPr>
          <w:lang w:bidi="ar-QA"/>
        </w:rPr>
        <w:t>expulser une personne handicapée de son lieu de résidence ou de l</w:t>
      </w:r>
      <w:r>
        <w:rPr>
          <w:lang w:bidi="ar-QA"/>
        </w:rPr>
        <w:t>’</w:t>
      </w:r>
      <w:r w:rsidRPr="00CE611F">
        <w:rPr>
          <w:lang w:bidi="ar-QA"/>
        </w:rPr>
        <w:t>empêcher d</w:t>
      </w:r>
      <w:r>
        <w:rPr>
          <w:lang w:bidi="ar-QA"/>
        </w:rPr>
        <w:t>’</w:t>
      </w:r>
      <w:r w:rsidRPr="00CE611F">
        <w:rPr>
          <w:lang w:bidi="ar-QA"/>
        </w:rPr>
        <w:t>y retourner. Des panneaux et signalisations destinés aux personnes handicapées ont été placés dans tous les lieux de stationnement publics, ainsi que dans tous les marchés, centres commerciaux et bâtiments publics. Parmi les mesures prises pour dispenser aux personnes handicapées et au personnel spécialisé une formation aux techniques de mobilité, le Ministère des affaires sociales, agissant par l</w:t>
      </w:r>
      <w:r>
        <w:rPr>
          <w:lang w:bidi="ar-QA"/>
        </w:rPr>
        <w:t>’</w:t>
      </w:r>
      <w:r w:rsidRPr="00CE611F">
        <w:rPr>
          <w:lang w:bidi="ar-QA"/>
        </w:rPr>
        <w:t xml:space="preserve">intermédiaire de différents organismes et associations, conformément à la loi </w:t>
      </w:r>
      <w:r w:rsidR="00E438F8">
        <w:rPr>
          <w:lang w:val="fr-FR" w:bidi="ar-QA"/>
        </w:rPr>
        <w:t>n</w:t>
      </w:r>
      <w:r w:rsidR="00E438F8" w:rsidRPr="00D52183">
        <w:rPr>
          <w:vertAlign w:val="superscript"/>
          <w:lang w:val="fr-FR" w:bidi="ar-QA"/>
        </w:rPr>
        <w:t>o</w:t>
      </w:r>
      <w:r w:rsidR="00E438F8">
        <w:rPr>
          <w:lang w:val="fr-FR" w:bidi="ar-QA"/>
        </w:rPr>
        <w:t> </w:t>
      </w:r>
      <w:r w:rsidRPr="00CE611F">
        <w:rPr>
          <w:lang w:bidi="ar-QA"/>
        </w:rPr>
        <w:t>12 de 2004 sur les organismes privés et les associations, telle que modifiée par la loi</w:t>
      </w:r>
      <w:r w:rsidR="00E438F8">
        <w:rPr>
          <w:lang w:bidi="ar-QA"/>
        </w:rPr>
        <w:t xml:space="preserve"> </w:t>
      </w:r>
      <w:r w:rsidR="00E438F8">
        <w:rPr>
          <w:lang w:val="fr-FR" w:bidi="ar-QA"/>
        </w:rPr>
        <w:t>n</w:t>
      </w:r>
      <w:r w:rsidR="00E438F8" w:rsidRPr="00D52183">
        <w:rPr>
          <w:vertAlign w:val="superscript"/>
          <w:lang w:val="fr-FR" w:bidi="ar-QA"/>
        </w:rPr>
        <w:t>o</w:t>
      </w:r>
      <w:r w:rsidR="00E438F8">
        <w:rPr>
          <w:lang w:val="fr-FR" w:bidi="ar-QA"/>
        </w:rPr>
        <w:t> </w:t>
      </w:r>
      <w:r w:rsidRPr="00CE611F">
        <w:rPr>
          <w:lang w:bidi="ar-QA"/>
        </w:rPr>
        <w:t>10 de 2010, contribue efficacement aux efforts visant à aider les personnes handicapées à se déplacer et à se former aux techniques de mobilité, notamment en mettant à leur disposition des fonctionnaires pour leur apporter toute l</w:t>
      </w:r>
      <w:r>
        <w:rPr>
          <w:lang w:bidi="ar-QA"/>
        </w:rPr>
        <w:t>’</w:t>
      </w:r>
      <w:r w:rsidRPr="00CE611F">
        <w:rPr>
          <w:lang w:bidi="ar-QA"/>
        </w:rPr>
        <w:t>assistance nécessaire dans ce domaine.</w:t>
      </w:r>
    </w:p>
    <w:p w14:paraId="582A55DE" w14:textId="77777777" w:rsidR="009E4C76" w:rsidRPr="00CE611F" w:rsidRDefault="009E4C76" w:rsidP="005D0B7C">
      <w:pPr>
        <w:pStyle w:val="SingleTxtG"/>
        <w:rPr>
          <w:lang w:bidi="ar-QA"/>
        </w:rPr>
      </w:pPr>
      <w:r w:rsidRPr="00CE611F">
        <w:rPr>
          <w:lang w:bidi="ar-QA"/>
        </w:rPr>
        <w:t>112.</w:t>
      </w:r>
      <w:r w:rsidRPr="00CE611F">
        <w:rPr>
          <w:lang w:bidi="ar-QA"/>
        </w:rPr>
        <w:tab/>
        <w:t>L</w:t>
      </w:r>
      <w:r>
        <w:rPr>
          <w:lang w:bidi="ar-QA"/>
        </w:rPr>
        <w:t>’</w:t>
      </w:r>
      <w:r w:rsidRPr="00CE611F">
        <w:rPr>
          <w:lang w:bidi="ar-QA"/>
        </w:rPr>
        <w:t>éducation est un droit fondamental garanti par la Constitution du Qatar, conformément à son article</w:t>
      </w:r>
      <w:r w:rsidR="001453BC">
        <w:rPr>
          <w:lang w:bidi="ar-QA"/>
        </w:rPr>
        <w:t> </w:t>
      </w:r>
      <w:r w:rsidRPr="00CE611F">
        <w:rPr>
          <w:lang w:bidi="ar-QA"/>
        </w:rPr>
        <w:t>25 qui dispose ce qui suit : « L</w:t>
      </w:r>
      <w:r>
        <w:rPr>
          <w:lang w:bidi="ar-QA"/>
        </w:rPr>
        <w:t>’</w:t>
      </w:r>
      <w:r w:rsidRPr="00CE611F">
        <w:rPr>
          <w:lang w:bidi="ar-QA"/>
        </w:rPr>
        <w:t>éducation est l</w:t>
      </w:r>
      <w:r>
        <w:rPr>
          <w:lang w:bidi="ar-QA"/>
        </w:rPr>
        <w:t>’</w:t>
      </w:r>
      <w:r w:rsidRPr="00CE611F">
        <w:rPr>
          <w:lang w:bidi="ar-QA"/>
        </w:rPr>
        <w:t>un des piliers fondamentaux du progrès social que l</w:t>
      </w:r>
      <w:r>
        <w:rPr>
          <w:lang w:bidi="ar-QA"/>
        </w:rPr>
        <w:t>’</w:t>
      </w:r>
      <w:r w:rsidRPr="00CE611F">
        <w:rPr>
          <w:lang w:bidi="ar-QA"/>
        </w:rPr>
        <w:t>État doit s</w:t>
      </w:r>
      <w:r>
        <w:rPr>
          <w:lang w:bidi="ar-QA"/>
        </w:rPr>
        <w:t>’</w:t>
      </w:r>
      <w:r w:rsidRPr="00CE611F">
        <w:rPr>
          <w:lang w:bidi="ar-QA"/>
        </w:rPr>
        <w:t>employer à garantir, encourager, diffuser et généraliser ». L</w:t>
      </w:r>
      <w:r>
        <w:rPr>
          <w:lang w:bidi="ar-QA"/>
        </w:rPr>
        <w:t>’</w:t>
      </w:r>
      <w:r w:rsidRPr="00CE611F">
        <w:rPr>
          <w:lang w:bidi="ar-QA"/>
        </w:rPr>
        <w:t>article 49 dispose pour sa part ce qui suit : « L</w:t>
      </w:r>
      <w:r>
        <w:rPr>
          <w:lang w:bidi="ar-QA"/>
        </w:rPr>
        <w:t>’</w:t>
      </w:r>
      <w:r w:rsidRPr="00CE611F">
        <w:rPr>
          <w:lang w:bidi="ar-QA"/>
        </w:rPr>
        <w:t>éducation est un droit pour tous les citoyens et l</w:t>
      </w:r>
      <w:r>
        <w:rPr>
          <w:lang w:bidi="ar-QA"/>
        </w:rPr>
        <w:t>’</w:t>
      </w:r>
      <w:r w:rsidRPr="00CE611F">
        <w:rPr>
          <w:lang w:bidi="ar-QA"/>
        </w:rPr>
        <w:t>État veille à faire en sorte que l</w:t>
      </w:r>
      <w:r>
        <w:rPr>
          <w:lang w:bidi="ar-QA"/>
        </w:rPr>
        <w:t>’</w:t>
      </w:r>
      <w:r w:rsidRPr="00CE611F">
        <w:rPr>
          <w:lang w:bidi="ar-QA"/>
        </w:rPr>
        <w:t>enseignement général soit obligatoire et gratuit, conformément aux lois et règlements applicables ». À cet égard, le Ministère de l</w:t>
      </w:r>
      <w:r>
        <w:rPr>
          <w:lang w:bidi="ar-QA"/>
        </w:rPr>
        <w:t>’</w:t>
      </w:r>
      <w:r w:rsidRPr="00CE611F">
        <w:rPr>
          <w:lang w:bidi="ar-QA"/>
        </w:rPr>
        <w:t>éducation et de l</w:t>
      </w:r>
      <w:r>
        <w:rPr>
          <w:lang w:bidi="ar-QA"/>
        </w:rPr>
        <w:t>’</w:t>
      </w:r>
      <w:r w:rsidRPr="00CE611F">
        <w:rPr>
          <w:lang w:bidi="ar-QA"/>
        </w:rPr>
        <w:t>enseignement supérieur a mis en place un certain nombre de politiques organisationnelles destinées à promouvoir les principes des droits de l</w:t>
      </w:r>
      <w:r>
        <w:rPr>
          <w:lang w:bidi="ar-QA"/>
        </w:rPr>
        <w:t>’</w:t>
      </w:r>
      <w:r w:rsidRPr="00CE611F">
        <w:rPr>
          <w:lang w:bidi="ar-QA"/>
        </w:rPr>
        <w:t>homme, parmi lesquelles les plus importantes sont la politique d</w:t>
      </w:r>
      <w:r>
        <w:rPr>
          <w:lang w:bidi="ar-QA"/>
        </w:rPr>
        <w:t>’</w:t>
      </w:r>
      <w:r w:rsidRPr="00CE611F">
        <w:rPr>
          <w:lang w:bidi="ar-QA"/>
        </w:rPr>
        <w:t>admission et d</w:t>
      </w:r>
      <w:r>
        <w:rPr>
          <w:lang w:bidi="ar-QA"/>
        </w:rPr>
        <w:t>’</w:t>
      </w:r>
      <w:r w:rsidRPr="00CE611F">
        <w:rPr>
          <w:lang w:bidi="ar-QA"/>
        </w:rPr>
        <w:t>inscription à l</w:t>
      </w:r>
      <w:r>
        <w:rPr>
          <w:lang w:bidi="ar-QA"/>
        </w:rPr>
        <w:t>’</w:t>
      </w:r>
      <w:r w:rsidRPr="00CE611F">
        <w:rPr>
          <w:lang w:bidi="ar-QA"/>
        </w:rPr>
        <w:t>école, la politique d</w:t>
      </w:r>
      <w:r>
        <w:rPr>
          <w:lang w:bidi="ar-QA"/>
        </w:rPr>
        <w:t>’</w:t>
      </w:r>
      <w:r w:rsidRPr="00CE611F">
        <w:rPr>
          <w:lang w:bidi="ar-QA"/>
        </w:rPr>
        <w:t>évaluation des élèves, la politique d</w:t>
      </w:r>
      <w:r>
        <w:rPr>
          <w:lang w:bidi="ar-QA"/>
        </w:rPr>
        <w:t>’</w:t>
      </w:r>
      <w:r w:rsidRPr="00CE611F">
        <w:rPr>
          <w:lang w:bidi="ar-QA"/>
        </w:rPr>
        <w:t>évaluation comportementale des élèves, le code de conduite professionnelle et la Charte de déontologie du personnel éducatif.</w:t>
      </w:r>
    </w:p>
    <w:p w14:paraId="6B2D10A5" w14:textId="77777777" w:rsidR="009E4C76" w:rsidRPr="00CE611F" w:rsidRDefault="009E4C76" w:rsidP="005D0B7C">
      <w:pPr>
        <w:pStyle w:val="SingleTxtG"/>
        <w:rPr>
          <w:rtl/>
          <w:lang w:bidi="fr-FR"/>
        </w:rPr>
      </w:pPr>
      <w:r w:rsidRPr="00CE611F">
        <w:rPr>
          <w:lang w:bidi="ar-QA"/>
        </w:rPr>
        <w:t>113.</w:t>
      </w:r>
      <w:r w:rsidRPr="00CE611F">
        <w:rPr>
          <w:lang w:bidi="ar-QA"/>
        </w:rPr>
        <w:tab/>
        <w:t>Afin d</w:t>
      </w:r>
      <w:r>
        <w:rPr>
          <w:lang w:bidi="ar-QA"/>
        </w:rPr>
        <w:t>’</w:t>
      </w:r>
      <w:r w:rsidRPr="00CE611F">
        <w:rPr>
          <w:lang w:bidi="ar-QA"/>
        </w:rPr>
        <w:t>offrir une éducation à tous les enfants résidant sur son territoire, l</w:t>
      </w:r>
      <w:r>
        <w:rPr>
          <w:lang w:bidi="ar-QA"/>
        </w:rPr>
        <w:t>’</w:t>
      </w:r>
      <w:r w:rsidRPr="00CE611F">
        <w:rPr>
          <w:lang w:bidi="ar-QA"/>
        </w:rPr>
        <w:t>État du</w:t>
      </w:r>
      <w:r w:rsidR="001453BC">
        <w:rPr>
          <w:lang w:bidi="ar-QA"/>
        </w:rPr>
        <w:t> </w:t>
      </w:r>
      <w:r w:rsidRPr="00CE611F">
        <w:rPr>
          <w:lang w:bidi="ar-QA"/>
        </w:rPr>
        <w:t>Qatar a adopté une série de mesures, parmi lesquelles les suivantes :</w:t>
      </w:r>
    </w:p>
    <w:p w14:paraId="3AE47278" w14:textId="77777777" w:rsidR="009E4C76" w:rsidRPr="001453BC" w:rsidRDefault="001453BC" w:rsidP="001453BC">
      <w:pPr>
        <w:pStyle w:val="Bullet1G"/>
        <w:rPr>
          <w:rtl/>
        </w:rPr>
      </w:pPr>
      <w:r>
        <w:t>L</w:t>
      </w:r>
      <w:r w:rsidR="009E4C76" w:rsidRPr="001453BC">
        <w:t xml:space="preserve">a loi </w:t>
      </w:r>
      <w:r>
        <w:rPr>
          <w:lang w:val="fr-FR" w:bidi="ar-QA"/>
        </w:rPr>
        <w:t>n</w:t>
      </w:r>
      <w:r w:rsidRPr="00D52183">
        <w:rPr>
          <w:vertAlign w:val="superscript"/>
          <w:lang w:val="fr-FR" w:bidi="ar-QA"/>
        </w:rPr>
        <w:t>o</w:t>
      </w:r>
      <w:r>
        <w:rPr>
          <w:lang w:val="fr-FR" w:bidi="ar-QA"/>
        </w:rPr>
        <w:t> </w:t>
      </w:r>
      <w:r w:rsidR="009E4C76" w:rsidRPr="001453BC">
        <w:t xml:space="preserve">25 de 2001 relative à l’enseignement obligatoire, telle que modifiée par la loi </w:t>
      </w:r>
      <w:r>
        <w:rPr>
          <w:lang w:val="fr-FR" w:bidi="ar-QA"/>
        </w:rPr>
        <w:t>n</w:t>
      </w:r>
      <w:r w:rsidRPr="00D52183">
        <w:rPr>
          <w:vertAlign w:val="superscript"/>
          <w:lang w:val="fr-FR" w:bidi="ar-QA"/>
        </w:rPr>
        <w:t>o</w:t>
      </w:r>
      <w:r>
        <w:rPr>
          <w:lang w:val="fr-FR" w:bidi="ar-QA"/>
        </w:rPr>
        <w:t> </w:t>
      </w:r>
      <w:r w:rsidR="009E4C76" w:rsidRPr="001453BC">
        <w:t>25 de 2009, qui comporte 13</w:t>
      </w:r>
      <w:r>
        <w:t> </w:t>
      </w:r>
      <w:r w:rsidR="009E4C76" w:rsidRPr="001453BC">
        <w:t xml:space="preserve">articles spécifiant les procédures et modalités de scolarisation des enfants, les autorités chargées de la mise en </w:t>
      </w:r>
      <w:r w:rsidRPr="001453BC">
        <w:t>œuvre</w:t>
      </w:r>
      <w:r w:rsidR="009E4C76" w:rsidRPr="001453BC">
        <w:t xml:space="preserve"> de ces dispositions et les pénalités et sanctions encourues en cas de violation, étant précisé que le montant de l’amende à l’encontre de quiconque empêche, sans motif valable, l’inscription d’un enfant dans le cycle de l’enseignement obligatoire, a été porté à</w:t>
      </w:r>
      <w:r>
        <w:t> 5 000 </w:t>
      </w:r>
      <w:r w:rsidR="009E4C76" w:rsidRPr="001453BC">
        <w:t xml:space="preserve">riyals au minimum et à </w:t>
      </w:r>
      <w:r>
        <w:t>10 000 </w:t>
      </w:r>
      <w:r w:rsidR="009E4C76" w:rsidRPr="001453BC">
        <w:t>riyals au maximum ;</w:t>
      </w:r>
    </w:p>
    <w:p w14:paraId="6908280E" w14:textId="77777777" w:rsidR="009E4C76" w:rsidRPr="001453BC" w:rsidRDefault="001453BC" w:rsidP="001453BC">
      <w:pPr>
        <w:pStyle w:val="Bullet1G"/>
        <w:rPr>
          <w:rtl/>
        </w:rPr>
      </w:pPr>
      <w:r>
        <w:t>L</w:t>
      </w:r>
      <w:r w:rsidR="009E4C76" w:rsidRPr="001453BC">
        <w:t xml:space="preserve">e décret ministériel </w:t>
      </w:r>
      <w:r>
        <w:rPr>
          <w:lang w:val="fr-FR" w:bidi="ar-QA"/>
        </w:rPr>
        <w:t>n</w:t>
      </w:r>
      <w:r w:rsidRPr="00D52183">
        <w:rPr>
          <w:vertAlign w:val="superscript"/>
          <w:lang w:val="fr-FR" w:bidi="ar-QA"/>
        </w:rPr>
        <w:t>o</w:t>
      </w:r>
      <w:r>
        <w:rPr>
          <w:lang w:val="fr-FR" w:bidi="ar-QA"/>
        </w:rPr>
        <w:t> </w:t>
      </w:r>
      <w:r w:rsidR="009E4C76" w:rsidRPr="001453BC">
        <w:t>10 de 2010 portant création d’un Comité de suivi des parents qui contreviennent aux dispositions de la loi sur l’enseignement obligatoire, dont l’article</w:t>
      </w:r>
      <w:r>
        <w:t> </w:t>
      </w:r>
      <w:r w:rsidR="009E4C76" w:rsidRPr="001453BC">
        <w:t>8 définit les tâches et fonctions qui lui ont été confiées et qui consistent notamment à identifier les cas litigieux, à examiner les raisons pour lesquelles certains parents empêchent leurs enfants d’aller à l’école, à prendre les mesures appropriées, à définir le rôle des entités visées par le décret et à formuler des propositions concernant notamment les modalités d’application de la loi ;</w:t>
      </w:r>
    </w:p>
    <w:p w14:paraId="78F57F58" w14:textId="77777777" w:rsidR="009E4C76" w:rsidRPr="001453BC" w:rsidRDefault="001453BC" w:rsidP="001453BC">
      <w:pPr>
        <w:pStyle w:val="Bullet1G"/>
      </w:pPr>
      <w:r>
        <w:t>L</w:t>
      </w:r>
      <w:r w:rsidR="009E4C76" w:rsidRPr="001453BC">
        <w:t xml:space="preserve">a loi </w:t>
      </w:r>
      <w:r>
        <w:rPr>
          <w:lang w:val="fr-FR" w:bidi="ar-QA"/>
        </w:rPr>
        <w:t>n</w:t>
      </w:r>
      <w:r w:rsidRPr="00D52183">
        <w:rPr>
          <w:vertAlign w:val="superscript"/>
          <w:lang w:val="fr-FR" w:bidi="ar-QA"/>
        </w:rPr>
        <w:t>o</w:t>
      </w:r>
      <w:r>
        <w:rPr>
          <w:lang w:val="fr-FR" w:bidi="ar-QA"/>
        </w:rPr>
        <w:t> </w:t>
      </w:r>
      <w:r w:rsidR="009E4C76" w:rsidRPr="001453BC">
        <w:t>6 de 2013 relative au Fonds pour la santé et l’éducation, qui vise à dégager des ressources financières durables au profit des services de santé et d’éducation et qui a également désigné les autorités chargées d’assurer la gestion de ce mécanisme.</w:t>
      </w:r>
    </w:p>
    <w:p w14:paraId="7D234023" w14:textId="77777777" w:rsidR="009E4C76" w:rsidRPr="00CE611F" w:rsidRDefault="009E4C76" w:rsidP="005D0B7C">
      <w:pPr>
        <w:pStyle w:val="SingleTxtG"/>
        <w:rPr>
          <w:lang w:bidi="ar-QA"/>
        </w:rPr>
      </w:pPr>
      <w:r w:rsidRPr="00CE611F">
        <w:rPr>
          <w:lang w:bidi="ar-QA"/>
        </w:rPr>
        <w:t>114.</w:t>
      </w:r>
      <w:r w:rsidRPr="00CE611F">
        <w:rPr>
          <w:lang w:bidi="ar-QA"/>
        </w:rPr>
        <w:tab/>
        <w:t>Le Qatar veille à ce que tous les enfants de migrants aient accès à l</w:t>
      </w:r>
      <w:r>
        <w:rPr>
          <w:lang w:bidi="ar-QA"/>
        </w:rPr>
        <w:t>’</w:t>
      </w:r>
      <w:r w:rsidRPr="00CE611F">
        <w:rPr>
          <w:lang w:bidi="ar-QA"/>
        </w:rPr>
        <w:t>éducation, leurs parents et tuteurs étant libres de les inscrire dans une école publique ou une école privée. Il</w:t>
      </w:r>
      <w:r w:rsidR="00880D40">
        <w:rPr>
          <w:lang w:bidi="ar-QA"/>
        </w:rPr>
        <w:t> </w:t>
      </w:r>
      <w:r w:rsidRPr="00CE611F">
        <w:rPr>
          <w:lang w:bidi="ar-QA"/>
        </w:rPr>
        <w:t>convient d</w:t>
      </w:r>
      <w:r>
        <w:rPr>
          <w:lang w:bidi="ar-QA"/>
        </w:rPr>
        <w:t>’</w:t>
      </w:r>
      <w:r w:rsidRPr="00CE611F">
        <w:rPr>
          <w:lang w:bidi="ar-QA"/>
        </w:rPr>
        <w:t>ajouter que des écoles destinées aux enfants des différentes communautés, ainsi que des écoles internationales et des écoles privées ont ouvert leurs portes. Cela représente au total 160</w:t>
      </w:r>
      <w:r w:rsidR="00880D40">
        <w:rPr>
          <w:lang w:bidi="ar-QA"/>
        </w:rPr>
        <w:t> </w:t>
      </w:r>
      <w:r w:rsidRPr="00CE611F">
        <w:rPr>
          <w:lang w:bidi="ar-QA"/>
        </w:rPr>
        <w:t>écoles et 85</w:t>
      </w:r>
      <w:r w:rsidR="00880D40">
        <w:rPr>
          <w:lang w:bidi="ar-QA"/>
        </w:rPr>
        <w:t> </w:t>
      </w:r>
      <w:r w:rsidRPr="00CE611F">
        <w:rPr>
          <w:lang w:bidi="ar-QA"/>
        </w:rPr>
        <w:t>jardins d</w:t>
      </w:r>
      <w:r>
        <w:rPr>
          <w:lang w:bidi="ar-QA"/>
        </w:rPr>
        <w:t>’</w:t>
      </w:r>
      <w:r w:rsidRPr="00CE611F">
        <w:rPr>
          <w:lang w:bidi="ar-QA"/>
        </w:rPr>
        <w:t>enfants, qui dispensent un enseignement à</w:t>
      </w:r>
      <w:r w:rsidR="00004B0D">
        <w:rPr>
          <w:lang w:bidi="ar-QA"/>
        </w:rPr>
        <w:t> </w:t>
      </w:r>
      <w:r w:rsidRPr="00CE611F">
        <w:rPr>
          <w:lang w:bidi="ar-QA"/>
        </w:rPr>
        <w:t>plus de 58 % des enfants scolarisés.</w:t>
      </w:r>
    </w:p>
    <w:p w14:paraId="4C607194" w14:textId="77777777" w:rsidR="009E4C76" w:rsidRPr="00CE611F" w:rsidRDefault="009E4C76" w:rsidP="005D0B7C">
      <w:pPr>
        <w:pStyle w:val="SingleTxtG"/>
        <w:rPr>
          <w:lang w:bidi="ar-QA"/>
        </w:rPr>
      </w:pPr>
      <w:r w:rsidRPr="00CE611F">
        <w:rPr>
          <w:lang w:bidi="ar-QA"/>
        </w:rPr>
        <w:t>115.</w:t>
      </w:r>
      <w:r w:rsidRPr="00CE611F">
        <w:rPr>
          <w:lang w:bidi="ar-QA"/>
        </w:rPr>
        <w:tab/>
        <w:t>Compte tenu de la mobilité croissante de la population et pour assurer un accès universel à l</w:t>
      </w:r>
      <w:r>
        <w:rPr>
          <w:lang w:bidi="ar-QA"/>
        </w:rPr>
        <w:t>’</w:t>
      </w:r>
      <w:r w:rsidRPr="00CE611F">
        <w:rPr>
          <w:lang w:bidi="ar-QA"/>
        </w:rPr>
        <w:t>éducation, plusieurs nouvelles écoles publiques et privées ouvrent leurs portes chaque année au Qatar. Le Ministère de l</w:t>
      </w:r>
      <w:r>
        <w:rPr>
          <w:lang w:bidi="ar-QA"/>
        </w:rPr>
        <w:t>’</w:t>
      </w:r>
      <w:r w:rsidRPr="00CE611F">
        <w:rPr>
          <w:lang w:bidi="ar-QA"/>
        </w:rPr>
        <w:t>éducation et de l</w:t>
      </w:r>
      <w:r>
        <w:rPr>
          <w:lang w:bidi="ar-QA"/>
        </w:rPr>
        <w:t>’</w:t>
      </w:r>
      <w:r w:rsidRPr="00CE611F">
        <w:rPr>
          <w:lang w:bidi="ar-QA"/>
        </w:rPr>
        <w:t>enseignement supérieur s</w:t>
      </w:r>
      <w:r>
        <w:rPr>
          <w:lang w:bidi="ar-QA"/>
        </w:rPr>
        <w:t>’</w:t>
      </w:r>
      <w:r w:rsidRPr="00CE611F">
        <w:rPr>
          <w:lang w:bidi="ar-QA"/>
        </w:rPr>
        <w:t>emploie à offrir à tous les élèves la possibilité d</w:t>
      </w:r>
      <w:r>
        <w:rPr>
          <w:lang w:bidi="ar-QA"/>
        </w:rPr>
        <w:t>’</w:t>
      </w:r>
      <w:r w:rsidRPr="00CE611F">
        <w:rPr>
          <w:lang w:bidi="ar-QA"/>
        </w:rPr>
        <w:t>accéder, sur un pied d</w:t>
      </w:r>
      <w:r>
        <w:rPr>
          <w:lang w:bidi="ar-QA"/>
        </w:rPr>
        <w:t>’</w:t>
      </w:r>
      <w:r w:rsidRPr="00CE611F">
        <w:rPr>
          <w:lang w:bidi="ar-QA"/>
        </w:rPr>
        <w:t>égalité, à une éducation appropriée et à accorder aux écoles privées un certain nombre d</w:t>
      </w:r>
      <w:r>
        <w:rPr>
          <w:lang w:bidi="ar-QA"/>
        </w:rPr>
        <w:t>’</w:t>
      </w:r>
      <w:r w:rsidRPr="00CE611F">
        <w:rPr>
          <w:lang w:bidi="ar-QA"/>
        </w:rPr>
        <w:t>avantage, tels que l</w:t>
      </w:r>
      <w:r>
        <w:rPr>
          <w:lang w:bidi="ar-QA"/>
        </w:rPr>
        <w:t>’</w:t>
      </w:r>
      <w:r w:rsidRPr="00CE611F">
        <w:rPr>
          <w:lang w:bidi="ar-QA"/>
        </w:rPr>
        <w:t>exemption du paiement des frais de consommation d</w:t>
      </w:r>
      <w:r>
        <w:rPr>
          <w:lang w:bidi="ar-QA"/>
        </w:rPr>
        <w:t>’</w:t>
      </w:r>
      <w:r w:rsidRPr="00CE611F">
        <w:rPr>
          <w:lang w:bidi="ar-QA"/>
        </w:rPr>
        <w:t>électricité et d</w:t>
      </w:r>
      <w:r>
        <w:rPr>
          <w:lang w:bidi="ar-QA"/>
        </w:rPr>
        <w:t>’</w:t>
      </w:r>
      <w:r w:rsidRPr="00CE611F">
        <w:rPr>
          <w:lang w:bidi="ar-QA"/>
        </w:rPr>
        <w:t>eau et l</w:t>
      </w:r>
      <w:r>
        <w:rPr>
          <w:lang w:bidi="ar-QA"/>
        </w:rPr>
        <w:t>’</w:t>
      </w:r>
      <w:r w:rsidRPr="00CE611F">
        <w:rPr>
          <w:lang w:bidi="ar-QA"/>
        </w:rPr>
        <w:t>exonération des droits de douane. Le Ministère fournit également des terrains aux écoles privées titulaires d</w:t>
      </w:r>
      <w:r>
        <w:rPr>
          <w:lang w:bidi="ar-QA"/>
        </w:rPr>
        <w:t>’</w:t>
      </w:r>
      <w:r w:rsidRPr="00CE611F">
        <w:rPr>
          <w:lang w:bidi="ar-QA"/>
        </w:rPr>
        <w:t xml:space="preserve">une accréditation locale, nationale ou internationale et assure la mise en </w:t>
      </w:r>
      <w:r w:rsidR="00880D40" w:rsidRPr="00CE611F">
        <w:rPr>
          <w:lang w:bidi="ar-QA"/>
        </w:rPr>
        <w:t>œuvre</w:t>
      </w:r>
      <w:r w:rsidRPr="00CE611F">
        <w:rPr>
          <w:lang w:bidi="ar-QA"/>
        </w:rPr>
        <w:t xml:space="preserve"> des accords conclus avec le Ministère de la santé et le Ministère de l</w:t>
      </w:r>
      <w:r>
        <w:rPr>
          <w:lang w:bidi="ar-QA"/>
        </w:rPr>
        <w:t>’</w:t>
      </w:r>
      <w:r w:rsidRPr="00CE611F">
        <w:rPr>
          <w:lang w:bidi="ar-QA"/>
        </w:rPr>
        <w:t>intérieur, afin de garantir le droit d</w:t>
      </w:r>
      <w:r>
        <w:rPr>
          <w:lang w:bidi="ar-QA"/>
        </w:rPr>
        <w:t>’</w:t>
      </w:r>
      <w:r w:rsidRPr="00CE611F">
        <w:rPr>
          <w:lang w:bidi="ar-QA"/>
        </w:rPr>
        <w:t>accès des enfants qataris à l</w:t>
      </w:r>
      <w:r>
        <w:rPr>
          <w:lang w:bidi="ar-QA"/>
        </w:rPr>
        <w:t>’</w:t>
      </w:r>
      <w:r w:rsidRPr="00CE611F">
        <w:rPr>
          <w:lang w:bidi="ar-QA"/>
        </w:rPr>
        <w:t>éducation. En outre, le Ministère de l</w:t>
      </w:r>
      <w:r>
        <w:rPr>
          <w:lang w:bidi="ar-QA"/>
        </w:rPr>
        <w:t>’</w:t>
      </w:r>
      <w:r w:rsidRPr="00CE611F">
        <w:rPr>
          <w:lang w:bidi="ar-QA"/>
        </w:rPr>
        <w:t>éducation veille à inscrire les élèves expatriés, même après expiration des délais d</w:t>
      </w:r>
      <w:r>
        <w:rPr>
          <w:lang w:bidi="ar-QA"/>
        </w:rPr>
        <w:t>’</w:t>
      </w:r>
      <w:r w:rsidRPr="00CE611F">
        <w:rPr>
          <w:lang w:bidi="ar-QA"/>
        </w:rPr>
        <w:t>inscriptions prévus, et les aide à accomplir les formalités administratives d</w:t>
      </w:r>
      <w:r>
        <w:rPr>
          <w:lang w:bidi="ar-QA"/>
        </w:rPr>
        <w:t>’</w:t>
      </w:r>
      <w:r w:rsidRPr="00CE611F">
        <w:rPr>
          <w:lang w:bidi="ar-QA"/>
        </w:rPr>
        <w:t>inscription afin d</w:t>
      </w:r>
      <w:r>
        <w:rPr>
          <w:lang w:bidi="ar-QA"/>
        </w:rPr>
        <w:t>’</w:t>
      </w:r>
      <w:r w:rsidRPr="00CE611F">
        <w:rPr>
          <w:lang w:bidi="ar-QA"/>
        </w:rPr>
        <w:t>offrir à tous les services éducatifs attendus.</w:t>
      </w:r>
    </w:p>
    <w:p w14:paraId="2AF22624" w14:textId="77777777" w:rsidR="009E4C76" w:rsidRPr="00CE611F" w:rsidRDefault="009E4C76" w:rsidP="005D0B7C">
      <w:pPr>
        <w:pStyle w:val="SingleTxtG"/>
        <w:rPr>
          <w:lang w:bidi="ar-QA"/>
        </w:rPr>
      </w:pPr>
      <w:r w:rsidRPr="00CE611F">
        <w:rPr>
          <w:lang w:bidi="ar-QA"/>
        </w:rPr>
        <w:t>116.</w:t>
      </w:r>
      <w:r w:rsidRPr="00CE611F">
        <w:rPr>
          <w:lang w:bidi="ar-QA"/>
        </w:rPr>
        <w:tab/>
        <w:t>Dans le cadre du processus de développement de l</w:t>
      </w:r>
      <w:r>
        <w:rPr>
          <w:lang w:bidi="ar-QA"/>
        </w:rPr>
        <w:t>’</w:t>
      </w:r>
      <w:r w:rsidRPr="00CE611F">
        <w:rPr>
          <w:lang w:bidi="ar-QA"/>
        </w:rPr>
        <w:t>éducation initié en 2007 par Son</w:t>
      </w:r>
      <w:r w:rsidR="00880D40">
        <w:rPr>
          <w:lang w:bidi="ar-QA"/>
        </w:rPr>
        <w:t> </w:t>
      </w:r>
      <w:r w:rsidRPr="00CE611F">
        <w:rPr>
          <w:lang w:bidi="ar-QA"/>
        </w:rPr>
        <w:t>Altesse Sheikha Moza Bint Nasser Al</w:t>
      </w:r>
      <w:r w:rsidR="00880D40">
        <w:rPr>
          <w:lang w:bidi="ar-QA"/>
        </w:rPr>
        <w:t> </w:t>
      </w:r>
      <w:r w:rsidRPr="00CE611F">
        <w:rPr>
          <w:lang w:bidi="ar-QA"/>
        </w:rPr>
        <w:t>Missned, plusieurs écoles étrangères de qualité ont été créées dans le pays afin de répondre à la demande croissante d</w:t>
      </w:r>
      <w:r>
        <w:rPr>
          <w:lang w:bidi="ar-QA"/>
        </w:rPr>
        <w:t>’</w:t>
      </w:r>
      <w:r w:rsidRPr="00CE611F">
        <w:rPr>
          <w:lang w:bidi="ar-QA"/>
        </w:rPr>
        <w:t>éducation de qualité dispensée par les établissements étrangers. Les tableaux suivants montrent que l</w:t>
      </w:r>
      <w:r>
        <w:rPr>
          <w:lang w:bidi="ar-QA"/>
        </w:rPr>
        <w:t>’</w:t>
      </w:r>
      <w:r w:rsidRPr="00CE611F">
        <w:rPr>
          <w:lang w:bidi="ar-QA"/>
        </w:rPr>
        <w:t>État garantit l</w:t>
      </w:r>
      <w:r>
        <w:rPr>
          <w:lang w:bidi="ar-QA"/>
        </w:rPr>
        <w:t>’</w:t>
      </w:r>
      <w:r w:rsidRPr="00CE611F">
        <w:rPr>
          <w:lang w:bidi="ar-QA"/>
        </w:rPr>
        <w:t>égalité d</w:t>
      </w:r>
      <w:r>
        <w:rPr>
          <w:lang w:bidi="ar-QA"/>
        </w:rPr>
        <w:t>’</w:t>
      </w:r>
      <w:r w:rsidRPr="00CE611F">
        <w:rPr>
          <w:lang w:bidi="ar-QA"/>
        </w:rPr>
        <w:t>accès à l</w:t>
      </w:r>
      <w:r>
        <w:rPr>
          <w:lang w:bidi="ar-QA"/>
        </w:rPr>
        <w:t>’</w:t>
      </w:r>
      <w:r w:rsidRPr="00CE611F">
        <w:rPr>
          <w:lang w:bidi="ar-QA"/>
        </w:rPr>
        <w:t>éducation.</w:t>
      </w:r>
    </w:p>
    <w:p w14:paraId="26ADF1B8" w14:textId="77777777" w:rsidR="009E4C76" w:rsidRDefault="009141F2" w:rsidP="009141F2">
      <w:pPr>
        <w:pStyle w:val="H23G"/>
      </w:pPr>
      <w:r w:rsidRPr="009141F2">
        <w:rPr>
          <w:b w:val="0"/>
        </w:rPr>
        <w:tab/>
      </w:r>
      <w:r w:rsidRPr="009141F2">
        <w:rPr>
          <w:b w:val="0"/>
        </w:rPr>
        <w:tab/>
      </w:r>
      <w:r w:rsidR="009E4C76" w:rsidRPr="009141F2">
        <w:rPr>
          <w:b w:val="0"/>
        </w:rPr>
        <w:t>Tableau 15</w:t>
      </w:r>
      <w:r w:rsidRPr="009141F2">
        <w:rPr>
          <w:b w:val="0"/>
        </w:rPr>
        <w:t xml:space="preserve"> </w:t>
      </w:r>
      <w:r w:rsidR="009E4C76" w:rsidRPr="00CE611F">
        <w:br/>
        <w:t>Nombre d</w:t>
      </w:r>
      <w:r w:rsidR="009E4C76">
        <w:t>’</w:t>
      </w:r>
      <w:r w:rsidR="009E4C76" w:rsidRPr="00CE611F">
        <w:t>élèves dans les différents cycles de l</w:t>
      </w:r>
      <w:r w:rsidR="009E4C76">
        <w:t>’</w:t>
      </w:r>
      <w:r w:rsidR="009E4C76" w:rsidRPr="00CE611F">
        <w:t xml:space="preserve">enseignement public selon le sexe </w:t>
      </w:r>
      <w:r>
        <w:br/>
      </w:r>
      <w:r w:rsidR="009E4C76" w:rsidRPr="00CE611F">
        <w:t>et la nationalité au cours de l</w:t>
      </w:r>
      <w:r w:rsidR="009E4C76">
        <w:t>’</w:t>
      </w:r>
      <w:r w:rsidR="009E4C76" w:rsidRPr="00CE611F">
        <w:t>année scolaire (2015/16)</w:t>
      </w:r>
    </w:p>
    <w:tbl>
      <w:tblPr>
        <w:tblStyle w:val="Grilledutableau"/>
        <w:tblW w:w="737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063"/>
        <w:gridCol w:w="901"/>
        <w:gridCol w:w="1003"/>
        <w:gridCol w:w="924"/>
        <w:gridCol w:w="853"/>
        <w:gridCol w:w="981"/>
        <w:gridCol w:w="863"/>
        <w:gridCol w:w="785"/>
      </w:tblGrid>
      <w:tr w:rsidR="00CF7608" w:rsidRPr="003F2044" w14:paraId="2440734F" w14:textId="77777777" w:rsidTr="0093687E">
        <w:trPr>
          <w:tblHeader/>
        </w:trPr>
        <w:tc>
          <w:tcPr>
            <w:tcW w:w="1063" w:type="dxa"/>
            <w:vMerge w:val="restart"/>
            <w:tcBorders>
              <w:top w:val="single" w:sz="4" w:space="0" w:color="auto"/>
            </w:tcBorders>
            <w:shd w:val="clear" w:color="auto" w:fill="auto"/>
            <w:vAlign w:val="bottom"/>
          </w:tcPr>
          <w:p w14:paraId="7A1EF3FC" w14:textId="77777777" w:rsidR="00CF7608" w:rsidRPr="003F2044" w:rsidRDefault="00CF7608" w:rsidP="003F2044">
            <w:pPr>
              <w:spacing w:before="80" w:after="80" w:line="200" w:lineRule="exact"/>
              <w:rPr>
                <w:i/>
                <w:sz w:val="16"/>
              </w:rPr>
            </w:pPr>
            <w:r>
              <w:rPr>
                <w:i/>
                <w:sz w:val="16"/>
              </w:rPr>
              <w:t>Cycle</w:t>
            </w:r>
          </w:p>
        </w:tc>
        <w:tc>
          <w:tcPr>
            <w:tcW w:w="2828" w:type="dxa"/>
            <w:gridSpan w:val="3"/>
            <w:tcBorders>
              <w:top w:val="single" w:sz="4" w:space="0" w:color="auto"/>
              <w:bottom w:val="single" w:sz="4" w:space="0" w:color="auto"/>
              <w:right w:val="single" w:sz="24" w:space="0" w:color="FFFFFF" w:themeColor="background1"/>
            </w:tcBorders>
            <w:shd w:val="clear" w:color="auto" w:fill="auto"/>
            <w:vAlign w:val="bottom"/>
          </w:tcPr>
          <w:p w14:paraId="10830A14" w14:textId="77777777" w:rsidR="00CF7608" w:rsidRPr="003F2044" w:rsidRDefault="00CF7608" w:rsidP="00CF7608">
            <w:pPr>
              <w:spacing w:before="80" w:after="80" w:line="200" w:lineRule="exact"/>
              <w:jc w:val="center"/>
              <w:rPr>
                <w:i/>
                <w:sz w:val="16"/>
              </w:rPr>
            </w:pPr>
            <w:r>
              <w:rPr>
                <w:i/>
                <w:sz w:val="16"/>
              </w:rPr>
              <w:t>Qataris</w:t>
            </w:r>
          </w:p>
        </w:tc>
        <w:tc>
          <w:tcPr>
            <w:tcW w:w="2697" w:type="dxa"/>
            <w:gridSpan w:val="3"/>
            <w:tcBorders>
              <w:top w:val="single" w:sz="4" w:space="0" w:color="auto"/>
              <w:left w:val="single" w:sz="24" w:space="0" w:color="FFFFFF" w:themeColor="background1"/>
              <w:bottom w:val="single" w:sz="4" w:space="0" w:color="auto"/>
            </w:tcBorders>
            <w:shd w:val="clear" w:color="auto" w:fill="auto"/>
            <w:vAlign w:val="bottom"/>
          </w:tcPr>
          <w:p w14:paraId="0E265ABD" w14:textId="77777777" w:rsidR="00CF7608" w:rsidRPr="003F2044" w:rsidRDefault="00CF7608" w:rsidP="00CF7608">
            <w:pPr>
              <w:spacing w:before="80" w:after="80" w:line="200" w:lineRule="exact"/>
              <w:jc w:val="center"/>
              <w:rPr>
                <w:i/>
                <w:sz w:val="16"/>
              </w:rPr>
            </w:pPr>
            <w:r>
              <w:rPr>
                <w:i/>
                <w:sz w:val="16"/>
              </w:rPr>
              <w:t>No</w:t>
            </w:r>
            <w:r w:rsidR="002E4089">
              <w:rPr>
                <w:i/>
                <w:sz w:val="16"/>
              </w:rPr>
              <w:t>n</w:t>
            </w:r>
            <w:r w:rsidR="0093687E">
              <w:rPr>
                <w:i/>
                <w:sz w:val="16"/>
              </w:rPr>
              <w:t>-Q</w:t>
            </w:r>
            <w:r>
              <w:rPr>
                <w:i/>
                <w:sz w:val="16"/>
              </w:rPr>
              <w:t>ataris</w:t>
            </w:r>
          </w:p>
        </w:tc>
        <w:tc>
          <w:tcPr>
            <w:tcW w:w="785" w:type="dxa"/>
            <w:vMerge w:val="restart"/>
            <w:tcBorders>
              <w:top w:val="single" w:sz="4" w:space="0" w:color="auto"/>
            </w:tcBorders>
            <w:shd w:val="clear" w:color="auto" w:fill="auto"/>
            <w:vAlign w:val="bottom"/>
          </w:tcPr>
          <w:p w14:paraId="7073C459" w14:textId="77777777" w:rsidR="00CF7608" w:rsidRPr="003F2044" w:rsidRDefault="00CF7608" w:rsidP="003F2044">
            <w:pPr>
              <w:spacing w:before="80" w:after="80" w:line="200" w:lineRule="exact"/>
              <w:jc w:val="right"/>
              <w:rPr>
                <w:i/>
                <w:sz w:val="16"/>
              </w:rPr>
            </w:pPr>
            <w:r>
              <w:rPr>
                <w:i/>
                <w:sz w:val="16"/>
              </w:rPr>
              <w:t>Total</w:t>
            </w:r>
          </w:p>
        </w:tc>
      </w:tr>
      <w:tr w:rsidR="00CF7608" w:rsidRPr="003F2044" w14:paraId="78A6ED04" w14:textId="77777777" w:rsidTr="0093687E">
        <w:trPr>
          <w:tblHeader/>
        </w:trPr>
        <w:tc>
          <w:tcPr>
            <w:tcW w:w="1063" w:type="dxa"/>
            <w:vMerge/>
            <w:tcBorders>
              <w:bottom w:val="single" w:sz="12" w:space="0" w:color="auto"/>
            </w:tcBorders>
            <w:shd w:val="clear" w:color="auto" w:fill="auto"/>
            <w:vAlign w:val="bottom"/>
          </w:tcPr>
          <w:p w14:paraId="5794639B" w14:textId="77777777" w:rsidR="00CF7608" w:rsidRPr="003F2044" w:rsidRDefault="00CF7608" w:rsidP="003F2044">
            <w:pPr>
              <w:spacing w:before="80" w:after="80" w:line="200" w:lineRule="exact"/>
              <w:rPr>
                <w:i/>
                <w:sz w:val="16"/>
              </w:rPr>
            </w:pPr>
          </w:p>
        </w:tc>
        <w:tc>
          <w:tcPr>
            <w:tcW w:w="901" w:type="dxa"/>
            <w:tcBorders>
              <w:top w:val="single" w:sz="4" w:space="0" w:color="auto"/>
              <w:bottom w:val="single" w:sz="12" w:space="0" w:color="auto"/>
            </w:tcBorders>
            <w:shd w:val="clear" w:color="auto" w:fill="auto"/>
            <w:vAlign w:val="bottom"/>
          </w:tcPr>
          <w:p w14:paraId="72BE1D34" w14:textId="77777777" w:rsidR="00CF7608" w:rsidRPr="003F2044" w:rsidRDefault="00CF7608" w:rsidP="003F2044">
            <w:pPr>
              <w:spacing w:before="80" w:after="80" w:line="200" w:lineRule="exact"/>
              <w:jc w:val="right"/>
              <w:rPr>
                <w:i/>
                <w:sz w:val="16"/>
              </w:rPr>
            </w:pPr>
            <w:r>
              <w:rPr>
                <w:i/>
                <w:sz w:val="16"/>
              </w:rPr>
              <w:t>Garçons</w:t>
            </w:r>
          </w:p>
        </w:tc>
        <w:tc>
          <w:tcPr>
            <w:tcW w:w="1003" w:type="dxa"/>
            <w:tcBorders>
              <w:top w:val="single" w:sz="4" w:space="0" w:color="auto"/>
              <w:bottom w:val="single" w:sz="12" w:space="0" w:color="auto"/>
            </w:tcBorders>
            <w:shd w:val="clear" w:color="auto" w:fill="auto"/>
            <w:vAlign w:val="bottom"/>
          </w:tcPr>
          <w:p w14:paraId="02734350" w14:textId="77777777" w:rsidR="00CF7608" w:rsidRPr="003F2044" w:rsidRDefault="00CF7608" w:rsidP="003F2044">
            <w:pPr>
              <w:spacing w:before="80" w:after="80" w:line="200" w:lineRule="exact"/>
              <w:jc w:val="right"/>
              <w:rPr>
                <w:i/>
                <w:sz w:val="16"/>
              </w:rPr>
            </w:pPr>
            <w:r>
              <w:rPr>
                <w:i/>
                <w:sz w:val="16"/>
              </w:rPr>
              <w:t>Filles</w:t>
            </w:r>
          </w:p>
        </w:tc>
        <w:tc>
          <w:tcPr>
            <w:tcW w:w="924" w:type="dxa"/>
            <w:tcBorders>
              <w:top w:val="single" w:sz="4" w:space="0" w:color="auto"/>
              <w:bottom w:val="single" w:sz="12" w:space="0" w:color="auto"/>
              <w:right w:val="single" w:sz="24" w:space="0" w:color="FFFFFF" w:themeColor="background1"/>
            </w:tcBorders>
            <w:shd w:val="clear" w:color="auto" w:fill="auto"/>
            <w:vAlign w:val="bottom"/>
          </w:tcPr>
          <w:p w14:paraId="1AEA0B70" w14:textId="77777777" w:rsidR="00CF7608" w:rsidRPr="003F2044" w:rsidRDefault="00CF7608" w:rsidP="003F2044">
            <w:pPr>
              <w:spacing w:before="80" w:after="80" w:line="200" w:lineRule="exact"/>
              <w:jc w:val="right"/>
              <w:rPr>
                <w:i/>
                <w:sz w:val="16"/>
              </w:rPr>
            </w:pPr>
            <w:r>
              <w:rPr>
                <w:i/>
                <w:sz w:val="16"/>
              </w:rPr>
              <w:t>Total</w:t>
            </w:r>
          </w:p>
        </w:tc>
        <w:tc>
          <w:tcPr>
            <w:tcW w:w="853" w:type="dxa"/>
            <w:tcBorders>
              <w:top w:val="single" w:sz="4" w:space="0" w:color="auto"/>
              <w:left w:val="single" w:sz="24" w:space="0" w:color="FFFFFF" w:themeColor="background1"/>
              <w:bottom w:val="single" w:sz="12" w:space="0" w:color="auto"/>
            </w:tcBorders>
            <w:shd w:val="clear" w:color="auto" w:fill="auto"/>
            <w:vAlign w:val="bottom"/>
          </w:tcPr>
          <w:p w14:paraId="1FC58416" w14:textId="77777777" w:rsidR="00CF7608" w:rsidRPr="003F2044" w:rsidRDefault="00CF7608" w:rsidP="003F2044">
            <w:pPr>
              <w:spacing w:before="80" w:after="80" w:line="200" w:lineRule="exact"/>
              <w:jc w:val="right"/>
              <w:rPr>
                <w:i/>
                <w:sz w:val="16"/>
              </w:rPr>
            </w:pPr>
            <w:r>
              <w:rPr>
                <w:i/>
                <w:sz w:val="16"/>
              </w:rPr>
              <w:t>Garçons</w:t>
            </w:r>
          </w:p>
        </w:tc>
        <w:tc>
          <w:tcPr>
            <w:tcW w:w="981" w:type="dxa"/>
            <w:tcBorders>
              <w:top w:val="single" w:sz="4" w:space="0" w:color="auto"/>
              <w:bottom w:val="single" w:sz="12" w:space="0" w:color="auto"/>
            </w:tcBorders>
            <w:shd w:val="clear" w:color="auto" w:fill="auto"/>
            <w:vAlign w:val="bottom"/>
          </w:tcPr>
          <w:p w14:paraId="7768F38A" w14:textId="77777777" w:rsidR="00CF7608" w:rsidRPr="003F2044" w:rsidRDefault="00CF7608" w:rsidP="003F2044">
            <w:pPr>
              <w:spacing w:before="80" w:after="80" w:line="200" w:lineRule="exact"/>
              <w:jc w:val="right"/>
              <w:rPr>
                <w:i/>
                <w:sz w:val="16"/>
              </w:rPr>
            </w:pPr>
            <w:r>
              <w:rPr>
                <w:i/>
                <w:sz w:val="16"/>
              </w:rPr>
              <w:t>Filles</w:t>
            </w:r>
          </w:p>
        </w:tc>
        <w:tc>
          <w:tcPr>
            <w:tcW w:w="863" w:type="dxa"/>
            <w:tcBorders>
              <w:top w:val="single" w:sz="4" w:space="0" w:color="auto"/>
              <w:bottom w:val="single" w:sz="12" w:space="0" w:color="auto"/>
            </w:tcBorders>
            <w:shd w:val="clear" w:color="auto" w:fill="auto"/>
            <w:vAlign w:val="bottom"/>
          </w:tcPr>
          <w:p w14:paraId="1053F424" w14:textId="77777777" w:rsidR="00CF7608" w:rsidRPr="003F2044" w:rsidRDefault="00CF7608" w:rsidP="003F2044">
            <w:pPr>
              <w:spacing w:before="80" w:after="80" w:line="200" w:lineRule="exact"/>
              <w:jc w:val="right"/>
              <w:rPr>
                <w:i/>
                <w:sz w:val="16"/>
              </w:rPr>
            </w:pPr>
            <w:r>
              <w:rPr>
                <w:i/>
                <w:sz w:val="16"/>
              </w:rPr>
              <w:t>Total</w:t>
            </w:r>
          </w:p>
        </w:tc>
        <w:tc>
          <w:tcPr>
            <w:tcW w:w="785" w:type="dxa"/>
            <w:vMerge/>
            <w:tcBorders>
              <w:bottom w:val="single" w:sz="12" w:space="0" w:color="auto"/>
            </w:tcBorders>
            <w:shd w:val="clear" w:color="auto" w:fill="auto"/>
            <w:vAlign w:val="bottom"/>
          </w:tcPr>
          <w:p w14:paraId="7FC9B80E" w14:textId="77777777" w:rsidR="00CF7608" w:rsidRPr="003F2044" w:rsidRDefault="00CF7608" w:rsidP="003F2044">
            <w:pPr>
              <w:spacing w:before="80" w:after="80" w:line="200" w:lineRule="exact"/>
              <w:jc w:val="right"/>
              <w:rPr>
                <w:i/>
                <w:sz w:val="16"/>
              </w:rPr>
            </w:pPr>
          </w:p>
        </w:tc>
      </w:tr>
      <w:tr w:rsidR="00CF7608" w14:paraId="066D073C" w14:textId="77777777" w:rsidTr="00CF7608">
        <w:tc>
          <w:tcPr>
            <w:tcW w:w="1063" w:type="dxa"/>
            <w:tcBorders>
              <w:top w:val="single" w:sz="12" w:space="0" w:color="auto"/>
            </w:tcBorders>
            <w:shd w:val="clear" w:color="auto" w:fill="auto"/>
          </w:tcPr>
          <w:p w14:paraId="36DF9D14" w14:textId="77777777" w:rsidR="003F2044" w:rsidRPr="009141F2" w:rsidRDefault="003F2044" w:rsidP="003F2044">
            <w:pPr>
              <w:suppressAutoHyphens w:val="0"/>
              <w:spacing w:before="40" w:after="40" w:line="220" w:lineRule="exact"/>
              <w:rPr>
                <w:sz w:val="18"/>
                <w:szCs w:val="26"/>
                <w:rtl/>
                <w:lang w:val="fr-FR" w:bidi="fr-FR"/>
              </w:rPr>
            </w:pPr>
            <w:r>
              <w:rPr>
                <w:sz w:val="18"/>
                <w:lang w:val="fr-FR"/>
              </w:rPr>
              <w:t>P</w:t>
            </w:r>
            <w:r w:rsidRPr="009141F2">
              <w:rPr>
                <w:sz w:val="18"/>
                <w:lang w:val="fr-FR"/>
              </w:rPr>
              <w:t>réprimaire</w:t>
            </w:r>
          </w:p>
        </w:tc>
        <w:tc>
          <w:tcPr>
            <w:tcW w:w="901" w:type="dxa"/>
            <w:tcBorders>
              <w:top w:val="single" w:sz="12" w:space="0" w:color="auto"/>
            </w:tcBorders>
            <w:shd w:val="clear" w:color="auto" w:fill="auto"/>
            <w:vAlign w:val="bottom"/>
          </w:tcPr>
          <w:p w14:paraId="3B99CE06"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3 439</w:t>
            </w:r>
          </w:p>
        </w:tc>
        <w:tc>
          <w:tcPr>
            <w:tcW w:w="1003" w:type="dxa"/>
            <w:tcBorders>
              <w:top w:val="single" w:sz="12" w:space="0" w:color="auto"/>
            </w:tcBorders>
            <w:shd w:val="clear" w:color="auto" w:fill="auto"/>
            <w:vAlign w:val="bottom"/>
          </w:tcPr>
          <w:p w14:paraId="16819A25" w14:textId="77777777" w:rsidR="003F2044" w:rsidRPr="009141F2" w:rsidRDefault="003F2044" w:rsidP="003F2044">
            <w:pPr>
              <w:suppressAutoHyphens w:val="0"/>
              <w:spacing w:before="40" w:after="40" w:line="220" w:lineRule="exact"/>
              <w:jc w:val="right"/>
              <w:rPr>
                <w:sz w:val="18"/>
                <w:szCs w:val="26"/>
                <w:rtl/>
                <w:lang w:val="fr-FR" w:bidi="fr-FR"/>
              </w:rPr>
            </w:pPr>
            <w:r w:rsidRPr="009141F2">
              <w:rPr>
                <w:sz w:val="18"/>
                <w:lang w:val="fr-FR"/>
              </w:rPr>
              <w:t>3 920</w:t>
            </w:r>
          </w:p>
        </w:tc>
        <w:tc>
          <w:tcPr>
            <w:tcW w:w="924" w:type="dxa"/>
            <w:tcBorders>
              <w:top w:val="single" w:sz="12" w:space="0" w:color="auto"/>
            </w:tcBorders>
            <w:shd w:val="clear" w:color="auto" w:fill="auto"/>
            <w:vAlign w:val="bottom"/>
          </w:tcPr>
          <w:p w14:paraId="05032861"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7 359</w:t>
            </w:r>
          </w:p>
        </w:tc>
        <w:tc>
          <w:tcPr>
            <w:tcW w:w="853" w:type="dxa"/>
            <w:tcBorders>
              <w:top w:val="single" w:sz="12" w:space="0" w:color="auto"/>
            </w:tcBorders>
            <w:shd w:val="clear" w:color="auto" w:fill="auto"/>
            <w:vAlign w:val="bottom"/>
          </w:tcPr>
          <w:p w14:paraId="6530C7C9"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452</w:t>
            </w:r>
          </w:p>
        </w:tc>
        <w:tc>
          <w:tcPr>
            <w:tcW w:w="981" w:type="dxa"/>
            <w:tcBorders>
              <w:top w:val="single" w:sz="12" w:space="0" w:color="auto"/>
            </w:tcBorders>
            <w:shd w:val="clear" w:color="auto" w:fill="auto"/>
            <w:vAlign w:val="bottom"/>
          </w:tcPr>
          <w:p w14:paraId="1B6D4CDA"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495</w:t>
            </w:r>
          </w:p>
        </w:tc>
        <w:tc>
          <w:tcPr>
            <w:tcW w:w="863" w:type="dxa"/>
            <w:tcBorders>
              <w:top w:val="single" w:sz="12" w:space="0" w:color="auto"/>
            </w:tcBorders>
            <w:shd w:val="clear" w:color="auto" w:fill="auto"/>
            <w:vAlign w:val="bottom"/>
          </w:tcPr>
          <w:p w14:paraId="4B2A1113"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947</w:t>
            </w:r>
          </w:p>
        </w:tc>
        <w:tc>
          <w:tcPr>
            <w:tcW w:w="785" w:type="dxa"/>
            <w:tcBorders>
              <w:top w:val="single" w:sz="12" w:space="0" w:color="auto"/>
            </w:tcBorders>
            <w:shd w:val="clear" w:color="auto" w:fill="auto"/>
            <w:vAlign w:val="bottom"/>
          </w:tcPr>
          <w:p w14:paraId="27DDE37D" w14:textId="77777777" w:rsidR="003F2044" w:rsidRPr="00E24FEB" w:rsidRDefault="003F2044" w:rsidP="003F2044">
            <w:pPr>
              <w:suppressAutoHyphens w:val="0"/>
              <w:spacing w:before="40" w:after="40" w:line="220" w:lineRule="exact"/>
              <w:jc w:val="right"/>
              <w:rPr>
                <w:sz w:val="18"/>
                <w:lang w:val="fr-FR"/>
              </w:rPr>
            </w:pPr>
            <w:r w:rsidRPr="00E24FEB">
              <w:rPr>
                <w:sz w:val="18"/>
                <w:lang w:val="fr-FR"/>
              </w:rPr>
              <w:t>8 306</w:t>
            </w:r>
          </w:p>
        </w:tc>
      </w:tr>
      <w:tr w:rsidR="00CF7608" w14:paraId="6D48CEB8" w14:textId="77777777" w:rsidTr="00CF7608">
        <w:tc>
          <w:tcPr>
            <w:tcW w:w="1063" w:type="dxa"/>
            <w:shd w:val="clear" w:color="auto" w:fill="auto"/>
          </w:tcPr>
          <w:p w14:paraId="1FBB2D97" w14:textId="77777777" w:rsidR="003F2044" w:rsidRPr="009141F2" w:rsidRDefault="003F2044" w:rsidP="003F2044">
            <w:pPr>
              <w:suppressAutoHyphens w:val="0"/>
              <w:spacing w:before="40" w:after="40" w:line="220" w:lineRule="exact"/>
              <w:rPr>
                <w:sz w:val="18"/>
                <w:szCs w:val="26"/>
                <w:rtl/>
                <w:lang w:val="fr-FR" w:bidi="fr-FR"/>
              </w:rPr>
            </w:pPr>
            <w:r w:rsidRPr="009141F2">
              <w:rPr>
                <w:sz w:val="18"/>
                <w:lang w:val="fr-FR"/>
              </w:rPr>
              <w:t>Primaire</w:t>
            </w:r>
          </w:p>
        </w:tc>
        <w:tc>
          <w:tcPr>
            <w:tcW w:w="901" w:type="dxa"/>
            <w:shd w:val="clear" w:color="auto" w:fill="auto"/>
            <w:vAlign w:val="bottom"/>
          </w:tcPr>
          <w:p w14:paraId="6AD0B472"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12 679</w:t>
            </w:r>
          </w:p>
        </w:tc>
        <w:tc>
          <w:tcPr>
            <w:tcW w:w="1003" w:type="dxa"/>
            <w:shd w:val="clear" w:color="auto" w:fill="auto"/>
            <w:vAlign w:val="bottom"/>
          </w:tcPr>
          <w:p w14:paraId="63A77B43"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14 443</w:t>
            </w:r>
          </w:p>
        </w:tc>
        <w:tc>
          <w:tcPr>
            <w:tcW w:w="924" w:type="dxa"/>
            <w:shd w:val="clear" w:color="auto" w:fill="auto"/>
            <w:vAlign w:val="bottom"/>
          </w:tcPr>
          <w:p w14:paraId="2B30B14D"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27 122</w:t>
            </w:r>
          </w:p>
        </w:tc>
        <w:tc>
          <w:tcPr>
            <w:tcW w:w="853" w:type="dxa"/>
            <w:shd w:val="clear" w:color="auto" w:fill="auto"/>
            <w:vAlign w:val="bottom"/>
          </w:tcPr>
          <w:p w14:paraId="060EA966"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11 106</w:t>
            </w:r>
          </w:p>
        </w:tc>
        <w:tc>
          <w:tcPr>
            <w:tcW w:w="981" w:type="dxa"/>
            <w:shd w:val="clear" w:color="auto" w:fill="auto"/>
            <w:vAlign w:val="bottom"/>
          </w:tcPr>
          <w:p w14:paraId="7B855A09"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11 803</w:t>
            </w:r>
          </w:p>
        </w:tc>
        <w:tc>
          <w:tcPr>
            <w:tcW w:w="863" w:type="dxa"/>
            <w:shd w:val="clear" w:color="auto" w:fill="auto"/>
            <w:vAlign w:val="bottom"/>
          </w:tcPr>
          <w:p w14:paraId="45DBFD03"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22 909</w:t>
            </w:r>
          </w:p>
        </w:tc>
        <w:tc>
          <w:tcPr>
            <w:tcW w:w="785" w:type="dxa"/>
            <w:shd w:val="clear" w:color="auto" w:fill="auto"/>
            <w:vAlign w:val="bottom"/>
          </w:tcPr>
          <w:p w14:paraId="23862BBE" w14:textId="77777777" w:rsidR="003F2044" w:rsidRPr="00E24FEB" w:rsidRDefault="003F2044" w:rsidP="003F2044">
            <w:pPr>
              <w:suppressAutoHyphens w:val="0"/>
              <w:spacing w:before="40" w:after="40" w:line="220" w:lineRule="exact"/>
              <w:jc w:val="right"/>
              <w:rPr>
                <w:sz w:val="18"/>
                <w:lang w:val="fr-FR"/>
              </w:rPr>
            </w:pPr>
            <w:r w:rsidRPr="00E24FEB">
              <w:rPr>
                <w:sz w:val="18"/>
                <w:lang w:val="fr-FR"/>
              </w:rPr>
              <w:t>50 031</w:t>
            </w:r>
          </w:p>
        </w:tc>
      </w:tr>
      <w:tr w:rsidR="00CF7608" w14:paraId="613F216E" w14:textId="77777777" w:rsidTr="00CF7608">
        <w:tc>
          <w:tcPr>
            <w:tcW w:w="1063" w:type="dxa"/>
            <w:shd w:val="clear" w:color="auto" w:fill="auto"/>
          </w:tcPr>
          <w:p w14:paraId="1D2F599D" w14:textId="77777777" w:rsidR="003F2044" w:rsidRPr="009141F2" w:rsidRDefault="003F2044" w:rsidP="003F2044">
            <w:pPr>
              <w:suppressAutoHyphens w:val="0"/>
              <w:spacing w:before="40" w:after="40" w:line="220" w:lineRule="exact"/>
              <w:rPr>
                <w:sz w:val="18"/>
                <w:szCs w:val="26"/>
                <w:rtl/>
                <w:lang w:val="fr-FR" w:bidi="fr-FR"/>
              </w:rPr>
            </w:pPr>
            <w:r w:rsidRPr="009141F2">
              <w:rPr>
                <w:sz w:val="18"/>
                <w:lang w:val="fr-FR"/>
              </w:rPr>
              <w:t>Préparatoire</w:t>
            </w:r>
          </w:p>
        </w:tc>
        <w:tc>
          <w:tcPr>
            <w:tcW w:w="901" w:type="dxa"/>
            <w:shd w:val="clear" w:color="auto" w:fill="auto"/>
            <w:vAlign w:val="bottom"/>
          </w:tcPr>
          <w:p w14:paraId="3C8D9DBF"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6 374</w:t>
            </w:r>
          </w:p>
        </w:tc>
        <w:tc>
          <w:tcPr>
            <w:tcW w:w="1003" w:type="dxa"/>
            <w:shd w:val="clear" w:color="auto" w:fill="auto"/>
            <w:vAlign w:val="bottom"/>
          </w:tcPr>
          <w:p w14:paraId="1FE98DB1"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7 250</w:t>
            </w:r>
          </w:p>
        </w:tc>
        <w:tc>
          <w:tcPr>
            <w:tcW w:w="924" w:type="dxa"/>
            <w:shd w:val="clear" w:color="auto" w:fill="auto"/>
            <w:vAlign w:val="bottom"/>
          </w:tcPr>
          <w:p w14:paraId="5DED88F4"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13 624</w:t>
            </w:r>
          </w:p>
        </w:tc>
        <w:tc>
          <w:tcPr>
            <w:tcW w:w="853" w:type="dxa"/>
            <w:shd w:val="clear" w:color="auto" w:fill="auto"/>
            <w:vAlign w:val="bottom"/>
          </w:tcPr>
          <w:p w14:paraId="7CABE7AE"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5 462</w:t>
            </w:r>
          </w:p>
        </w:tc>
        <w:tc>
          <w:tcPr>
            <w:tcW w:w="981" w:type="dxa"/>
            <w:shd w:val="clear" w:color="auto" w:fill="auto"/>
            <w:vAlign w:val="bottom"/>
          </w:tcPr>
          <w:p w14:paraId="69E405C1"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5 761</w:t>
            </w:r>
          </w:p>
        </w:tc>
        <w:tc>
          <w:tcPr>
            <w:tcW w:w="863" w:type="dxa"/>
            <w:shd w:val="clear" w:color="auto" w:fill="auto"/>
            <w:vAlign w:val="bottom"/>
          </w:tcPr>
          <w:p w14:paraId="6BBDAD94"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11 223</w:t>
            </w:r>
          </w:p>
        </w:tc>
        <w:tc>
          <w:tcPr>
            <w:tcW w:w="785" w:type="dxa"/>
            <w:shd w:val="clear" w:color="auto" w:fill="auto"/>
            <w:vAlign w:val="bottom"/>
          </w:tcPr>
          <w:p w14:paraId="66B8F941" w14:textId="77777777" w:rsidR="003F2044" w:rsidRPr="00E24FEB" w:rsidRDefault="003F2044" w:rsidP="003F2044">
            <w:pPr>
              <w:suppressAutoHyphens w:val="0"/>
              <w:spacing w:before="40" w:after="40" w:line="220" w:lineRule="exact"/>
              <w:jc w:val="right"/>
              <w:rPr>
                <w:sz w:val="18"/>
                <w:lang w:val="fr-FR"/>
              </w:rPr>
            </w:pPr>
            <w:r w:rsidRPr="00E24FEB">
              <w:rPr>
                <w:sz w:val="18"/>
                <w:lang w:val="fr-FR"/>
              </w:rPr>
              <w:t>24 847</w:t>
            </w:r>
          </w:p>
        </w:tc>
      </w:tr>
      <w:tr w:rsidR="00CF7608" w14:paraId="05AFEE6F" w14:textId="77777777" w:rsidTr="00CF7608">
        <w:tc>
          <w:tcPr>
            <w:tcW w:w="1063" w:type="dxa"/>
            <w:tcBorders>
              <w:bottom w:val="single" w:sz="4" w:space="0" w:color="auto"/>
            </w:tcBorders>
            <w:shd w:val="clear" w:color="auto" w:fill="auto"/>
          </w:tcPr>
          <w:p w14:paraId="4DF26B9A" w14:textId="77777777" w:rsidR="003F2044" w:rsidRPr="009141F2" w:rsidRDefault="003F2044" w:rsidP="003F2044">
            <w:pPr>
              <w:suppressAutoHyphens w:val="0"/>
              <w:spacing w:before="40" w:after="40" w:line="220" w:lineRule="exact"/>
              <w:rPr>
                <w:sz w:val="18"/>
                <w:szCs w:val="26"/>
                <w:rtl/>
                <w:lang w:val="fr-FR" w:bidi="fr-FR"/>
              </w:rPr>
            </w:pPr>
            <w:r w:rsidRPr="009141F2">
              <w:rPr>
                <w:sz w:val="18"/>
                <w:lang w:val="fr-FR"/>
              </w:rPr>
              <w:t>Secondaire</w:t>
            </w:r>
          </w:p>
        </w:tc>
        <w:tc>
          <w:tcPr>
            <w:tcW w:w="901" w:type="dxa"/>
            <w:tcBorders>
              <w:bottom w:val="single" w:sz="4" w:space="0" w:color="auto"/>
            </w:tcBorders>
            <w:shd w:val="clear" w:color="auto" w:fill="auto"/>
            <w:vAlign w:val="bottom"/>
          </w:tcPr>
          <w:p w14:paraId="6816C956"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6 802</w:t>
            </w:r>
          </w:p>
        </w:tc>
        <w:tc>
          <w:tcPr>
            <w:tcW w:w="1003" w:type="dxa"/>
            <w:tcBorders>
              <w:bottom w:val="single" w:sz="4" w:space="0" w:color="auto"/>
            </w:tcBorders>
            <w:shd w:val="clear" w:color="auto" w:fill="auto"/>
            <w:vAlign w:val="bottom"/>
          </w:tcPr>
          <w:p w14:paraId="4D36D2A4"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7 320</w:t>
            </w:r>
          </w:p>
        </w:tc>
        <w:tc>
          <w:tcPr>
            <w:tcW w:w="924" w:type="dxa"/>
            <w:tcBorders>
              <w:bottom w:val="single" w:sz="4" w:space="0" w:color="auto"/>
            </w:tcBorders>
            <w:shd w:val="clear" w:color="auto" w:fill="auto"/>
            <w:vAlign w:val="bottom"/>
          </w:tcPr>
          <w:p w14:paraId="4B3BB4B8"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14 122</w:t>
            </w:r>
          </w:p>
        </w:tc>
        <w:tc>
          <w:tcPr>
            <w:tcW w:w="853" w:type="dxa"/>
            <w:tcBorders>
              <w:bottom w:val="single" w:sz="4" w:space="0" w:color="auto"/>
            </w:tcBorders>
            <w:shd w:val="clear" w:color="auto" w:fill="auto"/>
            <w:vAlign w:val="bottom"/>
          </w:tcPr>
          <w:p w14:paraId="4C90DA33"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5 433</w:t>
            </w:r>
          </w:p>
        </w:tc>
        <w:tc>
          <w:tcPr>
            <w:tcW w:w="981" w:type="dxa"/>
            <w:tcBorders>
              <w:bottom w:val="single" w:sz="4" w:space="0" w:color="auto"/>
            </w:tcBorders>
            <w:shd w:val="clear" w:color="auto" w:fill="auto"/>
            <w:vAlign w:val="bottom"/>
          </w:tcPr>
          <w:p w14:paraId="6C0FAAD2"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5 257</w:t>
            </w:r>
          </w:p>
        </w:tc>
        <w:tc>
          <w:tcPr>
            <w:tcW w:w="863" w:type="dxa"/>
            <w:tcBorders>
              <w:bottom w:val="single" w:sz="4" w:space="0" w:color="auto"/>
            </w:tcBorders>
            <w:shd w:val="clear" w:color="auto" w:fill="auto"/>
            <w:vAlign w:val="bottom"/>
          </w:tcPr>
          <w:p w14:paraId="30192164" w14:textId="77777777" w:rsidR="003F2044" w:rsidRPr="009141F2" w:rsidRDefault="003F2044" w:rsidP="003F2044">
            <w:pPr>
              <w:suppressAutoHyphens w:val="0"/>
              <w:spacing w:before="40" w:after="40" w:line="220" w:lineRule="exact"/>
              <w:jc w:val="right"/>
              <w:rPr>
                <w:sz w:val="18"/>
                <w:lang w:val="fr-FR"/>
              </w:rPr>
            </w:pPr>
            <w:r w:rsidRPr="009141F2">
              <w:rPr>
                <w:sz w:val="18"/>
                <w:lang w:val="fr-FR"/>
              </w:rPr>
              <w:t>10 690</w:t>
            </w:r>
          </w:p>
        </w:tc>
        <w:tc>
          <w:tcPr>
            <w:tcW w:w="785" w:type="dxa"/>
            <w:tcBorders>
              <w:bottom w:val="single" w:sz="4" w:space="0" w:color="auto"/>
            </w:tcBorders>
            <w:shd w:val="clear" w:color="auto" w:fill="auto"/>
            <w:vAlign w:val="bottom"/>
          </w:tcPr>
          <w:p w14:paraId="4F22D0C5" w14:textId="77777777" w:rsidR="003F2044" w:rsidRPr="00E24FEB" w:rsidRDefault="003F2044" w:rsidP="003F2044">
            <w:pPr>
              <w:suppressAutoHyphens w:val="0"/>
              <w:spacing w:before="40" w:after="40" w:line="220" w:lineRule="exact"/>
              <w:jc w:val="right"/>
              <w:rPr>
                <w:sz w:val="18"/>
                <w:lang w:val="fr-FR"/>
              </w:rPr>
            </w:pPr>
            <w:r w:rsidRPr="00E24FEB">
              <w:rPr>
                <w:sz w:val="18"/>
                <w:lang w:val="fr-FR"/>
              </w:rPr>
              <w:t>24 812</w:t>
            </w:r>
          </w:p>
        </w:tc>
      </w:tr>
      <w:tr w:rsidR="00CF7608" w:rsidRPr="005F34E7" w14:paraId="25BC4704" w14:textId="77777777" w:rsidTr="00CF7608">
        <w:tc>
          <w:tcPr>
            <w:tcW w:w="1063" w:type="dxa"/>
            <w:tcBorders>
              <w:top w:val="single" w:sz="4" w:space="0" w:color="auto"/>
              <w:bottom w:val="single" w:sz="12" w:space="0" w:color="auto"/>
            </w:tcBorders>
            <w:shd w:val="clear" w:color="auto" w:fill="auto"/>
          </w:tcPr>
          <w:p w14:paraId="495ADC22" w14:textId="77777777" w:rsidR="003F2044" w:rsidRPr="005F34E7" w:rsidRDefault="003F2044" w:rsidP="003F2044">
            <w:pPr>
              <w:suppressAutoHyphens w:val="0"/>
              <w:spacing w:before="80" w:after="80" w:line="220" w:lineRule="exact"/>
              <w:ind w:left="283"/>
              <w:rPr>
                <w:b/>
                <w:bCs/>
                <w:sz w:val="18"/>
                <w:szCs w:val="26"/>
                <w:rtl/>
                <w:lang w:val="fr-FR" w:bidi="fr-FR"/>
              </w:rPr>
            </w:pPr>
            <w:r w:rsidRPr="005F34E7">
              <w:rPr>
                <w:b/>
                <w:sz w:val="18"/>
                <w:lang w:val="fr-FR"/>
              </w:rPr>
              <w:t>Total</w:t>
            </w:r>
          </w:p>
        </w:tc>
        <w:tc>
          <w:tcPr>
            <w:tcW w:w="901" w:type="dxa"/>
            <w:tcBorders>
              <w:top w:val="single" w:sz="4" w:space="0" w:color="auto"/>
              <w:bottom w:val="single" w:sz="12" w:space="0" w:color="auto"/>
            </w:tcBorders>
            <w:shd w:val="clear" w:color="auto" w:fill="auto"/>
            <w:vAlign w:val="bottom"/>
          </w:tcPr>
          <w:p w14:paraId="3DBBECF4" w14:textId="77777777" w:rsidR="003F2044" w:rsidRPr="005F34E7" w:rsidRDefault="003F2044" w:rsidP="003F2044">
            <w:pPr>
              <w:suppressAutoHyphens w:val="0"/>
              <w:spacing w:before="80" w:after="80" w:line="220" w:lineRule="exact"/>
              <w:jc w:val="right"/>
              <w:rPr>
                <w:b/>
                <w:sz w:val="18"/>
                <w:lang w:val="fr-FR"/>
              </w:rPr>
            </w:pPr>
            <w:r w:rsidRPr="005F34E7">
              <w:rPr>
                <w:b/>
                <w:sz w:val="18"/>
                <w:lang w:val="fr-FR"/>
              </w:rPr>
              <w:t>29 294</w:t>
            </w:r>
          </w:p>
        </w:tc>
        <w:tc>
          <w:tcPr>
            <w:tcW w:w="1003" w:type="dxa"/>
            <w:tcBorders>
              <w:top w:val="single" w:sz="4" w:space="0" w:color="auto"/>
              <w:bottom w:val="single" w:sz="12" w:space="0" w:color="auto"/>
            </w:tcBorders>
            <w:shd w:val="clear" w:color="auto" w:fill="auto"/>
            <w:vAlign w:val="bottom"/>
          </w:tcPr>
          <w:p w14:paraId="6D7E15FE" w14:textId="77777777" w:rsidR="003F2044" w:rsidRPr="005F34E7" w:rsidRDefault="003F2044" w:rsidP="003F2044">
            <w:pPr>
              <w:suppressAutoHyphens w:val="0"/>
              <w:spacing w:before="80" w:after="80" w:line="220" w:lineRule="exact"/>
              <w:jc w:val="right"/>
              <w:rPr>
                <w:b/>
                <w:sz w:val="18"/>
                <w:lang w:val="fr-FR"/>
              </w:rPr>
            </w:pPr>
            <w:r w:rsidRPr="005F34E7">
              <w:rPr>
                <w:b/>
                <w:sz w:val="18"/>
                <w:lang w:val="fr-FR"/>
              </w:rPr>
              <w:t>32 933</w:t>
            </w:r>
          </w:p>
        </w:tc>
        <w:tc>
          <w:tcPr>
            <w:tcW w:w="924" w:type="dxa"/>
            <w:tcBorders>
              <w:top w:val="single" w:sz="4" w:space="0" w:color="auto"/>
              <w:bottom w:val="single" w:sz="12" w:space="0" w:color="auto"/>
            </w:tcBorders>
            <w:shd w:val="clear" w:color="auto" w:fill="auto"/>
            <w:vAlign w:val="bottom"/>
          </w:tcPr>
          <w:p w14:paraId="191EAACF" w14:textId="77777777" w:rsidR="003F2044" w:rsidRPr="005F34E7" w:rsidRDefault="003F2044" w:rsidP="003F2044">
            <w:pPr>
              <w:suppressAutoHyphens w:val="0"/>
              <w:spacing w:before="80" w:after="80" w:line="220" w:lineRule="exact"/>
              <w:jc w:val="right"/>
              <w:rPr>
                <w:b/>
                <w:sz w:val="18"/>
                <w:lang w:val="fr-FR"/>
              </w:rPr>
            </w:pPr>
            <w:r w:rsidRPr="005F34E7">
              <w:rPr>
                <w:b/>
                <w:sz w:val="18"/>
                <w:lang w:val="fr-FR"/>
              </w:rPr>
              <w:t>62 227</w:t>
            </w:r>
          </w:p>
        </w:tc>
        <w:tc>
          <w:tcPr>
            <w:tcW w:w="853" w:type="dxa"/>
            <w:tcBorders>
              <w:top w:val="single" w:sz="4" w:space="0" w:color="auto"/>
              <w:bottom w:val="single" w:sz="12" w:space="0" w:color="auto"/>
            </w:tcBorders>
            <w:shd w:val="clear" w:color="auto" w:fill="auto"/>
            <w:vAlign w:val="bottom"/>
          </w:tcPr>
          <w:p w14:paraId="488B92A7" w14:textId="77777777" w:rsidR="003F2044" w:rsidRPr="005F34E7" w:rsidRDefault="003F2044" w:rsidP="003F2044">
            <w:pPr>
              <w:suppressAutoHyphens w:val="0"/>
              <w:spacing w:before="80" w:after="80" w:line="220" w:lineRule="exact"/>
              <w:jc w:val="right"/>
              <w:rPr>
                <w:b/>
                <w:sz w:val="18"/>
                <w:lang w:val="fr-FR"/>
              </w:rPr>
            </w:pPr>
            <w:r w:rsidRPr="005F34E7">
              <w:rPr>
                <w:b/>
                <w:sz w:val="18"/>
                <w:lang w:val="fr-FR"/>
              </w:rPr>
              <w:t>22 453</w:t>
            </w:r>
          </w:p>
        </w:tc>
        <w:tc>
          <w:tcPr>
            <w:tcW w:w="981" w:type="dxa"/>
            <w:tcBorders>
              <w:top w:val="single" w:sz="4" w:space="0" w:color="auto"/>
              <w:bottom w:val="single" w:sz="12" w:space="0" w:color="auto"/>
            </w:tcBorders>
            <w:shd w:val="clear" w:color="auto" w:fill="auto"/>
            <w:vAlign w:val="bottom"/>
          </w:tcPr>
          <w:p w14:paraId="2D85E723" w14:textId="77777777" w:rsidR="003F2044" w:rsidRPr="005F34E7" w:rsidRDefault="003F2044" w:rsidP="003F2044">
            <w:pPr>
              <w:suppressAutoHyphens w:val="0"/>
              <w:spacing w:before="80" w:after="80" w:line="220" w:lineRule="exact"/>
              <w:jc w:val="right"/>
              <w:rPr>
                <w:b/>
                <w:sz w:val="18"/>
                <w:lang w:val="fr-FR"/>
              </w:rPr>
            </w:pPr>
            <w:r w:rsidRPr="005F34E7">
              <w:rPr>
                <w:b/>
                <w:sz w:val="18"/>
                <w:lang w:val="fr-FR"/>
              </w:rPr>
              <w:t>23 316</w:t>
            </w:r>
          </w:p>
        </w:tc>
        <w:tc>
          <w:tcPr>
            <w:tcW w:w="863" w:type="dxa"/>
            <w:tcBorders>
              <w:top w:val="single" w:sz="4" w:space="0" w:color="auto"/>
              <w:bottom w:val="single" w:sz="12" w:space="0" w:color="auto"/>
            </w:tcBorders>
            <w:shd w:val="clear" w:color="auto" w:fill="auto"/>
            <w:vAlign w:val="bottom"/>
          </w:tcPr>
          <w:p w14:paraId="0500F4B9" w14:textId="77777777" w:rsidR="003F2044" w:rsidRPr="005F34E7" w:rsidRDefault="003F2044" w:rsidP="003F2044">
            <w:pPr>
              <w:suppressAutoHyphens w:val="0"/>
              <w:spacing w:before="80" w:after="80" w:line="220" w:lineRule="exact"/>
              <w:jc w:val="right"/>
              <w:rPr>
                <w:b/>
                <w:sz w:val="18"/>
                <w:lang w:val="fr-FR"/>
              </w:rPr>
            </w:pPr>
            <w:r w:rsidRPr="005F34E7">
              <w:rPr>
                <w:b/>
                <w:sz w:val="18"/>
                <w:lang w:val="fr-FR"/>
              </w:rPr>
              <w:t>45 769</w:t>
            </w:r>
          </w:p>
        </w:tc>
        <w:tc>
          <w:tcPr>
            <w:tcW w:w="785" w:type="dxa"/>
            <w:tcBorders>
              <w:top w:val="single" w:sz="4" w:space="0" w:color="auto"/>
              <w:bottom w:val="single" w:sz="12" w:space="0" w:color="auto"/>
            </w:tcBorders>
            <w:shd w:val="clear" w:color="auto" w:fill="auto"/>
            <w:vAlign w:val="bottom"/>
          </w:tcPr>
          <w:p w14:paraId="10B909DE" w14:textId="77777777" w:rsidR="003F2044" w:rsidRPr="005F34E7" w:rsidRDefault="003F2044" w:rsidP="003F2044">
            <w:pPr>
              <w:suppressAutoHyphens w:val="0"/>
              <w:spacing w:before="80" w:after="80" w:line="220" w:lineRule="exact"/>
              <w:jc w:val="right"/>
              <w:rPr>
                <w:b/>
                <w:sz w:val="18"/>
                <w:lang w:val="fr-FR"/>
              </w:rPr>
            </w:pPr>
            <w:r w:rsidRPr="005F34E7">
              <w:rPr>
                <w:b/>
                <w:sz w:val="18"/>
                <w:lang w:val="fr-FR"/>
              </w:rPr>
              <w:t>107 996</w:t>
            </w:r>
          </w:p>
        </w:tc>
      </w:tr>
    </w:tbl>
    <w:p w14:paraId="42FD353A" w14:textId="77777777" w:rsidR="009E4C76" w:rsidRPr="003F632C" w:rsidRDefault="009E4C76" w:rsidP="009141F2">
      <w:pPr>
        <w:pStyle w:val="SingleTxtG"/>
        <w:spacing w:before="120" w:after="240"/>
        <w:ind w:firstLine="170"/>
        <w:rPr>
          <w:sz w:val="18"/>
          <w:szCs w:val="18"/>
        </w:rPr>
      </w:pPr>
      <w:r w:rsidRPr="003F632C">
        <w:rPr>
          <w:i/>
          <w:sz w:val="18"/>
          <w:szCs w:val="18"/>
        </w:rPr>
        <w:t>Source</w:t>
      </w:r>
      <w:r w:rsidR="009141F2" w:rsidRPr="003F632C">
        <w:rPr>
          <w:sz w:val="18"/>
          <w:szCs w:val="18"/>
        </w:rPr>
        <w:t> </w:t>
      </w:r>
      <w:r w:rsidRPr="003F632C">
        <w:rPr>
          <w:sz w:val="18"/>
          <w:szCs w:val="18"/>
        </w:rPr>
        <w:t>:</w:t>
      </w:r>
      <w:r w:rsidR="009141F2" w:rsidRPr="003F632C">
        <w:rPr>
          <w:sz w:val="18"/>
          <w:szCs w:val="18"/>
        </w:rPr>
        <w:t xml:space="preserve"> </w:t>
      </w:r>
      <w:r w:rsidRPr="003F632C">
        <w:rPr>
          <w:sz w:val="18"/>
          <w:szCs w:val="18"/>
        </w:rPr>
        <w:t>Ministère de la planification, du développement et des statistiques.</w:t>
      </w:r>
    </w:p>
    <w:p w14:paraId="06EFC492" w14:textId="77777777" w:rsidR="009E4C76" w:rsidRDefault="009141F2" w:rsidP="009141F2">
      <w:pPr>
        <w:pStyle w:val="H23G"/>
      </w:pPr>
      <w:r w:rsidRPr="009141F2">
        <w:rPr>
          <w:b w:val="0"/>
        </w:rPr>
        <w:tab/>
      </w:r>
      <w:r w:rsidRPr="009141F2">
        <w:rPr>
          <w:b w:val="0"/>
        </w:rPr>
        <w:tab/>
      </w:r>
      <w:r w:rsidR="009E4C76" w:rsidRPr="009141F2">
        <w:rPr>
          <w:b w:val="0"/>
        </w:rPr>
        <w:t>Tableau 16</w:t>
      </w:r>
      <w:r w:rsidRPr="009141F2">
        <w:rPr>
          <w:b w:val="0"/>
        </w:rPr>
        <w:t xml:space="preserve"> </w:t>
      </w:r>
      <w:r w:rsidR="009E4C76" w:rsidRPr="009141F2">
        <w:rPr>
          <w:b w:val="0"/>
        </w:rPr>
        <w:br/>
      </w:r>
      <w:r w:rsidR="009E4C76" w:rsidRPr="00CE611F">
        <w:t>Nombre d</w:t>
      </w:r>
      <w:r w:rsidR="009E4C76">
        <w:t>’</w:t>
      </w:r>
      <w:r w:rsidR="009E4C76" w:rsidRPr="00CE611F">
        <w:t>élèves dans les différents cycles de l</w:t>
      </w:r>
      <w:r w:rsidR="009E4C76">
        <w:t>’</w:t>
      </w:r>
      <w:r w:rsidR="009E4C76" w:rsidRPr="00CE611F">
        <w:t xml:space="preserve">enseignement privé selon le sexe </w:t>
      </w:r>
      <w:r>
        <w:br/>
      </w:r>
      <w:r w:rsidR="009E4C76" w:rsidRPr="00CE611F">
        <w:t>et la nationalité au cours de l</w:t>
      </w:r>
      <w:r w:rsidR="009E4C76">
        <w:t>’</w:t>
      </w:r>
      <w:r w:rsidR="009E4C76" w:rsidRPr="00CE611F">
        <w:t>année scolaire (2015/16)</w:t>
      </w:r>
    </w:p>
    <w:tbl>
      <w:tblPr>
        <w:tblStyle w:val="Grilledutableau"/>
        <w:tblW w:w="737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063"/>
        <w:gridCol w:w="901"/>
        <w:gridCol w:w="1003"/>
        <w:gridCol w:w="924"/>
        <w:gridCol w:w="853"/>
        <w:gridCol w:w="981"/>
        <w:gridCol w:w="863"/>
        <w:gridCol w:w="785"/>
      </w:tblGrid>
      <w:tr w:rsidR="00DC31DC" w:rsidRPr="003F2044" w14:paraId="6D533AE1" w14:textId="77777777" w:rsidTr="00FA1B77">
        <w:trPr>
          <w:tblHeader/>
        </w:trPr>
        <w:tc>
          <w:tcPr>
            <w:tcW w:w="1063" w:type="dxa"/>
            <w:vMerge w:val="restart"/>
            <w:tcBorders>
              <w:top w:val="single" w:sz="4" w:space="0" w:color="auto"/>
            </w:tcBorders>
            <w:shd w:val="clear" w:color="auto" w:fill="auto"/>
            <w:vAlign w:val="bottom"/>
          </w:tcPr>
          <w:p w14:paraId="3754C7FE" w14:textId="77777777" w:rsidR="00DC31DC" w:rsidRPr="003F2044" w:rsidRDefault="00DC31DC" w:rsidP="00855F80">
            <w:pPr>
              <w:spacing w:before="80" w:after="80" w:line="200" w:lineRule="exact"/>
              <w:rPr>
                <w:i/>
                <w:sz w:val="16"/>
              </w:rPr>
            </w:pPr>
            <w:r>
              <w:rPr>
                <w:i/>
                <w:sz w:val="16"/>
              </w:rPr>
              <w:t>Cycle</w:t>
            </w:r>
          </w:p>
        </w:tc>
        <w:tc>
          <w:tcPr>
            <w:tcW w:w="2828" w:type="dxa"/>
            <w:gridSpan w:val="3"/>
            <w:tcBorders>
              <w:top w:val="single" w:sz="4" w:space="0" w:color="auto"/>
              <w:bottom w:val="single" w:sz="4" w:space="0" w:color="auto"/>
              <w:right w:val="single" w:sz="24" w:space="0" w:color="FFFFFF" w:themeColor="background1"/>
            </w:tcBorders>
            <w:shd w:val="clear" w:color="auto" w:fill="auto"/>
            <w:vAlign w:val="bottom"/>
          </w:tcPr>
          <w:p w14:paraId="4A892288" w14:textId="77777777" w:rsidR="00DC31DC" w:rsidRPr="003F2044" w:rsidRDefault="00DC31DC" w:rsidP="00855F80">
            <w:pPr>
              <w:spacing w:before="80" w:after="80" w:line="200" w:lineRule="exact"/>
              <w:jc w:val="center"/>
              <w:rPr>
                <w:i/>
                <w:sz w:val="16"/>
              </w:rPr>
            </w:pPr>
            <w:r>
              <w:rPr>
                <w:i/>
                <w:sz w:val="16"/>
              </w:rPr>
              <w:t>Qataris</w:t>
            </w:r>
          </w:p>
        </w:tc>
        <w:tc>
          <w:tcPr>
            <w:tcW w:w="2697" w:type="dxa"/>
            <w:gridSpan w:val="3"/>
            <w:tcBorders>
              <w:top w:val="single" w:sz="4" w:space="0" w:color="auto"/>
              <w:left w:val="single" w:sz="24" w:space="0" w:color="FFFFFF" w:themeColor="background1"/>
              <w:bottom w:val="single" w:sz="4" w:space="0" w:color="auto"/>
            </w:tcBorders>
            <w:shd w:val="clear" w:color="auto" w:fill="auto"/>
            <w:vAlign w:val="bottom"/>
          </w:tcPr>
          <w:p w14:paraId="09FE8B49" w14:textId="77777777" w:rsidR="00DC31DC" w:rsidRPr="003F2044" w:rsidRDefault="00DC31DC" w:rsidP="00855F80">
            <w:pPr>
              <w:spacing w:before="80" w:after="80" w:line="200" w:lineRule="exact"/>
              <w:jc w:val="center"/>
              <w:rPr>
                <w:i/>
                <w:sz w:val="16"/>
              </w:rPr>
            </w:pPr>
            <w:r>
              <w:rPr>
                <w:i/>
                <w:sz w:val="16"/>
              </w:rPr>
              <w:t>No</w:t>
            </w:r>
            <w:r w:rsidR="00FA1B77">
              <w:rPr>
                <w:i/>
                <w:sz w:val="16"/>
              </w:rPr>
              <w:t>n-Q</w:t>
            </w:r>
            <w:r>
              <w:rPr>
                <w:i/>
                <w:sz w:val="16"/>
              </w:rPr>
              <w:t>ataris</w:t>
            </w:r>
          </w:p>
        </w:tc>
        <w:tc>
          <w:tcPr>
            <w:tcW w:w="785" w:type="dxa"/>
            <w:vMerge w:val="restart"/>
            <w:tcBorders>
              <w:top w:val="single" w:sz="4" w:space="0" w:color="auto"/>
            </w:tcBorders>
            <w:shd w:val="clear" w:color="auto" w:fill="auto"/>
            <w:vAlign w:val="bottom"/>
          </w:tcPr>
          <w:p w14:paraId="053214C3" w14:textId="77777777" w:rsidR="00DC31DC" w:rsidRPr="003F2044" w:rsidRDefault="00DC31DC" w:rsidP="00855F80">
            <w:pPr>
              <w:spacing w:before="80" w:after="80" w:line="200" w:lineRule="exact"/>
              <w:jc w:val="right"/>
              <w:rPr>
                <w:i/>
                <w:sz w:val="16"/>
              </w:rPr>
            </w:pPr>
            <w:r>
              <w:rPr>
                <w:i/>
                <w:sz w:val="16"/>
              </w:rPr>
              <w:t>Total</w:t>
            </w:r>
          </w:p>
        </w:tc>
      </w:tr>
      <w:tr w:rsidR="00DC31DC" w:rsidRPr="003F2044" w14:paraId="57DA3FE3" w14:textId="77777777" w:rsidTr="00FA1B77">
        <w:trPr>
          <w:tblHeader/>
        </w:trPr>
        <w:tc>
          <w:tcPr>
            <w:tcW w:w="1063" w:type="dxa"/>
            <w:vMerge/>
            <w:tcBorders>
              <w:bottom w:val="single" w:sz="12" w:space="0" w:color="auto"/>
            </w:tcBorders>
            <w:shd w:val="clear" w:color="auto" w:fill="auto"/>
            <w:vAlign w:val="bottom"/>
          </w:tcPr>
          <w:p w14:paraId="2D06B2DD" w14:textId="77777777" w:rsidR="00DC31DC" w:rsidRPr="003F2044" w:rsidRDefault="00DC31DC" w:rsidP="00855F80">
            <w:pPr>
              <w:spacing w:before="80" w:after="80" w:line="200" w:lineRule="exact"/>
              <w:rPr>
                <w:i/>
                <w:sz w:val="16"/>
              </w:rPr>
            </w:pPr>
          </w:p>
        </w:tc>
        <w:tc>
          <w:tcPr>
            <w:tcW w:w="901" w:type="dxa"/>
            <w:tcBorders>
              <w:top w:val="single" w:sz="4" w:space="0" w:color="auto"/>
              <w:bottom w:val="single" w:sz="12" w:space="0" w:color="auto"/>
            </w:tcBorders>
            <w:shd w:val="clear" w:color="auto" w:fill="auto"/>
            <w:vAlign w:val="bottom"/>
          </w:tcPr>
          <w:p w14:paraId="75089C21" w14:textId="77777777" w:rsidR="00DC31DC" w:rsidRPr="003F2044" w:rsidRDefault="00DC31DC" w:rsidP="00855F80">
            <w:pPr>
              <w:spacing w:before="80" w:after="80" w:line="200" w:lineRule="exact"/>
              <w:jc w:val="right"/>
              <w:rPr>
                <w:i/>
                <w:sz w:val="16"/>
              </w:rPr>
            </w:pPr>
            <w:r>
              <w:rPr>
                <w:i/>
                <w:sz w:val="16"/>
              </w:rPr>
              <w:t>Garçons</w:t>
            </w:r>
          </w:p>
        </w:tc>
        <w:tc>
          <w:tcPr>
            <w:tcW w:w="1003" w:type="dxa"/>
            <w:tcBorders>
              <w:top w:val="single" w:sz="4" w:space="0" w:color="auto"/>
              <w:bottom w:val="single" w:sz="12" w:space="0" w:color="auto"/>
            </w:tcBorders>
            <w:shd w:val="clear" w:color="auto" w:fill="auto"/>
            <w:vAlign w:val="bottom"/>
          </w:tcPr>
          <w:p w14:paraId="665A81A4" w14:textId="77777777" w:rsidR="00DC31DC" w:rsidRPr="003F2044" w:rsidRDefault="00DC31DC" w:rsidP="00855F80">
            <w:pPr>
              <w:spacing w:before="80" w:after="80" w:line="200" w:lineRule="exact"/>
              <w:jc w:val="right"/>
              <w:rPr>
                <w:i/>
                <w:sz w:val="16"/>
              </w:rPr>
            </w:pPr>
            <w:r>
              <w:rPr>
                <w:i/>
                <w:sz w:val="16"/>
              </w:rPr>
              <w:t>Filles</w:t>
            </w:r>
          </w:p>
        </w:tc>
        <w:tc>
          <w:tcPr>
            <w:tcW w:w="924" w:type="dxa"/>
            <w:tcBorders>
              <w:top w:val="single" w:sz="4" w:space="0" w:color="auto"/>
              <w:bottom w:val="single" w:sz="12" w:space="0" w:color="auto"/>
              <w:right w:val="single" w:sz="24" w:space="0" w:color="FFFFFF" w:themeColor="background1"/>
            </w:tcBorders>
            <w:shd w:val="clear" w:color="auto" w:fill="auto"/>
            <w:vAlign w:val="bottom"/>
          </w:tcPr>
          <w:p w14:paraId="392C60E5" w14:textId="77777777" w:rsidR="00DC31DC" w:rsidRPr="003F2044" w:rsidRDefault="00DC31DC" w:rsidP="00855F80">
            <w:pPr>
              <w:spacing w:before="80" w:after="80" w:line="200" w:lineRule="exact"/>
              <w:jc w:val="right"/>
              <w:rPr>
                <w:i/>
                <w:sz w:val="16"/>
              </w:rPr>
            </w:pPr>
            <w:r>
              <w:rPr>
                <w:i/>
                <w:sz w:val="16"/>
              </w:rPr>
              <w:t>Total</w:t>
            </w:r>
          </w:p>
        </w:tc>
        <w:tc>
          <w:tcPr>
            <w:tcW w:w="853" w:type="dxa"/>
            <w:tcBorders>
              <w:top w:val="single" w:sz="4" w:space="0" w:color="auto"/>
              <w:left w:val="single" w:sz="24" w:space="0" w:color="FFFFFF" w:themeColor="background1"/>
              <w:bottom w:val="single" w:sz="12" w:space="0" w:color="auto"/>
            </w:tcBorders>
            <w:shd w:val="clear" w:color="auto" w:fill="auto"/>
            <w:vAlign w:val="bottom"/>
          </w:tcPr>
          <w:p w14:paraId="768E15BE" w14:textId="77777777" w:rsidR="00DC31DC" w:rsidRPr="003F2044" w:rsidRDefault="00DC31DC" w:rsidP="00855F80">
            <w:pPr>
              <w:spacing w:before="80" w:after="80" w:line="200" w:lineRule="exact"/>
              <w:jc w:val="right"/>
              <w:rPr>
                <w:i/>
                <w:sz w:val="16"/>
              </w:rPr>
            </w:pPr>
            <w:r>
              <w:rPr>
                <w:i/>
                <w:sz w:val="16"/>
              </w:rPr>
              <w:t>Garçons</w:t>
            </w:r>
          </w:p>
        </w:tc>
        <w:tc>
          <w:tcPr>
            <w:tcW w:w="981" w:type="dxa"/>
            <w:tcBorders>
              <w:top w:val="single" w:sz="4" w:space="0" w:color="auto"/>
              <w:bottom w:val="single" w:sz="12" w:space="0" w:color="auto"/>
            </w:tcBorders>
            <w:shd w:val="clear" w:color="auto" w:fill="auto"/>
            <w:vAlign w:val="bottom"/>
          </w:tcPr>
          <w:p w14:paraId="43E51116" w14:textId="77777777" w:rsidR="00DC31DC" w:rsidRPr="003F2044" w:rsidRDefault="00DC31DC" w:rsidP="00855F80">
            <w:pPr>
              <w:spacing w:before="80" w:after="80" w:line="200" w:lineRule="exact"/>
              <w:jc w:val="right"/>
              <w:rPr>
                <w:i/>
                <w:sz w:val="16"/>
              </w:rPr>
            </w:pPr>
            <w:r>
              <w:rPr>
                <w:i/>
                <w:sz w:val="16"/>
              </w:rPr>
              <w:t>Filles</w:t>
            </w:r>
          </w:p>
        </w:tc>
        <w:tc>
          <w:tcPr>
            <w:tcW w:w="863" w:type="dxa"/>
            <w:tcBorders>
              <w:top w:val="single" w:sz="4" w:space="0" w:color="auto"/>
              <w:bottom w:val="single" w:sz="12" w:space="0" w:color="auto"/>
            </w:tcBorders>
            <w:shd w:val="clear" w:color="auto" w:fill="auto"/>
            <w:vAlign w:val="bottom"/>
          </w:tcPr>
          <w:p w14:paraId="45CD4498" w14:textId="77777777" w:rsidR="00DC31DC" w:rsidRPr="003F2044" w:rsidRDefault="00DC31DC" w:rsidP="00855F80">
            <w:pPr>
              <w:spacing w:before="80" w:after="80" w:line="200" w:lineRule="exact"/>
              <w:jc w:val="right"/>
              <w:rPr>
                <w:i/>
                <w:sz w:val="16"/>
              </w:rPr>
            </w:pPr>
            <w:r>
              <w:rPr>
                <w:i/>
                <w:sz w:val="16"/>
              </w:rPr>
              <w:t>Total</w:t>
            </w:r>
          </w:p>
        </w:tc>
        <w:tc>
          <w:tcPr>
            <w:tcW w:w="785" w:type="dxa"/>
            <w:vMerge/>
            <w:tcBorders>
              <w:bottom w:val="single" w:sz="12" w:space="0" w:color="auto"/>
            </w:tcBorders>
            <w:shd w:val="clear" w:color="auto" w:fill="auto"/>
            <w:vAlign w:val="bottom"/>
          </w:tcPr>
          <w:p w14:paraId="6ECD5F9F" w14:textId="77777777" w:rsidR="00DC31DC" w:rsidRPr="003F2044" w:rsidRDefault="00DC31DC" w:rsidP="00855F80">
            <w:pPr>
              <w:spacing w:before="80" w:after="80" w:line="200" w:lineRule="exact"/>
              <w:jc w:val="right"/>
              <w:rPr>
                <w:i/>
                <w:sz w:val="16"/>
              </w:rPr>
            </w:pPr>
          </w:p>
        </w:tc>
      </w:tr>
      <w:tr w:rsidR="00DC31DC" w14:paraId="164ED6F7" w14:textId="77777777" w:rsidTr="00855F80">
        <w:tc>
          <w:tcPr>
            <w:tcW w:w="1063" w:type="dxa"/>
            <w:tcBorders>
              <w:top w:val="single" w:sz="12" w:space="0" w:color="auto"/>
            </w:tcBorders>
            <w:shd w:val="clear" w:color="auto" w:fill="auto"/>
          </w:tcPr>
          <w:p w14:paraId="6AD1BB4F" w14:textId="77777777" w:rsidR="00DC31DC" w:rsidRPr="009141F2" w:rsidRDefault="00DC31DC" w:rsidP="00DC31DC">
            <w:pPr>
              <w:suppressAutoHyphens w:val="0"/>
              <w:spacing w:before="40" w:after="40" w:line="220" w:lineRule="exact"/>
              <w:rPr>
                <w:sz w:val="18"/>
                <w:szCs w:val="26"/>
                <w:rtl/>
                <w:lang w:val="fr-FR" w:bidi="fr-FR"/>
              </w:rPr>
            </w:pPr>
            <w:r>
              <w:rPr>
                <w:sz w:val="18"/>
                <w:lang w:val="fr-FR"/>
              </w:rPr>
              <w:t>P</w:t>
            </w:r>
            <w:r w:rsidRPr="009141F2">
              <w:rPr>
                <w:sz w:val="18"/>
                <w:lang w:val="fr-FR"/>
              </w:rPr>
              <w:t>réprimaire</w:t>
            </w:r>
          </w:p>
        </w:tc>
        <w:tc>
          <w:tcPr>
            <w:tcW w:w="901" w:type="dxa"/>
            <w:tcBorders>
              <w:top w:val="single" w:sz="12" w:space="0" w:color="auto"/>
            </w:tcBorders>
            <w:shd w:val="clear" w:color="auto" w:fill="auto"/>
            <w:vAlign w:val="bottom"/>
          </w:tcPr>
          <w:p w14:paraId="0B0BA95B" w14:textId="77777777" w:rsidR="00DC31DC" w:rsidRPr="00DB4D74" w:rsidRDefault="00DC31DC" w:rsidP="00DC31DC">
            <w:pPr>
              <w:suppressAutoHyphens w:val="0"/>
              <w:spacing w:before="40" w:after="40" w:line="220" w:lineRule="exact"/>
              <w:jc w:val="right"/>
              <w:rPr>
                <w:sz w:val="18"/>
                <w:lang w:val="fr-FR"/>
              </w:rPr>
            </w:pPr>
            <w:r w:rsidRPr="00DB4D74">
              <w:rPr>
                <w:sz w:val="18"/>
                <w:lang w:val="fr-FR"/>
              </w:rPr>
              <w:t>3 715</w:t>
            </w:r>
          </w:p>
        </w:tc>
        <w:tc>
          <w:tcPr>
            <w:tcW w:w="1003" w:type="dxa"/>
            <w:tcBorders>
              <w:top w:val="single" w:sz="12" w:space="0" w:color="auto"/>
            </w:tcBorders>
            <w:shd w:val="clear" w:color="auto" w:fill="auto"/>
            <w:vAlign w:val="bottom"/>
          </w:tcPr>
          <w:p w14:paraId="596CD203" w14:textId="77777777" w:rsidR="00DC31DC" w:rsidRPr="00DB4D74" w:rsidRDefault="00DC31DC" w:rsidP="00DC31DC">
            <w:pPr>
              <w:suppressAutoHyphens w:val="0"/>
              <w:spacing w:before="40" w:after="40" w:line="220" w:lineRule="exact"/>
              <w:jc w:val="right"/>
              <w:rPr>
                <w:sz w:val="18"/>
                <w:szCs w:val="26"/>
                <w:rtl/>
                <w:lang w:val="fr-FR" w:bidi="fr-FR"/>
              </w:rPr>
            </w:pPr>
            <w:r w:rsidRPr="00DB4D74">
              <w:rPr>
                <w:sz w:val="18"/>
                <w:lang w:val="fr-FR"/>
              </w:rPr>
              <w:t>3 356</w:t>
            </w:r>
          </w:p>
        </w:tc>
        <w:tc>
          <w:tcPr>
            <w:tcW w:w="924" w:type="dxa"/>
            <w:tcBorders>
              <w:top w:val="single" w:sz="12" w:space="0" w:color="auto"/>
            </w:tcBorders>
            <w:shd w:val="clear" w:color="auto" w:fill="auto"/>
            <w:vAlign w:val="bottom"/>
          </w:tcPr>
          <w:p w14:paraId="3EC1A1A5" w14:textId="77777777" w:rsidR="00DC31DC" w:rsidRPr="00DB4D74" w:rsidRDefault="00DC31DC" w:rsidP="00DC31DC">
            <w:pPr>
              <w:suppressAutoHyphens w:val="0"/>
              <w:spacing w:before="40" w:after="40" w:line="220" w:lineRule="exact"/>
              <w:jc w:val="right"/>
              <w:rPr>
                <w:sz w:val="18"/>
                <w:lang w:val="fr-FR"/>
              </w:rPr>
            </w:pPr>
            <w:r w:rsidRPr="00DB4D74">
              <w:rPr>
                <w:sz w:val="18"/>
                <w:lang w:val="fr-FR"/>
              </w:rPr>
              <w:t>7 071</w:t>
            </w:r>
          </w:p>
        </w:tc>
        <w:tc>
          <w:tcPr>
            <w:tcW w:w="853" w:type="dxa"/>
            <w:tcBorders>
              <w:top w:val="single" w:sz="12" w:space="0" w:color="auto"/>
            </w:tcBorders>
            <w:shd w:val="clear" w:color="auto" w:fill="auto"/>
            <w:vAlign w:val="bottom"/>
          </w:tcPr>
          <w:p w14:paraId="256307A4" w14:textId="77777777" w:rsidR="00DC31DC" w:rsidRPr="00DB4D74" w:rsidRDefault="00DC31DC" w:rsidP="00DC31DC">
            <w:pPr>
              <w:suppressAutoHyphens w:val="0"/>
              <w:spacing w:before="40" w:after="40" w:line="220" w:lineRule="exact"/>
              <w:jc w:val="right"/>
              <w:rPr>
                <w:sz w:val="18"/>
                <w:lang w:val="fr-FR"/>
              </w:rPr>
            </w:pPr>
            <w:r w:rsidRPr="00DB4D74">
              <w:rPr>
                <w:sz w:val="18"/>
                <w:lang w:val="fr-FR"/>
              </w:rPr>
              <w:t>15 806</w:t>
            </w:r>
          </w:p>
        </w:tc>
        <w:tc>
          <w:tcPr>
            <w:tcW w:w="981" w:type="dxa"/>
            <w:tcBorders>
              <w:top w:val="single" w:sz="12" w:space="0" w:color="auto"/>
            </w:tcBorders>
            <w:shd w:val="clear" w:color="auto" w:fill="auto"/>
            <w:vAlign w:val="bottom"/>
          </w:tcPr>
          <w:p w14:paraId="6328EA1B" w14:textId="77777777" w:rsidR="00DC31DC" w:rsidRPr="00DB4D74" w:rsidRDefault="00DC31DC" w:rsidP="00DC31DC">
            <w:pPr>
              <w:suppressAutoHyphens w:val="0"/>
              <w:spacing w:before="40" w:after="40" w:line="220" w:lineRule="exact"/>
              <w:jc w:val="right"/>
              <w:rPr>
                <w:sz w:val="18"/>
                <w:lang w:val="fr-FR"/>
              </w:rPr>
            </w:pPr>
            <w:r w:rsidRPr="00DB4D74">
              <w:rPr>
                <w:sz w:val="18"/>
                <w:lang w:val="fr-FR"/>
              </w:rPr>
              <w:t>14 765</w:t>
            </w:r>
          </w:p>
        </w:tc>
        <w:tc>
          <w:tcPr>
            <w:tcW w:w="863" w:type="dxa"/>
            <w:tcBorders>
              <w:top w:val="single" w:sz="12" w:space="0" w:color="auto"/>
            </w:tcBorders>
            <w:shd w:val="clear" w:color="auto" w:fill="auto"/>
            <w:vAlign w:val="bottom"/>
          </w:tcPr>
          <w:p w14:paraId="33A9EB3F" w14:textId="77777777" w:rsidR="00DC31DC" w:rsidRPr="00DB4D74" w:rsidRDefault="00DC31DC" w:rsidP="00DC31DC">
            <w:pPr>
              <w:suppressAutoHyphens w:val="0"/>
              <w:spacing w:before="40" w:after="40" w:line="220" w:lineRule="exact"/>
              <w:jc w:val="right"/>
              <w:rPr>
                <w:sz w:val="18"/>
                <w:lang w:val="fr-FR"/>
              </w:rPr>
            </w:pPr>
            <w:r w:rsidRPr="00DB4D74">
              <w:rPr>
                <w:sz w:val="18"/>
                <w:lang w:val="fr-FR"/>
              </w:rPr>
              <w:t>30 571</w:t>
            </w:r>
          </w:p>
        </w:tc>
        <w:tc>
          <w:tcPr>
            <w:tcW w:w="785" w:type="dxa"/>
            <w:tcBorders>
              <w:top w:val="single" w:sz="12" w:space="0" w:color="auto"/>
            </w:tcBorders>
            <w:shd w:val="clear" w:color="auto" w:fill="auto"/>
            <w:vAlign w:val="bottom"/>
          </w:tcPr>
          <w:p w14:paraId="18B296C6" w14:textId="77777777" w:rsidR="00DC31DC" w:rsidRPr="00F12C41" w:rsidRDefault="00DC31DC" w:rsidP="00DC31DC">
            <w:pPr>
              <w:suppressAutoHyphens w:val="0"/>
              <w:spacing w:before="40" w:after="40" w:line="220" w:lineRule="exact"/>
              <w:jc w:val="right"/>
              <w:rPr>
                <w:sz w:val="18"/>
                <w:lang w:val="fr-FR"/>
              </w:rPr>
            </w:pPr>
            <w:r w:rsidRPr="00F12C41">
              <w:rPr>
                <w:sz w:val="18"/>
                <w:lang w:val="fr-FR"/>
              </w:rPr>
              <w:t>37 642</w:t>
            </w:r>
          </w:p>
        </w:tc>
      </w:tr>
      <w:tr w:rsidR="00DC31DC" w14:paraId="15722BA9" w14:textId="77777777" w:rsidTr="00855F80">
        <w:tc>
          <w:tcPr>
            <w:tcW w:w="1063" w:type="dxa"/>
            <w:shd w:val="clear" w:color="auto" w:fill="auto"/>
          </w:tcPr>
          <w:p w14:paraId="69997B93" w14:textId="77777777" w:rsidR="00DC31DC" w:rsidRPr="009141F2" w:rsidRDefault="00DC31DC" w:rsidP="00DC31DC">
            <w:pPr>
              <w:suppressAutoHyphens w:val="0"/>
              <w:spacing w:before="40" w:after="40" w:line="220" w:lineRule="exact"/>
              <w:rPr>
                <w:sz w:val="18"/>
                <w:szCs w:val="26"/>
                <w:rtl/>
                <w:lang w:val="fr-FR" w:bidi="fr-FR"/>
              </w:rPr>
            </w:pPr>
            <w:r w:rsidRPr="009141F2">
              <w:rPr>
                <w:sz w:val="18"/>
                <w:lang w:val="fr-FR"/>
              </w:rPr>
              <w:t>Primaire</w:t>
            </w:r>
          </w:p>
        </w:tc>
        <w:tc>
          <w:tcPr>
            <w:tcW w:w="901" w:type="dxa"/>
            <w:shd w:val="clear" w:color="auto" w:fill="auto"/>
            <w:vAlign w:val="bottom"/>
          </w:tcPr>
          <w:p w14:paraId="402698EF" w14:textId="77777777" w:rsidR="00DC31DC" w:rsidRPr="00DB4D74" w:rsidRDefault="00DC31DC" w:rsidP="00DC31DC">
            <w:pPr>
              <w:suppressAutoHyphens w:val="0"/>
              <w:spacing w:before="40" w:after="40" w:line="220" w:lineRule="exact"/>
              <w:jc w:val="right"/>
              <w:rPr>
                <w:sz w:val="18"/>
                <w:lang w:val="fr-FR"/>
              </w:rPr>
            </w:pPr>
            <w:r w:rsidRPr="00DB4D74">
              <w:rPr>
                <w:sz w:val="18"/>
                <w:lang w:val="fr-FR"/>
              </w:rPr>
              <w:t>9 546</w:t>
            </w:r>
          </w:p>
        </w:tc>
        <w:tc>
          <w:tcPr>
            <w:tcW w:w="1003" w:type="dxa"/>
            <w:shd w:val="clear" w:color="auto" w:fill="auto"/>
            <w:vAlign w:val="bottom"/>
          </w:tcPr>
          <w:p w14:paraId="23C5DD32" w14:textId="77777777" w:rsidR="00DC31DC" w:rsidRPr="00DB4D74" w:rsidRDefault="00DC31DC" w:rsidP="00DC31DC">
            <w:pPr>
              <w:suppressAutoHyphens w:val="0"/>
              <w:spacing w:before="40" w:after="40" w:line="220" w:lineRule="exact"/>
              <w:jc w:val="right"/>
              <w:rPr>
                <w:sz w:val="18"/>
                <w:lang w:val="fr-FR"/>
              </w:rPr>
            </w:pPr>
            <w:r w:rsidRPr="00DB4D74">
              <w:rPr>
                <w:sz w:val="18"/>
                <w:lang w:val="fr-FR"/>
              </w:rPr>
              <w:t>6 953</w:t>
            </w:r>
          </w:p>
        </w:tc>
        <w:tc>
          <w:tcPr>
            <w:tcW w:w="924" w:type="dxa"/>
            <w:shd w:val="clear" w:color="auto" w:fill="auto"/>
            <w:vAlign w:val="bottom"/>
          </w:tcPr>
          <w:p w14:paraId="78C38EDE" w14:textId="77777777" w:rsidR="00DC31DC" w:rsidRPr="00DB4D74" w:rsidRDefault="00DC31DC" w:rsidP="00DC31DC">
            <w:pPr>
              <w:suppressAutoHyphens w:val="0"/>
              <w:spacing w:before="40" w:after="40" w:line="220" w:lineRule="exact"/>
              <w:jc w:val="right"/>
              <w:rPr>
                <w:sz w:val="18"/>
                <w:lang w:val="fr-FR"/>
              </w:rPr>
            </w:pPr>
            <w:r w:rsidRPr="00DB4D74">
              <w:rPr>
                <w:sz w:val="18"/>
                <w:lang w:val="fr-FR"/>
              </w:rPr>
              <w:t>16 499</w:t>
            </w:r>
          </w:p>
        </w:tc>
        <w:tc>
          <w:tcPr>
            <w:tcW w:w="853" w:type="dxa"/>
            <w:shd w:val="clear" w:color="auto" w:fill="auto"/>
            <w:vAlign w:val="bottom"/>
          </w:tcPr>
          <w:p w14:paraId="014CD456" w14:textId="77777777" w:rsidR="00DC31DC" w:rsidRPr="00DB4D74" w:rsidRDefault="00DC31DC" w:rsidP="00DC31DC">
            <w:pPr>
              <w:suppressAutoHyphens w:val="0"/>
              <w:spacing w:before="40" w:after="40" w:line="220" w:lineRule="exact"/>
              <w:jc w:val="right"/>
              <w:rPr>
                <w:sz w:val="18"/>
                <w:lang w:val="fr-FR"/>
              </w:rPr>
            </w:pPr>
            <w:r w:rsidRPr="00DB4D74">
              <w:rPr>
                <w:sz w:val="18"/>
                <w:lang w:val="fr-FR"/>
              </w:rPr>
              <w:t>37 688</w:t>
            </w:r>
          </w:p>
        </w:tc>
        <w:tc>
          <w:tcPr>
            <w:tcW w:w="981" w:type="dxa"/>
            <w:shd w:val="clear" w:color="auto" w:fill="auto"/>
            <w:vAlign w:val="bottom"/>
          </w:tcPr>
          <w:p w14:paraId="7B7A9A1D" w14:textId="77777777" w:rsidR="00DC31DC" w:rsidRPr="00DB4D74" w:rsidRDefault="00DC31DC" w:rsidP="00DC31DC">
            <w:pPr>
              <w:suppressAutoHyphens w:val="0"/>
              <w:spacing w:before="40" w:after="40" w:line="220" w:lineRule="exact"/>
              <w:jc w:val="right"/>
              <w:rPr>
                <w:sz w:val="18"/>
                <w:lang w:val="fr-FR"/>
              </w:rPr>
            </w:pPr>
            <w:r w:rsidRPr="00DB4D74">
              <w:rPr>
                <w:sz w:val="18"/>
                <w:lang w:val="fr-FR"/>
              </w:rPr>
              <w:t>34 497</w:t>
            </w:r>
          </w:p>
        </w:tc>
        <w:tc>
          <w:tcPr>
            <w:tcW w:w="863" w:type="dxa"/>
            <w:shd w:val="clear" w:color="auto" w:fill="auto"/>
            <w:vAlign w:val="bottom"/>
          </w:tcPr>
          <w:p w14:paraId="2977578E" w14:textId="77777777" w:rsidR="00DC31DC" w:rsidRPr="00DB4D74" w:rsidRDefault="00DC31DC" w:rsidP="00DC31DC">
            <w:pPr>
              <w:suppressAutoHyphens w:val="0"/>
              <w:spacing w:before="40" w:after="40" w:line="220" w:lineRule="exact"/>
              <w:jc w:val="right"/>
              <w:rPr>
                <w:sz w:val="18"/>
                <w:lang w:val="fr-FR"/>
              </w:rPr>
            </w:pPr>
            <w:r w:rsidRPr="00DB4D74">
              <w:rPr>
                <w:sz w:val="18"/>
                <w:lang w:val="fr-FR"/>
              </w:rPr>
              <w:t>72 185</w:t>
            </w:r>
          </w:p>
        </w:tc>
        <w:tc>
          <w:tcPr>
            <w:tcW w:w="785" w:type="dxa"/>
            <w:shd w:val="clear" w:color="auto" w:fill="auto"/>
            <w:vAlign w:val="bottom"/>
          </w:tcPr>
          <w:p w14:paraId="62669BC1" w14:textId="77777777" w:rsidR="00DC31DC" w:rsidRPr="00F12C41" w:rsidRDefault="00DC31DC" w:rsidP="00DC31DC">
            <w:pPr>
              <w:suppressAutoHyphens w:val="0"/>
              <w:spacing w:before="40" w:after="40" w:line="220" w:lineRule="exact"/>
              <w:jc w:val="right"/>
              <w:rPr>
                <w:sz w:val="18"/>
                <w:lang w:val="fr-FR"/>
              </w:rPr>
            </w:pPr>
            <w:r w:rsidRPr="00F12C41">
              <w:rPr>
                <w:sz w:val="18"/>
                <w:lang w:val="fr-FR"/>
              </w:rPr>
              <w:t>88 684</w:t>
            </w:r>
          </w:p>
        </w:tc>
      </w:tr>
      <w:tr w:rsidR="00DC31DC" w14:paraId="532B0279" w14:textId="77777777" w:rsidTr="00855F80">
        <w:tc>
          <w:tcPr>
            <w:tcW w:w="1063" w:type="dxa"/>
            <w:shd w:val="clear" w:color="auto" w:fill="auto"/>
          </w:tcPr>
          <w:p w14:paraId="58019F20" w14:textId="77777777" w:rsidR="00DC31DC" w:rsidRPr="009141F2" w:rsidRDefault="00DC31DC" w:rsidP="00DC31DC">
            <w:pPr>
              <w:suppressAutoHyphens w:val="0"/>
              <w:spacing w:before="40" w:after="40" w:line="220" w:lineRule="exact"/>
              <w:rPr>
                <w:sz w:val="18"/>
                <w:szCs w:val="26"/>
                <w:rtl/>
                <w:lang w:val="fr-FR" w:bidi="fr-FR"/>
              </w:rPr>
            </w:pPr>
            <w:r w:rsidRPr="009141F2">
              <w:rPr>
                <w:sz w:val="18"/>
                <w:lang w:val="fr-FR"/>
              </w:rPr>
              <w:t>Préparatoire</w:t>
            </w:r>
          </w:p>
        </w:tc>
        <w:tc>
          <w:tcPr>
            <w:tcW w:w="901" w:type="dxa"/>
            <w:shd w:val="clear" w:color="auto" w:fill="auto"/>
            <w:vAlign w:val="bottom"/>
          </w:tcPr>
          <w:p w14:paraId="51427952" w14:textId="77777777" w:rsidR="00DC31DC" w:rsidRPr="00DB4D74" w:rsidRDefault="00DC31DC" w:rsidP="00DC31DC">
            <w:pPr>
              <w:suppressAutoHyphens w:val="0"/>
              <w:spacing w:before="40" w:after="40" w:line="220" w:lineRule="exact"/>
              <w:jc w:val="right"/>
              <w:rPr>
                <w:sz w:val="18"/>
                <w:lang w:val="fr-FR"/>
              </w:rPr>
            </w:pPr>
            <w:r w:rsidRPr="00DB4D74">
              <w:rPr>
                <w:sz w:val="18"/>
                <w:lang w:val="fr-FR"/>
              </w:rPr>
              <w:t>2 867</w:t>
            </w:r>
          </w:p>
        </w:tc>
        <w:tc>
          <w:tcPr>
            <w:tcW w:w="1003" w:type="dxa"/>
            <w:shd w:val="clear" w:color="auto" w:fill="auto"/>
            <w:vAlign w:val="bottom"/>
          </w:tcPr>
          <w:p w14:paraId="7E3531CD" w14:textId="77777777" w:rsidR="00DC31DC" w:rsidRPr="00DB4D74" w:rsidRDefault="00DC31DC" w:rsidP="00DC31DC">
            <w:pPr>
              <w:suppressAutoHyphens w:val="0"/>
              <w:spacing w:before="40" w:after="40" w:line="220" w:lineRule="exact"/>
              <w:jc w:val="right"/>
              <w:rPr>
                <w:sz w:val="18"/>
                <w:lang w:val="fr-FR"/>
              </w:rPr>
            </w:pPr>
            <w:r w:rsidRPr="00DB4D74">
              <w:rPr>
                <w:sz w:val="18"/>
                <w:lang w:val="fr-FR"/>
              </w:rPr>
              <w:t>1 887</w:t>
            </w:r>
          </w:p>
        </w:tc>
        <w:tc>
          <w:tcPr>
            <w:tcW w:w="924" w:type="dxa"/>
            <w:shd w:val="clear" w:color="auto" w:fill="auto"/>
            <w:vAlign w:val="bottom"/>
          </w:tcPr>
          <w:p w14:paraId="59C47EB5" w14:textId="77777777" w:rsidR="00DC31DC" w:rsidRPr="00DB4D74" w:rsidRDefault="00DC31DC" w:rsidP="00DC31DC">
            <w:pPr>
              <w:suppressAutoHyphens w:val="0"/>
              <w:spacing w:before="40" w:after="40" w:line="220" w:lineRule="exact"/>
              <w:jc w:val="right"/>
              <w:rPr>
                <w:sz w:val="18"/>
                <w:lang w:val="fr-FR"/>
              </w:rPr>
            </w:pPr>
            <w:r w:rsidRPr="00DB4D74">
              <w:rPr>
                <w:sz w:val="18"/>
                <w:lang w:val="fr-FR"/>
              </w:rPr>
              <w:t>4 754</w:t>
            </w:r>
          </w:p>
        </w:tc>
        <w:tc>
          <w:tcPr>
            <w:tcW w:w="853" w:type="dxa"/>
            <w:shd w:val="clear" w:color="auto" w:fill="auto"/>
            <w:vAlign w:val="bottom"/>
          </w:tcPr>
          <w:p w14:paraId="623DBBB2" w14:textId="77777777" w:rsidR="00DC31DC" w:rsidRPr="00DB4D74" w:rsidRDefault="00DC31DC" w:rsidP="00DC31DC">
            <w:pPr>
              <w:suppressAutoHyphens w:val="0"/>
              <w:spacing w:before="40" w:after="40" w:line="220" w:lineRule="exact"/>
              <w:jc w:val="right"/>
              <w:rPr>
                <w:sz w:val="18"/>
                <w:szCs w:val="26"/>
                <w:rtl/>
                <w:lang w:val="fr-FR" w:bidi="fr-FR"/>
              </w:rPr>
            </w:pPr>
            <w:r w:rsidRPr="00DB4D74">
              <w:rPr>
                <w:sz w:val="18"/>
                <w:lang w:val="fr-FR"/>
              </w:rPr>
              <w:t>12 233</w:t>
            </w:r>
          </w:p>
        </w:tc>
        <w:tc>
          <w:tcPr>
            <w:tcW w:w="981" w:type="dxa"/>
            <w:shd w:val="clear" w:color="auto" w:fill="auto"/>
            <w:vAlign w:val="bottom"/>
          </w:tcPr>
          <w:p w14:paraId="7556829D" w14:textId="77777777" w:rsidR="00DC31DC" w:rsidRPr="00DB4D74" w:rsidRDefault="00DC31DC" w:rsidP="00DC31DC">
            <w:pPr>
              <w:suppressAutoHyphens w:val="0"/>
              <w:spacing w:before="40" w:after="40" w:line="220" w:lineRule="exact"/>
              <w:jc w:val="right"/>
              <w:rPr>
                <w:sz w:val="18"/>
                <w:lang w:val="fr-FR"/>
              </w:rPr>
            </w:pPr>
            <w:r w:rsidRPr="00DB4D74">
              <w:rPr>
                <w:sz w:val="18"/>
                <w:lang w:val="fr-FR"/>
              </w:rPr>
              <w:t>11 229</w:t>
            </w:r>
          </w:p>
        </w:tc>
        <w:tc>
          <w:tcPr>
            <w:tcW w:w="863" w:type="dxa"/>
            <w:shd w:val="clear" w:color="auto" w:fill="auto"/>
            <w:vAlign w:val="bottom"/>
          </w:tcPr>
          <w:p w14:paraId="12DDB0E8" w14:textId="77777777" w:rsidR="00DC31DC" w:rsidRPr="00DB4D74" w:rsidRDefault="00DC31DC" w:rsidP="00DC31DC">
            <w:pPr>
              <w:suppressAutoHyphens w:val="0"/>
              <w:spacing w:before="40" w:after="40" w:line="220" w:lineRule="exact"/>
              <w:jc w:val="right"/>
              <w:rPr>
                <w:sz w:val="18"/>
                <w:lang w:val="fr-FR"/>
              </w:rPr>
            </w:pPr>
            <w:r w:rsidRPr="00DB4D74">
              <w:rPr>
                <w:sz w:val="18"/>
                <w:lang w:val="fr-FR"/>
              </w:rPr>
              <w:t>23 462</w:t>
            </w:r>
          </w:p>
        </w:tc>
        <w:tc>
          <w:tcPr>
            <w:tcW w:w="785" w:type="dxa"/>
            <w:shd w:val="clear" w:color="auto" w:fill="auto"/>
            <w:vAlign w:val="bottom"/>
          </w:tcPr>
          <w:p w14:paraId="5DD86F19" w14:textId="77777777" w:rsidR="00DC31DC" w:rsidRPr="00F12C41" w:rsidRDefault="00DC31DC" w:rsidP="00DC31DC">
            <w:pPr>
              <w:suppressAutoHyphens w:val="0"/>
              <w:spacing w:before="40" w:after="40" w:line="220" w:lineRule="exact"/>
              <w:jc w:val="right"/>
              <w:rPr>
                <w:sz w:val="18"/>
                <w:lang w:val="fr-FR"/>
              </w:rPr>
            </w:pPr>
            <w:r w:rsidRPr="00F12C41">
              <w:rPr>
                <w:sz w:val="18"/>
                <w:lang w:val="fr-FR"/>
              </w:rPr>
              <w:t>28 216</w:t>
            </w:r>
          </w:p>
        </w:tc>
      </w:tr>
      <w:tr w:rsidR="00DC31DC" w14:paraId="0FBB1203" w14:textId="77777777" w:rsidTr="00855F80">
        <w:tc>
          <w:tcPr>
            <w:tcW w:w="1063" w:type="dxa"/>
            <w:tcBorders>
              <w:bottom w:val="single" w:sz="4" w:space="0" w:color="auto"/>
            </w:tcBorders>
            <w:shd w:val="clear" w:color="auto" w:fill="auto"/>
          </w:tcPr>
          <w:p w14:paraId="340AC77B" w14:textId="77777777" w:rsidR="00DC31DC" w:rsidRPr="009141F2" w:rsidRDefault="00DC31DC" w:rsidP="00DC31DC">
            <w:pPr>
              <w:suppressAutoHyphens w:val="0"/>
              <w:spacing w:before="40" w:after="40" w:line="220" w:lineRule="exact"/>
              <w:rPr>
                <w:sz w:val="18"/>
                <w:szCs w:val="26"/>
                <w:rtl/>
                <w:lang w:val="fr-FR" w:bidi="fr-FR"/>
              </w:rPr>
            </w:pPr>
            <w:r w:rsidRPr="009141F2">
              <w:rPr>
                <w:sz w:val="18"/>
                <w:lang w:val="fr-FR"/>
              </w:rPr>
              <w:t>Secondaire</w:t>
            </w:r>
          </w:p>
        </w:tc>
        <w:tc>
          <w:tcPr>
            <w:tcW w:w="901" w:type="dxa"/>
            <w:tcBorders>
              <w:bottom w:val="single" w:sz="4" w:space="0" w:color="auto"/>
            </w:tcBorders>
            <w:shd w:val="clear" w:color="auto" w:fill="auto"/>
            <w:vAlign w:val="bottom"/>
          </w:tcPr>
          <w:p w14:paraId="1C938643" w14:textId="77777777" w:rsidR="00DC31DC" w:rsidRPr="00DB4D74" w:rsidRDefault="00DC31DC" w:rsidP="00DC31DC">
            <w:pPr>
              <w:suppressAutoHyphens w:val="0"/>
              <w:spacing w:before="40" w:after="40" w:line="220" w:lineRule="exact"/>
              <w:jc w:val="right"/>
              <w:rPr>
                <w:sz w:val="18"/>
                <w:lang w:val="fr-FR"/>
              </w:rPr>
            </w:pPr>
            <w:r w:rsidRPr="00DB4D74">
              <w:rPr>
                <w:sz w:val="18"/>
                <w:lang w:val="fr-FR"/>
              </w:rPr>
              <w:t>1 897</w:t>
            </w:r>
          </w:p>
        </w:tc>
        <w:tc>
          <w:tcPr>
            <w:tcW w:w="1003" w:type="dxa"/>
            <w:tcBorders>
              <w:bottom w:val="single" w:sz="4" w:space="0" w:color="auto"/>
            </w:tcBorders>
            <w:shd w:val="clear" w:color="auto" w:fill="auto"/>
            <w:vAlign w:val="bottom"/>
          </w:tcPr>
          <w:p w14:paraId="6292843E" w14:textId="77777777" w:rsidR="00DC31DC" w:rsidRPr="00DB4D74" w:rsidRDefault="00DC31DC" w:rsidP="00DC31DC">
            <w:pPr>
              <w:suppressAutoHyphens w:val="0"/>
              <w:spacing w:before="40" w:after="40" w:line="220" w:lineRule="exact"/>
              <w:jc w:val="right"/>
              <w:rPr>
                <w:sz w:val="18"/>
                <w:lang w:val="fr-FR"/>
              </w:rPr>
            </w:pPr>
            <w:r w:rsidRPr="00DB4D74">
              <w:rPr>
                <w:sz w:val="18"/>
                <w:lang w:val="fr-FR"/>
              </w:rPr>
              <w:t>1 035</w:t>
            </w:r>
          </w:p>
        </w:tc>
        <w:tc>
          <w:tcPr>
            <w:tcW w:w="924" w:type="dxa"/>
            <w:tcBorders>
              <w:bottom w:val="single" w:sz="4" w:space="0" w:color="auto"/>
            </w:tcBorders>
            <w:shd w:val="clear" w:color="auto" w:fill="auto"/>
            <w:vAlign w:val="bottom"/>
          </w:tcPr>
          <w:p w14:paraId="29E81870" w14:textId="77777777" w:rsidR="00DC31DC" w:rsidRPr="00DB4D74" w:rsidRDefault="00DC31DC" w:rsidP="00DC31DC">
            <w:pPr>
              <w:suppressAutoHyphens w:val="0"/>
              <w:spacing w:before="40" w:after="40" w:line="220" w:lineRule="exact"/>
              <w:jc w:val="right"/>
              <w:rPr>
                <w:sz w:val="18"/>
                <w:lang w:val="fr-FR"/>
              </w:rPr>
            </w:pPr>
            <w:r w:rsidRPr="00DB4D74">
              <w:rPr>
                <w:sz w:val="18"/>
                <w:lang w:val="fr-FR"/>
              </w:rPr>
              <w:t>2 932</w:t>
            </w:r>
          </w:p>
        </w:tc>
        <w:tc>
          <w:tcPr>
            <w:tcW w:w="853" w:type="dxa"/>
            <w:tcBorders>
              <w:bottom w:val="single" w:sz="4" w:space="0" w:color="auto"/>
            </w:tcBorders>
            <w:shd w:val="clear" w:color="auto" w:fill="auto"/>
            <w:vAlign w:val="bottom"/>
          </w:tcPr>
          <w:p w14:paraId="47FE5954" w14:textId="77777777" w:rsidR="00DC31DC" w:rsidRPr="00DB4D74" w:rsidRDefault="00DC31DC" w:rsidP="00DC31DC">
            <w:pPr>
              <w:suppressAutoHyphens w:val="0"/>
              <w:spacing w:before="40" w:after="40" w:line="220" w:lineRule="exact"/>
              <w:jc w:val="right"/>
              <w:rPr>
                <w:sz w:val="18"/>
                <w:lang w:val="fr-FR"/>
              </w:rPr>
            </w:pPr>
            <w:r w:rsidRPr="00DB4D74">
              <w:rPr>
                <w:sz w:val="18"/>
                <w:lang w:val="fr-FR"/>
              </w:rPr>
              <w:t>8 032</w:t>
            </w:r>
          </w:p>
        </w:tc>
        <w:tc>
          <w:tcPr>
            <w:tcW w:w="981" w:type="dxa"/>
            <w:tcBorders>
              <w:bottom w:val="single" w:sz="4" w:space="0" w:color="auto"/>
            </w:tcBorders>
            <w:shd w:val="clear" w:color="auto" w:fill="auto"/>
            <w:vAlign w:val="bottom"/>
          </w:tcPr>
          <w:p w14:paraId="03B5C0CA" w14:textId="77777777" w:rsidR="00DC31DC" w:rsidRPr="00DB4D74" w:rsidRDefault="00DC31DC" w:rsidP="00DC31DC">
            <w:pPr>
              <w:suppressAutoHyphens w:val="0"/>
              <w:spacing w:before="40" w:after="40" w:line="220" w:lineRule="exact"/>
              <w:jc w:val="right"/>
              <w:rPr>
                <w:sz w:val="18"/>
                <w:lang w:val="fr-FR"/>
              </w:rPr>
            </w:pPr>
            <w:r w:rsidRPr="00DB4D74">
              <w:rPr>
                <w:sz w:val="18"/>
                <w:lang w:val="fr-FR"/>
              </w:rPr>
              <w:t>7 398</w:t>
            </w:r>
          </w:p>
        </w:tc>
        <w:tc>
          <w:tcPr>
            <w:tcW w:w="863" w:type="dxa"/>
            <w:tcBorders>
              <w:bottom w:val="single" w:sz="4" w:space="0" w:color="auto"/>
            </w:tcBorders>
            <w:shd w:val="clear" w:color="auto" w:fill="auto"/>
            <w:vAlign w:val="bottom"/>
          </w:tcPr>
          <w:p w14:paraId="6EB1AD9E" w14:textId="77777777" w:rsidR="00DC31DC" w:rsidRPr="00DB4D74" w:rsidRDefault="00DC31DC" w:rsidP="00DC31DC">
            <w:pPr>
              <w:suppressAutoHyphens w:val="0"/>
              <w:spacing w:before="40" w:after="40" w:line="220" w:lineRule="exact"/>
              <w:jc w:val="right"/>
              <w:rPr>
                <w:sz w:val="18"/>
                <w:lang w:val="fr-FR"/>
              </w:rPr>
            </w:pPr>
            <w:r w:rsidRPr="00DB4D74">
              <w:rPr>
                <w:sz w:val="18"/>
                <w:lang w:val="fr-FR"/>
              </w:rPr>
              <w:t>15 430</w:t>
            </w:r>
          </w:p>
        </w:tc>
        <w:tc>
          <w:tcPr>
            <w:tcW w:w="785" w:type="dxa"/>
            <w:tcBorders>
              <w:bottom w:val="single" w:sz="4" w:space="0" w:color="auto"/>
            </w:tcBorders>
            <w:shd w:val="clear" w:color="auto" w:fill="auto"/>
            <w:vAlign w:val="bottom"/>
          </w:tcPr>
          <w:p w14:paraId="315E74FE" w14:textId="77777777" w:rsidR="00DC31DC" w:rsidRPr="00F12C41" w:rsidRDefault="00DC31DC" w:rsidP="00DC31DC">
            <w:pPr>
              <w:suppressAutoHyphens w:val="0"/>
              <w:spacing w:before="40" w:after="40" w:line="220" w:lineRule="exact"/>
              <w:jc w:val="right"/>
              <w:rPr>
                <w:sz w:val="18"/>
                <w:lang w:val="fr-FR"/>
              </w:rPr>
            </w:pPr>
            <w:r w:rsidRPr="00F12C41">
              <w:rPr>
                <w:sz w:val="18"/>
                <w:lang w:val="fr-FR"/>
              </w:rPr>
              <w:t>18 362</w:t>
            </w:r>
          </w:p>
        </w:tc>
      </w:tr>
      <w:tr w:rsidR="00DC31DC" w:rsidRPr="003F2044" w14:paraId="3EA7A4B5" w14:textId="77777777" w:rsidTr="00855F80">
        <w:tc>
          <w:tcPr>
            <w:tcW w:w="1063" w:type="dxa"/>
            <w:tcBorders>
              <w:top w:val="single" w:sz="4" w:space="0" w:color="auto"/>
              <w:bottom w:val="single" w:sz="12" w:space="0" w:color="auto"/>
            </w:tcBorders>
            <w:shd w:val="clear" w:color="auto" w:fill="auto"/>
          </w:tcPr>
          <w:p w14:paraId="16AEB97C" w14:textId="77777777" w:rsidR="00DC31DC" w:rsidRPr="003F2044" w:rsidRDefault="00DC31DC" w:rsidP="00DC31DC">
            <w:pPr>
              <w:suppressAutoHyphens w:val="0"/>
              <w:spacing w:before="80" w:after="80" w:line="220" w:lineRule="exact"/>
              <w:ind w:left="283"/>
              <w:rPr>
                <w:b/>
                <w:bCs/>
                <w:sz w:val="18"/>
                <w:szCs w:val="26"/>
                <w:rtl/>
                <w:lang w:val="fr-FR" w:bidi="fr-FR"/>
              </w:rPr>
            </w:pPr>
            <w:r w:rsidRPr="003F2044">
              <w:rPr>
                <w:b/>
                <w:sz w:val="18"/>
                <w:lang w:val="fr-FR"/>
              </w:rPr>
              <w:t>Total</w:t>
            </w:r>
          </w:p>
        </w:tc>
        <w:tc>
          <w:tcPr>
            <w:tcW w:w="901" w:type="dxa"/>
            <w:tcBorders>
              <w:top w:val="single" w:sz="4" w:space="0" w:color="auto"/>
              <w:bottom w:val="single" w:sz="12" w:space="0" w:color="auto"/>
            </w:tcBorders>
            <w:shd w:val="clear" w:color="auto" w:fill="auto"/>
            <w:vAlign w:val="bottom"/>
          </w:tcPr>
          <w:p w14:paraId="480E8CF5" w14:textId="77777777" w:rsidR="00DC31DC" w:rsidRPr="00DB4D74" w:rsidRDefault="00DC31DC" w:rsidP="00DC31DC">
            <w:pPr>
              <w:suppressAutoHyphens w:val="0"/>
              <w:spacing w:before="40" w:after="40" w:line="220" w:lineRule="exact"/>
              <w:jc w:val="right"/>
              <w:rPr>
                <w:b/>
                <w:sz w:val="18"/>
                <w:lang w:val="fr-FR"/>
              </w:rPr>
            </w:pPr>
            <w:r w:rsidRPr="00DB4D74">
              <w:rPr>
                <w:b/>
                <w:sz w:val="18"/>
                <w:lang w:val="fr-FR"/>
              </w:rPr>
              <w:t>18 025</w:t>
            </w:r>
          </w:p>
        </w:tc>
        <w:tc>
          <w:tcPr>
            <w:tcW w:w="1003" w:type="dxa"/>
            <w:tcBorders>
              <w:top w:val="single" w:sz="4" w:space="0" w:color="auto"/>
              <w:bottom w:val="single" w:sz="12" w:space="0" w:color="auto"/>
            </w:tcBorders>
            <w:shd w:val="clear" w:color="auto" w:fill="auto"/>
            <w:vAlign w:val="bottom"/>
          </w:tcPr>
          <w:p w14:paraId="714274B5" w14:textId="77777777" w:rsidR="00DC31DC" w:rsidRPr="00DB4D74" w:rsidRDefault="00DC31DC" w:rsidP="00DC31DC">
            <w:pPr>
              <w:suppressAutoHyphens w:val="0"/>
              <w:spacing w:before="40" w:after="40" w:line="220" w:lineRule="exact"/>
              <w:jc w:val="right"/>
              <w:rPr>
                <w:b/>
                <w:sz w:val="18"/>
                <w:lang w:val="fr-FR"/>
              </w:rPr>
            </w:pPr>
            <w:r w:rsidRPr="00DB4D74">
              <w:rPr>
                <w:b/>
                <w:sz w:val="18"/>
                <w:lang w:val="fr-FR"/>
              </w:rPr>
              <w:t>13 231</w:t>
            </w:r>
          </w:p>
        </w:tc>
        <w:tc>
          <w:tcPr>
            <w:tcW w:w="924" w:type="dxa"/>
            <w:tcBorders>
              <w:top w:val="single" w:sz="4" w:space="0" w:color="auto"/>
              <w:bottom w:val="single" w:sz="12" w:space="0" w:color="auto"/>
            </w:tcBorders>
            <w:shd w:val="clear" w:color="auto" w:fill="auto"/>
            <w:vAlign w:val="bottom"/>
          </w:tcPr>
          <w:p w14:paraId="1D843E90" w14:textId="77777777" w:rsidR="00DC31DC" w:rsidRPr="00DB4D74" w:rsidRDefault="00DC31DC" w:rsidP="00DC31DC">
            <w:pPr>
              <w:suppressAutoHyphens w:val="0"/>
              <w:spacing w:before="40" w:after="40" w:line="220" w:lineRule="exact"/>
              <w:jc w:val="right"/>
              <w:rPr>
                <w:b/>
                <w:sz w:val="18"/>
                <w:lang w:val="fr-FR"/>
              </w:rPr>
            </w:pPr>
            <w:r w:rsidRPr="00DB4D74">
              <w:rPr>
                <w:b/>
                <w:sz w:val="18"/>
                <w:lang w:val="fr-FR"/>
              </w:rPr>
              <w:t>31 256</w:t>
            </w:r>
          </w:p>
        </w:tc>
        <w:tc>
          <w:tcPr>
            <w:tcW w:w="853" w:type="dxa"/>
            <w:tcBorders>
              <w:top w:val="single" w:sz="4" w:space="0" w:color="auto"/>
              <w:bottom w:val="single" w:sz="12" w:space="0" w:color="auto"/>
            </w:tcBorders>
            <w:shd w:val="clear" w:color="auto" w:fill="auto"/>
            <w:vAlign w:val="bottom"/>
          </w:tcPr>
          <w:p w14:paraId="7560E90F" w14:textId="77777777" w:rsidR="00DC31DC" w:rsidRPr="00DB4D74" w:rsidRDefault="00DC31DC" w:rsidP="00DC31DC">
            <w:pPr>
              <w:suppressAutoHyphens w:val="0"/>
              <w:spacing w:before="40" w:after="40" w:line="220" w:lineRule="exact"/>
              <w:jc w:val="right"/>
              <w:rPr>
                <w:b/>
                <w:sz w:val="18"/>
                <w:lang w:val="fr-FR"/>
              </w:rPr>
            </w:pPr>
            <w:r w:rsidRPr="00DB4D74">
              <w:rPr>
                <w:b/>
                <w:sz w:val="18"/>
                <w:lang w:val="fr-FR"/>
              </w:rPr>
              <w:t>73 759</w:t>
            </w:r>
          </w:p>
        </w:tc>
        <w:tc>
          <w:tcPr>
            <w:tcW w:w="981" w:type="dxa"/>
            <w:tcBorders>
              <w:top w:val="single" w:sz="4" w:space="0" w:color="auto"/>
              <w:bottom w:val="single" w:sz="12" w:space="0" w:color="auto"/>
            </w:tcBorders>
            <w:shd w:val="clear" w:color="auto" w:fill="auto"/>
            <w:vAlign w:val="bottom"/>
          </w:tcPr>
          <w:p w14:paraId="21D9E0FB" w14:textId="77777777" w:rsidR="00DC31DC" w:rsidRPr="00DB4D74" w:rsidRDefault="00DC31DC" w:rsidP="00DC31DC">
            <w:pPr>
              <w:suppressAutoHyphens w:val="0"/>
              <w:spacing w:before="40" w:after="40" w:line="220" w:lineRule="exact"/>
              <w:jc w:val="right"/>
              <w:rPr>
                <w:b/>
                <w:sz w:val="18"/>
                <w:lang w:val="fr-FR"/>
              </w:rPr>
            </w:pPr>
            <w:r w:rsidRPr="00DB4D74">
              <w:rPr>
                <w:b/>
                <w:sz w:val="18"/>
                <w:lang w:val="fr-FR"/>
              </w:rPr>
              <w:t>67 889</w:t>
            </w:r>
          </w:p>
        </w:tc>
        <w:tc>
          <w:tcPr>
            <w:tcW w:w="863" w:type="dxa"/>
            <w:tcBorders>
              <w:top w:val="single" w:sz="4" w:space="0" w:color="auto"/>
              <w:bottom w:val="single" w:sz="12" w:space="0" w:color="auto"/>
            </w:tcBorders>
            <w:shd w:val="clear" w:color="auto" w:fill="auto"/>
            <w:vAlign w:val="bottom"/>
          </w:tcPr>
          <w:p w14:paraId="3E98D2D4" w14:textId="77777777" w:rsidR="00DC31DC" w:rsidRPr="00DB4D74" w:rsidRDefault="00DC31DC" w:rsidP="00DC31DC">
            <w:pPr>
              <w:suppressAutoHyphens w:val="0"/>
              <w:spacing w:before="40" w:after="40" w:line="220" w:lineRule="exact"/>
              <w:jc w:val="right"/>
              <w:rPr>
                <w:b/>
                <w:sz w:val="18"/>
                <w:lang w:val="fr-FR"/>
              </w:rPr>
            </w:pPr>
            <w:r w:rsidRPr="00DB4D74">
              <w:rPr>
                <w:b/>
                <w:sz w:val="18"/>
                <w:lang w:val="fr-FR"/>
              </w:rPr>
              <w:t>141 648</w:t>
            </w:r>
          </w:p>
        </w:tc>
        <w:tc>
          <w:tcPr>
            <w:tcW w:w="785" w:type="dxa"/>
            <w:tcBorders>
              <w:top w:val="single" w:sz="4" w:space="0" w:color="auto"/>
              <w:bottom w:val="single" w:sz="12" w:space="0" w:color="auto"/>
            </w:tcBorders>
            <w:shd w:val="clear" w:color="auto" w:fill="auto"/>
            <w:vAlign w:val="bottom"/>
          </w:tcPr>
          <w:p w14:paraId="07DCDA19" w14:textId="77777777" w:rsidR="00DC31DC" w:rsidRPr="00DB4D74" w:rsidRDefault="00DC31DC" w:rsidP="00DC31DC">
            <w:pPr>
              <w:suppressAutoHyphens w:val="0"/>
              <w:spacing w:before="40" w:after="40" w:line="220" w:lineRule="exact"/>
              <w:jc w:val="right"/>
              <w:rPr>
                <w:b/>
                <w:sz w:val="18"/>
                <w:lang w:val="fr-FR"/>
              </w:rPr>
            </w:pPr>
            <w:r w:rsidRPr="00DB4D74">
              <w:rPr>
                <w:b/>
                <w:sz w:val="18"/>
                <w:lang w:val="fr-FR"/>
              </w:rPr>
              <w:t>172 904</w:t>
            </w:r>
          </w:p>
        </w:tc>
      </w:tr>
    </w:tbl>
    <w:p w14:paraId="4066935D" w14:textId="77777777" w:rsidR="009E4C76" w:rsidRPr="00DB4D74" w:rsidRDefault="009E4C76" w:rsidP="00DB4D74">
      <w:pPr>
        <w:pStyle w:val="SingleTxtG"/>
        <w:spacing w:before="120" w:after="240"/>
        <w:ind w:firstLine="170"/>
        <w:rPr>
          <w:sz w:val="18"/>
          <w:szCs w:val="18"/>
        </w:rPr>
      </w:pPr>
      <w:r w:rsidRPr="00DB4D74">
        <w:rPr>
          <w:i/>
          <w:sz w:val="18"/>
          <w:szCs w:val="18"/>
        </w:rPr>
        <w:t>Source</w:t>
      </w:r>
      <w:r w:rsidR="00DB4D74" w:rsidRPr="00DB4D74">
        <w:rPr>
          <w:sz w:val="18"/>
          <w:szCs w:val="18"/>
        </w:rPr>
        <w:t> </w:t>
      </w:r>
      <w:r w:rsidRPr="00DB4D74">
        <w:rPr>
          <w:sz w:val="18"/>
          <w:szCs w:val="18"/>
        </w:rPr>
        <w:t>:</w:t>
      </w:r>
      <w:r w:rsidR="00DB4D74" w:rsidRPr="00DB4D74">
        <w:rPr>
          <w:sz w:val="18"/>
          <w:szCs w:val="18"/>
        </w:rPr>
        <w:t xml:space="preserve"> </w:t>
      </w:r>
      <w:r w:rsidRPr="00DB4D74">
        <w:rPr>
          <w:sz w:val="18"/>
          <w:szCs w:val="18"/>
        </w:rPr>
        <w:t>Ministère de la planification, du développement et des statistiques.</w:t>
      </w:r>
    </w:p>
    <w:p w14:paraId="3A3027EF" w14:textId="77777777" w:rsidR="009E4C76" w:rsidRPr="00CE611F" w:rsidRDefault="009E4C76" w:rsidP="005D0B7C">
      <w:pPr>
        <w:pStyle w:val="SingleTxtG"/>
        <w:rPr>
          <w:rtl/>
          <w:lang w:bidi="fr-FR"/>
        </w:rPr>
      </w:pPr>
      <w:r w:rsidRPr="00CE611F">
        <w:rPr>
          <w:lang w:bidi="ar-QA"/>
        </w:rPr>
        <w:t>117.</w:t>
      </w:r>
      <w:r w:rsidRPr="00CE611F">
        <w:rPr>
          <w:lang w:bidi="ar-QA"/>
        </w:rPr>
        <w:tab/>
        <w:t>Les lois et règlements du Qatar garantissent le droit d</w:t>
      </w:r>
      <w:r>
        <w:rPr>
          <w:lang w:bidi="ar-QA"/>
        </w:rPr>
        <w:t>’</w:t>
      </w:r>
      <w:r w:rsidRPr="00CE611F">
        <w:rPr>
          <w:lang w:bidi="ar-QA"/>
        </w:rPr>
        <w:t>accès aux soins médicaux, sans discrimination fondée sur la race, la religion, l</w:t>
      </w:r>
      <w:r>
        <w:rPr>
          <w:lang w:bidi="ar-QA"/>
        </w:rPr>
        <w:t>’</w:t>
      </w:r>
      <w:r w:rsidRPr="00CE611F">
        <w:rPr>
          <w:lang w:bidi="ar-QA"/>
        </w:rPr>
        <w:t>origine nationale, les croyances, la langue, l</w:t>
      </w:r>
      <w:r>
        <w:rPr>
          <w:lang w:bidi="ar-QA"/>
        </w:rPr>
        <w:t>’</w:t>
      </w:r>
      <w:r w:rsidRPr="00CE611F">
        <w:rPr>
          <w:lang w:bidi="ar-QA"/>
        </w:rPr>
        <w:t>âge ou le handicap. Il convient de mentionner à cet égard la Charte publiée par la</w:t>
      </w:r>
      <w:r w:rsidR="003143D6">
        <w:rPr>
          <w:lang w:bidi="ar-QA"/>
        </w:rPr>
        <w:t> </w:t>
      </w:r>
      <w:r w:rsidRPr="00CE611F">
        <w:rPr>
          <w:lang w:bidi="ar-QA"/>
        </w:rPr>
        <w:t>Fondation médicale Hamad énonçant les droits et devoirs des patients et de leur famille, qui rappelle les principes fondamentaux du droit à la santé, notamment l</w:t>
      </w:r>
      <w:r>
        <w:rPr>
          <w:lang w:bidi="ar-QA"/>
        </w:rPr>
        <w:t>’</w:t>
      </w:r>
      <w:r w:rsidRPr="00CE611F">
        <w:rPr>
          <w:lang w:bidi="ar-QA"/>
        </w:rPr>
        <w:t>accès aux services de soins de santé sans discrimination, l</w:t>
      </w:r>
      <w:r>
        <w:rPr>
          <w:lang w:bidi="ar-QA"/>
        </w:rPr>
        <w:t>’</w:t>
      </w:r>
      <w:r w:rsidRPr="00CE611F">
        <w:rPr>
          <w:lang w:bidi="ar-QA"/>
        </w:rPr>
        <w:t>accès à la protection médicale nécessaire dans des conditions décentes et le respect de la spécificité et de la confidentialité des informations médicales. Les principales dispositions de la Charte se déclinent comme suit :</w:t>
      </w:r>
    </w:p>
    <w:p w14:paraId="6478CACC" w14:textId="77777777" w:rsidR="009E4C76" w:rsidRPr="003143D6" w:rsidRDefault="003143D6" w:rsidP="003143D6">
      <w:pPr>
        <w:pStyle w:val="Bullet1G"/>
      </w:pPr>
      <w:r>
        <w:t>L</w:t>
      </w:r>
      <w:r w:rsidR="009E4C76" w:rsidRPr="003143D6">
        <w:t>’accès aux soins de santé primaires sans distinction fondée sur la race, la religion, l’origine nationale, les croyances, les valeurs, la langue, l’âge ou le handicap</w:t>
      </w:r>
      <w:r>
        <w:t> </w:t>
      </w:r>
      <w:r w:rsidR="009E4C76" w:rsidRPr="003143D6">
        <w:t>;</w:t>
      </w:r>
    </w:p>
    <w:p w14:paraId="0908DF30" w14:textId="77777777" w:rsidR="009E4C76" w:rsidRPr="003143D6" w:rsidRDefault="003143D6" w:rsidP="003143D6">
      <w:pPr>
        <w:pStyle w:val="Bullet1G"/>
      </w:pPr>
      <w:r>
        <w:t>L</w:t>
      </w:r>
      <w:r w:rsidR="009E4C76" w:rsidRPr="003143D6">
        <w:t>’accès aux soins et aux services de santé dans des délais raisonnables ;</w:t>
      </w:r>
    </w:p>
    <w:p w14:paraId="3466D735" w14:textId="77777777" w:rsidR="009E4C76" w:rsidRPr="003143D6" w:rsidRDefault="003143D6" w:rsidP="003143D6">
      <w:pPr>
        <w:pStyle w:val="Bullet1G"/>
      </w:pPr>
      <w:r>
        <w:t>L</w:t>
      </w:r>
      <w:r w:rsidR="009E4C76" w:rsidRPr="003143D6">
        <w:t>’accès à tout moment aux soins nécessaires dans des conditions décentes et respectables, dans le respect de la dignité du patient ;</w:t>
      </w:r>
    </w:p>
    <w:p w14:paraId="685ACA84" w14:textId="77777777" w:rsidR="009E4C76" w:rsidRPr="003143D6" w:rsidRDefault="003143D6" w:rsidP="003143D6">
      <w:pPr>
        <w:pStyle w:val="Bullet1G"/>
      </w:pPr>
      <w:r>
        <w:t>L</w:t>
      </w:r>
      <w:r w:rsidR="009E4C76" w:rsidRPr="003143D6">
        <w:t>a mise en place d’un dispositif de traitement des plaintes ou réclamations approprié et efficace ;</w:t>
      </w:r>
    </w:p>
    <w:p w14:paraId="7E1827FB" w14:textId="77777777" w:rsidR="009E4C76" w:rsidRPr="003143D6" w:rsidRDefault="003143D6" w:rsidP="003143D6">
      <w:pPr>
        <w:pStyle w:val="Bullet1G"/>
        <w:rPr>
          <w:rtl/>
        </w:rPr>
      </w:pPr>
      <w:r>
        <w:t>L</w:t>
      </w:r>
      <w:r w:rsidR="009E4C76" w:rsidRPr="003143D6">
        <w:t>’accès sans délais aux soins pour soulager la douleur et la maîtriser ;</w:t>
      </w:r>
    </w:p>
    <w:p w14:paraId="7FC2B5F3" w14:textId="77777777" w:rsidR="009E4C76" w:rsidRPr="003143D6" w:rsidRDefault="003143D6" w:rsidP="003143D6">
      <w:pPr>
        <w:pStyle w:val="Bullet1G"/>
        <w:rPr>
          <w:rtl/>
        </w:rPr>
      </w:pPr>
      <w:r>
        <w:t>L</w:t>
      </w:r>
      <w:r w:rsidR="009E4C76" w:rsidRPr="003143D6">
        <w:t>e placement du patient à l’isolement ou le recours à des mesures de contention uniquement en cas de nécessité et pour des raisons médicales.</w:t>
      </w:r>
    </w:p>
    <w:p w14:paraId="6BCB2F86" w14:textId="77777777" w:rsidR="009E4C76" w:rsidRPr="00CE611F" w:rsidRDefault="009E4C76" w:rsidP="005D0B7C">
      <w:pPr>
        <w:pStyle w:val="SingleTxtG"/>
        <w:rPr>
          <w:rtl/>
          <w:lang w:bidi="fr-FR"/>
        </w:rPr>
      </w:pPr>
      <w:r w:rsidRPr="00CE611F">
        <w:rPr>
          <w:lang w:bidi="ar-QA"/>
        </w:rPr>
        <w:t>118.</w:t>
      </w:r>
      <w:r w:rsidRPr="00CE611F">
        <w:rPr>
          <w:lang w:bidi="ar-QA"/>
        </w:rPr>
        <w:tab/>
        <w:t xml:space="preserve">Soucieux de protéger les droits des travailleurs migrants, le Qatar a modifié certaines dispositions du Code du travail promulgué par la loi </w:t>
      </w:r>
      <w:r w:rsidR="007B2DD1">
        <w:rPr>
          <w:lang w:bidi="ar-QA"/>
        </w:rPr>
        <w:t>n</w:t>
      </w:r>
      <w:r w:rsidR="007B2DD1" w:rsidRPr="007B2DD1">
        <w:rPr>
          <w:vertAlign w:val="superscript"/>
          <w:lang w:bidi="ar-QA"/>
        </w:rPr>
        <w:t>o</w:t>
      </w:r>
      <w:r w:rsidR="007B2DD1">
        <w:rPr>
          <w:lang w:bidi="ar-QA"/>
        </w:rPr>
        <w:t> </w:t>
      </w:r>
      <w:r w:rsidRPr="00CE611F">
        <w:rPr>
          <w:lang w:bidi="ar-QA"/>
        </w:rPr>
        <w:t>14 de 2004, prévoyant la création d</w:t>
      </w:r>
      <w:r>
        <w:rPr>
          <w:lang w:bidi="ar-QA"/>
        </w:rPr>
        <w:t>’</w:t>
      </w:r>
      <w:r w:rsidRPr="00CE611F">
        <w:rPr>
          <w:lang w:bidi="ar-QA"/>
        </w:rPr>
        <w:t>une ou de plusieurs commissions chargées de régler les différends susceptibles de naître du fait de l</w:t>
      </w:r>
      <w:r>
        <w:rPr>
          <w:lang w:bidi="ar-QA"/>
        </w:rPr>
        <w:t>’</w:t>
      </w:r>
      <w:r w:rsidRPr="00CE611F">
        <w:rPr>
          <w:lang w:bidi="ar-QA"/>
        </w:rPr>
        <w:t>application du Code du travail ou des contrats de travail, dont les décisions ont force exécutoire ; sachant qu</w:t>
      </w:r>
      <w:r>
        <w:rPr>
          <w:lang w:bidi="ar-QA"/>
        </w:rPr>
        <w:t>’</w:t>
      </w:r>
      <w:r w:rsidRPr="00CE611F">
        <w:rPr>
          <w:lang w:bidi="ar-QA"/>
        </w:rPr>
        <w:t>elles sont présidées par un juge d</w:t>
      </w:r>
      <w:r>
        <w:rPr>
          <w:lang w:bidi="ar-QA"/>
        </w:rPr>
        <w:t>’</w:t>
      </w:r>
      <w:r w:rsidRPr="00CE611F">
        <w:rPr>
          <w:lang w:bidi="ar-QA"/>
        </w:rPr>
        <w:t>un tribunal de première instance et composées de deux membres désignés par le Ministère du développement administratif, du travail et des affaires sociales. Elles sont compétentes pour statuer, dans un délai n</w:t>
      </w:r>
      <w:r>
        <w:rPr>
          <w:lang w:bidi="ar-QA"/>
        </w:rPr>
        <w:t>’</w:t>
      </w:r>
      <w:r w:rsidRPr="00CE611F">
        <w:rPr>
          <w:lang w:bidi="ar-QA"/>
        </w:rPr>
        <w:t>excédant pas trois semaines, sur tous les conflits liés à l</w:t>
      </w:r>
      <w:r>
        <w:rPr>
          <w:lang w:bidi="ar-QA"/>
        </w:rPr>
        <w:t>’</w:t>
      </w:r>
      <w:r w:rsidRPr="00CE611F">
        <w:rPr>
          <w:lang w:bidi="ar-QA"/>
        </w:rPr>
        <w:t>application du Code du travail ou des contrats de travail en cas de saisine par le service compétent du ministère, lorsque la médiation de celui-ci ne permet pas de parvenir à un règlement amiable. Le législateur autorise les parties à contester toute décision finale des commissions devant un organisme de recours appelé « Commission d</w:t>
      </w:r>
      <w:r>
        <w:rPr>
          <w:lang w:bidi="ar-QA"/>
        </w:rPr>
        <w:t>’</w:t>
      </w:r>
      <w:r w:rsidRPr="00CE611F">
        <w:rPr>
          <w:lang w:bidi="ar-QA"/>
        </w:rPr>
        <w:t>appel des conflits du travail », présidé par un juge de la Cour d</w:t>
      </w:r>
      <w:r>
        <w:rPr>
          <w:lang w:bidi="ar-QA"/>
        </w:rPr>
        <w:t>’</w:t>
      </w:r>
      <w:r w:rsidRPr="00CE611F">
        <w:rPr>
          <w:lang w:bidi="ar-QA"/>
        </w:rPr>
        <w:t>appel et composé de deux membres désignés par le</w:t>
      </w:r>
      <w:r w:rsidR="00694F24">
        <w:rPr>
          <w:lang w:bidi="ar-QA"/>
        </w:rPr>
        <w:t> </w:t>
      </w:r>
      <w:r w:rsidRPr="00CE611F">
        <w:rPr>
          <w:lang w:bidi="ar-QA"/>
        </w:rPr>
        <w:t>Ministre. La loi reconnaît par ailleurs aux tribunaux la compétence de poursuivre l</w:t>
      </w:r>
      <w:r>
        <w:rPr>
          <w:lang w:bidi="ar-QA"/>
        </w:rPr>
        <w:t>’</w:t>
      </w:r>
      <w:r w:rsidRPr="00CE611F">
        <w:rPr>
          <w:lang w:bidi="ar-QA"/>
        </w:rPr>
        <w:t>examen des affaires dont ils avaient été saisis avant son entrée en vigueur et confie le soin au Conseil des ministres de prendre une décision relative aux procédures d</w:t>
      </w:r>
      <w:r>
        <w:rPr>
          <w:lang w:bidi="ar-QA"/>
        </w:rPr>
        <w:t>’</w:t>
      </w:r>
      <w:r w:rsidRPr="00CE611F">
        <w:rPr>
          <w:lang w:bidi="ar-QA"/>
        </w:rPr>
        <w:t>examen des conflits, aux modalités et procédures de saisine des commissions, ainsi qu</w:t>
      </w:r>
      <w:r>
        <w:rPr>
          <w:lang w:bidi="ar-QA"/>
        </w:rPr>
        <w:t>’</w:t>
      </w:r>
      <w:r w:rsidRPr="00CE611F">
        <w:rPr>
          <w:lang w:bidi="ar-QA"/>
        </w:rPr>
        <w:t>aux outils d</w:t>
      </w:r>
      <w:r>
        <w:rPr>
          <w:lang w:bidi="ar-QA"/>
        </w:rPr>
        <w:t>’</w:t>
      </w:r>
      <w:r w:rsidRPr="00CE611F">
        <w:rPr>
          <w:lang w:bidi="ar-QA"/>
        </w:rPr>
        <w:t>exécution de leurs décisions. Par le biais de la création de ces commissions, le</w:t>
      </w:r>
      <w:r w:rsidR="00694F24">
        <w:rPr>
          <w:lang w:bidi="ar-QA"/>
        </w:rPr>
        <w:t> </w:t>
      </w:r>
      <w:r w:rsidRPr="00CE611F">
        <w:rPr>
          <w:lang w:bidi="ar-QA"/>
        </w:rPr>
        <w:t>Gouvernement vise à garantir des voies de recours aux travailleurs migrants pour leur permettre de faire valoir leurs droits en cas de conflits résultant de l</w:t>
      </w:r>
      <w:r>
        <w:rPr>
          <w:lang w:bidi="ar-QA"/>
        </w:rPr>
        <w:t>’</w:t>
      </w:r>
      <w:r w:rsidRPr="00CE611F">
        <w:rPr>
          <w:lang w:bidi="ar-QA"/>
        </w:rPr>
        <w:t>application du Code du travail ou des contrats de travail, ainsi qu</w:t>
      </w:r>
      <w:r>
        <w:rPr>
          <w:lang w:bidi="ar-QA"/>
        </w:rPr>
        <w:t>’</w:t>
      </w:r>
      <w:r w:rsidRPr="00CE611F">
        <w:rPr>
          <w:lang w:bidi="ar-QA"/>
        </w:rPr>
        <w:t>à faciliter l</w:t>
      </w:r>
      <w:r>
        <w:rPr>
          <w:lang w:bidi="ar-QA"/>
        </w:rPr>
        <w:t>’</w:t>
      </w:r>
      <w:r w:rsidRPr="00CE611F">
        <w:rPr>
          <w:lang w:bidi="ar-QA"/>
        </w:rPr>
        <w:t>accès des travailleurs migrants à une justice rapide. En collaboration avec les ambassades, le Ministère du développement administratif, du travail et des affaires sociales assure le suivi des litiges portés devant ces commissions, de même qu</w:t>
      </w:r>
      <w:r>
        <w:rPr>
          <w:lang w:bidi="ar-QA"/>
        </w:rPr>
        <w:t>’</w:t>
      </w:r>
      <w:r w:rsidRPr="00CE611F">
        <w:rPr>
          <w:lang w:bidi="ar-QA"/>
        </w:rPr>
        <w:t>il est habilité à représenter les travailleurs ayant quitté le pays devant ces instances. Sans préjudice de ce qui précède, les travailleurs peuvent toujours se tourner vers les juridictions ordinaires et contester les décisions rendues par la juridiction d</w:t>
      </w:r>
      <w:r>
        <w:rPr>
          <w:lang w:bidi="ar-QA"/>
        </w:rPr>
        <w:t>’</w:t>
      </w:r>
      <w:r w:rsidRPr="00CE611F">
        <w:rPr>
          <w:lang w:bidi="ar-QA"/>
        </w:rPr>
        <w:t>appel des conflits du travail devant la Cour de cassation. Les voies de recours dont disposent les travailleurs sont les suivantes :</w:t>
      </w:r>
    </w:p>
    <w:p w14:paraId="6CEB1872" w14:textId="77777777" w:rsidR="009E4C76" w:rsidRPr="00CE611F" w:rsidRDefault="00C65361" w:rsidP="00C65361">
      <w:pPr>
        <w:pStyle w:val="Bullet1G"/>
        <w:rPr>
          <w:rtl/>
          <w:lang w:val="fr-FR" w:bidi="fr-FR"/>
        </w:rPr>
      </w:pPr>
      <w:r>
        <w:rPr>
          <w:lang w:val="fr-FR" w:bidi="ar-QA"/>
        </w:rPr>
        <w:t>L</w:t>
      </w:r>
      <w:r w:rsidR="009E4C76" w:rsidRPr="00CE611F">
        <w:rPr>
          <w:lang w:val="fr-FR" w:bidi="ar-QA"/>
        </w:rPr>
        <w:t>a possibilité de porter plainte contre l</w:t>
      </w:r>
      <w:r w:rsidR="009E4C76">
        <w:rPr>
          <w:lang w:val="fr-FR" w:bidi="ar-QA"/>
        </w:rPr>
        <w:t>’</w:t>
      </w:r>
      <w:r w:rsidR="009E4C76" w:rsidRPr="00CE611F">
        <w:rPr>
          <w:lang w:val="fr-FR" w:bidi="ar-QA"/>
        </w:rPr>
        <w:t>employeur auprès du service compétent du Ministère du développement administratif, du travail et des affaires sociales pour faire respecter les droits découlant du Code du travail ou des contrats de travail ;</w:t>
      </w:r>
    </w:p>
    <w:p w14:paraId="1215B57E" w14:textId="77777777" w:rsidR="009E4C76" w:rsidRPr="00CE611F" w:rsidRDefault="00C65361" w:rsidP="00C65361">
      <w:pPr>
        <w:pStyle w:val="Bullet1G"/>
        <w:rPr>
          <w:rtl/>
          <w:lang w:val="fr-FR" w:bidi="fr-FR"/>
        </w:rPr>
      </w:pPr>
      <w:r>
        <w:rPr>
          <w:lang w:val="fr-FR" w:bidi="ar-QA"/>
        </w:rPr>
        <w:t>L</w:t>
      </w:r>
      <w:r w:rsidR="009E4C76">
        <w:rPr>
          <w:lang w:val="fr-FR" w:bidi="ar-QA"/>
        </w:rPr>
        <w:t>’</w:t>
      </w:r>
      <w:r w:rsidR="009E4C76" w:rsidRPr="00CE611F">
        <w:rPr>
          <w:lang w:val="fr-FR" w:bidi="ar-QA"/>
        </w:rPr>
        <w:t>examen de la plainte par le service administratif compétent, lequel prend les mesures nécessaires pour régler le conflit à l</w:t>
      </w:r>
      <w:r w:rsidR="009E4C76">
        <w:rPr>
          <w:lang w:val="fr-FR" w:bidi="ar-QA"/>
        </w:rPr>
        <w:t>’</w:t>
      </w:r>
      <w:r w:rsidR="009E4C76" w:rsidRPr="00CE611F">
        <w:rPr>
          <w:lang w:val="fr-FR" w:bidi="ar-QA"/>
        </w:rPr>
        <w:t>amiable : si les deux parties acceptent la médiation proposée, la décision convenue est consignée dans un rapport signé par les deux parties et le représentant du service précité et acquiert force exécutoire ;</w:t>
      </w:r>
    </w:p>
    <w:p w14:paraId="65E061C9" w14:textId="77777777" w:rsidR="009E4C76" w:rsidRPr="00CE611F" w:rsidRDefault="00C65361" w:rsidP="00C65361">
      <w:pPr>
        <w:pStyle w:val="Bullet1G"/>
        <w:rPr>
          <w:rtl/>
          <w:lang w:val="fr-FR" w:bidi="fr-FR"/>
        </w:rPr>
      </w:pPr>
      <w:r>
        <w:rPr>
          <w:lang w:val="fr-FR" w:bidi="ar-QA"/>
        </w:rPr>
        <w:t>L</w:t>
      </w:r>
      <w:r w:rsidR="009E4C76" w:rsidRPr="00CE611F">
        <w:rPr>
          <w:lang w:val="fr-FR" w:bidi="ar-QA"/>
        </w:rPr>
        <w:t>e renvoi du litige devant une commission de règlement des conflits du travail en cas d</w:t>
      </w:r>
      <w:r w:rsidR="009E4C76">
        <w:rPr>
          <w:lang w:val="fr-FR" w:bidi="ar-QA"/>
        </w:rPr>
        <w:t>’</w:t>
      </w:r>
      <w:r w:rsidR="009E4C76" w:rsidRPr="00CE611F">
        <w:rPr>
          <w:lang w:val="fr-FR" w:bidi="ar-QA"/>
        </w:rPr>
        <w:t>échec de la médiation proposée par le service précité, ladite commission étant alors tenue de statuer dans le délai maximum de trois semaines ;</w:t>
      </w:r>
    </w:p>
    <w:p w14:paraId="6C145301" w14:textId="77777777" w:rsidR="009E4C76" w:rsidRPr="00CE611F" w:rsidRDefault="00C65361" w:rsidP="00C65361">
      <w:pPr>
        <w:pStyle w:val="Bullet1G"/>
        <w:rPr>
          <w:rtl/>
          <w:lang w:val="fr-FR" w:bidi="fr-FR"/>
        </w:rPr>
      </w:pPr>
      <w:r>
        <w:rPr>
          <w:lang w:val="fr-FR" w:bidi="ar-QA"/>
        </w:rPr>
        <w:t>L</w:t>
      </w:r>
      <w:r w:rsidR="009E4C76">
        <w:rPr>
          <w:lang w:val="fr-FR" w:bidi="ar-QA"/>
        </w:rPr>
        <w:t>’</w:t>
      </w:r>
      <w:r w:rsidR="009E4C76" w:rsidRPr="00CE611F">
        <w:rPr>
          <w:lang w:val="fr-FR" w:bidi="ar-QA"/>
        </w:rPr>
        <w:t>adoption par la commission compétente d</w:t>
      </w:r>
      <w:r w:rsidR="009E4C76">
        <w:rPr>
          <w:lang w:val="fr-FR" w:bidi="ar-QA"/>
        </w:rPr>
        <w:t>’</w:t>
      </w:r>
      <w:r w:rsidR="009E4C76" w:rsidRPr="00CE611F">
        <w:rPr>
          <w:lang w:val="fr-FR" w:bidi="ar-QA"/>
        </w:rPr>
        <w:t>une décision définitive qui acquiert force exécutoire en cas d</w:t>
      </w:r>
      <w:r w:rsidR="009E4C76">
        <w:rPr>
          <w:lang w:val="fr-FR" w:bidi="ar-QA"/>
        </w:rPr>
        <w:t>’</w:t>
      </w:r>
      <w:r w:rsidR="009E4C76" w:rsidRPr="00CE611F">
        <w:rPr>
          <w:lang w:val="fr-FR" w:bidi="ar-QA"/>
        </w:rPr>
        <w:t>absence de contestation ;</w:t>
      </w:r>
    </w:p>
    <w:p w14:paraId="62C13849" w14:textId="77777777" w:rsidR="009E4C76" w:rsidRPr="00CE611F" w:rsidRDefault="00C65361" w:rsidP="00C65361">
      <w:pPr>
        <w:pStyle w:val="Bullet1G"/>
        <w:rPr>
          <w:lang w:val="fr-FR" w:bidi="ar-QA"/>
        </w:rPr>
      </w:pPr>
      <w:r>
        <w:rPr>
          <w:lang w:val="fr-FR" w:bidi="ar-QA"/>
        </w:rPr>
        <w:t>L</w:t>
      </w:r>
      <w:r w:rsidR="009E4C76" w:rsidRPr="00CE611F">
        <w:rPr>
          <w:lang w:val="fr-FR" w:bidi="ar-QA"/>
        </w:rPr>
        <w:t>a possibilité de contester toute décision finale des commissions compétentes en matière de conflits du travail devant une instance d</w:t>
      </w:r>
      <w:r w:rsidR="009E4C76">
        <w:rPr>
          <w:lang w:val="fr-FR" w:bidi="ar-QA"/>
        </w:rPr>
        <w:t>’</w:t>
      </w:r>
      <w:r w:rsidR="009E4C76" w:rsidRPr="00CE611F">
        <w:rPr>
          <w:lang w:val="fr-FR" w:bidi="ar-QA"/>
        </w:rPr>
        <w:t>appel appelée « Commission d</w:t>
      </w:r>
      <w:r w:rsidR="009E4C76">
        <w:rPr>
          <w:lang w:val="fr-FR" w:bidi="ar-QA"/>
        </w:rPr>
        <w:t>’</w:t>
      </w:r>
      <w:r w:rsidR="009E4C76" w:rsidRPr="00CE611F">
        <w:rPr>
          <w:lang w:val="fr-FR" w:bidi="ar-QA"/>
        </w:rPr>
        <w:t>appel des conflits du travail » présidée par un juge de la Cour d</w:t>
      </w:r>
      <w:r w:rsidR="009E4C76">
        <w:rPr>
          <w:lang w:val="fr-FR" w:bidi="ar-QA"/>
        </w:rPr>
        <w:t>’</w:t>
      </w:r>
      <w:r w:rsidR="009E4C76" w:rsidRPr="00CE611F">
        <w:rPr>
          <w:lang w:val="fr-FR" w:bidi="ar-QA"/>
        </w:rPr>
        <w:t>appel et composée de deux membres désignés par le Ministre.</w:t>
      </w:r>
    </w:p>
    <w:p w14:paraId="29992A27" w14:textId="77777777" w:rsidR="009E4C76" w:rsidRPr="00CE611F" w:rsidRDefault="009E4C76" w:rsidP="005D0B7C">
      <w:pPr>
        <w:pStyle w:val="SingleTxtG"/>
        <w:rPr>
          <w:lang w:bidi="ar-QA"/>
        </w:rPr>
      </w:pPr>
      <w:r w:rsidRPr="00CE611F">
        <w:rPr>
          <w:lang w:bidi="ar-QA"/>
        </w:rPr>
        <w:t>119.</w:t>
      </w:r>
      <w:r w:rsidRPr="00CE611F">
        <w:rPr>
          <w:lang w:bidi="ar-QA"/>
        </w:rPr>
        <w:tab/>
        <w:t>Comme précédemment indiqué, le paragraphe</w:t>
      </w:r>
      <w:r w:rsidR="0020555D">
        <w:rPr>
          <w:lang w:bidi="ar-QA"/>
        </w:rPr>
        <w:t> </w:t>
      </w:r>
      <w:r w:rsidRPr="00CE611F">
        <w:rPr>
          <w:lang w:bidi="ar-QA"/>
        </w:rPr>
        <w:t>3 de l</w:t>
      </w:r>
      <w:r>
        <w:rPr>
          <w:lang w:bidi="ar-QA"/>
        </w:rPr>
        <w:t>’</w:t>
      </w:r>
      <w:r w:rsidRPr="00CE611F">
        <w:rPr>
          <w:lang w:bidi="ar-QA"/>
        </w:rPr>
        <w:t>article</w:t>
      </w:r>
      <w:r w:rsidR="0020555D">
        <w:rPr>
          <w:lang w:bidi="ar-QA"/>
        </w:rPr>
        <w:t> </w:t>
      </w:r>
      <w:r w:rsidRPr="00CE611F">
        <w:rPr>
          <w:lang w:bidi="ar-QA"/>
        </w:rPr>
        <w:t xml:space="preserve">2 du décret-loi </w:t>
      </w:r>
      <w:r w:rsidR="0020555D">
        <w:rPr>
          <w:lang w:bidi="ar-QA"/>
        </w:rPr>
        <w:t>n</w:t>
      </w:r>
      <w:r w:rsidR="0020555D" w:rsidRPr="0020555D">
        <w:rPr>
          <w:vertAlign w:val="superscript"/>
          <w:lang w:bidi="ar-QA"/>
        </w:rPr>
        <w:t>o</w:t>
      </w:r>
      <w:r w:rsidR="0020555D">
        <w:rPr>
          <w:lang w:bidi="ar-QA"/>
        </w:rPr>
        <w:t> </w:t>
      </w:r>
      <w:r w:rsidRPr="00CE611F">
        <w:rPr>
          <w:lang w:bidi="ar-QA"/>
        </w:rPr>
        <w:t>38 de</w:t>
      </w:r>
      <w:r w:rsidR="0020555D">
        <w:rPr>
          <w:lang w:bidi="ar-QA"/>
        </w:rPr>
        <w:t> </w:t>
      </w:r>
      <w:r w:rsidRPr="00CE611F">
        <w:rPr>
          <w:lang w:bidi="ar-QA"/>
        </w:rPr>
        <w:t>2002 portant création de la Commission nationale des droits de l</w:t>
      </w:r>
      <w:r>
        <w:rPr>
          <w:lang w:bidi="ar-QA"/>
        </w:rPr>
        <w:t>’</w:t>
      </w:r>
      <w:r w:rsidRPr="00CE611F">
        <w:rPr>
          <w:lang w:bidi="ar-QA"/>
        </w:rPr>
        <w:t>homme autorise cette instance à examiner les violations des droits de l</w:t>
      </w:r>
      <w:r>
        <w:rPr>
          <w:lang w:bidi="ar-QA"/>
        </w:rPr>
        <w:t>’</w:t>
      </w:r>
      <w:r w:rsidRPr="00CE611F">
        <w:rPr>
          <w:lang w:bidi="ar-QA"/>
        </w:rPr>
        <w:t>homme et à proposer les moyens permettant d</w:t>
      </w:r>
      <w:r>
        <w:rPr>
          <w:lang w:bidi="ar-QA"/>
        </w:rPr>
        <w:t>’</w:t>
      </w:r>
      <w:r w:rsidRPr="00CE611F">
        <w:rPr>
          <w:lang w:bidi="ar-QA"/>
        </w:rPr>
        <w:t>y remédier et d</w:t>
      </w:r>
      <w:r>
        <w:rPr>
          <w:lang w:bidi="ar-QA"/>
        </w:rPr>
        <w:t>’</w:t>
      </w:r>
      <w:r w:rsidRPr="00CE611F">
        <w:rPr>
          <w:lang w:bidi="ar-QA"/>
        </w:rPr>
        <w:t>éviter qu</w:t>
      </w:r>
      <w:r>
        <w:rPr>
          <w:lang w:bidi="ar-QA"/>
        </w:rPr>
        <w:t>’</w:t>
      </w:r>
      <w:r w:rsidRPr="00CE611F">
        <w:rPr>
          <w:lang w:bidi="ar-QA"/>
        </w:rPr>
        <w:t>elles ne se produisent.</w:t>
      </w:r>
    </w:p>
    <w:p w14:paraId="73F2E7A4" w14:textId="77777777" w:rsidR="009E4C76" w:rsidRPr="00CE611F" w:rsidRDefault="009E4C76" w:rsidP="00821062">
      <w:pPr>
        <w:pStyle w:val="H1G"/>
        <w:rPr>
          <w:rtl/>
          <w:lang w:val="fr-FR" w:bidi="fr-FR"/>
        </w:rPr>
      </w:pPr>
      <w:r w:rsidRPr="00CE611F">
        <w:rPr>
          <w:lang w:val="fr-FR" w:bidi="ar-QA"/>
        </w:rPr>
        <w:tab/>
        <w:t>B.</w:t>
      </w:r>
      <w:r w:rsidRPr="00CE611F">
        <w:rPr>
          <w:lang w:val="fr-FR" w:bidi="ar-QA"/>
        </w:rPr>
        <w:tab/>
        <w:t>Voies de recours efficaces</w:t>
      </w:r>
    </w:p>
    <w:p w14:paraId="48AD77BD" w14:textId="77777777" w:rsidR="009E4C76" w:rsidRPr="00CE611F" w:rsidRDefault="009E4C76" w:rsidP="005D0B7C">
      <w:pPr>
        <w:pStyle w:val="SingleTxtG"/>
        <w:rPr>
          <w:lang w:bidi="ar-QA"/>
        </w:rPr>
      </w:pPr>
      <w:r w:rsidRPr="00CE611F">
        <w:rPr>
          <w:lang w:bidi="ar-QA"/>
        </w:rPr>
        <w:t>120.</w:t>
      </w:r>
      <w:r w:rsidRPr="00CE611F">
        <w:rPr>
          <w:lang w:bidi="ar-QA"/>
        </w:rPr>
        <w:tab/>
        <w:t>Les différents recours disponibles au Qatar comprennent le droit des individus de saisir le tribunal compétent ou la Commission nationale des droits de l</w:t>
      </w:r>
      <w:r>
        <w:rPr>
          <w:lang w:bidi="ar-QA"/>
        </w:rPr>
        <w:t>’</w:t>
      </w:r>
      <w:r w:rsidRPr="00CE611F">
        <w:rPr>
          <w:lang w:bidi="ar-QA"/>
        </w:rPr>
        <w:t>homme. Le recours à la justice est un droit constitutionnel garanti et protégé par l</w:t>
      </w:r>
      <w:r>
        <w:rPr>
          <w:lang w:bidi="ar-QA"/>
        </w:rPr>
        <w:t>’</w:t>
      </w:r>
      <w:r w:rsidRPr="00CE611F">
        <w:rPr>
          <w:lang w:bidi="ar-QA"/>
        </w:rPr>
        <w:t>article</w:t>
      </w:r>
      <w:r w:rsidR="00821062">
        <w:rPr>
          <w:lang w:bidi="ar-QA"/>
        </w:rPr>
        <w:t> </w:t>
      </w:r>
      <w:r w:rsidR="00F20A94">
        <w:rPr>
          <w:lang w:bidi="ar-QA"/>
        </w:rPr>
        <w:t>1</w:t>
      </w:r>
      <w:r w:rsidRPr="00CE611F">
        <w:rPr>
          <w:lang w:bidi="ar-QA"/>
        </w:rPr>
        <w:t>35 de la Constitution permanente du Qatar, selon lequel : « L</w:t>
      </w:r>
      <w:r>
        <w:rPr>
          <w:lang w:bidi="ar-QA"/>
        </w:rPr>
        <w:t>’</w:t>
      </w:r>
      <w:r w:rsidRPr="00CE611F">
        <w:rPr>
          <w:lang w:bidi="ar-QA"/>
        </w:rPr>
        <w:t>accès à la justice est inviolable et garanti au profit de tous, conformément aux modalités et conditions fixées par la loi à cet effet ». Les</w:t>
      </w:r>
      <w:r w:rsidR="00821062">
        <w:rPr>
          <w:lang w:bidi="ar-QA"/>
        </w:rPr>
        <w:t> </w:t>
      </w:r>
      <w:r w:rsidRPr="00CE611F">
        <w:rPr>
          <w:lang w:bidi="ar-QA"/>
        </w:rPr>
        <w:t>procédures d</w:t>
      </w:r>
      <w:r>
        <w:rPr>
          <w:lang w:bidi="ar-QA"/>
        </w:rPr>
        <w:t>’</w:t>
      </w:r>
      <w:r w:rsidRPr="00CE611F">
        <w:rPr>
          <w:lang w:bidi="ar-QA"/>
        </w:rPr>
        <w:t>accès à la justice sont régies par le Code de procédure pénale, le Code de procédure civile et commerciale, la loi relative au contentieux administratif et le Code de la famille. Si un préjudice est établi, le tribunal prononce une juste réparation au profit de la victime, conformément à l</w:t>
      </w:r>
      <w:r>
        <w:rPr>
          <w:lang w:bidi="ar-QA"/>
        </w:rPr>
        <w:t>’</w:t>
      </w:r>
      <w:r w:rsidRPr="00CE611F">
        <w:rPr>
          <w:lang w:bidi="ar-QA"/>
        </w:rPr>
        <w:t>article</w:t>
      </w:r>
      <w:r w:rsidR="00821062">
        <w:rPr>
          <w:lang w:bidi="ar-QA"/>
        </w:rPr>
        <w:t> </w:t>
      </w:r>
      <w:r w:rsidRPr="00CE611F">
        <w:rPr>
          <w:lang w:bidi="ar-QA"/>
        </w:rPr>
        <w:t>19 du Code de procédure pénale promulgué par la loi</w:t>
      </w:r>
      <w:r w:rsidR="00821062">
        <w:rPr>
          <w:lang w:bidi="ar-QA"/>
        </w:rPr>
        <w:t xml:space="preserve"> n</w:t>
      </w:r>
      <w:r w:rsidR="00821062" w:rsidRPr="00821062">
        <w:rPr>
          <w:vertAlign w:val="superscript"/>
          <w:lang w:bidi="ar-QA"/>
        </w:rPr>
        <w:t>o</w:t>
      </w:r>
      <w:r w:rsidR="00821062">
        <w:rPr>
          <w:lang w:bidi="ar-QA"/>
        </w:rPr>
        <w:t> </w:t>
      </w:r>
      <w:r w:rsidRPr="00CE611F">
        <w:rPr>
          <w:lang w:bidi="ar-QA"/>
        </w:rPr>
        <w:t>23 de 2004, tel que modifié, selon lequel : « Toute personne ayant subi un préjudice personnel direct du fait d</w:t>
      </w:r>
      <w:r>
        <w:rPr>
          <w:lang w:bidi="ar-QA"/>
        </w:rPr>
        <w:t>’</w:t>
      </w:r>
      <w:r w:rsidRPr="00CE611F">
        <w:rPr>
          <w:lang w:bidi="ar-QA"/>
        </w:rPr>
        <w:t>une infraction peut se constituer partie civile dès l</w:t>
      </w:r>
      <w:r>
        <w:rPr>
          <w:lang w:bidi="ar-QA"/>
        </w:rPr>
        <w:t>’</w:t>
      </w:r>
      <w:r w:rsidRPr="00CE611F">
        <w:rPr>
          <w:lang w:bidi="ar-QA"/>
        </w:rPr>
        <w:t>ouverture de l</w:t>
      </w:r>
      <w:r>
        <w:rPr>
          <w:lang w:bidi="ar-QA"/>
        </w:rPr>
        <w:t>’</w:t>
      </w:r>
      <w:r w:rsidRPr="00CE611F">
        <w:rPr>
          <w:lang w:bidi="ar-QA"/>
        </w:rPr>
        <w:t>enquête ou devant la juridiction pénale qui examine la plainte ». En outre, les règles générales du Code civil assurent l</w:t>
      </w:r>
      <w:r>
        <w:rPr>
          <w:lang w:bidi="ar-QA"/>
        </w:rPr>
        <w:t>’</w:t>
      </w:r>
      <w:r w:rsidRPr="00CE611F">
        <w:rPr>
          <w:lang w:bidi="ar-QA"/>
        </w:rPr>
        <w:t>exercice de ce droit. Les articles</w:t>
      </w:r>
      <w:r w:rsidR="00821062">
        <w:rPr>
          <w:lang w:bidi="ar-QA"/>
        </w:rPr>
        <w:t> </w:t>
      </w:r>
      <w:r w:rsidRPr="00CE611F">
        <w:rPr>
          <w:lang w:bidi="ar-QA"/>
        </w:rPr>
        <w:t>32 à 60 du Code de procédure pénale qui régissent les procédures d</w:t>
      </w:r>
      <w:r>
        <w:rPr>
          <w:lang w:bidi="ar-QA"/>
        </w:rPr>
        <w:t>’</w:t>
      </w:r>
      <w:r w:rsidRPr="00CE611F">
        <w:rPr>
          <w:lang w:bidi="ar-QA"/>
        </w:rPr>
        <w:t>enquête, d</w:t>
      </w:r>
      <w:r>
        <w:rPr>
          <w:lang w:bidi="ar-QA"/>
        </w:rPr>
        <w:t>’</w:t>
      </w:r>
      <w:r w:rsidRPr="00CE611F">
        <w:rPr>
          <w:lang w:bidi="ar-QA"/>
        </w:rPr>
        <w:t>investigation et d</w:t>
      </w:r>
      <w:r>
        <w:rPr>
          <w:lang w:bidi="ar-QA"/>
        </w:rPr>
        <w:t>’</w:t>
      </w:r>
      <w:r w:rsidRPr="00CE611F">
        <w:rPr>
          <w:lang w:bidi="ar-QA"/>
        </w:rPr>
        <w:t>instruction préalables en vue d</w:t>
      </w:r>
      <w:r>
        <w:rPr>
          <w:lang w:bidi="ar-QA"/>
        </w:rPr>
        <w:t>’</w:t>
      </w:r>
      <w:r w:rsidRPr="00CE611F">
        <w:rPr>
          <w:lang w:bidi="ar-QA"/>
        </w:rPr>
        <w:t xml:space="preserve">aider les magistrats et le parquet à </w:t>
      </w:r>
      <w:r>
        <w:rPr>
          <w:lang w:bidi="ar-QA"/>
        </w:rPr>
        <w:t>faire la lumière sur</w:t>
      </w:r>
      <w:r w:rsidRPr="00CE611F">
        <w:rPr>
          <w:lang w:bidi="ar-QA"/>
        </w:rPr>
        <w:t xml:space="preserve"> les infractions commises, de même qu</w:t>
      </w:r>
      <w:r>
        <w:rPr>
          <w:lang w:bidi="ar-QA"/>
        </w:rPr>
        <w:t>’</w:t>
      </w:r>
      <w:r w:rsidRPr="00CE611F">
        <w:rPr>
          <w:lang w:bidi="ar-QA"/>
        </w:rPr>
        <w:t>à procéder à l</w:t>
      </w:r>
      <w:r>
        <w:rPr>
          <w:lang w:bidi="ar-QA"/>
        </w:rPr>
        <w:t>’</w:t>
      </w:r>
      <w:r w:rsidRPr="00CE611F">
        <w:rPr>
          <w:lang w:bidi="ar-QA"/>
        </w:rPr>
        <w:t>arrestation et à la condamnation de leurs auteurs, ne font pas de distinction entre les citoyens et les résidents ; tandis que l</w:t>
      </w:r>
      <w:r>
        <w:rPr>
          <w:lang w:bidi="ar-QA"/>
        </w:rPr>
        <w:t>’</w:t>
      </w:r>
      <w:r w:rsidRPr="00CE611F">
        <w:rPr>
          <w:lang w:bidi="ar-QA"/>
        </w:rPr>
        <w:t>article</w:t>
      </w:r>
      <w:r w:rsidR="00821062">
        <w:rPr>
          <w:lang w:bidi="ar-QA"/>
        </w:rPr>
        <w:t> </w:t>
      </w:r>
      <w:r w:rsidRPr="00CE611F">
        <w:rPr>
          <w:lang w:bidi="ar-QA"/>
        </w:rPr>
        <w:t>19 du même code accorde aux victimes le droit d</w:t>
      </w:r>
      <w:r>
        <w:rPr>
          <w:lang w:bidi="ar-QA"/>
        </w:rPr>
        <w:t>’</w:t>
      </w:r>
      <w:r w:rsidRPr="00CE611F">
        <w:rPr>
          <w:lang w:bidi="ar-QA"/>
        </w:rPr>
        <w:t>engager une action civile en indemnisation pour tout préjudice subi.</w:t>
      </w:r>
    </w:p>
    <w:p w14:paraId="41D75C8F" w14:textId="77777777" w:rsidR="009E4C76" w:rsidRPr="00CE611F" w:rsidRDefault="009E4C76" w:rsidP="005D0B7C">
      <w:pPr>
        <w:pStyle w:val="SingleTxtG"/>
        <w:rPr>
          <w:lang w:bidi="ar-QA"/>
        </w:rPr>
      </w:pPr>
      <w:r w:rsidRPr="00CE611F">
        <w:rPr>
          <w:lang w:bidi="ar-QA"/>
        </w:rPr>
        <w:t>121.</w:t>
      </w:r>
      <w:r w:rsidRPr="00CE611F">
        <w:rPr>
          <w:lang w:bidi="ar-QA"/>
        </w:rPr>
        <w:tab/>
        <w:t>La justice qatarie accomplit sa mission sur la base de l</w:t>
      </w:r>
      <w:r>
        <w:rPr>
          <w:lang w:bidi="ar-QA"/>
        </w:rPr>
        <w:t>’</w:t>
      </w:r>
      <w:r w:rsidRPr="00CE611F">
        <w:rPr>
          <w:lang w:bidi="ar-QA"/>
        </w:rPr>
        <w:t>article</w:t>
      </w:r>
      <w:r w:rsidR="005E4F51">
        <w:rPr>
          <w:lang w:bidi="ar-QA"/>
        </w:rPr>
        <w:t> </w:t>
      </w:r>
      <w:r w:rsidRPr="00CE611F">
        <w:rPr>
          <w:lang w:bidi="ar-QA"/>
        </w:rPr>
        <w:t>130 de la Constitution permanente du Qatar qui dispose ce qui suit : « Le pouvoir judiciaire est indépendant. Il est exercé par les tribunaux, qui sont de différents types et degrés ».</w:t>
      </w:r>
    </w:p>
    <w:p w14:paraId="7E06BE0D" w14:textId="77777777" w:rsidR="00446FE5" w:rsidRPr="00AC3823" w:rsidRDefault="009E4C76" w:rsidP="005D0B7C">
      <w:pPr>
        <w:pStyle w:val="SingleTxtG"/>
      </w:pPr>
      <w:r w:rsidRPr="00CE611F">
        <w:rPr>
          <w:lang w:bidi="ar-QA"/>
        </w:rPr>
        <w:t>122.</w:t>
      </w:r>
      <w:r w:rsidRPr="00CE611F">
        <w:rPr>
          <w:lang w:bidi="ar-QA"/>
        </w:rPr>
        <w:tab/>
        <w:t>En tant que partie intégrante du système national des droits de l</w:t>
      </w:r>
      <w:r>
        <w:rPr>
          <w:lang w:bidi="ar-QA"/>
        </w:rPr>
        <w:t>’</w:t>
      </w:r>
      <w:r w:rsidRPr="00CE611F">
        <w:rPr>
          <w:lang w:bidi="ar-QA"/>
        </w:rPr>
        <w:t>homme, le Bureau des droits de l</w:t>
      </w:r>
      <w:r>
        <w:rPr>
          <w:lang w:bidi="ar-QA"/>
        </w:rPr>
        <w:t>’</w:t>
      </w:r>
      <w:r w:rsidRPr="00CE611F">
        <w:rPr>
          <w:lang w:bidi="ar-QA"/>
        </w:rPr>
        <w:t>homme du Ministère de l</w:t>
      </w:r>
      <w:r>
        <w:rPr>
          <w:lang w:bidi="ar-QA"/>
        </w:rPr>
        <w:t>’</w:t>
      </w:r>
      <w:r w:rsidRPr="00CE611F">
        <w:rPr>
          <w:lang w:bidi="ar-QA"/>
        </w:rPr>
        <w:t xml:space="preserve">intérieur, créé en application du décret </w:t>
      </w:r>
      <w:r w:rsidR="005E4F51">
        <w:rPr>
          <w:lang w:bidi="ar-QA"/>
        </w:rPr>
        <w:t>n</w:t>
      </w:r>
      <w:r w:rsidR="005E4F51" w:rsidRPr="005E4F51">
        <w:rPr>
          <w:vertAlign w:val="superscript"/>
          <w:lang w:bidi="ar-QA"/>
        </w:rPr>
        <w:t>o</w:t>
      </w:r>
      <w:r w:rsidR="005E4F51">
        <w:rPr>
          <w:lang w:bidi="ar-QA"/>
        </w:rPr>
        <w:t> </w:t>
      </w:r>
      <w:r w:rsidRPr="00CE611F">
        <w:rPr>
          <w:lang w:bidi="ar-QA"/>
        </w:rPr>
        <w:t>26 de</w:t>
      </w:r>
      <w:r w:rsidR="005E4F51">
        <w:rPr>
          <w:lang w:bidi="ar-QA"/>
        </w:rPr>
        <w:t> </w:t>
      </w:r>
      <w:r w:rsidRPr="00CE611F">
        <w:rPr>
          <w:lang w:bidi="ar-QA"/>
        </w:rPr>
        <w:t>2005 du Ministre d</w:t>
      </w:r>
      <w:r>
        <w:rPr>
          <w:lang w:bidi="ar-QA"/>
        </w:rPr>
        <w:t>’</w:t>
      </w:r>
      <w:r w:rsidRPr="00CE611F">
        <w:rPr>
          <w:lang w:bidi="ar-QA"/>
        </w:rPr>
        <w:t>État chargé des affaires intérieures, a compétence pour « recevoir, examiner et instruire les plaintes soumises au Ministère de l</w:t>
      </w:r>
      <w:r>
        <w:rPr>
          <w:lang w:bidi="ar-QA"/>
        </w:rPr>
        <w:t>’</w:t>
      </w:r>
      <w:r w:rsidRPr="00CE611F">
        <w:rPr>
          <w:lang w:bidi="ar-QA"/>
        </w:rPr>
        <w:t>intérieur par des particuliers ou par la Commission nationale des droits de l</w:t>
      </w:r>
      <w:r>
        <w:rPr>
          <w:lang w:bidi="ar-QA"/>
        </w:rPr>
        <w:t>’</w:t>
      </w:r>
      <w:r w:rsidRPr="00CE611F">
        <w:rPr>
          <w:lang w:bidi="ar-QA"/>
        </w:rPr>
        <w:t>homme, ainsi que pour enquêter sur ces plaintes afin d</w:t>
      </w:r>
      <w:r>
        <w:rPr>
          <w:lang w:bidi="ar-QA"/>
        </w:rPr>
        <w:t>’</w:t>
      </w:r>
      <w:r w:rsidRPr="00CE611F">
        <w:rPr>
          <w:lang w:bidi="ar-QA"/>
        </w:rPr>
        <w:t xml:space="preserve">en déterminer les causes et proposer des recommandations ». Le Bureau veille également à la mise en </w:t>
      </w:r>
      <w:r w:rsidR="005E4F51" w:rsidRPr="00CE611F">
        <w:rPr>
          <w:lang w:bidi="ar-QA"/>
        </w:rPr>
        <w:t>œuvre</w:t>
      </w:r>
      <w:r w:rsidRPr="00CE611F">
        <w:rPr>
          <w:lang w:bidi="ar-QA"/>
        </w:rPr>
        <w:t xml:space="preserve"> des traités internationaux relatifs aux droits de l</w:t>
      </w:r>
      <w:r>
        <w:rPr>
          <w:lang w:bidi="ar-QA"/>
        </w:rPr>
        <w:t>’</w:t>
      </w:r>
      <w:r w:rsidRPr="00CE611F">
        <w:rPr>
          <w:lang w:bidi="ar-QA"/>
        </w:rPr>
        <w:t>homme et il est notamment habilité à visiter les établissements pénitentiaires, les centres de détention et les services de sécurité afin de s</w:t>
      </w:r>
      <w:r>
        <w:rPr>
          <w:lang w:bidi="ar-QA"/>
        </w:rPr>
        <w:t>’</w:t>
      </w:r>
      <w:r w:rsidRPr="00CE611F">
        <w:rPr>
          <w:lang w:bidi="ar-QA"/>
        </w:rPr>
        <w:t>assurer du respect des lois et règlements applicables dans le pays et de l</w:t>
      </w:r>
      <w:r>
        <w:rPr>
          <w:lang w:bidi="ar-QA"/>
        </w:rPr>
        <w:t>’</w:t>
      </w:r>
      <w:r w:rsidRPr="00CE611F">
        <w:rPr>
          <w:lang w:bidi="ar-QA"/>
        </w:rPr>
        <w:t>absence de cas de violation des droits de l</w:t>
      </w:r>
      <w:r>
        <w:rPr>
          <w:lang w:bidi="ar-QA"/>
        </w:rPr>
        <w:t>’</w:t>
      </w:r>
      <w:r w:rsidRPr="00CE611F">
        <w:rPr>
          <w:lang w:bidi="ar-QA"/>
        </w:rPr>
        <w:t>homme. Il</w:t>
      </w:r>
      <w:r w:rsidR="005E4F51">
        <w:rPr>
          <w:lang w:bidi="ar-QA"/>
        </w:rPr>
        <w:t> </w:t>
      </w:r>
      <w:r w:rsidRPr="00CE611F">
        <w:rPr>
          <w:lang w:bidi="ar-QA"/>
        </w:rPr>
        <w:t>soumet au Ministre des rapports périodiques, organise des campagnes de sensibilisation aux droits de l</w:t>
      </w:r>
      <w:r>
        <w:rPr>
          <w:lang w:bidi="ar-QA"/>
        </w:rPr>
        <w:t>’</w:t>
      </w:r>
      <w:r w:rsidRPr="00CE611F">
        <w:rPr>
          <w:lang w:bidi="ar-QA"/>
        </w:rPr>
        <w:t>homme destinées au personnel du Ministère chargé des droits de l</w:t>
      </w:r>
      <w:r>
        <w:rPr>
          <w:lang w:bidi="ar-QA"/>
        </w:rPr>
        <w:t>’</w:t>
      </w:r>
      <w:r w:rsidRPr="00CE611F">
        <w:rPr>
          <w:lang w:bidi="ar-QA"/>
        </w:rPr>
        <w:t>homme et représente le ministère lors des conférences et réunions internationales, régionales et locales consacrées aux droits de l</w:t>
      </w:r>
      <w:r>
        <w:rPr>
          <w:lang w:bidi="ar-QA"/>
        </w:rPr>
        <w:t>’</w:t>
      </w:r>
      <w:r w:rsidRPr="00CE611F">
        <w:rPr>
          <w:lang w:bidi="ar-QA"/>
        </w:rPr>
        <w:t>homme. Le Bureau est également chargé d</w:t>
      </w:r>
      <w:r>
        <w:rPr>
          <w:lang w:bidi="ar-QA"/>
        </w:rPr>
        <w:t>’</w:t>
      </w:r>
      <w:r w:rsidRPr="00CE611F">
        <w:rPr>
          <w:lang w:bidi="ar-QA"/>
        </w:rPr>
        <w:t>examiner les plaintes émanant des travailleurs migrants, d</w:t>
      </w:r>
      <w:r>
        <w:rPr>
          <w:lang w:bidi="ar-QA"/>
        </w:rPr>
        <w:t>’</w:t>
      </w:r>
      <w:r w:rsidRPr="00CE611F">
        <w:rPr>
          <w:lang w:bidi="ar-QA"/>
        </w:rPr>
        <w:t xml:space="preserve">identifier les </w:t>
      </w:r>
      <w:r>
        <w:rPr>
          <w:lang w:bidi="ar-QA"/>
        </w:rPr>
        <w:t>facteurs</w:t>
      </w:r>
      <w:r w:rsidRPr="00CE611F">
        <w:rPr>
          <w:lang w:bidi="ar-QA"/>
        </w:rPr>
        <w:t xml:space="preserve"> les ayant suscitées et de s</w:t>
      </w:r>
      <w:r>
        <w:rPr>
          <w:lang w:bidi="ar-QA"/>
        </w:rPr>
        <w:t>’</w:t>
      </w:r>
      <w:r w:rsidRPr="00CE611F">
        <w:rPr>
          <w:lang w:bidi="ar-QA"/>
        </w:rPr>
        <w:t>employer à y donner suite, ainsi que de donner son accord au transfert d</w:t>
      </w:r>
      <w:r>
        <w:rPr>
          <w:lang w:bidi="ar-QA"/>
        </w:rPr>
        <w:t>’</w:t>
      </w:r>
      <w:r w:rsidRPr="00CE611F">
        <w:rPr>
          <w:lang w:bidi="ar-QA"/>
        </w:rPr>
        <w:t>un travailleur migrant vers un autre employeur, en cas de preuve d</w:t>
      </w:r>
      <w:r>
        <w:rPr>
          <w:lang w:bidi="ar-QA"/>
        </w:rPr>
        <w:t>’</w:t>
      </w:r>
      <w:r w:rsidRPr="00CE611F">
        <w:rPr>
          <w:lang w:bidi="ar-QA"/>
        </w:rPr>
        <w:t>abus de l</w:t>
      </w:r>
      <w:r>
        <w:rPr>
          <w:lang w:bidi="ar-QA"/>
        </w:rPr>
        <w:t>’</w:t>
      </w:r>
      <w:r w:rsidRPr="00CE611F">
        <w:rPr>
          <w:lang w:bidi="ar-QA"/>
        </w:rPr>
        <w:t xml:space="preserve">employeur précédent et sans </w:t>
      </w:r>
      <w:r>
        <w:rPr>
          <w:lang w:bidi="ar-QA"/>
        </w:rPr>
        <w:t>l’</w:t>
      </w:r>
      <w:r w:rsidRPr="00CE611F">
        <w:rPr>
          <w:lang w:bidi="ar-QA"/>
        </w:rPr>
        <w:t>accord</w:t>
      </w:r>
      <w:r>
        <w:rPr>
          <w:lang w:bidi="ar-QA"/>
        </w:rPr>
        <w:t xml:space="preserve"> de ce dernier</w:t>
      </w:r>
      <w:r w:rsidRPr="00CE611F">
        <w:rPr>
          <w:lang w:bidi="ar-QA"/>
        </w:rPr>
        <w:t>, conformément aux dispositions de l</w:t>
      </w:r>
      <w:r>
        <w:rPr>
          <w:lang w:bidi="ar-QA"/>
        </w:rPr>
        <w:t>’</w:t>
      </w:r>
      <w:r w:rsidRPr="00CE611F">
        <w:rPr>
          <w:lang w:bidi="ar-QA"/>
        </w:rPr>
        <w:t>article</w:t>
      </w:r>
      <w:r w:rsidR="005E4F51">
        <w:rPr>
          <w:lang w:bidi="ar-QA"/>
        </w:rPr>
        <w:t> </w:t>
      </w:r>
      <w:r w:rsidRPr="00CE611F">
        <w:rPr>
          <w:lang w:bidi="ar-QA"/>
        </w:rPr>
        <w:t xml:space="preserve">22 de la loi </w:t>
      </w:r>
      <w:r w:rsidR="005E4F51">
        <w:rPr>
          <w:lang w:bidi="ar-QA"/>
        </w:rPr>
        <w:t>n</w:t>
      </w:r>
      <w:r w:rsidR="005E4F51" w:rsidRPr="005E4F51">
        <w:rPr>
          <w:vertAlign w:val="superscript"/>
          <w:lang w:bidi="ar-QA"/>
        </w:rPr>
        <w:t>o</w:t>
      </w:r>
      <w:r w:rsidR="005E4F51">
        <w:rPr>
          <w:lang w:bidi="ar-QA"/>
        </w:rPr>
        <w:t> 2</w:t>
      </w:r>
      <w:r w:rsidRPr="00CE611F">
        <w:rPr>
          <w:lang w:bidi="ar-QA"/>
        </w:rPr>
        <w:t>1 de 2015 régissant l</w:t>
      </w:r>
      <w:r>
        <w:rPr>
          <w:lang w:bidi="ar-QA"/>
        </w:rPr>
        <w:t>’</w:t>
      </w:r>
      <w:r w:rsidRPr="00CE611F">
        <w:rPr>
          <w:lang w:bidi="ar-QA"/>
        </w:rPr>
        <w:t>entrée, la sortie et le séjour des travailleurs migrants.</w:t>
      </w:r>
      <w:bookmarkEnd w:id="0"/>
    </w:p>
    <w:p w14:paraId="63B5EC56" w14:textId="77777777" w:rsidR="009E4C76" w:rsidRPr="00345BF6" w:rsidRDefault="00345BF6" w:rsidP="00345BF6">
      <w:pPr>
        <w:pStyle w:val="SingleTxtG"/>
        <w:spacing w:before="240" w:after="0"/>
        <w:jc w:val="center"/>
        <w:rPr>
          <w:u w:val="single"/>
        </w:rPr>
      </w:pPr>
      <w:r>
        <w:rPr>
          <w:u w:val="single"/>
        </w:rPr>
        <w:tab/>
      </w:r>
      <w:r>
        <w:rPr>
          <w:u w:val="single"/>
        </w:rPr>
        <w:tab/>
      </w:r>
      <w:r>
        <w:rPr>
          <w:u w:val="single"/>
        </w:rPr>
        <w:tab/>
      </w:r>
    </w:p>
    <w:sectPr w:rsidR="009E4C76" w:rsidRPr="00345BF6" w:rsidSect="00A37ED1">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4619B" w14:textId="77777777" w:rsidR="00855F80" w:rsidRDefault="00855F80" w:rsidP="00F95C08">
      <w:pPr>
        <w:spacing w:line="240" w:lineRule="auto"/>
      </w:pPr>
    </w:p>
  </w:endnote>
  <w:endnote w:type="continuationSeparator" w:id="0">
    <w:p w14:paraId="008E465B" w14:textId="77777777" w:rsidR="00855F80" w:rsidRPr="00AC3823" w:rsidRDefault="00855F80" w:rsidP="00AC3823">
      <w:pPr>
        <w:pStyle w:val="Pieddepage"/>
      </w:pPr>
    </w:p>
  </w:endnote>
  <w:endnote w:type="continuationNotice" w:id="1">
    <w:p w14:paraId="0DA4B6DC" w14:textId="77777777" w:rsidR="00855F80" w:rsidRDefault="00855F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B5BC" w14:textId="77777777" w:rsidR="00855F80" w:rsidRPr="00A37ED1" w:rsidRDefault="00855F80" w:rsidP="00A37ED1">
    <w:pPr>
      <w:pStyle w:val="Pieddepage"/>
      <w:tabs>
        <w:tab w:val="right" w:pos="9638"/>
      </w:tabs>
    </w:pPr>
    <w:r w:rsidRPr="00A37ED1">
      <w:rPr>
        <w:b/>
        <w:sz w:val="18"/>
      </w:rPr>
      <w:fldChar w:fldCharType="begin"/>
    </w:r>
    <w:r w:rsidRPr="00A37ED1">
      <w:rPr>
        <w:b/>
        <w:sz w:val="18"/>
      </w:rPr>
      <w:instrText xml:space="preserve"> PAGE  \* MERGEFORMAT </w:instrText>
    </w:r>
    <w:r w:rsidRPr="00A37ED1">
      <w:rPr>
        <w:b/>
        <w:sz w:val="18"/>
      </w:rPr>
      <w:fldChar w:fldCharType="separate"/>
    </w:r>
    <w:r w:rsidRPr="00A37ED1">
      <w:rPr>
        <w:b/>
        <w:noProof/>
        <w:sz w:val="18"/>
      </w:rPr>
      <w:t>2</w:t>
    </w:r>
    <w:r w:rsidRPr="00A37ED1">
      <w:rPr>
        <w:b/>
        <w:sz w:val="18"/>
      </w:rPr>
      <w:fldChar w:fldCharType="end"/>
    </w:r>
    <w:r>
      <w:rPr>
        <w:b/>
        <w:sz w:val="18"/>
      </w:rPr>
      <w:tab/>
    </w:r>
    <w:r>
      <w:t>GE.19-02460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530E" w14:textId="77777777" w:rsidR="00855F80" w:rsidRPr="00A37ED1" w:rsidRDefault="00855F80" w:rsidP="00A37ED1">
    <w:pPr>
      <w:pStyle w:val="Pieddepage"/>
      <w:tabs>
        <w:tab w:val="right" w:pos="9638"/>
      </w:tabs>
      <w:rPr>
        <w:b/>
        <w:sz w:val="18"/>
      </w:rPr>
    </w:pPr>
    <w:r>
      <w:t>GE.19-02460</w:t>
    </w:r>
    <w:r>
      <w:tab/>
    </w:r>
    <w:r w:rsidRPr="00A37ED1">
      <w:rPr>
        <w:b/>
        <w:sz w:val="18"/>
      </w:rPr>
      <w:fldChar w:fldCharType="begin"/>
    </w:r>
    <w:r w:rsidRPr="00A37ED1">
      <w:rPr>
        <w:b/>
        <w:sz w:val="18"/>
      </w:rPr>
      <w:instrText xml:space="preserve"> PAGE  \* MERGEFORMAT </w:instrText>
    </w:r>
    <w:r w:rsidRPr="00A37ED1">
      <w:rPr>
        <w:b/>
        <w:sz w:val="18"/>
      </w:rPr>
      <w:fldChar w:fldCharType="separate"/>
    </w:r>
    <w:r w:rsidRPr="00A37ED1">
      <w:rPr>
        <w:b/>
        <w:noProof/>
        <w:sz w:val="18"/>
      </w:rPr>
      <w:t>3</w:t>
    </w:r>
    <w:r w:rsidRPr="00A37E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222E" w14:textId="77777777" w:rsidR="00855F80" w:rsidRPr="00A37ED1" w:rsidRDefault="00855F80" w:rsidP="00A37ED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8D78E66" wp14:editId="707EB35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19-02460  (F)    150419    </w:t>
    </w:r>
    <w:r w:rsidR="007614B7">
      <w:rPr>
        <w:sz w:val="20"/>
      </w:rPr>
      <w:t>20</w:t>
    </w:r>
    <w:r>
      <w:rPr>
        <w:sz w:val="20"/>
      </w:rPr>
      <w:t>0519</w:t>
    </w:r>
    <w:r>
      <w:rPr>
        <w:sz w:val="20"/>
      </w:rPr>
      <w:br/>
    </w:r>
    <w:r w:rsidRPr="00A37ED1">
      <w:rPr>
        <w:rFonts w:ascii="C39T30Lfz" w:hAnsi="C39T30Lfz"/>
        <w:sz w:val="56"/>
      </w:rPr>
      <w:t></w:t>
    </w:r>
    <w:r w:rsidRPr="00A37ED1">
      <w:rPr>
        <w:rFonts w:ascii="C39T30Lfz" w:hAnsi="C39T30Lfz"/>
        <w:sz w:val="56"/>
      </w:rPr>
      <w:t></w:t>
    </w:r>
    <w:r w:rsidRPr="00A37ED1">
      <w:rPr>
        <w:rFonts w:ascii="C39T30Lfz" w:hAnsi="C39T30Lfz"/>
        <w:sz w:val="56"/>
      </w:rPr>
      <w:t></w:t>
    </w:r>
    <w:r w:rsidRPr="00A37ED1">
      <w:rPr>
        <w:rFonts w:ascii="C39T30Lfz" w:hAnsi="C39T30Lfz"/>
        <w:sz w:val="56"/>
      </w:rPr>
      <w:t></w:t>
    </w:r>
    <w:r w:rsidRPr="00A37ED1">
      <w:rPr>
        <w:rFonts w:ascii="C39T30Lfz" w:hAnsi="C39T30Lfz"/>
        <w:sz w:val="56"/>
      </w:rPr>
      <w:t></w:t>
    </w:r>
    <w:r w:rsidRPr="00A37ED1">
      <w:rPr>
        <w:rFonts w:ascii="C39T30Lfz" w:hAnsi="C39T30Lfz"/>
        <w:sz w:val="56"/>
      </w:rPr>
      <w:t></w:t>
    </w:r>
    <w:r w:rsidRPr="00A37ED1">
      <w:rPr>
        <w:rFonts w:ascii="C39T30Lfz" w:hAnsi="C39T30Lfz"/>
        <w:sz w:val="56"/>
      </w:rPr>
      <w:t></w:t>
    </w:r>
    <w:r w:rsidRPr="00A37ED1">
      <w:rPr>
        <w:rFonts w:ascii="C39T30Lfz" w:hAnsi="C39T30Lfz"/>
        <w:sz w:val="56"/>
      </w:rPr>
      <w:t></w:t>
    </w:r>
    <w:r w:rsidRPr="00A37ED1">
      <w:rPr>
        <w:rFonts w:ascii="C39T30Lfz" w:hAnsi="C39T30Lfz"/>
        <w:sz w:val="56"/>
      </w:rPr>
      <w:t></w:t>
    </w:r>
    <w:r>
      <w:rPr>
        <w:noProof/>
        <w:sz w:val="20"/>
      </w:rPr>
      <w:drawing>
        <wp:anchor distT="0" distB="0" distL="114300" distR="114300" simplePos="0" relativeHeight="251658240" behindDoc="0" locked="0" layoutInCell="1" allowOverlap="1" wp14:anchorId="47B3446F" wp14:editId="43552DC4">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HRI/CORE/QAT/20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QAT/20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A46DA" w14:textId="77777777" w:rsidR="00855F80" w:rsidRPr="00AC3823" w:rsidRDefault="00855F80" w:rsidP="00AC3823">
      <w:pPr>
        <w:pStyle w:val="Pieddepage"/>
        <w:tabs>
          <w:tab w:val="right" w:pos="2155"/>
        </w:tabs>
        <w:spacing w:after="80" w:line="240" w:lineRule="atLeast"/>
        <w:ind w:left="680"/>
        <w:rPr>
          <w:u w:val="single"/>
        </w:rPr>
      </w:pPr>
      <w:r>
        <w:rPr>
          <w:u w:val="single"/>
        </w:rPr>
        <w:tab/>
      </w:r>
    </w:p>
  </w:footnote>
  <w:footnote w:type="continuationSeparator" w:id="0">
    <w:p w14:paraId="5A4368A1" w14:textId="77777777" w:rsidR="00855F80" w:rsidRPr="00AC3823" w:rsidRDefault="00855F80" w:rsidP="00AC3823">
      <w:pPr>
        <w:pStyle w:val="Pieddepage"/>
        <w:tabs>
          <w:tab w:val="right" w:pos="2155"/>
        </w:tabs>
        <w:spacing w:after="80" w:line="240" w:lineRule="atLeast"/>
        <w:ind w:left="680"/>
        <w:rPr>
          <w:u w:val="single"/>
        </w:rPr>
      </w:pPr>
      <w:r>
        <w:rPr>
          <w:u w:val="single"/>
        </w:rPr>
        <w:tab/>
      </w:r>
    </w:p>
  </w:footnote>
  <w:footnote w:type="continuationNotice" w:id="1">
    <w:p w14:paraId="30CE9160" w14:textId="77777777" w:rsidR="00855F80" w:rsidRPr="00AC3823" w:rsidRDefault="00855F80">
      <w:pPr>
        <w:spacing w:line="240" w:lineRule="auto"/>
        <w:rPr>
          <w:sz w:val="2"/>
          <w:szCs w:val="2"/>
        </w:rPr>
      </w:pPr>
    </w:p>
  </w:footnote>
  <w:footnote w:id="2">
    <w:p w14:paraId="35C99112" w14:textId="77777777" w:rsidR="00855F80" w:rsidRPr="00801DAE" w:rsidRDefault="00855F80">
      <w:pPr>
        <w:pStyle w:val="Notedebasdepage"/>
      </w:pPr>
      <w:r>
        <w:rPr>
          <w:rStyle w:val="Appelnotedebasdep"/>
        </w:rPr>
        <w:tab/>
      </w:r>
      <w:r w:rsidRPr="00801DAE">
        <w:rPr>
          <w:rStyle w:val="Appelnotedebasdep"/>
          <w:sz w:val="20"/>
          <w:vertAlign w:val="baseline"/>
        </w:rPr>
        <w:t>*</w:t>
      </w:r>
      <w:r>
        <w:rPr>
          <w:rStyle w:val="Appelnotedebasdep"/>
          <w:sz w:val="20"/>
          <w:vertAlign w:val="baseline"/>
        </w:rPr>
        <w:tab/>
      </w:r>
      <w:r w:rsidRPr="00931872">
        <w:rPr>
          <w:lang w:val="fr-FR"/>
        </w:rP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A673" w14:textId="316B6848" w:rsidR="00855F80" w:rsidRPr="00A37ED1" w:rsidRDefault="00855F80">
    <w:pPr>
      <w:pStyle w:val="En-tte"/>
    </w:pPr>
    <w:fldSimple w:instr=" TITLE  \* MERGEFORMAT ">
      <w:r w:rsidR="003D3426">
        <w:t>HRI/CORE/QAT/2019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DA70E" w14:textId="25405103" w:rsidR="00855F80" w:rsidRPr="00A37ED1" w:rsidRDefault="00855F80" w:rsidP="00A37ED1">
    <w:pPr>
      <w:pStyle w:val="En-tte"/>
      <w:jc w:val="right"/>
    </w:pPr>
    <w:fldSimple w:instr=" TITLE  \* MERGEFORMAT ">
      <w:r w:rsidR="003D3426">
        <w:t>HRI/CORE/QAT/2019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49D"/>
    <w:multiLevelType w:val="hybridMultilevel"/>
    <w:tmpl w:val="B3929120"/>
    <w:lvl w:ilvl="0" w:tplc="C04EE2C6">
      <w:start w:val="1"/>
      <w:numFmt w:val="decimal"/>
      <w:lvlText w:val="%1."/>
      <w:lvlJc w:val="left"/>
      <w:pPr>
        <w:ind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1" w15:restartNumberingAfterBreak="0">
    <w:nsid w:val="07521322"/>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077D0937"/>
    <w:multiLevelType w:val="hybridMultilevel"/>
    <w:tmpl w:val="5ED81B9E"/>
    <w:lvl w:ilvl="0" w:tplc="05F49B52">
      <w:start w:val="1"/>
      <w:numFmt w:val="decimal"/>
      <w:lvlText w:val="%1."/>
      <w:lvlJc w:val="left"/>
      <w:pPr>
        <w:ind w:left="360" w:hanging="360"/>
      </w:pPr>
      <w:rPr>
        <w:rFonts w:cs="Times New Roman" w:hint="default"/>
        <w:b w:val="0"/>
        <w:b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B851AF4"/>
    <w:multiLevelType w:val="hybridMultilevel"/>
    <w:tmpl w:val="7740538E"/>
    <w:lvl w:ilvl="0" w:tplc="E89AD7DE">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A31567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32A75D52"/>
    <w:multiLevelType w:val="hybridMultilevel"/>
    <w:tmpl w:val="AF6C6348"/>
    <w:lvl w:ilvl="0" w:tplc="308CB36A">
      <w:start w:val="1"/>
      <w:numFmt w:val="decimal"/>
      <w:lvlText w:val="%1-"/>
      <w:lvlJc w:val="left"/>
      <w:pPr>
        <w:tabs>
          <w:tab w:val="num" w:pos="1361"/>
        </w:tabs>
        <w:ind w:left="124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CF4EB2"/>
    <w:multiLevelType w:val="hybridMultilevel"/>
    <w:tmpl w:val="D4B006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54B2370"/>
    <w:multiLevelType w:val="hybridMultilevel"/>
    <w:tmpl w:val="64AEC0BA"/>
    <w:lvl w:ilvl="0" w:tplc="DE1A3C16">
      <w:start w:val="1"/>
      <w:numFmt w:val="bullet"/>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0" w15:restartNumberingAfterBreak="0">
    <w:nsid w:val="606677AE"/>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68AD07B2"/>
    <w:multiLevelType w:val="hybridMultilevel"/>
    <w:tmpl w:val="C24A385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3" w15:restartNumberingAfterBreak="0">
    <w:nsid w:val="707F1653"/>
    <w:multiLevelType w:val="hybridMultilevel"/>
    <w:tmpl w:val="8BF26E1C"/>
    <w:lvl w:ilvl="0" w:tplc="85C8D6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00C1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1"/>
  </w:num>
  <w:num w:numId="2">
    <w:abstractNumId w:val="18"/>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8"/>
  </w:num>
  <w:num w:numId="16">
    <w:abstractNumId w:val="14"/>
  </w:num>
  <w:num w:numId="17">
    <w:abstractNumId w:val="22"/>
  </w:num>
  <w:num w:numId="18">
    <w:abstractNumId w:val="13"/>
  </w:num>
  <w:num w:numId="19">
    <w:abstractNumId w:val="19"/>
  </w:num>
  <w:num w:numId="20">
    <w:abstractNumId w:val="17"/>
  </w:num>
  <w:num w:numId="21">
    <w:abstractNumId w:val="20"/>
  </w:num>
  <w:num w:numId="22">
    <w:abstractNumId w:val="15"/>
  </w:num>
  <w:num w:numId="23">
    <w:abstractNumId w:val="11"/>
  </w:num>
  <w:num w:numId="24">
    <w:abstractNumId w:val="16"/>
  </w:num>
  <w:num w:numId="25">
    <w:abstractNumId w:val="24"/>
  </w:num>
  <w:num w:numId="26">
    <w:abstractNumId w:val="23"/>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F74D2"/>
    <w:rsid w:val="00001E20"/>
    <w:rsid w:val="00004B0D"/>
    <w:rsid w:val="00005C86"/>
    <w:rsid w:val="000107FC"/>
    <w:rsid w:val="00017F94"/>
    <w:rsid w:val="00023842"/>
    <w:rsid w:val="000334F9"/>
    <w:rsid w:val="00034063"/>
    <w:rsid w:val="000345D0"/>
    <w:rsid w:val="000412AF"/>
    <w:rsid w:val="00073148"/>
    <w:rsid w:val="0007796D"/>
    <w:rsid w:val="000A0F1B"/>
    <w:rsid w:val="000A5789"/>
    <w:rsid w:val="000B7790"/>
    <w:rsid w:val="000D3232"/>
    <w:rsid w:val="000D34DE"/>
    <w:rsid w:val="000D3525"/>
    <w:rsid w:val="000E5236"/>
    <w:rsid w:val="00111F2F"/>
    <w:rsid w:val="001209D8"/>
    <w:rsid w:val="00142838"/>
    <w:rsid w:val="0014365E"/>
    <w:rsid w:val="001441D6"/>
    <w:rsid w:val="001453BC"/>
    <w:rsid w:val="00156C4F"/>
    <w:rsid w:val="0017066B"/>
    <w:rsid w:val="00176178"/>
    <w:rsid w:val="00197971"/>
    <w:rsid w:val="001D10EE"/>
    <w:rsid w:val="001F0E6B"/>
    <w:rsid w:val="001F525A"/>
    <w:rsid w:val="0020555D"/>
    <w:rsid w:val="00223272"/>
    <w:rsid w:val="0023337C"/>
    <w:rsid w:val="00236079"/>
    <w:rsid w:val="00241CFD"/>
    <w:rsid w:val="0024779E"/>
    <w:rsid w:val="00255524"/>
    <w:rsid w:val="002630E1"/>
    <w:rsid w:val="0027130D"/>
    <w:rsid w:val="00281490"/>
    <w:rsid w:val="002832AC"/>
    <w:rsid w:val="002857C2"/>
    <w:rsid w:val="002866C8"/>
    <w:rsid w:val="002A0B1E"/>
    <w:rsid w:val="002B2054"/>
    <w:rsid w:val="002B791D"/>
    <w:rsid w:val="002C62F4"/>
    <w:rsid w:val="002D181B"/>
    <w:rsid w:val="002D5F25"/>
    <w:rsid w:val="002D7C93"/>
    <w:rsid w:val="002E2EB3"/>
    <w:rsid w:val="002E4089"/>
    <w:rsid w:val="002E6C63"/>
    <w:rsid w:val="00303A58"/>
    <w:rsid w:val="003054A0"/>
    <w:rsid w:val="00305F8C"/>
    <w:rsid w:val="00306908"/>
    <w:rsid w:val="00311965"/>
    <w:rsid w:val="003126F2"/>
    <w:rsid w:val="003143D6"/>
    <w:rsid w:val="00315428"/>
    <w:rsid w:val="00323B71"/>
    <w:rsid w:val="00335B00"/>
    <w:rsid w:val="003363B8"/>
    <w:rsid w:val="003432A6"/>
    <w:rsid w:val="00345BF6"/>
    <w:rsid w:val="00365070"/>
    <w:rsid w:val="00381A50"/>
    <w:rsid w:val="003A1C6C"/>
    <w:rsid w:val="003A2DA2"/>
    <w:rsid w:val="003B4CD2"/>
    <w:rsid w:val="003D3426"/>
    <w:rsid w:val="003D71F4"/>
    <w:rsid w:val="003F2044"/>
    <w:rsid w:val="003F632C"/>
    <w:rsid w:val="00401A1E"/>
    <w:rsid w:val="004335A1"/>
    <w:rsid w:val="00441C3B"/>
    <w:rsid w:val="0044692A"/>
    <w:rsid w:val="00446FE5"/>
    <w:rsid w:val="00452396"/>
    <w:rsid w:val="0048413B"/>
    <w:rsid w:val="0049139B"/>
    <w:rsid w:val="00494DE6"/>
    <w:rsid w:val="00495200"/>
    <w:rsid w:val="004D4874"/>
    <w:rsid w:val="004E468C"/>
    <w:rsid w:val="004E63E4"/>
    <w:rsid w:val="004F15DD"/>
    <w:rsid w:val="004F475A"/>
    <w:rsid w:val="004F74D2"/>
    <w:rsid w:val="00524E49"/>
    <w:rsid w:val="00534233"/>
    <w:rsid w:val="005505B7"/>
    <w:rsid w:val="00573030"/>
    <w:rsid w:val="00573BE5"/>
    <w:rsid w:val="00586B59"/>
    <w:rsid w:val="00586ED3"/>
    <w:rsid w:val="00595727"/>
    <w:rsid w:val="00596AA9"/>
    <w:rsid w:val="005B4567"/>
    <w:rsid w:val="005B6886"/>
    <w:rsid w:val="005B68EB"/>
    <w:rsid w:val="005D0B7C"/>
    <w:rsid w:val="005D30BD"/>
    <w:rsid w:val="005D7364"/>
    <w:rsid w:val="005E0DDE"/>
    <w:rsid w:val="005E4F51"/>
    <w:rsid w:val="005F34E7"/>
    <w:rsid w:val="005F3E03"/>
    <w:rsid w:val="00604408"/>
    <w:rsid w:val="00605B0D"/>
    <w:rsid w:val="0061340A"/>
    <w:rsid w:val="006306BD"/>
    <w:rsid w:val="006461A7"/>
    <w:rsid w:val="00655249"/>
    <w:rsid w:val="00656874"/>
    <w:rsid w:val="006824F4"/>
    <w:rsid w:val="0069112A"/>
    <w:rsid w:val="00694F24"/>
    <w:rsid w:val="00696010"/>
    <w:rsid w:val="006974CD"/>
    <w:rsid w:val="006A62E7"/>
    <w:rsid w:val="006C4132"/>
    <w:rsid w:val="006D050F"/>
    <w:rsid w:val="006D1276"/>
    <w:rsid w:val="006D6C0C"/>
    <w:rsid w:val="006E3693"/>
    <w:rsid w:val="006F4B17"/>
    <w:rsid w:val="00702DC1"/>
    <w:rsid w:val="00714D94"/>
    <w:rsid w:val="0071601D"/>
    <w:rsid w:val="007244CE"/>
    <w:rsid w:val="00731E84"/>
    <w:rsid w:val="00755AFC"/>
    <w:rsid w:val="0075769E"/>
    <w:rsid w:val="00760D94"/>
    <w:rsid w:val="007614B7"/>
    <w:rsid w:val="007A1E8F"/>
    <w:rsid w:val="007A62E6"/>
    <w:rsid w:val="007B2DD1"/>
    <w:rsid w:val="007B6FD5"/>
    <w:rsid w:val="007C3CCD"/>
    <w:rsid w:val="007D312F"/>
    <w:rsid w:val="007D6893"/>
    <w:rsid w:val="007F3E06"/>
    <w:rsid w:val="007F482E"/>
    <w:rsid w:val="00801DAE"/>
    <w:rsid w:val="0080684C"/>
    <w:rsid w:val="0081281E"/>
    <w:rsid w:val="00821062"/>
    <w:rsid w:val="00823182"/>
    <w:rsid w:val="00830100"/>
    <w:rsid w:val="00832340"/>
    <w:rsid w:val="00855F80"/>
    <w:rsid w:val="008639E6"/>
    <w:rsid w:val="00870300"/>
    <w:rsid w:val="00871C75"/>
    <w:rsid w:val="00875C84"/>
    <w:rsid w:val="008776DC"/>
    <w:rsid w:val="00880D40"/>
    <w:rsid w:val="0089136A"/>
    <w:rsid w:val="008C6BB6"/>
    <w:rsid w:val="008D5D4D"/>
    <w:rsid w:val="008F3A82"/>
    <w:rsid w:val="00900C59"/>
    <w:rsid w:val="0090341E"/>
    <w:rsid w:val="009107BC"/>
    <w:rsid w:val="009141F2"/>
    <w:rsid w:val="00931E8E"/>
    <w:rsid w:val="00933419"/>
    <w:rsid w:val="0093687E"/>
    <w:rsid w:val="009509A2"/>
    <w:rsid w:val="00954D0E"/>
    <w:rsid w:val="00962174"/>
    <w:rsid w:val="009705C8"/>
    <w:rsid w:val="009723EB"/>
    <w:rsid w:val="0098043A"/>
    <w:rsid w:val="00984FBF"/>
    <w:rsid w:val="00992766"/>
    <w:rsid w:val="009A6158"/>
    <w:rsid w:val="009B0440"/>
    <w:rsid w:val="009C1CF4"/>
    <w:rsid w:val="009C3792"/>
    <w:rsid w:val="009C688A"/>
    <w:rsid w:val="009D277F"/>
    <w:rsid w:val="009E4C76"/>
    <w:rsid w:val="00A00461"/>
    <w:rsid w:val="00A06438"/>
    <w:rsid w:val="00A13D60"/>
    <w:rsid w:val="00A25E82"/>
    <w:rsid w:val="00A30353"/>
    <w:rsid w:val="00A341F7"/>
    <w:rsid w:val="00A37ED1"/>
    <w:rsid w:val="00A43C9F"/>
    <w:rsid w:val="00A5282E"/>
    <w:rsid w:val="00A6257E"/>
    <w:rsid w:val="00A64FD6"/>
    <w:rsid w:val="00A666F3"/>
    <w:rsid w:val="00A67F45"/>
    <w:rsid w:val="00A74FBC"/>
    <w:rsid w:val="00A840D0"/>
    <w:rsid w:val="00A84D92"/>
    <w:rsid w:val="00AA063D"/>
    <w:rsid w:val="00AA279F"/>
    <w:rsid w:val="00AA3221"/>
    <w:rsid w:val="00AA4CC0"/>
    <w:rsid w:val="00AA5950"/>
    <w:rsid w:val="00AB1FED"/>
    <w:rsid w:val="00AB7A27"/>
    <w:rsid w:val="00AC3823"/>
    <w:rsid w:val="00AC76EA"/>
    <w:rsid w:val="00AD2A17"/>
    <w:rsid w:val="00AE00B3"/>
    <w:rsid w:val="00AE323C"/>
    <w:rsid w:val="00AE53A1"/>
    <w:rsid w:val="00AE6E1B"/>
    <w:rsid w:val="00AF2C43"/>
    <w:rsid w:val="00AF76A7"/>
    <w:rsid w:val="00B00181"/>
    <w:rsid w:val="00B00B0D"/>
    <w:rsid w:val="00B178D6"/>
    <w:rsid w:val="00B2223F"/>
    <w:rsid w:val="00B25BC1"/>
    <w:rsid w:val="00B26646"/>
    <w:rsid w:val="00B55773"/>
    <w:rsid w:val="00B678B7"/>
    <w:rsid w:val="00B731D1"/>
    <w:rsid w:val="00B7563E"/>
    <w:rsid w:val="00B765F7"/>
    <w:rsid w:val="00B77307"/>
    <w:rsid w:val="00B82F18"/>
    <w:rsid w:val="00B82F36"/>
    <w:rsid w:val="00B8759D"/>
    <w:rsid w:val="00B90CE1"/>
    <w:rsid w:val="00B90F23"/>
    <w:rsid w:val="00B9154A"/>
    <w:rsid w:val="00BA0CA9"/>
    <w:rsid w:val="00BA1577"/>
    <w:rsid w:val="00BA5EEE"/>
    <w:rsid w:val="00BB4C3A"/>
    <w:rsid w:val="00BC3A86"/>
    <w:rsid w:val="00BD2380"/>
    <w:rsid w:val="00BD39E0"/>
    <w:rsid w:val="00BE5F09"/>
    <w:rsid w:val="00BF05FE"/>
    <w:rsid w:val="00BF1A68"/>
    <w:rsid w:val="00BF2DBB"/>
    <w:rsid w:val="00C02897"/>
    <w:rsid w:val="00C17F64"/>
    <w:rsid w:val="00C46FDB"/>
    <w:rsid w:val="00C47984"/>
    <w:rsid w:val="00C47FEF"/>
    <w:rsid w:val="00C65361"/>
    <w:rsid w:val="00C65A20"/>
    <w:rsid w:val="00C73F0A"/>
    <w:rsid w:val="00C7600A"/>
    <w:rsid w:val="00C81812"/>
    <w:rsid w:val="00CA13FB"/>
    <w:rsid w:val="00CA3589"/>
    <w:rsid w:val="00CA6FCB"/>
    <w:rsid w:val="00CC3665"/>
    <w:rsid w:val="00CF7608"/>
    <w:rsid w:val="00D03832"/>
    <w:rsid w:val="00D16782"/>
    <w:rsid w:val="00D3439C"/>
    <w:rsid w:val="00D52183"/>
    <w:rsid w:val="00D55C7F"/>
    <w:rsid w:val="00D56671"/>
    <w:rsid w:val="00D74B48"/>
    <w:rsid w:val="00D871B9"/>
    <w:rsid w:val="00D96750"/>
    <w:rsid w:val="00DA4F0C"/>
    <w:rsid w:val="00DB1831"/>
    <w:rsid w:val="00DB3CC3"/>
    <w:rsid w:val="00DB4D74"/>
    <w:rsid w:val="00DC31DC"/>
    <w:rsid w:val="00DD2F62"/>
    <w:rsid w:val="00DD3BFD"/>
    <w:rsid w:val="00DD730C"/>
    <w:rsid w:val="00DE4847"/>
    <w:rsid w:val="00DE671C"/>
    <w:rsid w:val="00DF5F36"/>
    <w:rsid w:val="00DF6678"/>
    <w:rsid w:val="00E10E5D"/>
    <w:rsid w:val="00E118B6"/>
    <w:rsid w:val="00E1732D"/>
    <w:rsid w:val="00E24FEB"/>
    <w:rsid w:val="00E438F8"/>
    <w:rsid w:val="00E46B1F"/>
    <w:rsid w:val="00E509A6"/>
    <w:rsid w:val="00E6041B"/>
    <w:rsid w:val="00EA4012"/>
    <w:rsid w:val="00EB0D48"/>
    <w:rsid w:val="00EC29C9"/>
    <w:rsid w:val="00EE33B7"/>
    <w:rsid w:val="00EF2E22"/>
    <w:rsid w:val="00EF5822"/>
    <w:rsid w:val="00F0530D"/>
    <w:rsid w:val="00F067A1"/>
    <w:rsid w:val="00F06AA1"/>
    <w:rsid w:val="00F06DE2"/>
    <w:rsid w:val="00F12C41"/>
    <w:rsid w:val="00F20A94"/>
    <w:rsid w:val="00F23F60"/>
    <w:rsid w:val="00F27FE9"/>
    <w:rsid w:val="00F41F7B"/>
    <w:rsid w:val="00F42398"/>
    <w:rsid w:val="00F4346A"/>
    <w:rsid w:val="00F548BE"/>
    <w:rsid w:val="00F660DF"/>
    <w:rsid w:val="00F77408"/>
    <w:rsid w:val="00F81C2A"/>
    <w:rsid w:val="00F8623C"/>
    <w:rsid w:val="00F938D9"/>
    <w:rsid w:val="00F95C08"/>
    <w:rsid w:val="00FA1B77"/>
    <w:rsid w:val="00FC069B"/>
    <w:rsid w:val="00FE6B78"/>
    <w:rsid w:val="00FE6F77"/>
    <w:rsid w:val="00FF661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20EC5A2"/>
  <w15:docId w15:val="{44C2228C-BC9C-460B-86AD-BD566095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Table_GA"/>
    <w:basedOn w:val="SingleTxtG"/>
    <w:next w:val="SingleTxtG"/>
    <w:link w:val="Titre1Car"/>
    <w:qFormat/>
    <w:rsid w:val="009509A2"/>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9509A2"/>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9509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9509A2"/>
    <w:pPr>
      <w:spacing w:line="240" w:lineRule="auto"/>
    </w:pPr>
    <w:rPr>
      <w:sz w:val="16"/>
    </w:rPr>
  </w:style>
  <w:style w:type="character" w:customStyle="1" w:styleId="PieddepageCar">
    <w:name w:val="Pied de page Car"/>
    <w:aliases w:val="3_G Car"/>
    <w:basedOn w:val="Policepardfaut"/>
    <w:link w:val="Pieddepage"/>
    <w:rsid w:val="009509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509A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509A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509A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509A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509A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509A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509A2"/>
    <w:pPr>
      <w:spacing w:after="120"/>
      <w:ind w:left="1134" w:right="1134"/>
      <w:jc w:val="both"/>
    </w:pPr>
  </w:style>
  <w:style w:type="paragraph" w:customStyle="1" w:styleId="SLG">
    <w:name w:val="__S_L_G"/>
    <w:basedOn w:val="Normal"/>
    <w:next w:val="Normal"/>
    <w:rsid w:val="009509A2"/>
    <w:pPr>
      <w:keepNext/>
      <w:keepLines/>
      <w:spacing w:before="240" w:after="240" w:line="580" w:lineRule="exact"/>
      <w:ind w:left="1134" w:right="1134"/>
    </w:pPr>
    <w:rPr>
      <w:b/>
      <w:sz w:val="56"/>
    </w:rPr>
  </w:style>
  <w:style w:type="paragraph" w:customStyle="1" w:styleId="SMG">
    <w:name w:val="__S_M_G"/>
    <w:basedOn w:val="Normal"/>
    <w:next w:val="Normal"/>
    <w:rsid w:val="009509A2"/>
    <w:pPr>
      <w:keepNext/>
      <w:keepLines/>
      <w:spacing w:before="240" w:after="240" w:line="420" w:lineRule="exact"/>
      <w:ind w:left="1134" w:right="1134"/>
    </w:pPr>
    <w:rPr>
      <w:b/>
      <w:sz w:val="40"/>
    </w:rPr>
  </w:style>
  <w:style w:type="paragraph" w:customStyle="1" w:styleId="SSG">
    <w:name w:val="__S_S_G"/>
    <w:basedOn w:val="Normal"/>
    <w:next w:val="Normal"/>
    <w:rsid w:val="009509A2"/>
    <w:pPr>
      <w:keepNext/>
      <w:keepLines/>
      <w:spacing w:before="240" w:after="240" w:line="300" w:lineRule="exact"/>
      <w:ind w:left="1134" w:right="1134"/>
    </w:pPr>
    <w:rPr>
      <w:b/>
      <w:sz w:val="28"/>
    </w:rPr>
  </w:style>
  <w:style w:type="paragraph" w:customStyle="1" w:styleId="XLargeG">
    <w:name w:val="__XLarge_G"/>
    <w:basedOn w:val="Normal"/>
    <w:next w:val="Normal"/>
    <w:rsid w:val="009509A2"/>
    <w:pPr>
      <w:keepNext/>
      <w:keepLines/>
      <w:spacing w:before="240" w:after="240" w:line="420" w:lineRule="exact"/>
      <w:ind w:left="1134" w:right="1134"/>
    </w:pPr>
    <w:rPr>
      <w:b/>
      <w:sz w:val="40"/>
    </w:rPr>
  </w:style>
  <w:style w:type="paragraph" w:customStyle="1" w:styleId="Bullet1G">
    <w:name w:val="_Bullet 1_G"/>
    <w:basedOn w:val="Normal"/>
    <w:qFormat/>
    <w:rsid w:val="009509A2"/>
    <w:pPr>
      <w:numPr>
        <w:numId w:val="14"/>
      </w:numPr>
      <w:spacing w:after="120"/>
      <w:ind w:right="1134"/>
      <w:jc w:val="both"/>
    </w:pPr>
  </w:style>
  <w:style w:type="paragraph" w:customStyle="1" w:styleId="Bullet2G">
    <w:name w:val="_Bullet 2_G"/>
    <w:basedOn w:val="Normal"/>
    <w:qFormat/>
    <w:rsid w:val="009509A2"/>
    <w:pPr>
      <w:numPr>
        <w:numId w:val="15"/>
      </w:numPr>
      <w:spacing w:after="120"/>
      <w:ind w:right="1134"/>
      <w:jc w:val="both"/>
    </w:pPr>
  </w:style>
  <w:style w:type="paragraph" w:customStyle="1" w:styleId="ParNoG">
    <w:name w:val="_ParNo_G"/>
    <w:basedOn w:val="Normal"/>
    <w:qFormat/>
    <w:rsid w:val="009509A2"/>
    <w:pPr>
      <w:numPr>
        <w:numId w:val="16"/>
      </w:numPr>
      <w:tabs>
        <w:tab w:val="clear" w:pos="1701"/>
      </w:tabs>
      <w:spacing w:after="120"/>
      <w:ind w:right="1134"/>
      <w:jc w:val="both"/>
    </w:pPr>
  </w:style>
  <w:style w:type="character" w:styleId="Appelnotedebasdep">
    <w:name w:val="footnote reference"/>
    <w:aliases w:val="4_G"/>
    <w:basedOn w:val="Policepardfaut"/>
    <w:qFormat/>
    <w:rsid w:val="009509A2"/>
    <w:rPr>
      <w:rFonts w:ascii="Times New Roman" w:hAnsi="Times New Roman"/>
      <w:sz w:val="18"/>
      <w:vertAlign w:val="superscript"/>
      <w:lang w:val="fr-CH"/>
    </w:rPr>
  </w:style>
  <w:style w:type="character" w:styleId="Appeldenotedefin">
    <w:name w:val="endnote reference"/>
    <w:aliases w:val="1_G"/>
    <w:basedOn w:val="Appelnotedebasdep"/>
    <w:qFormat/>
    <w:rsid w:val="009509A2"/>
    <w:rPr>
      <w:rFonts w:ascii="Times New Roman" w:hAnsi="Times New Roman"/>
      <w:sz w:val="18"/>
      <w:vertAlign w:val="superscript"/>
      <w:lang w:val="fr-CH"/>
    </w:rPr>
  </w:style>
  <w:style w:type="table" w:styleId="Grilledutableau">
    <w:name w:val="Table Grid"/>
    <w:basedOn w:val="TableauNormal"/>
    <w:rsid w:val="009509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09A2"/>
    <w:rPr>
      <w:color w:val="0000FF"/>
      <w:u w:val="none"/>
    </w:rPr>
  </w:style>
  <w:style w:type="character" w:styleId="Lienhypertextesuivivisit">
    <w:name w:val="FollowedHyperlink"/>
    <w:basedOn w:val="Policepardfaut"/>
    <w:unhideWhenUsed/>
    <w:rsid w:val="009509A2"/>
    <w:rPr>
      <w:color w:val="0000FF"/>
      <w:u w:val="none"/>
    </w:rPr>
  </w:style>
  <w:style w:type="paragraph" w:styleId="Notedebasdepage">
    <w:name w:val="footnote text"/>
    <w:aliases w:val="5_G"/>
    <w:basedOn w:val="Normal"/>
    <w:link w:val="NotedebasdepageCar"/>
    <w:qFormat/>
    <w:rsid w:val="009509A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9509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509A2"/>
  </w:style>
  <w:style w:type="character" w:customStyle="1" w:styleId="NotedefinCar">
    <w:name w:val="Note de fin Car"/>
    <w:aliases w:val="2_G Car"/>
    <w:basedOn w:val="Policepardfaut"/>
    <w:link w:val="Notedefin"/>
    <w:rsid w:val="009509A2"/>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9509A2"/>
    <w:rPr>
      <w:rFonts w:ascii="Times New Roman" w:hAnsi="Times New Roman"/>
      <w:b/>
      <w:sz w:val="18"/>
      <w:lang w:val="fr-CH"/>
    </w:rPr>
  </w:style>
  <w:style w:type="character" w:customStyle="1" w:styleId="Titre1Car">
    <w:name w:val="Titre 1 Car"/>
    <w:aliases w:val="Table_G Car,Table_GA Car"/>
    <w:basedOn w:val="Policepardfaut"/>
    <w:link w:val="Titre1"/>
    <w:rsid w:val="009509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792"/>
    <w:rPr>
      <w:rFonts w:ascii="Tahoma" w:hAnsi="Tahoma" w:cs="Tahoma"/>
      <w:sz w:val="16"/>
      <w:szCs w:val="16"/>
      <w:lang w:eastAsia="en-US"/>
    </w:rPr>
  </w:style>
  <w:style w:type="table" w:customStyle="1" w:styleId="Grillecouleur-Accent61">
    <w:name w:val="Grille couleur - Accent 61"/>
    <w:rsid w:val="009E4C76"/>
    <w:pPr>
      <w:spacing w:after="0" w:line="240" w:lineRule="auto"/>
    </w:pPr>
    <w:rPr>
      <w:rFonts w:ascii="Calibri" w:hAnsi="Calibri" w:cs="Arial"/>
      <w:color w:val="000000"/>
      <w:sz w:val="20"/>
      <w:szCs w:val="20"/>
      <w:lang w:val="fr-FR" w:eastAsia="fr-F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Tramemoyenne1-Accent41">
    <w:name w:val="Trame moyenne 1 - Accent 41"/>
    <w:rsid w:val="009E4C76"/>
    <w:pPr>
      <w:spacing w:after="0" w:line="240" w:lineRule="auto"/>
    </w:pPr>
    <w:rPr>
      <w:rFonts w:ascii="Calibri" w:hAnsi="Calibri" w:cs="Arial"/>
      <w:sz w:val="20"/>
      <w:szCs w:val="20"/>
      <w:lang w:val="fr-FR" w:eastAsia="fr-F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3">
    <w:name w:val="3"/>
    <w:rsid w:val="009E4C76"/>
    <w:pPr>
      <w:widowControl w:val="0"/>
      <w:autoSpaceDE w:val="0"/>
      <w:autoSpaceDN w:val="0"/>
      <w:adjustRightInd w:val="0"/>
      <w:spacing w:after="0" w:line="240" w:lineRule="auto"/>
    </w:pPr>
    <w:rPr>
      <w:rFonts w:ascii="Times New Roman" w:hAnsi="Times New Roman" w:cs="Times New Roman"/>
      <w:sz w:val="24"/>
      <w:szCs w:val="24"/>
      <w:lang w:val="fr-FR" w:eastAsia="fr-FR"/>
    </w:rPr>
    <w:tblPr>
      <w:jc w:val="right"/>
      <w:tblInd w:w="0" w:type="dxa"/>
      <w:tblCellMar>
        <w:top w:w="0" w:type="dxa"/>
        <w:left w:w="108" w:type="dxa"/>
        <w:bottom w:w="0" w:type="dxa"/>
        <w:right w:w="108" w:type="dxa"/>
      </w:tblCellMar>
    </w:tblPr>
    <w:trPr>
      <w:jc w:val="right"/>
    </w:trPr>
  </w:style>
  <w:style w:type="table" w:styleId="Effetsdetableau3D1">
    <w:name w:val="Table 3D effects 1"/>
    <w:basedOn w:val="TableauNormal"/>
    <w:semiHidden/>
    <w:rsid w:val="009E4C76"/>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9E4C76"/>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ffetsdetableau3D3">
    <w:name w:val="Table 3D effects 3"/>
    <w:basedOn w:val="TableauNormal"/>
    <w:semiHidden/>
    <w:rsid w:val="009E4C76"/>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1">
    <w:name w:val="Table Classic 1"/>
    <w:basedOn w:val="TableauNormal"/>
    <w:semiHidden/>
    <w:rsid w:val="009E4C76"/>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2">
    <w:name w:val="Table Classic 2"/>
    <w:basedOn w:val="TableauNormal"/>
    <w:semiHidden/>
    <w:rsid w:val="009E4C76"/>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E4C76"/>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E4C76"/>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9E4C76"/>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E4C76"/>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E4C76"/>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9E4C76"/>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2">
    <w:name w:val="Table Columns 2"/>
    <w:basedOn w:val="TableauNormal"/>
    <w:semiHidden/>
    <w:rsid w:val="009E4C76"/>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3">
    <w:name w:val="Table Columns 3"/>
    <w:basedOn w:val="TableauNormal"/>
    <w:semiHidden/>
    <w:rsid w:val="009E4C76"/>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Colonnesdetableau4">
    <w:name w:val="Table Columns 4"/>
    <w:basedOn w:val="TableauNormal"/>
    <w:semiHidden/>
    <w:rsid w:val="009E4C76"/>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Colonnesdetableau5">
    <w:name w:val="Table Columns 5"/>
    <w:basedOn w:val="TableauNormal"/>
    <w:semiHidden/>
    <w:rsid w:val="009E4C76"/>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aucontemporain">
    <w:name w:val="Table Contemporary"/>
    <w:basedOn w:val="TableauNormal"/>
    <w:semiHidden/>
    <w:rsid w:val="009E4C76"/>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9E4C76"/>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9E4C76"/>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Grilledetableau2">
    <w:name w:val="Table Grid 2"/>
    <w:basedOn w:val="TableauNormal"/>
    <w:semiHidden/>
    <w:rsid w:val="009E4C76"/>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3">
    <w:name w:val="Table Grid 3"/>
    <w:basedOn w:val="TableauNormal"/>
    <w:semiHidden/>
    <w:rsid w:val="009E4C76"/>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4">
    <w:name w:val="Table Grid 4"/>
    <w:basedOn w:val="TableauNormal"/>
    <w:semiHidden/>
    <w:rsid w:val="009E4C76"/>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E4C76"/>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6">
    <w:name w:val="Table Grid 6"/>
    <w:basedOn w:val="TableauNormal"/>
    <w:semiHidden/>
    <w:rsid w:val="009E4C76"/>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7">
    <w:name w:val="Table Grid 7"/>
    <w:basedOn w:val="TableauNormal"/>
    <w:semiHidden/>
    <w:rsid w:val="009E4C76"/>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8">
    <w:name w:val="Table Grid 8"/>
    <w:basedOn w:val="TableauNormal"/>
    <w:semiHidden/>
    <w:rsid w:val="009E4C76"/>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9E4C76"/>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2">
    <w:name w:val="Table List 2"/>
    <w:basedOn w:val="TableauNormal"/>
    <w:semiHidden/>
    <w:rsid w:val="009E4C76"/>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3">
    <w:name w:val="Table List 3"/>
    <w:basedOn w:val="TableauNormal"/>
    <w:semiHidden/>
    <w:rsid w:val="009E4C76"/>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E4C76"/>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E4C76"/>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auliste6">
    <w:name w:val="Table List 6"/>
    <w:basedOn w:val="TableauNormal"/>
    <w:semiHidden/>
    <w:rsid w:val="009E4C76"/>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E4C76"/>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E4C76"/>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9E4C76"/>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9E4C76"/>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E4C76"/>
    <w:pPr>
      <w:suppressAutoHyphens/>
      <w:spacing w:after="0" w:line="240" w:lineRule="atLeast"/>
    </w:pPr>
    <w:rPr>
      <w:rFonts w:ascii="Times New Roman" w:hAnsi="Times New Roman" w:cs="Times New Roman"/>
      <w:sz w:val="20"/>
      <w:szCs w:val="20"/>
      <w:lang w:val="fr-FR" w:eastAsia="fr-F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E4C76"/>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9E4C76"/>
    <w:pPr>
      <w:suppressAutoHyphens/>
      <w:spacing w:after="0" w:line="240" w:lineRule="atLeast"/>
    </w:pPr>
    <w:rPr>
      <w:rFonts w:ascii="Times New Roman" w:hAnsi="Times New Roman" w:cs="Times New Roman"/>
      <w:sz w:val="20"/>
      <w:szCs w:val="20"/>
      <w:lang w:val="fr-FR" w:eastAsia="fr-FR"/>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ple2">
    <w:name w:val="Table Subtle 2"/>
    <w:basedOn w:val="TableauNormal"/>
    <w:rsid w:val="009E4C76"/>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hmedutableau">
    <w:name w:val="Table Theme"/>
    <w:basedOn w:val="TableauNormal"/>
    <w:semiHidden/>
    <w:rsid w:val="009E4C76"/>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9E4C76"/>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auweb2">
    <w:name w:val="Table Web 2"/>
    <w:basedOn w:val="TableauNormal"/>
    <w:semiHidden/>
    <w:rsid w:val="009E4C76"/>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auweb3">
    <w:name w:val="Table Web 3"/>
    <w:basedOn w:val="TableauNormal"/>
    <w:rsid w:val="009E4C76"/>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Grid1">
    <w:name w:val="Table Grid1"/>
    <w:rsid w:val="009E4C76"/>
    <w:pPr>
      <w:bidi/>
      <w:spacing w:after="0" w:line="240" w:lineRule="auto"/>
      <w:jc w:val="lowKashida"/>
    </w:pPr>
    <w:rPr>
      <w:rFonts w:ascii="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1">
    <w:name w:val="Table 3D effects 11"/>
    <w:semiHidden/>
    <w:rsid w:val="009E4C76"/>
    <w:pPr>
      <w:suppressAutoHyphens/>
      <w:spacing w:after="0" w:line="240" w:lineRule="atLeast"/>
    </w:pPr>
    <w:rPr>
      <w:rFonts w:ascii="Times New Roman" w:hAnsi="Times New Roman" w:cs="Times New Roman"/>
      <w:sz w:val="20"/>
      <w:szCs w:val="20"/>
      <w:lang w:val="fr-FR" w:eastAsia="fr-FR"/>
    </w:rPr>
    <w:tblPr>
      <w:tblInd w:w="0" w:type="dxa"/>
      <w:tblCellMar>
        <w:top w:w="0" w:type="dxa"/>
        <w:left w:w="108" w:type="dxa"/>
        <w:bottom w:w="0" w:type="dxa"/>
        <w:right w:w="108" w:type="dxa"/>
      </w:tblCellMar>
    </w:tblPr>
    <w:tcPr>
      <w:shd w:val="solid" w:color="C0C0C0" w:fill="FFFFFF"/>
    </w:tcPr>
  </w:style>
  <w:style w:type="table" w:customStyle="1" w:styleId="Table3Deffects21">
    <w:name w:val="Table 3D effects 21"/>
    <w:semiHidden/>
    <w:rsid w:val="009E4C76"/>
    <w:pPr>
      <w:suppressAutoHyphens/>
      <w:spacing w:after="0" w:line="240" w:lineRule="atLeast"/>
    </w:pPr>
    <w:rPr>
      <w:rFonts w:ascii="Times New Roman" w:hAnsi="Times New Roman" w:cs="Times New Roman"/>
      <w:sz w:val="20"/>
      <w:szCs w:val="20"/>
      <w:lang w:val="fr-FR" w:eastAsia="fr-FR"/>
    </w:rPr>
    <w:tblPr>
      <w:tblStyleRowBandSize w:val="1"/>
      <w:tblInd w:w="0" w:type="dxa"/>
      <w:tblCellMar>
        <w:top w:w="0" w:type="dxa"/>
        <w:left w:w="108" w:type="dxa"/>
        <w:bottom w:w="0" w:type="dxa"/>
        <w:right w:w="108" w:type="dxa"/>
      </w:tblCellMar>
    </w:tblPr>
    <w:tcPr>
      <w:shd w:val="solid" w:color="C0C0C0" w:fill="FFFFFF"/>
    </w:tcPr>
  </w:style>
  <w:style w:type="table" w:customStyle="1" w:styleId="Table3Deffects31">
    <w:name w:val="Table 3D effects 31"/>
    <w:semiHidden/>
    <w:rsid w:val="009E4C76"/>
    <w:pPr>
      <w:suppressAutoHyphens/>
      <w:spacing w:after="0" w:line="240" w:lineRule="atLeast"/>
    </w:pPr>
    <w:rPr>
      <w:rFonts w:ascii="Times New Roman" w:hAnsi="Times New Roman" w:cs="Times New Roman"/>
      <w:sz w:val="20"/>
      <w:szCs w:val="20"/>
      <w:lang w:val="fr-FR" w:eastAsia="fr-FR"/>
    </w:rPr>
    <w:tblPr>
      <w:tblStyleRowBandSize w:val="1"/>
      <w:tblStyleColBandSize w:val="1"/>
      <w:tblInd w:w="0" w:type="dxa"/>
      <w:tblCellMar>
        <w:top w:w="0" w:type="dxa"/>
        <w:left w:w="108" w:type="dxa"/>
        <w:bottom w:w="0" w:type="dxa"/>
        <w:right w:w="108" w:type="dxa"/>
      </w:tblCellMar>
    </w:tblPr>
  </w:style>
  <w:style w:type="table" w:customStyle="1" w:styleId="TableClassic11">
    <w:name w:val="Table Classic 11"/>
    <w:semiHidden/>
    <w:rsid w:val="009E4C76"/>
    <w:pPr>
      <w:suppressAutoHyphens/>
      <w:spacing w:after="0" w:line="240" w:lineRule="atLeast"/>
    </w:pPr>
    <w:rPr>
      <w:rFonts w:ascii="Times New Roman" w:hAnsi="Times New Roman" w:cs="Times New Roman"/>
      <w:sz w:val="20"/>
      <w:szCs w:val="20"/>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21">
    <w:name w:val="Table Classic 21"/>
    <w:semiHidden/>
    <w:rsid w:val="009E4C76"/>
    <w:pPr>
      <w:suppressAutoHyphens/>
      <w:spacing w:after="0" w:line="240" w:lineRule="atLeast"/>
    </w:pPr>
    <w:rPr>
      <w:rFonts w:ascii="Times New Roman" w:hAnsi="Times New Roman" w:cs="Times New Roman"/>
      <w:sz w:val="20"/>
      <w:szCs w:val="20"/>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31">
    <w:name w:val="Table Classic 31"/>
    <w:semiHidden/>
    <w:rsid w:val="009E4C76"/>
    <w:pPr>
      <w:suppressAutoHyphens/>
      <w:spacing w:after="0" w:line="240" w:lineRule="atLeast"/>
    </w:pPr>
    <w:rPr>
      <w:rFonts w:ascii="Times New Roman" w:hAnsi="Times New Roman" w:cs="Times New Roman"/>
      <w:color w:val="000080"/>
      <w:sz w:val="20"/>
      <w:szCs w:val="2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eClassic41">
    <w:name w:val="Table Classic 41"/>
    <w:semiHidden/>
    <w:rsid w:val="009E4C76"/>
    <w:pPr>
      <w:suppressAutoHyphens/>
      <w:spacing w:after="0" w:line="240" w:lineRule="atLeast"/>
    </w:pPr>
    <w:rPr>
      <w:rFonts w:ascii="Times New Roman" w:hAnsi="Times New Roman" w:cs="Times New Roman"/>
      <w:sz w:val="20"/>
      <w:szCs w:val="20"/>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leColorful11">
    <w:name w:val="Table Colorful 11"/>
    <w:semiHidden/>
    <w:rsid w:val="009E4C76"/>
    <w:pPr>
      <w:suppressAutoHyphens/>
      <w:spacing w:after="0" w:line="240" w:lineRule="atLeast"/>
    </w:pPr>
    <w:rPr>
      <w:rFonts w:ascii="Times New Roman" w:hAnsi="Times New Roman" w:cs="Times New Roman"/>
      <w:color w:val="FFFFFF"/>
      <w:sz w:val="20"/>
      <w:szCs w:val="20"/>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TableColorful21">
    <w:name w:val="Table Colorful 21"/>
    <w:semiHidden/>
    <w:rsid w:val="009E4C76"/>
    <w:pPr>
      <w:suppressAutoHyphens/>
      <w:spacing w:after="0" w:line="240" w:lineRule="atLeast"/>
    </w:pPr>
    <w:rPr>
      <w:rFonts w:ascii="Times New Roman" w:hAnsi="Times New Roman" w:cs="Times New Roman"/>
      <w:sz w:val="20"/>
      <w:szCs w:val="20"/>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TableColorful31">
    <w:name w:val="Table Colorful 31"/>
    <w:semiHidden/>
    <w:rsid w:val="009E4C76"/>
    <w:pPr>
      <w:suppressAutoHyphens/>
      <w:spacing w:after="0" w:line="240" w:lineRule="atLeast"/>
    </w:pPr>
    <w:rPr>
      <w:rFonts w:ascii="Times New Roman" w:hAnsi="Times New Roman" w:cs="Times New Roman"/>
      <w:sz w:val="20"/>
      <w:szCs w:val="20"/>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TableColumns11">
    <w:name w:val="Table Columns 11"/>
    <w:semiHidden/>
    <w:rsid w:val="009E4C76"/>
    <w:pPr>
      <w:suppressAutoHyphens/>
      <w:spacing w:after="0" w:line="240" w:lineRule="atLeast"/>
    </w:pPr>
    <w:rPr>
      <w:rFonts w:ascii="Times New Roman" w:hAnsi="Times New Roman" w:cs="Times New Roman"/>
      <w:b/>
      <w:bCs/>
      <w:sz w:val="20"/>
      <w:szCs w:val="20"/>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Columns21">
    <w:name w:val="Table Columns 21"/>
    <w:semiHidden/>
    <w:rsid w:val="009E4C76"/>
    <w:pPr>
      <w:suppressAutoHyphens/>
      <w:spacing w:after="0" w:line="240" w:lineRule="atLeast"/>
    </w:pPr>
    <w:rPr>
      <w:rFonts w:ascii="Times New Roman" w:hAnsi="Times New Roman" w:cs="Times New Roman"/>
      <w:b/>
      <w:bCs/>
      <w:sz w:val="20"/>
      <w:szCs w:val="20"/>
      <w:lang w:val="fr-FR" w:eastAsia="fr-FR"/>
    </w:rPr>
    <w:tblPr>
      <w:tblStyleColBandSize w:val="1"/>
      <w:tblInd w:w="0" w:type="dxa"/>
      <w:tblCellMar>
        <w:top w:w="0" w:type="dxa"/>
        <w:left w:w="108" w:type="dxa"/>
        <w:bottom w:w="0" w:type="dxa"/>
        <w:right w:w="108" w:type="dxa"/>
      </w:tblCellMar>
    </w:tblPr>
  </w:style>
  <w:style w:type="table" w:customStyle="1" w:styleId="TableColumns31">
    <w:name w:val="Table Columns 31"/>
    <w:semiHidden/>
    <w:rsid w:val="009E4C76"/>
    <w:pPr>
      <w:suppressAutoHyphens/>
      <w:spacing w:after="0" w:line="240" w:lineRule="atLeast"/>
    </w:pPr>
    <w:rPr>
      <w:rFonts w:ascii="Times New Roman" w:hAnsi="Times New Roman" w:cs="Times New Roman"/>
      <w:b/>
      <w:bCs/>
      <w:sz w:val="20"/>
      <w:szCs w:val="20"/>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TableColumns41">
    <w:name w:val="Table Columns 41"/>
    <w:semiHidden/>
    <w:rsid w:val="009E4C76"/>
    <w:pPr>
      <w:suppressAutoHyphens/>
      <w:spacing w:after="0" w:line="240" w:lineRule="atLeast"/>
    </w:pPr>
    <w:rPr>
      <w:rFonts w:ascii="Times New Roman" w:hAnsi="Times New Roman" w:cs="Times New Roman"/>
      <w:sz w:val="20"/>
      <w:szCs w:val="20"/>
      <w:lang w:val="fr-FR" w:eastAsia="fr-FR"/>
    </w:rPr>
    <w:tblPr>
      <w:tblStyleColBandSize w:val="1"/>
      <w:tblInd w:w="0" w:type="dxa"/>
      <w:tblCellMar>
        <w:top w:w="0" w:type="dxa"/>
        <w:left w:w="108" w:type="dxa"/>
        <w:bottom w:w="0" w:type="dxa"/>
        <w:right w:w="108" w:type="dxa"/>
      </w:tblCellMar>
    </w:tblPr>
  </w:style>
  <w:style w:type="table" w:customStyle="1" w:styleId="TableColumns51">
    <w:name w:val="Table Columns 51"/>
    <w:semiHidden/>
    <w:rsid w:val="009E4C76"/>
    <w:pPr>
      <w:suppressAutoHyphens/>
      <w:spacing w:after="0" w:line="240" w:lineRule="atLeast"/>
    </w:pPr>
    <w:rPr>
      <w:rFonts w:ascii="Times New Roman" w:hAnsi="Times New Roman" w:cs="Times New Roman"/>
      <w:sz w:val="20"/>
      <w:szCs w:val="20"/>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TableContemporary1">
    <w:name w:val="Table Contemporary1"/>
    <w:semiHidden/>
    <w:rsid w:val="009E4C76"/>
    <w:pPr>
      <w:suppressAutoHyphens/>
      <w:spacing w:after="0" w:line="240" w:lineRule="atLeast"/>
    </w:pPr>
    <w:rPr>
      <w:rFonts w:ascii="Times New Roman" w:hAnsi="Times New Roman" w:cs="Times New Roman"/>
      <w:sz w:val="20"/>
      <w:szCs w:val="20"/>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TableElegant1">
    <w:name w:val="Table Elegant1"/>
    <w:semiHidden/>
    <w:rsid w:val="009E4C76"/>
    <w:pPr>
      <w:suppressAutoHyphens/>
      <w:spacing w:after="0" w:line="240" w:lineRule="atLeast"/>
    </w:pPr>
    <w:rPr>
      <w:rFonts w:ascii="Times New Roman" w:hAnsi="Times New Roman" w:cs="Times New Roman"/>
      <w:sz w:val="20"/>
      <w:szCs w:val="20"/>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
    <w:name w:val="Table Grid 11"/>
    <w:semiHidden/>
    <w:rsid w:val="009E4C76"/>
    <w:pPr>
      <w:suppressAutoHyphens/>
      <w:spacing w:after="0" w:line="240" w:lineRule="atLeast"/>
    </w:pPr>
    <w:rPr>
      <w:rFonts w:ascii="Times New Roman" w:hAnsi="Times New Roman" w:cs="Times New Roman"/>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21">
    <w:name w:val="Table Grid 21"/>
    <w:semiHidden/>
    <w:rsid w:val="009E4C76"/>
    <w:pPr>
      <w:suppressAutoHyphens/>
      <w:spacing w:after="0" w:line="240" w:lineRule="atLeast"/>
    </w:pPr>
    <w:rPr>
      <w:rFonts w:ascii="Times New Roman" w:hAnsi="Times New Roman" w:cs="Times New Roman"/>
      <w:sz w:val="20"/>
      <w:szCs w:val="20"/>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TableGrid31">
    <w:name w:val="Table Grid 31"/>
    <w:semiHidden/>
    <w:rsid w:val="009E4C76"/>
    <w:pPr>
      <w:suppressAutoHyphens/>
      <w:spacing w:after="0" w:line="240" w:lineRule="atLeast"/>
    </w:pPr>
    <w:rPr>
      <w:rFonts w:ascii="Times New Roman" w:hAnsi="Times New Roman" w:cs="Times New Roman"/>
      <w:sz w:val="20"/>
      <w:szCs w:val="20"/>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41">
    <w:name w:val="Table Grid 41"/>
    <w:semiHidden/>
    <w:rsid w:val="009E4C76"/>
    <w:pPr>
      <w:suppressAutoHyphens/>
      <w:spacing w:after="0" w:line="240" w:lineRule="atLeast"/>
    </w:pPr>
    <w:rPr>
      <w:rFonts w:ascii="Times New Roman" w:hAnsi="Times New Roman" w:cs="Times New Roman"/>
      <w:sz w:val="20"/>
      <w:szCs w:val="20"/>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51">
    <w:name w:val="Table Grid 51"/>
    <w:semiHidden/>
    <w:rsid w:val="009E4C76"/>
    <w:pPr>
      <w:suppressAutoHyphens/>
      <w:spacing w:after="0" w:line="240" w:lineRule="atLeast"/>
    </w:pPr>
    <w:rPr>
      <w:rFonts w:ascii="Times New Roman" w:hAnsi="Times New Roman" w:cs="Times New Roman"/>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61">
    <w:name w:val="Table Grid 61"/>
    <w:semiHidden/>
    <w:rsid w:val="009E4C76"/>
    <w:pPr>
      <w:suppressAutoHyphens/>
      <w:spacing w:after="0" w:line="240" w:lineRule="atLeast"/>
    </w:pPr>
    <w:rPr>
      <w:rFonts w:ascii="Times New Roman" w:hAnsi="Times New Roman" w:cs="Times New Roman"/>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71">
    <w:name w:val="Table Grid 71"/>
    <w:semiHidden/>
    <w:rsid w:val="009E4C76"/>
    <w:pPr>
      <w:suppressAutoHyphens/>
      <w:spacing w:after="0" w:line="240" w:lineRule="atLeast"/>
    </w:pPr>
    <w:rPr>
      <w:rFonts w:ascii="Times New Roman" w:hAnsi="Times New Roman" w:cs="Times New Roman"/>
      <w:b/>
      <w:bCs/>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81">
    <w:name w:val="Table Grid 81"/>
    <w:semiHidden/>
    <w:rsid w:val="009E4C76"/>
    <w:pPr>
      <w:suppressAutoHyphens/>
      <w:spacing w:after="0" w:line="240" w:lineRule="atLeast"/>
    </w:pPr>
    <w:rPr>
      <w:rFonts w:ascii="Times New Roman" w:hAnsi="Times New Roman" w:cs="Times New Roman"/>
      <w:sz w:val="20"/>
      <w:szCs w:val="20"/>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leList11">
    <w:name w:val="Table List 11"/>
    <w:semiHidden/>
    <w:rsid w:val="009E4C76"/>
    <w:pPr>
      <w:suppressAutoHyphens/>
      <w:spacing w:after="0" w:line="240" w:lineRule="atLeast"/>
    </w:pPr>
    <w:rPr>
      <w:rFonts w:ascii="Times New Roman" w:hAnsi="Times New Roman" w:cs="Times New Roman"/>
      <w:sz w:val="20"/>
      <w:szCs w:val="20"/>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TableList21">
    <w:name w:val="Table List 21"/>
    <w:semiHidden/>
    <w:rsid w:val="009E4C76"/>
    <w:pPr>
      <w:suppressAutoHyphens/>
      <w:spacing w:after="0" w:line="240" w:lineRule="atLeast"/>
    </w:pPr>
    <w:rPr>
      <w:rFonts w:ascii="Times New Roman" w:hAnsi="Times New Roman" w:cs="Times New Roman"/>
      <w:sz w:val="20"/>
      <w:szCs w:val="20"/>
      <w:lang w:val="fr-FR" w:eastAsia="fr-FR"/>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TableList31">
    <w:name w:val="Table List 31"/>
    <w:semiHidden/>
    <w:rsid w:val="009E4C76"/>
    <w:pPr>
      <w:suppressAutoHyphens/>
      <w:spacing w:after="0" w:line="240" w:lineRule="atLeast"/>
    </w:pPr>
    <w:rPr>
      <w:rFonts w:ascii="Times New Roman" w:hAnsi="Times New Roman" w:cs="Times New Roman"/>
      <w:sz w:val="20"/>
      <w:szCs w:val="20"/>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leList41">
    <w:name w:val="Table List 41"/>
    <w:semiHidden/>
    <w:rsid w:val="009E4C76"/>
    <w:pPr>
      <w:suppressAutoHyphens/>
      <w:spacing w:after="0" w:line="240" w:lineRule="atLeast"/>
    </w:pPr>
    <w:rPr>
      <w:rFonts w:ascii="Times New Roman" w:hAnsi="Times New Roman" w:cs="Times New Roman"/>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TableList51">
    <w:name w:val="Table List 51"/>
    <w:semiHidden/>
    <w:rsid w:val="009E4C76"/>
    <w:pPr>
      <w:suppressAutoHyphens/>
      <w:spacing w:after="0" w:line="240" w:lineRule="atLeast"/>
    </w:pPr>
    <w:rPr>
      <w:rFonts w:ascii="Times New Roman" w:hAnsi="Times New Roman" w:cs="Times New Roman"/>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TableList61">
    <w:name w:val="Table List 61"/>
    <w:semiHidden/>
    <w:rsid w:val="009E4C76"/>
    <w:pPr>
      <w:suppressAutoHyphens/>
      <w:spacing w:after="0" w:line="240" w:lineRule="atLeast"/>
    </w:pPr>
    <w:rPr>
      <w:rFonts w:ascii="Times New Roman" w:hAnsi="Times New Roman" w:cs="Times New Roman"/>
      <w:sz w:val="20"/>
      <w:szCs w:val="20"/>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TableList71">
    <w:name w:val="Table List 71"/>
    <w:semiHidden/>
    <w:rsid w:val="009E4C76"/>
    <w:pPr>
      <w:suppressAutoHyphens/>
      <w:spacing w:after="0" w:line="240" w:lineRule="atLeast"/>
    </w:pPr>
    <w:rPr>
      <w:rFonts w:ascii="Times New Roman" w:hAnsi="Times New Roman" w:cs="Times New Roman"/>
      <w:sz w:val="20"/>
      <w:szCs w:val="20"/>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TableList81">
    <w:name w:val="Table List 81"/>
    <w:semiHidden/>
    <w:rsid w:val="009E4C76"/>
    <w:pPr>
      <w:suppressAutoHyphens/>
      <w:spacing w:after="0" w:line="240" w:lineRule="atLeast"/>
    </w:pPr>
    <w:rPr>
      <w:rFonts w:ascii="Times New Roman" w:hAnsi="Times New Roman" w:cs="Times New Roman"/>
      <w:sz w:val="20"/>
      <w:szCs w:val="20"/>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leProfessional1">
    <w:name w:val="Table Professional1"/>
    <w:semiHidden/>
    <w:rsid w:val="009E4C76"/>
    <w:pPr>
      <w:suppressAutoHyphens/>
      <w:spacing w:after="0" w:line="240" w:lineRule="atLeast"/>
    </w:pPr>
    <w:rPr>
      <w:rFonts w:ascii="Times New Roman" w:hAnsi="Times New Roman" w:cs="Times New Roman"/>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Simple11">
    <w:name w:val="Table Simple 11"/>
    <w:semiHidden/>
    <w:rsid w:val="009E4C76"/>
    <w:pPr>
      <w:suppressAutoHyphens/>
      <w:spacing w:after="0" w:line="240" w:lineRule="atLeast"/>
    </w:pPr>
    <w:rPr>
      <w:rFonts w:ascii="Times New Roman" w:hAnsi="Times New Roman" w:cs="Times New Roman"/>
      <w:sz w:val="20"/>
      <w:szCs w:val="20"/>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imple21">
    <w:name w:val="Table Simple 21"/>
    <w:semiHidden/>
    <w:rsid w:val="009E4C76"/>
    <w:pPr>
      <w:suppressAutoHyphens/>
      <w:spacing w:after="0" w:line="240" w:lineRule="atLeast"/>
    </w:pPr>
    <w:rPr>
      <w:rFonts w:ascii="Times New Roman" w:hAnsi="Times New Roman" w:cs="Times New Roman"/>
      <w:sz w:val="20"/>
      <w:szCs w:val="20"/>
      <w:lang w:val="fr-FR" w:eastAsia="fr-FR"/>
    </w:rPr>
    <w:tblPr>
      <w:tblInd w:w="0" w:type="dxa"/>
      <w:tblCellMar>
        <w:top w:w="0" w:type="dxa"/>
        <w:left w:w="108" w:type="dxa"/>
        <w:bottom w:w="0" w:type="dxa"/>
        <w:right w:w="108" w:type="dxa"/>
      </w:tblCellMar>
    </w:tblPr>
  </w:style>
  <w:style w:type="table" w:customStyle="1" w:styleId="TableSimple31">
    <w:name w:val="Table Simple 31"/>
    <w:semiHidden/>
    <w:rsid w:val="009E4C76"/>
    <w:pPr>
      <w:suppressAutoHyphens/>
      <w:spacing w:after="0" w:line="240" w:lineRule="atLeast"/>
    </w:pPr>
    <w:rPr>
      <w:rFonts w:ascii="Times New Roman" w:hAnsi="Times New Roman" w:cs="Times New Roman"/>
      <w:sz w:val="20"/>
      <w:szCs w:val="2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Subtle11">
    <w:name w:val="Table Subtle 11"/>
    <w:semiHidden/>
    <w:rsid w:val="009E4C76"/>
    <w:pPr>
      <w:suppressAutoHyphens/>
      <w:spacing w:after="0" w:line="240" w:lineRule="atLeast"/>
    </w:pPr>
    <w:rPr>
      <w:rFonts w:ascii="Times New Roman" w:hAnsi="Times New Roman" w:cs="Times New Roman"/>
      <w:sz w:val="20"/>
      <w:szCs w:val="20"/>
      <w:lang w:val="fr-FR" w:eastAsia="fr-FR"/>
    </w:rPr>
    <w:tblPr>
      <w:tblStyleRowBandSize w:val="1"/>
      <w:tblInd w:w="0" w:type="dxa"/>
      <w:tblCellMar>
        <w:top w:w="0" w:type="dxa"/>
        <w:left w:w="108" w:type="dxa"/>
        <w:bottom w:w="0" w:type="dxa"/>
        <w:right w:w="108" w:type="dxa"/>
      </w:tblCellMar>
    </w:tblPr>
  </w:style>
  <w:style w:type="table" w:customStyle="1" w:styleId="TableSubtle21">
    <w:name w:val="Table Subtle 21"/>
    <w:semiHidden/>
    <w:rsid w:val="009E4C76"/>
    <w:pPr>
      <w:suppressAutoHyphens/>
      <w:spacing w:after="0" w:line="240" w:lineRule="atLeast"/>
    </w:pPr>
    <w:rPr>
      <w:rFonts w:ascii="Times New Roman" w:hAnsi="Times New Roman" w:cs="Times New Roman"/>
      <w:sz w:val="20"/>
      <w:szCs w:val="20"/>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TableTheme1">
    <w:name w:val="Table Theme1"/>
    <w:semiHidden/>
    <w:rsid w:val="009E4C76"/>
    <w:pPr>
      <w:suppressAutoHyphens/>
      <w:spacing w:after="0" w:line="240" w:lineRule="atLeast"/>
    </w:pPr>
    <w:rPr>
      <w:rFonts w:ascii="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semiHidden/>
    <w:rsid w:val="009E4C76"/>
    <w:pPr>
      <w:suppressAutoHyphens/>
      <w:spacing w:after="0" w:line="240" w:lineRule="atLeast"/>
    </w:pPr>
    <w:rPr>
      <w:rFonts w:ascii="Times New Roman" w:hAnsi="Times New Roman" w:cs="Times New Roman"/>
      <w:sz w:val="20"/>
      <w:szCs w:val="20"/>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Web21">
    <w:name w:val="Table Web 21"/>
    <w:semiHidden/>
    <w:rsid w:val="009E4C76"/>
    <w:pPr>
      <w:suppressAutoHyphens/>
      <w:spacing w:after="0" w:line="240" w:lineRule="atLeast"/>
    </w:pPr>
    <w:rPr>
      <w:rFonts w:ascii="Times New Roman" w:hAnsi="Times New Roman" w:cs="Times New Roman"/>
      <w:sz w:val="20"/>
      <w:szCs w:val="20"/>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TableWeb31">
    <w:name w:val="Table Web 31"/>
    <w:semiHidden/>
    <w:rsid w:val="009E4C76"/>
    <w:pPr>
      <w:suppressAutoHyphens/>
      <w:spacing w:after="0" w:line="240" w:lineRule="atLeast"/>
    </w:pPr>
    <w:rPr>
      <w:rFonts w:ascii="Times New Roman" w:hAnsi="Times New Roman" w:cs="Times New Roman"/>
      <w:sz w:val="20"/>
      <w:szCs w:val="20"/>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Rvision1">
    <w:name w:val="Révision1"/>
    <w:hidden/>
    <w:semiHidden/>
    <w:rsid w:val="009E4C76"/>
    <w:pPr>
      <w:spacing w:after="0" w:line="240" w:lineRule="auto"/>
    </w:pPr>
    <w:rPr>
      <w:rFonts w:ascii="Calibri" w:hAnsi="Calibri" w:cs="Arial"/>
      <w:lang w:val="en-US" w:eastAsia="en-US"/>
    </w:rPr>
  </w:style>
  <w:style w:type="table" w:customStyle="1" w:styleId="TableGrid110">
    <w:name w:val="Table Grid11"/>
    <w:rsid w:val="009E4C76"/>
    <w:pPr>
      <w:spacing w:after="0" w:line="240" w:lineRule="auto"/>
    </w:pPr>
    <w:rPr>
      <w:rFonts w:ascii="Calibri" w:hAnsi="Calibri" w:cs="Arial"/>
      <w:sz w:val="20"/>
      <w:szCs w:val="20"/>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semiHidden/>
    <w:rsid w:val="009E4C76"/>
    <w:pPr>
      <w:pBdr>
        <w:bottom w:val="single" w:sz="6" w:space="1" w:color="auto"/>
      </w:pBdr>
      <w:suppressAutoHyphens w:val="0"/>
      <w:kinsoku/>
      <w:overflowPunct/>
      <w:autoSpaceDE/>
      <w:autoSpaceDN/>
      <w:adjustRightInd/>
      <w:snapToGrid/>
      <w:spacing w:line="240" w:lineRule="auto"/>
      <w:jc w:val="center"/>
    </w:pPr>
    <w:rPr>
      <w:rFonts w:ascii="Arial" w:eastAsia="Times New Roman" w:hAnsi="Arial"/>
      <w:vanish/>
      <w:sz w:val="16"/>
      <w:szCs w:val="16"/>
      <w:lang w:val="fr-FR" w:eastAsia="fr-FR"/>
    </w:rPr>
  </w:style>
  <w:style w:type="character" w:customStyle="1" w:styleId="z-HautduformulaireCar">
    <w:name w:val="z-Haut du formulaire Car"/>
    <w:basedOn w:val="Policepardfaut"/>
    <w:link w:val="z-Hautduformulaire"/>
    <w:semiHidden/>
    <w:rsid w:val="009E4C76"/>
    <w:rPr>
      <w:rFonts w:ascii="Arial" w:hAnsi="Arial" w:cs="Times New Roman"/>
      <w:vanish/>
      <w:sz w:val="16"/>
      <w:szCs w:val="16"/>
      <w:lang w:val="fr-FR" w:eastAsia="fr-FR"/>
    </w:rPr>
  </w:style>
  <w:style w:type="paragraph" w:styleId="z-Basduformulaire">
    <w:name w:val="HTML Bottom of Form"/>
    <w:basedOn w:val="Normal"/>
    <w:next w:val="Normal"/>
    <w:link w:val="z-BasduformulaireCar"/>
    <w:hidden/>
    <w:semiHidden/>
    <w:rsid w:val="009E4C76"/>
    <w:pPr>
      <w:pBdr>
        <w:top w:val="single" w:sz="6" w:space="1" w:color="auto"/>
      </w:pBdr>
      <w:suppressAutoHyphens w:val="0"/>
      <w:kinsoku/>
      <w:overflowPunct/>
      <w:autoSpaceDE/>
      <w:autoSpaceDN/>
      <w:adjustRightInd/>
      <w:snapToGrid/>
      <w:spacing w:line="240" w:lineRule="auto"/>
      <w:jc w:val="center"/>
    </w:pPr>
    <w:rPr>
      <w:rFonts w:ascii="Arial" w:eastAsia="Times New Roman" w:hAnsi="Arial"/>
      <w:vanish/>
      <w:sz w:val="16"/>
      <w:szCs w:val="16"/>
      <w:lang w:val="fr-FR" w:eastAsia="fr-FR"/>
    </w:rPr>
  </w:style>
  <w:style w:type="character" w:customStyle="1" w:styleId="z-BasduformulaireCar">
    <w:name w:val="z-Bas du formulaire Car"/>
    <w:basedOn w:val="Policepardfaut"/>
    <w:link w:val="z-Basduformulaire"/>
    <w:semiHidden/>
    <w:rsid w:val="009E4C76"/>
    <w:rPr>
      <w:rFonts w:ascii="Arial" w:hAnsi="Arial" w:cs="Times New Roman"/>
      <w:vanish/>
      <w:sz w:val="16"/>
      <w:szCs w:val="16"/>
      <w:lang w:val="fr-FR" w:eastAsia="fr-FR"/>
    </w:rPr>
  </w:style>
  <w:style w:type="table" w:customStyle="1" w:styleId="TableGrid2">
    <w:name w:val="Table Grid2"/>
    <w:rsid w:val="009E4C76"/>
    <w:pPr>
      <w:spacing w:after="0" w:line="240" w:lineRule="auto"/>
    </w:pPr>
    <w:rPr>
      <w:rFonts w:ascii="Calibri" w:hAnsi="Calibri" w:cs="Arial"/>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9E4C76"/>
    <w:pPr>
      <w:spacing w:after="0" w:line="240" w:lineRule="auto"/>
    </w:pPr>
    <w:rPr>
      <w:rFonts w:ascii="Calibri" w:hAnsi="Calibri" w:cs="Arial"/>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9E4C76"/>
    <w:pPr>
      <w:spacing w:after="0" w:line="240" w:lineRule="auto"/>
    </w:pPr>
    <w:rPr>
      <w:rFonts w:ascii="Calibri" w:hAnsi="Calibri" w:cs="Arial"/>
      <w:sz w:val="20"/>
      <w:szCs w:val="20"/>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تظليل فاتح1"/>
    <w:rsid w:val="009E4C76"/>
    <w:pPr>
      <w:spacing w:after="0" w:line="240" w:lineRule="auto"/>
    </w:pPr>
    <w:rPr>
      <w:rFonts w:ascii="Calibri" w:hAnsi="Calibri" w:cs="Arial"/>
      <w:color w:val="000000"/>
      <w:sz w:val="20"/>
      <w:szCs w:val="20"/>
      <w:lang w:val="fr-FR"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rameclaire-Accent11">
    <w:name w:val="Trame claire - Accent 11"/>
    <w:rsid w:val="009E4C76"/>
    <w:pPr>
      <w:spacing w:after="0" w:line="240" w:lineRule="auto"/>
    </w:pPr>
    <w:rPr>
      <w:rFonts w:ascii="Calibri" w:hAnsi="Calibri" w:cs="Arial"/>
      <w:color w:val="365F91"/>
      <w:sz w:val="20"/>
      <w:szCs w:val="20"/>
      <w:lang w:val="fr-FR"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Grilleclaire-Accent11">
    <w:name w:val="Grille claire - Accent 11"/>
    <w:rsid w:val="009E4C76"/>
    <w:pPr>
      <w:spacing w:after="0" w:line="240" w:lineRule="auto"/>
    </w:pPr>
    <w:rPr>
      <w:rFonts w:ascii="Calibri" w:hAnsi="Calibri" w:cs="Arial"/>
      <w:sz w:val="20"/>
      <w:szCs w:val="20"/>
      <w:lang w:val="fr-FR" w:eastAsia="fr-F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TableGrid111">
    <w:name w:val="Table Grid111"/>
    <w:rsid w:val="009E4C76"/>
    <w:pPr>
      <w:spacing w:after="0" w:line="240" w:lineRule="auto"/>
    </w:pPr>
    <w:rPr>
      <w:rFonts w:ascii="Calibri" w:hAnsi="Calibri" w:cs="Arial"/>
      <w:sz w:val="20"/>
      <w:szCs w:val="20"/>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rsid w:val="009E4C76"/>
    <w:pPr>
      <w:spacing w:after="0" w:line="240" w:lineRule="auto"/>
    </w:pPr>
    <w:rPr>
      <w:rFonts w:ascii="Calibri" w:hAnsi="Calibri" w:cs="Arial"/>
      <w:color w:val="365F91"/>
      <w:sz w:val="20"/>
      <w:szCs w:val="20"/>
      <w:lang w:val="fr-FR"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11">
    <w:name w:val="Table Grid1111"/>
    <w:rsid w:val="009E4C76"/>
    <w:pPr>
      <w:spacing w:after="0" w:line="240" w:lineRule="auto"/>
    </w:pPr>
    <w:rPr>
      <w:rFonts w:ascii="Calibri" w:hAnsi="Calibri" w:cs="Arial"/>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2">
    <w:name w:val="Light Shading - Accent 12"/>
    <w:rsid w:val="009E4C76"/>
    <w:pPr>
      <w:spacing w:after="0" w:line="240" w:lineRule="auto"/>
    </w:pPr>
    <w:rPr>
      <w:rFonts w:ascii="Calibri" w:hAnsi="Calibri" w:cs="Arial"/>
      <w:color w:val="365F91"/>
      <w:sz w:val="20"/>
      <w:szCs w:val="20"/>
      <w:lang w:val="fr-FR"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3">
    <w:name w:val="Light Shading - Accent 13"/>
    <w:rsid w:val="009E4C76"/>
    <w:pPr>
      <w:spacing w:after="0" w:line="240" w:lineRule="auto"/>
    </w:pPr>
    <w:rPr>
      <w:rFonts w:ascii="Calibri" w:hAnsi="Calibri" w:cs="Arial"/>
      <w:color w:val="365F91"/>
      <w:sz w:val="20"/>
      <w:szCs w:val="20"/>
      <w:lang w:val="fr-FR"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4">
    <w:name w:val="Light Shading - Accent 14"/>
    <w:rsid w:val="009E4C76"/>
    <w:pPr>
      <w:spacing w:after="0" w:line="240" w:lineRule="auto"/>
    </w:pPr>
    <w:rPr>
      <w:rFonts w:ascii="Calibri" w:hAnsi="Calibri" w:cs="Arial"/>
      <w:color w:val="365F91"/>
      <w:sz w:val="20"/>
      <w:szCs w:val="20"/>
      <w:lang w:val="fr-FR"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5">
    <w:name w:val="Light Shading - Accent 15"/>
    <w:rsid w:val="009E4C76"/>
    <w:pPr>
      <w:spacing w:after="0" w:line="240" w:lineRule="auto"/>
    </w:pPr>
    <w:rPr>
      <w:rFonts w:ascii="Calibri" w:hAnsi="Calibri" w:cs="Arial"/>
      <w:color w:val="365F91"/>
      <w:sz w:val="20"/>
      <w:szCs w:val="20"/>
      <w:lang w:val="fr-FR"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6">
    <w:name w:val="Light Shading - Accent 16"/>
    <w:rsid w:val="009E4C76"/>
    <w:pPr>
      <w:spacing w:after="0" w:line="240" w:lineRule="auto"/>
    </w:pPr>
    <w:rPr>
      <w:rFonts w:ascii="Calibri" w:hAnsi="Calibri" w:cs="Arial"/>
      <w:color w:val="365F91"/>
      <w:sz w:val="20"/>
      <w:szCs w:val="20"/>
      <w:lang w:val="fr-FR"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210">
    <w:name w:val="Table Grid21"/>
    <w:rsid w:val="009E4C76"/>
    <w:pPr>
      <w:spacing w:after="0" w:line="240" w:lineRule="auto"/>
    </w:pPr>
    <w:rPr>
      <w:rFonts w:ascii="Calibri" w:hAnsi="Calibri" w:cs="Arial"/>
      <w:sz w:val="20"/>
      <w:szCs w:val="20"/>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claire-Accent41">
    <w:name w:val="Grille claire - Accent 41"/>
    <w:rsid w:val="009E4C76"/>
    <w:pPr>
      <w:spacing w:after="0" w:line="240" w:lineRule="auto"/>
    </w:pPr>
    <w:rPr>
      <w:rFonts w:ascii="Calibri" w:hAnsi="Calibri" w:cs="Arial"/>
      <w:sz w:val="20"/>
      <w:szCs w:val="20"/>
      <w:lang w:val="fr-FR" w:eastAsia="fr-F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TableElegant11">
    <w:name w:val="Table Elegant11"/>
    <w:rsid w:val="009E4C76"/>
    <w:pPr>
      <w:spacing w:after="0" w:line="240" w:lineRule="auto"/>
      <w:jc w:val="right"/>
    </w:pPr>
    <w:rPr>
      <w:rFonts w:ascii="Times New Roman" w:hAnsi="Times New Roman" w:cs="Times New Roman"/>
      <w:sz w:val="20"/>
      <w:szCs w:val="20"/>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410">
    <w:name w:val="Table Grid41"/>
    <w:rsid w:val="009E4C76"/>
    <w:pPr>
      <w:spacing w:after="0" w:line="240" w:lineRule="auto"/>
    </w:pPr>
    <w:rPr>
      <w:rFonts w:ascii="Calibri" w:hAnsi="Calibri" w:cs="Arial"/>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21">
    <w:name w:val="Medium Shading 1 - Accent 21"/>
    <w:rsid w:val="009E4C76"/>
    <w:pPr>
      <w:spacing w:after="0" w:line="240" w:lineRule="auto"/>
    </w:pPr>
    <w:rPr>
      <w:rFonts w:ascii="Times New Roman" w:hAnsi="Times New Roman" w:cs="Times New Roman"/>
      <w:sz w:val="20"/>
      <w:szCs w:val="20"/>
      <w:lang w:val="fr-FR" w:eastAsia="fr-F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style>
  <w:style w:type="table" w:customStyle="1" w:styleId="LightList-Accent21">
    <w:name w:val="Light List - Accent 21"/>
    <w:rsid w:val="009E4C76"/>
    <w:pPr>
      <w:spacing w:after="0" w:line="240" w:lineRule="auto"/>
    </w:pPr>
    <w:rPr>
      <w:rFonts w:ascii="Times New Roman" w:hAnsi="Times New Roman" w:cs="Times New Roman"/>
      <w:sz w:val="20"/>
      <w:szCs w:val="20"/>
      <w:lang w:val="fr-FR" w:eastAsia="fr-FR"/>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style>
  <w:style w:type="table" w:customStyle="1" w:styleId="LightList-Accent51">
    <w:name w:val="Light List - Accent 51"/>
    <w:rsid w:val="009E4C76"/>
    <w:pPr>
      <w:spacing w:after="0" w:line="240" w:lineRule="auto"/>
    </w:pPr>
    <w:rPr>
      <w:rFonts w:ascii="Times New Roman" w:hAnsi="Times New Roman" w:cs="Times New Roman"/>
      <w:sz w:val="20"/>
      <w:szCs w:val="20"/>
      <w:lang w:val="fr-FR" w:eastAsia="fr-FR"/>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style>
  <w:style w:type="table" w:customStyle="1" w:styleId="MediumShading1-Accent22">
    <w:name w:val="Medium Shading 1 - Accent 22"/>
    <w:rsid w:val="009E4C76"/>
    <w:pPr>
      <w:spacing w:after="0" w:line="240" w:lineRule="auto"/>
    </w:pPr>
    <w:rPr>
      <w:rFonts w:ascii="Calibri" w:hAnsi="Calibri" w:cs="Arial"/>
      <w:sz w:val="20"/>
      <w:szCs w:val="20"/>
      <w:lang w:val="fr-FR" w:eastAsia="fr-F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List-Accent22">
    <w:name w:val="Light List - Accent 22"/>
    <w:rsid w:val="009E4C76"/>
    <w:pPr>
      <w:spacing w:after="0" w:line="240" w:lineRule="auto"/>
    </w:pPr>
    <w:rPr>
      <w:rFonts w:ascii="Calibri" w:hAnsi="Calibri" w:cs="Arial"/>
      <w:sz w:val="20"/>
      <w:szCs w:val="20"/>
      <w:lang w:val="fr-FR" w:eastAsia="fr-F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52">
    <w:name w:val="Light List - Accent 52"/>
    <w:rsid w:val="009E4C76"/>
    <w:pPr>
      <w:spacing w:after="0" w:line="240" w:lineRule="auto"/>
    </w:pPr>
    <w:rPr>
      <w:rFonts w:ascii="Calibri" w:hAnsi="Calibri" w:cs="Arial"/>
      <w:sz w:val="20"/>
      <w:szCs w:val="20"/>
      <w:lang w:val="fr-FR" w:eastAsia="fr-F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TableGrid5">
    <w:name w:val="Table Grid5"/>
    <w:rsid w:val="009E4C76"/>
    <w:pPr>
      <w:spacing w:after="0" w:line="240" w:lineRule="auto"/>
    </w:pPr>
    <w:rPr>
      <w:rFonts w:ascii="Calibri" w:hAnsi="Calibri" w:cs="Arial"/>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moyenne1-Accent21">
    <w:name w:val="Trame moyenne 1 - Accent 21"/>
    <w:semiHidden/>
    <w:rsid w:val="009E4C76"/>
    <w:pPr>
      <w:spacing w:after="0" w:line="240" w:lineRule="auto"/>
    </w:pPr>
    <w:rPr>
      <w:rFonts w:ascii="Times New Roman" w:hAnsi="Times New Roman" w:cs="Times New Roman"/>
      <w:sz w:val="20"/>
      <w:szCs w:val="20"/>
      <w:lang w:val="fr-FR" w:eastAsia="fr-F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steclaire-Accent21">
    <w:name w:val="Liste claire - Accent 21"/>
    <w:semiHidden/>
    <w:rsid w:val="009E4C76"/>
    <w:pPr>
      <w:spacing w:after="0" w:line="240" w:lineRule="auto"/>
    </w:pPr>
    <w:rPr>
      <w:rFonts w:ascii="Times New Roman" w:hAnsi="Times New Roman" w:cs="Times New Roman"/>
      <w:sz w:val="20"/>
      <w:szCs w:val="20"/>
      <w:lang w:val="fr-FR" w:eastAsia="fr-F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steclaire-Accent51">
    <w:name w:val="Liste claire - Accent 51"/>
    <w:semiHidden/>
    <w:rsid w:val="009E4C76"/>
    <w:pPr>
      <w:spacing w:after="0" w:line="240" w:lineRule="auto"/>
    </w:pPr>
    <w:rPr>
      <w:rFonts w:ascii="Times New Roman" w:hAnsi="Times New Roman" w:cs="Times New Roman"/>
      <w:sz w:val="20"/>
      <w:szCs w:val="20"/>
      <w:lang w:val="fr-FR" w:eastAsia="fr-F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customStyle="1" w:styleId="SingleTxtGChar">
    <w:name w:val="_ Single Txt_G Char"/>
    <w:link w:val="SingleTxtG"/>
    <w:rsid w:val="005F3E0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ofa.gov.qa/details.cfm?id=10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r.wikipedia.org/wiki/%D8%A7%D9%84%D8%A5%D8%B3%D9%84%D8%A7%D9%8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dohacentre.org"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adf.org.qa"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329581683645476"/>
          <c:y val="5.1400554097404488E-2"/>
          <c:w val="0.76614885003781308"/>
          <c:h val="0.8326195683872849"/>
        </c:manualLayout>
      </c:layout>
      <c:barChart>
        <c:barDir val="col"/>
        <c:grouping val="clustered"/>
        <c:varyColors val="0"/>
        <c:ser>
          <c:idx val="1"/>
          <c:order val="0"/>
          <c:tx>
            <c:strRef>
              <c:f>Sheet1!$A$3</c:f>
              <c:strCache>
                <c:ptCount val="1"/>
                <c:pt idx="0">
                  <c:v>السكان(بالالف)</c:v>
                </c:pt>
              </c:strCache>
            </c:strRef>
          </c:tx>
          <c:spPr>
            <a:solidFill>
              <a:schemeClr val="bg2">
                <a:lumMod val="75000"/>
              </a:schemeClr>
            </a:solidFill>
          </c:spPr>
          <c:invertIfNegative val="0"/>
          <c:dLbls>
            <c:numFmt formatCode="#,##0" sourceLinked="0"/>
            <c:spPr>
              <a:noFill/>
              <a:ln w="21277">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Sheet1!$B$2:$F$2</c:f>
              <c:numCache>
                <c:formatCode>General</c:formatCode>
                <c:ptCount val="5"/>
                <c:pt idx="0">
                  <c:v>2012</c:v>
                </c:pt>
                <c:pt idx="1">
                  <c:v>2013</c:v>
                </c:pt>
                <c:pt idx="2">
                  <c:v>2014</c:v>
                </c:pt>
                <c:pt idx="3">
                  <c:v>2015</c:v>
                </c:pt>
                <c:pt idx="4">
                  <c:v>2016</c:v>
                </c:pt>
              </c:numCache>
            </c:numRef>
          </c:cat>
          <c:val>
            <c:numRef>
              <c:f>Sheet1!$B$3:$F$3</c:f>
              <c:numCache>
                <c:formatCode>General</c:formatCode>
                <c:ptCount val="5"/>
                <c:pt idx="0">
                  <c:v>1833</c:v>
                </c:pt>
                <c:pt idx="1">
                  <c:v>2004</c:v>
                </c:pt>
                <c:pt idx="2">
                  <c:v>2216</c:v>
                </c:pt>
                <c:pt idx="3">
                  <c:v>2438</c:v>
                </c:pt>
                <c:pt idx="4">
                  <c:v>2618</c:v>
                </c:pt>
              </c:numCache>
            </c:numRef>
          </c:val>
          <c:extLst>
            <c:ext xmlns:c16="http://schemas.microsoft.com/office/drawing/2014/chart" uri="{C3380CC4-5D6E-409C-BE32-E72D297353CC}">
              <c16:uniqueId val="{00000000-B0F9-479C-AFB9-87D10491D305}"/>
            </c:ext>
          </c:extLst>
        </c:ser>
        <c:dLbls>
          <c:showLegendKey val="0"/>
          <c:showVal val="0"/>
          <c:showCatName val="0"/>
          <c:showSerName val="0"/>
          <c:showPercent val="0"/>
          <c:showBubbleSize val="0"/>
        </c:dLbls>
        <c:gapWidth val="100"/>
        <c:axId val="297760112"/>
        <c:axId val="1"/>
      </c:barChart>
      <c:catAx>
        <c:axId val="297760112"/>
        <c:scaling>
          <c:orientation val="minMax"/>
        </c:scaling>
        <c:delete val="0"/>
        <c:axPos val="b"/>
        <c:numFmt formatCode="General" sourceLinked="1"/>
        <c:majorTickMark val="none"/>
        <c:minorTickMark val="none"/>
        <c:tickLblPos val="nextTo"/>
        <c:crossAx val="1"/>
        <c:crosses val="autoZero"/>
        <c:auto val="1"/>
        <c:lblAlgn val="ctr"/>
        <c:lblOffset val="100"/>
        <c:noMultiLvlLbl val="0"/>
      </c:catAx>
      <c:valAx>
        <c:axId val="1"/>
        <c:scaling>
          <c:orientation val="minMax"/>
          <c:max val="2800"/>
          <c:min val="0"/>
        </c:scaling>
        <c:delete val="0"/>
        <c:axPos val="l"/>
        <c:majorGridlines>
          <c:spPr>
            <a:ln>
              <a:solidFill>
                <a:schemeClr val="bg2">
                  <a:lumMod val="90000"/>
                </a:schemeClr>
              </a:solidFill>
            </a:ln>
          </c:spPr>
        </c:majorGridlines>
        <c:title>
          <c:tx>
            <c:rich>
              <a:bodyPr/>
              <a:lstStyle/>
              <a:p>
                <a:pPr>
                  <a:defRPr sz="838" b="0" i="0" u="none" strike="noStrike" baseline="0">
                    <a:solidFill>
                      <a:srgbClr val="000000"/>
                    </a:solidFill>
                    <a:latin typeface="Calibri"/>
                    <a:ea typeface="Calibri"/>
                    <a:cs typeface="Calibri"/>
                  </a:defRPr>
                </a:pPr>
                <a:r>
                  <a:rPr lang="ru-RU"/>
                  <a:t>1 000</a:t>
                </a:r>
              </a:p>
            </c:rich>
          </c:tx>
          <c:layout>
            <c:manualLayout>
              <c:xMode val="edge"/>
              <c:yMode val="edge"/>
              <c:x val="6.7549528480875712E-2"/>
              <c:y val="0.40159809681985575"/>
            </c:manualLayout>
          </c:layout>
          <c:overlay val="0"/>
        </c:title>
        <c:numFmt formatCode="#,##0" sourceLinked="0"/>
        <c:majorTickMark val="none"/>
        <c:minorTickMark val="none"/>
        <c:tickLblPos val="nextTo"/>
        <c:crossAx val="297760112"/>
        <c:crosses val="autoZero"/>
        <c:crossBetween val="between"/>
        <c:majorUnit val="400"/>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957210623901371"/>
          <c:y val="2.7622834813953456E-2"/>
          <c:w val="0.65591516134012662"/>
          <c:h val="0.76213123359580048"/>
        </c:manualLayout>
      </c:layout>
      <c:barChart>
        <c:barDir val="bar"/>
        <c:grouping val="stacked"/>
        <c:varyColors val="0"/>
        <c:ser>
          <c:idx val="0"/>
          <c:order val="0"/>
          <c:tx>
            <c:strRef>
              <c:f>'EP4-Fig 5.10 Age-SexPyramid (2'!$C$7</c:f>
              <c:strCache>
                <c:ptCount val="1"/>
                <c:pt idx="0">
                  <c:v>Males</c:v>
                </c:pt>
              </c:strCache>
            </c:strRef>
          </c:tx>
          <c:spPr>
            <a:solidFill>
              <a:schemeClr val="bg2">
                <a:lumMod val="90000"/>
              </a:schemeClr>
            </a:solidFill>
            <a:ln w="12700">
              <a:noFill/>
              <a:prstDash val="solid"/>
            </a:ln>
          </c:spPr>
          <c:invertIfNegative val="0"/>
          <c:cat>
            <c:strRef>
              <c:f>'EP4-Fig 5.10 Age-SexPyramid (2'!$B$8:$B$24</c:f>
              <c:strCache>
                <c:ptCount val="17"/>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  80+</c:v>
                </c:pt>
              </c:strCache>
            </c:strRef>
          </c:cat>
          <c:val>
            <c:numRef>
              <c:f>'EP4-Fig 5.10 Age-SexPyramid (2'!$C$8:$C$24</c:f>
              <c:numCache>
                <c:formatCode>General</c:formatCode>
                <c:ptCount val="17"/>
                <c:pt idx="0">
                  <c:v>-19.295000000000002</c:v>
                </c:pt>
                <c:pt idx="1">
                  <c:v>-18.943999999999999</c:v>
                </c:pt>
                <c:pt idx="2">
                  <c:v>-15.888999999999999</c:v>
                </c:pt>
                <c:pt idx="3">
                  <c:v>-13.827</c:v>
                </c:pt>
                <c:pt idx="4">
                  <c:v>-13.035</c:v>
                </c:pt>
                <c:pt idx="5">
                  <c:v>-12.000999999999999</c:v>
                </c:pt>
                <c:pt idx="6">
                  <c:v>-10.859</c:v>
                </c:pt>
                <c:pt idx="7">
                  <c:v>-9.3320000000000007</c:v>
                </c:pt>
                <c:pt idx="8">
                  <c:v>-7.8479999999999999</c:v>
                </c:pt>
                <c:pt idx="9">
                  <c:v>-7.0659999999999998</c:v>
                </c:pt>
                <c:pt idx="10">
                  <c:v>-6.2039999999999997</c:v>
                </c:pt>
                <c:pt idx="11">
                  <c:v>-5.1479999999999997</c:v>
                </c:pt>
                <c:pt idx="12">
                  <c:v>-3.472</c:v>
                </c:pt>
                <c:pt idx="13">
                  <c:v>-1.9730000000000001</c:v>
                </c:pt>
                <c:pt idx="14">
                  <c:v>-1.5860000000000001</c:v>
                </c:pt>
                <c:pt idx="15">
                  <c:v>-1.099</c:v>
                </c:pt>
                <c:pt idx="16">
                  <c:v>-0.88600000000000001</c:v>
                </c:pt>
              </c:numCache>
            </c:numRef>
          </c:val>
          <c:extLst>
            <c:ext xmlns:c16="http://schemas.microsoft.com/office/drawing/2014/chart" uri="{C3380CC4-5D6E-409C-BE32-E72D297353CC}">
              <c16:uniqueId val="{00000000-A02D-4B30-8D0B-72AAAA5AD99A}"/>
            </c:ext>
          </c:extLst>
        </c:ser>
        <c:ser>
          <c:idx val="1"/>
          <c:order val="1"/>
          <c:tx>
            <c:strRef>
              <c:f>'EP4-Fig 5.10 Age-SexPyramid (2'!$D$7</c:f>
              <c:strCache>
                <c:ptCount val="1"/>
                <c:pt idx="0">
                  <c:v>Females</c:v>
                </c:pt>
              </c:strCache>
            </c:strRef>
          </c:tx>
          <c:spPr>
            <a:solidFill>
              <a:schemeClr val="bg2">
                <a:lumMod val="50000"/>
              </a:schemeClr>
            </a:solidFill>
            <a:ln w="12700">
              <a:noFill/>
              <a:prstDash val="solid"/>
            </a:ln>
          </c:spPr>
          <c:invertIfNegative val="0"/>
          <c:cat>
            <c:strRef>
              <c:f>'EP4-Fig 5.10 Age-SexPyramid (2'!$B$8:$B$24</c:f>
              <c:strCache>
                <c:ptCount val="17"/>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  80+</c:v>
                </c:pt>
              </c:strCache>
            </c:strRef>
          </c:cat>
          <c:val>
            <c:numRef>
              <c:f>'EP4-Fig 5.10 Age-SexPyramid (2'!$D$8:$D$24</c:f>
              <c:numCache>
                <c:formatCode>General</c:formatCode>
                <c:ptCount val="17"/>
                <c:pt idx="0">
                  <c:v>20.300999999999998</c:v>
                </c:pt>
                <c:pt idx="1">
                  <c:v>19.334</c:v>
                </c:pt>
                <c:pt idx="2">
                  <c:v>16.515000000000001</c:v>
                </c:pt>
                <c:pt idx="3">
                  <c:v>14.382</c:v>
                </c:pt>
                <c:pt idx="4">
                  <c:v>13.686999999999999</c:v>
                </c:pt>
                <c:pt idx="5">
                  <c:v>11.725</c:v>
                </c:pt>
                <c:pt idx="6">
                  <c:v>9.7750000000000004</c:v>
                </c:pt>
                <c:pt idx="7">
                  <c:v>8.1080000000000005</c:v>
                </c:pt>
                <c:pt idx="8">
                  <c:v>6.9969999999999999</c:v>
                </c:pt>
                <c:pt idx="9">
                  <c:v>6.3140000000000001</c:v>
                </c:pt>
                <c:pt idx="10">
                  <c:v>5.2249999999999996</c:v>
                </c:pt>
                <c:pt idx="11">
                  <c:v>4.1959999999999997</c:v>
                </c:pt>
                <c:pt idx="12">
                  <c:v>3.0659999999999998</c:v>
                </c:pt>
                <c:pt idx="13">
                  <c:v>1.7170000000000001</c:v>
                </c:pt>
                <c:pt idx="14">
                  <c:v>1.2749999999999999</c:v>
                </c:pt>
                <c:pt idx="15">
                  <c:v>1.0149999999999999</c:v>
                </c:pt>
                <c:pt idx="16">
                  <c:v>0.77500000000000002</c:v>
                </c:pt>
              </c:numCache>
            </c:numRef>
          </c:val>
          <c:extLst>
            <c:ext xmlns:c16="http://schemas.microsoft.com/office/drawing/2014/chart" uri="{C3380CC4-5D6E-409C-BE32-E72D297353CC}">
              <c16:uniqueId val="{00000001-A02D-4B30-8D0B-72AAAA5AD99A}"/>
            </c:ext>
          </c:extLst>
        </c:ser>
        <c:dLbls>
          <c:showLegendKey val="0"/>
          <c:showVal val="0"/>
          <c:showCatName val="0"/>
          <c:showSerName val="0"/>
          <c:showPercent val="0"/>
          <c:showBubbleSize val="0"/>
        </c:dLbls>
        <c:gapWidth val="20"/>
        <c:overlap val="100"/>
        <c:axId val="288919936"/>
        <c:axId val="288921472"/>
      </c:barChart>
      <c:catAx>
        <c:axId val="288919936"/>
        <c:scaling>
          <c:orientation val="minMax"/>
        </c:scaling>
        <c:delete val="0"/>
        <c:axPos val="l"/>
        <c:numFmt formatCode="General" sourceLinked="1"/>
        <c:majorTickMark val="none"/>
        <c:minorTickMark val="none"/>
        <c:tickLblPos val="low"/>
        <c:spPr>
          <a:ln w="9525">
            <a:noFill/>
          </a:ln>
        </c:spPr>
        <c:txPr>
          <a:bodyPr rot="0" vert="horz"/>
          <a:lstStyle/>
          <a:p>
            <a:pPr>
              <a:defRPr sz="900" baseline="0"/>
            </a:pPr>
            <a:endParaRPr lang="fr-FR"/>
          </a:p>
        </c:txPr>
        <c:crossAx val="288921472"/>
        <c:crossesAt val="-10"/>
        <c:auto val="0"/>
        <c:lblAlgn val="ctr"/>
        <c:lblOffset val="100"/>
        <c:tickLblSkip val="1"/>
        <c:tickMarkSkip val="1"/>
        <c:noMultiLvlLbl val="0"/>
      </c:catAx>
      <c:valAx>
        <c:axId val="288921472"/>
        <c:scaling>
          <c:orientation val="minMax"/>
          <c:max val="20"/>
          <c:min val="-20"/>
        </c:scaling>
        <c:delete val="0"/>
        <c:axPos val="b"/>
        <c:majorGridlines>
          <c:spPr>
            <a:ln w="12700">
              <a:solidFill>
                <a:schemeClr val="bg2">
                  <a:lumMod val="90000"/>
                </a:schemeClr>
              </a:solidFill>
            </a:ln>
          </c:spPr>
        </c:majorGridlines>
        <c:title>
          <c:tx>
            <c:rich>
              <a:bodyPr/>
              <a:lstStyle/>
              <a:p>
                <a:pPr>
                  <a:defRPr sz="900" baseline="0"/>
                </a:pPr>
                <a:r>
                  <a:rPr lang="ar-SA" sz="900" baseline="0"/>
                  <a:t>بالألف</a:t>
                </a:r>
                <a:endParaRPr lang="en-US" sz="900" baseline="0"/>
              </a:p>
            </c:rich>
          </c:tx>
          <c:layout>
            <c:manualLayout>
              <c:xMode val="edge"/>
              <c:yMode val="edge"/>
              <c:x val="0.5202406019946787"/>
              <c:y val="0.90616455088804826"/>
            </c:manualLayout>
          </c:layout>
          <c:overlay val="0"/>
          <c:spPr>
            <a:noFill/>
            <a:ln w="25400">
              <a:noFill/>
            </a:ln>
          </c:spPr>
        </c:title>
        <c:numFmt formatCode="#,##0;[Red]#,##0" sourceLinked="0"/>
        <c:majorTickMark val="out"/>
        <c:minorTickMark val="none"/>
        <c:tickLblPos val="nextTo"/>
        <c:spPr>
          <a:ln w="3175">
            <a:solidFill>
              <a:srgbClr val="000000"/>
            </a:solidFill>
            <a:prstDash val="solid"/>
          </a:ln>
        </c:spPr>
        <c:txPr>
          <a:bodyPr rot="0" vert="horz"/>
          <a:lstStyle/>
          <a:p>
            <a:pPr>
              <a:defRPr sz="900" baseline="0"/>
            </a:pPr>
            <a:endParaRPr lang="fr-FR"/>
          </a:p>
        </c:txPr>
        <c:crossAx val="288919936"/>
        <c:crosses val="autoZero"/>
        <c:crossBetween val="between"/>
      </c:valAx>
      <c:spPr>
        <a:noFill/>
        <a:ln w="12700">
          <a:solidFill>
            <a:schemeClr val="bg2">
              <a:lumMod val="90000"/>
            </a:schemeClr>
          </a:solidFill>
        </a:ln>
      </c:spPr>
    </c:plotArea>
    <c:plotVisOnly val="1"/>
    <c:dispBlanksAs val="gap"/>
    <c:showDLblsOverMax val="0"/>
  </c:chart>
  <c:spPr>
    <a:solidFill>
      <a:schemeClr val="bg1"/>
    </a:solidFill>
    <a:ln w="9525">
      <a:noFill/>
    </a:ln>
  </c:spPr>
  <c:txPr>
    <a:bodyPr/>
    <a:lstStyle/>
    <a:p>
      <a:pPr>
        <a:defRPr sz="1000" b="0" i="0" u="none" strike="noStrike" baseline="0">
          <a:solidFill>
            <a:srgbClr val="000000"/>
          </a:solidFill>
          <a:latin typeface="Arial"/>
          <a:ea typeface="Arial"/>
          <a:cs typeface="Arial"/>
        </a:defRPr>
      </a:pPr>
      <a:endParaRPr lang="fr-FR"/>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0.28544</cdr:x>
      <cdr:y>0.22323</cdr:y>
    </cdr:from>
    <cdr:to>
      <cdr:x>0.4947</cdr:x>
      <cdr:y>0.29808</cdr:y>
    </cdr:to>
    <cdr:sp macro="" textlink="">
      <cdr:nvSpPr>
        <cdr:cNvPr id="2" name="TextBox 1"/>
        <cdr:cNvSpPr txBox="1"/>
      </cdr:nvSpPr>
      <cdr:spPr>
        <a:xfrm xmlns:a="http://schemas.openxmlformats.org/drawingml/2006/main">
          <a:off x="769437" y="663388"/>
          <a:ext cx="564060" cy="2224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ar-QA" sz="1100">
              <a:effectLst/>
              <a:latin typeface="+mn-lt"/>
              <a:ea typeface="+mn-ea"/>
              <a:cs typeface="Qatar" pitchFamily="2" charset="-78"/>
            </a:rPr>
            <a:t>ذكور</a:t>
          </a:r>
          <a:endParaRPr lang="en-US" sz="1200">
            <a:effectLst/>
            <a:cs typeface="Qatar" pitchFamily="2" charset="-78"/>
          </a:endParaRPr>
        </a:p>
      </cdr:txBody>
    </cdr:sp>
  </cdr:relSizeAnchor>
  <cdr:relSizeAnchor xmlns:cdr="http://schemas.openxmlformats.org/drawingml/2006/chartDrawing">
    <cdr:from>
      <cdr:x>0.70147</cdr:x>
      <cdr:y>0.22671</cdr:y>
    </cdr:from>
    <cdr:to>
      <cdr:x>0.89399</cdr:x>
      <cdr:y>0.33013</cdr:y>
    </cdr:to>
    <cdr:sp macro="" textlink="">
      <cdr:nvSpPr>
        <cdr:cNvPr id="5" name="TextBox 1"/>
        <cdr:cNvSpPr txBox="1"/>
      </cdr:nvSpPr>
      <cdr:spPr>
        <a:xfrm xmlns:a="http://schemas.openxmlformats.org/drawingml/2006/main">
          <a:off x="1890851" y="673731"/>
          <a:ext cx="518971" cy="3073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ar-QA" sz="1100">
              <a:effectLst/>
              <a:latin typeface="+mn-lt"/>
              <a:ea typeface="+mn-ea"/>
              <a:cs typeface="Qatar" pitchFamily="2" charset="-78"/>
            </a:rPr>
            <a:t>إناث</a:t>
          </a:r>
          <a:endParaRPr lang="en-US" sz="1200">
            <a:effectLst/>
            <a:cs typeface="Qatar" pitchFamily="2" charset="-78"/>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11DE8-0C29-4C3D-BCC7-9A2CF650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3</TotalTime>
  <Pages>37</Pages>
  <Words>19926</Words>
  <Characters>109593</Characters>
  <Application>Microsoft Office Word</Application>
  <DocSecurity>0</DocSecurity>
  <Lines>913</Lines>
  <Paragraphs>258</Paragraphs>
  <ScaleCrop>false</ScaleCrop>
  <HeadingPairs>
    <vt:vector size="2" baseType="variant">
      <vt:variant>
        <vt:lpstr>Titre</vt:lpstr>
      </vt:variant>
      <vt:variant>
        <vt:i4>1</vt:i4>
      </vt:variant>
    </vt:vector>
  </HeadingPairs>
  <TitlesOfParts>
    <vt:vector size="1" baseType="lpstr">
      <vt:lpstr>HRI/CORE/QAT/2019</vt:lpstr>
    </vt:vector>
  </TitlesOfParts>
  <Company>DCM</Company>
  <LinksUpToDate>false</LinksUpToDate>
  <CharactersWithSpaces>129261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HRI/CORE/QAT/2019</dc:title>
  <dc:subject/>
  <dc:creator>xx</dc:creator>
  <cp:keywords/>
  <cp:lastModifiedBy>xx</cp:lastModifiedBy>
  <cp:revision>5</cp:revision>
  <cp:lastPrinted>2019-05-20T08:05:00Z</cp:lastPrinted>
  <dcterms:created xsi:type="dcterms:W3CDTF">2019-05-20T08:05:00Z</dcterms:created>
  <dcterms:modified xsi:type="dcterms:W3CDTF">2019-05-20T08:08:00Z</dcterms:modified>
</cp:coreProperties>
</file>