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A864AC">
        <w:trPr>
          <w:cantSplit/>
          <w:trHeight w:hRule="exact" w:val="851"/>
        </w:trPr>
        <w:tc>
          <w:tcPr>
            <w:tcW w:w="1276" w:type="dxa"/>
            <w:tcBorders>
              <w:bottom w:val="single" w:sz="4" w:space="0" w:color="auto"/>
            </w:tcBorders>
            <w:vAlign w:val="bottom"/>
          </w:tcPr>
          <w:p w:rsidR="00B56E9C" w:rsidRDefault="00B56E9C" w:rsidP="00A864AC">
            <w:pPr>
              <w:spacing w:after="80"/>
            </w:pPr>
          </w:p>
        </w:tc>
        <w:tc>
          <w:tcPr>
            <w:tcW w:w="2268" w:type="dxa"/>
            <w:tcBorders>
              <w:bottom w:val="single" w:sz="4" w:space="0" w:color="auto"/>
            </w:tcBorders>
            <w:vAlign w:val="bottom"/>
          </w:tcPr>
          <w:p w:rsidR="00B56E9C" w:rsidRPr="00B97172" w:rsidRDefault="00B56E9C" w:rsidP="00A864AC">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B25572" w:rsidP="00B25572">
            <w:pPr>
              <w:suppressAutoHyphens w:val="0"/>
              <w:spacing w:after="20"/>
              <w:jc w:val="right"/>
            </w:pPr>
            <w:r w:rsidRPr="00B25572">
              <w:rPr>
                <w:sz w:val="40"/>
              </w:rPr>
              <w:t>HRI</w:t>
            </w:r>
            <w:r>
              <w:t>/CORE/QAT/2019</w:t>
            </w:r>
          </w:p>
        </w:tc>
      </w:tr>
      <w:tr w:rsidR="00B56E9C" w:rsidTr="00A864AC">
        <w:trPr>
          <w:cantSplit/>
          <w:trHeight w:hRule="exact" w:val="2835"/>
        </w:trPr>
        <w:tc>
          <w:tcPr>
            <w:tcW w:w="1276" w:type="dxa"/>
            <w:tcBorders>
              <w:top w:val="single" w:sz="4" w:space="0" w:color="auto"/>
              <w:bottom w:val="single" w:sz="12" w:space="0" w:color="auto"/>
            </w:tcBorders>
          </w:tcPr>
          <w:p w:rsidR="00B56E9C" w:rsidRDefault="00A2046E" w:rsidP="00A864AC">
            <w:pPr>
              <w:spacing w:before="120"/>
            </w:pPr>
            <w:r>
              <w:rPr>
                <w:noProof/>
                <w:lang w:eastAsia="zh-CN"/>
              </w:rPr>
              <w:drawing>
                <wp:inline distT="0" distB="0" distL="0" distR="0" wp14:anchorId="2B4A685A" wp14:editId="609203C9">
                  <wp:extent cx="713740" cy="59372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3740" cy="59372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267F5F" w:rsidRDefault="00B56E9C" w:rsidP="00A864AC">
            <w:pPr>
              <w:spacing w:before="120" w:line="380" w:lineRule="exact"/>
              <w:rPr>
                <w:sz w:val="34"/>
              </w:rPr>
            </w:pPr>
            <w:r w:rsidRPr="00267F5F">
              <w:rPr>
                <w:b/>
                <w:sz w:val="34"/>
                <w:szCs w:val="40"/>
              </w:rPr>
              <w:t xml:space="preserve">International </w:t>
            </w:r>
            <w:r w:rsidR="00584DAE">
              <w:rPr>
                <w:b/>
                <w:sz w:val="34"/>
                <w:szCs w:val="40"/>
              </w:rPr>
              <w:t>Human Rights Instruments</w:t>
            </w:r>
          </w:p>
        </w:tc>
        <w:tc>
          <w:tcPr>
            <w:tcW w:w="2835" w:type="dxa"/>
            <w:tcBorders>
              <w:top w:val="single" w:sz="4" w:space="0" w:color="auto"/>
              <w:bottom w:val="single" w:sz="12" w:space="0" w:color="auto"/>
            </w:tcBorders>
          </w:tcPr>
          <w:p w:rsidR="00B56E9C" w:rsidRDefault="00B25572" w:rsidP="00B25572">
            <w:pPr>
              <w:suppressAutoHyphens w:val="0"/>
              <w:spacing w:before="240"/>
            </w:pPr>
            <w:r>
              <w:t>Distr.: General</w:t>
            </w:r>
          </w:p>
          <w:p w:rsidR="0060531D" w:rsidRDefault="00B25572" w:rsidP="00B25572">
            <w:pPr>
              <w:suppressAutoHyphens w:val="0"/>
            </w:pPr>
            <w:r>
              <w:t>15 February 2019</w:t>
            </w:r>
          </w:p>
          <w:p w:rsidR="00DC29AB" w:rsidRDefault="00DC29AB" w:rsidP="00B25572">
            <w:pPr>
              <w:suppressAutoHyphens w:val="0"/>
            </w:pPr>
          </w:p>
          <w:p w:rsidR="00B25572" w:rsidRDefault="00B25572" w:rsidP="00B25572">
            <w:pPr>
              <w:suppressAutoHyphens w:val="0"/>
            </w:pPr>
            <w:r>
              <w:t>English</w:t>
            </w:r>
          </w:p>
          <w:p w:rsidR="00B25572" w:rsidRDefault="00B25572" w:rsidP="00B25572">
            <w:pPr>
              <w:suppressAutoHyphens w:val="0"/>
            </w:pPr>
            <w:r>
              <w:t>Original: Arabic</w:t>
            </w:r>
          </w:p>
        </w:tc>
      </w:tr>
    </w:tbl>
    <w:p w:rsidR="00B17F9C" w:rsidRPr="00B17F9C" w:rsidRDefault="00B17F9C" w:rsidP="00B17F9C">
      <w:pPr>
        <w:pStyle w:val="HMG"/>
        <w:rPr>
          <w:rStyle w:val="PageNumber"/>
        </w:rPr>
      </w:pPr>
      <w:r>
        <w:tab/>
      </w:r>
      <w:r>
        <w:tab/>
      </w:r>
      <w:r w:rsidRPr="00A31A79">
        <w:t xml:space="preserve">Common core document forming part of </w:t>
      </w:r>
      <w:r w:rsidRPr="00A31A79">
        <w:br/>
        <w:t>the reports of States parties</w:t>
      </w:r>
    </w:p>
    <w:p w:rsidR="00B17F9C" w:rsidRPr="000C3F75" w:rsidRDefault="00B17F9C" w:rsidP="00B17F9C">
      <w:pPr>
        <w:pStyle w:val="HMG"/>
      </w:pPr>
      <w:r w:rsidRPr="00A31A79">
        <w:tab/>
      </w:r>
      <w:r w:rsidRPr="00A31A79">
        <w:tab/>
        <w:t>Qatar</w:t>
      </w:r>
      <w:r w:rsidRPr="00B17F9C">
        <w:rPr>
          <w:rStyle w:val="EndnoteReference"/>
          <w:b w:val="0"/>
          <w:bCs/>
          <w:sz w:val="20"/>
          <w:szCs w:val="22"/>
          <w:vertAlign w:val="baseline"/>
        </w:rPr>
        <w:footnoteReference w:customMarkFollows="1" w:id="2"/>
        <w:t>*</w:t>
      </w:r>
    </w:p>
    <w:p w:rsidR="00B17F9C" w:rsidRPr="00A31A79" w:rsidRDefault="00B17F9C" w:rsidP="00B17F9C">
      <w:pPr>
        <w:pStyle w:val="SingleTxtG"/>
        <w:jc w:val="right"/>
      </w:pPr>
      <w:r w:rsidRPr="00A31A79">
        <w:t>[Date received: 10 January 2019]</w:t>
      </w:r>
    </w:p>
    <w:p w:rsidR="004B0C37" w:rsidRPr="0034732A" w:rsidRDefault="00B17F9C" w:rsidP="004B0C37">
      <w:pPr>
        <w:pStyle w:val="HChG"/>
      </w:pPr>
      <w:r w:rsidRPr="00A31A79">
        <w:br w:type="page"/>
      </w:r>
      <w:r w:rsidR="004B0C37">
        <w:lastRenderedPageBreak/>
        <w:tab/>
      </w:r>
      <w:r w:rsidR="004B0C37" w:rsidRPr="0034732A">
        <w:t>I.</w:t>
      </w:r>
      <w:r w:rsidR="004B0C37">
        <w:tab/>
      </w:r>
      <w:r w:rsidR="004B0C37" w:rsidRPr="0034732A">
        <w:t>General information</w:t>
      </w:r>
    </w:p>
    <w:p w:rsidR="004B0C37" w:rsidRPr="0034732A" w:rsidRDefault="00F37264" w:rsidP="00F37264">
      <w:pPr>
        <w:pStyle w:val="H1G"/>
      </w:pPr>
      <w:r>
        <w:tab/>
      </w:r>
      <w:r w:rsidR="004B0C37" w:rsidRPr="0034732A">
        <w:t>A.</w:t>
      </w:r>
      <w:r>
        <w:tab/>
      </w:r>
      <w:r w:rsidR="004B0C37" w:rsidRPr="0034732A">
        <w:t>Demographic, economic, social and cultural features</w:t>
      </w:r>
    </w:p>
    <w:p w:rsidR="004B0C37" w:rsidRPr="004B0C37" w:rsidRDefault="001F0C9D" w:rsidP="001F0C9D">
      <w:pPr>
        <w:pStyle w:val="H23G"/>
      </w:pPr>
      <w:r>
        <w:tab/>
      </w:r>
      <w:r>
        <w:tab/>
      </w:r>
      <w:r w:rsidR="004B0C37" w:rsidRPr="004B0C37">
        <w:t>Geographical location and topography</w:t>
      </w:r>
    </w:p>
    <w:p w:rsidR="004B0C37" w:rsidRPr="0034732A" w:rsidRDefault="006048DA" w:rsidP="00880780">
      <w:pPr>
        <w:pStyle w:val="SingleTxtG"/>
      </w:pPr>
      <w:r>
        <w:t>1.</w:t>
      </w:r>
      <w:r>
        <w:tab/>
      </w:r>
      <w:r w:rsidR="004B0C37" w:rsidRPr="0034732A">
        <w:t xml:space="preserve">The State of Qatar is a peninsula situated </w:t>
      </w:r>
      <w:r w:rsidR="004B0C37">
        <w:t>midway along</w:t>
      </w:r>
      <w:r w:rsidR="004B0C37" w:rsidRPr="0034732A">
        <w:t xml:space="preserve"> the western coast of the Arabia</w:t>
      </w:r>
      <w:r w:rsidR="004B0C37">
        <w:t>n</w:t>
      </w:r>
      <w:r w:rsidR="004B0C37" w:rsidRPr="0034732A">
        <w:t xml:space="preserve"> Gulf, between latitudes 24° 27´ and 26° 10´ north and long</w:t>
      </w:r>
      <w:r w:rsidR="004B0C37">
        <w:t>itudes 50° 45´ and 51° 40´ east.</w:t>
      </w:r>
      <w:r w:rsidR="009D1BD8">
        <w:t xml:space="preserve"> </w:t>
      </w:r>
      <w:r w:rsidR="004B0C37" w:rsidRPr="0034732A">
        <w:t>The</w:t>
      </w:r>
      <w:r w:rsidR="004B0C37">
        <w:t xml:space="preserve"> peninsula extends northward, </w:t>
      </w:r>
      <w:r w:rsidR="004B0C37" w:rsidRPr="0034732A">
        <w:t>cover</w:t>
      </w:r>
      <w:r w:rsidR="004B0C37">
        <w:t>ing</w:t>
      </w:r>
      <w:r w:rsidR="004B0C37" w:rsidRPr="0034732A">
        <w:t xml:space="preserve"> an area of approximately 11,572 square kilometres.</w:t>
      </w:r>
      <w:r w:rsidR="009D1BD8">
        <w:t xml:space="preserve"> </w:t>
      </w:r>
      <w:r w:rsidR="004B0C37">
        <w:t>The territory includes several</w:t>
      </w:r>
      <w:r w:rsidR="004B0C37" w:rsidRPr="0034732A">
        <w:t xml:space="preserve"> islands, reefs and shoals along the coast.</w:t>
      </w:r>
      <w:r w:rsidR="009D1BD8">
        <w:t xml:space="preserve"> </w:t>
      </w:r>
      <w:r w:rsidR="004B0C37" w:rsidRPr="0034732A">
        <w:t xml:space="preserve">The best-known of these </w:t>
      </w:r>
      <w:r w:rsidR="004B0C37">
        <w:t xml:space="preserve">islands are </w:t>
      </w:r>
      <w:proofErr w:type="spellStart"/>
      <w:r w:rsidR="004B0C37">
        <w:t>Hal</w:t>
      </w:r>
      <w:r w:rsidR="004B0C37" w:rsidRPr="0034732A">
        <w:t>ul</w:t>
      </w:r>
      <w:proofErr w:type="spellEnd"/>
      <w:r w:rsidR="004B0C37" w:rsidRPr="0034732A">
        <w:t xml:space="preserve">, </w:t>
      </w:r>
      <w:proofErr w:type="spellStart"/>
      <w:r w:rsidR="004B0C37" w:rsidRPr="0034732A">
        <w:t>Shara</w:t>
      </w:r>
      <w:r w:rsidR="004B0C37">
        <w:t>uh</w:t>
      </w:r>
      <w:proofErr w:type="spellEnd"/>
      <w:r w:rsidR="004B0C37">
        <w:t xml:space="preserve">, </w:t>
      </w:r>
      <w:proofErr w:type="spellStart"/>
      <w:r w:rsidR="004B0C37">
        <w:t>Ishat</w:t>
      </w:r>
      <w:proofErr w:type="spellEnd"/>
      <w:r w:rsidR="004B0C37">
        <w:t xml:space="preserve"> and </w:t>
      </w:r>
      <w:proofErr w:type="spellStart"/>
      <w:r w:rsidR="004B0C37">
        <w:t>Bushayr</w:t>
      </w:r>
      <w:r w:rsidR="004B0C37" w:rsidRPr="0034732A">
        <w:t>iya</w:t>
      </w:r>
      <w:r w:rsidR="004B0C37">
        <w:t>h</w:t>
      </w:r>
      <w:proofErr w:type="spellEnd"/>
      <w:r w:rsidR="004B0C37" w:rsidRPr="0034732A">
        <w:t>.</w:t>
      </w:r>
      <w:r w:rsidR="009D1BD8">
        <w:t xml:space="preserve"> </w:t>
      </w:r>
      <w:r w:rsidR="004B0C37" w:rsidRPr="0034732A">
        <w:t>The peninsula is 185 kilometres long and 85 kilometres wide and is almost completely surrounded by the waters of the Gulf.</w:t>
      </w:r>
      <w:r w:rsidR="009D1BD8">
        <w:t xml:space="preserve"> </w:t>
      </w:r>
      <w:r w:rsidR="004B0C37" w:rsidRPr="0034732A">
        <w:t xml:space="preserve">A 60-kilometre land border separates Qatar from the Kingdom of Saudi Arabia, while the United Arab Emirates </w:t>
      </w:r>
      <w:r w:rsidR="004B0C37">
        <w:t>lies</w:t>
      </w:r>
      <w:r w:rsidR="004B0C37" w:rsidRPr="0034732A">
        <w:t xml:space="preserve"> to the east.</w:t>
      </w:r>
      <w:r w:rsidR="009D1BD8">
        <w:t xml:space="preserve"> </w:t>
      </w:r>
      <w:r w:rsidR="004B0C37">
        <w:t>Qatari</w:t>
      </w:r>
      <w:r w:rsidR="004B0C37" w:rsidRPr="0034732A">
        <w:t xml:space="preserve"> territorial waters extend approximately 95 nautical miles east</w:t>
      </w:r>
      <w:r w:rsidR="004B0C37">
        <w:t>ward</w:t>
      </w:r>
      <w:r w:rsidR="004B0C37" w:rsidRPr="0034732A">
        <w:t xml:space="preserve"> and 51 nautical miles north</w:t>
      </w:r>
      <w:r w:rsidR="004B0C37">
        <w:t>ward</w:t>
      </w:r>
      <w:r w:rsidR="004B0C37" w:rsidRPr="0034732A">
        <w:t xml:space="preserve"> into the Arabian Gulf.</w:t>
      </w:r>
      <w:r w:rsidR="007F4A3A">
        <w:t xml:space="preserve"> </w:t>
      </w:r>
      <w:r w:rsidR="004B0C37" w:rsidRPr="0034732A">
        <w:t xml:space="preserve"> </w:t>
      </w:r>
    </w:p>
    <w:p w:rsidR="004B0C37" w:rsidRPr="0034732A" w:rsidRDefault="004B0C37" w:rsidP="00880780">
      <w:pPr>
        <w:pStyle w:val="SingleTxtG"/>
      </w:pPr>
      <w:r w:rsidRPr="0034732A">
        <w:t>2</w:t>
      </w:r>
      <w:r w:rsidR="009D1BD8">
        <w:t>.</w:t>
      </w:r>
      <w:r w:rsidR="009D1BD8">
        <w:tab/>
      </w:r>
      <w:r w:rsidRPr="0034732A">
        <w:t>The terrain consists of low-lying rocky plains, with elevated limestone formations</w:t>
      </w:r>
      <w:r>
        <w:t xml:space="preserve"> and hills</w:t>
      </w:r>
      <w:r w:rsidRPr="0034732A">
        <w:t xml:space="preserve"> in the </w:t>
      </w:r>
      <w:proofErr w:type="spellStart"/>
      <w:r w:rsidRPr="0034732A">
        <w:t>Dukhan</w:t>
      </w:r>
      <w:proofErr w:type="spellEnd"/>
      <w:r w:rsidRPr="0034732A">
        <w:t xml:space="preserve"> region to the west and</w:t>
      </w:r>
      <w:r>
        <w:t xml:space="preserve"> </w:t>
      </w:r>
      <w:proofErr w:type="spellStart"/>
      <w:r>
        <w:t>Jabal</w:t>
      </w:r>
      <w:proofErr w:type="spellEnd"/>
      <w:r>
        <w:t xml:space="preserve"> </w:t>
      </w:r>
      <w:proofErr w:type="spellStart"/>
      <w:r>
        <w:t>Fuwayri</w:t>
      </w:r>
      <w:r w:rsidRPr="0034732A">
        <w:t>t</w:t>
      </w:r>
      <w:proofErr w:type="spellEnd"/>
      <w:r w:rsidRPr="0034732A">
        <w:t xml:space="preserve"> in the north.</w:t>
      </w:r>
      <w:r w:rsidR="007F4A3A">
        <w:t xml:space="preserve"> </w:t>
      </w:r>
      <w:r w:rsidRPr="0034732A">
        <w:t>Numerous inlets, coves</w:t>
      </w:r>
      <w:r>
        <w:t xml:space="preserve"> and</w:t>
      </w:r>
      <w:r w:rsidRPr="0034732A">
        <w:t xml:space="preserve"> depressions are features of the flat landscape</w:t>
      </w:r>
      <w:r>
        <w:t xml:space="preserve"> and rainwater-draining basins </w:t>
      </w:r>
      <w:r w:rsidRPr="0034732A">
        <w:t>(</w:t>
      </w:r>
      <w:proofErr w:type="spellStart"/>
      <w:r w:rsidRPr="0034732A">
        <w:rPr>
          <w:i/>
        </w:rPr>
        <w:t>rawdhat</w:t>
      </w:r>
      <w:proofErr w:type="spellEnd"/>
      <w:r w:rsidRPr="0034732A">
        <w:t>)</w:t>
      </w:r>
      <w:r>
        <w:t xml:space="preserve"> </w:t>
      </w:r>
      <w:r w:rsidRPr="0034732A">
        <w:t>are found in the fertil</w:t>
      </w:r>
      <w:r>
        <w:t xml:space="preserve">e northern and central regions; these </w:t>
      </w:r>
      <w:r w:rsidRPr="0034732A">
        <w:t>are rich in natural vegetation.</w:t>
      </w:r>
    </w:p>
    <w:p w:rsidR="004B0C37" w:rsidRPr="0034732A" w:rsidRDefault="00EC18C2" w:rsidP="000D321F">
      <w:pPr>
        <w:pStyle w:val="H23G"/>
      </w:pPr>
      <w:r>
        <w:tab/>
      </w:r>
      <w:r>
        <w:tab/>
      </w:r>
      <w:r w:rsidR="004B0C37" w:rsidRPr="0034732A">
        <w:t>Population</w:t>
      </w:r>
    </w:p>
    <w:p w:rsidR="004B0C37" w:rsidRPr="0034732A" w:rsidRDefault="004B0C37" w:rsidP="00EC18C2">
      <w:pPr>
        <w:pStyle w:val="SingleTxtG"/>
      </w:pPr>
      <w:r>
        <w:t>3</w:t>
      </w:r>
      <w:r w:rsidR="009D1BD8">
        <w:t>.</w:t>
      </w:r>
      <w:r w:rsidR="009D1BD8">
        <w:tab/>
      </w:r>
      <w:r>
        <w:t xml:space="preserve">As of the end of September </w:t>
      </w:r>
      <w:r w:rsidRPr="0034732A">
        <w:t xml:space="preserve">2017, the population of the State of Qatar stood at </w:t>
      </w:r>
      <w:r>
        <w:t>2,634,234, comprising 1,974,041 males (</w:t>
      </w:r>
      <w:r w:rsidRPr="0034732A">
        <w:t>75 per cent) and 660,193 females (25 per cent).</w:t>
      </w:r>
      <w:r w:rsidR="007F4A3A">
        <w:t xml:space="preserve"> </w:t>
      </w:r>
      <w:r w:rsidRPr="0034732A">
        <w:t>This represents an annual increase of 3.2 per cent.</w:t>
      </w:r>
      <w:r w:rsidR="007F4A3A">
        <w:t xml:space="preserve"> </w:t>
      </w:r>
      <w:r w:rsidRPr="0034732A">
        <w:t xml:space="preserve">The </w:t>
      </w:r>
      <w:r>
        <w:t xml:space="preserve">reason for the </w:t>
      </w:r>
      <w:r w:rsidRPr="0034732A">
        <w:t xml:space="preserve">high proportion of males </w:t>
      </w:r>
      <w:r>
        <w:t>is</w:t>
      </w:r>
      <w:r w:rsidRPr="0034732A">
        <w:t xml:space="preserve"> that most of the </w:t>
      </w:r>
      <w:r>
        <w:t>population</w:t>
      </w:r>
      <w:r w:rsidRPr="0034732A">
        <w:t xml:space="preserve"> are migrant workers, the majority of whom are males.</w:t>
      </w:r>
      <w:r w:rsidR="007F4A3A">
        <w:t xml:space="preserve"> </w:t>
      </w:r>
      <w:r w:rsidRPr="0034732A">
        <w:t>Table 1 shows the increase in mid-year population in the State of Qatar</w:t>
      </w:r>
      <w:r>
        <w:t>,</w:t>
      </w:r>
      <w:r w:rsidRPr="0034732A">
        <w:t xml:space="preserve"> </w:t>
      </w:r>
      <w:r>
        <w:t xml:space="preserve">disaggregated </w:t>
      </w:r>
      <w:r w:rsidRPr="0034732A">
        <w:t>by gender</w:t>
      </w:r>
      <w:r>
        <w:t>,</w:t>
      </w:r>
      <w:r w:rsidRPr="0034732A">
        <w:t xml:space="preserve"> </w:t>
      </w:r>
      <w:r>
        <w:t>between 2010 and 2017</w:t>
      </w:r>
      <w:r w:rsidRPr="0034732A">
        <w:t>.</w:t>
      </w:r>
      <w:r w:rsidR="007F4A3A">
        <w:t xml:space="preserve"> </w:t>
      </w:r>
      <w:r w:rsidRPr="0034732A">
        <w:t xml:space="preserve">The high rate of population growth </w:t>
      </w:r>
      <w:r>
        <w:t xml:space="preserve">is due </w:t>
      </w:r>
      <w:r w:rsidRPr="0034732A">
        <w:t xml:space="preserve">to the influx of migrant workers </w:t>
      </w:r>
      <w:r>
        <w:t>arriving</w:t>
      </w:r>
      <w:r w:rsidRPr="0034732A">
        <w:t xml:space="preserve"> in response to the needs of </w:t>
      </w:r>
      <w:r>
        <w:t xml:space="preserve">large </w:t>
      </w:r>
      <w:r w:rsidRPr="0034732A">
        <w:t>infrastructure and development projects</w:t>
      </w:r>
      <w:r>
        <w:t xml:space="preserve"> and is a reflection of</w:t>
      </w:r>
      <w:r w:rsidRPr="0034732A">
        <w:t xml:space="preserve"> increased investment and development in the State.</w:t>
      </w:r>
      <w:r w:rsidR="007F4A3A">
        <w:t xml:space="preserve"> </w:t>
      </w:r>
      <w:r w:rsidRPr="0034732A">
        <w:t xml:space="preserve">Figure 1 shows the </w:t>
      </w:r>
      <w:r>
        <w:t>population</w:t>
      </w:r>
      <w:r w:rsidRPr="0034732A">
        <w:t xml:space="preserve"> (in 1,000s) </w:t>
      </w:r>
      <w:r>
        <w:t xml:space="preserve">between 2012 and </w:t>
      </w:r>
      <w:r w:rsidRPr="0034732A">
        <w:t>2016.</w:t>
      </w:r>
    </w:p>
    <w:p w:rsidR="004B0C37" w:rsidRPr="00A772ED" w:rsidRDefault="00A772ED" w:rsidP="00A772ED">
      <w:pPr>
        <w:pStyle w:val="Heading1"/>
        <w:spacing w:after="120"/>
        <w:rPr>
          <w:b/>
          <w:bCs/>
        </w:rPr>
      </w:pPr>
      <w:r>
        <w:t>Table 1</w:t>
      </w:r>
      <w:r>
        <w:br/>
      </w:r>
      <w:r w:rsidR="004B0C37" w:rsidRPr="00A772ED">
        <w:rPr>
          <w:b/>
          <w:bCs/>
        </w:rPr>
        <w:t>Increase in mid-year population (</w:t>
      </w:r>
      <w:r>
        <w:rPr>
          <w:b/>
          <w:bCs/>
        </w:rPr>
        <w:t>2010–</w:t>
      </w:r>
      <w:r w:rsidR="004B0C37" w:rsidRPr="00A772ED">
        <w:rPr>
          <w:b/>
          <w:bCs/>
        </w:rPr>
        <w:t>2017)</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43"/>
        <w:gridCol w:w="1843"/>
        <w:gridCol w:w="1842"/>
        <w:gridCol w:w="1842"/>
      </w:tblGrid>
      <w:tr w:rsidR="004B0C37" w:rsidRPr="00A772ED" w:rsidTr="00A772ED">
        <w:trPr>
          <w:tblHeader/>
        </w:trPr>
        <w:tc>
          <w:tcPr>
            <w:tcW w:w="2254" w:type="dxa"/>
            <w:tcBorders>
              <w:top w:val="single" w:sz="4" w:space="0" w:color="auto"/>
              <w:bottom w:val="single" w:sz="12" w:space="0" w:color="auto"/>
            </w:tcBorders>
            <w:shd w:val="clear" w:color="auto" w:fill="auto"/>
            <w:vAlign w:val="bottom"/>
          </w:tcPr>
          <w:p w:rsidR="004B0C37" w:rsidRPr="00A772ED" w:rsidRDefault="004B0C37" w:rsidP="00A772ED">
            <w:pPr>
              <w:suppressAutoHyphens w:val="0"/>
              <w:spacing w:before="80" w:after="80" w:line="200" w:lineRule="exact"/>
              <w:ind w:right="113"/>
              <w:rPr>
                <w:i/>
                <w:sz w:val="16"/>
              </w:rPr>
            </w:pPr>
            <w:r w:rsidRPr="00A772ED">
              <w:rPr>
                <w:i/>
                <w:sz w:val="16"/>
              </w:rPr>
              <w:t>Year</w:t>
            </w:r>
          </w:p>
        </w:tc>
        <w:tc>
          <w:tcPr>
            <w:tcW w:w="2254" w:type="dxa"/>
            <w:tcBorders>
              <w:top w:val="single" w:sz="4" w:space="0" w:color="auto"/>
              <w:bottom w:val="single" w:sz="12" w:space="0" w:color="auto"/>
            </w:tcBorders>
            <w:shd w:val="clear" w:color="auto" w:fill="auto"/>
            <w:vAlign w:val="bottom"/>
          </w:tcPr>
          <w:p w:rsidR="004B0C37" w:rsidRPr="00A772ED" w:rsidRDefault="004B0C37" w:rsidP="00A772ED">
            <w:pPr>
              <w:suppressAutoHyphens w:val="0"/>
              <w:spacing w:before="80" w:after="80" w:line="200" w:lineRule="exact"/>
              <w:ind w:right="113"/>
              <w:jc w:val="right"/>
              <w:rPr>
                <w:i/>
                <w:sz w:val="16"/>
              </w:rPr>
            </w:pPr>
            <w:r w:rsidRPr="00A772ED">
              <w:rPr>
                <w:i/>
                <w:sz w:val="16"/>
              </w:rPr>
              <w:t>Males</w:t>
            </w:r>
          </w:p>
        </w:tc>
        <w:tc>
          <w:tcPr>
            <w:tcW w:w="2254" w:type="dxa"/>
            <w:tcBorders>
              <w:top w:val="single" w:sz="4" w:space="0" w:color="auto"/>
              <w:bottom w:val="single" w:sz="12" w:space="0" w:color="auto"/>
            </w:tcBorders>
            <w:shd w:val="clear" w:color="auto" w:fill="auto"/>
            <w:vAlign w:val="bottom"/>
          </w:tcPr>
          <w:p w:rsidR="004B0C37" w:rsidRPr="00A772ED" w:rsidRDefault="004B0C37" w:rsidP="00A772ED">
            <w:pPr>
              <w:suppressAutoHyphens w:val="0"/>
              <w:spacing w:before="80" w:after="80" w:line="200" w:lineRule="exact"/>
              <w:ind w:right="113"/>
              <w:jc w:val="right"/>
              <w:rPr>
                <w:i/>
                <w:sz w:val="16"/>
              </w:rPr>
            </w:pPr>
            <w:r w:rsidRPr="00A772ED">
              <w:rPr>
                <w:i/>
                <w:sz w:val="16"/>
              </w:rPr>
              <w:t>Females</w:t>
            </w:r>
          </w:p>
        </w:tc>
        <w:tc>
          <w:tcPr>
            <w:tcW w:w="2254" w:type="dxa"/>
            <w:tcBorders>
              <w:top w:val="single" w:sz="4" w:space="0" w:color="auto"/>
              <w:bottom w:val="single" w:sz="12" w:space="0" w:color="auto"/>
            </w:tcBorders>
            <w:shd w:val="clear" w:color="auto" w:fill="auto"/>
            <w:vAlign w:val="bottom"/>
          </w:tcPr>
          <w:p w:rsidR="004B0C37" w:rsidRPr="00A772ED" w:rsidRDefault="004B0C37" w:rsidP="00A772ED">
            <w:pPr>
              <w:suppressAutoHyphens w:val="0"/>
              <w:spacing w:before="80" w:after="80" w:line="200" w:lineRule="exact"/>
              <w:ind w:right="113"/>
              <w:jc w:val="right"/>
              <w:rPr>
                <w:i/>
                <w:sz w:val="16"/>
              </w:rPr>
            </w:pPr>
            <w:r w:rsidRPr="00A772ED">
              <w:rPr>
                <w:i/>
                <w:sz w:val="16"/>
              </w:rPr>
              <w:t>Total</w:t>
            </w:r>
          </w:p>
        </w:tc>
      </w:tr>
      <w:tr w:rsidR="004B0C37" w:rsidRPr="00A772ED" w:rsidTr="00A772ED">
        <w:tc>
          <w:tcPr>
            <w:tcW w:w="2254" w:type="dxa"/>
            <w:tcBorders>
              <w:top w:val="single" w:sz="12" w:space="0" w:color="auto"/>
            </w:tcBorders>
            <w:shd w:val="clear" w:color="auto" w:fill="auto"/>
          </w:tcPr>
          <w:p w:rsidR="004B0C37" w:rsidRPr="00A772ED" w:rsidRDefault="004B0C37" w:rsidP="00A772ED">
            <w:pPr>
              <w:suppressAutoHyphens w:val="0"/>
              <w:spacing w:before="40" w:after="40" w:line="220" w:lineRule="exact"/>
              <w:ind w:right="113"/>
              <w:rPr>
                <w:sz w:val="18"/>
              </w:rPr>
            </w:pPr>
            <w:r w:rsidRPr="00A772ED">
              <w:rPr>
                <w:sz w:val="18"/>
              </w:rPr>
              <w:t>2010</w:t>
            </w:r>
          </w:p>
        </w:tc>
        <w:tc>
          <w:tcPr>
            <w:tcW w:w="2254" w:type="dxa"/>
            <w:tcBorders>
              <w:top w:val="single" w:sz="12" w:space="0" w:color="auto"/>
            </w:tcBorders>
            <w:shd w:val="clear" w:color="auto" w:fill="auto"/>
            <w:vAlign w:val="bottom"/>
          </w:tcPr>
          <w:p w:rsidR="004B0C37" w:rsidRPr="00A772ED" w:rsidRDefault="004B0C37" w:rsidP="00A772ED">
            <w:pPr>
              <w:suppressAutoHyphens w:val="0"/>
              <w:spacing w:before="40" w:after="40" w:line="220" w:lineRule="exact"/>
              <w:ind w:right="113"/>
              <w:jc w:val="right"/>
              <w:rPr>
                <w:sz w:val="18"/>
                <w:lang w:val="en-US"/>
              </w:rPr>
            </w:pPr>
            <w:r w:rsidRPr="00A772ED">
              <w:rPr>
                <w:sz w:val="18"/>
                <w:lang w:val="en-US"/>
              </w:rPr>
              <w:t>1 296 110</w:t>
            </w:r>
          </w:p>
        </w:tc>
        <w:tc>
          <w:tcPr>
            <w:tcW w:w="2254" w:type="dxa"/>
            <w:tcBorders>
              <w:top w:val="single" w:sz="12" w:space="0" w:color="auto"/>
            </w:tcBorders>
            <w:shd w:val="clear" w:color="auto" w:fill="auto"/>
            <w:vAlign w:val="bottom"/>
          </w:tcPr>
          <w:p w:rsidR="004B0C37" w:rsidRPr="00A772ED" w:rsidRDefault="004B0C37" w:rsidP="00A772ED">
            <w:pPr>
              <w:suppressAutoHyphens w:val="0"/>
              <w:spacing w:before="40" w:after="40" w:line="220" w:lineRule="exact"/>
              <w:ind w:right="113"/>
              <w:jc w:val="right"/>
              <w:rPr>
                <w:sz w:val="18"/>
                <w:rtl/>
                <w:lang w:val="en-US" w:bidi="ar-QA"/>
              </w:rPr>
            </w:pPr>
            <w:r w:rsidRPr="00A772ED">
              <w:rPr>
                <w:sz w:val="18"/>
                <w:lang w:val="en-US"/>
              </w:rPr>
              <w:t>418 988</w:t>
            </w:r>
          </w:p>
        </w:tc>
        <w:tc>
          <w:tcPr>
            <w:tcW w:w="2254" w:type="dxa"/>
            <w:tcBorders>
              <w:top w:val="single" w:sz="12" w:space="0" w:color="auto"/>
            </w:tcBorders>
            <w:shd w:val="clear" w:color="auto" w:fill="auto"/>
            <w:vAlign w:val="bottom"/>
          </w:tcPr>
          <w:p w:rsidR="004B0C37" w:rsidRPr="00A772ED" w:rsidRDefault="004B0C37" w:rsidP="00A772ED">
            <w:pPr>
              <w:suppressAutoHyphens w:val="0"/>
              <w:spacing w:before="40" w:after="40" w:line="220" w:lineRule="exact"/>
              <w:ind w:right="113"/>
              <w:jc w:val="right"/>
              <w:rPr>
                <w:sz w:val="18"/>
                <w:rtl/>
                <w:lang w:val="en-US" w:bidi="ar-QA"/>
              </w:rPr>
            </w:pPr>
            <w:r w:rsidRPr="00A772ED">
              <w:rPr>
                <w:sz w:val="18"/>
                <w:lang w:val="en-US"/>
              </w:rPr>
              <w:t>1 715 098</w:t>
            </w:r>
          </w:p>
        </w:tc>
      </w:tr>
      <w:tr w:rsidR="004B0C37" w:rsidRPr="00A772ED" w:rsidTr="00A772ED">
        <w:tc>
          <w:tcPr>
            <w:tcW w:w="2254" w:type="dxa"/>
            <w:shd w:val="clear" w:color="auto" w:fill="auto"/>
          </w:tcPr>
          <w:p w:rsidR="004B0C37" w:rsidRPr="00A772ED" w:rsidRDefault="004B0C37" w:rsidP="00A772ED">
            <w:pPr>
              <w:suppressAutoHyphens w:val="0"/>
              <w:spacing w:before="40" w:after="40" w:line="220" w:lineRule="exact"/>
              <w:ind w:right="113"/>
              <w:rPr>
                <w:sz w:val="18"/>
              </w:rPr>
            </w:pPr>
            <w:r w:rsidRPr="00A772ED">
              <w:rPr>
                <w:sz w:val="18"/>
              </w:rPr>
              <w:t>2011</w:t>
            </w:r>
          </w:p>
        </w:tc>
        <w:tc>
          <w:tcPr>
            <w:tcW w:w="2254" w:type="dxa"/>
            <w:shd w:val="clear" w:color="auto" w:fill="auto"/>
            <w:vAlign w:val="bottom"/>
          </w:tcPr>
          <w:p w:rsidR="004B0C37" w:rsidRPr="00A772ED" w:rsidRDefault="004B0C37" w:rsidP="00A772ED">
            <w:pPr>
              <w:suppressAutoHyphens w:val="0"/>
              <w:spacing w:before="40" w:after="40" w:line="220" w:lineRule="exact"/>
              <w:ind w:right="113"/>
              <w:jc w:val="right"/>
              <w:rPr>
                <w:sz w:val="18"/>
                <w:rtl/>
                <w:lang w:val="en-US" w:bidi="ar-QA"/>
              </w:rPr>
            </w:pPr>
            <w:r w:rsidRPr="00A772ED">
              <w:rPr>
                <w:sz w:val="18"/>
                <w:lang w:val="en-US"/>
              </w:rPr>
              <w:t>1 288 590</w:t>
            </w:r>
          </w:p>
        </w:tc>
        <w:tc>
          <w:tcPr>
            <w:tcW w:w="2254" w:type="dxa"/>
            <w:shd w:val="clear" w:color="auto" w:fill="auto"/>
            <w:vAlign w:val="bottom"/>
          </w:tcPr>
          <w:p w:rsidR="004B0C37" w:rsidRPr="00A772ED" w:rsidRDefault="004B0C37" w:rsidP="00A772ED">
            <w:pPr>
              <w:suppressAutoHyphens w:val="0"/>
              <w:spacing w:before="40" w:after="40" w:line="220" w:lineRule="exact"/>
              <w:ind w:right="113"/>
              <w:jc w:val="right"/>
              <w:rPr>
                <w:sz w:val="18"/>
                <w:rtl/>
                <w:lang w:val="en-US" w:bidi="ar-QA"/>
              </w:rPr>
            </w:pPr>
            <w:r w:rsidRPr="00A772ED">
              <w:rPr>
                <w:sz w:val="18"/>
                <w:lang w:val="en-US"/>
              </w:rPr>
              <w:t>444 127</w:t>
            </w:r>
          </w:p>
        </w:tc>
        <w:tc>
          <w:tcPr>
            <w:tcW w:w="2254" w:type="dxa"/>
            <w:shd w:val="clear" w:color="auto" w:fill="auto"/>
            <w:vAlign w:val="bottom"/>
          </w:tcPr>
          <w:p w:rsidR="004B0C37" w:rsidRPr="00A772ED" w:rsidRDefault="004B0C37" w:rsidP="00A772ED">
            <w:pPr>
              <w:suppressAutoHyphens w:val="0"/>
              <w:spacing w:before="40" w:after="40" w:line="220" w:lineRule="exact"/>
              <w:ind w:right="113"/>
              <w:jc w:val="right"/>
              <w:rPr>
                <w:sz w:val="18"/>
                <w:rtl/>
                <w:lang w:val="en-US" w:bidi="ar-QA"/>
              </w:rPr>
            </w:pPr>
            <w:r w:rsidRPr="00A772ED">
              <w:rPr>
                <w:sz w:val="18"/>
                <w:lang w:val="en-US"/>
              </w:rPr>
              <w:t>1 732 717</w:t>
            </w:r>
          </w:p>
        </w:tc>
      </w:tr>
      <w:tr w:rsidR="004B0C37" w:rsidRPr="00A772ED" w:rsidTr="00A772ED">
        <w:tc>
          <w:tcPr>
            <w:tcW w:w="2254" w:type="dxa"/>
            <w:shd w:val="clear" w:color="auto" w:fill="auto"/>
          </w:tcPr>
          <w:p w:rsidR="004B0C37" w:rsidRPr="00A772ED" w:rsidRDefault="004B0C37" w:rsidP="00A772ED">
            <w:pPr>
              <w:suppressAutoHyphens w:val="0"/>
              <w:spacing w:before="40" w:after="40" w:line="220" w:lineRule="exact"/>
              <w:ind w:right="113"/>
              <w:rPr>
                <w:sz w:val="18"/>
              </w:rPr>
            </w:pPr>
            <w:r w:rsidRPr="00A772ED">
              <w:rPr>
                <w:sz w:val="18"/>
              </w:rPr>
              <w:t>2012</w:t>
            </w:r>
          </w:p>
        </w:tc>
        <w:tc>
          <w:tcPr>
            <w:tcW w:w="2254" w:type="dxa"/>
            <w:shd w:val="clear" w:color="auto" w:fill="auto"/>
            <w:vAlign w:val="bottom"/>
          </w:tcPr>
          <w:p w:rsidR="004B0C37" w:rsidRPr="00A772ED" w:rsidRDefault="004B0C37" w:rsidP="00A772ED">
            <w:pPr>
              <w:suppressAutoHyphens w:val="0"/>
              <w:spacing w:before="40" w:after="40" w:line="220" w:lineRule="exact"/>
              <w:ind w:right="113"/>
              <w:jc w:val="right"/>
              <w:rPr>
                <w:sz w:val="18"/>
                <w:rtl/>
                <w:lang w:val="en-US" w:bidi="ar-QA"/>
              </w:rPr>
            </w:pPr>
            <w:r w:rsidRPr="00A772ED">
              <w:rPr>
                <w:sz w:val="18"/>
                <w:lang w:val="en-US"/>
              </w:rPr>
              <w:t>1 355 199</w:t>
            </w:r>
          </w:p>
        </w:tc>
        <w:tc>
          <w:tcPr>
            <w:tcW w:w="2254" w:type="dxa"/>
            <w:shd w:val="clear" w:color="auto" w:fill="auto"/>
            <w:vAlign w:val="bottom"/>
          </w:tcPr>
          <w:p w:rsidR="004B0C37" w:rsidRPr="00A772ED" w:rsidRDefault="004B0C37" w:rsidP="00A772ED">
            <w:pPr>
              <w:suppressAutoHyphens w:val="0"/>
              <w:spacing w:before="40" w:after="40" w:line="220" w:lineRule="exact"/>
              <w:ind w:right="113"/>
              <w:jc w:val="right"/>
              <w:rPr>
                <w:sz w:val="18"/>
                <w:rtl/>
                <w:lang w:val="en-US" w:bidi="ar-QA"/>
              </w:rPr>
            </w:pPr>
            <w:r w:rsidRPr="00A772ED">
              <w:rPr>
                <w:sz w:val="18"/>
                <w:lang w:val="en-US"/>
              </w:rPr>
              <w:t>477 704</w:t>
            </w:r>
          </w:p>
        </w:tc>
        <w:tc>
          <w:tcPr>
            <w:tcW w:w="2254" w:type="dxa"/>
            <w:shd w:val="clear" w:color="auto" w:fill="auto"/>
            <w:vAlign w:val="bottom"/>
          </w:tcPr>
          <w:p w:rsidR="004B0C37" w:rsidRPr="00A772ED" w:rsidRDefault="004B0C37" w:rsidP="00A772ED">
            <w:pPr>
              <w:suppressAutoHyphens w:val="0"/>
              <w:spacing w:before="40" w:after="40" w:line="220" w:lineRule="exact"/>
              <w:ind w:right="113"/>
              <w:jc w:val="right"/>
              <w:rPr>
                <w:sz w:val="18"/>
                <w:rtl/>
                <w:lang w:val="en-US" w:bidi="ar-QA"/>
              </w:rPr>
            </w:pPr>
            <w:r w:rsidRPr="00A772ED">
              <w:rPr>
                <w:sz w:val="18"/>
                <w:lang w:val="en-US"/>
              </w:rPr>
              <w:t>1 832 903</w:t>
            </w:r>
          </w:p>
        </w:tc>
      </w:tr>
      <w:tr w:rsidR="004B0C37" w:rsidRPr="00A772ED" w:rsidTr="00A772ED">
        <w:tc>
          <w:tcPr>
            <w:tcW w:w="2254" w:type="dxa"/>
            <w:shd w:val="clear" w:color="auto" w:fill="auto"/>
          </w:tcPr>
          <w:p w:rsidR="004B0C37" w:rsidRPr="00A772ED" w:rsidRDefault="004B0C37" w:rsidP="00A772ED">
            <w:pPr>
              <w:suppressAutoHyphens w:val="0"/>
              <w:spacing w:before="40" w:after="40" w:line="220" w:lineRule="exact"/>
              <w:ind w:right="113"/>
              <w:rPr>
                <w:sz w:val="18"/>
              </w:rPr>
            </w:pPr>
            <w:r w:rsidRPr="00A772ED">
              <w:rPr>
                <w:sz w:val="18"/>
              </w:rPr>
              <w:t>2013</w:t>
            </w:r>
          </w:p>
        </w:tc>
        <w:tc>
          <w:tcPr>
            <w:tcW w:w="2254" w:type="dxa"/>
            <w:shd w:val="clear" w:color="auto" w:fill="auto"/>
            <w:vAlign w:val="bottom"/>
          </w:tcPr>
          <w:p w:rsidR="004B0C37" w:rsidRPr="00A772ED" w:rsidRDefault="004B0C37" w:rsidP="00A772ED">
            <w:pPr>
              <w:suppressAutoHyphens w:val="0"/>
              <w:spacing w:before="40" w:after="40" w:line="220" w:lineRule="exact"/>
              <w:ind w:right="113"/>
              <w:jc w:val="right"/>
              <w:rPr>
                <w:sz w:val="18"/>
                <w:rtl/>
                <w:lang w:val="en-US" w:bidi="ar-QA"/>
              </w:rPr>
            </w:pPr>
            <w:r w:rsidRPr="00A772ED">
              <w:rPr>
                <w:sz w:val="18"/>
                <w:lang w:val="en-US"/>
              </w:rPr>
              <w:t>1 477 632</w:t>
            </w:r>
          </w:p>
        </w:tc>
        <w:tc>
          <w:tcPr>
            <w:tcW w:w="2254" w:type="dxa"/>
            <w:shd w:val="clear" w:color="auto" w:fill="auto"/>
            <w:vAlign w:val="bottom"/>
          </w:tcPr>
          <w:p w:rsidR="004B0C37" w:rsidRPr="00A772ED" w:rsidRDefault="004B0C37" w:rsidP="00A772ED">
            <w:pPr>
              <w:suppressAutoHyphens w:val="0"/>
              <w:spacing w:before="40" w:after="40" w:line="220" w:lineRule="exact"/>
              <w:ind w:right="113"/>
              <w:jc w:val="right"/>
              <w:rPr>
                <w:sz w:val="18"/>
                <w:rtl/>
                <w:lang w:val="en-US" w:bidi="ar-QA"/>
              </w:rPr>
            </w:pPr>
            <w:r w:rsidRPr="00A772ED">
              <w:rPr>
                <w:sz w:val="18"/>
                <w:lang w:val="en-US"/>
              </w:rPr>
              <w:t>526 068</w:t>
            </w:r>
          </w:p>
        </w:tc>
        <w:tc>
          <w:tcPr>
            <w:tcW w:w="2254" w:type="dxa"/>
            <w:shd w:val="clear" w:color="auto" w:fill="auto"/>
            <w:vAlign w:val="bottom"/>
          </w:tcPr>
          <w:p w:rsidR="004B0C37" w:rsidRPr="00A772ED" w:rsidRDefault="004B0C37" w:rsidP="00A772ED">
            <w:pPr>
              <w:suppressAutoHyphens w:val="0"/>
              <w:spacing w:before="40" w:after="40" w:line="220" w:lineRule="exact"/>
              <w:ind w:right="113"/>
              <w:jc w:val="right"/>
              <w:rPr>
                <w:sz w:val="18"/>
                <w:rtl/>
                <w:lang w:val="en-US" w:bidi="ar-QA"/>
              </w:rPr>
            </w:pPr>
            <w:r w:rsidRPr="00A772ED">
              <w:rPr>
                <w:sz w:val="18"/>
                <w:lang w:val="en-US"/>
              </w:rPr>
              <w:t>2 003 700</w:t>
            </w:r>
          </w:p>
        </w:tc>
      </w:tr>
      <w:tr w:rsidR="004B0C37" w:rsidRPr="00A772ED" w:rsidTr="00A772ED">
        <w:tc>
          <w:tcPr>
            <w:tcW w:w="2254" w:type="dxa"/>
            <w:shd w:val="clear" w:color="auto" w:fill="auto"/>
          </w:tcPr>
          <w:p w:rsidR="004B0C37" w:rsidRPr="00A772ED" w:rsidRDefault="004B0C37" w:rsidP="00A772ED">
            <w:pPr>
              <w:suppressAutoHyphens w:val="0"/>
              <w:spacing w:before="40" w:after="40" w:line="220" w:lineRule="exact"/>
              <w:ind w:right="113"/>
              <w:rPr>
                <w:sz w:val="18"/>
              </w:rPr>
            </w:pPr>
            <w:r w:rsidRPr="00A772ED">
              <w:rPr>
                <w:sz w:val="18"/>
              </w:rPr>
              <w:t>2014</w:t>
            </w:r>
          </w:p>
        </w:tc>
        <w:tc>
          <w:tcPr>
            <w:tcW w:w="2254" w:type="dxa"/>
            <w:shd w:val="clear" w:color="auto" w:fill="auto"/>
            <w:vAlign w:val="bottom"/>
          </w:tcPr>
          <w:p w:rsidR="004B0C37" w:rsidRPr="00A772ED" w:rsidRDefault="004B0C37" w:rsidP="00A772ED">
            <w:pPr>
              <w:suppressAutoHyphens w:val="0"/>
              <w:spacing w:before="40" w:after="40" w:line="220" w:lineRule="exact"/>
              <w:ind w:right="113"/>
              <w:jc w:val="right"/>
              <w:rPr>
                <w:sz w:val="18"/>
                <w:rtl/>
                <w:lang w:val="en-US" w:bidi="ar-QA"/>
              </w:rPr>
            </w:pPr>
            <w:r w:rsidRPr="00A772ED">
              <w:rPr>
                <w:sz w:val="18"/>
                <w:lang w:val="en-US"/>
              </w:rPr>
              <w:t>1 652.037</w:t>
            </w:r>
          </w:p>
        </w:tc>
        <w:tc>
          <w:tcPr>
            <w:tcW w:w="2254" w:type="dxa"/>
            <w:shd w:val="clear" w:color="auto" w:fill="auto"/>
            <w:vAlign w:val="bottom"/>
          </w:tcPr>
          <w:p w:rsidR="004B0C37" w:rsidRPr="00A772ED" w:rsidRDefault="004B0C37" w:rsidP="00A772ED">
            <w:pPr>
              <w:suppressAutoHyphens w:val="0"/>
              <w:spacing w:before="40" w:after="40" w:line="220" w:lineRule="exact"/>
              <w:ind w:right="113"/>
              <w:jc w:val="right"/>
              <w:rPr>
                <w:sz w:val="18"/>
                <w:rtl/>
                <w:lang w:val="en-US" w:bidi="ar-QA"/>
              </w:rPr>
            </w:pPr>
            <w:r w:rsidRPr="00A772ED">
              <w:rPr>
                <w:sz w:val="18"/>
                <w:lang w:val="en-US"/>
              </w:rPr>
              <w:t>564 143</w:t>
            </w:r>
          </w:p>
        </w:tc>
        <w:tc>
          <w:tcPr>
            <w:tcW w:w="2254" w:type="dxa"/>
            <w:shd w:val="clear" w:color="auto" w:fill="auto"/>
            <w:vAlign w:val="bottom"/>
          </w:tcPr>
          <w:p w:rsidR="004B0C37" w:rsidRPr="00A772ED" w:rsidRDefault="004B0C37" w:rsidP="00A772ED">
            <w:pPr>
              <w:suppressAutoHyphens w:val="0"/>
              <w:spacing w:before="40" w:after="40" w:line="220" w:lineRule="exact"/>
              <w:ind w:right="113"/>
              <w:jc w:val="right"/>
              <w:rPr>
                <w:sz w:val="18"/>
                <w:rtl/>
                <w:lang w:val="en-US" w:bidi="ar-QA"/>
              </w:rPr>
            </w:pPr>
            <w:r w:rsidRPr="00A772ED">
              <w:rPr>
                <w:sz w:val="18"/>
                <w:lang w:val="en-US"/>
              </w:rPr>
              <w:t>2 216 180</w:t>
            </w:r>
          </w:p>
        </w:tc>
      </w:tr>
      <w:tr w:rsidR="004B0C37" w:rsidRPr="00A772ED" w:rsidTr="00A772ED">
        <w:tc>
          <w:tcPr>
            <w:tcW w:w="2254" w:type="dxa"/>
            <w:shd w:val="clear" w:color="auto" w:fill="auto"/>
          </w:tcPr>
          <w:p w:rsidR="004B0C37" w:rsidRPr="00A772ED" w:rsidRDefault="004B0C37" w:rsidP="00A772ED">
            <w:pPr>
              <w:suppressAutoHyphens w:val="0"/>
              <w:spacing w:before="40" w:after="40" w:line="220" w:lineRule="exact"/>
              <w:ind w:right="113"/>
              <w:rPr>
                <w:sz w:val="18"/>
              </w:rPr>
            </w:pPr>
            <w:r w:rsidRPr="00A772ED">
              <w:rPr>
                <w:sz w:val="18"/>
              </w:rPr>
              <w:t>2015</w:t>
            </w:r>
          </w:p>
        </w:tc>
        <w:tc>
          <w:tcPr>
            <w:tcW w:w="2254" w:type="dxa"/>
            <w:shd w:val="clear" w:color="auto" w:fill="auto"/>
            <w:vAlign w:val="bottom"/>
          </w:tcPr>
          <w:p w:rsidR="004B0C37" w:rsidRPr="00A772ED" w:rsidRDefault="004B0C37" w:rsidP="00A772ED">
            <w:pPr>
              <w:suppressAutoHyphens w:val="0"/>
              <w:spacing w:before="40" w:after="40" w:line="220" w:lineRule="exact"/>
              <w:ind w:right="113"/>
              <w:jc w:val="right"/>
              <w:rPr>
                <w:sz w:val="18"/>
                <w:rtl/>
                <w:lang w:val="en-US" w:bidi="ar-QA"/>
              </w:rPr>
            </w:pPr>
            <w:r w:rsidRPr="00A772ED">
              <w:rPr>
                <w:sz w:val="18"/>
                <w:lang w:val="en-US"/>
              </w:rPr>
              <w:t>1 840 643</w:t>
            </w:r>
          </w:p>
        </w:tc>
        <w:tc>
          <w:tcPr>
            <w:tcW w:w="2254" w:type="dxa"/>
            <w:shd w:val="clear" w:color="auto" w:fill="auto"/>
            <w:vAlign w:val="bottom"/>
          </w:tcPr>
          <w:p w:rsidR="004B0C37" w:rsidRPr="00A772ED" w:rsidRDefault="004B0C37" w:rsidP="00A772ED">
            <w:pPr>
              <w:suppressAutoHyphens w:val="0"/>
              <w:spacing w:before="40" w:after="40" w:line="220" w:lineRule="exact"/>
              <w:ind w:right="113"/>
              <w:jc w:val="right"/>
              <w:rPr>
                <w:sz w:val="18"/>
                <w:rtl/>
                <w:lang w:val="en-US" w:bidi="ar-QA"/>
              </w:rPr>
            </w:pPr>
            <w:r w:rsidRPr="00A772ED">
              <w:rPr>
                <w:sz w:val="18"/>
                <w:lang w:val="en-US"/>
              </w:rPr>
              <w:t>597 147</w:t>
            </w:r>
          </w:p>
        </w:tc>
        <w:tc>
          <w:tcPr>
            <w:tcW w:w="2254" w:type="dxa"/>
            <w:shd w:val="clear" w:color="auto" w:fill="auto"/>
            <w:vAlign w:val="bottom"/>
          </w:tcPr>
          <w:p w:rsidR="004B0C37" w:rsidRPr="00A772ED" w:rsidRDefault="004B0C37" w:rsidP="00A772ED">
            <w:pPr>
              <w:suppressAutoHyphens w:val="0"/>
              <w:spacing w:before="40" w:after="40" w:line="220" w:lineRule="exact"/>
              <w:ind w:right="113"/>
              <w:jc w:val="right"/>
              <w:rPr>
                <w:sz w:val="18"/>
                <w:rtl/>
                <w:lang w:val="en-US" w:bidi="ar-QA"/>
              </w:rPr>
            </w:pPr>
            <w:r w:rsidRPr="00A772ED">
              <w:rPr>
                <w:sz w:val="18"/>
                <w:lang w:val="en-US"/>
              </w:rPr>
              <w:t>2 437 790</w:t>
            </w:r>
          </w:p>
        </w:tc>
      </w:tr>
      <w:tr w:rsidR="004B0C37" w:rsidRPr="00A772ED" w:rsidTr="00A772ED">
        <w:tc>
          <w:tcPr>
            <w:tcW w:w="2254" w:type="dxa"/>
            <w:shd w:val="clear" w:color="auto" w:fill="auto"/>
          </w:tcPr>
          <w:p w:rsidR="004B0C37" w:rsidRPr="00A772ED" w:rsidRDefault="004B0C37" w:rsidP="00A772ED">
            <w:pPr>
              <w:suppressAutoHyphens w:val="0"/>
              <w:spacing w:before="40" w:after="40" w:line="220" w:lineRule="exact"/>
              <w:ind w:right="113"/>
              <w:rPr>
                <w:sz w:val="18"/>
              </w:rPr>
            </w:pPr>
            <w:r w:rsidRPr="00A772ED">
              <w:rPr>
                <w:sz w:val="18"/>
              </w:rPr>
              <w:t>2016</w:t>
            </w:r>
          </w:p>
        </w:tc>
        <w:tc>
          <w:tcPr>
            <w:tcW w:w="2254" w:type="dxa"/>
            <w:shd w:val="clear" w:color="auto" w:fill="auto"/>
            <w:vAlign w:val="bottom"/>
          </w:tcPr>
          <w:p w:rsidR="004B0C37" w:rsidRPr="00A772ED" w:rsidRDefault="004B0C37" w:rsidP="00A772ED">
            <w:pPr>
              <w:suppressAutoHyphens w:val="0"/>
              <w:spacing w:before="40" w:after="40" w:line="220" w:lineRule="exact"/>
              <w:ind w:right="113"/>
              <w:jc w:val="right"/>
              <w:rPr>
                <w:sz w:val="18"/>
                <w:rtl/>
                <w:lang w:val="en-US" w:bidi="ar-QA"/>
              </w:rPr>
            </w:pPr>
            <w:r w:rsidRPr="00A772ED">
              <w:rPr>
                <w:sz w:val="18"/>
                <w:lang w:val="en-US"/>
              </w:rPr>
              <w:t>1975 536</w:t>
            </w:r>
          </w:p>
        </w:tc>
        <w:tc>
          <w:tcPr>
            <w:tcW w:w="2254" w:type="dxa"/>
            <w:shd w:val="clear" w:color="auto" w:fill="auto"/>
            <w:vAlign w:val="bottom"/>
          </w:tcPr>
          <w:p w:rsidR="004B0C37" w:rsidRPr="00A772ED" w:rsidRDefault="004B0C37" w:rsidP="00A772ED">
            <w:pPr>
              <w:suppressAutoHyphens w:val="0"/>
              <w:spacing w:before="40" w:after="40" w:line="220" w:lineRule="exact"/>
              <w:ind w:right="113"/>
              <w:jc w:val="right"/>
              <w:rPr>
                <w:sz w:val="18"/>
                <w:rtl/>
                <w:lang w:val="en-US" w:bidi="ar-QA"/>
              </w:rPr>
            </w:pPr>
            <w:r w:rsidRPr="00A772ED">
              <w:rPr>
                <w:sz w:val="18"/>
                <w:lang w:val="en-US"/>
              </w:rPr>
              <w:t>642 098</w:t>
            </w:r>
          </w:p>
        </w:tc>
        <w:tc>
          <w:tcPr>
            <w:tcW w:w="2254" w:type="dxa"/>
            <w:shd w:val="clear" w:color="auto" w:fill="auto"/>
            <w:vAlign w:val="bottom"/>
          </w:tcPr>
          <w:p w:rsidR="004B0C37" w:rsidRPr="00A772ED" w:rsidRDefault="004B0C37" w:rsidP="00A772ED">
            <w:pPr>
              <w:suppressAutoHyphens w:val="0"/>
              <w:spacing w:before="40" w:after="40" w:line="220" w:lineRule="exact"/>
              <w:ind w:right="113"/>
              <w:jc w:val="right"/>
              <w:rPr>
                <w:sz w:val="18"/>
                <w:rtl/>
                <w:lang w:val="en-US" w:bidi="ar-QA"/>
              </w:rPr>
            </w:pPr>
            <w:r w:rsidRPr="00A772ED">
              <w:rPr>
                <w:sz w:val="18"/>
                <w:lang w:val="en-US"/>
              </w:rPr>
              <w:t>2 617 634</w:t>
            </w:r>
          </w:p>
        </w:tc>
      </w:tr>
      <w:tr w:rsidR="004B0C37" w:rsidRPr="00A772ED" w:rsidTr="00A772ED">
        <w:tc>
          <w:tcPr>
            <w:tcW w:w="2254" w:type="dxa"/>
            <w:shd w:val="clear" w:color="auto" w:fill="auto"/>
          </w:tcPr>
          <w:p w:rsidR="004B0C37" w:rsidRPr="00A772ED" w:rsidRDefault="004B0C37" w:rsidP="00A772ED">
            <w:pPr>
              <w:suppressAutoHyphens w:val="0"/>
              <w:spacing w:before="40" w:after="40" w:line="220" w:lineRule="exact"/>
              <w:ind w:right="113"/>
              <w:rPr>
                <w:sz w:val="18"/>
              </w:rPr>
            </w:pPr>
            <w:r w:rsidRPr="00A772ED">
              <w:rPr>
                <w:sz w:val="18"/>
              </w:rPr>
              <w:t>2017</w:t>
            </w:r>
          </w:p>
        </w:tc>
        <w:tc>
          <w:tcPr>
            <w:tcW w:w="2254" w:type="dxa"/>
            <w:shd w:val="clear" w:color="auto" w:fill="auto"/>
            <w:vAlign w:val="bottom"/>
          </w:tcPr>
          <w:p w:rsidR="004B0C37" w:rsidRPr="00A772ED" w:rsidRDefault="004B0C37" w:rsidP="00A772ED">
            <w:pPr>
              <w:suppressAutoHyphens w:val="0"/>
              <w:spacing w:before="40" w:after="40" w:line="220" w:lineRule="exact"/>
              <w:ind w:right="113"/>
              <w:jc w:val="right"/>
              <w:rPr>
                <w:sz w:val="18"/>
                <w:lang w:val="en-US"/>
              </w:rPr>
            </w:pPr>
            <w:r w:rsidRPr="00A772ED">
              <w:rPr>
                <w:sz w:val="18"/>
                <w:lang w:val="en-US"/>
              </w:rPr>
              <w:t>2 046 047</w:t>
            </w:r>
          </w:p>
        </w:tc>
        <w:tc>
          <w:tcPr>
            <w:tcW w:w="2254" w:type="dxa"/>
            <w:shd w:val="clear" w:color="auto" w:fill="auto"/>
            <w:vAlign w:val="bottom"/>
          </w:tcPr>
          <w:p w:rsidR="004B0C37" w:rsidRPr="00A772ED" w:rsidRDefault="004B0C37" w:rsidP="00A772ED">
            <w:pPr>
              <w:suppressAutoHyphens w:val="0"/>
              <w:spacing w:before="40" w:after="40" w:line="220" w:lineRule="exact"/>
              <w:ind w:right="113"/>
              <w:jc w:val="right"/>
              <w:rPr>
                <w:sz w:val="18"/>
                <w:lang w:val="en-US"/>
              </w:rPr>
            </w:pPr>
            <w:r w:rsidRPr="00A772ED">
              <w:rPr>
                <w:sz w:val="18"/>
                <w:lang w:val="en-US"/>
              </w:rPr>
              <w:t>678 559</w:t>
            </w:r>
          </w:p>
        </w:tc>
        <w:tc>
          <w:tcPr>
            <w:tcW w:w="2254" w:type="dxa"/>
            <w:shd w:val="clear" w:color="auto" w:fill="auto"/>
            <w:vAlign w:val="bottom"/>
          </w:tcPr>
          <w:p w:rsidR="004B0C37" w:rsidRPr="00A772ED" w:rsidRDefault="004B0C37" w:rsidP="00A772ED">
            <w:pPr>
              <w:suppressAutoHyphens w:val="0"/>
              <w:spacing w:before="40" w:after="40" w:line="220" w:lineRule="exact"/>
              <w:ind w:right="113"/>
              <w:jc w:val="right"/>
              <w:rPr>
                <w:sz w:val="18"/>
                <w:lang w:val="en-US"/>
              </w:rPr>
            </w:pPr>
            <w:r w:rsidRPr="00A772ED">
              <w:rPr>
                <w:sz w:val="18"/>
                <w:lang w:val="en-US"/>
              </w:rPr>
              <w:t>2 724 606</w:t>
            </w:r>
          </w:p>
        </w:tc>
      </w:tr>
    </w:tbl>
    <w:p w:rsidR="004B0C37" w:rsidRPr="00841CC2" w:rsidRDefault="004B0C37" w:rsidP="00841CC2">
      <w:pPr>
        <w:spacing w:before="120"/>
        <w:ind w:left="1134" w:right="1134" w:firstLine="170"/>
        <w:rPr>
          <w:sz w:val="18"/>
        </w:rPr>
      </w:pPr>
      <w:r w:rsidRPr="00841CC2">
        <w:rPr>
          <w:i/>
          <w:iCs/>
          <w:sz w:val="18"/>
        </w:rPr>
        <w:t>Source:</w:t>
      </w:r>
      <w:r w:rsidRPr="00841CC2">
        <w:rPr>
          <w:sz w:val="18"/>
        </w:rPr>
        <w:t xml:space="preserve"> </w:t>
      </w:r>
      <w:r w:rsidR="00841CC2">
        <w:rPr>
          <w:sz w:val="18"/>
        </w:rPr>
        <w:t xml:space="preserve"> </w:t>
      </w:r>
      <w:r w:rsidRPr="00841CC2">
        <w:rPr>
          <w:sz w:val="18"/>
        </w:rPr>
        <w:t>Ministry of Development Planning and Statistics: Population and Social Statistics (Annual Statistical Abstract, 2017)</w:t>
      </w:r>
      <w:r w:rsidR="00841CC2">
        <w:rPr>
          <w:sz w:val="18"/>
        </w:rPr>
        <w:t>.</w:t>
      </w:r>
    </w:p>
    <w:p w:rsidR="004B0C37" w:rsidRPr="00D51DA5" w:rsidRDefault="004B0C37" w:rsidP="00D51DA5">
      <w:pPr>
        <w:pStyle w:val="Heading1"/>
        <w:keepNext/>
        <w:keepLines/>
        <w:rPr>
          <w:b/>
          <w:bCs/>
        </w:rPr>
      </w:pPr>
      <w:r w:rsidRPr="0034732A">
        <w:lastRenderedPageBreak/>
        <w:t>Figure 1</w:t>
      </w:r>
      <w:r w:rsidR="00D51DA5">
        <w:br/>
      </w:r>
      <w:r w:rsidRPr="00D51DA5">
        <w:rPr>
          <w:b/>
          <w:bCs/>
        </w:rPr>
        <w:t>Popula</w:t>
      </w:r>
      <w:r w:rsidR="00D51DA5">
        <w:rPr>
          <w:b/>
          <w:bCs/>
        </w:rPr>
        <w:t>tion of Qatar (thousands), 2012–</w:t>
      </w:r>
      <w:r w:rsidRPr="00D51DA5">
        <w:rPr>
          <w:b/>
          <w:bCs/>
        </w:rPr>
        <w:t>2016</w:t>
      </w:r>
    </w:p>
    <w:p w:rsidR="004B0C37" w:rsidRPr="0034732A" w:rsidRDefault="004B0C37" w:rsidP="004B0C37">
      <w:r w:rsidRPr="0034732A">
        <w:rPr>
          <w:rFonts w:ascii="Traditional Arabic" w:hAnsi="Traditional Arabic" w:cs="Traditional Arabic"/>
          <w:noProof/>
          <w:sz w:val="30"/>
          <w:szCs w:val="30"/>
          <w:lang w:eastAsia="zh-CN"/>
        </w:rPr>
        <w:drawing>
          <wp:inline distT="0" distB="0" distL="0" distR="0" wp14:anchorId="5E6361D5" wp14:editId="25AD1780">
            <wp:extent cx="4895850" cy="219075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B0C37" w:rsidRPr="00C74722" w:rsidRDefault="004B0C37" w:rsidP="00C74722">
      <w:pPr>
        <w:spacing w:before="120"/>
        <w:ind w:left="1134" w:right="1134" w:firstLine="170"/>
        <w:rPr>
          <w:sz w:val="18"/>
        </w:rPr>
      </w:pPr>
      <w:r w:rsidRPr="00C74722">
        <w:rPr>
          <w:i/>
          <w:iCs/>
          <w:sz w:val="18"/>
        </w:rPr>
        <w:t>Source:</w:t>
      </w:r>
      <w:r w:rsidRPr="00C74722">
        <w:rPr>
          <w:sz w:val="18"/>
        </w:rPr>
        <w:t xml:space="preserve"> </w:t>
      </w:r>
      <w:r w:rsidR="00C74722">
        <w:rPr>
          <w:sz w:val="18"/>
        </w:rPr>
        <w:t xml:space="preserve"> </w:t>
      </w:r>
      <w:r w:rsidRPr="00C74722">
        <w:rPr>
          <w:sz w:val="18"/>
        </w:rPr>
        <w:t>Ministry of Development Planning and Statistics</w:t>
      </w:r>
      <w:r w:rsidR="00F86558">
        <w:rPr>
          <w:sz w:val="18"/>
        </w:rPr>
        <w:t>.</w:t>
      </w:r>
    </w:p>
    <w:p w:rsidR="004B0C37" w:rsidRPr="0034732A" w:rsidRDefault="004B0C37" w:rsidP="00C87965">
      <w:pPr>
        <w:pStyle w:val="SingleTxtG"/>
        <w:spacing w:before="240" w:after="240"/>
      </w:pPr>
      <w:r w:rsidRPr="0034732A">
        <w:t>4</w:t>
      </w:r>
      <w:r w:rsidR="009D1BD8">
        <w:t>.</w:t>
      </w:r>
      <w:r w:rsidR="009D1BD8">
        <w:tab/>
      </w:r>
      <w:r w:rsidRPr="0034732A">
        <w:t>Table 2 shows the age makeup of the Qatari population in the year 2016.</w:t>
      </w:r>
      <w:r w:rsidR="007F4A3A">
        <w:t xml:space="preserve"> </w:t>
      </w:r>
      <w:r w:rsidRPr="0034732A">
        <w:t xml:space="preserve">The population pyramid in figure 2 shows the total </w:t>
      </w:r>
      <w:r>
        <w:t xml:space="preserve">number of </w:t>
      </w:r>
      <w:r w:rsidRPr="0034732A">
        <w:t xml:space="preserve">Qataris and non-Qataris </w:t>
      </w:r>
      <w:r>
        <w:t xml:space="preserve">in the population </w:t>
      </w:r>
      <w:r w:rsidRPr="0034732A">
        <w:t xml:space="preserve">and the </w:t>
      </w:r>
      <w:r>
        <w:t>distorting effect of</w:t>
      </w:r>
      <w:r w:rsidR="007F4A3A">
        <w:t xml:space="preserve"> </w:t>
      </w:r>
      <w:r w:rsidRPr="0034732A">
        <w:t xml:space="preserve">the increase in the numbers of </w:t>
      </w:r>
      <w:r>
        <w:t xml:space="preserve">migrant </w:t>
      </w:r>
      <w:r w:rsidRPr="0034732A">
        <w:t>workers, especially non-Qatari males.</w:t>
      </w:r>
      <w:r w:rsidR="007F4A3A">
        <w:t xml:space="preserve"> </w:t>
      </w:r>
      <w:r w:rsidRPr="0034732A">
        <w:t xml:space="preserve">The population pyramid in figure 3 shows the </w:t>
      </w:r>
      <w:r>
        <w:t xml:space="preserve">gender </w:t>
      </w:r>
      <w:r w:rsidRPr="0034732A">
        <w:t>balance</w:t>
      </w:r>
      <w:r w:rsidR="007F4A3A">
        <w:t xml:space="preserve"> </w:t>
      </w:r>
      <w:r w:rsidRPr="0034732A">
        <w:t xml:space="preserve">in the </w:t>
      </w:r>
      <w:r>
        <w:t xml:space="preserve">Qatari </w:t>
      </w:r>
      <w:r w:rsidRPr="0034732A">
        <w:t>population.</w:t>
      </w:r>
    </w:p>
    <w:p w:rsidR="004B0C37" w:rsidRPr="00AD2D4D" w:rsidRDefault="004B0C37" w:rsidP="00D51957">
      <w:pPr>
        <w:pStyle w:val="Heading1"/>
        <w:spacing w:after="120"/>
        <w:rPr>
          <w:b/>
          <w:bCs/>
        </w:rPr>
      </w:pPr>
      <w:r w:rsidRPr="0034732A">
        <w:rPr>
          <w:bCs/>
        </w:rPr>
        <w:t>Table 2</w:t>
      </w:r>
      <w:r w:rsidR="00AD2D4D">
        <w:rPr>
          <w:bCs/>
        </w:rPr>
        <w:br/>
      </w:r>
      <w:r w:rsidRPr="00AD2D4D">
        <w:rPr>
          <w:b/>
          <w:bCs/>
        </w:rPr>
        <w:t>Relative distribution of inhabitants by broad age group, nationali</w:t>
      </w:r>
      <w:r w:rsidR="00F71DEA">
        <w:rPr>
          <w:b/>
          <w:bCs/>
        </w:rPr>
        <w:t>ty and sex (mid-year population </w:t>
      </w:r>
      <w:r w:rsidRPr="00AD2D4D">
        <w:rPr>
          <w:b/>
          <w:bCs/>
        </w:rPr>
        <w:t>estimates) in 2016</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29"/>
        <w:gridCol w:w="1229"/>
        <w:gridCol w:w="1228"/>
        <w:gridCol w:w="1228"/>
        <w:gridCol w:w="1228"/>
        <w:gridCol w:w="1228"/>
      </w:tblGrid>
      <w:tr w:rsidR="004B0C37" w:rsidRPr="00B76804" w:rsidTr="00B76804">
        <w:trPr>
          <w:tblHeader/>
        </w:trPr>
        <w:tc>
          <w:tcPr>
            <w:tcW w:w="1220" w:type="dxa"/>
            <w:tcBorders>
              <w:top w:val="single" w:sz="4" w:space="0" w:color="auto"/>
              <w:bottom w:val="single" w:sz="12" w:space="0" w:color="auto"/>
            </w:tcBorders>
            <w:shd w:val="clear" w:color="auto" w:fill="auto"/>
            <w:vAlign w:val="bottom"/>
          </w:tcPr>
          <w:p w:rsidR="004B0C37" w:rsidRPr="00B76804" w:rsidRDefault="004B0C37" w:rsidP="00B76804">
            <w:pPr>
              <w:suppressAutoHyphens w:val="0"/>
              <w:spacing w:before="80" w:after="80" w:line="200" w:lineRule="exact"/>
              <w:ind w:right="113"/>
              <w:rPr>
                <w:i/>
                <w:sz w:val="16"/>
              </w:rPr>
            </w:pPr>
            <w:r w:rsidRPr="00B76804">
              <w:rPr>
                <w:i/>
                <w:sz w:val="16"/>
              </w:rPr>
              <w:t>Nationality</w:t>
            </w:r>
          </w:p>
        </w:tc>
        <w:tc>
          <w:tcPr>
            <w:tcW w:w="1220" w:type="dxa"/>
            <w:tcBorders>
              <w:top w:val="single" w:sz="4" w:space="0" w:color="auto"/>
              <w:bottom w:val="single" w:sz="12" w:space="0" w:color="auto"/>
            </w:tcBorders>
            <w:shd w:val="clear" w:color="auto" w:fill="auto"/>
            <w:vAlign w:val="bottom"/>
          </w:tcPr>
          <w:p w:rsidR="004B0C37" w:rsidRPr="00B76804" w:rsidRDefault="004B0C37" w:rsidP="0080707F">
            <w:pPr>
              <w:suppressAutoHyphens w:val="0"/>
              <w:spacing w:before="80" w:after="80" w:line="200" w:lineRule="exact"/>
              <w:ind w:right="113"/>
              <w:rPr>
                <w:i/>
                <w:sz w:val="16"/>
              </w:rPr>
            </w:pPr>
            <w:r w:rsidRPr="00B76804">
              <w:rPr>
                <w:i/>
                <w:sz w:val="16"/>
              </w:rPr>
              <w:t>Sex</w:t>
            </w:r>
          </w:p>
        </w:tc>
        <w:tc>
          <w:tcPr>
            <w:tcW w:w="1220" w:type="dxa"/>
            <w:tcBorders>
              <w:top w:val="single" w:sz="4" w:space="0" w:color="auto"/>
              <w:bottom w:val="single" w:sz="12" w:space="0" w:color="auto"/>
            </w:tcBorders>
            <w:shd w:val="clear" w:color="auto" w:fill="auto"/>
            <w:vAlign w:val="bottom"/>
          </w:tcPr>
          <w:p w:rsidR="004B0C37" w:rsidRPr="00B76804" w:rsidRDefault="0080707F" w:rsidP="00B76804">
            <w:pPr>
              <w:suppressAutoHyphens w:val="0"/>
              <w:spacing w:before="80" w:after="80" w:line="200" w:lineRule="exact"/>
              <w:ind w:right="113"/>
              <w:jc w:val="right"/>
              <w:rPr>
                <w:i/>
                <w:sz w:val="16"/>
              </w:rPr>
            </w:pPr>
            <w:r>
              <w:rPr>
                <w:i/>
                <w:sz w:val="16"/>
              </w:rPr>
              <w:t>Age 0–</w:t>
            </w:r>
            <w:r w:rsidR="004B0C37" w:rsidRPr="00B76804">
              <w:rPr>
                <w:i/>
                <w:sz w:val="16"/>
              </w:rPr>
              <w:t>14</w:t>
            </w:r>
          </w:p>
        </w:tc>
        <w:tc>
          <w:tcPr>
            <w:tcW w:w="1220" w:type="dxa"/>
            <w:tcBorders>
              <w:top w:val="single" w:sz="4" w:space="0" w:color="auto"/>
              <w:bottom w:val="single" w:sz="12" w:space="0" w:color="auto"/>
            </w:tcBorders>
            <w:shd w:val="clear" w:color="auto" w:fill="auto"/>
            <w:vAlign w:val="bottom"/>
          </w:tcPr>
          <w:p w:rsidR="004B0C37" w:rsidRPr="00B76804" w:rsidRDefault="004B0C37" w:rsidP="0080707F">
            <w:pPr>
              <w:suppressAutoHyphens w:val="0"/>
              <w:spacing w:before="80" w:after="80" w:line="200" w:lineRule="exact"/>
              <w:ind w:right="113"/>
              <w:jc w:val="right"/>
              <w:rPr>
                <w:i/>
                <w:sz w:val="16"/>
              </w:rPr>
            </w:pPr>
            <w:r w:rsidRPr="00B76804">
              <w:rPr>
                <w:i/>
                <w:sz w:val="16"/>
              </w:rPr>
              <w:t>Age 15</w:t>
            </w:r>
            <w:r w:rsidR="0080707F">
              <w:rPr>
                <w:i/>
                <w:sz w:val="16"/>
              </w:rPr>
              <w:t>–</w:t>
            </w:r>
            <w:r w:rsidRPr="00B76804">
              <w:rPr>
                <w:i/>
                <w:sz w:val="16"/>
              </w:rPr>
              <w:t>64</w:t>
            </w:r>
          </w:p>
        </w:tc>
        <w:tc>
          <w:tcPr>
            <w:tcW w:w="1220" w:type="dxa"/>
            <w:tcBorders>
              <w:top w:val="single" w:sz="4" w:space="0" w:color="auto"/>
              <w:bottom w:val="single" w:sz="12" w:space="0" w:color="auto"/>
            </w:tcBorders>
            <w:shd w:val="clear" w:color="auto" w:fill="auto"/>
            <w:vAlign w:val="bottom"/>
          </w:tcPr>
          <w:p w:rsidR="004B0C37" w:rsidRPr="00B76804" w:rsidRDefault="004B0C37" w:rsidP="00B76804">
            <w:pPr>
              <w:suppressAutoHyphens w:val="0"/>
              <w:spacing w:before="80" w:after="80" w:line="200" w:lineRule="exact"/>
              <w:ind w:right="113"/>
              <w:jc w:val="right"/>
              <w:rPr>
                <w:i/>
                <w:sz w:val="16"/>
              </w:rPr>
            </w:pPr>
            <w:r w:rsidRPr="00B76804">
              <w:rPr>
                <w:i/>
                <w:sz w:val="16"/>
              </w:rPr>
              <w:t>Age 65 and older</w:t>
            </w:r>
          </w:p>
        </w:tc>
        <w:tc>
          <w:tcPr>
            <w:tcW w:w="1220" w:type="dxa"/>
            <w:tcBorders>
              <w:top w:val="single" w:sz="4" w:space="0" w:color="auto"/>
              <w:bottom w:val="single" w:sz="12" w:space="0" w:color="auto"/>
            </w:tcBorders>
            <w:shd w:val="clear" w:color="auto" w:fill="auto"/>
            <w:vAlign w:val="bottom"/>
          </w:tcPr>
          <w:p w:rsidR="004B0C37" w:rsidRPr="00B76804" w:rsidRDefault="004B0C37" w:rsidP="00B76804">
            <w:pPr>
              <w:suppressAutoHyphens w:val="0"/>
              <w:spacing w:before="80" w:after="80" w:line="200" w:lineRule="exact"/>
              <w:ind w:right="113"/>
              <w:jc w:val="right"/>
              <w:rPr>
                <w:i/>
                <w:sz w:val="16"/>
              </w:rPr>
            </w:pPr>
            <w:r w:rsidRPr="00B76804">
              <w:rPr>
                <w:i/>
                <w:sz w:val="16"/>
              </w:rPr>
              <w:t>Total</w:t>
            </w:r>
          </w:p>
        </w:tc>
      </w:tr>
      <w:tr w:rsidR="004B0C37" w:rsidRPr="00B76804" w:rsidTr="00B76804">
        <w:trPr>
          <w:trHeight w:hRule="exact" w:val="115"/>
          <w:tblHeader/>
        </w:trPr>
        <w:tc>
          <w:tcPr>
            <w:tcW w:w="1220" w:type="dxa"/>
            <w:tcBorders>
              <w:top w:val="single" w:sz="12" w:space="0" w:color="auto"/>
            </w:tcBorders>
            <w:shd w:val="clear" w:color="auto" w:fill="auto"/>
          </w:tcPr>
          <w:p w:rsidR="004B0C37" w:rsidRPr="00B76804" w:rsidRDefault="004B0C37" w:rsidP="00B76804">
            <w:pPr>
              <w:suppressAutoHyphens w:val="0"/>
              <w:spacing w:before="40" w:after="40" w:line="220" w:lineRule="exact"/>
              <w:ind w:right="113"/>
              <w:rPr>
                <w:sz w:val="18"/>
              </w:rPr>
            </w:pPr>
          </w:p>
        </w:tc>
        <w:tc>
          <w:tcPr>
            <w:tcW w:w="1220" w:type="dxa"/>
            <w:tcBorders>
              <w:top w:val="single" w:sz="12" w:space="0" w:color="auto"/>
            </w:tcBorders>
            <w:shd w:val="clear" w:color="auto" w:fill="auto"/>
            <w:vAlign w:val="bottom"/>
          </w:tcPr>
          <w:p w:rsidR="004B0C37" w:rsidRPr="00B76804" w:rsidRDefault="004B0C37" w:rsidP="0080707F">
            <w:pPr>
              <w:suppressAutoHyphens w:val="0"/>
              <w:spacing w:before="40" w:after="40" w:line="220" w:lineRule="exact"/>
              <w:ind w:right="113"/>
              <w:rPr>
                <w:sz w:val="18"/>
              </w:rPr>
            </w:pPr>
          </w:p>
        </w:tc>
        <w:tc>
          <w:tcPr>
            <w:tcW w:w="1220" w:type="dxa"/>
            <w:tcBorders>
              <w:top w:val="single" w:sz="12" w:space="0" w:color="auto"/>
            </w:tcBorders>
            <w:shd w:val="clear" w:color="auto" w:fill="auto"/>
            <w:vAlign w:val="bottom"/>
          </w:tcPr>
          <w:p w:rsidR="004B0C37" w:rsidRPr="00B76804" w:rsidRDefault="004B0C37" w:rsidP="00B76804">
            <w:pPr>
              <w:suppressAutoHyphens w:val="0"/>
              <w:spacing w:before="40" w:after="40" w:line="220" w:lineRule="exact"/>
              <w:ind w:right="113"/>
              <w:jc w:val="right"/>
              <w:rPr>
                <w:sz w:val="18"/>
              </w:rPr>
            </w:pPr>
          </w:p>
        </w:tc>
        <w:tc>
          <w:tcPr>
            <w:tcW w:w="1220" w:type="dxa"/>
            <w:tcBorders>
              <w:top w:val="single" w:sz="12" w:space="0" w:color="auto"/>
            </w:tcBorders>
            <w:shd w:val="clear" w:color="auto" w:fill="auto"/>
            <w:vAlign w:val="bottom"/>
          </w:tcPr>
          <w:p w:rsidR="004B0C37" w:rsidRPr="00B76804" w:rsidRDefault="004B0C37" w:rsidP="00B76804">
            <w:pPr>
              <w:suppressAutoHyphens w:val="0"/>
              <w:spacing w:before="40" w:after="40" w:line="220" w:lineRule="exact"/>
              <w:ind w:right="113"/>
              <w:jc w:val="right"/>
              <w:rPr>
                <w:sz w:val="18"/>
              </w:rPr>
            </w:pPr>
          </w:p>
        </w:tc>
        <w:tc>
          <w:tcPr>
            <w:tcW w:w="1220" w:type="dxa"/>
            <w:tcBorders>
              <w:top w:val="single" w:sz="12" w:space="0" w:color="auto"/>
            </w:tcBorders>
            <w:shd w:val="clear" w:color="auto" w:fill="auto"/>
            <w:vAlign w:val="bottom"/>
          </w:tcPr>
          <w:p w:rsidR="004B0C37" w:rsidRPr="00B76804" w:rsidRDefault="004B0C37" w:rsidP="00B76804">
            <w:pPr>
              <w:suppressAutoHyphens w:val="0"/>
              <w:spacing w:before="40" w:after="40" w:line="220" w:lineRule="exact"/>
              <w:ind w:right="113"/>
              <w:jc w:val="right"/>
              <w:rPr>
                <w:sz w:val="18"/>
              </w:rPr>
            </w:pPr>
          </w:p>
        </w:tc>
        <w:tc>
          <w:tcPr>
            <w:tcW w:w="1220" w:type="dxa"/>
            <w:tcBorders>
              <w:top w:val="single" w:sz="12" w:space="0" w:color="auto"/>
            </w:tcBorders>
            <w:shd w:val="clear" w:color="auto" w:fill="auto"/>
            <w:vAlign w:val="bottom"/>
          </w:tcPr>
          <w:p w:rsidR="004B0C37" w:rsidRPr="00B76804" w:rsidRDefault="004B0C37" w:rsidP="00B76804">
            <w:pPr>
              <w:suppressAutoHyphens w:val="0"/>
              <w:spacing w:before="40" w:after="40" w:line="220" w:lineRule="exact"/>
              <w:ind w:right="113"/>
              <w:jc w:val="right"/>
              <w:rPr>
                <w:sz w:val="18"/>
              </w:rPr>
            </w:pPr>
          </w:p>
        </w:tc>
      </w:tr>
      <w:tr w:rsidR="004B0C37" w:rsidRPr="00B76804" w:rsidTr="00B76804">
        <w:tc>
          <w:tcPr>
            <w:tcW w:w="1220" w:type="dxa"/>
            <w:vMerge w:val="restart"/>
            <w:shd w:val="clear" w:color="auto" w:fill="auto"/>
          </w:tcPr>
          <w:p w:rsidR="004B0C37" w:rsidRPr="00B76804" w:rsidRDefault="004B0C37" w:rsidP="00B76804">
            <w:pPr>
              <w:suppressAutoHyphens w:val="0"/>
              <w:spacing w:before="40" w:after="40" w:line="220" w:lineRule="exact"/>
              <w:ind w:right="113"/>
              <w:rPr>
                <w:sz w:val="18"/>
              </w:rPr>
            </w:pPr>
            <w:r w:rsidRPr="00B76804">
              <w:rPr>
                <w:sz w:val="18"/>
              </w:rPr>
              <w:t>Qataris</w:t>
            </w:r>
          </w:p>
        </w:tc>
        <w:tc>
          <w:tcPr>
            <w:tcW w:w="1220" w:type="dxa"/>
            <w:shd w:val="clear" w:color="auto" w:fill="auto"/>
            <w:vAlign w:val="bottom"/>
          </w:tcPr>
          <w:p w:rsidR="004B0C37" w:rsidRPr="00B76804" w:rsidRDefault="004B0C37" w:rsidP="0080707F">
            <w:pPr>
              <w:suppressAutoHyphens w:val="0"/>
              <w:spacing w:before="40" w:after="40" w:line="220" w:lineRule="exact"/>
              <w:ind w:right="113"/>
              <w:rPr>
                <w:sz w:val="18"/>
              </w:rPr>
            </w:pPr>
            <w:r w:rsidRPr="00B76804">
              <w:rPr>
                <w:sz w:val="18"/>
              </w:rPr>
              <w:t>Females</w:t>
            </w:r>
          </w:p>
        </w:tc>
        <w:tc>
          <w:tcPr>
            <w:tcW w:w="1220" w:type="dxa"/>
            <w:shd w:val="clear" w:color="auto" w:fill="auto"/>
            <w:vAlign w:val="bottom"/>
          </w:tcPr>
          <w:p w:rsidR="004B0C37" w:rsidRPr="00B76804" w:rsidRDefault="004B0C37" w:rsidP="00B76804">
            <w:pPr>
              <w:suppressAutoHyphens w:val="0"/>
              <w:spacing w:before="40" w:after="40" w:line="220" w:lineRule="exact"/>
              <w:ind w:right="113"/>
              <w:jc w:val="right"/>
              <w:rPr>
                <w:sz w:val="18"/>
              </w:rPr>
            </w:pPr>
            <w:r w:rsidRPr="00B76804">
              <w:rPr>
                <w:sz w:val="18"/>
              </w:rPr>
              <w:t>36.5</w:t>
            </w:r>
          </w:p>
        </w:tc>
        <w:tc>
          <w:tcPr>
            <w:tcW w:w="1220" w:type="dxa"/>
            <w:shd w:val="clear" w:color="auto" w:fill="auto"/>
            <w:vAlign w:val="bottom"/>
          </w:tcPr>
          <w:p w:rsidR="004B0C37" w:rsidRPr="00B76804" w:rsidRDefault="004B0C37" w:rsidP="00B76804">
            <w:pPr>
              <w:suppressAutoHyphens w:val="0"/>
              <w:spacing w:before="40" w:after="40" w:line="220" w:lineRule="exact"/>
              <w:ind w:right="113"/>
              <w:jc w:val="right"/>
              <w:rPr>
                <w:sz w:val="18"/>
              </w:rPr>
            </w:pPr>
            <w:r w:rsidRPr="00B76804">
              <w:rPr>
                <w:sz w:val="18"/>
              </w:rPr>
              <w:t>59.8</w:t>
            </w:r>
          </w:p>
        </w:tc>
        <w:tc>
          <w:tcPr>
            <w:tcW w:w="1220" w:type="dxa"/>
            <w:shd w:val="clear" w:color="auto" w:fill="auto"/>
            <w:vAlign w:val="bottom"/>
          </w:tcPr>
          <w:p w:rsidR="004B0C37" w:rsidRPr="00B76804" w:rsidRDefault="004B0C37" w:rsidP="00B76804">
            <w:pPr>
              <w:suppressAutoHyphens w:val="0"/>
              <w:spacing w:before="40" w:after="40" w:line="220" w:lineRule="exact"/>
              <w:ind w:right="113"/>
              <w:jc w:val="right"/>
              <w:rPr>
                <w:sz w:val="18"/>
              </w:rPr>
            </w:pPr>
            <w:r w:rsidRPr="00B76804">
              <w:rPr>
                <w:sz w:val="18"/>
              </w:rPr>
              <w:t>3.7</w:t>
            </w:r>
          </w:p>
        </w:tc>
        <w:tc>
          <w:tcPr>
            <w:tcW w:w="1220" w:type="dxa"/>
            <w:shd w:val="clear" w:color="auto" w:fill="auto"/>
            <w:vAlign w:val="bottom"/>
          </w:tcPr>
          <w:p w:rsidR="004B0C37" w:rsidRPr="00B76804" w:rsidRDefault="004B0C37" w:rsidP="00B76804">
            <w:pPr>
              <w:suppressAutoHyphens w:val="0"/>
              <w:spacing w:before="40" w:after="40" w:line="220" w:lineRule="exact"/>
              <w:ind w:right="113"/>
              <w:jc w:val="right"/>
              <w:rPr>
                <w:sz w:val="18"/>
              </w:rPr>
            </w:pPr>
            <w:r w:rsidRPr="00B76804">
              <w:rPr>
                <w:sz w:val="18"/>
              </w:rPr>
              <w:t>100</w:t>
            </w:r>
          </w:p>
        </w:tc>
      </w:tr>
      <w:tr w:rsidR="004B0C37" w:rsidRPr="00B76804" w:rsidTr="00B76804">
        <w:tc>
          <w:tcPr>
            <w:tcW w:w="1220" w:type="dxa"/>
            <w:vMerge/>
            <w:shd w:val="clear" w:color="auto" w:fill="auto"/>
          </w:tcPr>
          <w:p w:rsidR="004B0C37" w:rsidRPr="00B76804" w:rsidRDefault="004B0C37" w:rsidP="00B76804">
            <w:pPr>
              <w:suppressAutoHyphens w:val="0"/>
              <w:spacing w:before="40" w:after="40" w:line="220" w:lineRule="exact"/>
              <w:ind w:right="113"/>
              <w:rPr>
                <w:sz w:val="18"/>
              </w:rPr>
            </w:pPr>
          </w:p>
        </w:tc>
        <w:tc>
          <w:tcPr>
            <w:tcW w:w="1220" w:type="dxa"/>
            <w:shd w:val="clear" w:color="auto" w:fill="auto"/>
            <w:vAlign w:val="bottom"/>
          </w:tcPr>
          <w:p w:rsidR="004B0C37" w:rsidRPr="00B76804" w:rsidRDefault="004B0C37" w:rsidP="0080707F">
            <w:pPr>
              <w:suppressAutoHyphens w:val="0"/>
              <w:spacing w:before="40" w:after="40" w:line="220" w:lineRule="exact"/>
              <w:ind w:right="113"/>
              <w:rPr>
                <w:sz w:val="18"/>
              </w:rPr>
            </w:pPr>
            <w:r w:rsidRPr="00B76804">
              <w:rPr>
                <w:sz w:val="18"/>
              </w:rPr>
              <w:t>Males</w:t>
            </w:r>
          </w:p>
        </w:tc>
        <w:tc>
          <w:tcPr>
            <w:tcW w:w="1220" w:type="dxa"/>
            <w:shd w:val="clear" w:color="auto" w:fill="auto"/>
            <w:vAlign w:val="bottom"/>
          </w:tcPr>
          <w:p w:rsidR="004B0C37" w:rsidRPr="00B76804" w:rsidRDefault="004B0C37" w:rsidP="00B76804">
            <w:pPr>
              <w:suppressAutoHyphens w:val="0"/>
              <w:spacing w:before="40" w:after="40" w:line="220" w:lineRule="exact"/>
              <w:ind w:right="113"/>
              <w:jc w:val="right"/>
              <w:rPr>
                <w:sz w:val="18"/>
              </w:rPr>
            </w:pPr>
            <w:r w:rsidRPr="00B76804">
              <w:rPr>
                <w:sz w:val="18"/>
              </w:rPr>
              <w:t>38.9</w:t>
            </w:r>
          </w:p>
        </w:tc>
        <w:tc>
          <w:tcPr>
            <w:tcW w:w="1220" w:type="dxa"/>
            <w:shd w:val="clear" w:color="auto" w:fill="auto"/>
            <w:vAlign w:val="bottom"/>
          </w:tcPr>
          <w:p w:rsidR="004B0C37" w:rsidRPr="00B76804" w:rsidRDefault="004B0C37" w:rsidP="00B76804">
            <w:pPr>
              <w:suppressAutoHyphens w:val="0"/>
              <w:spacing w:before="40" w:after="40" w:line="220" w:lineRule="exact"/>
              <w:ind w:right="113"/>
              <w:jc w:val="right"/>
              <w:rPr>
                <w:sz w:val="18"/>
              </w:rPr>
            </w:pPr>
            <w:r w:rsidRPr="00B76804">
              <w:rPr>
                <w:sz w:val="18"/>
              </w:rPr>
              <w:t>57.8</w:t>
            </w:r>
          </w:p>
        </w:tc>
        <w:tc>
          <w:tcPr>
            <w:tcW w:w="1220" w:type="dxa"/>
            <w:shd w:val="clear" w:color="auto" w:fill="auto"/>
            <w:vAlign w:val="bottom"/>
          </w:tcPr>
          <w:p w:rsidR="004B0C37" w:rsidRPr="00B76804" w:rsidRDefault="004B0C37" w:rsidP="00B76804">
            <w:pPr>
              <w:suppressAutoHyphens w:val="0"/>
              <w:spacing w:before="40" w:after="40" w:line="220" w:lineRule="exact"/>
              <w:ind w:right="113"/>
              <w:jc w:val="right"/>
              <w:rPr>
                <w:sz w:val="18"/>
              </w:rPr>
            </w:pPr>
            <w:r w:rsidRPr="00B76804">
              <w:rPr>
                <w:sz w:val="18"/>
              </w:rPr>
              <w:t>3.3</w:t>
            </w:r>
          </w:p>
        </w:tc>
        <w:tc>
          <w:tcPr>
            <w:tcW w:w="1220" w:type="dxa"/>
            <w:shd w:val="clear" w:color="auto" w:fill="auto"/>
            <w:vAlign w:val="bottom"/>
          </w:tcPr>
          <w:p w:rsidR="004B0C37" w:rsidRPr="00B76804" w:rsidRDefault="004B0C37" w:rsidP="00B76804">
            <w:pPr>
              <w:suppressAutoHyphens w:val="0"/>
              <w:spacing w:before="40" w:after="40" w:line="220" w:lineRule="exact"/>
              <w:ind w:right="113"/>
              <w:jc w:val="right"/>
              <w:rPr>
                <w:sz w:val="18"/>
              </w:rPr>
            </w:pPr>
            <w:r w:rsidRPr="00B76804">
              <w:rPr>
                <w:sz w:val="18"/>
              </w:rPr>
              <w:t>100</w:t>
            </w:r>
          </w:p>
        </w:tc>
      </w:tr>
      <w:tr w:rsidR="004B0C37" w:rsidRPr="00B76804" w:rsidTr="00B76804">
        <w:tc>
          <w:tcPr>
            <w:tcW w:w="1220" w:type="dxa"/>
            <w:vMerge w:val="restart"/>
            <w:shd w:val="clear" w:color="auto" w:fill="auto"/>
          </w:tcPr>
          <w:p w:rsidR="004B0C37" w:rsidRPr="00B76804" w:rsidRDefault="004B0C37" w:rsidP="00B76804">
            <w:pPr>
              <w:suppressAutoHyphens w:val="0"/>
              <w:spacing w:before="40" w:after="40" w:line="220" w:lineRule="exact"/>
              <w:ind w:right="113"/>
              <w:rPr>
                <w:sz w:val="18"/>
              </w:rPr>
            </w:pPr>
            <w:r w:rsidRPr="00B76804">
              <w:rPr>
                <w:sz w:val="18"/>
              </w:rPr>
              <w:t>Non-Qatari</w:t>
            </w:r>
          </w:p>
        </w:tc>
        <w:tc>
          <w:tcPr>
            <w:tcW w:w="1220" w:type="dxa"/>
            <w:shd w:val="clear" w:color="auto" w:fill="auto"/>
            <w:vAlign w:val="bottom"/>
          </w:tcPr>
          <w:p w:rsidR="004B0C37" w:rsidRPr="00B76804" w:rsidRDefault="004B0C37" w:rsidP="0080707F">
            <w:pPr>
              <w:suppressAutoHyphens w:val="0"/>
              <w:spacing w:before="40" w:after="40" w:line="220" w:lineRule="exact"/>
              <w:ind w:right="113"/>
              <w:rPr>
                <w:sz w:val="18"/>
              </w:rPr>
            </w:pPr>
            <w:r w:rsidRPr="00B76804">
              <w:rPr>
                <w:sz w:val="18"/>
              </w:rPr>
              <w:t>Females</w:t>
            </w:r>
          </w:p>
        </w:tc>
        <w:tc>
          <w:tcPr>
            <w:tcW w:w="1220" w:type="dxa"/>
            <w:shd w:val="clear" w:color="auto" w:fill="auto"/>
            <w:vAlign w:val="bottom"/>
          </w:tcPr>
          <w:p w:rsidR="004B0C37" w:rsidRPr="00B76804" w:rsidRDefault="004B0C37" w:rsidP="00B76804">
            <w:pPr>
              <w:suppressAutoHyphens w:val="0"/>
              <w:spacing w:before="40" w:after="40" w:line="220" w:lineRule="exact"/>
              <w:ind w:right="113"/>
              <w:jc w:val="right"/>
              <w:rPr>
                <w:sz w:val="18"/>
              </w:rPr>
            </w:pPr>
            <w:r w:rsidRPr="00B76804">
              <w:rPr>
                <w:sz w:val="18"/>
              </w:rPr>
              <w:t>24.5</w:t>
            </w:r>
          </w:p>
        </w:tc>
        <w:tc>
          <w:tcPr>
            <w:tcW w:w="1220" w:type="dxa"/>
            <w:shd w:val="clear" w:color="auto" w:fill="auto"/>
            <w:vAlign w:val="bottom"/>
          </w:tcPr>
          <w:p w:rsidR="004B0C37" w:rsidRPr="00B76804" w:rsidRDefault="004B0C37" w:rsidP="00B76804">
            <w:pPr>
              <w:suppressAutoHyphens w:val="0"/>
              <w:spacing w:before="40" w:after="40" w:line="220" w:lineRule="exact"/>
              <w:ind w:right="113"/>
              <w:jc w:val="right"/>
              <w:rPr>
                <w:sz w:val="18"/>
              </w:rPr>
            </w:pPr>
            <w:r w:rsidRPr="00B76804">
              <w:rPr>
                <w:sz w:val="18"/>
              </w:rPr>
              <w:t>74.5</w:t>
            </w:r>
          </w:p>
        </w:tc>
        <w:tc>
          <w:tcPr>
            <w:tcW w:w="1220" w:type="dxa"/>
            <w:shd w:val="clear" w:color="auto" w:fill="auto"/>
            <w:vAlign w:val="bottom"/>
          </w:tcPr>
          <w:p w:rsidR="004B0C37" w:rsidRPr="00B76804" w:rsidRDefault="004B0C37" w:rsidP="00B76804">
            <w:pPr>
              <w:suppressAutoHyphens w:val="0"/>
              <w:spacing w:before="40" w:after="40" w:line="220" w:lineRule="exact"/>
              <w:ind w:right="113"/>
              <w:jc w:val="right"/>
              <w:rPr>
                <w:sz w:val="18"/>
              </w:rPr>
            </w:pPr>
            <w:r w:rsidRPr="00B76804">
              <w:rPr>
                <w:sz w:val="18"/>
              </w:rPr>
              <w:t>1.0</w:t>
            </w:r>
          </w:p>
        </w:tc>
        <w:tc>
          <w:tcPr>
            <w:tcW w:w="1220" w:type="dxa"/>
            <w:shd w:val="clear" w:color="auto" w:fill="auto"/>
            <w:vAlign w:val="bottom"/>
          </w:tcPr>
          <w:p w:rsidR="004B0C37" w:rsidRPr="00B76804" w:rsidRDefault="004B0C37" w:rsidP="00B76804">
            <w:pPr>
              <w:suppressAutoHyphens w:val="0"/>
              <w:spacing w:before="40" w:after="40" w:line="220" w:lineRule="exact"/>
              <w:ind w:right="113"/>
              <w:jc w:val="right"/>
              <w:rPr>
                <w:sz w:val="18"/>
              </w:rPr>
            </w:pPr>
            <w:r w:rsidRPr="00B76804">
              <w:rPr>
                <w:sz w:val="18"/>
              </w:rPr>
              <w:t>100</w:t>
            </w:r>
          </w:p>
        </w:tc>
      </w:tr>
      <w:tr w:rsidR="004B0C37" w:rsidRPr="00B76804" w:rsidTr="003436DE">
        <w:tc>
          <w:tcPr>
            <w:tcW w:w="1220" w:type="dxa"/>
            <w:vMerge/>
            <w:tcBorders>
              <w:bottom w:val="single" w:sz="4" w:space="0" w:color="auto"/>
            </w:tcBorders>
            <w:shd w:val="clear" w:color="auto" w:fill="auto"/>
          </w:tcPr>
          <w:p w:rsidR="004B0C37" w:rsidRPr="00B76804" w:rsidRDefault="004B0C37" w:rsidP="00B76804">
            <w:pPr>
              <w:suppressAutoHyphens w:val="0"/>
              <w:spacing w:before="40" w:after="40" w:line="220" w:lineRule="exact"/>
              <w:ind w:right="113"/>
              <w:rPr>
                <w:sz w:val="18"/>
              </w:rPr>
            </w:pPr>
          </w:p>
        </w:tc>
        <w:tc>
          <w:tcPr>
            <w:tcW w:w="1220" w:type="dxa"/>
            <w:tcBorders>
              <w:bottom w:val="single" w:sz="4" w:space="0" w:color="auto"/>
            </w:tcBorders>
            <w:shd w:val="clear" w:color="auto" w:fill="auto"/>
            <w:vAlign w:val="bottom"/>
          </w:tcPr>
          <w:p w:rsidR="004B0C37" w:rsidRPr="00B76804" w:rsidRDefault="004B0C37" w:rsidP="0080707F">
            <w:pPr>
              <w:suppressAutoHyphens w:val="0"/>
              <w:spacing w:before="40" w:after="40" w:line="220" w:lineRule="exact"/>
              <w:ind w:right="113"/>
              <w:rPr>
                <w:sz w:val="18"/>
              </w:rPr>
            </w:pPr>
            <w:r w:rsidRPr="00B76804">
              <w:rPr>
                <w:sz w:val="18"/>
              </w:rPr>
              <w:t>Males</w:t>
            </w:r>
          </w:p>
        </w:tc>
        <w:tc>
          <w:tcPr>
            <w:tcW w:w="1220" w:type="dxa"/>
            <w:tcBorders>
              <w:bottom w:val="single" w:sz="4" w:space="0" w:color="auto"/>
            </w:tcBorders>
            <w:shd w:val="clear" w:color="auto" w:fill="auto"/>
            <w:vAlign w:val="bottom"/>
          </w:tcPr>
          <w:p w:rsidR="004B0C37" w:rsidRPr="00B76804" w:rsidRDefault="004B0C37" w:rsidP="00B76804">
            <w:pPr>
              <w:suppressAutoHyphens w:val="0"/>
              <w:spacing w:before="40" w:after="40" w:line="220" w:lineRule="exact"/>
              <w:ind w:right="113"/>
              <w:jc w:val="right"/>
              <w:rPr>
                <w:sz w:val="18"/>
              </w:rPr>
            </w:pPr>
            <w:r w:rsidRPr="00B76804">
              <w:rPr>
                <w:sz w:val="18"/>
              </w:rPr>
              <w:t>6.9</w:t>
            </w:r>
          </w:p>
        </w:tc>
        <w:tc>
          <w:tcPr>
            <w:tcW w:w="1220" w:type="dxa"/>
            <w:tcBorders>
              <w:bottom w:val="single" w:sz="4" w:space="0" w:color="auto"/>
            </w:tcBorders>
            <w:shd w:val="clear" w:color="auto" w:fill="auto"/>
            <w:vAlign w:val="bottom"/>
          </w:tcPr>
          <w:p w:rsidR="004B0C37" w:rsidRPr="00B76804" w:rsidRDefault="004B0C37" w:rsidP="00B76804">
            <w:pPr>
              <w:suppressAutoHyphens w:val="0"/>
              <w:spacing w:before="40" w:after="40" w:line="220" w:lineRule="exact"/>
              <w:ind w:right="113"/>
              <w:jc w:val="right"/>
              <w:rPr>
                <w:sz w:val="18"/>
              </w:rPr>
            </w:pPr>
            <w:r w:rsidRPr="00B76804">
              <w:rPr>
                <w:sz w:val="18"/>
              </w:rPr>
              <w:t>92.4</w:t>
            </w:r>
          </w:p>
        </w:tc>
        <w:tc>
          <w:tcPr>
            <w:tcW w:w="1220" w:type="dxa"/>
            <w:tcBorders>
              <w:bottom w:val="single" w:sz="4" w:space="0" w:color="auto"/>
            </w:tcBorders>
            <w:shd w:val="clear" w:color="auto" w:fill="auto"/>
            <w:vAlign w:val="bottom"/>
          </w:tcPr>
          <w:p w:rsidR="004B0C37" w:rsidRPr="00B76804" w:rsidRDefault="004B0C37" w:rsidP="00B76804">
            <w:pPr>
              <w:suppressAutoHyphens w:val="0"/>
              <w:spacing w:before="40" w:after="40" w:line="220" w:lineRule="exact"/>
              <w:ind w:right="113"/>
              <w:jc w:val="right"/>
              <w:rPr>
                <w:sz w:val="18"/>
              </w:rPr>
            </w:pPr>
            <w:r w:rsidRPr="00B76804">
              <w:rPr>
                <w:sz w:val="18"/>
              </w:rPr>
              <w:t>0.7</w:t>
            </w:r>
          </w:p>
        </w:tc>
        <w:tc>
          <w:tcPr>
            <w:tcW w:w="1220" w:type="dxa"/>
            <w:tcBorders>
              <w:bottom w:val="single" w:sz="4" w:space="0" w:color="auto"/>
            </w:tcBorders>
            <w:shd w:val="clear" w:color="auto" w:fill="auto"/>
            <w:vAlign w:val="bottom"/>
          </w:tcPr>
          <w:p w:rsidR="004B0C37" w:rsidRPr="00B76804" w:rsidRDefault="004B0C37" w:rsidP="00B76804">
            <w:pPr>
              <w:suppressAutoHyphens w:val="0"/>
              <w:spacing w:before="40" w:after="40" w:line="220" w:lineRule="exact"/>
              <w:ind w:right="113"/>
              <w:jc w:val="right"/>
              <w:rPr>
                <w:sz w:val="18"/>
              </w:rPr>
            </w:pPr>
            <w:r w:rsidRPr="00B76804">
              <w:rPr>
                <w:sz w:val="18"/>
              </w:rPr>
              <w:t>100</w:t>
            </w:r>
          </w:p>
        </w:tc>
      </w:tr>
      <w:tr w:rsidR="004B0C37" w:rsidRPr="00B76804" w:rsidTr="003436DE">
        <w:tc>
          <w:tcPr>
            <w:tcW w:w="1220" w:type="dxa"/>
            <w:vMerge w:val="restart"/>
            <w:tcBorders>
              <w:top w:val="single" w:sz="4" w:space="0" w:color="auto"/>
            </w:tcBorders>
            <w:shd w:val="clear" w:color="auto" w:fill="auto"/>
          </w:tcPr>
          <w:p w:rsidR="004B0C37" w:rsidRPr="00AD421D" w:rsidRDefault="004B0C37" w:rsidP="00AD421D">
            <w:pPr>
              <w:suppressAutoHyphens w:val="0"/>
              <w:spacing w:before="80" w:after="80" w:line="220" w:lineRule="exact"/>
              <w:ind w:left="283"/>
              <w:rPr>
                <w:b/>
                <w:sz w:val="18"/>
              </w:rPr>
            </w:pPr>
            <w:r w:rsidRPr="00AD421D">
              <w:rPr>
                <w:b/>
                <w:sz w:val="18"/>
              </w:rPr>
              <w:t>Total</w:t>
            </w:r>
          </w:p>
        </w:tc>
        <w:tc>
          <w:tcPr>
            <w:tcW w:w="1220" w:type="dxa"/>
            <w:tcBorders>
              <w:top w:val="single" w:sz="4" w:space="0" w:color="auto"/>
              <w:bottom w:val="single" w:sz="4" w:space="0" w:color="auto"/>
            </w:tcBorders>
            <w:shd w:val="clear" w:color="auto" w:fill="auto"/>
            <w:vAlign w:val="bottom"/>
          </w:tcPr>
          <w:p w:rsidR="004B0C37" w:rsidRPr="00AD421D" w:rsidRDefault="004B0C37" w:rsidP="00AD421D">
            <w:pPr>
              <w:suppressAutoHyphens w:val="0"/>
              <w:spacing w:before="80" w:after="80" w:line="220" w:lineRule="exact"/>
              <w:ind w:right="113"/>
              <w:rPr>
                <w:b/>
                <w:sz w:val="18"/>
              </w:rPr>
            </w:pPr>
            <w:r w:rsidRPr="00AD421D">
              <w:rPr>
                <w:b/>
                <w:sz w:val="18"/>
              </w:rPr>
              <w:t>Females</w:t>
            </w:r>
          </w:p>
        </w:tc>
        <w:tc>
          <w:tcPr>
            <w:tcW w:w="1220" w:type="dxa"/>
            <w:tcBorders>
              <w:top w:val="single" w:sz="4" w:space="0" w:color="auto"/>
              <w:bottom w:val="single" w:sz="4" w:space="0" w:color="auto"/>
            </w:tcBorders>
            <w:shd w:val="clear" w:color="auto" w:fill="auto"/>
            <w:vAlign w:val="bottom"/>
          </w:tcPr>
          <w:p w:rsidR="004B0C37" w:rsidRPr="00AD421D" w:rsidRDefault="004B0C37" w:rsidP="00AD421D">
            <w:pPr>
              <w:suppressAutoHyphens w:val="0"/>
              <w:spacing w:before="80" w:after="80" w:line="220" w:lineRule="exact"/>
              <w:ind w:right="113"/>
              <w:jc w:val="right"/>
              <w:rPr>
                <w:b/>
                <w:sz w:val="18"/>
              </w:rPr>
            </w:pPr>
            <w:r w:rsidRPr="00AD421D">
              <w:rPr>
                <w:b/>
                <w:sz w:val="18"/>
              </w:rPr>
              <w:t>27.3</w:t>
            </w:r>
          </w:p>
        </w:tc>
        <w:tc>
          <w:tcPr>
            <w:tcW w:w="1220" w:type="dxa"/>
            <w:tcBorders>
              <w:top w:val="single" w:sz="4" w:space="0" w:color="auto"/>
              <w:bottom w:val="single" w:sz="4" w:space="0" w:color="auto"/>
            </w:tcBorders>
            <w:shd w:val="clear" w:color="auto" w:fill="auto"/>
            <w:vAlign w:val="bottom"/>
          </w:tcPr>
          <w:p w:rsidR="004B0C37" w:rsidRPr="00AD421D" w:rsidRDefault="004B0C37" w:rsidP="00AD421D">
            <w:pPr>
              <w:suppressAutoHyphens w:val="0"/>
              <w:spacing w:before="80" w:after="80" w:line="220" w:lineRule="exact"/>
              <w:ind w:right="113"/>
              <w:jc w:val="right"/>
              <w:rPr>
                <w:b/>
                <w:sz w:val="18"/>
              </w:rPr>
            </w:pPr>
            <w:r w:rsidRPr="00AD421D">
              <w:rPr>
                <w:b/>
                <w:sz w:val="18"/>
              </w:rPr>
              <w:t>71.7</w:t>
            </w:r>
          </w:p>
        </w:tc>
        <w:tc>
          <w:tcPr>
            <w:tcW w:w="1220" w:type="dxa"/>
            <w:tcBorders>
              <w:top w:val="single" w:sz="4" w:space="0" w:color="auto"/>
              <w:bottom w:val="single" w:sz="4" w:space="0" w:color="auto"/>
            </w:tcBorders>
            <w:shd w:val="clear" w:color="auto" w:fill="auto"/>
            <w:vAlign w:val="bottom"/>
          </w:tcPr>
          <w:p w:rsidR="004B0C37" w:rsidRPr="00AD421D" w:rsidRDefault="004B0C37" w:rsidP="00AD421D">
            <w:pPr>
              <w:suppressAutoHyphens w:val="0"/>
              <w:spacing w:before="80" w:after="80" w:line="220" w:lineRule="exact"/>
              <w:ind w:right="113"/>
              <w:jc w:val="right"/>
              <w:rPr>
                <w:b/>
                <w:sz w:val="18"/>
              </w:rPr>
            </w:pPr>
            <w:r w:rsidRPr="00AD421D">
              <w:rPr>
                <w:b/>
                <w:sz w:val="18"/>
              </w:rPr>
              <w:t>1.6</w:t>
            </w:r>
          </w:p>
        </w:tc>
        <w:tc>
          <w:tcPr>
            <w:tcW w:w="1220" w:type="dxa"/>
            <w:tcBorders>
              <w:top w:val="single" w:sz="4" w:space="0" w:color="auto"/>
              <w:bottom w:val="single" w:sz="4" w:space="0" w:color="auto"/>
            </w:tcBorders>
            <w:shd w:val="clear" w:color="auto" w:fill="auto"/>
            <w:vAlign w:val="bottom"/>
          </w:tcPr>
          <w:p w:rsidR="004B0C37" w:rsidRPr="00AD421D" w:rsidRDefault="004B0C37" w:rsidP="00AD421D">
            <w:pPr>
              <w:suppressAutoHyphens w:val="0"/>
              <w:spacing w:before="80" w:after="80" w:line="220" w:lineRule="exact"/>
              <w:ind w:right="113"/>
              <w:jc w:val="right"/>
              <w:rPr>
                <w:b/>
                <w:sz w:val="18"/>
              </w:rPr>
            </w:pPr>
            <w:r w:rsidRPr="00AD421D">
              <w:rPr>
                <w:b/>
                <w:sz w:val="18"/>
              </w:rPr>
              <w:t>100</w:t>
            </w:r>
          </w:p>
        </w:tc>
      </w:tr>
      <w:tr w:rsidR="004B0C37" w:rsidRPr="00B76804" w:rsidTr="003436DE">
        <w:tc>
          <w:tcPr>
            <w:tcW w:w="1220" w:type="dxa"/>
            <w:vMerge/>
            <w:shd w:val="clear" w:color="auto" w:fill="auto"/>
          </w:tcPr>
          <w:p w:rsidR="004B0C37" w:rsidRPr="00AD421D" w:rsidRDefault="004B0C37" w:rsidP="00AD421D">
            <w:pPr>
              <w:suppressAutoHyphens w:val="0"/>
              <w:spacing w:before="80" w:after="80" w:line="220" w:lineRule="exact"/>
              <w:ind w:right="113"/>
              <w:jc w:val="right"/>
              <w:rPr>
                <w:b/>
                <w:sz w:val="18"/>
              </w:rPr>
            </w:pPr>
          </w:p>
        </w:tc>
        <w:tc>
          <w:tcPr>
            <w:tcW w:w="1220" w:type="dxa"/>
            <w:tcBorders>
              <w:top w:val="single" w:sz="4" w:space="0" w:color="auto"/>
            </w:tcBorders>
            <w:shd w:val="clear" w:color="auto" w:fill="auto"/>
            <w:vAlign w:val="bottom"/>
          </w:tcPr>
          <w:p w:rsidR="004B0C37" w:rsidRPr="00AD421D" w:rsidRDefault="004B0C37" w:rsidP="00AD421D">
            <w:pPr>
              <w:suppressAutoHyphens w:val="0"/>
              <w:spacing w:before="80" w:after="80" w:line="220" w:lineRule="exact"/>
              <w:ind w:right="113"/>
              <w:rPr>
                <w:b/>
                <w:sz w:val="18"/>
              </w:rPr>
            </w:pPr>
            <w:r w:rsidRPr="00AD421D">
              <w:rPr>
                <w:b/>
                <w:sz w:val="18"/>
              </w:rPr>
              <w:t>Males</w:t>
            </w:r>
          </w:p>
        </w:tc>
        <w:tc>
          <w:tcPr>
            <w:tcW w:w="1220" w:type="dxa"/>
            <w:tcBorders>
              <w:top w:val="single" w:sz="4" w:space="0" w:color="auto"/>
            </w:tcBorders>
            <w:shd w:val="clear" w:color="auto" w:fill="auto"/>
            <w:vAlign w:val="bottom"/>
          </w:tcPr>
          <w:p w:rsidR="004B0C37" w:rsidRPr="00AD421D" w:rsidRDefault="004B0C37" w:rsidP="00AD421D">
            <w:pPr>
              <w:suppressAutoHyphens w:val="0"/>
              <w:spacing w:before="80" w:after="80" w:line="220" w:lineRule="exact"/>
              <w:ind w:right="113"/>
              <w:jc w:val="right"/>
              <w:rPr>
                <w:b/>
                <w:sz w:val="18"/>
              </w:rPr>
            </w:pPr>
            <w:r w:rsidRPr="00AD421D">
              <w:rPr>
                <w:b/>
                <w:sz w:val="18"/>
              </w:rPr>
              <w:t>9.2</w:t>
            </w:r>
          </w:p>
        </w:tc>
        <w:tc>
          <w:tcPr>
            <w:tcW w:w="1220" w:type="dxa"/>
            <w:tcBorders>
              <w:top w:val="single" w:sz="4" w:space="0" w:color="auto"/>
            </w:tcBorders>
            <w:shd w:val="clear" w:color="auto" w:fill="auto"/>
            <w:vAlign w:val="bottom"/>
          </w:tcPr>
          <w:p w:rsidR="004B0C37" w:rsidRPr="00AD421D" w:rsidRDefault="004B0C37" w:rsidP="00AD421D">
            <w:pPr>
              <w:suppressAutoHyphens w:val="0"/>
              <w:spacing w:before="80" w:after="80" w:line="220" w:lineRule="exact"/>
              <w:ind w:right="113"/>
              <w:jc w:val="right"/>
              <w:rPr>
                <w:b/>
                <w:sz w:val="18"/>
              </w:rPr>
            </w:pPr>
            <w:r w:rsidRPr="00AD421D">
              <w:rPr>
                <w:b/>
                <w:sz w:val="18"/>
              </w:rPr>
              <w:t>89.8</w:t>
            </w:r>
          </w:p>
        </w:tc>
        <w:tc>
          <w:tcPr>
            <w:tcW w:w="1220" w:type="dxa"/>
            <w:tcBorders>
              <w:top w:val="single" w:sz="4" w:space="0" w:color="auto"/>
            </w:tcBorders>
            <w:shd w:val="clear" w:color="auto" w:fill="auto"/>
            <w:vAlign w:val="bottom"/>
          </w:tcPr>
          <w:p w:rsidR="004B0C37" w:rsidRPr="00AD421D" w:rsidRDefault="004B0C37" w:rsidP="00AD421D">
            <w:pPr>
              <w:suppressAutoHyphens w:val="0"/>
              <w:spacing w:before="80" w:after="80" w:line="220" w:lineRule="exact"/>
              <w:ind w:right="113"/>
              <w:jc w:val="right"/>
              <w:rPr>
                <w:b/>
                <w:sz w:val="18"/>
              </w:rPr>
            </w:pPr>
            <w:r w:rsidRPr="00AD421D">
              <w:rPr>
                <w:b/>
                <w:sz w:val="18"/>
              </w:rPr>
              <w:t>0.9</w:t>
            </w:r>
          </w:p>
        </w:tc>
        <w:tc>
          <w:tcPr>
            <w:tcW w:w="1220" w:type="dxa"/>
            <w:tcBorders>
              <w:top w:val="single" w:sz="4" w:space="0" w:color="auto"/>
            </w:tcBorders>
            <w:shd w:val="clear" w:color="auto" w:fill="auto"/>
            <w:vAlign w:val="bottom"/>
          </w:tcPr>
          <w:p w:rsidR="004B0C37" w:rsidRPr="00AD421D" w:rsidRDefault="004B0C37" w:rsidP="00AD421D">
            <w:pPr>
              <w:suppressAutoHyphens w:val="0"/>
              <w:spacing w:before="80" w:after="80" w:line="220" w:lineRule="exact"/>
              <w:ind w:right="113"/>
              <w:jc w:val="right"/>
              <w:rPr>
                <w:b/>
                <w:sz w:val="18"/>
              </w:rPr>
            </w:pPr>
            <w:r w:rsidRPr="00AD421D">
              <w:rPr>
                <w:b/>
                <w:sz w:val="18"/>
              </w:rPr>
              <w:t>100</w:t>
            </w:r>
          </w:p>
        </w:tc>
      </w:tr>
    </w:tbl>
    <w:p w:rsidR="004B0C37" w:rsidRPr="00086874" w:rsidRDefault="004B0C37" w:rsidP="002B5D69">
      <w:pPr>
        <w:spacing w:before="120" w:after="240"/>
        <w:ind w:left="1134" w:right="1134" w:firstLine="170"/>
        <w:rPr>
          <w:sz w:val="18"/>
        </w:rPr>
      </w:pPr>
      <w:r w:rsidRPr="00086874">
        <w:rPr>
          <w:i/>
          <w:iCs/>
          <w:sz w:val="18"/>
        </w:rPr>
        <w:t>Source:</w:t>
      </w:r>
      <w:r w:rsidRPr="00086874">
        <w:rPr>
          <w:sz w:val="18"/>
        </w:rPr>
        <w:t xml:space="preserve"> </w:t>
      </w:r>
      <w:r w:rsidR="00086874">
        <w:rPr>
          <w:sz w:val="18"/>
        </w:rPr>
        <w:t xml:space="preserve"> </w:t>
      </w:r>
      <w:r w:rsidRPr="00086874">
        <w:rPr>
          <w:sz w:val="18"/>
        </w:rPr>
        <w:t>Ministry of Development Planning and Statistics</w:t>
      </w:r>
      <w:r w:rsidR="002B5D69">
        <w:rPr>
          <w:sz w:val="18"/>
        </w:rPr>
        <w:t>.</w:t>
      </w:r>
    </w:p>
    <w:p w:rsidR="004B0C37" w:rsidRPr="002B5D69" w:rsidRDefault="004B0C37" w:rsidP="009543B0">
      <w:pPr>
        <w:pStyle w:val="Heading1"/>
        <w:keepNext/>
        <w:keepLines/>
        <w:pageBreakBefore/>
        <w:spacing w:after="120"/>
        <w:rPr>
          <w:b/>
          <w:bCs/>
        </w:rPr>
      </w:pPr>
      <w:r w:rsidRPr="0034732A">
        <w:rPr>
          <w:bCs/>
        </w:rPr>
        <w:lastRenderedPageBreak/>
        <w:t>Figure 2</w:t>
      </w:r>
      <w:r w:rsidR="002B5D69">
        <w:rPr>
          <w:bCs/>
        </w:rPr>
        <w:br/>
      </w:r>
      <w:r w:rsidRPr="002B5D69">
        <w:rPr>
          <w:b/>
          <w:bCs/>
        </w:rPr>
        <w:t>Population pyramid (total population, thousands), 2016</w:t>
      </w:r>
    </w:p>
    <w:p w:rsidR="004B0C37" w:rsidRPr="00720B78" w:rsidRDefault="004B0C37" w:rsidP="0071759F">
      <w:pPr>
        <w:spacing w:before="240" w:after="240"/>
        <w:ind w:left="1134" w:right="1134" w:firstLine="170"/>
        <w:rPr>
          <w:sz w:val="18"/>
        </w:rPr>
      </w:pPr>
      <w:r w:rsidRPr="00720B78">
        <w:rPr>
          <w:i/>
          <w:iCs/>
          <w:noProof/>
          <w:sz w:val="18"/>
          <w:lang w:eastAsia="zh-CN"/>
        </w:rPr>
        <w:drawing>
          <wp:anchor distT="0" distB="0" distL="114300" distR="114300" simplePos="0" relativeHeight="251668480" behindDoc="0" locked="0" layoutInCell="1" allowOverlap="1" wp14:anchorId="7C6B56BF" wp14:editId="3CEBE801">
            <wp:simplePos x="0" y="0"/>
            <wp:positionH relativeFrom="column">
              <wp:posOffset>624205</wp:posOffset>
            </wp:positionH>
            <wp:positionV relativeFrom="paragraph">
              <wp:posOffset>2540</wp:posOffset>
            </wp:positionV>
            <wp:extent cx="2604770" cy="2980690"/>
            <wp:effectExtent l="0" t="0" r="508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4796" t="1648" r="32013" b="12271"/>
                    <a:stretch/>
                  </pic:blipFill>
                  <pic:spPr bwMode="auto">
                    <a:xfrm>
                      <a:off x="0" y="0"/>
                      <a:ext cx="2604770" cy="29806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20B78">
        <w:rPr>
          <w:i/>
          <w:iCs/>
          <w:sz w:val="18"/>
        </w:rPr>
        <w:t>Source:</w:t>
      </w:r>
      <w:r w:rsidRPr="00720B78">
        <w:rPr>
          <w:sz w:val="18"/>
        </w:rPr>
        <w:t xml:space="preserve"> </w:t>
      </w:r>
      <w:r w:rsidR="00720B78">
        <w:rPr>
          <w:sz w:val="18"/>
        </w:rPr>
        <w:t xml:space="preserve"> </w:t>
      </w:r>
      <w:r w:rsidRPr="00720B78">
        <w:rPr>
          <w:sz w:val="18"/>
        </w:rPr>
        <w:t>Ministry of Development Planning and Statistics.</w:t>
      </w:r>
    </w:p>
    <w:p w:rsidR="004B0C37" w:rsidRPr="0034732A" w:rsidRDefault="00874374" w:rsidP="00936D7E">
      <w:pPr>
        <w:pStyle w:val="Heading1"/>
        <w:spacing w:after="360"/>
        <w:rPr>
          <w:bCs/>
        </w:rPr>
      </w:pPr>
      <w:r>
        <w:rPr>
          <w:bCs/>
          <w:noProof/>
          <w:lang w:eastAsia="zh-CN"/>
        </w:rPr>
        <mc:AlternateContent>
          <mc:Choice Requires="wpg">
            <w:drawing>
              <wp:anchor distT="0" distB="0" distL="114300" distR="114300" simplePos="0" relativeHeight="251673600" behindDoc="0" locked="0" layoutInCell="1" allowOverlap="1">
                <wp:simplePos x="0" y="0"/>
                <wp:positionH relativeFrom="column">
                  <wp:posOffset>803910</wp:posOffset>
                </wp:positionH>
                <wp:positionV relativeFrom="paragraph">
                  <wp:posOffset>318806</wp:posOffset>
                </wp:positionV>
                <wp:extent cx="1877084" cy="3032904"/>
                <wp:effectExtent l="0" t="0" r="27940" b="15240"/>
                <wp:wrapNone/>
                <wp:docPr id="10" name="Group 10"/>
                <wp:cNvGraphicFramePr/>
                <a:graphic xmlns:a="http://schemas.openxmlformats.org/drawingml/2006/main">
                  <a:graphicData uri="http://schemas.microsoft.com/office/word/2010/wordprocessingGroup">
                    <wpg:wgp>
                      <wpg:cNvGrpSpPr/>
                      <wpg:grpSpPr>
                        <a:xfrm>
                          <a:off x="0" y="0"/>
                          <a:ext cx="1877084" cy="3032904"/>
                          <a:chOff x="0" y="0"/>
                          <a:chExt cx="1877084" cy="3032904"/>
                        </a:xfrm>
                      </wpg:grpSpPr>
                      <wps:wsp>
                        <wps:cNvPr id="17" name="Text Box 17"/>
                        <wps:cNvSpPr txBox="1"/>
                        <wps:spPr>
                          <a:xfrm>
                            <a:off x="1426234" y="920151"/>
                            <a:ext cx="450850" cy="260350"/>
                          </a:xfrm>
                          <a:prstGeom prst="rect">
                            <a:avLst/>
                          </a:prstGeom>
                          <a:solidFill>
                            <a:schemeClr val="lt1"/>
                          </a:solidFill>
                          <a:ln w="6350">
                            <a:solidFill>
                              <a:schemeClr val="bg1"/>
                            </a:solidFill>
                          </a:ln>
                        </wps:spPr>
                        <wps:txbx>
                          <w:txbxContent>
                            <w:p w:rsidR="008F6549" w:rsidRPr="00BA6356" w:rsidRDefault="008F6549" w:rsidP="007B7040">
                              <w:pPr>
                                <w:rPr>
                                  <w:sz w:val="16"/>
                                  <w:szCs w:val="16"/>
                                  <w:lang w:val="en-US"/>
                                </w:rPr>
                              </w:pPr>
                              <w:r>
                                <w:rPr>
                                  <w:sz w:val="16"/>
                                  <w:szCs w:val="16"/>
                                  <w:lang w:val="en-US"/>
                                </w:rPr>
                                <w:t>Males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425570" y="897148"/>
                            <a:ext cx="532765" cy="285750"/>
                          </a:xfrm>
                          <a:prstGeom prst="rect">
                            <a:avLst/>
                          </a:prstGeom>
                          <a:solidFill>
                            <a:schemeClr val="lt1"/>
                          </a:solidFill>
                          <a:ln w="6350">
                            <a:solidFill>
                              <a:schemeClr val="bg1"/>
                            </a:solidFill>
                          </a:ln>
                        </wps:spPr>
                        <wps:txbx>
                          <w:txbxContent>
                            <w:p w:rsidR="008F6549" w:rsidRPr="00BA6356" w:rsidRDefault="008F6549" w:rsidP="007B7040">
                              <w:pPr>
                                <w:rPr>
                                  <w:sz w:val="16"/>
                                  <w:szCs w:val="16"/>
                                  <w:lang w:val="en-US"/>
                                </w:rPr>
                              </w:pPr>
                              <w:r w:rsidRPr="00BA6356">
                                <w:rPr>
                                  <w:sz w:val="16"/>
                                  <w:szCs w:val="16"/>
                                  <w:lang w:val="en-US"/>
                                </w:rPr>
                                <w:t>Females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793630" y="2766204"/>
                            <a:ext cx="698500" cy="266700"/>
                          </a:xfrm>
                          <a:prstGeom prst="rect">
                            <a:avLst/>
                          </a:prstGeom>
                          <a:solidFill>
                            <a:schemeClr val="lt1"/>
                          </a:solidFill>
                          <a:ln w="6350">
                            <a:solidFill>
                              <a:schemeClr val="bg1"/>
                            </a:solidFill>
                          </a:ln>
                        </wps:spPr>
                        <wps:txbx>
                          <w:txbxContent>
                            <w:p w:rsidR="008F6549" w:rsidRPr="00BA6356" w:rsidRDefault="008F6549" w:rsidP="004B0C37">
                              <w:pPr>
                                <w:rPr>
                                  <w:sz w:val="16"/>
                                  <w:szCs w:val="16"/>
                                  <w:lang w:val="en-US"/>
                                </w:rPr>
                              </w:pPr>
                              <w:r>
                                <w:rPr>
                                  <w:sz w:val="16"/>
                                  <w:szCs w:val="16"/>
                                  <w:lang w:val="en-US"/>
                                </w:rPr>
                                <w:t>Thousands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0" y="0"/>
                            <a:ext cx="540385" cy="200660"/>
                          </a:xfrm>
                          <a:prstGeom prst="rect">
                            <a:avLst/>
                          </a:prstGeom>
                          <a:noFill/>
                          <a:ln w="6350">
                            <a:solidFill>
                              <a:schemeClr val="bg1"/>
                            </a:solidFill>
                          </a:ln>
                        </wps:spPr>
                        <wps:txbx>
                          <w:txbxContent>
                            <w:p w:rsidR="008F6549" w:rsidRPr="00B77D04" w:rsidRDefault="008F6549" w:rsidP="00874374">
                              <w:pPr>
                                <w:rPr>
                                  <w:sz w:val="16"/>
                                  <w:szCs w:val="16"/>
                                  <w:lang w:val="en-US"/>
                                </w:rPr>
                              </w:pPr>
                              <w:r w:rsidRPr="00B77D04">
                                <w:rPr>
                                  <w:sz w:val="16"/>
                                  <w:szCs w:val="16"/>
                                  <w:lang w:val="en-US"/>
                                </w:rPr>
                                <w:t>Age groups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10" o:spid="_x0000_s1026" style="position:absolute;left:0;text-align:left;margin-left:63.3pt;margin-top:25.1pt;width:147.8pt;height:238.8pt;z-index:251673600" coordsize="18770,30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">
                <v:shapetype id="_x0000_t202" coordsize="21600,21600" o:spt="202" path="m,l,21600r21600,l21600,xe">
                  <v:stroke joinstyle="miter"/>
                  <v:path gradientshapeok="t" o:connecttype="rect"/>
                </v:shapetype>
                <v:shape id="Text Box 17" o:spid="_x0000_s1027" type="#_x0000_t202" style="position:absolute;left:14262;top:9201;width:4508;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" fillcolor="white [3201]" strokecolor="white [3212]" strokeweight=".5pt">
                  <v:textbox>
                    <w:txbxContent>
                      <w:p w:rsidR="008F6549" w:rsidRPr="00BA6356" w:rsidRDefault="008F6549" w:rsidP="007B7040">
                        <w:pPr>
                          <w:rPr>
                            <w:sz w:val="16"/>
                            <w:szCs w:val="16"/>
                            <w:lang w:val="en-US"/>
                          </w:rPr>
                        </w:pPr>
                        <w:r>
                          <w:rPr>
                            <w:sz w:val="16"/>
                            <w:szCs w:val="16"/>
                            <w:lang w:val="en-US"/>
                          </w:rPr>
                          <w:t>Males</w:t>
                        </w:r>
                      </w:p>
                    </w:txbxContent>
                  </v:textbox>
                </v:shape>
                <v:shape id="Text Box 18" o:spid="_x0000_s1028" type="#_x0000_t202" style="position:absolute;left:4255;top:8971;width:5328;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" fillcolor="white [3201]" strokecolor="white [3212]" strokeweight=".5pt">
                  <v:textbox>
                    <w:txbxContent>
                      <w:p w:rsidR="008F6549" w:rsidRPr="00BA6356" w:rsidRDefault="008F6549" w:rsidP="007B7040">
                        <w:pPr>
                          <w:rPr>
                            <w:sz w:val="16"/>
                            <w:szCs w:val="16"/>
                            <w:lang w:val="en-US"/>
                          </w:rPr>
                        </w:pPr>
                        <w:r w:rsidRPr="00BA6356">
                          <w:rPr>
                            <w:sz w:val="16"/>
                            <w:szCs w:val="16"/>
                            <w:lang w:val="en-US"/>
                          </w:rPr>
                          <w:t>Females</w:t>
                        </w:r>
                      </w:p>
                    </w:txbxContent>
                  </v:textbox>
                </v:shape>
                <v:shape id="Text Box 19" o:spid="_x0000_s1029" type="#_x0000_t202" style="position:absolute;left:7936;top:27662;width:6985;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" fillcolor="white [3201]" strokecolor="white [3212]" strokeweight=".5pt">
                  <v:textbox>
                    <w:txbxContent>
                      <w:p w:rsidR="008F6549" w:rsidRPr="00BA6356" w:rsidRDefault="008F6549" w:rsidP="004B0C37">
                        <w:pPr>
                          <w:rPr>
                            <w:sz w:val="16"/>
                            <w:szCs w:val="16"/>
                            <w:lang w:val="en-US"/>
                          </w:rPr>
                        </w:pPr>
                        <w:r>
                          <w:rPr>
                            <w:sz w:val="16"/>
                            <w:szCs w:val="16"/>
                            <w:lang w:val="en-US"/>
                          </w:rPr>
                          <w:t>Thousands</w:t>
                        </w:r>
                      </w:p>
                    </w:txbxContent>
                  </v:textbox>
                </v:shape>
                <v:shape id="Text Box 8" o:spid="_x0000_s1030" type="#_x0000_t202" style="position:absolute;width:5403;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" filled="f" strokecolor="white [3212]" strokeweight=".5pt">
                  <v:textbox inset="0,0,0,0">
                    <w:txbxContent>
                      <w:p w:rsidR="008F6549" w:rsidRPr="00B77D04" w:rsidRDefault="008F6549" w:rsidP="00874374">
                        <w:pPr>
                          <w:rPr>
                            <w:sz w:val="16"/>
                            <w:szCs w:val="16"/>
                            <w:lang w:val="en-US"/>
                          </w:rPr>
                        </w:pPr>
                        <w:r w:rsidRPr="00B77D04">
                          <w:rPr>
                            <w:sz w:val="16"/>
                            <w:szCs w:val="16"/>
                            <w:lang w:val="en-US"/>
                          </w:rPr>
                          <w:t>Age groups</w:t>
                        </w:r>
                      </w:p>
                    </w:txbxContent>
                  </v:textbox>
                </v:shape>
              </v:group>
            </w:pict>
          </mc:Fallback>
        </mc:AlternateContent>
      </w:r>
      <w:r w:rsidR="004B0C37" w:rsidRPr="0034732A">
        <w:rPr>
          <w:bCs/>
        </w:rPr>
        <w:t>Figure 3</w:t>
      </w:r>
      <w:r w:rsidR="00406B53">
        <w:rPr>
          <w:bCs/>
        </w:rPr>
        <w:br/>
      </w:r>
      <w:r w:rsidR="004B0C37" w:rsidRPr="00E3705E">
        <w:rPr>
          <w:b/>
          <w:bCs/>
        </w:rPr>
        <w:t>Population pyramid (Qatari nationals, thousands) 2016</w:t>
      </w:r>
    </w:p>
    <w:p w:rsidR="004B0C37" w:rsidRPr="0034732A" w:rsidRDefault="004B0C37" w:rsidP="007F3345">
      <w:pPr>
        <w:pStyle w:val="SingleTxtG"/>
        <w:spacing w:after="0"/>
        <w:rPr>
          <w:bCs/>
          <w:rtl/>
          <w:lang w:bidi="ar-QA"/>
        </w:rPr>
      </w:pPr>
      <w:r w:rsidRPr="00E3705E">
        <w:rPr>
          <w:noProof/>
          <w:lang w:eastAsia="zh-CN"/>
        </w:rPr>
        <w:drawing>
          <wp:inline distT="0" distB="0" distL="0" distR="0" wp14:anchorId="039C5A04" wp14:editId="203603BA">
            <wp:extent cx="2456560" cy="2871733"/>
            <wp:effectExtent l="0" t="0" r="1270" b="508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3"/>
                    <pic:cNvPicPr>
                      <a:picLocks noChangeArrowheads="1"/>
                    </pic:cNvPicPr>
                  </pic:nvPicPr>
                  <pic:blipFill>
                    <a:blip r:embed="rId10">
                      <a:extLst>
                        <a:ext uri="{28A0092B-C50C-407E-A947-70E740481C1C}">
                          <a14:useLocalDpi xmlns:a14="http://schemas.microsoft.com/office/drawing/2010/main" val="0"/>
                        </a:ext>
                      </a:extLst>
                    </a:blip>
                    <a:srcRect r="-26" b="-85"/>
                    <a:stretch>
                      <a:fillRect/>
                    </a:stretch>
                  </pic:blipFill>
                  <pic:spPr bwMode="auto">
                    <a:xfrm>
                      <a:off x="0" y="0"/>
                      <a:ext cx="2456815" cy="2872031"/>
                    </a:xfrm>
                    <a:prstGeom prst="rect">
                      <a:avLst/>
                    </a:prstGeom>
                    <a:noFill/>
                    <a:ln>
                      <a:noFill/>
                    </a:ln>
                  </pic:spPr>
                </pic:pic>
              </a:graphicData>
            </a:graphic>
          </wp:inline>
        </w:drawing>
      </w:r>
    </w:p>
    <w:p w:rsidR="004B0C37" w:rsidRPr="00074946" w:rsidRDefault="004B0C37" w:rsidP="007F3345">
      <w:pPr>
        <w:ind w:left="1134" w:right="1134" w:firstLine="170"/>
        <w:rPr>
          <w:sz w:val="18"/>
        </w:rPr>
      </w:pPr>
      <w:r w:rsidRPr="00074946">
        <w:rPr>
          <w:i/>
          <w:iCs/>
          <w:sz w:val="18"/>
        </w:rPr>
        <w:t>Source:</w:t>
      </w:r>
      <w:r w:rsidR="00074946">
        <w:rPr>
          <w:sz w:val="18"/>
        </w:rPr>
        <w:t xml:space="preserve"> </w:t>
      </w:r>
      <w:r w:rsidRPr="00074946">
        <w:rPr>
          <w:sz w:val="18"/>
        </w:rPr>
        <w:t xml:space="preserve"> Ministry of Development Planning and Statistics</w:t>
      </w:r>
      <w:r w:rsidR="00074946">
        <w:rPr>
          <w:sz w:val="18"/>
        </w:rPr>
        <w:t>.</w:t>
      </w:r>
    </w:p>
    <w:p w:rsidR="004B0C37" w:rsidRPr="0034732A" w:rsidRDefault="004B0C37" w:rsidP="007D7008">
      <w:pPr>
        <w:pStyle w:val="SingleTxtG"/>
        <w:spacing w:before="240"/>
      </w:pPr>
      <w:r w:rsidRPr="0034732A">
        <w:t>5</w:t>
      </w:r>
      <w:r w:rsidR="009D1BD8">
        <w:t>.</w:t>
      </w:r>
      <w:r w:rsidR="009D1BD8">
        <w:tab/>
      </w:r>
      <w:r w:rsidRPr="0034732A">
        <w:t>A comparison of figures 2 and 3 shows that the non-Qatari population distribution is therefore atypical, while the population pyramid for Qatari nationals alone shows a normal age-gender distribution.</w:t>
      </w:r>
      <w:r w:rsidR="007F4A3A">
        <w:t xml:space="preserve"> </w:t>
      </w:r>
      <w:r>
        <w:t>The majority of the inhabitants are</w:t>
      </w:r>
      <w:r w:rsidR="007F4A3A">
        <w:t xml:space="preserve"> </w:t>
      </w:r>
      <w:r w:rsidRPr="0034732A">
        <w:t xml:space="preserve">aged between 15 and 64 and the majority of </w:t>
      </w:r>
      <w:r>
        <w:t xml:space="preserve">those </w:t>
      </w:r>
      <w:r w:rsidRPr="0034732A">
        <w:t>persons</w:t>
      </w:r>
      <w:r w:rsidR="007F4A3A">
        <w:t xml:space="preserve"> </w:t>
      </w:r>
      <w:r w:rsidRPr="0034732A">
        <w:t>are non-Qatari males.</w:t>
      </w:r>
      <w:r w:rsidR="007F4A3A">
        <w:t xml:space="preserve"> </w:t>
      </w:r>
      <w:r w:rsidRPr="0034732A">
        <w:t xml:space="preserve">The </w:t>
      </w:r>
      <w:r>
        <w:t>age distribution for</w:t>
      </w:r>
      <w:r w:rsidR="007F4A3A">
        <w:t xml:space="preserve"> </w:t>
      </w:r>
      <w:r>
        <w:t xml:space="preserve">the </w:t>
      </w:r>
      <w:r w:rsidRPr="0034732A">
        <w:t xml:space="preserve">Qatari </w:t>
      </w:r>
      <w:r>
        <w:t>population</w:t>
      </w:r>
      <w:r w:rsidR="007F4A3A">
        <w:t xml:space="preserve"> </w:t>
      </w:r>
      <w:r w:rsidRPr="0034732A">
        <w:t>shows that Qatar</w:t>
      </w:r>
      <w:r w:rsidR="007F4A3A">
        <w:t xml:space="preserve"> </w:t>
      </w:r>
      <w:r w:rsidRPr="0034732A">
        <w:t>is a young society</w:t>
      </w:r>
      <w:r>
        <w:t xml:space="preserve"> with a high</w:t>
      </w:r>
      <w:r w:rsidR="007F4A3A">
        <w:t xml:space="preserve"> </w:t>
      </w:r>
      <w:r>
        <w:t>number</w:t>
      </w:r>
      <w:r w:rsidRPr="0034732A">
        <w:t xml:space="preserve"> of children and young people under 15 years of age and a low </w:t>
      </w:r>
      <w:r>
        <w:t>number</w:t>
      </w:r>
      <w:r w:rsidRPr="0034732A">
        <w:t xml:space="preserve"> of persons over 65.</w:t>
      </w:r>
      <w:r w:rsidR="007F4A3A">
        <w:t xml:space="preserve"> </w:t>
      </w:r>
      <w:r w:rsidRPr="0034732A">
        <w:t>Table 3 shows the 2017 population by age group.</w:t>
      </w:r>
    </w:p>
    <w:p w:rsidR="004B0C37" w:rsidRPr="00BB630A" w:rsidRDefault="004B0C37" w:rsidP="009C070E">
      <w:pPr>
        <w:pStyle w:val="Heading1"/>
        <w:keepNext/>
        <w:keepLines/>
        <w:spacing w:after="120"/>
        <w:rPr>
          <w:b/>
          <w:bCs/>
        </w:rPr>
      </w:pPr>
      <w:r w:rsidRPr="0034732A">
        <w:lastRenderedPageBreak/>
        <w:t>Table 3</w:t>
      </w:r>
      <w:r w:rsidR="00BB630A">
        <w:br/>
      </w:r>
      <w:r w:rsidRPr="00BB630A">
        <w:rPr>
          <w:b/>
          <w:bCs/>
        </w:rPr>
        <w:t>Population by age group (2017)</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43"/>
        <w:gridCol w:w="1843"/>
        <w:gridCol w:w="1842"/>
        <w:gridCol w:w="1842"/>
      </w:tblGrid>
      <w:tr w:rsidR="004B0C37" w:rsidRPr="00414581" w:rsidTr="00414581">
        <w:trPr>
          <w:tblHeader/>
        </w:trPr>
        <w:tc>
          <w:tcPr>
            <w:tcW w:w="2254" w:type="dxa"/>
            <w:tcBorders>
              <w:top w:val="single" w:sz="4" w:space="0" w:color="auto"/>
              <w:bottom w:val="single" w:sz="12" w:space="0" w:color="auto"/>
            </w:tcBorders>
            <w:shd w:val="clear" w:color="auto" w:fill="auto"/>
            <w:vAlign w:val="bottom"/>
          </w:tcPr>
          <w:p w:rsidR="004B0C37" w:rsidRPr="00414581" w:rsidRDefault="004B0C37" w:rsidP="00414581">
            <w:pPr>
              <w:suppressAutoHyphens w:val="0"/>
              <w:spacing w:before="80" w:after="80" w:line="200" w:lineRule="exact"/>
              <w:ind w:right="113"/>
              <w:rPr>
                <w:i/>
                <w:sz w:val="16"/>
              </w:rPr>
            </w:pPr>
            <w:r w:rsidRPr="00414581">
              <w:rPr>
                <w:i/>
                <w:sz w:val="16"/>
              </w:rPr>
              <w:t>Age group</w:t>
            </w:r>
          </w:p>
        </w:tc>
        <w:tc>
          <w:tcPr>
            <w:tcW w:w="2254" w:type="dxa"/>
            <w:tcBorders>
              <w:top w:val="single" w:sz="4" w:space="0" w:color="auto"/>
              <w:bottom w:val="single" w:sz="12" w:space="0" w:color="auto"/>
            </w:tcBorders>
            <w:shd w:val="clear" w:color="auto" w:fill="auto"/>
            <w:vAlign w:val="bottom"/>
          </w:tcPr>
          <w:p w:rsidR="004B0C37" w:rsidRPr="00414581" w:rsidRDefault="004B0C37" w:rsidP="00414581">
            <w:pPr>
              <w:suppressAutoHyphens w:val="0"/>
              <w:spacing w:before="80" w:after="80" w:line="200" w:lineRule="exact"/>
              <w:ind w:right="113"/>
              <w:jc w:val="right"/>
              <w:rPr>
                <w:i/>
                <w:sz w:val="16"/>
              </w:rPr>
            </w:pPr>
            <w:r w:rsidRPr="00414581">
              <w:rPr>
                <w:i/>
                <w:sz w:val="16"/>
              </w:rPr>
              <w:t>Male</w:t>
            </w:r>
          </w:p>
        </w:tc>
        <w:tc>
          <w:tcPr>
            <w:tcW w:w="2254" w:type="dxa"/>
            <w:tcBorders>
              <w:top w:val="single" w:sz="4" w:space="0" w:color="auto"/>
              <w:bottom w:val="single" w:sz="12" w:space="0" w:color="auto"/>
            </w:tcBorders>
            <w:shd w:val="clear" w:color="auto" w:fill="auto"/>
            <w:vAlign w:val="bottom"/>
          </w:tcPr>
          <w:p w:rsidR="004B0C37" w:rsidRPr="00414581" w:rsidRDefault="004B0C37" w:rsidP="00414581">
            <w:pPr>
              <w:suppressAutoHyphens w:val="0"/>
              <w:spacing w:before="80" w:after="80" w:line="200" w:lineRule="exact"/>
              <w:ind w:right="113"/>
              <w:jc w:val="right"/>
              <w:rPr>
                <w:i/>
                <w:sz w:val="16"/>
              </w:rPr>
            </w:pPr>
            <w:r w:rsidRPr="00414581">
              <w:rPr>
                <w:i/>
                <w:sz w:val="16"/>
              </w:rPr>
              <w:t>Female</w:t>
            </w:r>
          </w:p>
        </w:tc>
        <w:tc>
          <w:tcPr>
            <w:tcW w:w="2254" w:type="dxa"/>
            <w:tcBorders>
              <w:top w:val="single" w:sz="4" w:space="0" w:color="auto"/>
              <w:bottom w:val="single" w:sz="12" w:space="0" w:color="auto"/>
            </w:tcBorders>
            <w:shd w:val="clear" w:color="auto" w:fill="auto"/>
            <w:vAlign w:val="bottom"/>
          </w:tcPr>
          <w:p w:rsidR="004B0C37" w:rsidRPr="00414581" w:rsidRDefault="004B0C37" w:rsidP="00414581">
            <w:pPr>
              <w:suppressAutoHyphens w:val="0"/>
              <w:spacing w:before="80" w:after="80" w:line="200" w:lineRule="exact"/>
              <w:ind w:right="113"/>
              <w:jc w:val="right"/>
              <w:rPr>
                <w:i/>
                <w:sz w:val="16"/>
              </w:rPr>
            </w:pPr>
            <w:r w:rsidRPr="00414581">
              <w:rPr>
                <w:i/>
                <w:sz w:val="16"/>
              </w:rPr>
              <w:t>Total</w:t>
            </w:r>
          </w:p>
        </w:tc>
      </w:tr>
      <w:tr w:rsidR="004B0C37" w:rsidRPr="00414581" w:rsidTr="00414581">
        <w:tc>
          <w:tcPr>
            <w:tcW w:w="2254" w:type="dxa"/>
            <w:tcBorders>
              <w:top w:val="single" w:sz="12" w:space="0" w:color="auto"/>
            </w:tcBorders>
            <w:shd w:val="clear" w:color="auto" w:fill="auto"/>
          </w:tcPr>
          <w:p w:rsidR="004B0C37" w:rsidRPr="00414581" w:rsidRDefault="004B0C37" w:rsidP="00414581">
            <w:pPr>
              <w:suppressAutoHyphens w:val="0"/>
              <w:spacing w:before="40" w:after="40" w:line="220" w:lineRule="exact"/>
              <w:ind w:right="113"/>
              <w:rPr>
                <w:sz w:val="18"/>
              </w:rPr>
            </w:pPr>
            <w:r w:rsidRPr="00414581">
              <w:rPr>
                <w:sz w:val="16"/>
                <w:szCs w:val="18"/>
                <w:rtl/>
              </w:rPr>
              <w:t>0</w:t>
            </w:r>
          </w:p>
        </w:tc>
        <w:tc>
          <w:tcPr>
            <w:tcW w:w="2254" w:type="dxa"/>
            <w:tcBorders>
              <w:top w:val="single" w:sz="12" w:space="0" w:color="auto"/>
            </w:tcBorders>
            <w:shd w:val="clear" w:color="auto" w:fill="auto"/>
            <w:vAlign w:val="bottom"/>
          </w:tcPr>
          <w:p w:rsidR="004B0C37" w:rsidRPr="00414581" w:rsidRDefault="004B0C37" w:rsidP="00414581">
            <w:pPr>
              <w:suppressAutoHyphens w:val="0"/>
              <w:spacing w:before="40" w:after="40" w:line="220" w:lineRule="exact"/>
              <w:ind w:right="113"/>
              <w:jc w:val="right"/>
              <w:rPr>
                <w:sz w:val="18"/>
                <w:szCs w:val="18"/>
              </w:rPr>
            </w:pPr>
            <w:r w:rsidRPr="00414581">
              <w:rPr>
                <w:sz w:val="18"/>
                <w:szCs w:val="18"/>
                <w:rtl/>
              </w:rPr>
              <w:t>13</w:t>
            </w:r>
            <w:r w:rsidRPr="00414581">
              <w:rPr>
                <w:sz w:val="18"/>
                <w:szCs w:val="18"/>
              </w:rPr>
              <w:t xml:space="preserve"> </w:t>
            </w:r>
            <w:r w:rsidRPr="00414581">
              <w:rPr>
                <w:sz w:val="18"/>
                <w:szCs w:val="18"/>
                <w:rtl/>
              </w:rPr>
              <w:t>992</w:t>
            </w:r>
          </w:p>
        </w:tc>
        <w:tc>
          <w:tcPr>
            <w:tcW w:w="2254" w:type="dxa"/>
            <w:tcBorders>
              <w:top w:val="single" w:sz="12" w:space="0" w:color="auto"/>
            </w:tcBorders>
            <w:shd w:val="clear" w:color="auto" w:fill="auto"/>
            <w:vAlign w:val="bottom"/>
          </w:tcPr>
          <w:p w:rsidR="004B0C37" w:rsidRPr="00414581" w:rsidRDefault="004B0C37" w:rsidP="00414581">
            <w:pPr>
              <w:suppressAutoHyphens w:val="0"/>
              <w:spacing w:before="40" w:after="40" w:line="220" w:lineRule="exact"/>
              <w:ind w:right="113"/>
              <w:jc w:val="right"/>
              <w:rPr>
                <w:sz w:val="18"/>
                <w:szCs w:val="18"/>
              </w:rPr>
            </w:pPr>
            <w:r w:rsidRPr="00414581">
              <w:rPr>
                <w:sz w:val="18"/>
                <w:szCs w:val="18"/>
                <w:rtl/>
              </w:rPr>
              <w:t>13</w:t>
            </w:r>
            <w:r w:rsidRPr="00414581">
              <w:rPr>
                <w:sz w:val="18"/>
                <w:szCs w:val="18"/>
              </w:rPr>
              <w:t xml:space="preserve"> </w:t>
            </w:r>
            <w:r w:rsidRPr="00414581">
              <w:rPr>
                <w:sz w:val="18"/>
                <w:szCs w:val="18"/>
                <w:rtl/>
              </w:rPr>
              <w:t>561</w:t>
            </w:r>
          </w:p>
        </w:tc>
        <w:tc>
          <w:tcPr>
            <w:tcW w:w="2254" w:type="dxa"/>
            <w:tcBorders>
              <w:top w:val="single" w:sz="12" w:space="0" w:color="auto"/>
            </w:tcBorders>
            <w:shd w:val="clear" w:color="auto" w:fill="auto"/>
            <w:vAlign w:val="bottom"/>
          </w:tcPr>
          <w:p w:rsidR="004B0C37" w:rsidRPr="00414581" w:rsidRDefault="004B0C37" w:rsidP="00414581">
            <w:pPr>
              <w:suppressAutoHyphens w:val="0"/>
              <w:spacing w:before="40" w:after="40" w:line="220" w:lineRule="exact"/>
              <w:ind w:right="113"/>
              <w:jc w:val="right"/>
              <w:rPr>
                <w:sz w:val="18"/>
                <w:szCs w:val="18"/>
              </w:rPr>
            </w:pPr>
            <w:r w:rsidRPr="00414581">
              <w:rPr>
                <w:rFonts w:hint="cs"/>
                <w:sz w:val="18"/>
                <w:szCs w:val="18"/>
                <w:rtl/>
              </w:rPr>
              <w:t>26</w:t>
            </w:r>
            <w:r w:rsidRPr="00414581">
              <w:rPr>
                <w:sz w:val="18"/>
                <w:szCs w:val="18"/>
              </w:rPr>
              <w:t xml:space="preserve"> </w:t>
            </w:r>
            <w:r w:rsidRPr="00414581">
              <w:rPr>
                <w:sz w:val="18"/>
                <w:szCs w:val="18"/>
                <w:rtl/>
              </w:rPr>
              <w:t>553</w:t>
            </w:r>
          </w:p>
        </w:tc>
      </w:tr>
      <w:tr w:rsidR="004B0C37" w:rsidRPr="00414581" w:rsidTr="00414581">
        <w:tc>
          <w:tcPr>
            <w:tcW w:w="2254" w:type="dxa"/>
            <w:shd w:val="clear" w:color="auto" w:fill="auto"/>
          </w:tcPr>
          <w:p w:rsidR="004B0C37" w:rsidRPr="00414581" w:rsidRDefault="004B0C37" w:rsidP="00414581">
            <w:pPr>
              <w:suppressAutoHyphens w:val="0"/>
              <w:spacing w:before="40" w:after="40" w:line="220" w:lineRule="exact"/>
              <w:ind w:right="113"/>
              <w:rPr>
                <w:sz w:val="18"/>
              </w:rPr>
            </w:pPr>
            <w:r w:rsidRPr="00414581">
              <w:rPr>
                <w:sz w:val="18"/>
              </w:rPr>
              <w:t>1</w:t>
            </w:r>
            <w:r w:rsidR="00414581">
              <w:rPr>
                <w:sz w:val="18"/>
              </w:rPr>
              <w:t>–</w:t>
            </w:r>
            <w:r w:rsidRPr="00414581">
              <w:rPr>
                <w:sz w:val="18"/>
              </w:rPr>
              <w:t>4</w:t>
            </w:r>
          </w:p>
        </w:tc>
        <w:tc>
          <w:tcPr>
            <w:tcW w:w="2254" w:type="dxa"/>
            <w:shd w:val="clear" w:color="auto" w:fill="auto"/>
            <w:vAlign w:val="bottom"/>
          </w:tcPr>
          <w:p w:rsidR="004B0C37" w:rsidRPr="00414581" w:rsidRDefault="004B0C37" w:rsidP="00414581">
            <w:pPr>
              <w:suppressAutoHyphens w:val="0"/>
              <w:spacing w:before="40" w:after="40" w:line="220" w:lineRule="exact"/>
              <w:ind w:right="113"/>
              <w:jc w:val="right"/>
              <w:rPr>
                <w:sz w:val="18"/>
                <w:szCs w:val="18"/>
              </w:rPr>
            </w:pPr>
            <w:r w:rsidRPr="00414581">
              <w:rPr>
                <w:sz w:val="18"/>
                <w:szCs w:val="18"/>
                <w:rtl/>
              </w:rPr>
              <w:t>58</w:t>
            </w:r>
            <w:r w:rsidRPr="00414581">
              <w:rPr>
                <w:sz w:val="18"/>
                <w:szCs w:val="18"/>
              </w:rPr>
              <w:t xml:space="preserve"> </w:t>
            </w:r>
            <w:r w:rsidRPr="00414581">
              <w:rPr>
                <w:sz w:val="18"/>
                <w:szCs w:val="18"/>
                <w:rtl/>
              </w:rPr>
              <w:t>875</w:t>
            </w:r>
          </w:p>
        </w:tc>
        <w:tc>
          <w:tcPr>
            <w:tcW w:w="2254" w:type="dxa"/>
            <w:shd w:val="clear" w:color="auto" w:fill="auto"/>
            <w:vAlign w:val="bottom"/>
          </w:tcPr>
          <w:p w:rsidR="004B0C37" w:rsidRPr="00414581" w:rsidRDefault="004B0C37" w:rsidP="00414581">
            <w:pPr>
              <w:suppressAutoHyphens w:val="0"/>
              <w:spacing w:before="40" w:after="40" w:line="220" w:lineRule="exact"/>
              <w:ind w:right="113"/>
              <w:jc w:val="right"/>
              <w:rPr>
                <w:sz w:val="18"/>
                <w:szCs w:val="18"/>
              </w:rPr>
            </w:pPr>
            <w:r w:rsidRPr="00414581">
              <w:rPr>
                <w:sz w:val="18"/>
                <w:szCs w:val="18"/>
                <w:rtl/>
              </w:rPr>
              <w:t>57</w:t>
            </w:r>
            <w:r w:rsidRPr="00414581">
              <w:rPr>
                <w:sz w:val="18"/>
                <w:szCs w:val="18"/>
              </w:rPr>
              <w:t xml:space="preserve"> </w:t>
            </w:r>
            <w:r w:rsidRPr="00414581">
              <w:rPr>
                <w:sz w:val="18"/>
                <w:szCs w:val="18"/>
                <w:rtl/>
              </w:rPr>
              <w:t>445</w:t>
            </w:r>
          </w:p>
        </w:tc>
        <w:tc>
          <w:tcPr>
            <w:tcW w:w="2254" w:type="dxa"/>
            <w:shd w:val="clear" w:color="auto" w:fill="auto"/>
            <w:vAlign w:val="bottom"/>
          </w:tcPr>
          <w:p w:rsidR="004B0C37" w:rsidRPr="00414581" w:rsidRDefault="004B0C37" w:rsidP="00414581">
            <w:pPr>
              <w:suppressAutoHyphens w:val="0"/>
              <w:spacing w:before="40" w:after="40" w:line="220" w:lineRule="exact"/>
              <w:ind w:right="113"/>
              <w:jc w:val="right"/>
              <w:rPr>
                <w:sz w:val="18"/>
                <w:szCs w:val="18"/>
              </w:rPr>
            </w:pPr>
            <w:r w:rsidRPr="00414581">
              <w:rPr>
                <w:rFonts w:hint="cs"/>
                <w:sz w:val="18"/>
                <w:szCs w:val="18"/>
                <w:rtl/>
              </w:rPr>
              <w:t>116</w:t>
            </w:r>
            <w:r w:rsidRPr="00414581">
              <w:rPr>
                <w:sz w:val="18"/>
                <w:szCs w:val="18"/>
              </w:rPr>
              <w:t xml:space="preserve"> </w:t>
            </w:r>
            <w:r w:rsidRPr="00414581">
              <w:rPr>
                <w:sz w:val="18"/>
                <w:szCs w:val="18"/>
                <w:rtl/>
              </w:rPr>
              <w:t>320</w:t>
            </w:r>
          </w:p>
        </w:tc>
      </w:tr>
      <w:tr w:rsidR="004B0C37" w:rsidRPr="00414581" w:rsidTr="00414581">
        <w:tc>
          <w:tcPr>
            <w:tcW w:w="2254" w:type="dxa"/>
            <w:shd w:val="clear" w:color="auto" w:fill="auto"/>
          </w:tcPr>
          <w:p w:rsidR="004B0C37" w:rsidRPr="00414581" w:rsidRDefault="004B0C37" w:rsidP="00414581">
            <w:pPr>
              <w:suppressAutoHyphens w:val="0"/>
              <w:spacing w:before="40" w:after="40" w:line="220" w:lineRule="exact"/>
              <w:ind w:right="113"/>
              <w:rPr>
                <w:sz w:val="18"/>
              </w:rPr>
            </w:pPr>
            <w:r w:rsidRPr="00414581">
              <w:rPr>
                <w:sz w:val="18"/>
              </w:rPr>
              <w:t>5</w:t>
            </w:r>
            <w:r w:rsidR="00414581">
              <w:rPr>
                <w:sz w:val="18"/>
              </w:rPr>
              <w:t>–</w:t>
            </w:r>
            <w:r w:rsidRPr="00414581">
              <w:rPr>
                <w:sz w:val="18"/>
              </w:rPr>
              <w:t>9</w:t>
            </w:r>
          </w:p>
        </w:tc>
        <w:tc>
          <w:tcPr>
            <w:tcW w:w="2254" w:type="dxa"/>
            <w:shd w:val="clear" w:color="auto" w:fill="auto"/>
            <w:vAlign w:val="bottom"/>
          </w:tcPr>
          <w:p w:rsidR="004B0C37" w:rsidRPr="00414581" w:rsidRDefault="004B0C37" w:rsidP="00414581">
            <w:pPr>
              <w:suppressAutoHyphens w:val="0"/>
              <w:spacing w:before="40" w:after="40" w:line="220" w:lineRule="exact"/>
              <w:ind w:right="113"/>
              <w:jc w:val="right"/>
              <w:rPr>
                <w:sz w:val="18"/>
                <w:szCs w:val="18"/>
              </w:rPr>
            </w:pPr>
            <w:r w:rsidRPr="00414581">
              <w:rPr>
                <w:sz w:val="18"/>
                <w:szCs w:val="18"/>
                <w:rtl/>
              </w:rPr>
              <w:t>64</w:t>
            </w:r>
            <w:r w:rsidRPr="00414581">
              <w:rPr>
                <w:sz w:val="18"/>
                <w:szCs w:val="18"/>
              </w:rPr>
              <w:t xml:space="preserve"> </w:t>
            </w:r>
            <w:r w:rsidRPr="00414581">
              <w:rPr>
                <w:sz w:val="18"/>
                <w:szCs w:val="18"/>
                <w:rtl/>
              </w:rPr>
              <w:t>510</w:t>
            </w:r>
          </w:p>
        </w:tc>
        <w:tc>
          <w:tcPr>
            <w:tcW w:w="2254" w:type="dxa"/>
            <w:shd w:val="clear" w:color="auto" w:fill="auto"/>
            <w:vAlign w:val="bottom"/>
          </w:tcPr>
          <w:p w:rsidR="004B0C37" w:rsidRPr="00414581" w:rsidRDefault="004B0C37" w:rsidP="00414581">
            <w:pPr>
              <w:suppressAutoHyphens w:val="0"/>
              <w:spacing w:before="40" w:after="40" w:line="220" w:lineRule="exact"/>
              <w:ind w:right="113"/>
              <w:jc w:val="right"/>
              <w:rPr>
                <w:sz w:val="18"/>
                <w:szCs w:val="18"/>
              </w:rPr>
            </w:pPr>
            <w:r w:rsidRPr="00414581">
              <w:rPr>
                <w:sz w:val="18"/>
                <w:szCs w:val="18"/>
                <w:rtl/>
              </w:rPr>
              <w:t>63</w:t>
            </w:r>
            <w:r w:rsidRPr="00414581">
              <w:rPr>
                <w:sz w:val="18"/>
                <w:szCs w:val="18"/>
              </w:rPr>
              <w:t xml:space="preserve"> </w:t>
            </w:r>
            <w:r w:rsidRPr="00414581">
              <w:rPr>
                <w:sz w:val="18"/>
                <w:szCs w:val="18"/>
                <w:rtl/>
              </w:rPr>
              <w:t>477</w:t>
            </w:r>
          </w:p>
        </w:tc>
        <w:tc>
          <w:tcPr>
            <w:tcW w:w="2254" w:type="dxa"/>
            <w:shd w:val="clear" w:color="auto" w:fill="auto"/>
            <w:vAlign w:val="bottom"/>
          </w:tcPr>
          <w:p w:rsidR="004B0C37" w:rsidRPr="00414581" w:rsidRDefault="004B0C37" w:rsidP="00414581">
            <w:pPr>
              <w:suppressAutoHyphens w:val="0"/>
              <w:spacing w:before="40" w:after="40" w:line="220" w:lineRule="exact"/>
              <w:ind w:right="113"/>
              <w:jc w:val="right"/>
              <w:rPr>
                <w:sz w:val="18"/>
                <w:szCs w:val="18"/>
              </w:rPr>
            </w:pPr>
            <w:r w:rsidRPr="00414581">
              <w:rPr>
                <w:rFonts w:hint="cs"/>
                <w:sz w:val="18"/>
                <w:szCs w:val="18"/>
                <w:rtl/>
              </w:rPr>
              <w:t>12</w:t>
            </w:r>
            <w:r w:rsidRPr="00414581">
              <w:rPr>
                <w:sz w:val="18"/>
                <w:szCs w:val="18"/>
                <w:rtl/>
              </w:rPr>
              <w:t>7</w:t>
            </w:r>
            <w:r w:rsidRPr="00414581">
              <w:rPr>
                <w:sz w:val="18"/>
                <w:szCs w:val="18"/>
              </w:rPr>
              <w:t xml:space="preserve"> </w:t>
            </w:r>
            <w:r w:rsidRPr="00414581">
              <w:rPr>
                <w:sz w:val="18"/>
                <w:szCs w:val="18"/>
                <w:rtl/>
              </w:rPr>
              <w:t>987</w:t>
            </w:r>
          </w:p>
        </w:tc>
      </w:tr>
      <w:tr w:rsidR="004B0C37" w:rsidRPr="00414581" w:rsidTr="00414581">
        <w:tc>
          <w:tcPr>
            <w:tcW w:w="2254" w:type="dxa"/>
            <w:shd w:val="clear" w:color="auto" w:fill="auto"/>
          </w:tcPr>
          <w:p w:rsidR="004B0C37" w:rsidRPr="00414581" w:rsidRDefault="004B0C37" w:rsidP="00414581">
            <w:pPr>
              <w:suppressAutoHyphens w:val="0"/>
              <w:spacing w:before="40" w:after="40" w:line="220" w:lineRule="exact"/>
              <w:ind w:right="113"/>
              <w:rPr>
                <w:sz w:val="18"/>
              </w:rPr>
            </w:pPr>
            <w:r w:rsidRPr="00414581">
              <w:rPr>
                <w:sz w:val="18"/>
              </w:rPr>
              <w:t>10</w:t>
            </w:r>
            <w:r w:rsidR="00414581">
              <w:rPr>
                <w:sz w:val="18"/>
              </w:rPr>
              <w:t>–</w:t>
            </w:r>
            <w:r w:rsidRPr="00414581">
              <w:rPr>
                <w:sz w:val="18"/>
              </w:rPr>
              <w:t>14</w:t>
            </w:r>
          </w:p>
        </w:tc>
        <w:tc>
          <w:tcPr>
            <w:tcW w:w="2254" w:type="dxa"/>
            <w:shd w:val="clear" w:color="auto" w:fill="auto"/>
            <w:vAlign w:val="bottom"/>
          </w:tcPr>
          <w:p w:rsidR="004B0C37" w:rsidRPr="00414581" w:rsidRDefault="004B0C37" w:rsidP="00414581">
            <w:pPr>
              <w:suppressAutoHyphens w:val="0"/>
              <w:spacing w:before="40" w:after="40" w:line="220" w:lineRule="exact"/>
              <w:ind w:right="113"/>
              <w:jc w:val="right"/>
              <w:rPr>
                <w:sz w:val="18"/>
                <w:szCs w:val="18"/>
              </w:rPr>
            </w:pPr>
            <w:r w:rsidRPr="00414581">
              <w:rPr>
                <w:sz w:val="18"/>
                <w:szCs w:val="18"/>
                <w:rtl/>
              </w:rPr>
              <w:t>50</w:t>
            </w:r>
            <w:r w:rsidRPr="00414581">
              <w:rPr>
                <w:sz w:val="18"/>
                <w:szCs w:val="18"/>
              </w:rPr>
              <w:t xml:space="preserve"> </w:t>
            </w:r>
            <w:r w:rsidRPr="00414581">
              <w:rPr>
                <w:sz w:val="18"/>
                <w:szCs w:val="18"/>
                <w:rtl/>
              </w:rPr>
              <w:t>830</w:t>
            </w:r>
          </w:p>
        </w:tc>
        <w:tc>
          <w:tcPr>
            <w:tcW w:w="2254" w:type="dxa"/>
            <w:shd w:val="clear" w:color="auto" w:fill="auto"/>
            <w:vAlign w:val="bottom"/>
          </w:tcPr>
          <w:p w:rsidR="004B0C37" w:rsidRPr="00414581" w:rsidRDefault="004B0C37" w:rsidP="00414581">
            <w:pPr>
              <w:suppressAutoHyphens w:val="0"/>
              <w:spacing w:before="40" w:after="40" w:line="220" w:lineRule="exact"/>
              <w:ind w:right="113"/>
              <w:jc w:val="right"/>
              <w:rPr>
                <w:sz w:val="18"/>
                <w:szCs w:val="18"/>
              </w:rPr>
            </w:pPr>
            <w:r w:rsidRPr="00414581">
              <w:rPr>
                <w:sz w:val="18"/>
                <w:szCs w:val="18"/>
                <w:rtl/>
              </w:rPr>
              <w:t>49</w:t>
            </w:r>
            <w:r w:rsidRPr="00414581">
              <w:rPr>
                <w:sz w:val="18"/>
                <w:szCs w:val="18"/>
              </w:rPr>
              <w:t xml:space="preserve"> </w:t>
            </w:r>
            <w:r w:rsidRPr="00414581">
              <w:rPr>
                <w:sz w:val="18"/>
                <w:szCs w:val="18"/>
                <w:rtl/>
              </w:rPr>
              <w:t>670</w:t>
            </w:r>
          </w:p>
        </w:tc>
        <w:tc>
          <w:tcPr>
            <w:tcW w:w="2254" w:type="dxa"/>
            <w:shd w:val="clear" w:color="auto" w:fill="auto"/>
            <w:vAlign w:val="bottom"/>
          </w:tcPr>
          <w:p w:rsidR="004B0C37" w:rsidRPr="00414581" w:rsidRDefault="004B0C37" w:rsidP="00414581">
            <w:pPr>
              <w:suppressAutoHyphens w:val="0"/>
              <w:spacing w:before="40" w:after="40" w:line="220" w:lineRule="exact"/>
              <w:ind w:right="113"/>
              <w:jc w:val="right"/>
              <w:rPr>
                <w:sz w:val="18"/>
                <w:szCs w:val="18"/>
              </w:rPr>
            </w:pPr>
            <w:r w:rsidRPr="00414581">
              <w:rPr>
                <w:sz w:val="18"/>
                <w:szCs w:val="18"/>
                <w:rtl/>
              </w:rPr>
              <w:t>100</w:t>
            </w:r>
            <w:r w:rsidRPr="00414581">
              <w:rPr>
                <w:sz w:val="18"/>
                <w:szCs w:val="18"/>
              </w:rPr>
              <w:t xml:space="preserve"> </w:t>
            </w:r>
            <w:r w:rsidRPr="00414581">
              <w:rPr>
                <w:sz w:val="18"/>
                <w:szCs w:val="18"/>
                <w:rtl/>
              </w:rPr>
              <w:t>500</w:t>
            </w:r>
          </w:p>
        </w:tc>
      </w:tr>
      <w:tr w:rsidR="004B0C37" w:rsidRPr="00414581" w:rsidTr="00414581">
        <w:tc>
          <w:tcPr>
            <w:tcW w:w="2254" w:type="dxa"/>
            <w:shd w:val="clear" w:color="auto" w:fill="auto"/>
          </w:tcPr>
          <w:p w:rsidR="004B0C37" w:rsidRPr="00414581" w:rsidRDefault="004B0C37" w:rsidP="00414581">
            <w:pPr>
              <w:suppressAutoHyphens w:val="0"/>
              <w:spacing w:before="40" w:after="40" w:line="220" w:lineRule="exact"/>
              <w:ind w:right="113"/>
              <w:rPr>
                <w:sz w:val="18"/>
              </w:rPr>
            </w:pPr>
            <w:r w:rsidRPr="00414581">
              <w:rPr>
                <w:sz w:val="18"/>
              </w:rPr>
              <w:t>15</w:t>
            </w:r>
            <w:r w:rsidR="00414581">
              <w:rPr>
                <w:sz w:val="18"/>
              </w:rPr>
              <w:t>–</w:t>
            </w:r>
            <w:r w:rsidRPr="00414581">
              <w:rPr>
                <w:sz w:val="18"/>
              </w:rPr>
              <w:t>19</w:t>
            </w:r>
          </w:p>
        </w:tc>
        <w:tc>
          <w:tcPr>
            <w:tcW w:w="2254" w:type="dxa"/>
            <w:shd w:val="clear" w:color="auto" w:fill="auto"/>
            <w:vAlign w:val="bottom"/>
          </w:tcPr>
          <w:p w:rsidR="004B0C37" w:rsidRPr="00414581" w:rsidRDefault="004B0C37" w:rsidP="00414581">
            <w:pPr>
              <w:suppressAutoHyphens w:val="0"/>
              <w:spacing w:before="40" w:after="40" w:line="220" w:lineRule="exact"/>
              <w:ind w:right="113"/>
              <w:jc w:val="right"/>
              <w:rPr>
                <w:sz w:val="18"/>
                <w:szCs w:val="18"/>
              </w:rPr>
            </w:pPr>
            <w:r w:rsidRPr="00414581">
              <w:rPr>
                <w:sz w:val="18"/>
                <w:szCs w:val="18"/>
                <w:rtl/>
              </w:rPr>
              <w:t>56</w:t>
            </w:r>
            <w:r w:rsidRPr="00414581">
              <w:rPr>
                <w:sz w:val="18"/>
                <w:szCs w:val="18"/>
              </w:rPr>
              <w:t xml:space="preserve"> </w:t>
            </w:r>
            <w:r w:rsidRPr="00414581">
              <w:rPr>
                <w:sz w:val="18"/>
                <w:szCs w:val="18"/>
                <w:rtl/>
              </w:rPr>
              <w:t>516</w:t>
            </w:r>
          </w:p>
        </w:tc>
        <w:tc>
          <w:tcPr>
            <w:tcW w:w="2254" w:type="dxa"/>
            <w:shd w:val="clear" w:color="auto" w:fill="auto"/>
            <w:vAlign w:val="bottom"/>
          </w:tcPr>
          <w:p w:rsidR="004B0C37" w:rsidRPr="00414581" w:rsidRDefault="004B0C37" w:rsidP="00414581">
            <w:pPr>
              <w:suppressAutoHyphens w:val="0"/>
              <w:spacing w:before="40" w:after="40" w:line="220" w:lineRule="exact"/>
              <w:ind w:right="113"/>
              <w:jc w:val="right"/>
              <w:rPr>
                <w:sz w:val="18"/>
                <w:szCs w:val="18"/>
              </w:rPr>
            </w:pPr>
            <w:r w:rsidRPr="00414581">
              <w:rPr>
                <w:sz w:val="18"/>
                <w:szCs w:val="18"/>
                <w:rtl/>
              </w:rPr>
              <w:t>36</w:t>
            </w:r>
            <w:r w:rsidRPr="00414581">
              <w:rPr>
                <w:sz w:val="18"/>
                <w:szCs w:val="18"/>
              </w:rPr>
              <w:t xml:space="preserve"> </w:t>
            </w:r>
            <w:r w:rsidRPr="00414581">
              <w:rPr>
                <w:sz w:val="18"/>
                <w:szCs w:val="18"/>
                <w:rtl/>
              </w:rPr>
              <w:t>041</w:t>
            </w:r>
          </w:p>
        </w:tc>
        <w:tc>
          <w:tcPr>
            <w:tcW w:w="2254" w:type="dxa"/>
            <w:shd w:val="clear" w:color="auto" w:fill="auto"/>
            <w:vAlign w:val="bottom"/>
          </w:tcPr>
          <w:p w:rsidR="004B0C37" w:rsidRPr="00414581" w:rsidRDefault="004B0C37" w:rsidP="00414581">
            <w:pPr>
              <w:suppressAutoHyphens w:val="0"/>
              <w:spacing w:before="40" w:after="40" w:line="220" w:lineRule="exact"/>
              <w:ind w:right="113"/>
              <w:jc w:val="right"/>
              <w:rPr>
                <w:sz w:val="18"/>
                <w:szCs w:val="18"/>
              </w:rPr>
            </w:pPr>
            <w:r w:rsidRPr="00414581">
              <w:rPr>
                <w:sz w:val="18"/>
                <w:szCs w:val="18"/>
                <w:rtl/>
              </w:rPr>
              <w:t>92</w:t>
            </w:r>
            <w:r w:rsidRPr="00414581">
              <w:rPr>
                <w:sz w:val="18"/>
                <w:szCs w:val="18"/>
              </w:rPr>
              <w:t xml:space="preserve"> </w:t>
            </w:r>
            <w:r w:rsidRPr="00414581">
              <w:rPr>
                <w:sz w:val="18"/>
                <w:szCs w:val="18"/>
                <w:rtl/>
              </w:rPr>
              <w:t>557</w:t>
            </w:r>
          </w:p>
        </w:tc>
      </w:tr>
      <w:tr w:rsidR="004B0C37" w:rsidRPr="00414581" w:rsidTr="00414581">
        <w:tc>
          <w:tcPr>
            <w:tcW w:w="2254" w:type="dxa"/>
            <w:shd w:val="clear" w:color="auto" w:fill="auto"/>
          </w:tcPr>
          <w:p w:rsidR="004B0C37" w:rsidRPr="00414581" w:rsidRDefault="004B0C37" w:rsidP="00414581">
            <w:pPr>
              <w:suppressAutoHyphens w:val="0"/>
              <w:spacing w:before="40" w:after="40" w:line="220" w:lineRule="exact"/>
              <w:ind w:right="113"/>
              <w:rPr>
                <w:sz w:val="18"/>
              </w:rPr>
            </w:pPr>
            <w:r w:rsidRPr="00414581">
              <w:rPr>
                <w:sz w:val="18"/>
              </w:rPr>
              <w:t>20</w:t>
            </w:r>
            <w:r w:rsidR="00414581">
              <w:rPr>
                <w:sz w:val="18"/>
              </w:rPr>
              <w:t>–</w:t>
            </w:r>
            <w:r w:rsidRPr="00414581">
              <w:rPr>
                <w:sz w:val="18"/>
              </w:rPr>
              <w:t>24</w:t>
            </w:r>
          </w:p>
        </w:tc>
        <w:tc>
          <w:tcPr>
            <w:tcW w:w="2254" w:type="dxa"/>
            <w:shd w:val="clear" w:color="auto" w:fill="auto"/>
            <w:vAlign w:val="bottom"/>
          </w:tcPr>
          <w:p w:rsidR="004B0C37" w:rsidRPr="00414581" w:rsidRDefault="004B0C37" w:rsidP="00414581">
            <w:pPr>
              <w:suppressAutoHyphens w:val="0"/>
              <w:spacing w:before="40" w:after="40" w:line="220" w:lineRule="exact"/>
              <w:ind w:right="113"/>
              <w:jc w:val="right"/>
              <w:rPr>
                <w:sz w:val="18"/>
                <w:szCs w:val="18"/>
              </w:rPr>
            </w:pPr>
            <w:r w:rsidRPr="00414581">
              <w:rPr>
                <w:sz w:val="18"/>
                <w:szCs w:val="18"/>
                <w:rtl/>
              </w:rPr>
              <w:t>237</w:t>
            </w:r>
            <w:r w:rsidRPr="00414581">
              <w:rPr>
                <w:sz w:val="18"/>
                <w:szCs w:val="18"/>
              </w:rPr>
              <w:t xml:space="preserve"> </w:t>
            </w:r>
            <w:r w:rsidRPr="00414581">
              <w:rPr>
                <w:sz w:val="18"/>
                <w:szCs w:val="18"/>
                <w:rtl/>
              </w:rPr>
              <w:t>357</w:t>
            </w:r>
          </w:p>
        </w:tc>
        <w:tc>
          <w:tcPr>
            <w:tcW w:w="2254" w:type="dxa"/>
            <w:shd w:val="clear" w:color="auto" w:fill="auto"/>
            <w:vAlign w:val="bottom"/>
          </w:tcPr>
          <w:p w:rsidR="004B0C37" w:rsidRPr="00414581" w:rsidRDefault="004B0C37" w:rsidP="00414581">
            <w:pPr>
              <w:suppressAutoHyphens w:val="0"/>
              <w:spacing w:before="40" w:after="40" w:line="220" w:lineRule="exact"/>
              <w:ind w:right="113"/>
              <w:jc w:val="right"/>
              <w:rPr>
                <w:sz w:val="18"/>
                <w:szCs w:val="18"/>
              </w:rPr>
            </w:pPr>
            <w:r w:rsidRPr="00414581">
              <w:rPr>
                <w:sz w:val="18"/>
                <w:szCs w:val="18"/>
                <w:rtl/>
              </w:rPr>
              <w:t>47</w:t>
            </w:r>
            <w:r w:rsidRPr="00414581">
              <w:rPr>
                <w:sz w:val="18"/>
                <w:szCs w:val="18"/>
              </w:rPr>
              <w:t xml:space="preserve"> </w:t>
            </w:r>
            <w:r w:rsidRPr="00414581">
              <w:rPr>
                <w:sz w:val="18"/>
                <w:szCs w:val="18"/>
                <w:rtl/>
              </w:rPr>
              <w:t>023</w:t>
            </w:r>
          </w:p>
        </w:tc>
        <w:tc>
          <w:tcPr>
            <w:tcW w:w="2254" w:type="dxa"/>
            <w:shd w:val="clear" w:color="auto" w:fill="auto"/>
            <w:vAlign w:val="bottom"/>
          </w:tcPr>
          <w:p w:rsidR="004B0C37" w:rsidRPr="00414581" w:rsidRDefault="004B0C37" w:rsidP="00414581">
            <w:pPr>
              <w:suppressAutoHyphens w:val="0"/>
              <w:spacing w:before="40" w:after="40" w:line="220" w:lineRule="exact"/>
              <w:ind w:right="113"/>
              <w:jc w:val="right"/>
              <w:rPr>
                <w:sz w:val="18"/>
                <w:szCs w:val="18"/>
              </w:rPr>
            </w:pPr>
            <w:r w:rsidRPr="00414581">
              <w:rPr>
                <w:rFonts w:hint="cs"/>
                <w:sz w:val="18"/>
                <w:szCs w:val="18"/>
                <w:rtl/>
              </w:rPr>
              <w:t>2</w:t>
            </w:r>
            <w:r w:rsidRPr="00414581">
              <w:rPr>
                <w:sz w:val="18"/>
                <w:szCs w:val="18"/>
                <w:rtl/>
              </w:rPr>
              <w:t>84</w:t>
            </w:r>
            <w:r w:rsidRPr="00414581">
              <w:rPr>
                <w:sz w:val="18"/>
                <w:szCs w:val="18"/>
              </w:rPr>
              <w:t xml:space="preserve"> </w:t>
            </w:r>
            <w:r w:rsidRPr="00414581">
              <w:rPr>
                <w:sz w:val="18"/>
                <w:szCs w:val="18"/>
                <w:rtl/>
              </w:rPr>
              <w:t>380</w:t>
            </w:r>
          </w:p>
        </w:tc>
      </w:tr>
      <w:tr w:rsidR="004B0C37" w:rsidRPr="00414581" w:rsidTr="00414581">
        <w:tc>
          <w:tcPr>
            <w:tcW w:w="2254" w:type="dxa"/>
            <w:shd w:val="clear" w:color="auto" w:fill="auto"/>
          </w:tcPr>
          <w:p w:rsidR="004B0C37" w:rsidRPr="00414581" w:rsidRDefault="004B0C37" w:rsidP="00414581">
            <w:pPr>
              <w:suppressAutoHyphens w:val="0"/>
              <w:spacing w:before="40" w:after="40" w:line="220" w:lineRule="exact"/>
              <w:ind w:right="113"/>
              <w:rPr>
                <w:sz w:val="18"/>
              </w:rPr>
            </w:pPr>
            <w:r w:rsidRPr="00414581">
              <w:rPr>
                <w:sz w:val="18"/>
              </w:rPr>
              <w:t>25</w:t>
            </w:r>
            <w:r w:rsidR="00414581">
              <w:rPr>
                <w:sz w:val="18"/>
              </w:rPr>
              <w:t>–</w:t>
            </w:r>
            <w:r w:rsidRPr="00414581">
              <w:rPr>
                <w:sz w:val="18"/>
              </w:rPr>
              <w:t>29</w:t>
            </w:r>
          </w:p>
        </w:tc>
        <w:tc>
          <w:tcPr>
            <w:tcW w:w="2254" w:type="dxa"/>
            <w:shd w:val="clear" w:color="auto" w:fill="auto"/>
            <w:vAlign w:val="bottom"/>
          </w:tcPr>
          <w:p w:rsidR="004B0C37" w:rsidRPr="00414581" w:rsidRDefault="004B0C37" w:rsidP="00414581">
            <w:pPr>
              <w:suppressAutoHyphens w:val="0"/>
              <w:spacing w:before="40" w:after="40" w:line="220" w:lineRule="exact"/>
              <w:ind w:right="113"/>
              <w:jc w:val="right"/>
              <w:rPr>
                <w:sz w:val="18"/>
                <w:szCs w:val="18"/>
              </w:rPr>
            </w:pPr>
            <w:r w:rsidRPr="00414581">
              <w:rPr>
                <w:sz w:val="18"/>
                <w:szCs w:val="18"/>
                <w:rtl/>
              </w:rPr>
              <w:t>389</w:t>
            </w:r>
            <w:r w:rsidRPr="00414581">
              <w:rPr>
                <w:sz w:val="18"/>
                <w:szCs w:val="18"/>
              </w:rPr>
              <w:t xml:space="preserve"> </w:t>
            </w:r>
            <w:r w:rsidRPr="00414581">
              <w:rPr>
                <w:sz w:val="18"/>
                <w:szCs w:val="18"/>
                <w:rtl/>
              </w:rPr>
              <w:t>213</w:t>
            </w:r>
          </w:p>
        </w:tc>
        <w:tc>
          <w:tcPr>
            <w:tcW w:w="2254" w:type="dxa"/>
            <w:shd w:val="clear" w:color="auto" w:fill="auto"/>
            <w:vAlign w:val="bottom"/>
          </w:tcPr>
          <w:p w:rsidR="004B0C37" w:rsidRPr="00414581" w:rsidRDefault="004B0C37" w:rsidP="00414581">
            <w:pPr>
              <w:suppressAutoHyphens w:val="0"/>
              <w:spacing w:before="40" w:after="40" w:line="220" w:lineRule="exact"/>
              <w:ind w:right="113"/>
              <w:jc w:val="right"/>
              <w:rPr>
                <w:sz w:val="18"/>
                <w:szCs w:val="18"/>
              </w:rPr>
            </w:pPr>
            <w:r w:rsidRPr="00414581">
              <w:rPr>
                <w:sz w:val="18"/>
                <w:szCs w:val="18"/>
                <w:rtl/>
              </w:rPr>
              <w:t>92</w:t>
            </w:r>
            <w:r w:rsidRPr="00414581">
              <w:rPr>
                <w:sz w:val="18"/>
                <w:szCs w:val="18"/>
              </w:rPr>
              <w:t xml:space="preserve"> </w:t>
            </w:r>
            <w:r w:rsidRPr="00414581">
              <w:rPr>
                <w:sz w:val="18"/>
                <w:szCs w:val="18"/>
                <w:rtl/>
              </w:rPr>
              <w:t>780</w:t>
            </w:r>
          </w:p>
        </w:tc>
        <w:tc>
          <w:tcPr>
            <w:tcW w:w="2254" w:type="dxa"/>
            <w:shd w:val="clear" w:color="auto" w:fill="auto"/>
            <w:vAlign w:val="bottom"/>
          </w:tcPr>
          <w:p w:rsidR="004B0C37" w:rsidRPr="00414581" w:rsidRDefault="004B0C37" w:rsidP="00414581">
            <w:pPr>
              <w:suppressAutoHyphens w:val="0"/>
              <w:spacing w:before="40" w:after="40" w:line="220" w:lineRule="exact"/>
              <w:ind w:right="113"/>
              <w:jc w:val="right"/>
              <w:rPr>
                <w:sz w:val="18"/>
                <w:szCs w:val="18"/>
              </w:rPr>
            </w:pPr>
            <w:r w:rsidRPr="00414581">
              <w:rPr>
                <w:rFonts w:hint="cs"/>
                <w:sz w:val="18"/>
                <w:szCs w:val="18"/>
                <w:rtl/>
              </w:rPr>
              <w:t>4</w:t>
            </w:r>
            <w:r w:rsidRPr="00414581">
              <w:rPr>
                <w:sz w:val="18"/>
                <w:szCs w:val="18"/>
                <w:rtl/>
              </w:rPr>
              <w:t>81</w:t>
            </w:r>
            <w:r w:rsidRPr="00414581">
              <w:rPr>
                <w:sz w:val="18"/>
                <w:szCs w:val="18"/>
              </w:rPr>
              <w:t xml:space="preserve"> </w:t>
            </w:r>
            <w:r w:rsidRPr="00414581">
              <w:rPr>
                <w:sz w:val="18"/>
                <w:szCs w:val="18"/>
                <w:rtl/>
              </w:rPr>
              <w:t>993</w:t>
            </w:r>
          </w:p>
        </w:tc>
      </w:tr>
      <w:tr w:rsidR="004B0C37" w:rsidRPr="00414581" w:rsidTr="00414581">
        <w:tc>
          <w:tcPr>
            <w:tcW w:w="2254" w:type="dxa"/>
            <w:shd w:val="clear" w:color="auto" w:fill="auto"/>
          </w:tcPr>
          <w:p w:rsidR="004B0C37" w:rsidRPr="00414581" w:rsidRDefault="004B0C37" w:rsidP="00414581">
            <w:pPr>
              <w:suppressAutoHyphens w:val="0"/>
              <w:spacing w:before="40" w:after="40" w:line="220" w:lineRule="exact"/>
              <w:ind w:right="113"/>
              <w:rPr>
                <w:sz w:val="18"/>
              </w:rPr>
            </w:pPr>
            <w:r w:rsidRPr="00414581">
              <w:rPr>
                <w:sz w:val="18"/>
              </w:rPr>
              <w:t>30</w:t>
            </w:r>
            <w:r w:rsidR="00414581">
              <w:rPr>
                <w:sz w:val="18"/>
              </w:rPr>
              <w:t>–</w:t>
            </w:r>
            <w:r w:rsidRPr="00414581">
              <w:rPr>
                <w:sz w:val="18"/>
              </w:rPr>
              <w:t>34</w:t>
            </w:r>
          </w:p>
        </w:tc>
        <w:tc>
          <w:tcPr>
            <w:tcW w:w="2254" w:type="dxa"/>
            <w:shd w:val="clear" w:color="auto" w:fill="auto"/>
            <w:vAlign w:val="bottom"/>
          </w:tcPr>
          <w:p w:rsidR="004B0C37" w:rsidRPr="00414581" w:rsidRDefault="004B0C37" w:rsidP="00414581">
            <w:pPr>
              <w:suppressAutoHyphens w:val="0"/>
              <w:spacing w:before="40" w:after="40" w:line="220" w:lineRule="exact"/>
              <w:ind w:right="113"/>
              <w:jc w:val="right"/>
              <w:rPr>
                <w:sz w:val="18"/>
                <w:szCs w:val="18"/>
              </w:rPr>
            </w:pPr>
            <w:r w:rsidRPr="00414581">
              <w:rPr>
                <w:sz w:val="18"/>
                <w:szCs w:val="18"/>
                <w:rtl/>
              </w:rPr>
              <w:t>361</w:t>
            </w:r>
            <w:r w:rsidRPr="00414581">
              <w:rPr>
                <w:sz w:val="18"/>
                <w:szCs w:val="18"/>
              </w:rPr>
              <w:t xml:space="preserve"> </w:t>
            </w:r>
            <w:r w:rsidRPr="00414581">
              <w:rPr>
                <w:sz w:val="18"/>
                <w:szCs w:val="18"/>
                <w:rtl/>
              </w:rPr>
              <w:t>510</w:t>
            </w:r>
          </w:p>
        </w:tc>
        <w:tc>
          <w:tcPr>
            <w:tcW w:w="2254" w:type="dxa"/>
            <w:shd w:val="clear" w:color="auto" w:fill="auto"/>
            <w:vAlign w:val="bottom"/>
          </w:tcPr>
          <w:p w:rsidR="004B0C37" w:rsidRPr="00414581" w:rsidRDefault="004B0C37" w:rsidP="00414581">
            <w:pPr>
              <w:suppressAutoHyphens w:val="0"/>
              <w:spacing w:before="40" w:after="40" w:line="220" w:lineRule="exact"/>
              <w:ind w:right="113"/>
              <w:jc w:val="right"/>
              <w:rPr>
                <w:sz w:val="18"/>
                <w:szCs w:val="18"/>
              </w:rPr>
            </w:pPr>
            <w:r w:rsidRPr="00414581">
              <w:rPr>
                <w:sz w:val="18"/>
                <w:szCs w:val="18"/>
                <w:rtl/>
              </w:rPr>
              <w:t>95</w:t>
            </w:r>
            <w:r w:rsidRPr="00414581">
              <w:rPr>
                <w:sz w:val="18"/>
                <w:szCs w:val="18"/>
              </w:rPr>
              <w:t xml:space="preserve"> </w:t>
            </w:r>
            <w:r w:rsidRPr="00414581">
              <w:rPr>
                <w:sz w:val="18"/>
                <w:szCs w:val="18"/>
                <w:rtl/>
              </w:rPr>
              <w:t>603</w:t>
            </w:r>
          </w:p>
        </w:tc>
        <w:tc>
          <w:tcPr>
            <w:tcW w:w="2254" w:type="dxa"/>
            <w:shd w:val="clear" w:color="auto" w:fill="auto"/>
            <w:vAlign w:val="bottom"/>
          </w:tcPr>
          <w:p w:rsidR="004B0C37" w:rsidRPr="00414581" w:rsidRDefault="004B0C37" w:rsidP="00414581">
            <w:pPr>
              <w:suppressAutoHyphens w:val="0"/>
              <w:spacing w:before="40" w:after="40" w:line="220" w:lineRule="exact"/>
              <w:ind w:right="113"/>
              <w:jc w:val="right"/>
              <w:rPr>
                <w:sz w:val="18"/>
                <w:szCs w:val="18"/>
              </w:rPr>
            </w:pPr>
            <w:r w:rsidRPr="00414581">
              <w:rPr>
                <w:rFonts w:hint="cs"/>
                <w:sz w:val="18"/>
                <w:szCs w:val="18"/>
                <w:rtl/>
              </w:rPr>
              <w:t>4</w:t>
            </w:r>
            <w:r w:rsidRPr="00414581">
              <w:rPr>
                <w:sz w:val="18"/>
                <w:szCs w:val="18"/>
                <w:rtl/>
              </w:rPr>
              <w:t>57</w:t>
            </w:r>
            <w:r w:rsidRPr="00414581">
              <w:rPr>
                <w:sz w:val="18"/>
                <w:szCs w:val="18"/>
              </w:rPr>
              <w:t xml:space="preserve"> </w:t>
            </w:r>
            <w:r w:rsidRPr="00414581">
              <w:rPr>
                <w:sz w:val="18"/>
                <w:szCs w:val="18"/>
                <w:rtl/>
              </w:rPr>
              <w:t>113</w:t>
            </w:r>
          </w:p>
        </w:tc>
      </w:tr>
      <w:tr w:rsidR="004B0C37" w:rsidRPr="00414581" w:rsidTr="00414581">
        <w:tc>
          <w:tcPr>
            <w:tcW w:w="2254" w:type="dxa"/>
            <w:shd w:val="clear" w:color="auto" w:fill="auto"/>
          </w:tcPr>
          <w:p w:rsidR="004B0C37" w:rsidRPr="00414581" w:rsidRDefault="004B0C37" w:rsidP="00414581">
            <w:pPr>
              <w:suppressAutoHyphens w:val="0"/>
              <w:spacing w:before="40" w:after="40" w:line="220" w:lineRule="exact"/>
              <w:ind w:right="113"/>
              <w:rPr>
                <w:sz w:val="18"/>
              </w:rPr>
            </w:pPr>
            <w:r w:rsidRPr="00414581">
              <w:rPr>
                <w:sz w:val="18"/>
              </w:rPr>
              <w:t>35</w:t>
            </w:r>
            <w:r w:rsidR="00414581">
              <w:rPr>
                <w:sz w:val="18"/>
              </w:rPr>
              <w:t>–</w:t>
            </w:r>
            <w:r w:rsidRPr="00414581">
              <w:rPr>
                <w:sz w:val="18"/>
              </w:rPr>
              <w:t>39</w:t>
            </w:r>
          </w:p>
        </w:tc>
        <w:tc>
          <w:tcPr>
            <w:tcW w:w="2254" w:type="dxa"/>
            <w:shd w:val="clear" w:color="auto" w:fill="auto"/>
            <w:vAlign w:val="bottom"/>
          </w:tcPr>
          <w:p w:rsidR="004B0C37" w:rsidRPr="00414581" w:rsidRDefault="004B0C37" w:rsidP="00414581">
            <w:pPr>
              <w:suppressAutoHyphens w:val="0"/>
              <w:spacing w:before="40" w:after="40" w:line="220" w:lineRule="exact"/>
              <w:ind w:right="113"/>
              <w:jc w:val="right"/>
              <w:rPr>
                <w:sz w:val="18"/>
                <w:szCs w:val="18"/>
              </w:rPr>
            </w:pPr>
            <w:r w:rsidRPr="00414581">
              <w:rPr>
                <w:sz w:val="18"/>
                <w:szCs w:val="18"/>
                <w:rtl/>
              </w:rPr>
              <w:t>271</w:t>
            </w:r>
            <w:r w:rsidRPr="00414581">
              <w:rPr>
                <w:sz w:val="18"/>
                <w:szCs w:val="18"/>
              </w:rPr>
              <w:t xml:space="preserve"> </w:t>
            </w:r>
            <w:r w:rsidRPr="00414581">
              <w:rPr>
                <w:sz w:val="18"/>
                <w:szCs w:val="18"/>
                <w:rtl/>
              </w:rPr>
              <w:t>350</w:t>
            </w:r>
          </w:p>
        </w:tc>
        <w:tc>
          <w:tcPr>
            <w:tcW w:w="2254" w:type="dxa"/>
            <w:shd w:val="clear" w:color="auto" w:fill="auto"/>
            <w:vAlign w:val="bottom"/>
          </w:tcPr>
          <w:p w:rsidR="004B0C37" w:rsidRPr="00414581" w:rsidRDefault="004B0C37" w:rsidP="00414581">
            <w:pPr>
              <w:suppressAutoHyphens w:val="0"/>
              <w:spacing w:before="40" w:after="40" w:line="220" w:lineRule="exact"/>
              <w:ind w:right="113"/>
              <w:jc w:val="right"/>
              <w:rPr>
                <w:sz w:val="18"/>
                <w:szCs w:val="18"/>
              </w:rPr>
            </w:pPr>
            <w:r w:rsidRPr="00414581">
              <w:rPr>
                <w:sz w:val="18"/>
                <w:szCs w:val="18"/>
                <w:rtl/>
              </w:rPr>
              <w:t>76</w:t>
            </w:r>
            <w:r w:rsidRPr="00414581">
              <w:rPr>
                <w:sz w:val="18"/>
                <w:szCs w:val="18"/>
              </w:rPr>
              <w:t xml:space="preserve"> </w:t>
            </w:r>
            <w:r w:rsidRPr="00414581">
              <w:rPr>
                <w:sz w:val="18"/>
                <w:szCs w:val="18"/>
                <w:rtl/>
              </w:rPr>
              <w:t>365</w:t>
            </w:r>
          </w:p>
        </w:tc>
        <w:tc>
          <w:tcPr>
            <w:tcW w:w="2254" w:type="dxa"/>
            <w:shd w:val="clear" w:color="auto" w:fill="auto"/>
            <w:vAlign w:val="bottom"/>
          </w:tcPr>
          <w:p w:rsidR="004B0C37" w:rsidRPr="00414581" w:rsidRDefault="004B0C37" w:rsidP="00414581">
            <w:pPr>
              <w:suppressAutoHyphens w:val="0"/>
              <w:spacing w:before="40" w:after="40" w:line="220" w:lineRule="exact"/>
              <w:ind w:right="113"/>
              <w:jc w:val="right"/>
              <w:rPr>
                <w:sz w:val="18"/>
                <w:szCs w:val="18"/>
              </w:rPr>
            </w:pPr>
            <w:r w:rsidRPr="00414581">
              <w:rPr>
                <w:rFonts w:hint="cs"/>
                <w:sz w:val="18"/>
                <w:szCs w:val="18"/>
                <w:rtl/>
              </w:rPr>
              <w:t>3</w:t>
            </w:r>
            <w:r w:rsidRPr="00414581">
              <w:rPr>
                <w:sz w:val="18"/>
                <w:szCs w:val="18"/>
                <w:rtl/>
              </w:rPr>
              <w:t>47</w:t>
            </w:r>
            <w:r w:rsidRPr="00414581">
              <w:rPr>
                <w:sz w:val="18"/>
                <w:szCs w:val="18"/>
              </w:rPr>
              <w:t xml:space="preserve"> </w:t>
            </w:r>
            <w:r w:rsidRPr="00414581">
              <w:rPr>
                <w:sz w:val="18"/>
                <w:szCs w:val="18"/>
                <w:rtl/>
              </w:rPr>
              <w:t>715</w:t>
            </w:r>
          </w:p>
        </w:tc>
      </w:tr>
      <w:tr w:rsidR="004B0C37" w:rsidRPr="00414581" w:rsidTr="00414581">
        <w:tc>
          <w:tcPr>
            <w:tcW w:w="2254" w:type="dxa"/>
            <w:shd w:val="clear" w:color="auto" w:fill="auto"/>
          </w:tcPr>
          <w:p w:rsidR="004B0C37" w:rsidRPr="00414581" w:rsidRDefault="004B0C37" w:rsidP="00414581">
            <w:pPr>
              <w:suppressAutoHyphens w:val="0"/>
              <w:spacing w:before="40" w:after="40" w:line="220" w:lineRule="exact"/>
              <w:ind w:right="113"/>
              <w:rPr>
                <w:sz w:val="18"/>
              </w:rPr>
            </w:pPr>
            <w:r w:rsidRPr="00414581">
              <w:rPr>
                <w:sz w:val="18"/>
              </w:rPr>
              <w:t>40</w:t>
            </w:r>
            <w:r w:rsidR="00414581">
              <w:rPr>
                <w:sz w:val="18"/>
              </w:rPr>
              <w:t>–</w:t>
            </w:r>
            <w:r w:rsidRPr="00414581">
              <w:rPr>
                <w:sz w:val="18"/>
              </w:rPr>
              <w:t>44</w:t>
            </w:r>
          </w:p>
        </w:tc>
        <w:tc>
          <w:tcPr>
            <w:tcW w:w="2254" w:type="dxa"/>
            <w:shd w:val="clear" w:color="auto" w:fill="auto"/>
            <w:vAlign w:val="bottom"/>
          </w:tcPr>
          <w:p w:rsidR="004B0C37" w:rsidRPr="00414581" w:rsidRDefault="004B0C37" w:rsidP="00414581">
            <w:pPr>
              <w:suppressAutoHyphens w:val="0"/>
              <w:spacing w:before="40" w:after="40" w:line="220" w:lineRule="exact"/>
              <w:ind w:right="113"/>
              <w:jc w:val="right"/>
              <w:rPr>
                <w:sz w:val="18"/>
                <w:szCs w:val="18"/>
              </w:rPr>
            </w:pPr>
            <w:r w:rsidRPr="00414581">
              <w:rPr>
                <w:sz w:val="18"/>
                <w:szCs w:val="18"/>
                <w:rtl/>
              </w:rPr>
              <w:t>204</w:t>
            </w:r>
            <w:r w:rsidRPr="00414581">
              <w:rPr>
                <w:sz w:val="18"/>
                <w:szCs w:val="18"/>
              </w:rPr>
              <w:t xml:space="preserve"> </w:t>
            </w:r>
            <w:r w:rsidRPr="00414581">
              <w:rPr>
                <w:sz w:val="18"/>
                <w:szCs w:val="18"/>
                <w:rtl/>
              </w:rPr>
              <w:t>770</w:t>
            </w:r>
          </w:p>
        </w:tc>
        <w:tc>
          <w:tcPr>
            <w:tcW w:w="2254" w:type="dxa"/>
            <w:shd w:val="clear" w:color="auto" w:fill="auto"/>
            <w:vAlign w:val="bottom"/>
          </w:tcPr>
          <w:p w:rsidR="004B0C37" w:rsidRPr="00414581" w:rsidRDefault="004B0C37" w:rsidP="00414581">
            <w:pPr>
              <w:suppressAutoHyphens w:val="0"/>
              <w:spacing w:before="40" w:after="40" w:line="220" w:lineRule="exact"/>
              <w:ind w:right="113"/>
              <w:jc w:val="right"/>
              <w:rPr>
                <w:sz w:val="18"/>
                <w:szCs w:val="18"/>
              </w:rPr>
            </w:pPr>
            <w:r w:rsidRPr="00414581">
              <w:rPr>
                <w:sz w:val="18"/>
                <w:szCs w:val="18"/>
                <w:rtl/>
              </w:rPr>
              <w:t>52</w:t>
            </w:r>
            <w:r w:rsidRPr="00414581">
              <w:rPr>
                <w:sz w:val="18"/>
                <w:szCs w:val="18"/>
              </w:rPr>
              <w:t xml:space="preserve"> </w:t>
            </w:r>
            <w:r w:rsidRPr="00414581">
              <w:rPr>
                <w:sz w:val="18"/>
                <w:szCs w:val="18"/>
                <w:rtl/>
              </w:rPr>
              <w:t>592</w:t>
            </w:r>
          </w:p>
        </w:tc>
        <w:tc>
          <w:tcPr>
            <w:tcW w:w="2254" w:type="dxa"/>
            <w:shd w:val="clear" w:color="auto" w:fill="auto"/>
            <w:vAlign w:val="bottom"/>
          </w:tcPr>
          <w:p w:rsidR="004B0C37" w:rsidRPr="00414581" w:rsidRDefault="004B0C37" w:rsidP="00414581">
            <w:pPr>
              <w:suppressAutoHyphens w:val="0"/>
              <w:spacing w:before="40" w:after="40" w:line="220" w:lineRule="exact"/>
              <w:ind w:right="113"/>
              <w:jc w:val="right"/>
              <w:rPr>
                <w:sz w:val="18"/>
                <w:szCs w:val="18"/>
              </w:rPr>
            </w:pPr>
            <w:r w:rsidRPr="00414581">
              <w:rPr>
                <w:sz w:val="18"/>
                <w:szCs w:val="18"/>
              </w:rPr>
              <w:t>2</w:t>
            </w:r>
            <w:r w:rsidRPr="00414581">
              <w:rPr>
                <w:sz w:val="18"/>
                <w:szCs w:val="18"/>
                <w:rtl/>
              </w:rPr>
              <w:t>5</w:t>
            </w:r>
            <w:r w:rsidRPr="00414581">
              <w:rPr>
                <w:rFonts w:hint="cs"/>
                <w:sz w:val="18"/>
                <w:szCs w:val="18"/>
                <w:rtl/>
              </w:rPr>
              <w:t>7</w:t>
            </w:r>
            <w:r w:rsidRPr="00414581">
              <w:rPr>
                <w:sz w:val="18"/>
                <w:szCs w:val="18"/>
              </w:rPr>
              <w:t xml:space="preserve"> </w:t>
            </w:r>
            <w:r w:rsidRPr="00414581">
              <w:rPr>
                <w:sz w:val="18"/>
                <w:szCs w:val="18"/>
                <w:rtl/>
              </w:rPr>
              <w:t>362</w:t>
            </w:r>
          </w:p>
        </w:tc>
      </w:tr>
      <w:tr w:rsidR="004B0C37" w:rsidRPr="00414581" w:rsidTr="00414581">
        <w:tc>
          <w:tcPr>
            <w:tcW w:w="2254" w:type="dxa"/>
            <w:shd w:val="clear" w:color="auto" w:fill="auto"/>
          </w:tcPr>
          <w:p w:rsidR="004B0C37" w:rsidRPr="00414581" w:rsidRDefault="004B0C37" w:rsidP="00414581">
            <w:pPr>
              <w:suppressAutoHyphens w:val="0"/>
              <w:spacing w:before="40" w:after="40" w:line="220" w:lineRule="exact"/>
              <w:ind w:right="113"/>
              <w:rPr>
                <w:sz w:val="18"/>
              </w:rPr>
            </w:pPr>
            <w:r w:rsidRPr="00414581">
              <w:rPr>
                <w:sz w:val="18"/>
              </w:rPr>
              <w:t>45</w:t>
            </w:r>
            <w:r w:rsidR="00414581">
              <w:rPr>
                <w:sz w:val="18"/>
              </w:rPr>
              <w:t>–</w:t>
            </w:r>
            <w:r w:rsidRPr="00414581">
              <w:rPr>
                <w:sz w:val="18"/>
              </w:rPr>
              <w:t>49</w:t>
            </w:r>
          </w:p>
        </w:tc>
        <w:tc>
          <w:tcPr>
            <w:tcW w:w="2254" w:type="dxa"/>
            <w:shd w:val="clear" w:color="auto" w:fill="auto"/>
            <w:vAlign w:val="bottom"/>
          </w:tcPr>
          <w:p w:rsidR="004B0C37" w:rsidRPr="00414581" w:rsidRDefault="004B0C37" w:rsidP="00414581">
            <w:pPr>
              <w:suppressAutoHyphens w:val="0"/>
              <w:spacing w:before="40" w:after="40" w:line="220" w:lineRule="exact"/>
              <w:ind w:right="113"/>
              <w:jc w:val="right"/>
              <w:rPr>
                <w:sz w:val="18"/>
                <w:szCs w:val="18"/>
              </w:rPr>
            </w:pPr>
            <w:r w:rsidRPr="00414581">
              <w:rPr>
                <w:sz w:val="18"/>
                <w:szCs w:val="18"/>
                <w:rtl/>
              </w:rPr>
              <w:t>144</w:t>
            </w:r>
            <w:r w:rsidRPr="00414581">
              <w:rPr>
                <w:sz w:val="18"/>
                <w:szCs w:val="18"/>
              </w:rPr>
              <w:t xml:space="preserve"> </w:t>
            </w:r>
            <w:r w:rsidRPr="00414581">
              <w:rPr>
                <w:sz w:val="18"/>
                <w:szCs w:val="18"/>
                <w:rtl/>
              </w:rPr>
              <w:t>520</w:t>
            </w:r>
          </w:p>
        </w:tc>
        <w:tc>
          <w:tcPr>
            <w:tcW w:w="2254" w:type="dxa"/>
            <w:shd w:val="clear" w:color="auto" w:fill="auto"/>
            <w:vAlign w:val="bottom"/>
          </w:tcPr>
          <w:p w:rsidR="004B0C37" w:rsidRPr="00414581" w:rsidRDefault="004B0C37" w:rsidP="00414581">
            <w:pPr>
              <w:suppressAutoHyphens w:val="0"/>
              <w:spacing w:before="40" w:after="40" w:line="220" w:lineRule="exact"/>
              <w:ind w:right="113"/>
              <w:jc w:val="right"/>
              <w:rPr>
                <w:sz w:val="18"/>
                <w:szCs w:val="18"/>
              </w:rPr>
            </w:pPr>
            <w:r w:rsidRPr="00414581">
              <w:rPr>
                <w:sz w:val="18"/>
                <w:szCs w:val="18"/>
                <w:rtl/>
              </w:rPr>
              <w:t>34</w:t>
            </w:r>
            <w:r w:rsidRPr="00414581">
              <w:rPr>
                <w:sz w:val="18"/>
                <w:szCs w:val="18"/>
              </w:rPr>
              <w:t xml:space="preserve"> </w:t>
            </w:r>
            <w:r w:rsidRPr="00414581">
              <w:rPr>
                <w:sz w:val="18"/>
                <w:szCs w:val="18"/>
                <w:rtl/>
              </w:rPr>
              <w:t>966</w:t>
            </w:r>
          </w:p>
        </w:tc>
        <w:tc>
          <w:tcPr>
            <w:tcW w:w="2254" w:type="dxa"/>
            <w:shd w:val="clear" w:color="auto" w:fill="auto"/>
            <w:vAlign w:val="bottom"/>
          </w:tcPr>
          <w:p w:rsidR="004B0C37" w:rsidRPr="00414581" w:rsidRDefault="004B0C37" w:rsidP="00414581">
            <w:pPr>
              <w:suppressAutoHyphens w:val="0"/>
              <w:spacing w:before="40" w:after="40" w:line="220" w:lineRule="exact"/>
              <w:ind w:right="113"/>
              <w:jc w:val="right"/>
              <w:rPr>
                <w:sz w:val="18"/>
                <w:szCs w:val="18"/>
              </w:rPr>
            </w:pPr>
            <w:r w:rsidRPr="00414581">
              <w:rPr>
                <w:rFonts w:hint="cs"/>
                <w:sz w:val="18"/>
                <w:szCs w:val="18"/>
                <w:rtl/>
              </w:rPr>
              <w:t>17</w:t>
            </w:r>
            <w:r w:rsidRPr="00414581">
              <w:rPr>
                <w:sz w:val="18"/>
                <w:szCs w:val="18"/>
                <w:rtl/>
              </w:rPr>
              <w:t>9</w:t>
            </w:r>
            <w:r w:rsidRPr="00414581">
              <w:rPr>
                <w:sz w:val="18"/>
                <w:szCs w:val="18"/>
              </w:rPr>
              <w:t xml:space="preserve"> </w:t>
            </w:r>
            <w:r w:rsidRPr="00414581">
              <w:rPr>
                <w:sz w:val="18"/>
                <w:szCs w:val="18"/>
                <w:rtl/>
              </w:rPr>
              <w:t>486</w:t>
            </w:r>
          </w:p>
        </w:tc>
      </w:tr>
      <w:tr w:rsidR="004B0C37" w:rsidRPr="00414581" w:rsidTr="00414581">
        <w:tc>
          <w:tcPr>
            <w:tcW w:w="2254" w:type="dxa"/>
            <w:shd w:val="clear" w:color="auto" w:fill="auto"/>
          </w:tcPr>
          <w:p w:rsidR="004B0C37" w:rsidRPr="00414581" w:rsidRDefault="004B0C37" w:rsidP="00414581">
            <w:pPr>
              <w:suppressAutoHyphens w:val="0"/>
              <w:spacing w:before="40" w:after="40" w:line="220" w:lineRule="exact"/>
              <w:ind w:right="113"/>
              <w:rPr>
                <w:sz w:val="18"/>
              </w:rPr>
            </w:pPr>
            <w:r w:rsidRPr="00414581">
              <w:rPr>
                <w:sz w:val="18"/>
              </w:rPr>
              <w:t>50</w:t>
            </w:r>
            <w:r w:rsidR="00414581">
              <w:rPr>
                <w:sz w:val="18"/>
              </w:rPr>
              <w:t>–</w:t>
            </w:r>
            <w:r w:rsidRPr="00414581">
              <w:rPr>
                <w:sz w:val="18"/>
              </w:rPr>
              <w:t>54</w:t>
            </w:r>
          </w:p>
        </w:tc>
        <w:tc>
          <w:tcPr>
            <w:tcW w:w="2254" w:type="dxa"/>
            <w:shd w:val="clear" w:color="auto" w:fill="auto"/>
            <w:vAlign w:val="bottom"/>
          </w:tcPr>
          <w:p w:rsidR="004B0C37" w:rsidRPr="00414581" w:rsidRDefault="004B0C37" w:rsidP="00414581">
            <w:pPr>
              <w:suppressAutoHyphens w:val="0"/>
              <w:spacing w:before="40" w:after="40" w:line="220" w:lineRule="exact"/>
              <w:ind w:right="113"/>
              <w:jc w:val="right"/>
              <w:rPr>
                <w:sz w:val="18"/>
                <w:szCs w:val="18"/>
              </w:rPr>
            </w:pPr>
            <w:r w:rsidRPr="00414581">
              <w:rPr>
                <w:sz w:val="18"/>
                <w:szCs w:val="18"/>
                <w:rtl/>
              </w:rPr>
              <w:t>89</w:t>
            </w:r>
            <w:r w:rsidRPr="00414581">
              <w:rPr>
                <w:sz w:val="18"/>
                <w:szCs w:val="18"/>
              </w:rPr>
              <w:t xml:space="preserve"> </w:t>
            </w:r>
            <w:r w:rsidRPr="00414581">
              <w:rPr>
                <w:sz w:val="18"/>
                <w:szCs w:val="18"/>
                <w:rtl/>
              </w:rPr>
              <w:t>760</w:t>
            </w:r>
          </w:p>
        </w:tc>
        <w:tc>
          <w:tcPr>
            <w:tcW w:w="2254" w:type="dxa"/>
            <w:shd w:val="clear" w:color="auto" w:fill="auto"/>
            <w:vAlign w:val="bottom"/>
          </w:tcPr>
          <w:p w:rsidR="004B0C37" w:rsidRPr="00414581" w:rsidRDefault="004B0C37" w:rsidP="00414581">
            <w:pPr>
              <w:suppressAutoHyphens w:val="0"/>
              <w:spacing w:before="40" w:after="40" w:line="220" w:lineRule="exact"/>
              <w:ind w:right="113"/>
              <w:jc w:val="right"/>
              <w:rPr>
                <w:sz w:val="18"/>
                <w:szCs w:val="18"/>
              </w:rPr>
            </w:pPr>
            <w:r w:rsidRPr="00414581">
              <w:rPr>
                <w:sz w:val="18"/>
                <w:szCs w:val="18"/>
                <w:rtl/>
              </w:rPr>
              <w:t>23</w:t>
            </w:r>
            <w:r w:rsidRPr="00414581">
              <w:rPr>
                <w:sz w:val="18"/>
                <w:szCs w:val="18"/>
              </w:rPr>
              <w:t xml:space="preserve"> </w:t>
            </w:r>
            <w:r w:rsidRPr="00414581">
              <w:rPr>
                <w:sz w:val="18"/>
                <w:szCs w:val="18"/>
                <w:rtl/>
              </w:rPr>
              <w:t>409</w:t>
            </w:r>
          </w:p>
        </w:tc>
        <w:tc>
          <w:tcPr>
            <w:tcW w:w="2254" w:type="dxa"/>
            <w:shd w:val="clear" w:color="auto" w:fill="auto"/>
            <w:vAlign w:val="bottom"/>
          </w:tcPr>
          <w:p w:rsidR="004B0C37" w:rsidRPr="00414581" w:rsidRDefault="004B0C37" w:rsidP="00414581">
            <w:pPr>
              <w:suppressAutoHyphens w:val="0"/>
              <w:spacing w:before="40" w:after="40" w:line="220" w:lineRule="exact"/>
              <w:ind w:right="113"/>
              <w:jc w:val="right"/>
              <w:rPr>
                <w:sz w:val="18"/>
                <w:szCs w:val="18"/>
              </w:rPr>
            </w:pPr>
            <w:r w:rsidRPr="00414581">
              <w:rPr>
                <w:rFonts w:hint="cs"/>
                <w:sz w:val="18"/>
                <w:szCs w:val="18"/>
                <w:rtl/>
              </w:rPr>
              <w:t>1</w:t>
            </w:r>
            <w:r w:rsidRPr="00414581">
              <w:rPr>
                <w:sz w:val="18"/>
                <w:szCs w:val="18"/>
                <w:rtl/>
              </w:rPr>
              <w:t>13</w:t>
            </w:r>
            <w:r w:rsidRPr="00414581">
              <w:rPr>
                <w:sz w:val="18"/>
                <w:szCs w:val="18"/>
              </w:rPr>
              <w:t xml:space="preserve"> </w:t>
            </w:r>
            <w:r w:rsidRPr="00414581">
              <w:rPr>
                <w:sz w:val="18"/>
                <w:szCs w:val="18"/>
                <w:rtl/>
              </w:rPr>
              <w:t>169</w:t>
            </w:r>
          </w:p>
        </w:tc>
      </w:tr>
      <w:tr w:rsidR="004B0C37" w:rsidRPr="00414581" w:rsidTr="00414581">
        <w:tc>
          <w:tcPr>
            <w:tcW w:w="2254" w:type="dxa"/>
            <w:shd w:val="clear" w:color="auto" w:fill="auto"/>
          </w:tcPr>
          <w:p w:rsidR="004B0C37" w:rsidRPr="00414581" w:rsidRDefault="004B0C37" w:rsidP="00414581">
            <w:pPr>
              <w:suppressAutoHyphens w:val="0"/>
              <w:spacing w:before="40" w:after="40" w:line="220" w:lineRule="exact"/>
              <w:ind w:right="113"/>
              <w:rPr>
                <w:sz w:val="18"/>
              </w:rPr>
            </w:pPr>
            <w:r w:rsidRPr="00414581">
              <w:rPr>
                <w:sz w:val="18"/>
              </w:rPr>
              <w:t>55</w:t>
            </w:r>
            <w:r w:rsidR="00414581">
              <w:rPr>
                <w:sz w:val="18"/>
              </w:rPr>
              <w:t>–</w:t>
            </w:r>
            <w:r w:rsidRPr="00414581">
              <w:rPr>
                <w:sz w:val="18"/>
              </w:rPr>
              <w:t>59</w:t>
            </w:r>
          </w:p>
        </w:tc>
        <w:tc>
          <w:tcPr>
            <w:tcW w:w="2254" w:type="dxa"/>
            <w:shd w:val="clear" w:color="auto" w:fill="auto"/>
            <w:vAlign w:val="bottom"/>
          </w:tcPr>
          <w:p w:rsidR="004B0C37" w:rsidRPr="00414581" w:rsidRDefault="004B0C37" w:rsidP="00414581">
            <w:pPr>
              <w:suppressAutoHyphens w:val="0"/>
              <w:spacing w:before="40" w:after="40" w:line="220" w:lineRule="exact"/>
              <w:ind w:right="113"/>
              <w:jc w:val="right"/>
              <w:rPr>
                <w:sz w:val="18"/>
                <w:szCs w:val="18"/>
              </w:rPr>
            </w:pPr>
            <w:r w:rsidRPr="00414581">
              <w:rPr>
                <w:sz w:val="18"/>
                <w:szCs w:val="18"/>
                <w:rtl/>
              </w:rPr>
              <w:t>58</w:t>
            </w:r>
            <w:r w:rsidRPr="00414581">
              <w:rPr>
                <w:sz w:val="18"/>
                <w:szCs w:val="18"/>
              </w:rPr>
              <w:t xml:space="preserve"> </w:t>
            </w:r>
            <w:r w:rsidRPr="00414581">
              <w:rPr>
                <w:sz w:val="18"/>
                <w:szCs w:val="18"/>
                <w:rtl/>
              </w:rPr>
              <w:t>221</w:t>
            </w:r>
          </w:p>
        </w:tc>
        <w:tc>
          <w:tcPr>
            <w:tcW w:w="2254" w:type="dxa"/>
            <w:shd w:val="clear" w:color="auto" w:fill="auto"/>
            <w:vAlign w:val="bottom"/>
          </w:tcPr>
          <w:p w:rsidR="004B0C37" w:rsidRPr="00414581" w:rsidRDefault="004B0C37" w:rsidP="00414581">
            <w:pPr>
              <w:suppressAutoHyphens w:val="0"/>
              <w:spacing w:before="40" w:after="40" w:line="220" w:lineRule="exact"/>
              <w:ind w:right="113"/>
              <w:jc w:val="right"/>
              <w:rPr>
                <w:sz w:val="18"/>
                <w:szCs w:val="18"/>
              </w:rPr>
            </w:pPr>
            <w:r w:rsidRPr="00414581">
              <w:rPr>
                <w:sz w:val="18"/>
                <w:szCs w:val="18"/>
                <w:rtl/>
              </w:rPr>
              <w:t>15</w:t>
            </w:r>
            <w:r w:rsidRPr="00414581">
              <w:rPr>
                <w:sz w:val="18"/>
                <w:szCs w:val="18"/>
              </w:rPr>
              <w:t xml:space="preserve"> </w:t>
            </w:r>
            <w:r w:rsidRPr="00414581">
              <w:rPr>
                <w:sz w:val="18"/>
                <w:szCs w:val="18"/>
                <w:rtl/>
              </w:rPr>
              <w:t>351</w:t>
            </w:r>
          </w:p>
        </w:tc>
        <w:tc>
          <w:tcPr>
            <w:tcW w:w="2254" w:type="dxa"/>
            <w:shd w:val="clear" w:color="auto" w:fill="auto"/>
            <w:vAlign w:val="bottom"/>
          </w:tcPr>
          <w:p w:rsidR="004B0C37" w:rsidRPr="00414581" w:rsidRDefault="004B0C37" w:rsidP="00414581">
            <w:pPr>
              <w:suppressAutoHyphens w:val="0"/>
              <w:spacing w:before="40" w:after="40" w:line="220" w:lineRule="exact"/>
              <w:ind w:right="113"/>
              <w:jc w:val="right"/>
              <w:rPr>
                <w:sz w:val="18"/>
                <w:szCs w:val="18"/>
              </w:rPr>
            </w:pPr>
            <w:r w:rsidRPr="00414581">
              <w:rPr>
                <w:rFonts w:hint="cs"/>
                <w:sz w:val="18"/>
                <w:szCs w:val="18"/>
                <w:rtl/>
              </w:rPr>
              <w:t>7</w:t>
            </w:r>
            <w:r w:rsidRPr="00414581">
              <w:rPr>
                <w:sz w:val="18"/>
                <w:szCs w:val="18"/>
                <w:rtl/>
              </w:rPr>
              <w:t>3</w:t>
            </w:r>
            <w:r w:rsidRPr="00414581">
              <w:rPr>
                <w:sz w:val="18"/>
                <w:szCs w:val="18"/>
              </w:rPr>
              <w:t xml:space="preserve"> </w:t>
            </w:r>
            <w:r w:rsidRPr="00414581">
              <w:rPr>
                <w:rFonts w:hint="cs"/>
                <w:sz w:val="18"/>
                <w:szCs w:val="18"/>
                <w:rtl/>
              </w:rPr>
              <w:t>5</w:t>
            </w:r>
            <w:r w:rsidRPr="00414581">
              <w:rPr>
                <w:sz w:val="18"/>
                <w:szCs w:val="18"/>
                <w:rtl/>
              </w:rPr>
              <w:t>72</w:t>
            </w:r>
          </w:p>
        </w:tc>
      </w:tr>
      <w:tr w:rsidR="004B0C37" w:rsidRPr="00414581" w:rsidTr="00414581">
        <w:tc>
          <w:tcPr>
            <w:tcW w:w="2254" w:type="dxa"/>
            <w:shd w:val="clear" w:color="auto" w:fill="auto"/>
          </w:tcPr>
          <w:p w:rsidR="004B0C37" w:rsidRPr="00414581" w:rsidRDefault="004B0C37" w:rsidP="00414581">
            <w:pPr>
              <w:suppressAutoHyphens w:val="0"/>
              <w:spacing w:before="40" w:after="40" w:line="220" w:lineRule="exact"/>
              <w:ind w:right="113"/>
              <w:rPr>
                <w:sz w:val="18"/>
              </w:rPr>
            </w:pPr>
            <w:r w:rsidRPr="00414581">
              <w:rPr>
                <w:sz w:val="18"/>
              </w:rPr>
              <w:t>60</w:t>
            </w:r>
            <w:r w:rsidR="00414581">
              <w:rPr>
                <w:sz w:val="18"/>
              </w:rPr>
              <w:t>–</w:t>
            </w:r>
            <w:r w:rsidRPr="00414581">
              <w:rPr>
                <w:sz w:val="18"/>
              </w:rPr>
              <w:t>64</w:t>
            </w:r>
          </w:p>
        </w:tc>
        <w:tc>
          <w:tcPr>
            <w:tcW w:w="2254" w:type="dxa"/>
            <w:shd w:val="clear" w:color="auto" w:fill="auto"/>
            <w:vAlign w:val="bottom"/>
          </w:tcPr>
          <w:p w:rsidR="004B0C37" w:rsidRPr="00414581" w:rsidRDefault="004B0C37" w:rsidP="00414581">
            <w:pPr>
              <w:suppressAutoHyphens w:val="0"/>
              <w:spacing w:before="40" w:after="40" w:line="220" w:lineRule="exact"/>
              <w:ind w:right="113"/>
              <w:jc w:val="right"/>
              <w:rPr>
                <w:sz w:val="18"/>
                <w:szCs w:val="18"/>
              </w:rPr>
            </w:pPr>
            <w:r w:rsidRPr="00414581">
              <w:rPr>
                <w:sz w:val="18"/>
                <w:szCs w:val="18"/>
                <w:rtl/>
              </w:rPr>
              <w:t>25</w:t>
            </w:r>
            <w:r w:rsidRPr="00414581">
              <w:rPr>
                <w:sz w:val="18"/>
                <w:szCs w:val="18"/>
              </w:rPr>
              <w:t xml:space="preserve"> </w:t>
            </w:r>
            <w:r w:rsidRPr="00414581">
              <w:rPr>
                <w:sz w:val="18"/>
                <w:szCs w:val="18"/>
                <w:rtl/>
              </w:rPr>
              <w:t>299</w:t>
            </w:r>
          </w:p>
        </w:tc>
        <w:tc>
          <w:tcPr>
            <w:tcW w:w="2254" w:type="dxa"/>
            <w:shd w:val="clear" w:color="auto" w:fill="auto"/>
            <w:vAlign w:val="bottom"/>
          </w:tcPr>
          <w:p w:rsidR="004B0C37" w:rsidRPr="00414581" w:rsidRDefault="004B0C37" w:rsidP="00414581">
            <w:pPr>
              <w:suppressAutoHyphens w:val="0"/>
              <w:spacing w:before="40" w:after="40" w:line="220" w:lineRule="exact"/>
              <w:ind w:right="113"/>
              <w:jc w:val="right"/>
              <w:rPr>
                <w:sz w:val="18"/>
                <w:szCs w:val="18"/>
              </w:rPr>
            </w:pPr>
            <w:r w:rsidRPr="00414581">
              <w:rPr>
                <w:sz w:val="18"/>
                <w:szCs w:val="18"/>
                <w:rtl/>
              </w:rPr>
              <w:t>9</w:t>
            </w:r>
            <w:r w:rsidRPr="00414581">
              <w:rPr>
                <w:sz w:val="18"/>
                <w:szCs w:val="18"/>
              </w:rPr>
              <w:t xml:space="preserve"> </w:t>
            </w:r>
            <w:r w:rsidRPr="00414581">
              <w:rPr>
                <w:sz w:val="18"/>
                <w:szCs w:val="18"/>
                <w:rtl/>
              </w:rPr>
              <w:t>169</w:t>
            </w:r>
          </w:p>
        </w:tc>
        <w:tc>
          <w:tcPr>
            <w:tcW w:w="2254" w:type="dxa"/>
            <w:shd w:val="clear" w:color="auto" w:fill="auto"/>
            <w:vAlign w:val="bottom"/>
          </w:tcPr>
          <w:p w:rsidR="004B0C37" w:rsidRPr="00414581" w:rsidRDefault="004B0C37" w:rsidP="00414581">
            <w:pPr>
              <w:suppressAutoHyphens w:val="0"/>
              <w:spacing w:before="40" w:after="40" w:line="220" w:lineRule="exact"/>
              <w:ind w:right="113"/>
              <w:jc w:val="right"/>
              <w:rPr>
                <w:sz w:val="18"/>
                <w:szCs w:val="18"/>
              </w:rPr>
            </w:pPr>
            <w:r w:rsidRPr="00414581">
              <w:rPr>
                <w:rFonts w:hint="cs"/>
                <w:sz w:val="18"/>
                <w:szCs w:val="18"/>
                <w:rtl/>
              </w:rPr>
              <w:t>3</w:t>
            </w:r>
            <w:r w:rsidRPr="00414581">
              <w:rPr>
                <w:sz w:val="18"/>
                <w:szCs w:val="18"/>
                <w:rtl/>
              </w:rPr>
              <w:t>4</w:t>
            </w:r>
            <w:r w:rsidRPr="00414581">
              <w:rPr>
                <w:sz w:val="18"/>
                <w:szCs w:val="18"/>
              </w:rPr>
              <w:t xml:space="preserve"> </w:t>
            </w:r>
            <w:r w:rsidRPr="00414581">
              <w:rPr>
                <w:sz w:val="18"/>
                <w:szCs w:val="18"/>
                <w:rtl/>
              </w:rPr>
              <w:t>468</w:t>
            </w:r>
          </w:p>
        </w:tc>
      </w:tr>
      <w:tr w:rsidR="004B0C37" w:rsidRPr="00414581" w:rsidTr="00414581">
        <w:tc>
          <w:tcPr>
            <w:tcW w:w="2254" w:type="dxa"/>
            <w:shd w:val="clear" w:color="auto" w:fill="auto"/>
          </w:tcPr>
          <w:p w:rsidR="004B0C37" w:rsidRPr="00414581" w:rsidRDefault="004B0C37" w:rsidP="00414581">
            <w:pPr>
              <w:suppressAutoHyphens w:val="0"/>
              <w:spacing w:before="40" w:after="40" w:line="220" w:lineRule="exact"/>
              <w:ind w:right="113"/>
              <w:rPr>
                <w:sz w:val="18"/>
              </w:rPr>
            </w:pPr>
            <w:r w:rsidRPr="00414581">
              <w:rPr>
                <w:sz w:val="18"/>
              </w:rPr>
              <w:t>65</w:t>
            </w:r>
            <w:r w:rsidR="00414581">
              <w:rPr>
                <w:sz w:val="18"/>
              </w:rPr>
              <w:t>–</w:t>
            </w:r>
            <w:r w:rsidRPr="00414581">
              <w:rPr>
                <w:sz w:val="18"/>
              </w:rPr>
              <w:t>69</w:t>
            </w:r>
          </w:p>
        </w:tc>
        <w:tc>
          <w:tcPr>
            <w:tcW w:w="2254" w:type="dxa"/>
            <w:shd w:val="clear" w:color="auto" w:fill="auto"/>
            <w:vAlign w:val="bottom"/>
          </w:tcPr>
          <w:p w:rsidR="004B0C37" w:rsidRPr="00414581" w:rsidRDefault="004B0C37" w:rsidP="00414581">
            <w:pPr>
              <w:suppressAutoHyphens w:val="0"/>
              <w:spacing w:before="40" w:after="40" w:line="220" w:lineRule="exact"/>
              <w:ind w:right="113"/>
              <w:jc w:val="right"/>
              <w:rPr>
                <w:sz w:val="18"/>
                <w:szCs w:val="18"/>
              </w:rPr>
            </w:pPr>
            <w:r w:rsidRPr="00414581">
              <w:rPr>
                <w:sz w:val="18"/>
                <w:szCs w:val="18"/>
                <w:rtl/>
              </w:rPr>
              <w:t>10</w:t>
            </w:r>
            <w:r w:rsidRPr="00414581">
              <w:rPr>
                <w:sz w:val="18"/>
                <w:szCs w:val="18"/>
              </w:rPr>
              <w:t xml:space="preserve"> </w:t>
            </w:r>
            <w:r w:rsidRPr="00414581">
              <w:rPr>
                <w:sz w:val="18"/>
                <w:szCs w:val="18"/>
                <w:rtl/>
              </w:rPr>
              <w:t>862</w:t>
            </w:r>
          </w:p>
        </w:tc>
        <w:tc>
          <w:tcPr>
            <w:tcW w:w="2254" w:type="dxa"/>
            <w:shd w:val="clear" w:color="auto" w:fill="auto"/>
            <w:vAlign w:val="bottom"/>
          </w:tcPr>
          <w:p w:rsidR="004B0C37" w:rsidRPr="00414581" w:rsidRDefault="004B0C37" w:rsidP="00414581">
            <w:pPr>
              <w:suppressAutoHyphens w:val="0"/>
              <w:spacing w:before="40" w:after="40" w:line="220" w:lineRule="exact"/>
              <w:ind w:right="113"/>
              <w:jc w:val="right"/>
              <w:rPr>
                <w:sz w:val="18"/>
                <w:szCs w:val="18"/>
              </w:rPr>
            </w:pPr>
            <w:r w:rsidRPr="00414581">
              <w:rPr>
                <w:sz w:val="18"/>
                <w:szCs w:val="18"/>
                <w:rtl/>
              </w:rPr>
              <w:t>4</w:t>
            </w:r>
            <w:r w:rsidRPr="00414581">
              <w:rPr>
                <w:sz w:val="18"/>
                <w:szCs w:val="18"/>
              </w:rPr>
              <w:t xml:space="preserve"> </w:t>
            </w:r>
            <w:r w:rsidRPr="00414581">
              <w:rPr>
                <w:sz w:val="18"/>
                <w:szCs w:val="18"/>
                <w:rtl/>
              </w:rPr>
              <w:t>708</w:t>
            </w:r>
          </w:p>
        </w:tc>
        <w:tc>
          <w:tcPr>
            <w:tcW w:w="2254" w:type="dxa"/>
            <w:shd w:val="clear" w:color="auto" w:fill="auto"/>
            <w:vAlign w:val="bottom"/>
          </w:tcPr>
          <w:p w:rsidR="004B0C37" w:rsidRPr="00414581" w:rsidRDefault="004B0C37" w:rsidP="00414581">
            <w:pPr>
              <w:suppressAutoHyphens w:val="0"/>
              <w:spacing w:before="40" w:after="40" w:line="220" w:lineRule="exact"/>
              <w:ind w:right="113"/>
              <w:jc w:val="right"/>
              <w:rPr>
                <w:sz w:val="18"/>
                <w:szCs w:val="18"/>
              </w:rPr>
            </w:pPr>
            <w:r w:rsidRPr="00414581">
              <w:rPr>
                <w:rFonts w:hint="cs"/>
                <w:sz w:val="18"/>
                <w:szCs w:val="18"/>
                <w:rtl/>
              </w:rPr>
              <w:t>1</w:t>
            </w:r>
            <w:r w:rsidRPr="00414581">
              <w:rPr>
                <w:sz w:val="18"/>
                <w:szCs w:val="18"/>
                <w:rtl/>
              </w:rPr>
              <w:t>5</w:t>
            </w:r>
            <w:r w:rsidRPr="00414581">
              <w:rPr>
                <w:sz w:val="18"/>
                <w:szCs w:val="18"/>
              </w:rPr>
              <w:t xml:space="preserve"> </w:t>
            </w:r>
            <w:r w:rsidRPr="00414581">
              <w:rPr>
                <w:sz w:val="18"/>
                <w:szCs w:val="18"/>
                <w:rtl/>
              </w:rPr>
              <w:t>570</w:t>
            </w:r>
          </w:p>
        </w:tc>
      </w:tr>
      <w:tr w:rsidR="004B0C37" w:rsidRPr="00414581" w:rsidTr="00414581">
        <w:tc>
          <w:tcPr>
            <w:tcW w:w="2254" w:type="dxa"/>
            <w:shd w:val="clear" w:color="auto" w:fill="auto"/>
          </w:tcPr>
          <w:p w:rsidR="004B0C37" w:rsidRPr="00414581" w:rsidRDefault="004B0C37" w:rsidP="00414581">
            <w:pPr>
              <w:suppressAutoHyphens w:val="0"/>
              <w:spacing w:before="40" w:after="40" w:line="220" w:lineRule="exact"/>
              <w:ind w:right="113"/>
              <w:rPr>
                <w:sz w:val="18"/>
              </w:rPr>
            </w:pPr>
            <w:r w:rsidRPr="00414581">
              <w:rPr>
                <w:sz w:val="18"/>
              </w:rPr>
              <w:t>70</w:t>
            </w:r>
            <w:r w:rsidR="00414581">
              <w:rPr>
                <w:sz w:val="18"/>
              </w:rPr>
              <w:t>–</w:t>
            </w:r>
            <w:r w:rsidRPr="00414581">
              <w:rPr>
                <w:sz w:val="18"/>
              </w:rPr>
              <w:t>74</w:t>
            </w:r>
          </w:p>
        </w:tc>
        <w:tc>
          <w:tcPr>
            <w:tcW w:w="2254" w:type="dxa"/>
            <w:shd w:val="clear" w:color="auto" w:fill="auto"/>
            <w:vAlign w:val="bottom"/>
          </w:tcPr>
          <w:p w:rsidR="004B0C37" w:rsidRPr="00414581" w:rsidRDefault="004B0C37" w:rsidP="00414581">
            <w:pPr>
              <w:suppressAutoHyphens w:val="0"/>
              <w:spacing w:before="40" w:after="40" w:line="220" w:lineRule="exact"/>
              <w:ind w:right="113"/>
              <w:jc w:val="right"/>
              <w:rPr>
                <w:sz w:val="18"/>
                <w:szCs w:val="18"/>
              </w:rPr>
            </w:pPr>
            <w:r w:rsidRPr="00414581">
              <w:rPr>
                <w:sz w:val="18"/>
                <w:szCs w:val="18"/>
                <w:rtl/>
              </w:rPr>
              <w:t>4</w:t>
            </w:r>
            <w:r w:rsidRPr="00414581">
              <w:rPr>
                <w:sz w:val="18"/>
                <w:szCs w:val="18"/>
              </w:rPr>
              <w:t xml:space="preserve"> </w:t>
            </w:r>
            <w:r w:rsidRPr="00414581">
              <w:rPr>
                <w:sz w:val="18"/>
                <w:szCs w:val="18"/>
                <w:rtl/>
              </w:rPr>
              <w:t>452</w:t>
            </w:r>
          </w:p>
        </w:tc>
        <w:tc>
          <w:tcPr>
            <w:tcW w:w="2254" w:type="dxa"/>
            <w:shd w:val="clear" w:color="auto" w:fill="auto"/>
            <w:vAlign w:val="bottom"/>
          </w:tcPr>
          <w:p w:rsidR="004B0C37" w:rsidRPr="00414581" w:rsidRDefault="004B0C37" w:rsidP="00414581">
            <w:pPr>
              <w:suppressAutoHyphens w:val="0"/>
              <w:spacing w:before="40" w:after="40" w:line="220" w:lineRule="exact"/>
              <w:ind w:right="113"/>
              <w:jc w:val="right"/>
              <w:rPr>
                <w:sz w:val="18"/>
                <w:szCs w:val="18"/>
              </w:rPr>
            </w:pPr>
            <w:r w:rsidRPr="00414581">
              <w:rPr>
                <w:sz w:val="18"/>
                <w:szCs w:val="18"/>
                <w:rtl/>
              </w:rPr>
              <w:t>2</w:t>
            </w:r>
            <w:r w:rsidRPr="00414581">
              <w:rPr>
                <w:sz w:val="18"/>
                <w:szCs w:val="18"/>
              </w:rPr>
              <w:t xml:space="preserve"> </w:t>
            </w:r>
            <w:r w:rsidRPr="00414581">
              <w:rPr>
                <w:sz w:val="18"/>
                <w:szCs w:val="18"/>
                <w:rtl/>
              </w:rPr>
              <w:t>984</w:t>
            </w:r>
          </w:p>
        </w:tc>
        <w:tc>
          <w:tcPr>
            <w:tcW w:w="2254" w:type="dxa"/>
            <w:shd w:val="clear" w:color="auto" w:fill="auto"/>
            <w:vAlign w:val="bottom"/>
          </w:tcPr>
          <w:p w:rsidR="004B0C37" w:rsidRPr="00414581" w:rsidRDefault="004B0C37" w:rsidP="00414581">
            <w:pPr>
              <w:suppressAutoHyphens w:val="0"/>
              <w:spacing w:before="40" w:after="40" w:line="220" w:lineRule="exact"/>
              <w:ind w:right="113"/>
              <w:jc w:val="right"/>
              <w:rPr>
                <w:sz w:val="18"/>
                <w:szCs w:val="18"/>
              </w:rPr>
            </w:pPr>
            <w:r w:rsidRPr="00414581">
              <w:rPr>
                <w:sz w:val="18"/>
                <w:szCs w:val="18"/>
                <w:rtl/>
              </w:rPr>
              <w:t>7</w:t>
            </w:r>
            <w:r w:rsidRPr="00414581">
              <w:rPr>
                <w:sz w:val="18"/>
                <w:szCs w:val="18"/>
              </w:rPr>
              <w:t xml:space="preserve"> </w:t>
            </w:r>
            <w:r w:rsidRPr="00414581">
              <w:rPr>
                <w:sz w:val="18"/>
                <w:szCs w:val="18"/>
                <w:rtl/>
              </w:rPr>
              <w:t>436</w:t>
            </w:r>
          </w:p>
        </w:tc>
      </w:tr>
      <w:tr w:rsidR="004B0C37" w:rsidRPr="00414581" w:rsidTr="00414581">
        <w:tc>
          <w:tcPr>
            <w:tcW w:w="2254" w:type="dxa"/>
            <w:shd w:val="clear" w:color="auto" w:fill="auto"/>
          </w:tcPr>
          <w:p w:rsidR="004B0C37" w:rsidRPr="00414581" w:rsidRDefault="004B0C37" w:rsidP="00414581">
            <w:pPr>
              <w:suppressAutoHyphens w:val="0"/>
              <w:spacing w:before="40" w:after="40" w:line="220" w:lineRule="exact"/>
              <w:ind w:right="113"/>
              <w:rPr>
                <w:sz w:val="18"/>
              </w:rPr>
            </w:pPr>
            <w:r w:rsidRPr="00414581">
              <w:rPr>
                <w:sz w:val="18"/>
              </w:rPr>
              <w:t>75</w:t>
            </w:r>
            <w:r w:rsidR="00414581">
              <w:rPr>
                <w:sz w:val="18"/>
              </w:rPr>
              <w:t>–</w:t>
            </w:r>
            <w:r w:rsidRPr="00414581">
              <w:rPr>
                <w:sz w:val="18"/>
              </w:rPr>
              <w:t>79</w:t>
            </w:r>
          </w:p>
        </w:tc>
        <w:tc>
          <w:tcPr>
            <w:tcW w:w="2254" w:type="dxa"/>
            <w:shd w:val="clear" w:color="auto" w:fill="auto"/>
            <w:vAlign w:val="bottom"/>
          </w:tcPr>
          <w:p w:rsidR="004B0C37" w:rsidRPr="00414581" w:rsidRDefault="004B0C37" w:rsidP="00414581">
            <w:pPr>
              <w:suppressAutoHyphens w:val="0"/>
              <w:spacing w:before="40" w:after="40" w:line="220" w:lineRule="exact"/>
              <w:ind w:right="113"/>
              <w:jc w:val="right"/>
              <w:rPr>
                <w:sz w:val="18"/>
                <w:szCs w:val="18"/>
              </w:rPr>
            </w:pPr>
            <w:r w:rsidRPr="00414581">
              <w:rPr>
                <w:sz w:val="18"/>
                <w:szCs w:val="18"/>
                <w:rtl/>
              </w:rPr>
              <w:t>2</w:t>
            </w:r>
            <w:r w:rsidRPr="00414581">
              <w:rPr>
                <w:sz w:val="18"/>
                <w:szCs w:val="18"/>
              </w:rPr>
              <w:t xml:space="preserve"> </w:t>
            </w:r>
            <w:r w:rsidRPr="00414581">
              <w:rPr>
                <w:sz w:val="18"/>
                <w:szCs w:val="18"/>
                <w:rtl/>
              </w:rPr>
              <w:t>141</w:t>
            </w:r>
          </w:p>
        </w:tc>
        <w:tc>
          <w:tcPr>
            <w:tcW w:w="2254" w:type="dxa"/>
            <w:shd w:val="clear" w:color="auto" w:fill="auto"/>
            <w:vAlign w:val="bottom"/>
          </w:tcPr>
          <w:p w:rsidR="004B0C37" w:rsidRPr="00414581" w:rsidRDefault="004B0C37" w:rsidP="00414581">
            <w:pPr>
              <w:suppressAutoHyphens w:val="0"/>
              <w:spacing w:before="40" w:after="40" w:line="220" w:lineRule="exact"/>
              <w:ind w:right="113"/>
              <w:jc w:val="right"/>
              <w:rPr>
                <w:sz w:val="18"/>
                <w:szCs w:val="18"/>
              </w:rPr>
            </w:pPr>
            <w:r w:rsidRPr="00414581">
              <w:rPr>
                <w:sz w:val="18"/>
                <w:szCs w:val="18"/>
                <w:rtl/>
              </w:rPr>
              <w:t>1</w:t>
            </w:r>
            <w:r w:rsidRPr="00414581">
              <w:rPr>
                <w:sz w:val="18"/>
                <w:szCs w:val="18"/>
              </w:rPr>
              <w:t xml:space="preserve"> </w:t>
            </w:r>
            <w:r w:rsidRPr="00414581">
              <w:rPr>
                <w:sz w:val="18"/>
                <w:szCs w:val="18"/>
                <w:rtl/>
              </w:rPr>
              <w:t>639</w:t>
            </w:r>
          </w:p>
        </w:tc>
        <w:tc>
          <w:tcPr>
            <w:tcW w:w="2254" w:type="dxa"/>
            <w:shd w:val="clear" w:color="auto" w:fill="auto"/>
            <w:vAlign w:val="bottom"/>
          </w:tcPr>
          <w:p w:rsidR="004B0C37" w:rsidRPr="00414581" w:rsidRDefault="004B0C37" w:rsidP="00414581">
            <w:pPr>
              <w:suppressAutoHyphens w:val="0"/>
              <w:spacing w:before="40" w:after="40" w:line="220" w:lineRule="exact"/>
              <w:ind w:right="113"/>
              <w:jc w:val="right"/>
              <w:rPr>
                <w:sz w:val="18"/>
                <w:szCs w:val="18"/>
              </w:rPr>
            </w:pPr>
            <w:r w:rsidRPr="00414581">
              <w:rPr>
                <w:rFonts w:hint="cs"/>
                <w:sz w:val="18"/>
                <w:szCs w:val="18"/>
                <w:rtl/>
              </w:rPr>
              <w:t>3</w:t>
            </w:r>
            <w:r w:rsidRPr="00414581">
              <w:rPr>
                <w:sz w:val="18"/>
                <w:szCs w:val="18"/>
              </w:rPr>
              <w:t xml:space="preserve"> </w:t>
            </w:r>
            <w:r w:rsidRPr="00414581">
              <w:rPr>
                <w:sz w:val="18"/>
                <w:szCs w:val="18"/>
                <w:rtl/>
              </w:rPr>
              <w:t>780</w:t>
            </w:r>
          </w:p>
        </w:tc>
      </w:tr>
      <w:tr w:rsidR="004B0C37" w:rsidRPr="00414581" w:rsidTr="00414581">
        <w:tc>
          <w:tcPr>
            <w:tcW w:w="2254" w:type="dxa"/>
            <w:shd w:val="clear" w:color="auto" w:fill="auto"/>
          </w:tcPr>
          <w:p w:rsidR="004B0C37" w:rsidRPr="00414581" w:rsidRDefault="004B0C37" w:rsidP="00414581">
            <w:pPr>
              <w:suppressAutoHyphens w:val="0"/>
              <w:spacing w:before="40" w:after="40" w:line="220" w:lineRule="exact"/>
              <w:ind w:right="113"/>
              <w:rPr>
                <w:sz w:val="18"/>
              </w:rPr>
            </w:pPr>
            <w:r w:rsidRPr="00414581">
              <w:rPr>
                <w:sz w:val="18"/>
              </w:rPr>
              <w:t>80</w:t>
            </w:r>
            <w:r w:rsidRPr="00414581">
              <w:rPr>
                <w:sz w:val="18"/>
                <w:rtl/>
              </w:rPr>
              <w:t>+</w:t>
            </w:r>
          </w:p>
        </w:tc>
        <w:tc>
          <w:tcPr>
            <w:tcW w:w="2254" w:type="dxa"/>
            <w:shd w:val="clear" w:color="auto" w:fill="auto"/>
            <w:vAlign w:val="bottom"/>
          </w:tcPr>
          <w:p w:rsidR="004B0C37" w:rsidRPr="00414581" w:rsidRDefault="004B0C37" w:rsidP="00414581">
            <w:pPr>
              <w:suppressAutoHyphens w:val="0"/>
              <w:spacing w:before="40" w:after="40" w:line="220" w:lineRule="exact"/>
              <w:ind w:right="113"/>
              <w:jc w:val="right"/>
              <w:rPr>
                <w:sz w:val="18"/>
                <w:szCs w:val="18"/>
              </w:rPr>
            </w:pPr>
            <w:r w:rsidRPr="00414581">
              <w:rPr>
                <w:sz w:val="18"/>
                <w:szCs w:val="18"/>
                <w:rtl/>
              </w:rPr>
              <w:t>1</w:t>
            </w:r>
            <w:r w:rsidRPr="00414581">
              <w:rPr>
                <w:sz w:val="18"/>
                <w:szCs w:val="18"/>
              </w:rPr>
              <w:t xml:space="preserve"> </w:t>
            </w:r>
            <w:r w:rsidRPr="00414581">
              <w:rPr>
                <w:sz w:val="18"/>
                <w:szCs w:val="18"/>
                <w:rtl/>
              </w:rPr>
              <w:t>869</w:t>
            </w:r>
          </w:p>
        </w:tc>
        <w:tc>
          <w:tcPr>
            <w:tcW w:w="2254" w:type="dxa"/>
            <w:shd w:val="clear" w:color="auto" w:fill="auto"/>
            <w:vAlign w:val="bottom"/>
          </w:tcPr>
          <w:p w:rsidR="004B0C37" w:rsidRPr="00414581" w:rsidRDefault="004B0C37" w:rsidP="00414581">
            <w:pPr>
              <w:suppressAutoHyphens w:val="0"/>
              <w:spacing w:before="40" w:after="40" w:line="220" w:lineRule="exact"/>
              <w:ind w:right="113"/>
              <w:jc w:val="right"/>
              <w:rPr>
                <w:sz w:val="18"/>
                <w:szCs w:val="18"/>
              </w:rPr>
            </w:pPr>
            <w:r w:rsidRPr="00414581">
              <w:rPr>
                <w:sz w:val="18"/>
                <w:szCs w:val="18"/>
                <w:rtl/>
              </w:rPr>
              <w:t>1</w:t>
            </w:r>
            <w:r w:rsidRPr="00414581">
              <w:rPr>
                <w:sz w:val="18"/>
                <w:szCs w:val="18"/>
              </w:rPr>
              <w:t xml:space="preserve"> </w:t>
            </w:r>
            <w:r w:rsidRPr="00414581">
              <w:rPr>
                <w:sz w:val="18"/>
                <w:szCs w:val="18"/>
                <w:rtl/>
              </w:rPr>
              <w:t>776</w:t>
            </w:r>
          </w:p>
        </w:tc>
        <w:tc>
          <w:tcPr>
            <w:tcW w:w="2254" w:type="dxa"/>
            <w:shd w:val="clear" w:color="auto" w:fill="auto"/>
            <w:vAlign w:val="bottom"/>
          </w:tcPr>
          <w:p w:rsidR="004B0C37" w:rsidRPr="00414581" w:rsidRDefault="004B0C37" w:rsidP="00414581">
            <w:pPr>
              <w:suppressAutoHyphens w:val="0"/>
              <w:spacing w:before="40" w:after="40" w:line="220" w:lineRule="exact"/>
              <w:ind w:right="113"/>
              <w:jc w:val="right"/>
              <w:rPr>
                <w:sz w:val="18"/>
                <w:szCs w:val="18"/>
              </w:rPr>
            </w:pPr>
            <w:r w:rsidRPr="00414581">
              <w:rPr>
                <w:rFonts w:hint="cs"/>
                <w:sz w:val="18"/>
                <w:szCs w:val="18"/>
                <w:rtl/>
              </w:rPr>
              <w:t>3</w:t>
            </w:r>
            <w:r w:rsidRPr="00414581">
              <w:rPr>
                <w:sz w:val="18"/>
                <w:szCs w:val="18"/>
              </w:rPr>
              <w:t xml:space="preserve"> </w:t>
            </w:r>
            <w:r w:rsidRPr="00414581">
              <w:rPr>
                <w:sz w:val="18"/>
                <w:szCs w:val="18"/>
                <w:rtl/>
              </w:rPr>
              <w:t>645</w:t>
            </w:r>
          </w:p>
        </w:tc>
      </w:tr>
    </w:tbl>
    <w:p w:rsidR="004B0C37" w:rsidRPr="00903731" w:rsidRDefault="004B0C37" w:rsidP="00E812B0">
      <w:pPr>
        <w:spacing w:before="120" w:after="240"/>
        <w:ind w:left="1134" w:right="1134" w:firstLine="170"/>
        <w:rPr>
          <w:sz w:val="18"/>
        </w:rPr>
      </w:pPr>
      <w:r w:rsidRPr="00E812B0">
        <w:rPr>
          <w:i/>
          <w:iCs/>
          <w:sz w:val="18"/>
        </w:rPr>
        <w:t>Source:</w:t>
      </w:r>
      <w:r w:rsidR="00E812B0">
        <w:rPr>
          <w:sz w:val="18"/>
        </w:rPr>
        <w:t xml:space="preserve"> </w:t>
      </w:r>
      <w:r w:rsidRPr="00903731">
        <w:rPr>
          <w:sz w:val="18"/>
        </w:rPr>
        <w:t xml:space="preserve"> Ministry of Development Planning and Statistics: Population and Social Statistics (Annual Statistical Abstract, 2017)</w:t>
      </w:r>
      <w:r w:rsidR="00903731">
        <w:rPr>
          <w:sz w:val="18"/>
        </w:rPr>
        <w:t>.</w:t>
      </w:r>
    </w:p>
    <w:p w:rsidR="004B0C37" w:rsidRPr="0034732A" w:rsidRDefault="004B0C37" w:rsidP="00425A54">
      <w:pPr>
        <w:pStyle w:val="SingleTxtG"/>
      </w:pPr>
      <w:r w:rsidRPr="0034732A">
        <w:t>6</w:t>
      </w:r>
      <w:r w:rsidR="009D1BD8">
        <w:t>.</w:t>
      </w:r>
      <w:r w:rsidR="009D1BD8">
        <w:tab/>
      </w:r>
      <w:r w:rsidRPr="0034732A">
        <w:t xml:space="preserve">The statistical data in </w:t>
      </w:r>
      <w:r>
        <w:t>t</w:t>
      </w:r>
      <w:r w:rsidRPr="0034732A">
        <w:t xml:space="preserve">able 3 indicate that in 2017 the </w:t>
      </w:r>
      <w:r>
        <w:t xml:space="preserve">highest concentration of </w:t>
      </w:r>
      <w:r w:rsidRPr="0034732A">
        <w:t>male</w:t>
      </w:r>
      <w:r>
        <w:t>s</w:t>
      </w:r>
      <w:r w:rsidRPr="0034732A">
        <w:t xml:space="preserve"> </w:t>
      </w:r>
      <w:r>
        <w:t xml:space="preserve">in the </w:t>
      </w:r>
      <w:r w:rsidRPr="0034732A">
        <w:t>population</w:t>
      </w:r>
      <w:r>
        <w:t>,</w:t>
      </w:r>
      <w:r w:rsidR="007F4A3A">
        <w:t xml:space="preserve"> </w:t>
      </w:r>
      <w:r w:rsidRPr="0034732A">
        <w:t>at 389,213</w:t>
      </w:r>
      <w:r>
        <w:t xml:space="preserve">, was </w:t>
      </w:r>
      <w:r w:rsidR="00EF6416">
        <w:t>in the 25–</w:t>
      </w:r>
      <w:r w:rsidRPr="0034732A">
        <w:t xml:space="preserve">29 age group, while the </w:t>
      </w:r>
      <w:r>
        <w:t xml:space="preserve">figure for the </w:t>
      </w:r>
      <w:r w:rsidRPr="0034732A">
        <w:t>female population in the same age group</w:t>
      </w:r>
      <w:r>
        <w:t xml:space="preserve"> was</w:t>
      </w:r>
      <w:r w:rsidRPr="0034732A">
        <w:t xml:space="preserve"> 92,780.</w:t>
      </w:r>
      <w:r w:rsidR="00CE2C53">
        <w:t xml:space="preserve"> </w:t>
      </w:r>
      <w:r w:rsidRPr="0034732A">
        <w:t xml:space="preserve">The </w:t>
      </w:r>
      <w:r>
        <w:t xml:space="preserve">highest concentration of </w:t>
      </w:r>
      <w:r w:rsidRPr="0034732A">
        <w:t>female</w:t>
      </w:r>
      <w:r>
        <w:t>s</w:t>
      </w:r>
      <w:r w:rsidRPr="0034732A">
        <w:t xml:space="preserve"> </w:t>
      </w:r>
      <w:r>
        <w:t xml:space="preserve">in the </w:t>
      </w:r>
      <w:r w:rsidRPr="0034732A">
        <w:t>population</w:t>
      </w:r>
      <w:r>
        <w:t>,</w:t>
      </w:r>
      <w:r w:rsidRPr="0034732A">
        <w:t xml:space="preserve"> at 95,603</w:t>
      </w:r>
      <w:r>
        <w:t xml:space="preserve">, was </w:t>
      </w:r>
      <w:r w:rsidRPr="0034732A">
        <w:t>in the 30</w:t>
      </w:r>
      <w:r w:rsidR="00425A54">
        <w:t>–</w:t>
      </w:r>
      <w:r w:rsidRPr="0034732A">
        <w:t>34 age group.</w:t>
      </w:r>
    </w:p>
    <w:p w:rsidR="004B0C37" w:rsidRPr="0034732A" w:rsidRDefault="004B0C37" w:rsidP="009966B9">
      <w:pPr>
        <w:pStyle w:val="SingleTxtG"/>
        <w:spacing w:after="240"/>
      </w:pPr>
      <w:r>
        <w:t>7</w:t>
      </w:r>
      <w:r w:rsidR="009D1BD8">
        <w:t>.</w:t>
      </w:r>
      <w:r w:rsidR="009D1BD8">
        <w:tab/>
      </w:r>
      <w:r w:rsidRPr="0034732A">
        <w:t>Among males, the numbers we</w:t>
      </w:r>
      <w:r>
        <w:t>re lowest in the 80+ age group, standing at 1,869</w:t>
      </w:r>
      <w:r w:rsidRPr="0034732A">
        <w:t>, while among fem</w:t>
      </w:r>
      <w:r w:rsidR="00BF4AB8">
        <w:t>ales they were lowest in the 75–</w:t>
      </w:r>
      <w:r w:rsidRPr="0034732A">
        <w:t>79 age group (1,639).</w:t>
      </w:r>
    </w:p>
    <w:p w:rsidR="004B0C37" w:rsidRPr="00CC63C0" w:rsidRDefault="004B0C37" w:rsidP="00734B2A">
      <w:pPr>
        <w:pStyle w:val="Heading1"/>
        <w:spacing w:after="120"/>
        <w:rPr>
          <w:b/>
          <w:bCs/>
        </w:rPr>
      </w:pPr>
      <w:r w:rsidRPr="0034732A">
        <w:t>Table 4</w:t>
      </w:r>
      <w:r w:rsidR="00CC63C0">
        <w:br/>
      </w:r>
      <w:r w:rsidRPr="00CC63C0">
        <w:rPr>
          <w:b/>
          <w:bCs/>
        </w:rPr>
        <w:t>Population disagg</w:t>
      </w:r>
      <w:r w:rsidR="00FD55A9">
        <w:rPr>
          <w:b/>
          <w:bCs/>
        </w:rPr>
        <w:t>regated by gender and age group</w:t>
      </w:r>
      <w:r w:rsidR="00FD55A9">
        <w:rPr>
          <w:b/>
          <w:bCs/>
        </w:rPr>
        <w:br/>
      </w:r>
      <w:r w:rsidRPr="00FD55A9">
        <w:rPr>
          <w:sz w:val="16"/>
          <w:szCs w:val="16"/>
        </w:rPr>
        <w:t>(</w:t>
      </w:r>
      <w:r w:rsidRPr="00FD55A9">
        <w:rPr>
          <w:i/>
          <w:iCs/>
          <w:sz w:val="16"/>
          <w:szCs w:val="16"/>
        </w:rPr>
        <w:t>third quarter 2017</w:t>
      </w:r>
      <w:r w:rsidRPr="00FD55A9">
        <w:rPr>
          <w:sz w:val="16"/>
          <w:szCs w:val="16"/>
        </w:rPr>
        <w:t>)</w:t>
      </w:r>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823"/>
        <w:gridCol w:w="1054"/>
        <w:gridCol w:w="1017"/>
        <w:gridCol w:w="1054"/>
        <w:gridCol w:w="1054"/>
        <w:gridCol w:w="949"/>
        <w:gridCol w:w="915"/>
        <w:gridCol w:w="915"/>
        <w:gridCol w:w="943"/>
        <w:gridCol w:w="915"/>
      </w:tblGrid>
      <w:tr w:rsidR="004B0C37" w:rsidRPr="009966B9" w:rsidTr="00410641">
        <w:trPr>
          <w:tblHeader/>
        </w:trPr>
        <w:tc>
          <w:tcPr>
            <w:tcW w:w="769" w:type="dxa"/>
            <w:vMerge w:val="restart"/>
            <w:tcBorders>
              <w:top w:val="single" w:sz="4" w:space="0" w:color="auto"/>
              <w:bottom w:val="single" w:sz="12" w:space="0" w:color="auto"/>
            </w:tcBorders>
            <w:shd w:val="clear" w:color="auto" w:fill="auto"/>
            <w:vAlign w:val="bottom"/>
          </w:tcPr>
          <w:p w:rsidR="004B0C37" w:rsidRPr="009966B9" w:rsidRDefault="004B0C37" w:rsidP="009966B9">
            <w:pPr>
              <w:suppressAutoHyphens w:val="0"/>
              <w:spacing w:before="80" w:after="80" w:line="200" w:lineRule="exact"/>
              <w:ind w:right="113"/>
              <w:rPr>
                <w:i/>
                <w:sz w:val="16"/>
                <w:szCs w:val="16"/>
              </w:rPr>
            </w:pPr>
            <w:r w:rsidRPr="009966B9">
              <w:rPr>
                <w:i/>
                <w:sz w:val="16"/>
                <w:szCs w:val="16"/>
              </w:rPr>
              <w:t>Age group</w:t>
            </w:r>
          </w:p>
        </w:tc>
        <w:tc>
          <w:tcPr>
            <w:tcW w:w="2923" w:type="dxa"/>
            <w:gridSpan w:val="3"/>
            <w:tcBorders>
              <w:top w:val="single" w:sz="4" w:space="0" w:color="auto"/>
              <w:bottom w:val="single" w:sz="4" w:space="0" w:color="auto"/>
              <w:right w:val="single" w:sz="24" w:space="0" w:color="FFFFFF" w:themeColor="background1"/>
            </w:tcBorders>
            <w:shd w:val="clear" w:color="auto" w:fill="auto"/>
            <w:vAlign w:val="bottom"/>
          </w:tcPr>
          <w:p w:rsidR="004B0C37" w:rsidRPr="009966B9" w:rsidRDefault="004B0C37" w:rsidP="009966B9">
            <w:pPr>
              <w:suppressAutoHyphens w:val="0"/>
              <w:spacing w:before="80" w:after="80" w:line="200" w:lineRule="exact"/>
              <w:ind w:right="113"/>
              <w:jc w:val="center"/>
              <w:rPr>
                <w:i/>
                <w:sz w:val="16"/>
                <w:szCs w:val="16"/>
              </w:rPr>
            </w:pPr>
            <w:r w:rsidRPr="009966B9">
              <w:rPr>
                <w:i/>
                <w:sz w:val="16"/>
                <w:szCs w:val="16"/>
              </w:rPr>
              <w:t>July 2017</w:t>
            </w:r>
          </w:p>
        </w:tc>
        <w:tc>
          <w:tcPr>
            <w:tcW w:w="2730"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4B0C37" w:rsidRPr="009966B9" w:rsidRDefault="004B0C37" w:rsidP="009966B9">
            <w:pPr>
              <w:suppressAutoHyphens w:val="0"/>
              <w:spacing w:before="80" w:after="80" w:line="200" w:lineRule="exact"/>
              <w:ind w:right="113"/>
              <w:jc w:val="center"/>
              <w:rPr>
                <w:i/>
                <w:sz w:val="16"/>
                <w:szCs w:val="16"/>
              </w:rPr>
            </w:pPr>
            <w:r w:rsidRPr="009966B9">
              <w:rPr>
                <w:i/>
                <w:sz w:val="16"/>
                <w:szCs w:val="16"/>
              </w:rPr>
              <w:t>August 2017</w:t>
            </w:r>
          </w:p>
        </w:tc>
        <w:tc>
          <w:tcPr>
            <w:tcW w:w="2594" w:type="dxa"/>
            <w:gridSpan w:val="3"/>
            <w:tcBorders>
              <w:top w:val="single" w:sz="4" w:space="0" w:color="auto"/>
              <w:left w:val="single" w:sz="24" w:space="0" w:color="FFFFFF" w:themeColor="background1"/>
              <w:bottom w:val="single" w:sz="4" w:space="0" w:color="auto"/>
            </w:tcBorders>
            <w:shd w:val="clear" w:color="auto" w:fill="auto"/>
            <w:vAlign w:val="bottom"/>
          </w:tcPr>
          <w:p w:rsidR="004B0C37" w:rsidRPr="009966B9" w:rsidRDefault="004B0C37" w:rsidP="009966B9">
            <w:pPr>
              <w:suppressAutoHyphens w:val="0"/>
              <w:spacing w:before="80" w:after="80" w:line="200" w:lineRule="exact"/>
              <w:ind w:right="113"/>
              <w:jc w:val="center"/>
              <w:rPr>
                <w:i/>
                <w:sz w:val="16"/>
                <w:szCs w:val="16"/>
              </w:rPr>
            </w:pPr>
            <w:r w:rsidRPr="009966B9">
              <w:rPr>
                <w:i/>
                <w:sz w:val="16"/>
                <w:szCs w:val="16"/>
              </w:rPr>
              <w:t>September 2017</w:t>
            </w:r>
          </w:p>
        </w:tc>
      </w:tr>
      <w:tr w:rsidR="002731C9" w:rsidRPr="009966B9" w:rsidTr="00410641">
        <w:trPr>
          <w:tblHeader/>
        </w:trPr>
        <w:tc>
          <w:tcPr>
            <w:tcW w:w="769" w:type="dxa"/>
            <w:vMerge/>
            <w:tcBorders>
              <w:top w:val="single" w:sz="12" w:space="0" w:color="auto"/>
              <w:bottom w:val="single" w:sz="12" w:space="0" w:color="auto"/>
            </w:tcBorders>
            <w:shd w:val="clear" w:color="auto" w:fill="auto"/>
            <w:vAlign w:val="bottom"/>
          </w:tcPr>
          <w:p w:rsidR="004B0C37" w:rsidRPr="009966B9" w:rsidRDefault="004B0C37" w:rsidP="009966B9">
            <w:pPr>
              <w:suppressAutoHyphens w:val="0"/>
              <w:spacing w:before="40" w:after="40" w:line="220" w:lineRule="exact"/>
              <w:ind w:right="113"/>
              <w:rPr>
                <w:sz w:val="18"/>
                <w:szCs w:val="16"/>
              </w:rPr>
            </w:pPr>
          </w:p>
        </w:tc>
        <w:tc>
          <w:tcPr>
            <w:tcW w:w="986" w:type="dxa"/>
            <w:tcBorders>
              <w:top w:val="single" w:sz="4" w:space="0" w:color="auto"/>
              <w:bottom w:val="single" w:sz="12" w:space="0" w:color="auto"/>
            </w:tcBorders>
            <w:shd w:val="clear" w:color="auto" w:fill="auto"/>
            <w:vAlign w:val="bottom"/>
          </w:tcPr>
          <w:p w:rsidR="004B0C37" w:rsidRPr="009966B9" w:rsidRDefault="004B0C37" w:rsidP="009966B9">
            <w:pPr>
              <w:suppressAutoHyphens w:val="0"/>
              <w:spacing w:before="80" w:after="80" w:line="200" w:lineRule="exact"/>
              <w:ind w:right="113"/>
              <w:jc w:val="right"/>
              <w:rPr>
                <w:i/>
                <w:sz w:val="16"/>
                <w:szCs w:val="16"/>
              </w:rPr>
            </w:pPr>
            <w:r w:rsidRPr="009966B9">
              <w:rPr>
                <w:i/>
                <w:sz w:val="16"/>
                <w:szCs w:val="16"/>
              </w:rPr>
              <w:t>Male</w:t>
            </w:r>
          </w:p>
        </w:tc>
        <w:tc>
          <w:tcPr>
            <w:tcW w:w="951" w:type="dxa"/>
            <w:tcBorders>
              <w:top w:val="single" w:sz="4" w:space="0" w:color="auto"/>
              <w:bottom w:val="single" w:sz="12" w:space="0" w:color="auto"/>
            </w:tcBorders>
            <w:shd w:val="clear" w:color="auto" w:fill="auto"/>
            <w:vAlign w:val="bottom"/>
          </w:tcPr>
          <w:p w:rsidR="004B0C37" w:rsidRPr="009966B9" w:rsidRDefault="004B0C37" w:rsidP="009966B9">
            <w:pPr>
              <w:suppressAutoHyphens w:val="0"/>
              <w:spacing w:before="80" w:after="80" w:line="200" w:lineRule="exact"/>
              <w:ind w:right="113"/>
              <w:jc w:val="right"/>
              <w:rPr>
                <w:i/>
                <w:sz w:val="16"/>
                <w:szCs w:val="16"/>
              </w:rPr>
            </w:pPr>
            <w:r w:rsidRPr="009966B9">
              <w:rPr>
                <w:i/>
                <w:sz w:val="16"/>
                <w:szCs w:val="16"/>
              </w:rPr>
              <w:t>Female</w:t>
            </w:r>
          </w:p>
        </w:tc>
        <w:tc>
          <w:tcPr>
            <w:tcW w:w="986" w:type="dxa"/>
            <w:tcBorders>
              <w:top w:val="single" w:sz="4" w:space="0" w:color="auto"/>
              <w:bottom w:val="single" w:sz="12" w:space="0" w:color="auto"/>
              <w:right w:val="single" w:sz="24" w:space="0" w:color="FFFFFF" w:themeColor="background1"/>
            </w:tcBorders>
            <w:shd w:val="clear" w:color="auto" w:fill="auto"/>
            <w:vAlign w:val="bottom"/>
          </w:tcPr>
          <w:p w:rsidR="004B0C37" w:rsidRPr="009966B9" w:rsidRDefault="004B0C37" w:rsidP="009966B9">
            <w:pPr>
              <w:suppressAutoHyphens w:val="0"/>
              <w:spacing w:before="80" w:after="80" w:line="200" w:lineRule="exact"/>
              <w:ind w:right="113"/>
              <w:jc w:val="right"/>
              <w:rPr>
                <w:i/>
                <w:sz w:val="16"/>
                <w:szCs w:val="16"/>
              </w:rPr>
            </w:pPr>
            <w:r w:rsidRPr="009966B9">
              <w:rPr>
                <w:i/>
                <w:sz w:val="16"/>
                <w:szCs w:val="16"/>
              </w:rPr>
              <w:t>Total</w:t>
            </w:r>
          </w:p>
        </w:tc>
        <w:tc>
          <w:tcPr>
            <w:tcW w:w="986" w:type="dxa"/>
            <w:tcBorders>
              <w:top w:val="single" w:sz="4" w:space="0" w:color="auto"/>
              <w:left w:val="single" w:sz="24" w:space="0" w:color="FFFFFF" w:themeColor="background1"/>
              <w:bottom w:val="single" w:sz="12" w:space="0" w:color="auto"/>
            </w:tcBorders>
            <w:shd w:val="clear" w:color="auto" w:fill="auto"/>
            <w:vAlign w:val="bottom"/>
          </w:tcPr>
          <w:p w:rsidR="004B0C37" w:rsidRPr="009966B9" w:rsidRDefault="004B0C37" w:rsidP="009966B9">
            <w:pPr>
              <w:suppressAutoHyphens w:val="0"/>
              <w:spacing w:before="80" w:after="80" w:line="200" w:lineRule="exact"/>
              <w:ind w:right="113"/>
              <w:jc w:val="right"/>
              <w:rPr>
                <w:i/>
                <w:sz w:val="16"/>
                <w:szCs w:val="16"/>
              </w:rPr>
            </w:pPr>
            <w:r w:rsidRPr="009966B9">
              <w:rPr>
                <w:i/>
                <w:sz w:val="16"/>
                <w:szCs w:val="16"/>
              </w:rPr>
              <w:t>Male</w:t>
            </w:r>
          </w:p>
        </w:tc>
        <w:tc>
          <w:tcPr>
            <w:tcW w:w="888" w:type="dxa"/>
            <w:tcBorders>
              <w:top w:val="single" w:sz="4" w:space="0" w:color="auto"/>
              <w:bottom w:val="single" w:sz="12" w:space="0" w:color="auto"/>
            </w:tcBorders>
            <w:shd w:val="clear" w:color="auto" w:fill="auto"/>
            <w:vAlign w:val="bottom"/>
          </w:tcPr>
          <w:p w:rsidR="004B0C37" w:rsidRPr="009966B9" w:rsidRDefault="004B0C37" w:rsidP="009966B9">
            <w:pPr>
              <w:suppressAutoHyphens w:val="0"/>
              <w:spacing w:before="80" w:after="80" w:line="200" w:lineRule="exact"/>
              <w:ind w:right="113"/>
              <w:jc w:val="right"/>
              <w:rPr>
                <w:i/>
                <w:sz w:val="16"/>
                <w:szCs w:val="16"/>
              </w:rPr>
            </w:pPr>
            <w:r w:rsidRPr="009966B9">
              <w:rPr>
                <w:i/>
                <w:sz w:val="16"/>
                <w:szCs w:val="16"/>
              </w:rPr>
              <w:t>Female</w:t>
            </w:r>
          </w:p>
        </w:tc>
        <w:tc>
          <w:tcPr>
            <w:tcW w:w="856" w:type="dxa"/>
            <w:tcBorders>
              <w:top w:val="single" w:sz="4" w:space="0" w:color="auto"/>
              <w:bottom w:val="single" w:sz="12" w:space="0" w:color="auto"/>
              <w:right w:val="single" w:sz="24" w:space="0" w:color="FFFFFF" w:themeColor="background1"/>
            </w:tcBorders>
            <w:shd w:val="clear" w:color="auto" w:fill="auto"/>
            <w:vAlign w:val="bottom"/>
          </w:tcPr>
          <w:p w:rsidR="004B0C37" w:rsidRPr="009966B9" w:rsidRDefault="004B0C37" w:rsidP="009966B9">
            <w:pPr>
              <w:suppressAutoHyphens w:val="0"/>
              <w:spacing w:before="80" w:after="80" w:line="200" w:lineRule="exact"/>
              <w:ind w:right="113"/>
              <w:jc w:val="right"/>
              <w:rPr>
                <w:i/>
                <w:sz w:val="16"/>
                <w:szCs w:val="16"/>
              </w:rPr>
            </w:pPr>
            <w:r w:rsidRPr="009966B9">
              <w:rPr>
                <w:i/>
                <w:sz w:val="16"/>
                <w:szCs w:val="16"/>
              </w:rPr>
              <w:t>Total</w:t>
            </w:r>
          </w:p>
        </w:tc>
        <w:tc>
          <w:tcPr>
            <w:tcW w:w="856" w:type="dxa"/>
            <w:tcBorders>
              <w:top w:val="single" w:sz="4" w:space="0" w:color="auto"/>
              <w:left w:val="single" w:sz="24" w:space="0" w:color="FFFFFF" w:themeColor="background1"/>
              <w:bottom w:val="single" w:sz="12" w:space="0" w:color="auto"/>
            </w:tcBorders>
            <w:shd w:val="clear" w:color="auto" w:fill="auto"/>
            <w:vAlign w:val="bottom"/>
          </w:tcPr>
          <w:p w:rsidR="004B0C37" w:rsidRPr="009966B9" w:rsidRDefault="004B0C37" w:rsidP="009966B9">
            <w:pPr>
              <w:suppressAutoHyphens w:val="0"/>
              <w:spacing w:before="80" w:after="80" w:line="200" w:lineRule="exact"/>
              <w:ind w:right="113"/>
              <w:jc w:val="right"/>
              <w:rPr>
                <w:i/>
                <w:sz w:val="16"/>
                <w:szCs w:val="16"/>
              </w:rPr>
            </w:pPr>
            <w:r w:rsidRPr="009966B9">
              <w:rPr>
                <w:i/>
                <w:sz w:val="16"/>
                <w:szCs w:val="16"/>
              </w:rPr>
              <w:t>Male</w:t>
            </w:r>
          </w:p>
        </w:tc>
        <w:tc>
          <w:tcPr>
            <w:tcW w:w="882" w:type="dxa"/>
            <w:tcBorders>
              <w:top w:val="single" w:sz="4" w:space="0" w:color="auto"/>
              <w:bottom w:val="single" w:sz="12" w:space="0" w:color="auto"/>
            </w:tcBorders>
            <w:shd w:val="clear" w:color="auto" w:fill="auto"/>
            <w:vAlign w:val="bottom"/>
          </w:tcPr>
          <w:p w:rsidR="004B0C37" w:rsidRPr="009966B9" w:rsidRDefault="004B0C37" w:rsidP="009966B9">
            <w:pPr>
              <w:suppressAutoHyphens w:val="0"/>
              <w:spacing w:before="80" w:after="80" w:line="200" w:lineRule="exact"/>
              <w:ind w:right="113"/>
              <w:jc w:val="right"/>
              <w:rPr>
                <w:i/>
                <w:sz w:val="16"/>
                <w:szCs w:val="16"/>
              </w:rPr>
            </w:pPr>
            <w:r w:rsidRPr="009966B9">
              <w:rPr>
                <w:i/>
                <w:sz w:val="16"/>
                <w:szCs w:val="16"/>
              </w:rPr>
              <w:t>Female</w:t>
            </w:r>
          </w:p>
        </w:tc>
        <w:tc>
          <w:tcPr>
            <w:tcW w:w="856" w:type="dxa"/>
            <w:tcBorders>
              <w:top w:val="single" w:sz="4" w:space="0" w:color="auto"/>
              <w:bottom w:val="single" w:sz="12" w:space="0" w:color="auto"/>
            </w:tcBorders>
            <w:shd w:val="clear" w:color="auto" w:fill="auto"/>
            <w:vAlign w:val="bottom"/>
          </w:tcPr>
          <w:p w:rsidR="004B0C37" w:rsidRPr="009966B9" w:rsidRDefault="004B0C37" w:rsidP="009966B9">
            <w:pPr>
              <w:suppressAutoHyphens w:val="0"/>
              <w:spacing w:before="80" w:after="80" w:line="200" w:lineRule="exact"/>
              <w:ind w:right="113"/>
              <w:jc w:val="right"/>
              <w:rPr>
                <w:i/>
                <w:sz w:val="16"/>
                <w:szCs w:val="16"/>
              </w:rPr>
            </w:pPr>
            <w:r w:rsidRPr="009966B9">
              <w:rPr>
                <w:i/>
                <w:sz w:val="16"/>
                <w:szCs w:val="16"/>
              </w:rPr>
              <w:t>Total</w:t>
            </w:r>
          </w:p>
        </w:tc>
      </w:tr>
      <w:tr w:rsidR="004B0C37" w:rsidRPr="009966B9" w:rsidTr="0035667A">
        <w:tc>
          <w:tcPr>
            <w:tcW w:w="769" w:type="dxa"/>
            <w:tcBorders>
              <w:top w:val="single" w:sz="12" w:space="0" w:color="auto"/>
            </w:tcBorders>
            <w:shd w:val="clear" w:color="auto" w:fill="auto"/>
          </w:tcPr>
          <w:p w:rsidR="004B0C37" w:rsidRPr="009966B9" w:rsidRDefault="004B0C37" w:rsidP="009966B9">
            <w:pPr>
              <w:suppressAutoHyphens w:val="0"/>
              <w:spacing w:before="40" w:after="40" w:line="220" w:lineRule="exact"/>
              <w:ind w:right="113"/>
              <w:rPr>
                <w:sz w:val="18"/>
                <w:szCs w:val="16"/>
              </w:rPr>
            </w:pPr>
            <w:r w:rsidRPr="009966B9">
              <w:rPr>
                <w:sz w:val="18"/>
                <w:szCs w:val="16"/>
              </w:rPr>
              <w:t>&lt;1</w:t>
            </w:r>
          </w:p>
        </w:tc>
        <w:tc>
          <w:tcPr>
            <w:tcW w:w="986" w:type="dxa"/>
            <w:tcBorders>
              <w:top w:val="single" w:sz="12" w:space="0" w:color="auto"/>
            </w:tcBorders>
            <w:shd w:val="clear" w:color="auto" w:fill="auto"/>
            <w:vAlign w:val="bottom"/>
          </w:tcPr>
          <w:p w:rsidR="004B0C37" w:rsidRPr="009966B9" w:rsidRDefault="004B0C37" w:rsidP="009966B9">
            <w:pPr>
              <w:suppressAutoHyphens w:val="0"/>
              <w:spacing w:before="40" w:after="40" w:line="220" w:lineRule="exact"/>
              <w:ind w:right="113"/>
              <w:jc w:val="right"/>
              <w:rPr>
                <w:sz w:val="18"/>
                <w:szCs w:val="16"/>
                <w:lang w:val="en-US" w:bidi="ar-QA"/>
              </w:rPr>
            </w:pPr>
            <w:r w:rsidRPr="009966B9">
              <w:rPr>
                <w:sz w:val="18"/>
                <w:szCs w:val="16"/>
                <w:lang w:val="en-US" w:bidi="ar-QA"/>
              </w:rPr>
              <w:t>9 548</w:t>
            </w:r>
          </w:p>
        </w:tc>
        <w:tc>
          <w:tcPr>
            <w:tcW w:w="951" w:type="dxa"/>
            <w:tcBorders>
              <w:top w:val="single" w:sz="12" w:space="0" w:color="auto"/>
            </w:tcBorders>
            <w:shd w:val="clear" w:color="auto" w:fill="auto"/>
            <w:vAlign w:val="bottom"/>
          </w:tcPr>
          <w:p w:rsidR="004B0C37" w:rsidRPr="009966B9" w:rsidRDefault="004B0C37" w:rsidP="009966B9">
            <w:pPr>
              <w:suppressAutoHyphens w:val="0"/>
              <w:spacing w:before="40" w:after="40" w:line="220" w:lineRule="exact"/>
              <w:ind w:right="113"/>
              <w:jc w:val="right"/>
              <w:rPr>
                <w:sz w:val="18"/>
                <w:szCs w:val="16"/>
                <w:lang w:val="en-US" w:bidi="ar-QA"/>
              </w:rPr>
            </w:pPr>
            <w:r w:rsidRPr="009966B9">
              <w:rPr>
                <w:sz w:val="18"/>
                <w:szCs w:val="16"/>
                <w:lang w:val="en-US" w:bidi="ar-QA"/>
              </w:rPr>
              <w:t>9 032</w:t>
            </w:r>
          </w:p>
        </w:tc>
        <w:tc>
          <w:tcPr>
            <w:tcW w:w="986" w:type="dxa"/>
            <w:tcBorders>
              <w:top w:val="single" w:sz="12" w:space="0" w:color="auto"/>
            </w:tcBorders>
            <w:shd w:val="clear" w:color="auto" w:fill="auto"/>
            <w:vAlign w:val="bottom"/>
          </w:tcPr>
          <w:p w:rsidR="004B0C37" w:rsidRPr="009966B9" w:rsidRDefault="004B0C37" w:rsidP="009966B9">
            <w:pPr>
              <w:suppressAutoHyphens w:val="0"/>
              <w:spacing w:before="40" w:after="40" w:line="220" w:lineRule="exact"/>
              <w:ind w:right="113"/>
              <w:jc w:val="right"/>
              <w:rPr>
                <w:sz w:val="18"/>
                <w:szCs w:val="16"/>
                <w:lang w:val="en-US" w:bidi="ar-QA"/>
              </w:rPr>
            </w:pPr>
            <w:r w:rsidRPr="009966B9">
              <w:rPr>
                <w:sz w:val="18"/>
                <w:szCs w:val="16"/>
                <w:lang w:val="en-US" w:bidi="ar-QA"/>
              </w:rPr>
              <w:t>18 580</w:t>
            </w:r>
          </w:p>
        </w:tc>
        <w:tc>
          <w:tcPr>
            <w:tcW w:w="986" w:type="dxa"/>
            <w:tcBorders>
              <w:top w:val="single" w:sz="12" w:space="0" w:color="auto"/>
            </w:tcBorders>
            <w:shd w:val="clear" w:color="auto" w:fill="auto"/>
            <w:vAlign w:val="bottom"/>
          </w:tcPr>
          <w:p w:rsidR="004B0C37" w:rsidRPr="009966B9" w:rsidRDefault="004B0C37" w:rsidP="009966B9">
            <w:pPr>
              <w:suppressAutoHyphens w:val="0"/>
              <w:spacing w:before="40" w:after="40" w:line="220" w:lineRule="exact"/>
              <w:ind w:right="113"/>
              <w:jc w:val="right"/>
              <w:rPr>
                <w:sz w:val="18"/>
                <w:szCs w:val="16"/>
                <w:lang w:val="en-US" w:bidi="ar-QA"/>
              </w:rPr>
            </w:pPr>
            <w:r w:rsidRPr="009966B9">
              <w:rPr>
                <w:sz w:val="18"/>
                <w:szCs w:val="16"/>
                <w:lang w:val="en-US" w:bidi="ar-QA"/>
              </w:rPr>
              <w:t>9 662</w:t>
            </w:r>
          </w:p>
        </w:tc>
        <w:tc>
          <w:tcPr>
            <w:tcW w:w="888" w:type="dxa"/>
            <w:tcBorders>
              <w:top w:val="single" w:sz="12" w:space="0" w:color="auto"/>
            </w:tcBorders>
            <w:shd w:val="clear" w:color="auto" w:fill="auto"/>
            <w:vAlign w:val="bottom"/>
          </w:tcPr>
          <w:p w:rsidR="004B0C37" w:rsidRPr="009966B9" w:rsidRDefault="004B0C37" w:rsidP="009966B9">
            <w:pPr>
              <w:suppressAutoHyphens w:val="0"/>
              <w:spacing w:before="40" w:after="40" w:line="220" w:lineRule="exact"/>
              <w:ind w:right="113"/>
              <w:jc w:val="right"/>
              <w:rPr>
                <w:sz w:val="18"/>
                <w:szCs w:val="16"/>
                <w:lang w:val="en-US" w:bidi="ar-QA"/>
              </w:rPr>
            </w:pPr>
            <w:r w:rsidRPr="009966B9">
              <w:rPr>
                <w:sz w:val="18"/>
                <w:szCs w:val="16"/>
                <w:lang w:val="en-US" w:bidi="ar-QA"/>
              </w:rPr>
              <w:t>9 121</w:t>
            </w:r>
          </w:p>
        </w:tc>
        <w:tc>
          <w:tcPr>
            <w:tcW w:w="856" w:type="dxa"/>
            <w:tcBorders>
              <w:top w:val="single" w:sz="12" w:space="0" w:color="auto"/>
            </w:tcBorders>
            <w:shd w:val="clear" w:color="auto" w:fill="auto"/>
            <w:vAlign w:val="bottom"/>
          </w:tcPr>
          <w:p w:rsidR="004B0C37" w:rsidRPr="009966B9" w:rsidRDefault="004B0C37" w:rsidP="009966B9">
            <w:pPr>
              <w:suppressAutoHyphens w:val="0"/>
              <w:spacing w:before="40" w:after="40" w:line="220" w:lineRule="exact"/>
              <w:ind w:right="113"/>
              <w:jc w:val="right"/>
              <w:rPr>
                <w:sz w:val="18"/>
                <w:szCs w:val="16"/>
                <w:lang w:val="en-US" w:bidi="ar-QA"/>
              </w:rPr>
            </w:pPr>
            <w:r w:rsidRPr="009966B9">
              <w:rPr>
                <w:sz w:val="18"/>
                <w:szCs w:val="16"/>
                <w:lang w:val="en-US" w:bidi="ar-QA"/>
              </w:rPr>
              <w:t>18 783</w:t>
            </w:r>
          </w:p>
        </w:tc>
        <w:tc>
          <w:tcPr>
            <w:tcW w:w="856" w:type="dxa"/>
            <w:tcBorders>
              <w:top w:val="single" w:sz="12" w:space="0" w:color="auto"/>
            </w:tcBorders>
            <w:shd w:val="clear" w:color="auto" w:fill="auto"/>
            <w:vAlign w:val="bottom"/>
          </w:tcPr>
          <w:p w:rsidR="004B0C37" w:rsidRPr="009966B9" w:rsidRDefault="004B0C37" w:rsidP="009966B9">
            <w:pPr>
              <w:suppressAutoHyphens w:val="0"/>
              <w:spacing w:before="40" w:after="40" w:line="220" w:lineRule="exact"/>
              <w:ind w:right="113"/>
              <w:jc w:val="right"/>
              <w:rPr>
                <w:sz w:val="18"/>
                <w:szCs w:val="16"/>
                <w:lang w:val="en-US" w:bidi="ar-QA"/>
              </w:rPr>
            </w:pPr>
            <w:r w:rsidRPr="009966B9">
              <w:rPr>
                <w:sz w:val="18"/>
                <w:szCs w:val="16"/>
                <w:lang w:val="en-US" w:bidi="ar-QA"/>
              </w:rPr>
              <w:t>11 120</w:t>
            </w:r>
          </w:p>
        </w:tc>
        <w:tc>
          <w:tcPr>
            <w:tcW w:w="882" w:type="dxa"/>
            <w:tcBorders>
              <w:top w:val="single" w:sz="12" w:space="0" w:color="auto"/>
            </w:tcBorders>
            <w:shd w:val="clear" w:color="auto" w:fill="auto"/>
            <w:vAlign w:val="bottom"/>
          </w:tcPr>
          <w:p w:rsidR="004B0C37" w:rsidRPr="009966B9" w:rsidRDefault="004B0C37" w:rsidP="009966B9">
            <w:pPr>
              <w:suppressAutoHyphens w:val="0"/>
              <w:spacing w:before="40" w:after="40" w:line="220" w:lineRule="exact"/>
              <w:ind w:right="113"/>
              <w:jc w:val="right"/>
              <w:rPr>
                <w:sz w:val="18"/>
                <w:szCs w:val="16"/>
                <w:lang w:val="en-US" w:bidi="ar-QA"/>
              </w:rPr>
            </w:pPr>
            <w:r w:rsidRPr="009966B9">
              <w:rPr>
                <w:sz w:val="18"/>
                <w:szCs w:val="16"/>
                <w:lang w:val="en-US" w:bidi="ar-QA"/>
              </w:rPr>
              <w:t>10 542</w:t>
            </w:r>
          </w:p>
        </w:tc>
        <w:tc>
          <w:tcPr>
            <w:tcW w:w="856" w:type="dxa"/>
            <w:tcBorders>
              <w:top w:val="single" w:sz="12" w:space="0" w:color="auto"/>
            </w:tcBorders>
            <w:shd w:val="clear" w:color="auto" w:fill="auto"/>
            <w:vAlign w:val="bottom"/>
          </w:tcPr>
          <w:p w:rsidR="004B0C37" w:rsidRPr="009966B9" w:rsidRDefault="004B0C37" w:rsidP="009966B9">
            <w:pPr>
              <w:suppressAutoHyphens w:val="0"/>
              <w:spacing w:before="40" w:after="40" w:line="220" w:lineRule="exact"/>
              <w:ind w:right="113"/>
              <w:jc w:val="right"/>
              <w:rPr>
                <w:sz w:val="18"/>
                <w:szCs w:val="16"/>
                <w:lang w:val="en-US" w:bidi="ar-QA"/>
              </w:rPr>
            </w:pPr>
            <w:r w:rsidRPr="009966B9">
              <w:rPr>
                <w:sz w:val="18"/>
                <w:szCs w:val="16"/>
                <w:lang w:val="en-US" w:bidi="ar-QA"/>
              </w:rPr>
              <w:t>21 662</w:t>
            </w:r>
          </w:p>
        </w:tc>
      </w:tr>
      <w:tr w:rsidR="004B0C37" w:rsidRPr="009966B9" w:rsidTr="0035667A">
        <w:tc>
          <w:tcPr>
            <w:tcW w:w="769" w:type="dxa"/>
            <w:shd w:val="clear" w:color="auto" w:fill="auto"/>
          </w:tcPr>
          <w:p w:rsidR="004B0C37" w:rsidRPr="009966B9" w:rsidRDefault="004B0C37" w:rsidP="009966B9">
            <w:pPr>
              <w:suppressAutoHyphens w:val="0"/>
              <w:spacing w:before="40" w:after="40" w:line="220" w:lineRule="exact"/>
              <w:ind w:right="113"/>
              <w:rPr>
                <w:sz w:val="18"/>
                <w:szCs w:val="16"/>
              </w:rPr>
            </w:pPr>
            <w:r w:rsidRPr="009966B9">
              <w:rPr>
                <w:sz w:val="18"/>
                <w:szCs w:val="16"/>
              </w:rPr>
              <w:t>1-4</w:t>
            </w:r>
          </w:p>
        </w:tc>
        <w:tc>
          <w:tcPr>
            <w:tcW w:w="986" w:type="dxa"/>
            <w:shd w:val="clear" w:color="auto" w:fill="auto"/>
            <w:vAlign w:val="bottom"/>
          </w:tcPr>
          <w:p w:rsidR="004B0C37" w:rsidRPr="009966B9" w:rsidRDefault="004B0C37" w:rsidP="009966B9">
            <w:pPr>
              <w:suppressAutoHyphens w:val="0"/>
              <w:spacing w:before="40" w:after="40" w:line="220" w:lineRule="exact"/>
              <w:ind w:right="113"/>
              <w:jc w:val="right"/>
              <w:rPr>
                <w:sz w:val="18"/>
                <w:szCs w:val="16"/>
                <w:lang w:val="en-US" w:bidi="ar-QA"/>
              </w:rPr>
            </w:pPr>
            <w:r w:rsidRPr="009966B9">
              <w:rPr>
                <w:sz w:val="18"/>
                <w:szCs w:val="16"/>
                <w:lang w:val="en-US" w:bidi="ar-QA"/>
              </w:rPr>
              <w:t>44 331</w:t>
            </w:r>
          </w:p>
        </w:tc>
        <w:tc>
          <w:tcPr>
            <w:tcW w:w="951" w:type="dxa"/>
            <w:shd w:val="clear" w:color="auto" w:fill="auto"/>
            <w:vAlign w:val="bottom"/>
          </w:tcPr>
          <w:p w:rsidR="004B0C37" w:rsidRPr="009966B9" w:rsidRDefault="004B0C37" w:rsidP="009966B9">
            <w:pPr>
              <w:suppressAutoHyphens w:val="0"/>
              <w:spacing w:before="40" w:after="40" w:line="220" w:lineRule="exact"/>
              <w:ind w:right="113"/>
              <w:jc w:val="right"/>
              <w:rPr>
                <w:sz w:val="18"/>
                <w:szCs w:val="16"/>
                <w:lang w:val="en-US" w:bidi="ar-QA"/>
              </w:rPr>
            </w:pPr>
            <w:r w:rsidRPr="009966B9">
              <w:rPr>
                <w:sz w:val="18"/>
                <w:szCs w:val="16"/>
                <w:lang w:val="en-US" w:bidi="ar-QA"/>
              </w:rPr>
              <w:t>42 407</w:t>
            </w:r>
          </w:p>
        </w:tc>
        <w:tc>
          <w:tcPr>
            <w:tcW w:w="986" w:type="dxa"/>
            <w:shd w:val="clear" w:color="auto" w:fill="auto"/>
            <w:vAlign w:val="bottom"/>
          </w:tcPr>
          <w:p w:rsidR="004B0C37" w:rsidRPr="009966B9" w:rsidRDefault="004B0C37" w:rsidP="009966B9">
            <w:pPr>
              <w:suppressAutoHyphens w:val="0"/>
              <w:spacing w:before="40" w:after="40" w:line="220" w:lineRule="exact"/>
              <w:ind w:right="113"/>
              <w:jc w:val="right"/>
              <w:rPr>
                <w:sz w:val="18"/>
                <w:szCs w:val="16"/>
                <w:lang w:val="en-US" w:bidi="ar-QA"/>
              </w:rPr>
            </w:pPr>
            <w:r w:rsidRPr="009966B9">
              <w:rPr>
                <w:sz w:val="18"/>
                <w:szCs w:val="16"/>
                <w:lang w:val="en-US" w:bidi="ar-QA"/>
              </w:rPr>
              <w:t>86 738</w:t>
            </w:r>
          </w:p>
        </w:tc>
        <w:tc>
          <w:tcPr>
            <w:tcW w:w="986" w:type="dxa"/>
            <w:shd w:val="clear" w:color="auto" w:fill="auto"/>
            <w:vAlign w:val="bottom"/>
          </w:tcPr>
          <w:p w:rsidR="004B0C37" w:rsidRPr="009966B9" w:rsidRDefault="004B0C37" w:rsidP="009966B9">
            <w:pPr>
              <w:suppressAutoHyphens w:val="0"/>
              <w:spacing w:before="40" w:after="40" w:line="220" w:lineRule="exact"/>
              <w:ind w:right="113"/>
              <w:jc w:val="right"/>
              <w:rPr>
                <w:sz w:val="18"/>
                <w:szCs w:val="16"/>
                <w:lang w:val="en-US" w:bidi="ar-QA"/>
              </w:rPr>
            </w:pPr>
            <w:r w:rsidRPr="009966B9">
              <w:rPr>
                <w:sz w:val="18"/>
                <w:szCs w:val="16"/>
                <w:lang w:val="en-US" w:bidi="ar-QA"/>
              </w:rPr>
              <w:t>46 030</w:t>
            </w:r>
          </w:p>
        </w:tc>
        <w:tc>
          <w:tcPr>
            <w:tcW w:w="888" w:type="dxa"/>
            <w:shd w:val="clear" w:color="auto" w:fill="auto"/>
            <w:vAlign w:val="bottom"/>
          </w:tcPr>
          <w:p w:rsidR="004B0C37" w:rsidRPr="009966B9" w:rsidRDefault="004B0C37" w:rsidP="009966B9">
            <w:pPr>
              <w:suppressAutoHyphens w:val="0"/>
              <w:spacing w:before="40" w:after="40" w:line="220" w:lineRule="exact"/>
              <w:ind w:right="113"/>
              <w:jc w:val="right"/>
              <w:rPr>
                <w:sz w:val="18"/>
                <w:szCs w:val="16"/>
                <w:lang w:val="en-US" w:bidi="ar-QA"/>
              </w:rPr>
            </w:pPr>
            <w:r w:rsidRPr="009966B9">
              <w:rPr>
                <w:sz w:val="18"/>
                <w:szCs w:val="16"/>
                <w:lang w:val="en-US" w:bidi="ar-QA"/>
              </w:rPr>
              <w:t>44 435</w:t>
            </w:r>
          </w:p>
        </w:tc>
        <w:tc>
          <w:tcPr>
            <w:tcW w:w="856" w:type="dxa"/>
            <w:shd w:val="clear" w:color="auto" w:fill="auto"/>
            <w:vAlign w:val="bottom"/>
          </w:tcPr>
          <w:p w:rsidR="004B0C37" w:rsidRPr="009966B9" w:rsidRDefault="004B0C37" w:rsidP="009966B9">
            <w:pPr>
              <w:suppressAutoHyphens w:val="0"/>
              <w:spacing w:before="40" w:after="40" w:line="220" w:lineRule="exact"/>
              <w:ind w:right="113"/>
              <w:jc w:val="right"/>
              <w:rPr>
                <w:sz w:val="18"/>
                <w:szCs w:val="16"/>
                <w:lang w:val="en-US" w:bidi="ar-QA"/>
              </w:rPr>
            </w:pPr>
            <w:r w:rsidRPr="009966B9">
              <w:rPr>
                <w:sz w:val="18"/>
                <w:szCs w:val="16"/>
                <w:lang w:val="en-US" w:bidi="ar-QA"/>
              </w:rPr>
              <w:t>90 465</w:t>
            </w:r>
          </w:p>
        </w:tc>
        <w:tc>
          <w:tcPr>
            <w:tcW w:w="856" w:type="dxa"/>
            <w:shd w:val="clear" w:color="auto" w:fill="auto"/>
            <w:vAlign w:val="bottom"/>
          </w:tcPr>
          <w:p w:rsidR="004B0C37" w:rsidRPr="009966B9" w:rsidRDefault="004B0C37" w:rsidP="009966B9">
            <w:pPr>
              <w:suppressAutoHyphens w:val="0"/>
              <w:spacing w:before="40" w:after="40" w:line="220" w:lineRule="exact"/>
              <w:ind w:right="113"/>
              <w:jc w:val="right"/>
              <w:rPr>
                <w:sz w:val="18"/>
                <w:szCs w:val="16"/>
                <w:lang w:val="en-US" w:bidi="ar-QA"/>
              </w:rPr>
            </w:pPr>
            <w:r w:rsidRPr="009966B9">
              <w:rPr>
                <w:sz w:val="18"/>
                <w:szCs w:val="16"/>
                <w:lang w:val="en-US" w:bidi="ar-QA"/>
              </w:rPr>
              <w:t>56 092</w:t>
            </w:r>
          </w:p>
        </w:tc>
        <w:tc>
          <w:tcPr>
            <w:tcW w:w="882" w:type="dxa"/>
            <w:shd w:val="clear" w:color="auto" w:fill="auto"/>
            <w:vAlign w:val="bottom"/>
          </w:tcPr>
          <w:p w:rsidR="004B0C37" w:rsidRPr="009966B9" w:rsidRDefault="004B0C37" w:rsidP="009966B9">
            <w:pPr>
              <w:suppressAutoHyphens w:val="0"/>
              <w:spacing w:before="40" w:after="40" w:line="220" w:lineRule="exact"/>
              <w:ind w:right="113"/>
              <w:jc w:val="right"/>
              <w:rPr>
                <w:sz w:val="18"/>
                <w:szCs w:val="16"/>
                <w:lang w:val="en-US" w:bidi="ar-QA"/>
              </w:rPr>
            </w:pPr>
            <w:r w:rsidRPr="009966B9">
              <w:rPr>
                <w:sz w:val="18"/>
                <w:szCs w:val="16"/>
                <w:lang w:val="en-US" w:bidi="ar-QA"/>
              </w:rPr>
              <w:t>53 787</w:t>
            </w:r>
          </w:p>
        </w:tc>
        <w:tc>
          <w:tcPr>
            <w:tcW w:w="856" w:type="dxa"/>
            <w:shd w:val="clear" w:color="auto" w:fill="auto"/>
            <w:vAlign w:val="bottom"/>
          </w:tcPr>
          <w:p w:rsidR="004B0C37" w:rsidRPr="009966B9" w:rsidRDefault="004B0C37" w:rsidP="009966B9">
            <w:pPr>
              <w:suppressAutoHyphens w:val="0"/>
              <w:spacing w:before="40" w:after="40" w:line="220" w:lineRule="exact"/>
              <w:ind w:right="113"/>
              <w:jc w:val="right"/>
              <w:rPr>
                <w:sz w:val="18"/>
                <w:szCs w:val="16"/>
                <w:lang w:val="en-US" w:bidi="ar-QA"/>
              </w:rPr>
            </w:pPr>
            <w:r w:rsidRPr="009966B9">
              <w:rPr>
                <w:sz w:val="18"/>
                <w:szCs w:val="16"/>
                <w:lang w:val="en-US" w:bidi="ar-QA"/>
              </w:rPr>
              <w:t>109 879</w:t>
            </w:r>
          </w:p>
        </w:tc>
      </w:tr>
      <w:tr w:rsidR="004B0C37" w:rsidRPr="009966B9" w:rsidTr="0035667A">
        <w:tc>
          <w:tcPr>
            <w:tcW w:w="769" w:type="dxa"/>
            <w:shd w:val="clear" w:color="auto" w:fill="auto"/>
          </w:tcPr>
          <w:p w:rsidR="004B0C37" w:rsidRPr="009966B9" w:rsidRDefault="004B0C37" w:rsidP="009966B9">
            <w:pPr>
              <w:suppressAutoHyphens w:val="0"/>
              <w:spacing w:before="40" w:after="40" w:line="220" w:lineRule="exact"/>
              <w:ind w:right="113"/>
              <w:rPr>
                <w:sz w:val="18"/>
                <w:szCs w:val="16"/>
              </w:rPr>
            </w:pPr>
            <w:r w:rsidRPr="009966B9">
              <w:rPr>
                <w:sz w:val="18"/>
                <w:szCs w:val="16"/>
              </w:rPr>
              <w:t>5-9</w:t>
            </w:r>
          </w:p>
        </w:tc>
        <w:tc>
          <w:tcPr>
            <w:tcW w:w="986" w:type="dxa"/>
            <w:shd w:val="clear" w:color="auto" w:fill="auto"/>
            <w:vAlign w:val="bottom"/>
          </w:tcPr>
          <w:p w:rsidR="004B0C37" w:rsidRPr="009966B9" w:rsidRDefault="004B0C37" w:rsidP="009966B9">
            <w:pPr>
              <w:suppressAutoHyphens w:val="0"/>
              <w:spacing w:before="40" w:after="40" w:line="220" w:lineRule="exact"/>
              <w:ind w:right="113"/>
              <w:jc w:val="right"/>
              <w:rPr>
                <w:sz w:val="18"/>
                <w:szCs w:val="16"/>
                <w:lang w:val="en-US" w:bidi="ar-QA"/>
              </w:rPr>
            </w:pPr>
            <w:r w:rsidRPr="009966B9">
              <w:rPr>
                <w:sz w:val="18"/>
                <w:szCs w:val="16"/>
                <w:lang w:val="en-US" w:bidi="ar-QA"/>
              </w:rPr>
              <w:t>47 203</w:t>
            </w:r>
          </w:p>
        </w:tc>
        <w:tc>
          <w:tcPr>
            <w:tcW w:w="951" w:type="dxa"/>
            <w:shd w:val="clear" w:color="auto" w:fill="auto"/>
            <w:vAlign w:val="bottom"/>
          </w:tcPr>
          <w:p w:rsidR="004B0C37" w:rsidRPr="009966B9" w:rsidRDefault="004B0C37" w:rsidP="009966B9">
            <w:pPr>
              <w:suppressAutoHyphens w:val="0"/>
              <w:spacing w:before="40" w:after="40" w:line="220" w:lineRule="exact"/>
              <w:ind w:right="113"/>
              <w:jc w:val="right"/>
              <w:rPr>
                <w:sz w:val="18"/>
                <w:szCs w:val="16"/>
                <w:lang w:val="en-US" w:bidi="ar-QA"/>
              </w:rPr>
            </w:pPr>
            <w:r w:rsidRPr="009966B9">
              <w:rPr>
                <w:sz w:val="18"/>
                <w:szCs w:val="16"/>
                <w:lang w:val="en-US" w:bidi="ar-QA"/>
              </w:rPr>
              <w:t>45 414</w:t>
            </w:r>
          </w:p>
        </w:tc>
        <w:tc>
          <w:tcPr>
            <w:tcW w:w="986" w:type="dxa"/>
            <w:shd w:val="clear" w:color="auto" w:fill="auto"/>
            <w:vAlign w:val="bottom"/>
          </w:tcPr>
          <w:p w:rsidR="004B0C37" w:rsidRPr="009966B9" w:rsidRDefault="004B0C37" w:rsidP="009966B9">
            <w:pPr>
              <w:suppressAutoHyphens w:val="0"/>
              <w:spacing w:before="40" w:after="40" w:line="220" w:lineRule="exact"/>
              <w:ind w:right="113"/>
              <w:jc w:val="right"/>
              <w:rPr>
                <w:sz w:val="18"/>
                <w:szCs w:val="16"/>
                <w:lang w:val="en-US" w:bidi="ar-QA"/>
              </w:rPr>
            </w:pPr>
            <w:r w:rsidRPr="009966B9">
              <w:rPr>
                <w:sz w:val="18"/>
                <w:szCs w:val="16"/>
                <w:lang w:val="en-US" w:bidi="ar-QA"/>
              </w:rPr>
              <w:t>92 617</w:t>
            </w:r>
          </w:p>
        </w:tc>
        <w:tc>
          <w:tcPr>
            <w:tcW w:w="986" w:type="dxa"/>
            <w:shd w:val="clear" w:color="auto" w:fill="auto"/>
            <w:vAlign w:val="bottom"/>
          </w:tcPr>
          <w:p w:rsidR="004B0C37" w:rsidRPr="009966B9" w:rsidRDefault="004B0C37" w:rsidP="009966B9">
            <w:pPr>
              <w:suppressAutoHyphens w:val="0"/>
              <w:spacing w:before="40" w:after="40" w:line="220" w:lineRule="exact"/>
              <w:ind w:right="113"/>
              <w:jc w:val="right"/>
              <w:rPr>
                <w:sz w:val="18"/>
                <w:szCs w:val="16"/>
                <w:lang w:val="en-US" w:bidi="ar-QA"/>
              </w:rPr>
            </w:pPr>
            <w:r w:rsidRPr="009966B9">
              <w:rPr>
                <w:sz w:val="18"/>
                <w:szCs w:val="16"/>
                <w:lang w:val="en-US" w:bidi="ar-QA"/>
              </w:rPr>
              <w:t>51 931</w:t>
            </w:r>
          </w:p>
        </w:tc>
        <w:tc>
          <w:tcPr>
            <w:tcW w:w="888" w:type="dxa"/>
            <w:shd w:val="clear" w:color="auto" w:fill="auto"/>
            <w:vAlign w:val="bottom"/>
          </w:tcPr>
          <w:p w:rsidR="004B0C37" w:rsidRPr="009966B9" w:rsidRDefault="004B0C37" w:rsidP="009966B9">
            <w:pPr>
              <w:suppressAutoHyphens w:val="0"/>
              <w:spacing w:before="40" w:after="40" w:line="220" w:lineRule="exact"/>
              <w:ind w:right="113"/>
              <w:jc w:val="right"/>
              <w:rPr>
                <w:sz w:val="18"/>
                <w:szCs w:val="16"/>
                <w:lang w:val="en-US" w:bidi="ar-QA"/>
              </w:rPr>
            </w:pPr>
            <w:r w:rsidRPr="009966B9">
              <w:rPr>
                <w:sz w:val="18"/>
                <w:szCs w:val="16"/>
                <w:lang w:val="en-US" w:bidi="ar-QA"/>
              </w:rPr>
              <w:t>50 047</w:t>
            </w:r>
          </w:p>
        </w:tc>
        <w:tc>
          <w:tcPr>
            <w:tcW w:w="856" w:type="dxa"/>
            <w:shd w:val="clear" w:color="auto" w:fill="auto"/>
            <w:vAlign w:val="bottom"/>
          </w:tcPr>
          <w:p w:rsidR="004B0C37" w:rsidRPr="009966B9" w:rsidRDefault="004B0C37" w:rsidP="009966B9">
            <w:pPr>
              <w:suppressAutoHyphens w:val="0"/>
              <w:spacing w:before="40" w:after="40" w:line="220" w:lineRule="exact"/>
              <w:ind w:right="113"/>
              <w:jc w:val="right"/>
              <w:rPr>
                <w:sz w:val="18"/>
                <w:szCs w:val="16"/>
                <w:lang w:val="en-US" w:bidi="ar-QA"/>
              </w:rPr>
            </w:pPr>
            <w:r w:rsidRPr="009966B9">
              <w:rPr>
                <w:sz w:val="18"/>
                <w:szCs w:val="16"/>
                <w:lang w:val="en-US" w:bidi="ar-QA"/>
              </w:rPr>
              <w:t>101 978</w:t>
            </w:r>
          </w:p>
        </w:tc>
        <w:tc>
          <w:tcPr>
            <w:tcW w:w="856" w:type="dxa"/>
            <w:shd w:val="clear" w:color="auto" w:fill="auto"/>
            <w:vAlign w:val="bottom"/>
          </w:tcPr>
          <w:p w:rsidR="004B0C37" w:rsidRPr="009966B9" w:rsidRDefault="004B0C37" w:rsidP="009966B9">
            <w:pPr>
              <w:suppressAutoHyphens w:val="0"/>
              <w:spacing w:before="40" w:after="40" w:line="220" w:lineRule="exact"/>
              <w:ind w:right="113"/>
              <w:jc w:val="right"/>
              <w:rPr>
                <w:sz w:val="18"/>
                <w:szCs w:val="16"/>
                <w:lang w:val="en-US" w:bidi="ar-QA"/>
              </w:rPr>
            </w:pPr>
            <w:r w:rsidRPr="009966B9">
              <w:rPr>
                <w:sz w:val="18"/>
                <w:szCs w:val="16"/>
                <w:lang w:val="en-US" w:bidi="ar-QA"/>
              </w:rPr>
              <w:t>66 648</w:t>
            </w:r>
          </w:p>
        </w:tc>
        <w:tc>
          <w:tcPr>
            <w:tcW w:w="882" w:type="dxa"/>
            <w:shd w:val="clear" w:color="auto" w:fill="auto"/>
            <w:vAlign w:val="bottom"/>
          </w:tcPr>
          <w:p w:rsidR="004B0C37" w:rsidRPr="009966B9" w:rsidRDefault="004B0C37" w:rsidP="009966B9">
            <w:pPr>
              <w:suppressAutoHyphens w:val="0"/>
              <w:spacing w:before="40" w:after="40" w:line="220" w:lineRule="exact"/>
              <w:ind w:right="113"/>
              <w:jc w:val="right"/>
              <w:rPr>
                <w:sz w:val="18"/>
                <w:szCs w:val="16"/>
                <w:lang w:val="en-US" w:bidi="ar-QA"/>
              </w:rPr>
            </w:pPr>
            <w:r w:rsidRPr="009966B9">
              <w:rPr>
                <w:sz w:val="18"/>
                <w:szCs w:val="16"/>
                <w:lang w:val="en-US" w:bidi="ar-QA"/>
              </w:rPr>
              <w:t>64 071</w:t>
            </w:r>
          </w:p>
        </w:tc>
        <w:tc>
          <w:tcPr>
            <w:tcW w:w="856" w:type="dxa"/>
            <w:shd w:val="clear" w:color="auto" w:fill="auto"/>
            <w:vAlign w:val="bottom"/>
          </w:tcPr>
          <w:p w:rsidR="004B0C37" w:rsidRPr="009966B9" w:rsidRDefault="004B0C37" w:rsidP="009966B9">
            <w:pPr>
              <w:suppressAutoHyphens w:val="0"/>
              <w:spacing w:before="40" w:after="40" w:line="220" w:lineRule="exact"/>
              <w:ind w:right="113"/>
              <w:jc w:val="right"/>
              <w:rPr>
                <w:sz w:val="18"/>
                <w:szCs w:val="16"/>
                <w:lang w:val="en-US" w:bidi="ar-QA"/>
              </w:rPr>
            </w:pPr>
            <w:r w:rsidRPr="009966B9">
              <w:rPr>
                <w:sz w:val="18"/>
                <w:szCs w:val="16"/>
                <w:lang w:val="en-US" w:bidi="ar-QA"/>
              </w:rPr>
              <w:t>130 719</w:t>
            </w:r>
          </w:p>
        </w:tc>
      </w:tr>
      <w:tr w:rsidR="004B0C37" w:rsidRPr="009966B9" w:rsidTr="0035667A">
        <w:tc>
          <w:tcPr>
            <w:tcW w:w="769" w:type="dxa"/>
            <w:shd w:val="clear" w:color="auto" w:fill="auto"/>
          </w:tcPr>
          <w:p w:rsidR="004B0C37" w:rsidRPr="009966B9" w:rsidRDefault="004B0C37" w:rsidP="009966B9">
            <w:pPr>
              <w:suppressAutoHyphens w:val="0"/>
              <w:spacing w:before="40" w:after="40" w:line="220" w:lineRule="exact"/>
              <w:ind w:right="113"/>
              <w:rPr>
                <w:sz w:val="18"/>
                <w:szCs w:val="16"/>
              </w:rPr>
            </w:pPr>
            <w:r w:rsidRPr="009966B9">
              <w:rPr>
                <w:sz w:val="18"/>
                <w:szCs w:val="16"/>
              </w:rPr>
              <w:t>10-14</w:t>
            </w:r>
          </w:p>
        </w:tc>
        <w:tc>
          <w:tcPr>
            <w:tcW w:w="986" w:type="dxa"/>
            <w:shd w:val="clear" w:color="auto" w:fill="auto"/>
            <w:vAlign w:val="bottom"/>
          </w:tcPr>
          <w:p w:rsidR="004B0C37" w:rsidRPr="009966B9" w:rsidRDefault="004B0C37" w:rsidP="009966B9">
            <w:pPr>
              <w:suppressAutoHyphens w:val="0"/>
              <w:spacing w:before="40" w:after="40" w:line="220" w:lineRule="exact"/>
              <w:ind w:right="113"/>
              <w:jc w:val="right"/>
              <w:rPr>
                <w:sz w:val="18"/>
                <w:szCs w:val="16"/>
                <w:lang w:val="en-US" w:bidi="ar-QA"/>
              </w:rPr>
            </w:pPr>
            <w:r w:rsidRPr="009966B9">
              <w:rPr>
                <w:sz w:val="18"/>
                <w:szCs w:val="16"/>
                <w:lang w:val="en-US" w:bidi="ar-QA"/>
              </w:rPr>
              <w:t>37 178</w:t>
            </w:r>
          </w:p>
        </w:tc>
        <w:tc>
          <w:tcPr>
            <w:tcW w:w="951" w:type="dxa"/>
            <w:shd w:val="clear" w:color="auto" w:fill="auto"/>
            <w:vAlign w:val="bottom"/>
          </w:tcPr>
          <w:p w:rsidR="004B0C37" w:rsidRPr="009966B9" w:rsidRDefault="004B0C37" w:rsidP="009966B9">
            <w:pPr>
              <w:suppressAutoHyphens w:val="0"/>
              <w:spacing w:before="40" w:after="40" w:line="220" w:lineRule="exact"/>
              <w:ind w:right="113"/>
              <w:jc w:val="right"/>
              <w:rPr>
                <w:sz w:val="18"/>
                <w:szCs w:val="16"/>
                <w:lang w:val="en-US" w:bidi="ar-QA"/>
              </w:rPr>
            </w:pPr>
            <w:r w:rsidRPr="009966B9">
              <w:rPr>
                <w:sz w:val="18"/>
                <w:szCs w:val="16"/>
                <w:lang w:val="en-US" w:bidi="ar-QA"/>
              </w:rPr>
              <w:t>35 166</w:t>
            </w:r>
          </w:p>
        </w:tc>
        <w:tc>
          <w:tcPr>
            <w:tcW w:w="986" w:type="dxa"/>
            <w:shd w:val="clear" w:color="auto" w:fill="auto"/>
            <w:vAlign w:val="bottom"/>
          </w:tcPr>
          <w:p w:rsidR="004B0C37" w:rsidRPr="009966B9" w:rsidRDefault="004B0C37" w:rsidP="009966B9">
            <w:pPr>
              <w:suppressAutoHyphens w:val="0"/>
              <w:spacing w:before="40" w:after="40" w:line="220" w:lineRule="exact"/>
              <w:ind w:right="113"/>
              <w:jc w:val="right"/>
              <w:rPr>
                <w:sz w:val="18"/>
                <w:szCs w:val="16"/>
                <w:lang w:val="en-US" w:bidi="ar-QA"/>
              </w:rPr>
            </w:pPr>
            <w:r w:rsidRPr="009966B9">
              <w:rPr>
                <w:sz w:val="18"/>
                <w:szCs w:val="16"/>
                <w:lang w:val="en-US" w:bidi="ar-QA"/>
              </w:rPr>
              <w:t>72 344</w:t>
            </w:r>
          </w:p>
        </w:tc>
        <w:tc>
          <w:tcPr>
            <w:tcW w:w="986" w:type="dxa"/>
            <w:shd w:val="clear" w:color="auto" w:fill="auto"/>
            <w:vAlign w:val="bottom"/>
          </w:tcPr>
          <w:p w:rsidR="004B0C37" w:rsidRPr="009966B9" w:rsidRDefault="004B0C37" w:rsidP="009966B9">
            <w:pPr>
              <w:suppressAutoHyphens w:val="0"/>
              <w:spacing w:before="40" w:after="40" w:line="220" w:lineRule="exact"/>
              <w:ind w:right="113"/>
              <w:jc w:val="right"/>
              <w:rPr>
                <w:sz w:val="18"/>
                <w:szCs w:val="16"/>
                <w:lang w:val="en-US" w:bidi="ar-QA"/>
              </w:rPr>
            </w:pPr>
            <w:r w:rsidRPr="009966B9">
              <w:rPr>
                <w:sz w:val="18"/>
                <w:szCs w:val="16"/>
                <w:lang w:val="en-US" w:bidi="ar-QA"/>
              </w:rPr>
              <w:t>40 611</w:t>
            </w:r>
          </w:p>
        </w:tc>
        <w:tc>
          <w:tcPr>
            <w:tcW w:w="888" w:type="dxa"/>
            <w:shd w:val="clear" w:color="auto" w:fill="auto"/>
            <w:vAlign w:val="bottom"/>
          </w:tcPr>
          <w:p w:rsidR="004B0C37" w:rsidRPr="009966B9" w:rsidRDefault="004B0C37" w:rsidP="009966B9">
            <w:pPr>
              <w:suppressAutoHyphens w:val="0"/>
              <w:spacing w:before="40" w:after="40" w:line="220" w:lineRule="exact"/>
              <w:ind w:right="113"/>
              <w:jc w:val="right"/>
              <w:rPr>
                <w:sz w:val="18"/>
                <w:szCs w:val="16"/>
                <w:lang w:val="en-US" w:bidi="ar-QA"/>
              </w:rPr>
            </w:pPr>
            <w:r w:rsidRPr="009966B9">
              <w:rPr>
                <w:sz w:val="18"/>
                <w:szCs w:val="16"/>
                <w:lang w:val="en-US" w:bidi="ar-QA"/>
              </w:rPr>
              <w:t>38 519</w:t>
            </w:r>
          </w:p>
        </w:tc>
        <w:tc>
          <w:tcPr>
            <w:tcW w:w="856" w:type="dxa"/>
            <w:shd w:val="clear" w:color="auto" w:fill="auto"/>
            <w:vAlign w:val="bottom"/>
          </w:tcPr>
          <w:p w:rsidR="004B0C37" w:rsidRPr="009966B9" w:rsidRDefault="004B0C37" w:rsidP="009966B9">
            <w:pPr>
              <w:suppressAutoHyphens w:val="0"/>
              <w:spacing w:before="40" w:after="40" w:line="220" w:lineRule="exact"/>
              <w:ind w:right="113"/>
              <w:jc w:val="right"/>
              <w:rPr>
                <w:sz w:val="18"/>
                <w:szCs w:val="16"/>
                <w:lang w:val="en-US" w:bidi="ar-QA"/>
              </w:rPr>
            </w:pPr>
            <w:r w:rsidRPr="009966B9">
              <w:rPr>
                <w:sz w:val="18"/>
                <w:szCs w:val="16"/>
                <w:lang w:val="en-US" w:bidi="ar-QA"/>
              </w:rPr>
              <w:t>79 130</w:t>
            </w:r>
          </w:p>
        </w:tc>
        <w:tc>
          <w:tcPr>
            <w:tcW w:w="856" w:type="dxa"/>
            <w:shd w:val="clear" w:color="auto" w:fill="auto"/>
            <w:vAlign w:val="bottom"/>
          </w:tcPr>
          <w:p w:rsidR="004B0C37" w:rsidRPr="009966B9" w:rsidRDefault="004B0C37" w:rsidP="009966B9">
            <w:pPr>
              <w:suppressAutoHyphens w:val="0"/>
              <w:spacing w:before="40" w:after="40" w:line="220" w:lineRule="exact"/>
              <w:ind w:right="113"/>
              <w:jc w:val="right"/>
              <w:rPr>
                <w:sz w:val="18"/>
                <w:szCs w:val="16"/>
                <w:lang w:val="en-US" w:bidi="ar-QA"/>
              </w:rPr>
            </w:pPr>
            <w:r w:rsidRPr="009966B9">
              <w:rPr>
                <w:sz w:val="18"/>
                <w:szCs w:val="16"/>
                <w:lang w:val="en-US" w:bidi="ar-QA"/>
              </w:rPr>
              <w:t>50 983</w:t>
            </w:r>
          </w:p>
        </w:tc>
        <w:tc>
          <w:tcPr>
            <w:tcW w:w="882" w:type="dxa"/>
            <w:shd w:val="clear" w:color="auto" w:fill="auto"/>
            <w:vAlign w:val="bottom"/>
          </w:tcPr>
          <w:p w:rsidR="004B0C37" w:rsidRPr="009966B9" w:rsidRDefault="004B0C37" w:rsidP="009966B9">
            <w:pPr>
              <w:suppressAutoHyphens w:val="0"/>
              <w:spacing w:before="40" w:after="40" w:line="220" w:lineRule="exact"/>
              <w:ind w:right="113"/>
              <w:jc w:val="right"/>
              <w:rPr>
                <w:sz w:val="18"/>
                <w:szCs w:val="16"/>
                <w:lang w:val="en-US" w:bidi="ar-QA"/>
              </w:rPr>
            </w:pPr>
            <w:r w:rsidRPr="009966B9">
              <w:rPr>
                <w:sz w:val="18"/>
                <w:szCs w:val="16"/>
                <w:lang w:val="en-US" w:bidi="ar-QA"/>
              </w:rPr>
              <w:t>48 601</w:t>
            </w:r>
          </w:p>
        </w:tc>
        <w:tc>
          <w:tcPr>
            <w:tcW w:w="856" w:type="dxa"/>
            <w:shd w:val="clear" w:color="auto" w:fill="auto"/>
            <w:vAlign w:val="bottom"/>
          </w:tcPr>
          <w:p w:rsidR="004B0C37" w:rsidRPr="009966B9" w:rsidRDefault="004B0C37" w:rsidP="009966B9">
            <w:pPr>
              <w:suppressAutoHyphens w:val="0"/>
              <w:spacing w:before="40" w:after="40" w:line="220" w:lineRule="exact"/>
              <w:ind w:right="113"/>
              <w:jc w:val="right"/>
              <w:rPr>
                <w:sz w:val="18"/>
                <w:szCs w:val="16"/>
                <w:lang w:val="en-US" w:bidi="ar-QA"/>
              </w:rPr>
            </w:pPr>
            <w:r w:rsidRPr="009966B9">
              <w:rPr>
                <w:sz w:val="18"/>
                <w:szCs w:val="16"/>
                <w:lang w:val="en-US" w:bidi="ar-QA"/>
              </w:rPr>
              <w:t>99 584</w:t>
            </w:r>
          </w:p>
        </w:tc>
      </w:tr>
      <w:tr w:rsidR="004B0C37" w:rsidRPr="009966B9" w:rsidTr="0035667A">
        <w:tc>
          <w:tcPr>
            <w:tcW w:w="769" w:type="dxa"/>
            <w:shd w:val="clear" w:color="auto" w:fill="auto"/>
          </w:tcPr>
          <w:p w:rsidR="004B0C37" w:rsidRPr="009966B9" w:rsidRDefault="004B0C37" w:rsidP="009966B9">
            <w:pPr>
              <w:suppressAutoHyphens w:val="0"/>
              <w:spacing w:before="40" w:after="40" w:line="220" w:lineRule="exact"/>
              <w:ind w:right="113"/>
              <w:rPr>
                <w:sz w:val="18"/>
                <w:szCs w:val="16"/>
              </w:rPr>
            </w:pPr>
            <w:r w:rsidRPr="009966B9">
              <w:rPr>
                <w:sz w:val="18"/>
                <w:szCs w:val="16"/>
              </w:rPr>
              <w:t>15-19</w:t>
            </w:r>
          </w:p>
        </w:tc>
        <w:tc>
          <w:tcPr>
            <w:tcW w:w="986" w:type="dxa"/>
            <w:shd w:val="clear" w:color="auto" w:fill="auto"/>
            <w:vAlign w:val="bottom"/>
          </w:tcPr>
          <w:p w:rsidR="004B0C37" w:rsidRPr="009966B9" w:rsidRDefault="004B0C37" w:rsidP="009966B9">
            <w:pPr>
              <w:suppressAutoHyphens w:val="0"/>
              <w:spacing w:before="40" w:after="40" w:line="220" w:lineRule="exact"/>
              <w:ind w:right="113"/>
              <w:jc w:val="right"/>
              <w:rPr>
                <w:sz w:val="18"/>
                <w:szCs w:val="16"/>
                <w:lang w:val="en-US" w:bidi="ar-QA"/>
              </w:rPr>
            </w:pPr>
            <w:r w:rsidRPr="009966B9">
              <w:rPr>
                <w:sz w:val="18"/>
                <w:szCs w:val="16"/>
                <w:lang w:val="en-US" w:bidi="ar-QA"/>
              </w:rPr>
              <w:t>40 810</w:t>
            </w:r>
          </w:p>
        </w:tc>
        <w:tc>
          <w:tcPr>
            <w:tcW w:w="951" w:type="dxa"/>
            <w:shd w:val="clear" w:color="auto" w:fill="auto"/>
            <w:vAlign w:val="bottom"/>
          </w:tcPr>
          <w:p w:rsidR="004B0C37" w:rsidRPr="009966B9" w:rsidRDefault="004B0C37" w:rsidP="009966B9">
            <w:pPr>
              <w:suppressAutoHyphens w:val="0"/>
              <w:spacing w:before="40" w:after="40" w:line="220" w:lineRule="exact"/>
              <w:ind w:right="113"/>
              <w:jc w:val="right"/>
              <w:rPr>
                <w:sz w:val="18"/>
                <w:szCs w:val="16"/>
                <w:lang w:val="en-US" w:bidi="ar-QA"/>
              </w:rPr>
            </w:pPr>
            <w:r w:rsidRPr="009966B9">
              <w:rPr>
                <w:sz w:val="18"/>
                <w:szCs w:val="16"/>
                <w:lang w:val="en-US" w:bidi="ar-QA"/>
              </w:rPr>
              <w:t>27 839</w:t>
            </w:r>
          </w:p>
        </w:tc>
        <w:tc>
          <w:tcPr>
            <w:tcW w:w="986" w:type="dxa"/>
            <w:shd w:val="clear" w:color="auto" w:fill="auto"/>
            <w:vAlign w:val="bottom"/>
          </w:tcPr>
          <w:p w:rsidR="004B0C37" w:rsidRPr="009966B9" w:rsidRDefault="004B0C37" w:rsidP="009966B9">
            <w:pPr>
              <w:suppressAutoHyphens w:val="0"/>
              <w:spacing w:before="40" w:after="40" w:line="220" w:lineRule="exact"/>
              <w:ind w:right="113"/>
              <w:jc w:val="right"/>
              <w:rPr>
                <w:sz w:val="18"/>
                <w:szCs w:val="16"/>
                <w:lang w:val="en-US" w:bidi="ar-QA"/>
              </w:rPr>
            </w:pPr>
            <w:r w:rsidRPr="009966B9">
              <w:rPr>
                <w:sz w:val="18"/>
                <w:szCs w:val="16"/>
                <w:lang w:val="en-US" w:bidi="ar-QA"/>
              </w:rPr>
              <w:t>68 649</w:t>
            </w:r>
          </w:p>
        </w:tc>
        <w:tc>
          <w:tcPr>
            <w:tcW w:w="986" w:type="dxa"/>
            <w:shd w:val="clear" w:color="auto" w:fill="auto"/>
            <w:vAlign w:val="bottom"/>
          </w:tcPr>
          <w:p w:rsidR="004B0C37" w:rsidRPr="009966B9" w:rsidRDefault="004B0C37" w:rsidP="009966B9">
            <w:pPr>
              <w:suppressAutoHyphens w:val="0"/>
              <w:spacing w:before="40" w:after="40" w:line="220" w:lineRule="exact"/>
              <w:ind w:right="113"/>
              <w:jc w:val="right"/>
              <w:rPr>
                <w:sz w:val="18"/>
                <w:szCs w:val="16"/>
                <w:lang w:val="en-US" w:bidi="ar-QA"/>
              </w:rPr>
            </w:pPr>
            <w:r w:rsidRPr="009966B9">
              <w:rPr>
                <w:sz w:val="18"/>
                <w:szCs w:val="16"/>
                <w:lang w:val="en-US" w:bidi="ar-QA"/>
              </w:rPr>
              <w:t>41 421</w:t>
            </w:r>
          </w:p>
        </w:tc>
        <w:tc>
          <w:tcPr>
            <w:tcW w:w="888" w:type="dxa"/>
            <w:shd w:val="clear" w:color="auto" w:fill="auto"/>
            <w:vAlign w:val="bottom"/>
          </w:tcPr>
          <w:p w:rsidR="004B0C37" w:rsidRPr="009966B9" w:rsidRDefault="004B0C37" w:rsidP="009966B9">
            <w:pPr>
              <w:suppressAutoHyphens w:val="0"/>
              <w:spacing w:before="40" w:after="40" w:line="220" w:lineRule="exact"/>
              <w:ind w:right="113"/>
              <w:jc w:val="right"/>
              <w:rPr>
                <w:sz w:val="18"/>
                <w:szCs w:val="16"/>
                <w:lang w:val="en-US" w:bidi="ar-QA"/>
              </w:rPr>
            </w:pPr>
            <w:r w:rsidRPr="009966B9">
              <w:rPr>
                <w:sz w:val="18"/>
                <w:szCs w:val="16"/>
                <w:lang w:val="en-US" w:bidi="ar-QA"/>
              </w:rPr>
              <w:t>29 121</w:t>
            </w:r>
          </w:p>
        </w:tc>
        <w:tc>
          <w:tcPr>
            <w:tcW w:w="856" w:type="dxa"/>
            <w:shd w:val="clear" w:color="auto" w:fill="auto"/>
            <w:vAlign w:val="bottom"/>
          </w:tcPr>
          <w:p w:rsidR="004B0C37" w:rsidRPr="009966B9" w:rsidRDefault="004B0C37" w:rsidP="009966B9">
            <w:pPr>
              <w:suppressAutoHyphens w:val="0"/>
              <w:spacing w:before="40" w:after="40" w:line="220" w:lineRule="exact"/>
              <w:ind w:right="113"/>
              <w:jc w:val="right"/>
              <w:rPr>
                <w:sz w:val="18"/>
                <w:szCs w:val="16"/>
                <w:lang w:val="en-US" w:bidi="ar-QA"/>
              </w:rPr>
            </w:pPr>
            <w:r w:rsidRPr="009966B9">
              <w:rPr>
                <w:sz w:val="18"/>
                <w:szCs w:val="16"/>
                <w:lang w:val="en-US" w:bidi="ar-QA"/>
              </w:rPr>
              <w:t>70 542</w:t>
            </w:r>
          </w:p>
        </w:tc>
        <w:tc>
          <w:tcPr>
            <w:tcW w:w="856" w:type="dxa"/>
            <w:shd w:val="clear" w:color="auto" w:fill="auto"/>
            <w:vAlign w:val="bottom"/>
          </w:tcPr>
          <w:p w:rsidR="004B0C37" w:rsidRPr="009966B9" w:rsidRDefault="004B0C37" w:rsidP="009966B9">
            <w:pPr>
              <w:suppressAutoHyphens w:val="0"/>
              <w:spacing w:before="40" w:after="40" w:line="220" w:lineRule="exact"/>
              <w:ind w:right="113"/>
              <w:jc w:val="right"/>
              <w:rPr>
                <w:sz w:val="18"/>
                <w:szCs w:val="16"/>
                <w:lang w:val="en-US" w:bidi="ar-QA"/>
              </w:rPr>
            </w:pPr>
            <w:r w:rsidRPr="009966B9">
              <w:rPr>
                <w:sz w:val="18"/>
                <w:szCs w:val="16"/>
                <w:lang w:val="en-US" w:bidi="ar-QA"/>
              </w:rPr>
              <w:t>44 857</w:t>
            </w:r>
          </w:p>
        </w:tc>
        <w:tc>
          <w:tcPr>
            <w:tcW w:w="882" w:type="dxa"/>
            <w:shd w:val="clear" w:color="auto" w:fill="auto"/>
            <w:vAlign w:val="bottom"/>
          </w:tcPr>
          <w:p w:rsidR="004B0C37" w:rsidRPr="009966B9" w:rsidRDefault="004B0C37" w:rsidP="009966B9">
            <w:pPr>
              <w:suppressAutoHyphens w:val="0"/>
              <w:spacing w:before="40" w:after="40" w:line="220" w:lineRule="exact"/>
              <w:ind w:right="113"/>
              <w:jc w:val="right"/>
              <w:rPr>
                <w:sz w:val="18"/>
                <w:szCs w:val="16"/>
                <w:lang w:val="en-US" w:bidi="ar-QA"/>
              </w:rPr>
            </w:pPr>
            <w:r w:rsidRPr="009966B9">
              <w:rPr>
                <w:sz w:val="18"/>
                <w:szCs w:val="16"/>
                <w:lang w:val="en-US" w:bidi="ar-QA"/>
              </w:rPr>
              <w:t>33 724</w:t>
            </w:r>
          </w:p>
        </w:tc>
        <w:tc>
          <w:tcPr>
            <w:tcW w:w="856" w:type="dxa"/>
            <w:shd w:val="clear" w:color="auto" w:fill="auto"/>
            <w:vAlign w:val="bottom"/>
          </w:tcPr>
          <w:p w:rsidR="004B0C37" w:rsidRPr="009966B9" w:rsidRDefault="004B0C37" w:rsidP="009966B9">
            <w:pPr>
              <w:suppressAutoHyphens w:val="0"/>
              <w:spacing w:before="40" w:after="40" w:line="220" w:lineRule="exact"/>
              <w:ind w:right="113"/>
              <w:jc w:val="right"/>
              <w:rPr>
                <w:sz w:val="18"/>
                <w:szCs w:val="16"/>
                <w:lang w:val="en-US" w:bidi="ar-QA"/>
              </w:rPr>
            </w:pPr>
            <w:r w:rsidRPr="009966B9">
              <w:rPr>
                <w:sz w:val="18"/>
                <w:szCs w:val="16"/>
                <w:lang w:val="en-US" w:bidi="ar-QA"/>
              </w:rPr>
              <w:t>78 581</w:t>
            </w:r>
          </w:p>
        </w:tc>
      </w:tr>
      <w:tr w:rsidR="004B0C37" w:rsidRPr="009966B9" w:rsidTr="0035667A">
        <w:tc>
          <w:tcPr>
            <w:tcW w:w="769" w:type="dxa"/>
            <w:shd w:val="clear" w:color="auto" w:fill="auto"/>
          </w:tcPr>
          <w:p w:rsidR="004B0C37" w:rsidRPr="009966B9" w:rsidRDefault="004B0C37" w:rsidP="009966B9">
            <w:pPr>
              <w:suppressAutoHyphens w:val="0"/>
              <w:spacing w:before="40" w:after="40" w:line="220" w:lineRule="exact"/>
              <w:ind w:right="113"/>
              <w:rPr>
                <w:sz w:val="18"/>
                <w:szCs w:val="16"/>
              </w:rPr>
            </w:pPr>
            <w:r w:rsidRPr="009966B9">
              <w:rPr>
                <w:sz w:val="18"/>
                <w:szCs w:val="16"/>
              </w:rPr>
              <w:t>20-24</w:t>
            </w:r>
          </w:p>
        </w:tc>
        <w:tc>
          <w:tcPr>
            <w:tcW w:w="986" w:type="dxa"/>
            <w:shd w:val="clear" w:color="auto" w:fill="auto"/>
            <w:vAlign w:val="bottom"/>
          </w:tcPr>
          <w:p w:rsidR="004B0C37" w:rsidRPr="009966B9" w:rsidRDefault="004B0C37" w:rsidP="009966B9">
            <w:pPr>
              <w:suppressAutoHyphens w:val="0"/>
              <w:spacing w:before="40" w:after="40" w:line="220" w:lineRule="exact"/>
              <w:ind w:right="113"/>
              <w:jc w:val="right"/>
              <w:rPr>
                <w:sz w:val="18"/>
                <w:szCs w:val="16"/>
                <w:lang w:val="en-US" w:bidi="ar-QA"/>
              </w:rPr>
            </w:pPr>
            <w:r w:rsidRPr="009966B9">
              <w:rPr>
                <w:sz w:val="18"/>
                <w:szCs w:val="16"/>
                <w:lang w:val="en-US" w:bidi="ar-QA"/>
              </w:rPr>
              <w:t>232 616</w:t>
            </w:r>
          </w:p>
        </w:tc>
        <w:tc>
          <w:tcPr>
            <w:tcW w:w="951" w:type="dxa"/>
            <w:shd w:val="clear" w:color="auto" w:fill="auto"/>
            <w:vAlign w:val="bottom"/>
          </w:tcPr>
          <w:p w:rsidR="004B0C37" w:rsidRPr="009966B9" w:rsidRDefault="004B0C37" w:rsidP="009966B9">
            <w:pPr>
              <w:suppressAutoHyphens w:val="0"/>
              <w:spacing w:before="40" w:after="40" w:line="220" w:lineRule="exact"/>
              <w:ind w:right="113"/>
              <w:jc w:val="right"/>
              <w:rPr>
                <w:sz w:val="18"/>
                <w:szCs w:val="16"/>
                <w:lang w:val="en-US" w:bidi="ar-QA"/>
              </w:rPr>
            </w:pPr>
            <w:r w:rsidRPr="009966B9">
              <w:rPr>
                <w:sz w:val="18"/>
                <w:szCs w:val="16"/>
                <w:lang w:val="en-US" w:bidi="ar-QA"/>
              </w:rPr>
              <w:t>40 361</w:t>
            </w:r>
          </w:p>
        </w:tc>
        <w:tc>
          <w:tcPr>
            <w:tcW w:w="986" w:type="dxa"/>
            <w:shd w:val="clear" w:color="auto" w:fill="auto"/>
            <w:vAlign w:val="bottom"/>
          </w:tcPr>
          <w:p w:rsidR="004B0C37" w:rsidRPr="009966B9" w:rsidRDefault="004B0C37" w:rsidP="009966B9">
            <w:pPr>
              <w:suppressAutoHyphens w:val="0"/>
              <w:spacing w:before="40" w:after="40" w:line="220" w:lineRule="exact"/>
              <w:ind w:right="113"/>
              <w:jc w:val="right"/>
              <w:rPr>
                <w:sz w:val="18"/>
                <w:szCs w:val="16"/>
                <w:lang w:val="en-US" w:bidi="ar-QA"/>
              </w:rPr>
            </w:pPr>
            <w:r w:rsidRPr="009966B9">
              <w:rPr>
                <w:sz w:val="18"/>
                <w:szCs w:val="16"/>
                <w:lang w:val="en-US" w:bidi="ar-QA"/>
              </w:rPr>
              <w:t>272 977</w:t>
            </w:r>
          </w:p>
        </w:tc>
        <w:tc>
          <w:tcPr>
            <w:tcW w:w="986" w:type="dxa"/>
            <w:shd w:val="clear" w:color="auto" w:fill="auto"/>
            <w:vAlign w:val="bottom"/>
          </w:tcPr>
          <w:p w:rsidR="004B0C37" w:rsidRPr="009966B9" w:rsidRDefault="004B0C37" w:rsidP="009966B9">
            <w:pPr>
              <w:suppressAutoHyphens w:val="0"/>
              <w:spacing w:before="40" w:after="40" w:line="220" w:lineRule="exact"/>
              <w:ind w:right="113"/>
              <w:jc w:val="right"/>
              <w:rPr>
                <w:sz w:val="18"/>
                <w:szCs w:val="16"/>
                <w:lang w:val="en-US" w:bidi="ar-QA"/>
              </w:rPr>
            </w:pPr>
            <w:r w:rsidRPr="009966B9">
              <w:rPr>
                <w:sz w:val="18"/>
                <w:szCs w:val="16"/>
                <w:lang w:val="en-US" w:bidi="ar-QA"/>
              </w:rPr>
              <w:t>228 697</w:t>
            </w:r>
          </w:p>
        </w:tc>
        <w:tc>
          <w:tcPr>
            <w:tcW w:w="888" w:type="dxa"/>
            <w:shd w:val="clear" w:color="auto" w:fill="auto"/>
            <w:vAlign w:val="bottom"/>
          </w:tcPr>
          <w:p w:rsidR="004B0C37" w:rsidRPr="009966B9" w:rsidRDefault="004B0C37" w:rsidP="009966B9">
            <w:pPr>
              <w:suppressAutoHyphens w:val="0"/>
              <w:spacing w:before="40" w:after="40" w:line="220" w:lineRule="exact"/>
              <w:ind w:right="113"/>
              <w:jc w:val="right"/>
              <w:rPr>
                <w:sz w:val="18"/>
                <w:szCs w:val="16"/>
                <w:lang w:val="en-US" w:bidi="ar-QA"/>
              </w:rPr>
            </w:pPr>
            <w:r w:rsidRPr="009966B9">
              <w:rPr>
                <w:sz w:val="18"/>
                <w:szCs w:val="16"/>
                <w:lang w:val="en-US" w:bidi="ar-QA"/>
              </w:rPr>
              <w:t>40 074</w:t>
            </w:r>
          </w:p>
        </w:tc>
        <w:tc>
          <w:tcPr>
            <w:tcW w:w="856" w:type="dxa"/>
            <w:shd w:val="clear" w:color="auto" w:fill="auto"/>
            <w:vAlign w:val="bottom"/>
          </w:tcPr>
          <w:p w:rsidR="004B0C37" w:rsidRPr="009966B9" w:rsidRDefault="004B0C37" w:rsidP="009966B9">
            <w:pPr>
              <w:suppressAutoHyphens w:val="0"/>
              <w:spacing w:before="40" w:after="40" w:line="220" w:lineRule="exact"/>
              <w:ind w:right="113"/>
              <w:jc w:val="right"/>
              <w:rPr>
                <w:sz w:val="18"/>
                <w:szCs w:val="16"/>
                <w:lang w:val="en-US" w:bidi="ar-QA"/>
              </w:rPr>
            </w:pPr>
            <w:r w:rsidRPr="009966B9">
              <w:rPr>
                <w:sz w:val="18"/>
                <w:szCs w:val="16"/>
                <w:lang w:val="en-US" w:bidi="ar-QA"/>
              </w:rPr>
              <w:t>268 771</w:t>
            </w:r>
          </w:p>
        </w:tc>
        <w:tc>
          <w:tcPr>
            <w:tcW w:w="856" w:type="dxa"/>
            <w:shd w:val="clear" w:color="auto" w:fill="auto"/>
            <w:vAlign w:val="bottom"/>
          </w:tcPr>
          <w:p w:rsidR="004B0C37" w:rsidRPr="009966B9" w:rsidRDefault="004B0C37" w:rsidP="009966B9">
            <w:pPr>
              <w:suppressAutoHyphens w:val="0"/>
              <w:spacing w:before="40" w:after="40" w:line="220" w:lineRule="exact"/>
              <w:ind w:right="113"/>
              <w:jc w:val="right"/>
              <w:rPr>
                <w:sz w:val="18"/>
                <w:szCs w:val="16"/>
                <w:lang w:val="en-US" w:bidi="ar-QA"/>
              </w:rPr>
            </w:pPr>
            <w:r w:rsidRPr="009966B9">
              <w:rPr>
                <w:sz w:val="18"/>
                <w:szCs w:val="16"/>
                <w:lang w:val="en-US" w:bidi="ar-QA"/>
              </w:rPr>
              <w:t>225 745</w:t>
            </w:r>
          </w:p>
        </w:tc>
        <w:tc>
          <w:tcPr>
            <w:tcW w:w="882" w:type="dxa"/>
            <w:shd w:val="clear" w:color="auto" w:fill="auto"/>
            <w:vAlign w:val="bottom"/>
          </w:tcPr>
          <w:p w:rsidR="004B0C37" w:rsidRPr="009966B9" w:rsidRDefault="004B0C37" w:rsidP="009966B9">
            <w:pPr>
              <w:suppressAutoHyphens w:val="0"/>
              <w:spacing w:before="40" w:after="40" w:line="220" w:lineRule="exact"/>
              <w:ind w:right="113"/>
              <w:jc w:val="right"/>
              <w:rPr>
                <w:sz w:val="18"/>
                <w:szCs w:val="16"/>
                <w:lang w:val="en-US" w:bidi="ar-QA"/>
              </w:rPr>
            </w:pPr>
            <w:r w:rsidRPr="009966B9">
              <w:rPr>
                <w:sz w:val="18"/>
                <w:szCs w:val="16"/>
                <w:lang w:val="en-US" w:bidi="ar-QA"/>
              </w:rPr>
              <w:t>42 159</w:t>
            </w:r>
          </w:p>
        </w:tc>
        <w:tc>
          <w:tcPr>
            <w:tcW w:w="856" w:type="dxa"/>
            <w:shd w:val="clear" w:color="auto" w:fill="auto"/>
            <w:vAlign w:val="bottom"/>
          </w:tcPr>
          <w:p w:rsidR="004B0C37" w:rsidRPr="009966B9" w:rsidRDefault="004B0C37" w:rsidP="009966B9">
            <w:pPr>
              <w:suppressAutoHyphens w:val="0"/>
              <w:spacing w:before="40" w:after="40" w:line="220" w:lineRule="exact"/>
              <w:ind w:right="113"/>
              <w:jc w:val="right"/>
              <w:rPr>
                <w:sz w:val="18"/>
                <w:szCs w:val="16"/>
                <w:lang w:val="en-US" w:bidi="ar-QA"/>
              </w:rPr>
            </w:pPr>
            <w:r w:rsidRPr="009966B9">
              <w:rPr>
                <w:sz w:val="18"/>
                <w:szCs w:val="16"/>
                <w:lang w:val="en-US" w:bidi="ar-QA"/>
              </w:rPr>
              <w:t>267 904</w:t>
            </w:r>
          </w:p>
        </w:tc>
      </w:tr>
      <w:tr w:rsidR="004B0C37" w:rsidRPr="009966B9" w:rsidTr="0035667A">
        <w:tc>
          <w:tcPr>
            <w:tcW w:w="769" w:type="dxa"/>
            <w:shd w:val="clear" w:color="auto" w:fill="auto"/>
          </w:tcPr>
          <w:p w:rsidR="004B0C37" w:rsidRPr="009966B9" w:rsidRDefault="004B0C37" w:rsidP="009966B9">
            <w:pPr>
              <w:suppressAutoHyphens w:val="0"/>
              <w:spacing w:before="40" w:after="40" w:line="220" w:lineRule="exact"/>
              <w:ind w:right="113"/>
              <w:rPr>
                <w:sz w:val="18"/>
                <w:szCs w:val="16"/>
              </w:rPr>
            </w:pPr>
            <w:r w:rsidRPr="009966B9">
              <w:rPr>
                <w:sz w:val="18"/>
                <w:szCs w:val="16"/>
              </w:rPr>
              <w:t>25-64</w:t>
            </w:r>
          </w:p>
        </w:tc>
        <w:tc>
          <w:tcPr>
            <w:tcW w:w="986" w:type="dxa"/>
            <w:shd w:val="clear" w:color="auto" w:fill="auto"/>
            <w:vAlign w:val="bottom"/>
          </w:tcPr>
          <w:p w:rsidR="004B0C37" w:rsidRPr="009966B9" w:rsidRDefault="004B0C37" w:rsidP="009966B9">
            <w:pPr>
              <w:suppressAutoHyphens w:val="0"/>
              <w:spacing w:before="40" w:after="40" w:line="220" w:lineRule="exact"/>
              <w:ind w:right="113"/>
              <w:jc w:val="right"/>
              <w:rPr>
                <w:sz w:val="18"/>
                <w:szCs w:val="16"/>
                <w:lang w:val="en-US" w:bidi="ar-QA"/>
              </w:rPr>
            </w:pPr>
            <w:r w:rsidRPr="009966B9">
              <w:rPr>
                <w:sz w:val="18"/>
                <w:szCs w:val="16"/>
                <w:lang w:val="en-US" w:bidi="ar-QA"/>
              </w:rPr>
              <w:t>1 494 963</w:t>
            </w:r>
          </w:p>
        </w:tc>
        <w:tc>
          <w:tcPr>
            <w:tcW w:w="951" w:type="dxa"/>
            <w:shd w:val="clear" w:color="auto" w:fill="auto"/>
            <w:vAlign w:val="bottom"/>
          </w:tcPr>
          <w:p w:rsidR="004B0C37" w:rsidRPr="009966B9" w:rsidRDefault="004B0C37" w:rsidP="009966B9">
            <w:pPr>
              <w:suppressAutoHyphens w:val="0"/>
              <w:spacing w:before="40" w:after="40" w:line="220" w:lineRule="exact"/>
              <w:ind w:right="113"/>
              <w:jc w:val="right"/>
              <w:rPr>
                <w:sz w:val="18"/>
                <w:szCs w:val="16"/>
                <w:lang w:val="en-US" w:bidi="ar-QA"/>
              </w:rPr>
            </w:pPr>
            <w:r w:rsidRPr="009966B9">
              <w:rPr>
                <w:sz w:val="18"/>
                <w:szCs w:val="16"/>
                <w:lang w:val="en-US" w:bidi="ar-QA"/>
              </w:rPr>
              <w:t>337 162</w:t>
            </w:r>
          </w:p>
        </w:tc>
        <w:tc>
          <w:tcPr>
            <w:tcW w:w="986" w:type="dxa"/>
            <w:shd w:val="clear" w:color="auto" w:fill="auto"/>
            <w:vAlign w:val="bottom"/>
          </w:tcPr>
          <w:p w:rsidR="004B0C37" w:rsidRPr="009966B9" w:rsidRDefault="004B0C37" w:rsidP="009966B9">
            <w:pPr>
              <w:suppressAutoHyphens w:val="0"/>
              <w:spacing w:before="40" w:after="40" w:line="220" w:lineRule="exact"/>
              <w:ind w:right="113"/>
              <w:jc w:val="right"/>
              <w:rPr>
                <w:sz w:val="18"/>
                <w:szCs w:val="16"/>
                <w:lang w:val="en-US" w:bidi="ar-QA"/>
              </w:rPr>
            </w:pPr>
            <w:r w:rsidRPr="009966B9">
              <w:rPr>
                <w:sz w:val="18"/>
                <w:szCs w:val="16"/>
                <w:lang w:val="en-US" w:bidi="ar-QA"/>
              </w:rPr>
              <w:t>1 832 125</w:t>
            </w:r>
          </w:p>
        </w:tc>
        <w:tc>
          <w:tcPr>
            <w:tcW w:w="986" w:type="dxa"/>
            <w:shd w:val="clear" w:color="auto" w:fill="auto"/>
            <w:vAlign w:val="bottom"/>
          </w:tcPr>
          <w:p w:rsidR="004B0C37" w:rsidRPr="009966B9" w:rsidRDefault="004B0C37" w:rsidP="009966B9">
            <w:pPr>
              <w:suppressAutoHyphens w:val="0"/>
              <w:spacing w:before="40" w:after="40" w:line="220" w:lineRule="exact"/>
              <w:ind w:right="113"/>
              <w:jc w:val="right"/>
              <w:rPr>
                <w:sz w:val="18"/>
                <w:szCs w:val="16"/>
                <w:lang w:val="en-US" w:bidi="ar-QA"/>
              </w:rPr>
            </w:pPr>
            <w:r w:rsidRPr="009966B9">
              <w:rPr>
                <w:sz w:val="18"/>
                <w:szCs w:val="16"/>
                <w:lang w:val="en-US" w:bidi="ar-QA"/>
              </w:rPr>
              <w:t>1 442 043</w:t>
            </w:r>
          </w:p>
        </w:tc>
        <w:tc>
          <w:tcPr>
            <w:tcW w:w="888" w:type="dxa"/>
            <w:shd w:val="clear" w:color="auto" w:fill="auto"/>
            <w:vAlign w:val="bottom"/>
          </w:tcPr>
          <w:p w:rsidR="004B0C37" w:rsidRPr="009966B9" w:rsidRDefault="004B0C37" w:rsidP="009966B9">
            <w:pPr>
              <w:suppressAutoHyphens w:val="0"/>
              <w:spacing w:before="40" w:after="40" w:line="220" w:lineRule="exact"/>
              <w:ind w:right="113"/>
              <w:jc w:val="right"/>
              <w:rPr>
                <w:sz w:val="18"/>
                <w:szCs w:val="16"/>
                <w:lang w:val="en-US" w:bidi="ar-QA"/>
              </w:rPr>
            </w:pPr>
            <w:r w:rsidRPr="009966B9">
              <w:rPr>
                <w:sz w:val="18"/>
                <w:szCs w:val="16"/>
                <w:lang w:val="en-US" w:bidi="ar-QA"/>
              </w:rPr>
              <w:t>347 681</w:t>
            </w:r>
          </w:p>
        </w:tc>
        <w:tc>
          <w:tcPr>
            <w:tcW w:w="856" w:type="dxa"/>
            <w:shd w:val="clear" w:color="auto" w:fill="auto"/>
            <w:vAlign w:val="bottom"/>
          </w:tcPr>
          <w:p w:rsidR="004B0C37" w:rsidRPr="009966B9" w:rsidRDefault="004B0C37" w:rsidP="009966B9">
            <w:pPr>
              <w:suppressAutoHyphens w:val="0"/>
              <w:spacing w:before="40" w:after="40" w:line="220" w:lineRule="exact"/>
              <w:ind w:right="113"/>
              <w:jc w:val="right"/>
              <w:rPr>
                <w:sz w:val="18"/>
                <w:szCs w:val="16"/>
                <w:lang w:val="en-US" w:bidi="ar-QA"/>
              </w:rPr>
            </w:pPr>
            <w:r w:rsidRPr="009966B9">
              <w:rPr>
                <w:sz w:val="18"/>
                <w:szCs w:val="16"/>
                <w:lang w:val="en-US" w:bidi="ar-QA"/>
              </w:rPr>
              <w:t>1 789 724</w:t>
            </w:r>
          </w:p>
        </w:tc>
        <w:tc>
          <w:tcPr>
            <w:tcW w:w="856" w:type="dxa"/>
            <w:shd w:val="clear" w:color="auto" w:fill="auto"/>
            <w:vAlign w:val="bottom"/>
          </w:tcPr>
          <w:p w:rsidR="004B0C37" w:rsidRPr="009966B9" w:rsidRDefault="004B0C37" w:rsidP="009966B9">
            <w:pPr>
              <w:suppressAutoHyphens w:val="0"/>
              <w:spacing w:before="40" w:after="40" w:line="220" w:lineRule="exact"/>
              <w:ind w:right="113"/>
              <w:jc w:val="right"/>
              <w:rPr>
                <w:sz w:val="18"/>
                <w:szCs w:val="16"/>
                <w:lang w:val="en-US" w:bidi="ar-QA"/>
              </w:rPr>
            </w:pPr>
            <w:r w:rsidRPr="009966B9">
              <w:rPr>
                <w:sz w:val="18"/>
                <w:szCs w:val="16"/>
                <w:lang w:val="en-US" w:bidi="ar-QA"/>
              </w:rPr>
              <w:t>1 501 086</w:t>
            </w:r>
          </w:p>
        </w:tc>
        <w:tc>
          <w:tcPr>
            <w:tcW w:w="882" w:type="dxa"/>
            <w:shd w:val="clear" w:color="auto" w:fill="auto"/>
            <w:vAlign w:val="bottom"/>
          </w:tcPr>
          <w:p w:rsidR="004B0C37" w:rsidRPr="009966B9" w:rsidRDefault="004B0C37" w:rsidP="009966B9">
            <w:pPr>
              <w:suppressAutoHyphens w:val="0"/>
              <w:spacing w:before="40" w:after="40" w:line="220" w:lineRule="exact"/>
              <w:ind w:right="113"/>
              <w:jc w:val="right"/>
              <w:rPr>
                <w:sz w:val="18"/>
                <w:szCs w:val="16"/>
                <w:lang w:val="en-US" w:bidi="ar-QA"/>
              </w:rPr>
            </w:pPr>
            <w:r w:rsidRPr="009966B9">
              <w:rPr>
                <w:sz w:val="18"/>
                <w:szCs w:val="16"/>
                <w:lang w:val="en-US" w:bidi="ar-QA"/>
              </w:rPr>
              <w:t>396 344</w:t>
            </w:r>
          </w:p>
        </w:tc>
        <w:tc>
          <w:tcPr>
            <w:tcW w:w="856" w:type="dxa"/>
            <w:shd w:val="clear" w:color="auto" w:fill="auto"/>
            <w:vAlign w:val="bottom"/>
          </w:tcPr>
          <w:p w:rsidR="004B0C37" w:rsidRPr="009966B9" w:rsidRDefault="004B0C37" w:rsidP="009966B9">
            <w:pPr>
              <w:suppressAutoHyphens w:val="0"/>
              <w:spacing w:before="40" w:after="40" w:line="220" w:lineRule="exact"/>
              <w:ind w:right="113"/>
              <w:jc w:val="right"/>
              <w:rPr>
                <w:sz w:val="18"/>
                <w:szCs w:val="16"/>
                <w:lang w:val="en-US" w:bidi="ar-QA"/>
              </w:rPr>
            </w:pPr>
            <w:r w:rsidRPr="009966B9">
              <w:rPr>
                <w:sz w:val="18"/>
                <w:szCs w:val="16"/>
                <w:lang w:val="en-US" w:bidi="ar-QA"/>
              </w:rPr>
              <w:t>1 897 430</w:t>
            </w:r>
          </w:p>
        </w:tc>
      </w:tr>
      <w:tr w:rsidR="004B0C37" w:rsidRPr="009966B9" w:rsidTr="00410641">
        <w:tc>
          <w:tcPr>
            <w:tcW w:w="769" w:type="dxa"/>
            <w:tcBorders>
              <w:bottom w:val="single" w:sz="4" w:space="0" w:color="auto"/>
            </w:tcBorders>
            <w:shd w:val="clear" w:color="auto" w:fill="auto"/>
          </w:tcPr>
          <w:p w:rsidR="004B0C37" w:rsidRPr="009966B9" w:rsidRDefault="004B0C37" w:rsidP="009966B9">
            <w:pPr>
              <w:suppressAutoHyphens w:val="0"/>
              <w:spacing w:before="40" w:after="40" w:line="220" w:lineRule="exact"/>
              <w:ind w:right="113"/>
              <w:rPr>
                <w:sz w:val="18"/>
                <w:szCs w:val="16"/>
              </w:rPr>
            </w:pPr>
            <w:r w:rsidRPr="009966B9">
              <w:rPr>
                <w:sz w:val="18"/>
                <w:szCs w:val="16"/>
              </w:rPr>
              <w:t>65+</w:t>
            </w:r>
          </w:p>
        </w:tc>
        <w:tc>
          <w:tcPr>
            <w:tcW w:w="986" w:type="dxa"/>
            <w:tcBorders>
              <w:bottom w:val="single" w:sz="4" w:space="0" w:color="auto"/>
            </w:tcBorders>
            <w:shd w:val="clear" w:color="auto" w:fill="auto"/>
            <w:vAlign w:val="bottom"/>
          </w:tcPr>
          <w:p w:rsidR="004B0C37" w:rsidRPr="009966B9" w:rsidRDefault="004B0C37" w:rsidP="009966B9">
            <w:pPr>
              <w:suppressAutoHyphens w:val="0"/>
              <w:spacing w:before="40" w:after="40" w:line="220" w:lineRule="exact"/>
              <w:ind w:right="113"/>
              <w:jc w:val="right"/>
              <w:rPr>
                <w:sz w:val="18"/>
                <w:szCs w:val="16"/>
                <w:lang w:val="en-US" w:bidi="ar-QA"/>
              </w:rPr>
            </w:pPr>
            <w:r w:rsidRPr="009966B9">
              <w:rPr>
                <w:sz w:val="18"/>
                <w:szCs w:val="16"/>
                <w:lang w:val="en-US" w:bidi="ar-QA"/>
              </w:rPr>
              <w:t>17 284</w:t>
            </w:r>
          </w:p>
        </w:tc>
        <w:tc>
          <w:tcPr>
            <w:tcW w:w="951" w:type="dxa"/>
            <w:tcBorders>
              <w:bottom w:val="single" w:sz="4" w:space="0" w:color="auto"/>
            </w:tcBorders>
            <w:shd w:val="clear" w:color="auto" w:fill="auto"/>
            <w:vAlign w:val="bottom"/>
          </w:tcPr>
          <w:p w:rsidR="004B0C37" w:rsidRPr="009966B9" w:rsidRDefault="004B0C37" w:rsidP="009966B9">
            <w:pPr>
              <w:suppressAutoHyphens w:val="0"/>
              <w:spacing w:before="40" w:after="40" w:line="220" w:lineRule="exact"/>
              <w:ind w:right="113"/>
              <w:jc w:val="right"/>
              <w:rPr>
                <w:sz w:val="18"/>
                <w:szCs w:val="16"/>
                <w:lang w:val="en-US" w:bidi="ar-QA"/>
              </w:rPr>
            </w:pPr>
            <w:r w:rsidRPr="009966B9">
              <w:rPr>
                <w:sz w:val="18"/>
                <w:szCs w:val="16"/>
                <w:lang w:val="en-US" w:bidi="ar-QA"/>
              </w:rPr>
              <w:t>10 605</w:t>
            </w:r>
          </w:p>
        </w:tc>
        <w:tc>
          <w:tcPr>
            <w:tcW w:w="986" w:type="dxa"/>
            <w:tcBorders>
              <w:bottom w:val="single" w:sz="4" w:space="0" w:color="auto"/>
            </w:tcBorders>
            <w:shd w:val="clear" w:color="auto" w:fill="auto"/>
            <w:vAlign w:val="bottom"/>
          </w:tcPr>
          <w:p w:rsidR="004B0C37" w:rsidRPr="009966B9" w:rsidRDefault="004B0C37" w:rsidP="009966B9">
            <w:pPr>
              <w:suppressAutoHyphens w:val="0"/>
              <w:spacing w:before="40" w:after="40" w:line="220" w:lineRule="exact"/>
              <w:ind w:right="113"/>
              <w:jc w:val="right"/>
              <w:rPr>
                <w:sz w:val="18"/>
                <w:szCs w:val="16"/>
                <w:lang w:val="en-US" w:bidi="ar-QA"/>
              </w:rPr>
            </w:pPr>
            <w:r w:rsidRPr="009966B9">
              <w:rPr>
                <w:sz w:val="18"/>
                <w:szCs w:val="16"/>
                <w:lang w:val="en-US" w:bidi="ar-QA"/>
              </w:rPr>
              <w:t>27 889</w:t>
            </w:r>
          </w:p>
        </w:tc>
        <w:tc>
          <w:tcPr>
            <w:tcW w:w="986" w:type="dxa"/>
            <w:tcBorders>
              <w:bottom w:val="single" w:sz="4" w:space="0" w:color="auto"/>
            </w:tcBorders>
            <w:shd w:val="clear" w:color="auto" w:fill="auto"/>
            <w:vAlign w:val="bottom"/>
          </w:tcPr>
          <w:p w:rsidR="004B0C37" w:rsidRPr="009966B9" w:rsidRDefault="004B0C37" w:rsidP="009966B9">
            <w:pPr>
              <w:suppressAutoHyphens w:val="0"/>
              <w:spacing w:before="40" w:after="40" w:line="220" w:lineRule="exact"/>
              <w:ind w:right="113"/>
              <w:jc w:val="right"/>
              <w:rPr>
                <w:sz w:val="18"/>
                <w:szCs w:val="16"/>
                <w:lang w:val="en-US" w:bidi="ar-QA"/>
              </w:rPr>
            </w:pPr>
            <w:r w:rsidRPr="009966B9">
              <w:rPr>
                <w:sz w:val="18"/>
                <w:szCs w:val="16"/>
                <w:lang w:val="en-US" w:bidi="ar-QA"/>
              </w:rPr>
              <w:t>16 497</w:t>
            </w:r>
          </w:p>
        </w:tc>
        <w:tc>
          <w:tcPr>
            <w:tcW w:w="888" w:type="dxa"/>
            <w:tcBorders>
              <w:bottom w:val="single" w:sz="4" w:space="0" w:color="auto"/>
            </w:tcBorders>
            <w:shd w:val="clear" w:color="auto" w:fill="auto"/>
            <w:vAlign w:val="bottom"/>
          </w:tcPr>
          <w:p w:rsidR="004B0C37" w:rsidRPr="009966B9" w:rsidRDefault="004B0C37" w:rsidP="009966B9">
            <w:pPr>
              <w:suppressAutoHyphens w:val="0"/>
              <w:spacing w:before="40" w:after="40" w:line="220" w:lineRule="exact"/>
              <w:ind w:right="113"/>
              <w:jc w:val="right"/>
              <w:rPr>
                <w:sz w:val="18"/>
                <w:szCs w:val="16"/>
                <w:lang w:val="en-US" w:bidi="ar-QA"/>
              </w:rPr>
            </w:pPr>
            <w:r w:rsidRPr="009966B9">
              <w:rPr>
                <w:sz w:val="18"/>
                <w:szCs w:val="16"/>
                <w:lang w:val="en-US" w:bidi="ar-QA"/>
              </w:rPr>
              <w:t>10 438</w:t>
            </w:r>
          </w:p>
        </w:tc>
        <w:tc>
          <w:tcPr>
            <w:tcW w:w="856" w:type="dxa"/>
            <w:tcBorders>
              <w:bottom w:val="single" w:sz="4" w:space="0" w:color="auto"/>
            </w:tcBorders>
            <w:shd w:val="clear" w:color="auto" w:fill="auto"/>
            <w:vAlign w:val="bottom"/>
          </w:tcPr>
          <w:p w:rsidR="004B0C37" w:rsidRPr="009966B9" w:rsidRDefault="004B0C37" w:rsidP="009966B9">
            <w:pPr>
              <w:suppressAutoHyphens w:val="0"/>
              <w:spacing w:before="40" w:after="40" w:line="220" w:lineRule="exact"/>
              <w:ind w:right="113"/>
              <w:jc w:val="right"/>
              <w:rPr>
                <w:sz w:val="18"/>
                <w:szCs w:val="16"/>
                <w:lang w:val="en-US" w:bidi="ar-QA"/>
              </w:rPr>
            </w:pPr>
            <w:r w:rsidRPr="009966B9">
              <w:rPr>
                <w:sz w:val="18"/>
                <w:szCs w:val="16"/>
                <w:lang w:val="en-US" w:bidi="ar-QA"/>
              </w:rPr>
              <w:t>26 935</w:t>
            </w:r>
          </w:p>
        </w:tc>
        <w:tc>
          <w:tcPr>
            <w:tcW w:w="856" w:type="dxa"/>
            <w:tcBorders>
              <w:bottom w:val="single" w:sz="4" w:space="0" w:color="auto"/>
            </w:tcBorders>
            <w:shd w:val="clear" w:color="auto" w:fill="auto"/>
            <w:vAlign w:val="bottom"/>
          </w:tcPr>
          <w:p w:rsidR="004B0C37" w:rsidRPr="009966B9" w:rsidRDefault="004B0C37" w:rsidP="009966B9">
            <w:pPr>
              <w:suppressAutoHyphens w:val="0"/>
              <w:spacing w:before="40" w:after="40" w:line="220" w:lineRule="exact"/>
              <w:ind w:right="113"/>
              <w:jc w:val="right"/>
              <w:rPr>
                <w:sz w:val="18"/>
                <w:szCs w:val="16"/>
                <w:lang w:val="en-US" w:bidi="ar-QA"/>
              </w:rPr>
            </w:pPr>
            <w:r w:rsidRPr="009966B9">
              <w:rPr>
                <w:sz w:val="18"/>
                <w:szCs w:val="16"/>
                <w:lang w:val="en-US" w:bidi="ar-QA"/>
              </w:rPr>
              <w:t>17 510</w:t>
            </w:r>
          </w:p>
        </w:tc>
        <w:tc>
          <w:tcPr>
            <w:tcW w:w="882" w:type="dxa"/>
            <w:tcBorders>
              <w:bottom w:val="single" w:sz="4" w:space="0" w:color="auto"/>
            </w:tcBorders>
            <w:shd w:val="clear" w:color="auto" w:fill="auto"/>
            <w:vAlign w:val="bottom"/>
          </w:tcPr>
          <w:p w:rsidR="004B0C37" w:rsidRPr="009966B9" w:rsidRDefault="004B0C37" w:rsidP="009966B9">
            <w:pPr>
              <w:suppressAutoHyphens w:val="0"/>
              <w:spacing w:before="40" w:after="40" w:line="220" w:lineRule="exact"/>
              <w:ind w:right="113"/>
              <w:jc w:val="right"/>
              <w:rPr>
                <w:sz w:val="18"/>
                <w:szCs w:val="16"/>
                <w:lang w:val="en-US" w:bidi="ar-QA"/>
              </w:rPr>
            </w:pPr>
            <w:r w:rsidRPr="009966B9">
              <w:rPr>
                <w:sz w:val="18"/>
                <w:szCs w:val="16"/>
                <w:lang w:val="en-US" w:bidi="ar-QA"/>
              </w:rPr>
              <w:t>10 965</w:t>
            </w:r>
          </w:p>
        </w:tc>
        <w:tc>
          <w:tcPr>
            <w:tcW w:w="856" w:type="dxa"/>
            <w:tcBorders>
              <w:bottom w:val="single" w:sz="4" w:space="0" w:color="auto"/>
            </w:tcBorders>
            <w:shd w:val="clear" w:color="auto" w:fill="auto"/>
            <w:vAlign w:val="bottom"/>
          </w:tcPr>
          <w:p w:rsidR="004B0C37" w:rsidRPr="009966B9" w:rsidRDefault="004B0C37" w:rsidP="009966B9">
            <w:pPr>
              <w:suppressAutoHyphens w:val="0"/>
              <w:spacing w:before="40" w:after="40" w:line="220" w:lineRule="exact"/>
              <w:ind w:right="113"/>
              <w:jc w:val="right"/>
              <w:rPr>
                <w:sz w:val="18"/>
                <w:szCs w:val="16"/>
                <w:lang w:val="en-US" w:bidi="ar-QA"/>
              </w:rPr>
            </w:pPr>
            <w:r w:rsidRPr="009966B9">
              <w:rPr>
                <w:sz w:val="18"/>
                <w:szCs w:val="16"/>
                <w:lang w:val="en-US" w:bidi="ar-QA"/>
              </w:rPr>
              <w:t>28 475</w:t>
            </w:r>
          </w:p>
        </w:tc>
      </w:tr>
      <w:tr w:rsidR="004B0C37" w:rsidRPr="009966B9" w:rsidTr="00410641">
        <w:tc>
          <w:tcPr>
            <w:tcW w:w="769" w:type="dxa"/>
            <w:tcBorders>
              <w:top w:val="single" w:sz="4" w:space="0" w:color="auto"/>
            </w:tcBorders>
            <w:shd w:val="clear" w:color="auto" w:fill="auto"/>
          </w:tcPr>
          <w:p w:rsidR="004B0C37" w:rsidRPr="00410641" w:rsidRDefault="004B0C37" w:rsidP="00410641">
            <w:pPr>
              <w:suppressAutoHyphens w:val="0"/>
              <w:spacing w:before="80" w:after="80" w:line="220" w:lineRule="exact"/>
              <w:ind w:left="283"/>
              <w:rPr>
                <w:b/>
                <w:sz w:val="18"/>
                <w:szCs w:val="16"/>
              </w:rPr>
            </w:pPr>
            <w:r w:rsidRPr="00410641">
              <w:rPr>
                <w:b/>
                <w:sz w:val="18"/>
                <w:szCs w:val="16"/>
              </w:rPr>
              <w:t>Total</w:t>
            </w:r>
          </w:p>
        </w:tc>
        <w:tc>
          <w:tcPr>
            <w:tcW w:w="986" w:type="dxa"/>
            <w:tcBorders>
              <w:top w:val="single" w:sz="4" w:space="0" w:color="auto"/>
            </w:tcBorders>
            <w:shd w:val="clear" w:color="auto" w:fill="auto"/>
            <w:vAlign w:val="bottom"/>
          </w:tcPr>
          <w:p w:rsidR="004B0C37" w:rsidRPr="00410641" w:rsidRDefault="004B0C37" w:rsidP="005F1B32">
            <w:pPr>
              <w:suppressAutoHyphens w:val="0"/>
              <w:spacing w:before="80" w:after="80" w:line="220" w:lineRule="exact"/>
              <w:ind w:right="113"/>
              <w:jc w:val="right"/>
              <w:rPr>
                <w:b/>
                <w:bCs/>
                <w:sz w:val="18"/>
                <w:szCs w:val="16"/>
                <w:lang w:val="en-US" w:bidi="ar-QA"/>
              </w:rPr>
            </w:pPr>
            <w:r w:rsidRPr="00410641">
              <w:rPr>
                <w:b/>
                <w:bCs/>
                <w:sz w:val="18"/>
                <w:szCs w:val="16"/>
                <w:lang w:val="en-US" w:bidi="ar-QA"/>
              </w:rPr>
              <w:t>1 923</w:t>
            </w:r>
            <w:r w:rsidR="005F1B32">
              <w:rPr>
                <w:b/>
                <w:bCs/>
                <w:sz w:val="18"/>
                <w:szCs w:val="16"/>
                <w:lang w:val="en-US" w:bidi="ar-QA"/>
              </w:rPr>
              <w:t xml:space="preserve"> </w:t>
            </w:r>
            <w:r w:rsidRPr="00410641">
              <w:rPr>
                <w:b/>
                <w:bCs/>
                <w:sz w:val="18"/>
                <w:szCs w:val="16"/>
                <w:lang w:val="en-US" w:bidi="ar-QA"/>
              </w:rPr>
              <w:t>933</w:t>
            </w:r>
          </w:p>
        </w:tc>
        <w:tc>
          <w:tcPr>
            <w:tcW w:w="951" w:type="dxa"/>
            <w:tcBorders>
              <w:top w:val="single" w:sz="4" w:space="0" w:color="auto"/>
            </w:tcBorders>
            <w:shd w:val="clear" w:color="auto" w:fill="auto"/>
            <w:vAlign w:val="bottom"/>
          </w:tcPr>
          <w:p w:rsidR="004B0C37" w:rsidRPr="00410641" w:rsidRDefault="004B0C37" w:rsidP="00410641">
            <w:pPr>
              <w:suppressAutoHyphens w:val="0"/>
              <w:spacing w:before="80" w:after="80" w:line="220" w:lineRule="exact"/>
              <w:ind w:right="113"/>
              <w:jc w:val="right"/>
              <w:rPr>
                <w:b/>
                <w:bCs/>
                <w:sz w:val="18"/>
                <w:szCs w:val="16"/>
                <w:lang w:val="en-US" w:bidi="ar-QA"/>
              </w:rPr>
            </w:pPr>
            <w:r w:rsidRPr="00410641">
              <w:rPr>
                <w:b/>
                <w:bCs/>
                <w:sz w:val="18"/>
                <w:szCs w:val="16"/>
                <w:lang w:val="en-US" w:bidi="ar-QA"/>
              </w:rPr>
              <w:t>547 986</w:t>
            </w:r>
          </w:p>
        </w:tc>
        <w:tc>
          <w:tcPr>
            <w:tcW w:w="986" w:type="dxa"/>
            <w:tcBorders>
              <w:top w:val="single" w:sz="4" w:space="0" w:color="auto"/>
            </w:tcBorders>
            <w:shd w:val="clear" w:color="auto" w:fill="auto"/>
            <w:vAlign w:val="bottom"/>
          </w:tcPr>
          <w:p w:rsidR="004B0C37" w:rsidRPr="00410641" w:rsidRDefault="004B0C37" w:rsidP="00410641">
            <w:pPr>
              <w:suppressAutoHyphens w:val="0"/>
              <w:spacing w:before="80" w:after="80" w:line="220" w:lineRule="exact"/>
              <w:ind w:right="113"/>
              <w:jc w:val="right"/>
              <w:rPr>
                <w:b/>
                <w:bCs/>
                <w:sz w:val="18"/>
                <w:szCs w:val="16"/>
                <w:lang w:val="en-US" w:bidi="ar-QA"/>
              </w:rPr>
            </w:pPr>
            <w:r w:rsidRPr="00410641">
              <w:rPr>
                <w:b/>
                <w:bCs/>
                <w:sz w:val="18"/>
                <w:szCs w:val="16"/>
                <w:lang w:val="en-US" w:bidi="ar-QA"/>
              </w:rPr>
              <w:t>2 471 919</w:t>
            </w:r>
          </w:p>
        </w:tc>
        <w:tc>
          <w:tcPr>
            <w:tcW w:w="986" w:type="dxa"/>
            <w:tcBorders>
              <w:top w:val="single" w:sz="4" w:space="0" w:color="auto"/>
            </w:tcBorders>
            <w:shd w:val="clear" w:color="auto" w:fill="auto"/>
            <w:vAlign w:val="bottom"/>
          </w:tcPr>
          <w:p w:rsidR="004B0C37" w:rsidRPr="00410641" w:rsidRDefault="004B0C37" w:rsidP="00410641">
            <w:pPr>
              <w:suppressAutoHyphens w:val="0"/>
              <w:spacing w:before="80" w:after="80" w:line="220" w:lineRule="exact"/>
              <w:ind w:right="113"/>
              <w:jc w:val="right"/>
              <w:rPr>
                <w:b/>
                <w:bCs/>
                <w:sz w:val="18"/>
                <w:szCs w:val="16"/>
                <w:lang w:val="en-US" w:bidi="ar-QA"/>
              </w:rPr>
            </w:pPr>
            <w:r w:rsidRPr="00410641">
              <w:rPr>
                <w:b/>
                <w:bCs/>
                <w:sz w:val="18"/>
                <w:szCs w:val="16"/>
                <w:lang w:val="en-US" w:bidi="ar-QA"/>
              </w:rPr>
              <w:t>1 876 892</w:t>
            </w:r>
          </w:p>
        </w:tc>
        <w:tc>
          <w:tcPr>
            <w:tcW w:w="888" w:type="dxa"/>
            <w:tcBorders>
              <w:top w:val="single" w:sz="4" w:space="0" w:color="auto"/>
            </w:tcBorders>
            <w:shd w:val="clear" w:color="auto" w:fill="auto"/>
            <w:vAlign w:val="bottom"/>
          </w:tcPr>
          <w:p w:rsidR="004B0C37" w:rsidRPr="00410641" w:rsidRDefault="004B0C37" w:rsidP="00410641">
            <w:pPr>
              <w:suppressAutoHyphens w:val="0"/>
              <w:spacing w:before="80" w:after="80" w:line="220" w:lineRule="exact"/>
              <w:ind w:right="113"/>
              <w:jc w:val="right"/>
              <w:rPr>
                <w:b/>
                <w:bCs/>
                <w:sz w:val="18"/>
                <w:szCs w:val="16"/>
                <w:lang w:val="en-US" w:bidi="ar-QA"/>
              </w:rPr>
            </w:pPr>
            <w:r w:rsidRPr="00410641">
              <w:rPr>
                <w:b/>
                <w:bCs/>
                <w:sz w:val="18"/>
                <w:szCs w:val="16"/>
                <w:lang w:val="en-US" w:bidi="ar-QA"/>
              </w:rPr>
              <w:t>569 436</w:t>
            </w:r>
          </w:p>
        </w:tc>
        <w:tc>
          <w:tcPr>
            <w:tcW w:w="856" w:type="dxa"/>
            <w:tcBorders>
              <w:top w:val="single" w:sz="4" w:space="0" w:color="auto"/>
            </w:tcBorders>
            <w:shd w:val="clear" w:color="auto" w:fill="auto"/>
            <w:vAlign w:val="bottom"/>
          </w:tcPr>
          <w:p w:rsidR="004B0C37" w:rsidRPr="00410641" w:rsidRDefault="004B0C37" w:rsidP="00410641">
            <w:pPr>
              <w:suppressAutoHyphens w:val="0"/>
              <w:spacing w:before="80" w:after="80" w:line="220" w:lineRule="exact"/>
              <w:ind w:right="113"/>
              <w:jc w:val="right"/>
              <w:rPr>
                <w:b/>
                <w:bCs/>
                <w:sz w:val="18"/>
                <w:szCs w:val="16"/>
                <w:lang w:val="en-US" w:bidi="ar-QA"/>
              </w:rPr>
            </w:pPr>
            <w:r w:rsidRPr="00410641">
              <w:rPr>
                <w:b/>
                <w:bCs/>
                <w:sz w:val="18"/>
                <w:szCs w:val="16"/>
                <w:lang w:val="en-US" w:bidi="ar-QA"/>
              </w:rPr>
              <w:t>2 446 328</w:t>
            </w:r>
          </w:p>
        </w:tc>
        <w:tc>
          <w:tcPr>
            <w:tcW w:w="856" w:type="dxa"/>
            <w:tcBorders>
              <w:top w:val="single" w:sz="4" w:space="0" w:color="auto"/>
            </w:tcBorders>
            <w:shd w:val="clear" w:color="auto" w:fill="auto"/>
            <w:vAlign w:val="bottom"/>
          </w:tcPr>
          <w:p w:rsidR="004B0C37" w:rsidRPr="00410641" w:rsidRDefault="004B0C37" w:rsidP="00410641">
            <w:pPr>
              <w:suppressAutoHyphens w:val="0"/>
              <w:spacing w:before="80" w:after="80" w:line="220" w:lineRule="exact"/>
              <w:ind w:right="113"/>
              <w:jc w:val="right"/>
              <w:rPr>
                <w:b/>
                <w:bCs/>
                <w:sz w:val="18"/>
                <w:szCs w:val="16"/>
                <w:lang w:val="en-US" w:bidi="ar-QA"/>
              </w:rPr>
            </w:pPr>
            <w:r w:rsidRPr="00410641">
              <w:rPr>
                <w:b/>
                <w:bCs/>
                <w:sz w:val="18"/>
                <w:szCs w:val="16"/>
                <w:lang w:val="en-US" w:bidi="ar-QA"/>
              </w:rPr>
              <w:t>1 974 041</w:t>
            </w:r>
          </w:p>
        </w:tc>
        <w:tc>
          <w:tcPr>
            <w:tcW w:w="882" w:type="dxa"/>
            <w:tcBorders>
              <w:top w:val="single" w:sz="4" w:space="0" w:color="auto"/>
            </w:tcBorders>
            <w:shd w:val="clear" w:color="auto" w:fill="auto"/>
            <w:vAlign w:val="bottom"/>
          </w:tcPr>
          <w:p w:rsidR="004B0C37" w:rsidRPr="00410641" w:rsidRDefault="004B0C37" w:rsidP="00410641">
            <w:pPr>
              <w:suppressAutoHyphens w:val="0"/>
              <w:spacing w:before="80" w:after="80" w:line="220" w:lineRule="exact"/>
              <w:ind w:right="113"/>
              <w:jc w:val="right"/>
              <w:rPr>
                <w:b/>
                <w:bCs/>
                <w:sz w:val="18"/>
                <w:szCs w:val="16"/>
                <w:lang w:val="en-US" w:bidi="ar-QA"/>
              </w:rPr>
            </w:pPr>
            <w:r w:rsidRPr="00410641">
              <w:rPr>
                <w:b/>
                <w:bCs/>
                <w:sz w:val="18"/>
                <w:szCs w:val="16"/>
                <w:lang w:val="en-US" w:bidi="ar-QA"/>
              </w:rPr>
              <w:t>660 193</w:t>
            </w:r>
          </w:p>
        </w:tc>
        <w:tc>
          <w:tcPr>
            <w:tcW w:w="856" w:type="dxa"/>
            <w:tcBorders>
              <w:top w:val="single" w:sz="4" w:space="0" w:color="auto"/>
            </w:tcBorders>
            <w:shd w:val="clear" w:color="auto" w:fill="auto"/>
            <w:vAlign w:val="bottom"/>
          </w:tcPr>
          <w:p w:rsidR="004B0C37" w:rsidRPr="00410641" w:rsidRDefault="004B0C37" w:rsidP="00410641">
            <w:pPr>
              <w:suppressAutoHyphens w:val="0"/>
              <w:spacing w:before="80" w:after="80" w:line="220" w:lineRule="exact"/>
              <w:ind w:right="113"/>
              <w:jc w:val="right"/>
              <w:rPr>
                <w:b/>
                <w:bCs/>
                <w:sz w:val="18"/>
                <w:szCs w:val="16"/>
                <w:lang w:val="en-US" w:bidi="ar-QA"/>
              </w:rPr>
            </w:pPr>
            <w:r w:rsidRPr="00410641">
              <w:rPr>
                <w:b/>
                <w:bCs/>
                <w:sz w:val="18"/>
                <w:szCs w:val="16"/>
                <w:lang w:val="en-US" w:bidi="ar-QA"/>
              </w:rPr>
              <w:t>2 634 234</w:t>
            </w:r>
          </w:p>
        </w:tc>
      </w:tr>
    </w:tbl>
    <w:p w:rsidR="004B0C37" w:rsidRPr="008E4EE6" w:rsidRDefault="004B0C37" w:rsidP="0035667A">
      <w:pPr>
        <w:spacing w:before="120"/>
        <w:ind w:left="1134" w:right="1134" w:firstLine="170"/>
        <w:rPr>
          <w:i/>
        </w:rPr>
      </w:pPr>
      <w:r w:rsidRPr="0035667A">
        <w:rPr>
          <w:i/>
          <w:iCs/>
          <w:sz w:val="18"/>
        </w:rPr>
        <w:t>Source:</w:t>
      </w:r>
      <w:r w:rsidRPr="0035667A">
        <w:rPr>
          <w:sz w:val="18"/>
        </w:rPr>
        <w:t xml:space="preserve"> </w:t>
      </w:r>
      <w:r w:rsidR="0035667A">
        <w:rPr>
          <w:sz w:val="18"/>
        </w:rPr>
        <w:t xml:space="preserve"> </w:t>
      </w:r>
      <w:r w:rsidRPr="0035667A">
        <w:rPr>
          <w:sz w:val="18"/>
        </w:rPr>
        <w:t>Ministry of Development Planning and Statistics: Population and Social Statistics (Third quarter bulletin, 2017)</w:t>
      </w:r>
      <w:r w:rsidR="0035667A">
        <w:rPr>
          <w:sz w:val="18"/>
        </w:rPr>
        <w:t>.</w:t>
      </w:r>
    </w:p>
    <w:p w:rsidR="004B0C37" w:rsidRPr="0034732A" w:rsidRDefault="004B0C37" w:rsidP="002731C9">
      <w:pPr>
        <w:pStyle w:val="SingleTxtG"/>
      </w:pPr>
      <w:r w:rsidRPr="0034732A">
        <w:lastRenderedPageBreak/>
        <w:t>8</w:t>
      </w:r>
      <w:r w:rsidR="009D1BD8">
        <w:t>.</w:t>
      </w:r>
      <w:r w:rsidR="009D1BD8">
        <w:tab/>
      </w:r>
      <w:r w:rsidRPr="0034732A">
        <w:t xml:space="preserve">Table 4 shows the </w:t>
      </w:r>
      <w:r>
        <w:t xml:space="preserve">population in the </w:t>
      </w:r>
      <w:r w:rsidRPr="0034732A">
        <w:t>third quarter of 2017 disaggregated by gender and age group.</w:t>
      </w:r>
      <w:r w:rsidR="007F4A3A">
        <w:t xml:space="preserve"> </w:t>
      </w:r>
      <w:r w:rsidRPr="0034732A">
        <w:t xml:space="preserve">The largest age group </w:t>
      </w:r>
      <w:r>
        <w:t>in the period July to September 2017 wa</w:t>
      </w:r>
      <w:r w:rsidRPr="0034732A">
        <w:t xml:space="preserve">s the 25-64 group, which reached a total of 1,832,125 in July, 1,789,724 in August and 1,897,430 in September. </w:t>
      </w:r>
    </w:p>
    <w:p w:rsidR="004B0C37" w:rsidRPr="002731C9" w:rsidRDefault="002731C9" w:rsidP="002731C9">
      <w:pPr>
        <w:pStyle w:val="H23G"/>
      </w:pPr>
      <w:r>
        <w:tab/>
      </w:r>
      <w:r>
        <w:tab/>
      </w:r>
      <w:r w:rsidR="004B0C37" w:rsidRPr="0034732A">
        <w:t>Fertility rate</w:t>
      </w:r>
    </w:p>
    <w:p w:rsidR="004B0C37" w:rsidRPr="0034732A" w:rsidRDefault="004B0C37" w:rsidP="002731C9">
      <w:pPr>
        <w:pStyle w:val="SingleTxtG"/>
      </w:pPr>
      <w:r w:rsidRPr="0034732A">
        <w:t>9</w:t>
      </w:r>
      <w:r w:rsidR="009D1BD8">
        <w:t>.</w:t>
      </w:r>
      <w:r w:rsidR="009D1BD8">
        <w:tab/>
      </w:r>
      <w:r w:rsidRPr="0034732A">
        <w:t>The data indicate that the total fertility rate of Qatari females has remained constant at 3.2 in recent years.</w:t>
      </w:r>
      <w:r w:rsidR="007F4A3A">
        <w:t xml:space="preserve"> </w:t>
      </w:r>
      <w:r w:rsidRPr="0034732A">
        <w:t>In other words, an average Qatari woman of childbearing age gives birth to three children.</w:t>
      </w:r>
      <w:r w:rsidR="007F4A3A">
        <w:t xml:space="preserve"> </w:t>
      </w:r>
      <w:r w:rsidRPr="0034732A">
        <w:t>The indicator is associated with educational level and higher average age at first marriage, as well as increased economic activity.</w:t>
      </w:r>
    </w:p>
    <w:p w:rsidR="004B0C37" w:rsidRPr="00581D14" w:rsidRDefault="004B0C37" w:rsidP="00581D14">
      <w:pPr>
        <w:pStyle w:val="Heading1"/>
        <w:spacing w:after="120"/>
        <w:rPr>
          <w:b/>
          <w:bCs/>
        </w:rPr>
      </w:pPr>
      <w:r w:rsidRPr="0034732A">
        <w:t>Table 5</w:t>
      </w:r>
      <w:r w:rsidR="00581D14">
        <w:br/>
      </w:r>
      <w:r w:rsidRPr="00581D14">
        <w:rPr>
          <w:b/>
          <w:bCs/>
        </w:rPr>
        <w:t>Total fertility rate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85"/>
        <w:gridCol w:w="3685"/>
      </w:tblGrid>
      <w:tr w:rsidR="004B0C37" w:rsidRPr="00581D14" w:rsidTr="00581D14">
        <w:trPr>
          <w:tblHeader/>
        </w:trPr>
        <w:tc>
          <w:tcPr>
            <w:tcW w:w="4508" w:type="dxa"/>
            <w:tcBorders>
              <w:top w:val="single" w:sz="4" w:space="0" w:color="auto"/>
              <w:bottom w:val="single" w:sz="12" w:space="0" w:color="auto"/>
            </w:tcBorders>
            <w:shd w:val="clear" w:color="auto" w:fill="auto"/>
            <w:vAlign w:val="bottom"/>
          </w:tcPr>
          <w:p w:rsidR="004B0C37" w:rsidRPr="00581D14" w:rsidRDefault="004B0C37" w:rsidP="00581D14">
            <w:pPr>
              <w:suppressAutoHyphens w:val="0"/>
              <w:spacing w:before="80" w:after="80" w:line="200" w:lineRule="exact"/>
              <w:ind w:right="113"/>
              <w:rPr>
                <w:i/>
                <w:sz w:val="16"/>
              </w:rPr>
            </w:pPr>
            <w:r w:rsidRPr="00581D14">
              <w:rPr>
                <w:i/>
                <w:sz w:val="16"/>
              </w:rPr>
              <w:t>Year</w:t>
            </w:r>
          </w:p>
        </w:tc>
        <w:tc>
          <w:tcPr>
            <w:tcW w:w="4508" w:type="dxa"/>
            <w:tcBorders>
              <w:top w:val="single" w:sz="4" w:space="0" w:color="auto"/>
              <w:bottom w:val="single" w:sz="12" w:space="0" w:color="auto"/>
            </w:tcBorders>
            <w:shd w:val="clear" w:color="auto" w:fill="auto"/>
            <w:vAlign w:val="bottom"/>
          </w:tcPr>
          <w:p w:rsidR="004B0C37" w:rsidRPr="00581D14" w:rsidRDefault="004B0C37" w:rsidP="00581D14">
            <w:pPr>
              <w:suppressAutoHyphens w:val="0"/>
              <w:spacing w:before="80" w:after="80" w:line="200" w:lineRule="exact"/>
              <w:ind w:right="113"/>
              <w:jc w:val="right"/>
              <w:rPr>
                <w:i/>
                <w:sz w:val="16"/>
              </w:rPr>
            </w:pPr>
            <w:r w:rsidRPr="00581D14">
              <w:rPr>
                <w:i/>
                <w:sz w:val="16"/>
              </w:rPr>
              <w:t>Rate</w:t>
            </w:r>
          </w:p>
        </w:tc>
      </w:tr>
      <w:tr w:rsidR="004B0C37" w:rsidRPr="00581D14" w:rsidTr="00581D14">
        <w:tc>
          <w:tcPr>
            <w:tcW w:w="4508" w:type="dxa"/>
            <w:tcBorders>
              <w:top w:val="single" w:sz="12" w:space="0" w:color="auto"/>
            </w:tcBorders>
            <w:shd w:val="clear" w:color="auto" w:fill="auto"/>
          </w:tcPr>
          <w:p w:rsidR="004B0C37" w:rsidRPr="00581D14" w:rsidRDefault="004B0C37" w:rsidP="00581D14">
            <w:pPr>
              <w:suppressAutoHyphens w:val="0"/>
              <w:spacing w:before="40" w:after="40" w:line="220" w:lineRule="exact"/>
              <w:ind w:right="113"/>
              <w:rPr>
                <w:sz w:val="18"/>
              </w:rPr>
            </w:pPr>
            <w:r w:rsidRPr="00581D14">
              <w:rPr>
                <w:sz w:val="18"/>
              </w:rPr>
              <w:t>2012</w:t>
            </w:r>
          </w:p>
        </w:tc>
        <w:tc>
          <w:tcPr>
            <w:tcW w:w="4508" w:type="dxa"/>
            <w:tcBorders>
              <w:top w:val="single" w:sz="12" w:space="0" w:color="auto"/>
            </w:tcBorders>
            <w:shd w:val="clear" w:color="auto" w:fill="auto"/>
            <w:vAlign w:val="bottom"/>
          </w:tcPr>
          <w:p w:rsidR="004B0C37" w:rsidRPr="00581D14" w:rsidRDefault="004B0C37" w:rsidP="00581D14">
            <w:pPr>
              <w:suppressAutoHyphens w:val="0"/>
              <w:spacing w:before="40" w:after="40" w:line="220" w:lineRule="exact"/>
              <w:ind w:right="113"/>
              <w:jc w:val="right"/>
              <w:rPr>
                <w:sz w:val="18"/>
              </w:rPr>
            </w:pPr>
            <w:r w:rsidRPr="00581D14">
              <w:rPr>
                <w:sz w:val="18"/>
              </w:rPr>
              <w:t>3.2</w:t>
            </w:r>
          </w:p>
        </w:tc>
      </w:tr>
      <w:tr w:rsidR="004B0C37" w:rsidRPr="00581D14" w:rsidTr="00581D14">
        <w:tc>
          <w:tcPr>
            <w:tcW w:w="4508" w:type="dxa"/>
            <w:shd w:val="clear" w:color="auto" w:fill="auto"/>
          </w:tcPr>
          <w:p w:rsidR="004B0C37" w:rsidRPr="00581D14" w:rsidRDefault="004B0C37" w:rsidP="00581D14">
            <w:pPr>
              <w:suppressAutoHyphens w:val="0"/>
              <w:spacing w:before="40" w:after="40" w:line="220" w:lineRule="exact"/>
              <w:ind w:right="113"/>
              <w:rPr>
                <w:sz w:val="18"/>
              </w:rPr>
            </w:pPr>
            <w:r w:rsidRPr="00581D14">
              <w:rPr>
                <w:sz w:val="18"/>
              </w:rPr>
              <w:t>2013</w:t>
            </w:r>
          </w:p>
        </w:tc>
        <w:tc>
          <w:tcPr>
            <w:tcW w:w="4508" w:type="dxa"/>
            <w:shd w:val="clear" w:color="auto" w:fill="auto"/>
            <w:vAlign w:val="bottom"/>
          </w:tcPr>
          <w:p w:rsidR="004B0C37" w:rsidRPr="00581D14" w:rsidRDefault="004B0C37" w:rsidP="00581D14">
            <w:pPr>
              <w:suppressAutoHyphens w:val="0"/>
              <w:spacing w:before="40" w:after="40" w:line="220" w:lineRule="exact"/>
              <w:ind w:right="113"/>
              <w:jc w:val="right"/>
              <w:rPr>
                <w:sz w:val="18"/>
              </w:rPr>
            </w:pPr>
            <w:r w:rsidRPr="00581D14">
              <w:rPr>
                <w:sz w:val="18"/>
              </w:rPr>
              <w:t>3.2</w:t>
            </w:r>
          </w:p>
        </w:tc>
      </w:tr>
      <w:tr w:rsidR="004B0C37" w:rsidRPr="00581D14" w:rsidTr="00581D14">
        <w:tc>
          <w:tcPr>
            <w:tcW w:w="4508" w:type="dxa"/>
            <w:shd w:val="clear" w:color="auto" w:fill="auto"/>
          </w:tcPr>
          <w:p w:rsidR="004B0C37" w:rsidRPr="00581D14" w:rsidRDefault="004B0C37" w:rsidP="00581D14">
            <w:pPr>
              <w:suppressAutoHyphens w:val="0"/>
              <w:spacing w:before="40" w:after="40" w:line="220" w:lineRule="exact"/>
              <w:ind w:right="113"/>
              <w:rPr>
                <w:sz w:val="18"/>
              </w:rPr>
            </w:pPr>
            <w:r w:rsidRPr="00581D14">
              <w:rPr>
                <w:sz w:val="18"/>
              </w:rPr>
              <w:t>2014</w:t>
            </w:r>
          </w:p>
        </w:tc>
        <w:tc>
          <w:tcPr>
            <w:tcW w:w="4508" w:type="dxa"/>
            <w:shd w:val="clear" w:color="auto" w:fill="auto"/>
            <w:vAlign w:val="bottom"/>
          </w:tcPr>
          <w:p w:rsidR="004B0C37" w:rsidRPr="00581D14" w:rsidRDefault="004B0C37" w:rsidP="00581D14">
            <w:pPr>
              <w:suppressAutoHyphens w:val="0"/>
              <w:spacing w:before="40" w:after="40" w:line="220" w:lineRule="exact"/>
              <w:ind w:right="113"/>
              <w:jc w:val="right"/>
              <w:rPr>
                <w:sz w:val="18"/>
              </w:rPr>
            </w:pPr>
            <w:r w:rsidRPr="00581D14">
              <w:rPr>
                <w:sz w:val="18"/>
              </w:rPr>
              <w:t>3.2</w:t>
            </w:r>
          </w:p>
        </w:tc>
      </w:tr>
      <w:tr w:rsidR="004B0C37" w:rsidRPr="00581D14" w:rsidTr="00581D14">
        <w:tc>
          <w:tcPr>
            <w:tcW w:w="4508" w:type="dxa"/>
            <w:shd w:val="clear" w:color="auto" w:fill="auto"/>
          </w:tcPr>
          <w:p w:rsidR="004B0C37" w:rsidRPr="00581D14" w:rsidRDefault="004B0C37" w:rsidP="00581D14">
            <w:pPr>
              <w:suppressAutoHyphens w:val="0"/>
              <w:spacing w:before="40" w:after="40" w:line="220" w:lineRule="exact"/>
              <w:ind w:right="113"/>
              <w:rPr>
                <w:sz w:val="18"/>
              </w:rPr>
            </w:pPr>
            <w:r w:rsidRPr="00581D14">
              <w:rPr>
                <w:sz w:val="18"/>
              </w:rPr>
              <w:t>2015</w:t>
            </w:r>
          </w:p>
        </w:tc>
        <w:tc>
          <w:tcPr>
            <w:tcW w:w="4508" w:type="dxa"/>
            <w:shd w:val="clear" w:color="auto" w:fill="auto"/>
            <w:vAlign w:val="bottom"/>
          </w:tcPr>
          <w:p w:rsidR="004B0C37" w:rsidRPr="00581D14" w:rsidRDefault="004B0C37" w:rsidP="00581D14">
            <w:pPr>
              <w:suppressAutoHyphens w:val="0"/>
              <w:spacing w:before="40" w:after="40" w:line="220" w:lineRule="exact"/>
              <w:ind w:right="113"/>
              <w:jc w:val="right"/>
              <w:rPr>
                <w:sz w:val="18"/>
              </w:rPr>
            </w:pPr>
            <w:r w:rsidRPr="00581D14">
              <w:rPr>
                <w:sz w:val="18"/>
              </w:rPr>
              <w:t>3.2</w:t>
            </w:r>
          </w:p>
        </w:tc>
      </w:tr>
      <w:tr w:rsidR="004B0C37" w:rsidRPr="00581D14" w:rsidTr="00581D14">
        <w:tc>
          <w:tcPr>
            <w:tcW w:w="4508" w:type="dxa"/>
            <w:shd w:val="clear" w:color="auto" w:fill="auto"/>
          </w:tcPr>
          <w:p w:rsidR="004B0C37" w:rsidRPr="00581D14" w:rsidRDefault="004B0C37" w:rsidP="00581D14">
            <w:pPr>
              <w:suppressAutoHyphens w:val="0"/>
              <w:spacing w:before="40" w:after="40" w:line="220" w:lineRule="exact"/>
              <w:ind w:right="113"/>
              <w:rPr>
                <w:sz w:val="18"/>
              </w:rPr>
            </w:pPr>
            <w:r w:rsidRPr="00581D14">
              <w:rPr>
                <w:sz w:val="18"/>
              </w:rPr>
              <w:t>2016</w:t>
            </w:r>
          </w:p>
        </w:tc>
        <w:tc>
          <w:tcPr>
            <w:tcW w:w="4508" w:type="dxa"/>
            <w:shd w:val="clear" w:color="auto" w:fill="auto"/>
            <w:vAlign w:val="bottom"/>
          </w:tcPr>
          <w:p w:rsidR="004B0C37" w:rsidRPr="00581D14" w:rsidRDefault="004B0C37" w:rsidP="00581D14">
            <w:pPr>
              <w:suppressAutoHyphens w:val="0"/>
              <w:spacing w:before="40" w:after="40" w:line="220" w:lineRule="exact"/>
              <w:ind w:right="113"/>
              <w:jc w:val="right"/>
              <w:rPr>
                <w:sz w:val="18"/>
              </w:rPr>
            </w:pPr>
            <w:r w:rsidRPr="00581D14">
              <w:rPr>
                <w:sz w:val="18"/>
              </w:rPr>
              <w:t>3.0</w:t>
            </w:r>
          </w:p>
        </w:tc>
      </w:tr>
    </w:tbl>
    <w:p w:rsidR="004B0C37" w:rsidRPr="005F6EC6" w:rsidRDefault="004B0C37" w:rsidP="00937282">
      <w:pPr>
        <w:spacing w:before="120" w:after="240"/>
        <w:ind w:left="1134" w:right="1134" w:firstLine="170"/>
        <w:rPr>
          <w:sz w:val="18"/>
        </w:rPr>
      </w:pPr>
      <w:r w:rsidRPr="005F6EC6">
        <w:rPr>
          <w:i/>
          <w:iCs/>
          <w:sz w:val="18"/>
        </w:rPr>
        <w:t>Source:</w:t>
      </w:r>
      <w:r w:rsidRPr="005F6EC6">
        <w:rPr>
          <w:sz w:val="18"/>
        </w:rPr>
        <w:t xml:space="preserve"> </w:t>
      </w:r>
      <w:r w:rsidR="005F6EC6">
        <w:rPr>
          <w:sz w:val="18"/>
        </w:rPr>
        <w:t xml:space="preserve"> </w:t>
      </w:r>
      <w:r w:rsidRPr="005F6EC6">
        <w:rPr>
          <w:sz w:val="18"/>
        </w:rPr>
        <w:t>Ministry of Development Planning and Statistics: (Annual bulletin of vital statistics: births and deaths, 2017)</w:t>
      </w:r>
      <w:r w:rsidR="005F6EC6">
        <w:rPr>
          <w:sz w:val="18"/>
        </w:rPr>
        <w:t>.</w:t>
      </w:r>
    </w:p>
    <w:p w:rsidR="004B0C37" w:rsidRPr="00937282" w:rsidRDefault="004B0C37" w:rsidP="00937282">
      <w:pPr>
        <w:pStyle w:val="Heading1"/>
        <w:spacing w:after="120"/>
        <w:rPr>
          <w:b/>
          <w:bCs/>
        </w:rPr>
      </w:pPr>
      <w:r>
        <w:t>Table 6</w:t>
      </w:r>
      <w:r w:rsidR="00937282">
        <w:br/>
      </w:r>
      <w:r w:rsidRPr="00937282">
        <w:rPr>
          <w:b/>
          <w:bCs/>
        </w:rPr>
        <w:t>Rate of population growth (2007</w:t>
      </w:r>
      <w:r w:rsidR="00937282">
        <w:rPr>
          <w:b/>
          <w:bCs/>
        </w:rPr>
        <w:t>–</w:t>
      </w:r>
      <w:r w:rsidRPr="00937282">
        <w:rPr>
          <w:b/>
          <w:bCs/>
        </w:rPr>
        <w:t>2016)</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457"/>
        <w:gridCol w:w="2456"/>
        <w:gridCol w:w="2457"/>
      </w:tblGrid>
      <w:tr w:rsidR="004B0C37" w:rsidRPr="00937282" w:rsidTr="00937282">
        <w:trPr>
          <w:tblHeader/>
        </w:trPr>
        <w:tc>
          <w:tcPr>
            <w:tcW w:w="3005" w:type="dxa"/>
            <w:tcBorders>
              <w:top w:val="single" w:sz="4" w:space="0" w:color="auto"/>
              <w:bottom w:val="single" w:sz="12" w:space="0" w:color="auto"/>
            </w:tcBorders>
            <w:shd w:val="clear" w:color="auto" w:fill="auto"/>
            <w:vAlign w:val="bottom"/>
          </w:tcPr>
          <w:p w:rsidR="004B0C37" w:rsidRPr="00937282" w:rsidRDefault="004B0C37" w:rsidP="00937282">
            <w:pPr>
              <w:suppressAutoHyphens w:val="0"/>
              <w:spacing w:before="80" w:after="80" w:line="200" w:lineRule="exact"/>
              <w:ind w:right="113"/>
              <w:rPr>
                <w:i/>
                <w:sz w:val="16"/>
              </w:rPr>
            </w:pPr>
            <w:r w:rsidRPr="00937282">
              <w:rPr>
                <w:i/>
                <w:sz w:val="16"/>
              </w:rPr>
              <w:t>Year</w:t>
            </w:r>
          </w:p>
        </w:tc>
        <w:tc>
          <w:tcPr>
            <w:tcW w:w="3005" w:type="dxa"/>
            <w:tcBorders>
              <w:top w:val="single" w:sz="4" w:space="0" w:color="auto"/>
              <w:bottom w:val="single" w:sz="12" w:space="0" w:color="auto"/>
            </w:tcBorders>
            <w:shd w:val="clear" w:color="auto" w:fill="auto"/>
            <w:vAlign w:val="bottom"/>
          </w:tcPr>
          <w:p w:rsidR="004B0C37" w:rsidRPr="00937282" w:rsidRDefault="004B0C37" w:rsidP="00937282">
            <w:pPr>
              <w:suppressAutoHyphens w:val="0"/>
              <w:spacing w:before="80" w:after="80" w:line="200" w:lineRule="exact"/>
              <w:ind w:right="113"/>
              <w:jc w:val="right"/>
              <w:rPr>
                <w:i/>
                <w:sz w:val="16"/>
              </w:rPr>
            </w:pPr>
            <w:r w:rsidRPr="00937282">
              <w:rPr>
                <w:i/>
                <w:sz w:val="16"/>
              </w:rPr>
              <w:t>Population</w:t>
            </w:r>
          </w:p>
        </w:tc>
        <w:tc>
          <w:tcPr>
            <w:tcW w:w="3006" w:type="dxa"/>
            <w:tcBorders>
              <w:top w:val="single" w:sz="4" w:space="0" w:color="auto"/>
              <w:bottom w:val="single" w:sz="12" w:space="0" w:color="auto"/>
            </w:tcBorders>
            <w:shd w:val="clear" w:color="auto" w:fill="auto"/>
            <w:vAlign w:val="bottom"/>
          </w:tcPr>
          <w:p w:rsidR="004B0C37" w:rsidRPr="00937282" w:rsidRDefault="004B0C37" w:rsidP="00937282">
            <w:pPr>
              <w:suppressAutoHyphens w:val="0"/>
              <w:spacing w:before="80" w:after="80" w:line="200" w:lineRule="exact"/>
              <w:ind w:right="113"/>
              <w:jc w:val="right"/>
              <w:rPr>
                <w:i/>
                <w:sz w:val="16"/>
              </w:rPr>
            </w:pPr>
            <w:r w:rsidRPr="00937282">
              <w:rPr>
                <w:i/>
                <w:sz w:val="16"/>
              </w:rPr>
              <w:t>Rate of growth</w:t>
            </w:r>
          </w:p>
        </w:tc>
      </w:tr>
      <w:tr w:rsidR="004B0C37" w:rsidRPr="00937282" w:rsidTr="00937282">
        <w:tc>
          <w:tcPr>
            <w:tcW w:w="3005" w:type="dxa"/>
            <w:tcBorders>
              <w:top w:val="single" w:sz="12" w:space="0" w:color="auto"/>
            </w:tcBorders>
            <w:shd w:val="clear" w:color="auto" w:fill="auto"/>
          </w:tcPr>
          <w:p w:rsidR="004B0C37" w:rsidRPr="00937282" w:rsidRDefault="004B0C37" w:rsidP="00937282">
            <w:pPr>
              <w:suppressAutoHyphens w:val="0"/>
              <w:spacing w:before="40" w:after="40" w:line="220" w:lineRule="exact"/>
              <w:ind w:right="113"/>
              <w:rPr>
                <w:sz w:val="18"/>
              </w:rPr>
            </w:pPr>
            <w:r w:rsidRPr="00937282">
              <w:rPr>
                <w:sz w:val="18"/>
              </w:rPr>
              <w:t>2007</w:t>
            </w:r>
          </w:p>
        </w:tc>
        <w:tc>
          <w:tcPr>
            <w:tcW w:w="3005" w:type="dxa"/>
            <w:tcBorders>
              <w:top w:val="single" w:sz="12" w:space="0" w:color="auto"/>
            </w:tcBorders>
            <w:shd w:val="clear" w:color="auto" w:fill="auto"/>
            <w:vAlign w:val="bottom"/>
          </w:tcPr>
          <w:p w:rsidR="004B0C37" w:rsidRPr="00937282" w:rsidRDefault="004B0C37" w:rsidP="00937282">
            <w:pPr>
              <w:suppressAutoHyphens w:val="0"/>
              <w:spacing w:before="40" w:after="40" w:line="220" w:lineRule="exact"/>
              <w:ind w:right="113"/>
              <w:jc w:val="right"/>
              <w:rPr>
                <w:sz w:val="18"/>
                <w:lang w:val="en-US" w:bidi="ar-QA"/>
              </w:rPr>
            </w:pPr>
            <w:r w:rsidRPr="00937282">
              <w:rPr>
                <w:sz w:val="18"/>
                <w:lang w:val="en-US" w:bidi="ar-QA"/>
              </w:rPr>
              <w:t>1 218 250</w:t>
            </w:r>
          </w:p>
        </w:tc>
        <w:tc>
          <w:tcPr>
            <w:tcW w:w="3006" w:type="dxa"/>
            <w:tcBorders>
              <w:top w:val="single" w:sz="12" w:space="0" w:color="auto"/>
            </w:tcBorders>
            <w:shd w:val="clear" w:color="auto" w:fill="auto"/>
            <w:vAlign w:val="bottom"/>
          </w:tcPr>
          <w:p w:rsidR="004B0C37" w:rsidRPr="00937282" w:rsidRDefault="004B0C37" w:rsidP="00937282">
            <w:pPr>
              <w:suppressAutoHyphens w:val="0"/>
              <w:spacing w:before="40" w:after="40" w:line="220" w:lineRule="exact"/>
              <w:ind w:right="113"/>
              <w:jc w:val="right"/>
              <w:rPr>
                <w:sz w:val="18"/>
                <w:lang w:val="en-US" w:bidi="ar-QA"/>
              </w:rPr>
            </w:pPr>
            <w:r w:rsidRPr="00937282">
              <w:rPr>
                <w:sz w:val="18"/>
                <w:lang w:val="en-US" w:bidi="ar-QA"/>
              </w:rPr>
              <w:t>16.8</w:t>
            </w:r>
          </w:p>
        </w:tc>
      </w:tr>
      <w:tr w:rsidR="004B0C37" w:rsidRPr="00937282" w:rsidTr="00937282">
        <w:tc>
          <w:tcPr>
            <w:tcW w:w="3005" w:type="dxa"/>
            <w:shd w:val="clear" w:color="auto" w:fill="auto"/>
          </w:tcPr>
          <w:p w:rsidR="004B0C37" w:rsidRPr="00937282" w:rsidRDefault="004B0C37" w:rsidP="00937282">
            <w:pPr>
              <w:suppressAutoHyphens w:val="0"/>
              <w:spacing w:before="40" w:after="40" w:line="220" w:lineRule="exact"/>
              <w:ind w:right="113"/>
              <w:rPr>
                <w:sz w:val="18"/>
              </w:rPr>
            </w:pPr>
            <w:r w:rsidRPr="00937282">
              <w:rPr>
                <w:sz w:val="18"/>
              </w:rPr>
              <w:t>2008</w:t>
            </w:r>
          </w:p>
        </w:tc>
        <w:tc>
          <w:tcPr>
            <w:tcW w:w="3005" w:type="dxa"/>
            <w:shd w:val="clear" w:color="auto" w:fill="auto"/>
            <w:vAlign w:val="bottom"/>
          </w:tcPr>
          <w:p w:rsidR="004B0C37" w:rsidRPr="00937282" w:rsidRDefault="004B0C37" w:rsidP="00937282">
            <w:pPr>
              <w:suppressAutoHyphens w:val="0"/>
              <w:spacing w:before="40" w:after="40" w:line="220" w:lineRule="exact"/>
              <w:ind w:right="113"/>
              <w:jc w:val="right"/>
              <w:rPr>
                <w:sz w:val="18"/>
                <w:lang w:val="en-US" w:bidi="ar-QA"/>
              </w:rPr>
            </w:pPr>
            <w:r w:rsidRPr="00937282">
              <w:rPr>
                <w:sz w:val="18"/>
                <w:lang w:val="en-US" w:bidi="ar-QA"/>
              </w:rPr>
              <w:t>1 448 479</w:t>
            </w:r>
          </w:p>
        </w:tc>
        <w:tc>
          <w:tcPr>
            <w:tcW w:w="3006" w:type="dxa"/>
            <w:shd w:val="clear" w:color="auto" w:fill="auto"/>
            <w:vAlign w:val="bottom"/>
          </w:tcPr>
          <w:p w:rsidR="004B0C37" w:rsidRPr="00937282" w:rsidRDefault="004B0C37" w:rsidP="00937282">
            <w:pPr>
              <w:suppressAutoHyphens w:val="0"/>
              <w:spacing w:before="40" w:after="40" w:line="220" w:lineRule="exact"/>
              <w:ind w:right="113"/>
              <w:jc w:val="right"/>
              <w:rPr>
                <w:sz w:val="18"/>
                <w:lang w:val="en-US" w:bidi="ar-QA"/>
              </w:rPr>
            </w:pPr>
            <w:r w:rsidRPr="00937282">
              <w:rPr>
                <w:sz w:val="18"/>
                <w:lang w:val="en-US" w:bidi="ar-QA"/>
              </w:rPr>
              <w:t>18.9</w:t>
            </w:r>
          </w:p>
        </w:tc>
      </w:tr>
      <w:tr w:rsidR="004B0C37" w:rsidRPr="00937282" w:rsidTr="00937282">
        <w:tc>
          <w:tcPr>
            <w:tcW w:w="3005" w:type="dxa"/>
            <w:shd w:val="clear" w:color="auto" w:fill="auto"/>
          </w:tcPr>
          <w:p w:rsidR="004B0C37" w:rsidRPr="00937282" w:rsidRDefault="004B0C37" w:rsidP="00937282">
            <w:pPr>
              <w:suppressAutoHyphens w:val="0"/>
              <w:spacing w:before="40" w:after="40" w:line="220" w:lineRule="exact"/>
              <w:ind w:right="113"/>
              <w:rPr>
                <w:sz w:val="18"/>
              </w:rPr>
            </w:pPr>
            <w:r w:rsidRPr="00937282">
              <w:rPr>
                <w:sz w:val="18"/>
              </w:rPr>
              <w:t>2009</w:t>
            </w:r>
          </w:p>
        </w:tc>
        <w:tc>
          <w:tcPr>
            <w:tcW w:w="3005" w:type="dxa"/>
            <w:shd w:val="clear" w:color="auto" w:fill="auto"/>
            <w:vAlign w:val="bottom"/>
          </w:tcPr>
          <w:p w:rsidR="004B0C37" w:rsidRPr="00937282" w:rsidRDefault="004B0C37" w:rsidP="00937282">
            <w:pPr>
              <w:suppressAutoHyphens w:val="0"/>
              <w:spacing w:before="40" w:after="40" w:line="220" w:lineRule="exact"/>
              <w:ind w:right="113"/>
              <w:jc w:val="right"/>
              <w:rPr>
                <w:sz w:val="18"/>
                <w:lang w:val="en-US" w:bidi="ar-QA"/>
              </w:rPr>
            </w:pPr>
            <w:r w:rsidRPr="00937282">
              <w:rPr>
                <w:sz w:val="18"/>
                <w:lang w:val="en-US" w:bidi="ar-QA"/>
              </w:rPr>
              <w:t>1 638 626</w:t>
            </w:r>
          </w:p>
        </w:tc>
        <w:tc>
          <w:tcPr>
            <w:tcW w:w="3006" w:type="dxa"/>
            <w:shd w:val="clear" w:color="auto" w:fill="auto"/>
            <w:vAlign w:val="bottom"/>
          </w:tcPr>
          <w:p w:rsidR="004B0C37" w:rsidRPr="00937282" w:rsidRDefault="004B0C37" w:rsidP="00937282">
            <w:pPr>
              <w:suppressAutoHyphens w:val="0"/>
              <w:spacing w:before="40" w:after="40" w:line="220" w:lineRule="exact"/>
              <w:ind w:right="113"/>
              <w:jc w:val="right"/>
              <w:rPr>
                <w:sz w:val="18"/>
                <w:lang w:val="en-US" w:bidi="ar-QA"/>
              </w:rPr>
            </w:pPr>
            <w:r w:rsidRPr="00937282">
              <w:rPr>
                <w:sz w:val="18"/>
                <w:lang w:val="en-US" w:bidi="ar-QA"/>
              </w:rPr>
              <w:t>13.1</w:t>
            </w:r>
          </w:p>
        </w:tc>
      </w:tr>
      <w:tr w:rsidR="004B0C37" w:rsidRPr="00937282" w:rsidTr="00937282">
        <w:tc>
          <w:tcPr>
            <w:tcW w:w="3005" w:type="dxa"/>
            <w:shd w:val="clear" w:color="auto" w:fill="auto"/>
          </w:tcPr>
          <w:p w:rsidR="004B0C37" w:rsidRPr="00937282" w:rsidRDefault="004B0C37" w:rsidP="00937282">
            <w:pPr>
              <w:suppressAutoHyphens w:val="0"/>
              <w:spacing w:before="40" w:after="40" w:line="220" w:lineRule="exact"/>
              <w:ind w:right="113"/>
              <w:rPr>
                <w:sz w:val="18"/>
              </w:rPr>
            </w:pPr>
            <w:r w:rsidRPr="00937282">
              <w:rPr>
                <w:sz w:val="18"/>
              </w:rPr>
              <w:t>2010</w:t>
            </w:r>
          </w:p>
        </w:tc>
        <w:tc>
          <w:tcPr>
            <w:tcW w:w="3005" w:type="dxa"/>
            <w:shd w:val="clear" w:color="auto" w:fill="auto"/>
            <w:vAlign w:val="bottom"/>
          </w:tcPr>
          <w:p w:rsidR="004B0C37" w:rsidRPr="00937282" w:rsidRDefault="004B0C37" w:rsidP="00937282">
            <w:pPr>
              <w:suppressAutoHyphens w:val="0"/>
              <w:spacing w:before="40" w:after="40" w:line="220" w:lineRule="exact"/>
              <w:ind w:right="113"/>
              <w:jc w:val="right"/>
              <w:rPr>
                <w:sz w:val="18"/>
                <w:lang w:val="en-US" w:bidi="ar-QA"/>
              </w:rPr>
            </w:pPr>
            <w:r w:rsidRPr="00937282">
              <w:rPr>
                <w:sz w:val="18"/>
                <w:lang w:val="en-US" w:bidi="ar-QA"/>
              </w:rPr>
              <w:t>1 715 098</w:t>
            </w:r>
          </w:p>
        </w:tc>
        <w:tc>
          <w:tcPr>
            <w:tcW w:w="3006" w:type="dxa"/>
            <w:shd w:val="clear" w:color="auto" w:fill="auto"/>
            <w:vAlign w:val="bottom"/>
          </w:tcPr>
          <w:p w:rsidR="004B0C37" w:rsidRPr="00937282" w:rsidRDefault="004B0C37" w:rsidP="00937282">
            <w:pPr>
              <w:suppressAutoHyphens w:val="0"/>
              <w:spacing w:before="40" w:after="40" w:line="220" w:lineRule="exact"/>
              <w:ind w:right="113"/>
              <w:jc w:val="right"/>
              <w:rPr>
                <w:sz w:val="18"/>
                <w:lang w:val="en-US" w:bidi="ar-QA"/>
              </w:rPr>
            </w:pPr>
            <w:r w:rsidRPr="00937282">
              <w:rPr>
                <w:sz w:val="18"/>
                <w:lang w:val="en-US" w:bidi="ar-QA"/>
              </w:rPr>
              <w:t>4.6</w:t>
            </w:r>
          </w:p>
        </w:tc>
      </w:tr>
      <w:tr w:rsidR="004B0C37" w:rsidRPr="00937282" w:rsidTr="00937282">
        <w:tc>
          <w:tcPr>
            <w:tcW w:w="3005" w:type="dxa"/>
            <w:shd w:val="clear" w:color="auto" w:fill="auto"/>
          </w:tcPr>
          <w:p w:rsidR="004B0C37" w:rsidRPr="00937282" w:rsidRDefault="004B0C37" w:rsidP="00937282">
            <w:pPr>
              <w:suppressAutoHyphens w:val="0"/>
              <w:spacing w:before="40" w:after="40" w:line="220" w:lineRule="exact"/>
              <w:ind w:right="113"/>
              <w:rPr>
                <w:sz w:val="18"/>
              </w:rPr>
            </w:pPr>
            <w:r w:rsidRPr="00937282">
              <w:rPr>
                <w:sz w:val="18"/>
              </w:rPr>
              <w:t>2011</w:t>
            </w:r>
          </w:p>
        </w:tc>
        <w:tc>
          <w:tcPr>
            <w:tcW w:w="3005" w:type="dxa"/>
            <w:shd w:val="clear" w:color="auto" w:fill="auto"/>
            <w:vAlign w:val="bottom"/>
          </w:tcPr>
          <w:p w:rsidR="004B0C37" w:rsidRPr="00937282" w:rsidRDefault="004B0C37" w:rsidP="00937282">
            <w:pPr>
              <w:suppressAutoHyphens w:val="0"/>
              <w:spacing w:before="40" w:after="40" w:line="220" w:lineRule="exact"/>
              <w:ind w:right="113"/>
              <w:jc w:val="right"/>
              <w:rPr>
                <w:sz w:val="18"/>
                <w:lang w:val="en-US" w:bidi="ar-QA"/>
              </w:rPr>
            </w:pPr>
            <w:r w:rsidRPr="00937282">
              <w:rPr>
                <w:sz w:val="18"/>
                <w:lang w:val="en-US" w:bidi="ar-QA"/>
              </w:rPr>
              <w:t>1 732 717</w:t>
            </w:r>
          </w:p>
        </w:tc>
        <w:tc>
          <w:tcPr>
            <w:tcW w:w="3006" w:type="dxa"/>
            <w:shd w:val="clear" w:color="auto" w:fill="auto"/>
            <w:vAlign w:val="bottom"/>
          </w:tcPr>
          <w:p w:rsidR="004B0C37" w:rsidRPr="00937282" w:rsidRDefault="004B0C37" w:rsidP="00937282">
            <w:pPr>
              <w:suppressAutoHyphens w:val="0"/>
              <w:spacing w:before="40" w:after="40" w:line="220" w:lineRule="exact"/>
              <w:ind w:right="113"/>
              <w:jc w:val="right"/>
              <w:rPr>
                <w:sz w:val="18"/>
                <w:lang w:val="en-US" w:bidi="ar-QA"/>
              </w:rPr>
            </w:pPr>
            <w:r w:rsidRPr="00937282">
              <w:rPr>
                <w:sz w:val="18"/>
                <w:lang w:val="en-US" w:bidi="ar-QA"/>
              </w:rPr>
              <w:t>1.0</w:t>
            </w:r>
          </w:p>
        </w:tc>
      </w:tr>
      <w:tr w:rsidR="004B0C37" w:rsidRPr="00937282" w:rsidTr="00937282">
        <w:tc>
          <w:tcPr>
            <w:tcW w:w="3005" w:type="dxa"/>
            <w:shd w:val="clear" w:color="auto" w:fill="auto"/>
          </w:tcPr>
          <w:p w:rsidR="004B0C37" w:rsidRPr="00937282" w:rsidRDefault="004B0C37" w:rsidP="00937282">
            <w:pPr>
              <w:suppressAutoHyphens w:val="0"/>
              <w:spacing w:before="40" w:after="40" w:line="220" w:lineRule="exact"/>
              <w:ind w:right="113"/>
              <w:rPr>
                <w:sz w:val="18"/>
              </w:rPr>
            </w:pPr>
            <w:r w:rsidRPr="00937282">
              <w:rPr>
                <w:sz w:val="18"/>
              </w:rPr>
              <w:t>2012</w:t>
            </w:r>
          </w:p>
        </w:tc>
        <w:tc>
          <w:tcPr>
            <w:tcW w:w="3005" w:type="dxa"/>
            <w:shd w:val="clear" w:color="auto" w:fill="auto"/>
            <w:vAlign w:val="bottom"/>
          </w:tcPr>
          <w:p w:rsidR="004B0C37" w:rsidRPr="00937282" w:rsidRDefault="004B0C37" w:rsidP="00937282">
            <w:pPr>
              <w:suppressAutoHyphens w:val="0"/>
              <w:spacing w:before="40" w:after="40" w:line="220" w:lineRule="exact"/>
              <w:ind w:right="113"/>
              <w:jc w:val="right"/>
              <w:rPr>
                <w:sz w:val="18"/>
                <w:lang w:val="en-US" w:bidi="ar-QA"/>
              </w:rPr>
            </w:pPr>
            <w:r w:rsidRPr="00937282">
              <w:rPr>
                <w:sz w:val="18"/>
                <w:lang w:val="en-US" w:bidi="ar-QA"/>
              </w:rPr>
              <w:t>1 832 903</w:t>
            </w:r>
          </w:p>
        </w:tc>
        <w:tc>
          <w:tcPr>
            <w:tcW w:w="3006" w:type="dxa"/>
            <w:shd w:val="clear" w:color="auto" w:fill="auto"/>
            <w:vAlign w:val="bottom"/>
          </w:tcPr>
          <w:p w:rsidR="004B0C37" w:rsidRPr="00937282" w:rsidRDefault="004B0C37" w:rsidP="00937282">
            <w:pPr>
              <w:suppressAutoHyphens w:val="0"/>
              <w:spacing w:before="40" w:after="40" w:line="220" w:lineRule="exact"/>
              <w:ind w:right="113"/>
              <w:jc w:val="right"/>
              <w:rPr>
                <w:sz w:val="18"/>
                <w:lang w:val="en-US" w:bidi="ar-QA"/>
              </w:rPr>
            </w:pPr>
            <w:r w:rsidRPr="00937282">
              <w:rPr>
                <w:sz w:val="18"/>
                <w:lang w:val="en-US" w:bidi="ar-QA"/>
              </w:rPr>
              <w:t>5.8</w:t>
            </w:r>
          </w:p>
        </w:tc>
      </w:tr>
      <w:tr w:rsidR="004B0C37" w:rsidRPr="00937282" w:rsidTr="00937282">
        <w:tc>
          <w:tcPr>
            <w:tcW w:w="3005" w:type="dxa"/>
            <w:shd w:val="clear" w:color="auto" w:fill="auto"/>
          </w:tcPr>
          <w:p w:rsidR="004B0C37" w:rsidRPr="00937282" w:rsidRDefault="004B0C37" w:rsidP="00937282">
            <w:pPr>
              <w:suppressAutoHyphens w:val="0"/>
              <w:spacing w:before="40" w:after="40" w:line="220" w:lineRule="exact"/>
              <w:ind w:right="113"/>
              <w:rPr>
                <w:sz w:val="18"/>
              </w:rPr>
            </w:pPr>
            <w:r w:rsidRPr="00937282">
              <w:rPr>
                <w:sz w:val="18"/>
              </w:rPr>
              <w:t>2013</w:t>
            </w:r>
          </w:p>
        </w:tc>
        <w:tc>
          <w:tcPr>
            <w:tcW w:w="3005" w:type="dxa"/>
            <w:shd w:val="clear" w:color="auto" w:fill="auto"/>
            <w:vAlign w:val="bottom"/>
          </w:tcPr>
          <w:p w:rsidR="004B0C37" w:rsidRPr="00937282" w:rsidRDefault="004B0C37" w:rsidP="00937282">
            <w:pPr>
              <w:suppressAutoHyphens w:val="0"/>
              <w:spacing w:before="40" w:after="40" w:line="220" w:lineRule="exact"/>
              <w:ind w:right="113"/>
              <w:jc w:val="right"/>
              <w:rPr>
                <w:sz w:val="18"/>
                <w:lang w:val="en-US" w:bidi="ar-QA"/>
              </w:rPr>
            </w:pPr>
            <w:r w:rsidRPr="00937282">
              <w:rPr>
                <w:sz w:val="18"/>
                <w:lang w:val="en-US" w:bidi="ar-QA"/>
              </w:rPr>
              <w:t>2 003 700</w:t>
            </w:r>
          </w:p>
        </w:tc>
        <w:tc>
          <w:tcPr>
            <w:tcW w:w="3006" w:type="dxa"/>
            <w:shd w:val="clear" w:color="auto" w:fill="auto"/>
            <w:vAlign w:val="bottom"/>
          </w:tcPr>
          <w:p w:rsidR="004B0C37" w:rsidRPr="00937282" w:rsidRDefault="004B0C37" w:rsidP="00937282">
            <w:pPr>
              <w:suppressAutoHyphens w:val="0"/>
              <w:spacing w:before="40" w:after="40" w:line="220" w:lineRule="exact"/>
              <w:ind w:right="113"/>
              <w:jc w:val="right"/>
              <w:rPr>
                <w:sz w:val="18"/>
                <w:lang w:val="en-US" w:bidi="ar-QA"/>
              </w:rPr>
            </w:pPr>
            <w:r w:rsidRPr="00937282">
              <w:rPr>
                <w:sz w:val="18"/>
                <w:lang w:val="en-US" w:bidi="ar-QA"/>
              </w:rPr>
              <w:t>9.3</w:t>
            </w:r>
          </w:p>
        </w:tc>
      </w:tr>
      <w:tr w:rsidR="004B0C37" w:rsidRPr="00937282" w:rsidTr="00937282">
        <w:tc>
          <w:tcPr>
            <w:tcW w:w="3005" w:type="dxa"/>
            <w:shd w:val="clear" w:color="auto" w:fill="auto"/>
          </w:tcPr>
          <w:p w:rsidR="004B0C37" w:rsidRPr="00937282" w:rsidRDefault="004B0C37" w:rsidP="00937282">
            <w:pPr>
              <w:suppressAutoHyphens w:val="0"/>
              <w:spacing w:before="40" w:after="40" w:line="220" w:lineRule="exact"/>
              <w:ind w:right="113"/>
              <w:rPr>
                <w:sz w:val="18"/>
              </w:rPr>
            </w:pPr>
            <w:r w:rsidRPr="00937282">
              <w:rPr>
                <w:sz w:val="18"/>
              </w:rPr>
              <w:t>2014</w:t>
            </w:r>
          </w:p>
        </w:tc>
        <w:tc>
          <w:tcPr>
            <w:tcW w:w="3005" w:type="dxa"/>
            <w:shd w:val="clear" w:color="auto" w:fill="auto"/>
            <w:vAlign w:val="bottom"/>
          </w:tcPr>
          <w:p w:rsidR="004B0C37" w:rsidRPr="00937282" w:rsidRDefault="004B0C37" w:rsidP="00937282">
            <w:pPr>
              <w:suppressAutoHyphens w:val="0"/>
              <w:spacing w:before="40" w:after="40" w:line="220" w:lineRule="exact"/>
              <w:ind w:right="113"/>
              <w:jc w:val="right"/>
              <w:rPr>
                <w:sz w:val="18"/>
                <w:lang w:val="en-US" w:bidi="ar-QA"/>
              </w:rPr>
            </w:pPr>
            <w:r w:rsidRPr="00937282">
              <w:rPr>
                <w:sz w:val="18"/>
                <w:lang w:val="en-US" w:bidi="ar-QA"/>
              </w:rPr>
              <w:t>2 216 180</w:t>
            </w:r>
          </w:p>
        </w:tc>
        <w:tc>
          <w:tcPr>
            <w:tcW w:w="3006" w:type="dxa"/>
            <w:shd w:val="clear" w:color="auto" w:fill="auto"/>
            <w:vAlign w:val="bottom"/>
          </w:tcPr>
          <w:p w:rsidR="004B0C37" w:rsidRPr="00937282" w:rsidRDefault="004B0C37" w:rsidP="00937282">
            <w:pPr>
              <w:suppressAutoHyphens w:val="0"/>
              <w:spacing w:before="40" w:after="40" w:line="220" w:lineRule="exact"/>
              <w:ind w:right="113"/>
              <w:jc w:val="right"/>
              <w:rPr>
                <w:sz w:val="18"/>
                <w:lang w:val="en-US" w:bidi="ar-QA"/>
              </w:rPr>
            </w:pPr>
            <w:r w:rsidRPr="00937282">
              <w:rPr>
                <w:sz w:val="18"/>
                <w:lang w:val="en-US" w:bidi="ar-QA"/>
              </w:rPr>
              <w:t>10.1</w:t>
            </w:r>
          </w:p>
        </w:tc>
      </w:tr>
      <w:tr w:rsidR="004B0C37" w:rsidRPr="00937282" w:rsidTr="00937282">
        <w:tc>
          <w:tcPr>
            <w:tcW w:w="3005" w:type="dxa"/>
            <w:shd w:val="clear" w:color="auto" w:fill="auto"/>
          </w:tcPr>
          <w:p w:rsidR="004B0C37" w:rsidRPr="00937282" w:rsidRDefault="004B0C37" w:rsidP="00937282">
            <w:pPr>
              <w:suppressAutoHyphens w:val="0"/>
              <w:spacing w:before="40" w:after="40" w:line="220" w:lineRule="exact"/>
              <w:ind w:right="113"/>
              <w:rPr>
                <w:sz w:val="18"/>
              </w:rPr>
            </w:pPr>
            <w:r w:rsidRPr="00937282">
              <w:rPr>
                <w:sz w:val="18"/>
              </w:rPr>
              <w:t>2015</w:t>
            </w:r>
          </w:p>
        </w:tc>
        <w:tc>
          <w:tcPr>
            <w:tcW w:w="3005" w:type="dxa"/>
            <w:shd w:val="clear" w:color="auto" w:fill="auto"/>
            <w:vAlign w:val="bottom"/>
          </w:tcPr>
          <w:p w:rsidR="004B0C37" w:rsidRPr="00937282" w:rsidRDefault="004B0C37" w:rsidP="00937282">
            <w:pPr>
              <w:suppressAutoHyphens w:val="0"/>
              <w:spacing w:before="40" w:after="40" w:line="220" w:lineRule="exact"/>
              <w:ind w:right="113"/>
              <w:jc w:val="right"/>
              <w:rPr>
                <w:sz w:val="18"/>
                <w:lang w:val="en-US" w:bidi="ar-QA"/>
              </w:rPr>
            </w:pPr>
            <w:r w:rsidRPr="00937282">
              <w:rPr>
                <w:sz w:val="18"/>
                <w:lang w:val="en-US" w:bidi="ar-QA"/>
              </w:rPr>
              <w:t>2 437 790</w:t>
            </w:r>
          </w:p>
        </w:tc>
        <w:tc>
          <w:tcPr>
            <w:tcW w:w="3006" w:type="dxa"/>
            <w:shd w:val="clear" w:color="auto" w:fill="auto"/>
            <w:vAlign w:val="bottom"/>
          </w:tcPr>
          <w:p w:rsidR="004B0C37" w:rsidRPr="00937282" w:rsidRDefault="004B0C37" w:rsidP="00937282">
            <w:pPr>
              <w:suppressAutoHyphens w:val="0"/>
              <w:spacing w:before="40" w:after="40" w:line="220" w:lineRule="exact"/>
              <w:ind w:right="113"/>
              <w:jc w:val="right"/>
              <w:rPr>
                <w:sz w:val="18"/>
                <w:lang w:val="en-US" w:bidi="ar-QA"/>
              </w:rPr>
            </w:pPr>
            <w:r w:rsidRPr="00937282">
              <w:rPr>
                <w:sz w:val="18"/>
                <w:lang w:val="en-US" w:bidi="ar-QA"/>
              </w:rPr>
              <w:t>9.5</w:t>
            </w:r>
          </w:p>
        </w:tc>
      </w:tr>
      <w:tr w:rsidR="004B0C37" w:rsidRPr="00937282" w:rsidTr="00937282">
        <w:tc>
          <w:tcPr>
            <w:tcW w:w="3005" w:type="dxa"/>
            <w:shd w:val="clear" w:color="auto" w:fill="auto"/>
          </w:tcPr>
          <w:p w:rsidR="004B0C37" w:rsidRPr="00937282" w:rsidRDefault="004B0C37" w:rsidP="00937282">
            <w:pPr>
              <w:suppressAutoHyphens w:val="0"/>
              <w:spacing w:before="40" w:after="40" w:line="220" w:lineRule="exact"/>
              <w:ind w:right="113"/>
              <w:rPr>
                <w:sz w:val="18"/>
              </w:rPr>
            </w:pPr>
            <w:r w:rsidRPr="00937282">
              <w:rPr>
                <w:sz w:val="18"/>
              </w:rPr>
              <w:t>2016</w:t>
            </w:r>
          </w:p>
        </w:tc>
        <w:tc>
          <w:tcPr>
            <w:tcW w:w="3005" w:type="dxa"/>
            <w:shd w:val="clear" w:color="auto" w:fill="auto"/>
            <w:vAlign w:val="bottom"/>
          </w:tcPr>
          <w:p w:rsidR="004B0C37" w:rsidRPr="00937282" w:rsidRDefault="004B0C37" w:rsidP="00937282">
            <w:pPr>
              <w:suppressAutoHyphens w:val="0"/>
              <w:spacing w:before="40" w:after="40" w:line="220" w:lineRule="exact"/>
              <w:ind w:right="113"/>
              <w:jc w:val="right"/>
              <w:rPr>
                <w:sz w:val="18"/>
                <w:lang w:val="en-US" w:bidi="ar-QA"/>
              </w:rPr>
            </w:pPr>
            <w:r w:rsidRPr="00937282">
              <w:rPr>
                <w:sz w:val="18"/>
                <w:lang w:val="en-US" w:bidi="ar-QA"/>
              </w:rPr>
              <w:t>2 617 634</w:t>
            </w:r>
          </w:p>
        </w:tc>
        <w:tc>
          <w:tcPr>
            <w:tcW w:w="3006" w:type="dxa"/>
            <w:shd w:val="clear" w:color="auto" w:fill="auto"/>
            <w:vAlign w:val="bottom"/>
          </w:tcPr>
          <w:p w:rsidR="004B0C37" w:rsidRPr="00937282" w:rsidRDefault="004B0C37" w:rsidP="00937282">
            <w:pPr>
              <w:suppressAutoHyphens w:val="0"/>
              <w:spacing w:before="40" w:after="40" w:line="220" w:lineRule="exact"/>
              <w:ind w:right="113"/>
              <w:jc w:val="right"/>
              <w:rPr>
                <w:sz w:val="18"/>
                <w:lang w:val="en-US" w:bidi="ar-QA"/>
              </w:rPr>
            </w:pPr>
            <w:r w:rsidRPr="00937282">
              <w:rPr>
                <w:sz w:val="18"/>
                <w:lang w:val="en-US" w:bidi="ar-QA"/>
              </w:rPr>
              <w:t>7.1</w:t>
            </w:r>
          </w:p>
        </w:tc>
      </w:tr>
    </w:tbl>
    <w:p w:rsidR="004B0C37" w:rsidRPr="00FD332B" w:rsidRDefault="004B0C37" w:rsidP="00FD332B">
      <w:pPr>
        <w:spacing w:before="120" w:after="240"/>
        <w:ind w:left="1134" w:right="1134" w:firstLine="170"/>
        <w:rPr>
          <w:sz w:val="18"/>
        </w:rPr>
      </w:pPr>
      <w:r w:rsidRPr="00FD332B">
        <w:rPr>
          <w:i/>
          <w:iCs/>
          <w:sz w:val="18"/>
        </w:rPr>
        <w:t>Source:</w:t>
      </w:r>
      <w:r w:rsidRPr="00FD332B">
        <w:rPr>
          <w:sz w:val="18"/>
        </w:rPr>
        <w:t xml:space="preserve"> </w:t>
      </w:r>
      <w:r w:rsidR="00FD332B">
        <w:rPr>
          <w:sz w:val="18"/>
        </w:rPr>
        <w:t xml:space="preserve"> </w:t>
      </w:r>
      <w:r w:rsidRPr="00FD332B">
        <w:rPr>
          <w:sz w:val="18"/>
        </w:rPr>
        <w:t>Ministry of Development Planning and Statistics: Population and Social Statistics (Qatar in figures, 2017)</w:t>
      </w:r>
      <w:r w:rsidR="00D01E47">
        <w:rPr>
          <w:sz w:val="18"/>
        </w:rPr>
        <w:t>.</w:t>
      </w:r>
    </w:p>
    <w:p w:rsidR="004B0C37" w:rsidRPr="00767295" w:rsidRDefault="004B0C37" w:rsidP="00767295">
      <w:pPr>
        <w:pStyle w:val="Heading1"/>
        <w:spacing w:after="120"/>
        <w:rPr>
          <w:b/>
          <w:bCs/>
        </w:rPr>
      </w:pPr>
      <w:r w:rsidRPr="0034732A">
        <w:t>Table 7</w:t>
      </w:r>
      <w:r w:rsidR="00767295">
        <w:br/>
      </w:r>
      <w:r w:rsidRPr="00767295">
        <w:rPr>
          <w:b/>
          <w:bCs/>
        </w:rPr>
        <w:t>Population density (2015)</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960"/>
        <w:gridCol w:w="3526"/>
        <w:gridCol w:w="2884"/>
      </w:tblGrid>
      <w:tr w:rsidR="004B0C37" w:rsidRPr="00767295" w:rsidTr="00767295">
        <w:trPr>
          <w:tblHeader/>
        </w:trPr>
        <w:tc>
          <w:tcPr>
            <w:tcW w:w="850" w:type="dxa"/>
            <w:tcBorders>
              <w:top w:val="single" w:sz="4" w:space="0" w:color="auto"/>
              <w:bottom w:val="single" w:sz="12" w:space="0" w:color="auto"/>
            </w:tcBorders>
            <w:shd w:val="clear" w:color="auto" w:fill="auto"/>
            <w:vAlign w:val="bottom"/>
          </w:tcPr>
          <w:p w:rsidR="004B0C37" w:rsidRPr="00767295" w:rsidRDefault="004B0C37" w:rsidP="00767295">
            <w:pPr>
              <w:suppressAutoHyphens w:val="0"/>
              <w:spacing w:before="80" w:after="80" w:line="200" w:lineRule="exact"/>
              <w:ind w:right="113"/>
              <w:rPr>
                <w:i/>
                <w:sz w:val="16"/>
              </w:rPr>
            </w:pPr>
            <w:r w:rsidRPr="00767295">
              <w:rPr>
                <w:i/>
                <w:sz w:val="16"/>
              </w:rPr>
              <w:t>No.</w:t>
            </w:r>
          </w:p>
        </w:tc>
        <w:tc>
          <w:tcPr>
            <w:tcW w:w="3119" w:type="dxa"/>
            <w:tcBorders>
              <w:top w:val="single" w:sz="4" w:space="0" w:color="auto"/>
              <w:bottom w:val="single" w:sz="12" w:space="0" w:color="auto"/>
            </w:tcBorders>
            <w:shd w:val="clear" w:color="auto" w:fill="auto"/>
            <w:vAlign w:val="bottom"/>
          </w:tcPr>
          <w:p w:rsidR="004B0C37" w:rsidRPr="00767295" w:rsidRDefault="004B0C37" w:rsidP="00D7195A">
            <w:pPr>
              <w:suppressAutoHyphens w:val="0"/>
              <w:spacing w:before="80" w:after="80" w:line="200" w:lineRule="exact"/>
              <w:ind w:right="113"/>
              <w:rPr>
                <w:i/>
                <w:sz w:val="16"/>
              </w:rPr>
            </w:pPr>
            <w:r w:rsidRPr="00767295">
              <w:rPr>
                <w:i/>
                <w:sz w:val="16"/>
              </w:rPr>
              <w:t>Municipality</w:t>
            </w:r>
          </w:p>
        </w:tc>
        <w:tc>
          <w:tcPr>
            <w:tcW w:w="2551" w:type="dxa"/>
            <w:tcBorders>
              <w:top w:val="single" w:sz="4" w:space="0" w:color="auto"/>
              <w:bottom w:val="single" w:sz="12" w:space="0" w:color="auto"/>
            </w:tcBorders>
            <w:shd w:val="clear" w:color="auto" w:fill="auto"/>
            <w:vAlign w:val="bottom"/>
          </w:tcPr>
          <w:p w:rsidR="004B0C37" w:rsidRPr="00767295" w:rsidRDefault="004B0C37" w:rsidP="00D7195A">
            <w:pPr>
              <w:suppressAutoHyphens w:val="0"/>
              <w:spacing w:before="80" w:after="80" w:line="200" w:lineRule="exact"/>
              <w:ind w:right="113"/>
              <w:jc w:val="right"/>
              <w:rPr>
                <w:i/>
                <w:sz w:val="16"/>
              </w:rPr>
            </w:pPr>
            <w:r w:rsidRPr="00767295">
              <w:rPr>
                <w:i/>
                <w:sz w:val="16"/>
              </w:rPr>
              <w:t>Population density km</w:t>
            </w:r>
            <w:r w:rsidRPr="00767295">
              <w:rPr>
                <w:i/>
                <w:sz w:val="16"/>
                <w:vertAlign w:val="superscript"/>
              </w:rPr>
              <w:t>2</w:t>
            </w:r>
          </w:p>
        </w:tc>
      </w:tr>
      <w:tr w:rsidR="004B0C37" w:rsidRPr="00767295" w:rsidTr="00767295">
        <w:tc>
          <w:tcPr>
            <w:tcW w:w="850" w:type="dxa"/>
            <w:tcBorders>
              <w:top w:val="single" w:sz="12" w:space="0" w:color="auto"/>
            </w:tcBorders>
            <w:shd w:val="clear" w:color="auto" w:fill="auto"/>
          </w:tcPr>
          <w:p w:rsidR="004B0C37" w:rsidRPr="00767295" w:rsidRDefault="004B0C37" w:rsidP="00767295">
            <w:pPr>
              <w:suppressAutoHyphens w:val="0"/>
              <w:spacing w:before="40" w:after="40" w:line="220" w:lineRule="exact"/>
              <w:ind w:right="113"/>
              <w:rPr>
                <w:sz w:val="18"/>
              </w:rPr>
            </w:pPr>
            <w:r w:rsidRPr="00767295">
              <w:rPr>
                <w:sz w:val="18"/>
              </w:rPr>
              <w:t>1</w:t>
            </w:r>
          </w:p>
        </w:tc>
        <w:tc>
          <w:tcPr>
            <w:tcW w:w="3119" w:type="dxa"/>
            <w:tcBorders>
              <w:top w:val="single" w:sz="12" w:space="0" w:color="auto"/>
            </w:tcBorders>
            <w:shd w:val="clear" w:color="auto" w:fill="auto"/>
            <w:vAlign w:val="bottom"/>
          </w:tcPr>
          <w:p w:rsidR="004B0C37" w:rsidRPr="00767295" w:rsidRDefault="004B0C37" w:rsidP="00D7195A">
            <w:pPr>
              <w:suppressAutoHyphens w:val="0"/>
              <w:spacing w:before="40" w:after="40" w:line="220" w:lineRule="exact"/>
              <w:ind w:right="113"/>
              <w:rPr>
                <w:sz w:val="18"/>
              </w:rPr>
            </w:pPr>
            <w:r w:rsidRPr="00767295">
              <w:rPr>
                <w:sz w:val="18"/>
              </w:rPr>
              <w:t>Doha</w:t>
            </w:r>
          </w:p>
        </w:tc>
        <w:tc>
          <w:tcPr>
            <w:tcW w:w="2551" w:type="dxa"/>
            <w:tcBorders>
              <w:top w:val="single" w:sz="12" w:space="0" w:color="auto"/>
            </w:tcBorders>
            <w:shd w:val="clear" w:color="auto" w:fill="auto"/>
            <w:vAlign w:val="bottom"/>
          </w:tcPr>
          <w:p w:rsidR="004B0C37" w:rsidRPr="00767295" w:rsidRDefault="004B0C37" w:rsidP="00767295">
            <w:pPr>
              <w:suppressAutoHyphens w:val="0"/>
              <w:spacing w:before="40" w:after="40" w:line="220" w:lineRule="exact"/>
              <w:ind w:right="113"/>
              <w:jc w:val="right"/>
              <w:rPr>
                <w:sz w:val="18"/>
                <w:lang w:val="en-US" w:bidi="ar-QA"/>
              </w:rPr>
            </w:pPr>
            <w:r w:rsidRPr="00767295">
              <w:rPr>
                <w:sz w:val="18"/>
                <w:lang w:val="en-US" w:bidi="ar-QA"/>
              </w:rPr>
              <w:t>4 354.3</w:t>
            </w:r>
          </w:p>
        </w:tc>
      </w:tr>
      <w:tr w:rsidR="004B0C37" w:rsidRPr="00767295" w:rsidTr="00767295">
        <w:tc>
          <w:tcPr>
            <w:tcW w:w="850" w:type="dxa"/>
            <w:shd w:val="clear" w:color="auto" w:fill="auto"/>
          </w:tcPr>
          <w:p w:rsidR="004B0C37" w:rsidRPr="00767295" w:rsidRDefault="004B0C37" w:rsidP="00767295">
            <w:pPr>
              <w:suppressAutoHyphens w:val="0"/>
              <w:spacing w:before="40" w:after="40" w:line="220" w:lineRule="exact"/>
              <w:ind w:right="113"/>
              <w:rPr>
                <w:sz w:val="18"/>
              </w:rPr>
            </w:pPr>
            <w:r w:rsidRPr="00767295">
              <w:rPr>
                <w:sz w:val="18"/>
              </w:rPr>
              <w:t>2</w:t>
            </w:r>
          </w:p>
        </w:tc>
        <w:tc>
          <w:tcPr>
            <w:tcW w:w="3119" w:type="dxa"/>
            <w:shd w:val="clear" w:color="auto" w:fill="auto"/>
            <w:vAlign w:val="bottom"/>
          </w:tcPr>
          <w:p w:rsidR="004B0C37" w:rsidRPr="00767295" w:rsidRDefault="004B0C37" w:rsidP="00D7195A">
            <w:pPr>
              <w:suppressAutoHyphens w:val="0"/>
              <w:spacing w:before="40" w:after="40" w:line="220" w:lineRule="exact"/>
              <w:ind w:right="113"/>
              <w:rPr>
                <w:sz w:val="18"/>
              </w:rPr>
            </w:pPr>
            <w:proofErr w:type="spellStart"/>
            <w:r w:rsidRPr="00767295">
              <w:rPr>
                <w:sz w:val="18"/>
              </w:rPr>
              <w:t>Rayyan</w:t>
            </w:r>
            <w:proofErr w:type="spellEnd"/>
          </w:p>
        </w:tc>
        <w:tc>
          <w:tcPr>
            <w:tcW w:w="2551" w:type="dxa"/>
            <w:shd w:val="clear" w:color="auto" w:fill="auto"/>
            <w:vAlign w:val="bottom"/>
          </w:tcPr>
          <w:p w:rsidR="004B0C37" w:rsidRPr="00767295" w:rsidRDefault="004B0C37" w:rsidP="00767295">
            <w:pPr>
              <w:suppressAutoHyphens w:val="0"/>
              <w:spacing w:before="40" w:after="40" w:line="220" w:lineRule="exact"/>
              <w:ind w:right="113"/>
              <w:jc w:val="right"/>
              <w:rPr>
                <w:sz w:val="18"/>
                <w:lang w:val="en-US" w:bidi="ar-QA"/>
              </w:rPr>
            </w:pPr>
            <w:r w:rsidRPr="00767295">
              <w:rPr>
                <w:sz w:val="18"/>
                <w:lang w:val="en-US" w:bidi="ar-QA"/>
              </w:rPr>
              <w:t>247.2</w:t>
            </w:r>
          </w:p>
        </w:tc>
      </w:tr>
      <w:tr w:rsidR="004B0C37" w:rsidRPr="00767295" w:rsidTr="00767295">
        <w:tc>
          <w:tcPr>
            <w:tcW w:w="850" w:type="dxa"/>
            <w:shd w:val="clear" w:color="auto" w:fill="auto"/>
          </w:tcPr>
          <w:p w:rsidR="004B0C37" w:rsidRPr="00767295" w:rsidRDefault="004B0C37" w:rsidP="00767295">
            <w:pPr>
              <w:suppressAutoHyphens w:val="0"/>
              <w:spacing w:before="40" w:after="40" w:line="220" w:lineRule="exact"/>
              <w:ind w:right="113"/>
              <w:rPr>
                <w:sz w:val="18"/>
              </w:rPr>
            </w:pPr>
            <w:r w:rsidRPr="00767295">
              <w:rPr>
                <w:sz w:val="18"/>
              </w:rPr>
              <w:t>3</w:t>
            </w:r>
          </w:p>
        </w:tc>
        <w:tc>
          <w:tcPr>
            <w:tcW w:w="3119" w:type="dxa"/>
            <w:shd w:val="clear" w:color="auto" w:fill="auto"/>
            <w:vAlign w:val="bottom"/>
          </w:tcPr>
          <w:p w:rsidR="004B0C37" w:rsidRPr="00767295" w:rsidRDefault="004B0C37" w:rsidP="00D7195A">
            <w:pPr>
              <w:suppressAutoHyphens w:val="0"/>
              <w:spacing w:before="40" w:after="40" w:line="220" w:lineRule="exact"/>
              <w:ind w:right="113"/>
              <w:rPr>
                <w:sz w:val="18"/>
              </w:rPr>
            </w:pPr>
            <w:proofErr w:type="spellStart"/>
            <w:r w:rsidRPr="00767295">
              <w:rPr>
                <w:sz w:val="18"/>
              </w:rPr>
              <w:t>Wakra</w:t>
            </w:r>
            <w:proofErr w:type="spellEnd"/>
          </w:p>
        </w:tc>
        <w:tc>
          <w:tcPr>
            <w:tcW w:w="2551" w:type="dxa"/>
            <w:shd w:val="clear" w:color="auto" w:fill="auto"/>
            <w:vAlign w:val="bottom"/>
          </w:tcPr>
          <w:p w:rsidR="004B0C37" w:rsidRPr="00767295" w:rsidRDefault="004B0C37" w:rsidP="00767295">
            <w:pPr>
              <w:suppressAutoHyphens w:val="0"/>
              <w:spacing w:before="40" w:after="40" w:line="220" w:lineRule="exact"/>
              <w:ind w:right="113"/>
              <w:jc w:val="right"/>
              <w:rPr>
                <w:sz w:val="18"/>
                <w:lang w:val="en-US" w:bidi="ar-QA"/>
              </w:rPr>
            </w:pPr>
            <w:r w:rsidRPr="00767295">
              <w:rPr>
                <w:sz w:val="18"/>
                <w:lang w:val="en-US" w:bidi="ar-QA"/>
              </w:rPr>
              <w:t>116.0</w:t>
            </w:r>
          </w:p>
        </w:tc>
      </w:tr>
      <w:tr w:rsidR="004B0C37" w:rsidRPr="00767295" w:rsidTr="00767295">
        <w:tc>
          <w:tcPr>
            <w:tcW w:w="850" w:type="dxa"/>
            <w:shd w:val="clear" w:color="auto" w:fill="auto"/>
          </w:tcPr>
          <w:p w:rsidR="004B0C37" w:rsidRPr="00767295" w:rsidRDefault="004B0C37" w:rsidP="00767295">
            <w:pPr>
              <w:suppressAutoHyphens w:val="0"/>
              <w:spacing w:before="40" w:after="40" w:line="220" w:lineRule="exact"/>
              <w:ind w:right="113"/>
              <w:rPr>
                <w:sz w:val="18"/>
              </w:rPr>
            </w:pPr>
            <w:r w:rsidRPr="00767295">
              <w:rPr>
                <w:sz w:val="18"/>
              </w:rPr>
              <w:t>4</w:t>
            </w:r>
          </w:p>
        </w:tc>
        <w:tc>
          <w:tcPr>
            <w:tcW w:w="3119" w:type="dxa"/>
            <w:shd w:val="clear" w:color="auto" w:fill="auto"/>
            <w:vAlign w:val="bottom"/>
          </w:tcPr>
          <w:p w:rsidR="004B0C37" w:rsidRPr="00767295" w:rsidRDefault="004B0C37" w:rsidP="00D7195A">
            <w:pPr>
              <w:suppressAutoHyphens w:val="0"/>
              <w:spacing w:before="40" w:after="40" w:line="220" w:lineRule="exact"/>
              <w:ind w:right="113"/>
              <w:rPr>
                <w:sz w:val="18"/>
              </w:rPr>
            </w:pPr>
            <w:r w:rsidRPr="00767295">
              <w:rPr>
                <w:sz w:val="18"/>
              </w:rPr>
              <w:t xml:space="preserve">Umm </w:t>
            </w:r>
            <w:proofErr w:type="spellStart"/>
            <w:r w:rsidRPr="00767295">
              <w:rPr>
                <w:sz w:val="18"/>
              </w:rPr>
              <w:t>Salal</w:t>
            </w:r>
            <w:proofErr w:type="spellEnd"/>
          </w:p>
        </w:tc>
        <w:tc>
          <w:tcPr>
            <w:tcW w:w="2551" w:type="dxa"/>
            <w:shd w:val="clear" w:color="auto" w:fill="auto"/>
            <w:vAlign w:val="bottom"/>
          </w:tcPr>
          <w:p w:rsidR="004B0C37" w:rsidRPr="00767295" w:rsidRDefault="004B0C37" w:rsidP="00767295">
            <w:pPr>
              <w:suppressAutoHyphens w:val="0"/>
              <w:spacing w:before="40" w:after="40" w:line="220" w:lineRule="exact"/>
              <w:ind w:right="113"/>
              <w:jc w:val="right"/>
              <w:rPr>
                <w:sz w:val="18"/>
                <w:lang w:val="en-US" w:bidi="ar-QA"/>
              </w:rPr>
            </w:pPr>
            <w:r w:rsidRPr="00767295">
              <w:rPr>
                <w:sz w:val="18"/>
                <w:lang w:val="en-US" w:bidi="ar-QA"/>
              </w:rPr>
              <w:t>285.2</w:t>
            </w:r>
          </w:p>
        </w:tc>
      </w:tr>
      <w:tr w:rsidR="004B0C37" w:rsidRPr="00767295" w:rsidTr="00214169">
        <w:tc>
          <w:tcPr>
            <w:tcW w:w="850" w:type="dxa"/>
            <w:tcBorders>
              <w:bottom w:val="nil"/>
            </w:tcBorders>
            <w:shd w:val="clear" w:color="auto" w:fill="auto"/>
          </w:tcPr>
          <w:p w:rsidR="004B0C37" w:rsidRPr="00767295" w:rsidRDefault="004B0C37" w:rsidP="00767295">
            <w:pPr>
              <w:suppressAutoHyphens w:val="0"/>
              <w:spacing w:before="40" w:after="40" w:line="220" w:lineRule="exact"/>
              <w:ind w:right="113"/>
              <w:rPr>
                <w:sz w:val="18"/>
              </w:rPr>
            </w:pPr>
            <w:r w:rsidRPr="00767295">
              <w:rPr>
                <w:sz w:val="18"/>
              </w:rPr>
              <w:t>5</w:t>
            </w:r>
          </w:p>
        </w:tc>
        <w:tc>
          <w:tcPr>
            <w:tcW w:w="3119" w:type="dxa"/>
            <w:tcBorders>
              <w:bottom w:val="nil"/>
            </w:tcBorders>
            <w:shd w:val="clear" w:color="auto" w:fill="auto"/>
            <w:vAlign w:val="bottom"/>
          </w:tcPr>
          <w:p w:rsidR="004B0C37" w:rsidRPr="00767295" w:rsidRDefault="004B0C37" w:rsidP="00D7195A">
            <w:pPr>
              <w:suppressAutoHyphens w:val="0"/>
              <w:spacing w:before="40" w:after="40" w:line="220" w:lineRule="exact"/>
              <w:ind w:right="113"/>
              <w:rPr>
                <w:sz w:val="18"/>
              </w:rPr>
            </w:pPr>
            <w:proofErr w:type="spellStart"/>
            <w:r w:rsidRPr="00767295">
              <w:rPr>
                <w:sz w:val="18"/>
              </w:rPr>
              <w:t>Khor</w:t>
            </w:r>
            <w:proofErr w:type="spellEnd"/>
            <w:r w:rsidRPr="00767295">
              <w:rPr>
                <w:sz w:val="18"/>
              </w:rPr>
              <w:t xml:space="preserve"> and </w:t>
            </w:r>
            <w:proofErr w:type="spellStart"/>
            <w:r w:rsidRPr="00767295">
              <w:rPr>
                <w:sz w:val="18"/>
              </w:rPr>
              <w:t>Dakhira</w:t>
            </w:r>
            <w:proofErr w:type="spellEnd"/>
            <w:r w:rsidRPr="00767295">
              <w:rPr>
                <w:sz w:val="18"/>
              </w:rPr>
              <w:t xml:space="preserve"> </w:t>
            </w:r>
          </w:p>
        </w:tc>
        <w:tc>
          <w:tcPr>
            <w:tcW w:w="2551" w:type="dxa"/>
            <w:tcBorders>
              <w:bottom w:val="nil"/>
            </w:tcBorders>
            <w:shd w:val="clear" w:color="auto" w:fill="auto"/>
            <w:vAlign w:val="bottom"/>
          </w:tcPr>
          <w:p w:rsidR="004B0C37" w:rsidRPr="00767295" w:rsidRDefault="004B0C37" w:rsidP="00767295">
            <w:pPr>
              <w:suppressAutoHyphens w:val="0"/>
              <w:spacing w:before="40" w:after="40" w:line="220" w:lineRule="exact"/>
              <w:ind w:right="113"/>
              <w:jc w:val="right"/>
              <w:rPr>
                <w:sz w:val="18"/>
                <w:lang w:val="en-US" w:bidi="ar-QA"/>
              </w:rPr>
            </w:pPr>
            <w:r w:rsidRPr="00767295">
              <w:rPr>
                <w:sz w:val="18"/>
                <w:lang w:val="en-US" w:bidi="ar-QA"/>
              </w:rPr>
              <w:t>126.1</w:t>
            </w:r>
          </w:p>
        </w:tc>
      </w:tr>
      <w:tr w:rsidR="004B0C37" w:rsidRPr="00767295" w:rsidTr="00214169">
        <w:tc>
          <w:tcPr>
            <w:tcW w:w="850" w:type="dxa"/>
            <w:tcBorders>
              <w:top w:val="nil"/>
              <w:bottom w:val="nil"/>
            </w:tcBorders>
            <w:shd w:val="clear" w:color="auto" w:fill="auto"/>
          </w:tcPr>
          <w:p w:rsidR="004B0C37" w:rsidRPr="00767295" w:rsidRDefault="004B0C37" w:rsidP="00767295">
            <w:pPr>
              <w:suppressAutoHyphens w:val="0"/>
              <w:spacing w:before="40" w:after="40" w:line="220" w:lineRule="exact"/>
              <w:ind w:right="113"/>
              <w:rPr>
                <w:sz w:val="18"/>
              </w:rPr>
            </w:pPr>
            <w:r w:rsidRPr="00767295">
              <w:rPr>
                <w:sz w:val="18"/>
              </w:rPr>
              <w:t>6</w:t>
            </w:r>
          </w:p>
        </w:tc>
        <w:tc>
          <w:tcPr>
            <w:tcW w:w="3119" w:type="dxa"/>
            <w:tcBorders>
              <w:top w:val="nil"/>
              <w:bottom w:val="nil"/>
            </w:tcBorders>
            <w:shd w:val="clear" w:color="auto" w:fill="auto"/>
            <w:vAlign w:val="bottom"/>
          </w:tcPr>
          <w:p w:rsidR="004B0C37" w:rsidRPr="00767295" w:rsidRDefault="004B0C37" w:rsidP="00D7195A">
            <w:pPr>
              <w:suppressAutoHyphens w:val="0"/>
              <w:spacing w:before="40" w:after="40" w:line="220" w:lineRule="exact"/>
              <w:ind w:right="113"/>
              <w:rPr>
                <w:sz w:val="18"/>
              </w:rPr>
            </w:pPr>
            <w:proofErr w:type="spellStart"/>
            <w:r w:rsidRPr="00767295">
              <w:rPr>
                <w:sz w:val="18"/>
              </w:rPr>
              <w:t>Shamal</w:t>
            </w:r>
            <w:proofErr w:type="spellEnd"/>
          </w:p>
        </w:tc>
        <w:tc>
          <w:tcPr>
            <w:tcW w:w="2551" w:type="dxa"/>
            <w:tcBorders>
              <w:top w:val="nil"/>
              <w:bottom w:val="nil"/>
            </w:tcBorders>
            <w:shd w:val="clear" w:color="auto" w:fill="auto"/>
            <w:vAlign w:val="bottom"/>
          </w:tcPr>
          <w:p w:rsidR="004B0C37" w:rsidRPr="00767295" w:rsidRDefault="004B0C37" w:rsidP="00767295">
            <w:pPr>
              <w:suppressAutoHyphens w:val="0"/>
              <w:spacing w:before="40" w:after="40" w:line="220" w:lineRule="exact"/>
              <w:ind w:right="113"/>
              <w:jc w:val="right"/>
              <w:rPr>
                <w:sz w:val="18"/>
                <w:lang w:val="en-US" w:bidi="ar-QA"/>
              </w:rPr>
            </w:pPr>
            <w:r w:rsidRPr="00767295">
              <w:rPr>
                <w:sz w:val="18"/>
                <w:lang w:val="en-US" w:bidi="ar-QA"/>
              </w:rPr>
              <w:t>10.2</w:t>
            </w:r>
          </w:p>
        </w:tc>
      </w:tr>
      <w:tr w:rsidR="004B0C37" w:rsidRPr="00767295" w:rsidTr="00214169">
        <w:tc>
          <w:tcPr>
            <w:tcW w:w="850" w:type="dxa"/>
            <w:tcBorders>
              <w:top w:val="nil"/>
              <w:bottom w:val="nil"/>
            </w:tcBorders>
            <w:shd w:val="clear" w:color="auto" w:fill="auto"/>
          </w:tcPr>
          <w:p w:rsidR="004B0C37" w:rsidRPr="00767295" w:rsidRDefault="004B0C37" w:rsidP="00214169">
            <w:pPr>
              <w:keepNext/>
              <w:keepLines/>
              <w:suppressAutoHyphens w:val="0"/>
              <w:spacing w:before="40" w:after="40" w:line="220" w:lineRule="exact"/>
              <w:ind w:right="113"/>
              <w:rPr>
                <w:sz w:val="18"/>
              </w:rPr>
            </w:pPr>
            <w:r w:rsidRPr="00767295">
              <w:rPr>
                <w:sz w:val="18"/>
              </w:rPr>
              <w:lastRenderedPageBreak/>
              <w:t>7</w:t>
            </w:r>
          </w:p>
        </w:tc>
        <w:tc>
          <w:tcPr>
            <w:tcW w:w="3119" w:type="dxa"/>
            <w:tcBorders>
              <w:top w:val="nil"/>
              <w:bottom w:val="nil"/>
            </w:tcBorders>
            <w:shd w:val="clear" w:color="auto" w:fill="auto"/>
            <w:vAlign w:val="bottom"/>
          </w:tcPr>
          <w:p w:rsidR="004B0C37" w:rsidRPr="00767295" w:rsidRDefault="004B0C37" w:rsidP="00214169">
            <w:pPr>
              <w:keepNext/>
              <w:keepLines/>
              <w:suppressAutoHyphens w:val="0"/>
              <w:spacing w:before="40" w:after="40" w:line="220" w:lineRule="exact"/>
              <w:ind w:right="113"/>
              <w:rPr>
                <w:sz w:val="18"/>
              </w:rPr>
            </w:pPr>
            <w:proofErr w:type="spellStart"/>
            <w:r w:rsidRPr="00767295">
              <w:rPr>
                <w:sz w:val="18"/>
              </w:rPr>
              <w:t>Daayen</w:t>
            </w:r>
            <w:proofErr w:type="spellEnd"/>
          </w:p>
        </w:tc>
        <w:tc>
          <w:tcPr>
            <w:tcW w:w="2551" w:type="dxa"/>
            <w:tcBorders>
              <w:top w:val="nil"/>
              <w:bottom w:val="nil"/>
            </w:tcBorders>
            <w:shd w:val="clear" w:color="auto" w:fill="auto"/>
            <w:vAlign w:val="bottom"/>
          </w:tcPr>
          <w:p w:rsidR="004B0C37" w:rsidRPr="00767295" w:rsidRDefault="004B0C37" w:rsidP="00214169">
            <w:pPr>
              <w:keepNext/>
              <w:keepLines/>
              <w:suppressAutoHyphens w:val="0"/>
              <w:spacing w:before="40" w:after="40" w:line="220" w:lineRule="exact"/>
              <w:ind w:right="113"/>
              <w:jc w:val="right"/>
              <w:rPr>
                <w:sz w:val="18"/>
                <w:lang w:val="en-US" w:bidi="ar-QA"/>
              </w:rPr>
            </w:pPr>
            <w:r w:rsidRPr="00767295">
              <w:rPr>
                <w:sz w:val="18"/>
                <w:lang w:val="en-US" w:bidi="ar-QA"/>
              </w:rPr>
              <w:t>187.2</w:t>
            </w:r>
          </w:p>
        </w:tc>
      </w:tr>
      <w:tr w:rsidR="004B0C37" w:rsidRPr="00767295" w:rsidTr="00D2645C">
        <w:tc>
          <w:tcPr>
            <w:tcW w:w="850" w:type="dxa"/>
            <w:tcBorders>
              <w:top w:val="nil"/>
              <w:bottom w:val="single" w:sz="4" w:space="0" w:color="auto"/>
            </w:tcBorders>
            <w:shd w:val="clear" w:color="auto" w:fill="auto"/>
          </w:tcPr>
          <w:p w:rsidR="004B0C37" w:rsidRPr="00767295" w:rsidRDefault="004B0C37" w:rsidP="00214169">
            <w:pPr>
              <w:keepNext/>
              <w:keepLines/>
              <w:suppressAutoHyphens w:val="0"/>
              <w:spacing w:before="40" w:after="40" w:line="220" w:lineRule="exact"/>
              <w:ind w:right="113"/>
              <w:rPr>
                <w:sz w:val="18"/>
              </w:rPr>
            </w:pPr>
            <w:r w:rsidRPr="00767295">
              <w:rPr>
                <w:sz w:val="18"/>
              </w:rPr>
              <w:t>8</w:t>
            </w:r>
          </w:p>
        </w:tc>
        <w:tc>
          <w:tcPr>
            <w:tcW w:w="3119" w:type="dxa"/>
            <w:tcBorders>
              <w:top w:val="nil"/>
              <w:bottom w:val="single" w:sz="4" w:space="0" w:color="auto"/>
            </w:tcBorders>
            <w:shd w:val="clear" w:color="auto" w:fill="auto"/>
            <w:vAlign w:val="bottom"/>
          </w:tcPr>
          <w:p w:rsidR="004B0C37" w:rsidRPr="00767295" w:rsidRDefault="004B0C37" w:rsidP="00214169">
            <w:pPr>
              <w:keepNext/>
              <w:keepLines/>
              <w:suppressAutoHyphens w:val="0"/>
              <w:spacing w:before="40" w:after="40" w:line="220" w:lineRule="exact"/>
              <w:ind w:right="113"/>
              <w:rPr>
                <w:sz w:val="18"/>
              </w:rPr>
            </w:pPr>
            <w:proofErr w:type="spellStart"/>
            <w:r w:rsidRPr="00767295">
              <w:rPr>
                <w:sz w:val="18"/>
              </w:rPr>
              <w:t>Shahaniya</w:t>
            </w:r>
            <w:proofErr w:type="spellEnd"/>
          </w:p>
        </w:tc>
        <w:tc>
          <w:tcPr>
            <w:tcW w:w="2551" w:type="dxa"/>
            <w:tcBorders>
              <w:top w:val="nil"/>
              <w:bottom w:val="nil"/>
            </w:tcBorders>
            <w:shd w:val="clear" w:color="auto" w:fill="auto"/>
            <w:vAlign w:val="bottom"/>
          </w:tcPr>
          <w:p w:rsidR="004B0C37" w:rsidRPr="00767295" w:rsidRDefault="004B0C37" w:rsidP="00214169">
            <w:pPr>
              <w:keepNext/>
              <w:keepLines/>
              <w:suppressAutoHyphens w:val="0"/>
              <w:spacing w:before="40" w:after="40" w:line="220" w:lineRule="exact"/>
              <w:ind w:right="113"/>
              <w:jc w:val="right"/>
              <w:rPr>
                <w:sz w:val="18"/>
                <w:lang w:val="en-US" w:bidi="ar-QA"/>
              </w:rPr>
            </w:pPr>
            <w:r w:rsidRPr="00767295">
              <w:rPr>
                <w:sz w:val="18"/>
                <w:lang w:val="en-US" w:bidi="ar-QA"/>
              </w:rPr>
              <w:t>56.7</w:t>
            </w:r>
          </w:p>
        </w:tc>
      </w:tr>
      <w:tr w:rsidR="004B0C37" w:rsidRPr="00767295" w:rsidTr="00D2645C">
        <w:tc>
          <w:tcPr>
            <w:tcW w:w="3969" w:type="dxa"/>
            <w:gridSpan w:val="2"/>
            <w:tcBorders>
              <w:top w:val="single" w:sz="4" w:space="0" w:color="auto"/>
            </w:tcBorders>
            <w:shd w:val="clear" w:color="auto" w:fill="auto"/>
          </w:tcPr>
          <w:p w:rsidR="004B0C37" w:rsidRPr="00382E1A" w:rsidRDefault="004B0C37" w:rsidP="00382E1A">
            <w:pPr>
              <w:suppressAutoHyphens w:val="0"/>
              <w:spacing w:before="80" w:after="80" w:line="220" w:lineRule="exact"/>
              <w:ind w:left="283"/>
              <w:rPr>
                <w:b/>
                <w:sz w:val="18"/>
              </w:rPr>
            </w:pPr>
            <w:r w:rsidRPr="00382E1A">
              <w:rPr>
                <w:b/>
                <w:sz w:val="18"/>
              </w:rPr>
              <w:t>Total</w:t>
            </w:r>
          </w:p>
        </w:tc>
        <w:tc>
          <w:tcPr>
            <w:tcW w:w="2551" w:type="dxa"/>
            <w:tcBorders>
              <w:top w:val="single" w:sz="4" w:space="0" w:color="auto"/>
            </w:tcBorders>
            <w:shd w:val="clear" w:color="auto" w:fill="auto"/>
            <w:vAlign w:val="bottom"/>
          </w:tcPr>
          <w:p w:rsidR="004B0C37" w:rsidRPr="00382E1A" w:rsidRDefault="004B0C37" w:rsidP="00382E1A">
            <w:pPr>
              <w:suppressAutoHyphens w:val="0"/>
              <w:spacing w:before="80" w:after="80" w:line="220" w:lineRule="exact"/>
              <w:ind w:right="113"/>
              <w:jc w:val="right"/>
              <w:rPr>
                <w:b/>
                <w:sz w:val="18"/>
              </w:rPr>
            </w:pPr>
            <w:r w:rsidRPr="00382E1A">
              <w:rPr>
                <w:b/>
                <w:sz w:val="18"/>
              </w:rPr>
              <w:t xml:space="preserve">206.8 </w:t>
            </w:r>
          </w:p>
        </w:tc>
      </w:tr>
    </w:tbl>
    <w:p w:rsidR="004B0C37" w:rsidRPr="00D2645C" w:rsidRDefault="004B0C37" w:rsidP="006103BE">
      <w:pPr>
        <w:spacing w:before="120" w:after="240"/>
        <w:ind w:left="1134" w:right="1134" w:firstLine="170"/>
        <w:rPr>
          <w:sz w:val="18"/>
        </w:rPr>
      </w:pPr>
      <w:r w:rsidRPr="00D2645C">
        <w:rPr>
          <w:i/>
          <w:iCs/>
          <w:sz w:val="18"/>
        </w:rPr>
        <w:t>Source:</w:t>
      </w:r>
      <w:r w:rsidR="00D2645C">
        <w:rPr>
          <w:sz w:val="18"/>
        </w:rPr>
        <w:t xml:space="preserve"> </w:t>
      </w:r>
      <w:r w:rsidRPr="00D2645C">
        <w:rPr>
          <w:sz w:val="18"/>
        </w:rPr>
        <w:t xml:space="preserve"> Ministry of Development Planning and Statistics: Population and Social</w:t>
      </w:r>
      <w:r w:rsidR="007F4A3A" w:rsidRPr="00D2645C">
        <w:rPr>
          <w:sz w:val="18"/>
        </w:rPr>
        <w:t xml:space="preserve"> </w:t>
      </w:r>
      <w:r w:rsidRPr="00D2645C">
        <w:rPr>
          <w:sz w:val="18"/>
        </w:rPr>
        <w:t>Statistics (Qatar in figures, 2017)</w:t>
      </w:r>
      <w:r w:rsidR="00D2645C">
        <w:rPr>
          <w:sz w:val="18"/>
        </w:rPr>
        <w:t>.</w:t>
      </w:r>
    </w:p>
    <w:p w:rsidR="004B0C37" w:rsidRPr="0034732A" w:rsidRDefault="004B0C37" w:rsidP="00AB2C8E">
      <w:pPr>
        <w:pStyle w:val="SingleTxtG"/>
      </w:pPr>
      <w:r w:rsidRPr="0034732A">
        <w:t>10</w:t>
      </w:r>
      <w:r w:rsidR="009D1BD8">
        <w:t>.</w:t>
      </w:r>
      <w:r w:rsidR="009D1BD8">
        <w:tab/>
      </w:r>
      <w:r w:rsidRPr="0034732A">
        <w:t xml:space="preserve">Table 7 shows </w:t>
      </w:r>
      <w:r>
        <w:t xml:space="preserve">a sharp rise in </w:t>
      </w:r>
      <w:r w:rsidRPr="0034732A">
        <w:t>population density in 2015, to 4,354.3, due to a number of economic and development factors in Doha municipality.</w:t>
      </w:r>
      <w:r w:rsidR="007F4A3A">
        <w:t xml:space="preserve"> </w:t>
      </w:r>
      <w:r w:rsidRPr="0034732A">
        <w:t xml:space="preserve">At the same time, </w:t>
      </w:r>
      <w:r>
        <w:t>population density increased</w:t>
      </w:r>
      <w:r w:rsidRPr="0034732A">
        <w:t xml:space="preserve"> in </w:t>
      </w:r>
      <w:proofErr w:type="spellStart"/>
      <w:r w:rsidRPr="0034732A">
        <w:t>Rayyan</w:t>
      </w:r>
      <w:proofErr w:type="spellEnd"/>
      <w:r w:rsidRPr="0034732A">
        <w:t xml:space="preserve"> city (247.2) and Umm </w:t>
      </w:r>
      <w:proofErr w:type="spellStart"/>
      <w:r w:rsidRPr="0034732A">
        <w:t>Salal</w:t>
      </w:r>
      <w:proofErr w:type="spellEnd"/>
      <w:r>
        <w:t xml:space="preserve"> (258.2)</w:t>
      </w:r>
      <w:r w:rsidRPr="0034732A">
        <w:t>, due to the fact that these have become popular residential areas.</w:t>
      </w:r>
      <w:r w:rsidR="007F4A3A">
        <w:t xml:space="preserve"> </w:t>
      </w:r>
      <w:r w:rsidRPr="0034732A">
        <w:t>Population density distribution</w:t>
      </w:r>
      <w:r>
        <w:t xml:space="preserve"> rate</w:t>
      </w:r>
      <w:r w:rsidRPr="0034732A">
        <w:t>s are converging in the other municipalities.</w:t>
      </w:r>
    </w:p>
    <w:p w:rsidR="004B0C37" w:rsidRPr="006103BE" w:rsidRDefault="004B0C37" w:rsidP="006103BE">
      <w:pPr>
        <w:pStyle w:val="Heading1"/>
        <w:spacing w:after="120"/>
        <w:rPr>
          <w:b/>
          <w:bCs/>
        </w:rPr>
      </w:pPr>
      <w:r w:rsidRPr="0034732A">
        <w:t>Table 8</w:t>
      </w:r>
      <w:r w:rsidR="006103BE">
        <w:br/>
      </w:r>
      <w:r w:rsidRPr="006103BE">
        <w:rPr>
          <w:b/>
          <w:bCs/>
        </w:rPr>
        <w:t>Life expectancy at birth for Qataris (2016)</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094"/>
        <w:gridCol w:w="2819"/>
        <w:gridCol w:w="2457"/>
      </w:tblGrid>
      <w:tr w:rsidR="004B0C37" w:rsidRPr="006103BE" w:rsidTr="006103BE">
        <w:trPr>
          <w:tblHeader/>
        </w:trPr>
        <w:tc>
          <w:tcPr>
            <w:tcW w:w="1450" w:type="dxa"/>
            <w:tcBorders>
              <w:top w:val="single" w:sz="4" w:space="0" w:color="auto"/>
              <w:bottom w:val="single" w:sz="12" w:space="0" w:color="auto"/>
            </w:tcBorders>
            <w:shd w:val="clear" w:color="auto" w:fill="auto"/>
            <w:vAlign w:val="bottom"/>
          </w:tcPr>
          <w:p w:rsidR="004B0C37" w:rsidRPr="006103BE" w:rsidRDefault="004B0C37" w:rsidP="006103BE">
            <w:pPr>
              <w:suppressAutoHyphens w:val="0"/>
              <w:spacing w:before="80" w:after="80" w:line="200" w:lineRule="exact"/>
              <w:ind w:right="113"/>
              <w:rPr>
                <w:i/>
                <w:sz w:val="16"/>
              </w:rPr>
            </w:pPr>
            <w:r w:rsidRPr="006103BE">
              <w:rPr>
                <w:i/>
                <w:sz w:val="16"/>
              </w:rPr>
              <w:t>Male</w:t>
            </w:r>
          </w:p>
        </w:tc>
        <w:tc>
          <w:tcPr>
            <w:tcW w:w="1952" w:type="dxa"/>
            <w:tcBorders>
              <w:top w:val="single" w:sz="4" w:space="0" w:color="auto"/>
              <w:bottom w:val="single" w:sz="12" w:space="0" w:color="auto"/>
            </w:tcBorders>
            <w:shd w:val="clear" w:color="auto" w:fill="auto"/>
            <w:vAlign w:val="bottom"/>
          </w:tcPr>
          <w:p w:rsidR="004B0C37" w:rsidRPr="006103BE" w:rsidRDefault="004B0C37" w:rsidP="006103BE">
            <w:pPr>
              <w:suppressAutoHyphens w:val="0"/>
              <w:spacing w:before="80" w:after="80" w:line="200" w:lineRule="exact"/>
              <w:ind w:right="113"/>
              <w:jc w:val="right"/>
              <w:rPr>
                <w:i/>
                <w:sz w:val="16"/>
              </w:rPr>
            </w:pPr>
            <w:r w:rsidRPr="006103BE">
              <w:rPr>
                <w:i/>
                <w:sz w:val="16"/>
              </w:rPr>
              <w:t>Female</w:t>
            </w:r>
          </w:p>
        </w:tc>
        <w:tc>
          <w:tcPr>
            <w:tcW w:w="1701" w:type="dxa"/>
            <w:tcBorders>
              <w:top w:val="single" w:sz="4" w:space="0" w:color="auto"/>
              <w:bottom w:val="single" w:sz="12" w:space="0" w:color="auto"/>
            </w:tcBorders>
            <w:shd w:val="clear" w:color="auto" w:fill="auto"/>
            <w:vAlign w:val="bottom"/>
          </w:tcPr>
          <w:p w:rsidR="004B0C37" w:rsidRPr="006103BE" w:rsidRDefault="004B0C37" w:rsidP="006103BE">
            <w:pPr>
              <w:suppressAutoHyphens w:val="0"/>
              <w:spacing w:before="80" w:after="80" w:line="200" w:lineRule="exact"/>
              <w:ind w:right="113"/>
              <w:jc w:val="right"/>
              <w:rPr>
                <w:i/>
                <w:sz w:val="16"/>
              </w:rPr>
            </w:pPr>
            <w:r w:rsidRPr="006103BE">
              <w:rPr>
                <w:i/>
                <w:sz w:val="16"/>
              </w:rPr>
              <w:t>Total</w:t>
            </w:r>
          </w:p>
        </w:tc>
      </w:tr>
      <w:tr w:rsidR="004B0C37" w:rsidRPr="006103BE" w:rsidTr="006103BE">
        <w:tc>
          <w:tcPr>
            <w:tcW w:w="1450" w:type="dxa"/>
            <w:tcBorders>
              <w:top w:val="single" w:sz="12" w:space="0" w:color="auto"/>
            </w:tcBorders>
            <w:shd w:val="clear" w:color="auto" w:fill="auto"/>
          </w:tcPr>
          <w:p w:rsidR="004B0C37" w:rsidRPr="006103BE" w:rsidRDefault="004B0C37" w:rsidP="006103BE">
            <w:pPr>
              <w:suppressAutoHyphens w:val="0"/>
              <w:spacing w:before="40" w:after="40" w:line="220" w:lineRule="exact"/>
              <w:ind w:right="113"/>
              <w:rPr>
                <w:sz w:val="18"/>
              </w:rPr>
            </w:pPr>
            <w:r w:rsidRPr="006103BE">
              <w:rPr>
                <w:sz w:val="18"/>
              </w:rPr>
              <w:t>78.0</w:t>
            </w:r>
          </w:p>
        </w:tc>
        <w:tc>
          <w:tcPr>
            <w:tcW w:w="1952" w:type="dxa"/>
            <w:tcBorders>
              <w:top w:val="single" w:sz="12" w:space="0" w:color="auto"/>
            </w:tcBorders>
            <w:shd w:val="clear" w:color="auto" w:fill="auto"/>
            <w:vAlign w:val="bottom"/>
          </w:tcPr>
          <w:p w:rsidR="004B0C37" w:rsidRPr="006103BE" w:rsidRDefault="004B0C37" w:rsidP="006103BE">
            <w:pPr>
              <w:suppressAutoHyphens w:val="0"/>
              <w:spacing w:before="40" w:after="40" w:line="220" w:lineRule="exact"/>
              <w:ind w:right="113"/>
              <w:jc w:val="right"/>
              <w:rPr>
                <w:sz w:val="18"/>
              </w:rPr>
            </w:pPr>
            <w:r w:rsidRPr="006103BE">
              <w:rPr>
                <w:sz w:val="18"/>
              </w:rPr>
              <w:t>82.3</w:t>
            </w:r>
          </w:p>
        </w:tc>
        <w:tc>
          <w:tcPr>
            <w:tcW w:w="1701" w:type="dxa"/>
            <w:tcBorders>
              <w:top w:val="single" w:sz="12" w:space="0" w:color="auto"/>
            </w:tcBorders>
            <w:shd w:val="clear" w:color="auto" w:fill="auto"/>
            <w:vAlign w:val="bottom"/>
          </w:tcPr>
          <w:p w:rsidR="004B0C37" w:rsidRPr="006103BE" w:rsidRDefault="004B0C37" w:rsidP="006103BE">
            <w:pPr>
              <w:suppressAutoHyphens w:val="0"/>
              <w:spacing w:before="40" w:after="40" w:line="220" w:lineRule="exact"/>
              <w:ind w:right="113"/>
              <w:jc w:val="right"/>
              <w:rPr>
                <w:sz w:val="18"/>
              </w:rPr>
            </w:pPr>
            <w:r w:rsidRPr="006103BE">
              <w:rPr>
                <w:sz w:val="18"/>
              </w:rPr>
              <w:t>80.5</w:t>
            </w:r>
          </w:p>
        </w:tc>
      </w:tr>
    </w:tbl>
    <w:p w:rsidR="004B0C37" w:rsidRPr="00165772" w:rsidRDefault="004B0C37" w:rsidP="00165772">
      <w:pPr>
        <w:spacing w:before="120" w:after="240"/>
        <w:ind w:left="1134" w:right="1134" w:firstLine="170"/>
        <w:rPr>
          <w:sz w:val="18"/>
        </w:rPr>
      </w:pPr>
      <w:r w:rsidRPr="00165772">
        <w:rPr>
          <w:i/>
          <w:iCs/>
          <w:sz w:val="18"/>
        </w:rPr>
        <w:t>Source:</w:t>
      </w:r>
      <w:r w:rsidRPr="00165772">
        <w:rPr>
          <w:sz w:val="18"/>
        </w:rPr>
        <w:t xml:space="preserve"> </w:t>
      </w:r>
      <w:r w:rsidR="00165772">
        <w:rPr>
          <w:sz w:val="18"/>
        </w:rPr>
        <w:t xml:space="preserve"> </w:t>
      </w:r>
      <w:r w:rsidRPr="00165772">
        <w:rPr>
          <w:sz w:val="18"/>
        </w:rPr>
        <w:t>Ministry of Development Planning and Statistics: Population and Social Statistics (Annual bulletin of vital statistics: births and deaths, 2016)</w:t>
      </w:r>
      <w:r w:rsidR="00D74BEC">
        <w:rPr>
          <w:sz w:val="18"/>
        </w:rPr>
        <w:t>.</w:t>
      </w:r>
    </w:p>
    <w:p w:rsidR="004B0C37" w:rsidRPr="0034732A" w:rsidRDefault="007F2E2C" w:rsidP="00AC2985">
      <w:pPr>
        <w:pStyle w:val="SingleTxtG"/>
      </w:pPr>
      <w:r>
        <w:t>11.</w:t>
      </w:r>
      <w:r>
        <w:tab/>
      </w:r>
      <w:r w:rsidR="004B0C37" w:rsidRPr="0034732A">
        <w:t xml:space="preserve">Table 8 shows </w:t>
      </w:r>
      <w:r w:rsidR="004B0C37">
        <w:t xml:space="preserve">that </w:t>
      </w:r>
      <w:r w:rsidR="004B0C37" w:rsidRPr="0034732A">
        <w:t>life expectan</w:t>
      </w:r>
      <w:r w:rsidR="004B0C37">
        <w:t>cy at birth for Qataris was</w:t>
      </w:r>
      <w:r w:rsidR="007F4A3A">
        <w:t xml:space="preserve"> </w:t>
      </w:r>
      <w:r w:rsidR="004B0C37" w:rsidRPr="0034732A">
        <w:t xml:space="preserve">78.9 years for men and 82.3 </w:t>
      </w:r>
      <w:r w:rsidR="004B0C37">
        <w:t xml:space="preserve">years </w:t>
      </w:r>
      <w:r w:rsidR="004B0C37" w:rsidRPr="0034732A">
        <w:t>for women</w:t>
      </w:r>
      <w:r w:rsidR="004B0C37">
        <w:t xml:space="preserve"> in 2016</w:t>
      </w:r>
      <w:r w:rsidR="004B0C37" w:rsidRPr="0034732A">
        <w:t>.</w:t>
      </w:r>
    </w:p>
    <w:p w:rsidR="004B0C37" w:rsidRPr="0034732A" w:rsidRDefault="004B0C37" w:rsidP="003505B4">
      <w:pPr>
        <w:pStyle w:val="Heading1"/>
        <w:spacing w:after="120"/>
      </w:pPr>
      <w:r w:rsidRPr="0034732A">
        <w:t>Table 9</w:t>
      </w:r>
      <w:r w:rsidR="004F0324">
        <w:br/>
      </w:r>
      <w:r w:rsidRPr="003505B4">
        <w:rPr>
          <w:b/>
          <w:bCs/>
        </w:rPr>
        <w:t>Infant</w:t>
      </w:r>
      <w:r w:rsidR="004F0324" w:rsidRPr="003505B4">
        <w:rPr>
          <w:b/>
          <w:bCs/>
        </w:rPr>
        <w:t xml:space="preserve"> mortality rate by gender (2007–</w:t>
      </w:r>
      <w:r w:rsidRPr="003505B4">
        <w:rPr>
          <w:b/>
          <w:bCs/>
        </w:rPr>
        <w:t>2016)</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43"/>
        <w:gridCol w:w="1843"/>
        <w:gridCol w:w="1842"/>
        <w:gridCol w:w="1842"/>
      </w:tblGrid>
      <w:tr w:rsidR="004B0C37" w:rsidRPr="003505B4" w:rsidTr="003505B4">
        <w:trPr>
          <w:tblHeader/>
        </w:trPr>
        <w:tc>
          <w:tcPr>
            <w:tcW w:w="2254" w:type="dxa"/>
            <w:vMerge w:val="restart"/>
            <w:tcBorders>
              <w:top w:val="single" w:sz="4" w:space="0" w:color="auto"/>
              <w:bottom w:val="single" w:sz="12" w:space="0" w:color="auto"/>
            </w:tcBorders>
            <w:shd w:val="clear" w:color="auto" w:fill="auto"/>
            <w:vAlign w:val="bottom"/>
          </w:tcPr>
          <w:p w:rsidR="004B0C37" w:rsidRPr="003505B4" w:rsidRDefault="004B0C37" w:rsidP="003505B4">
            <w:pPr>
              <w:suppressAutoHyphens w:val="0"/>
              <w:spacing w:before="80" w:after="80" w:line="200" w:lineRule="exact"/>
              <w:ind w:right="113"/>
              <w:rPr>
                <w:i/>
                <w:sz w:val="16"/>
              </w:rPr>
            </w:pPr>
            <w:r w:rsidRPr="003505B4">
              <w:rPr>
                <w:i/>
                <w:sz w:val="16"/>
              </w:rPr>
              <w:t>Year</w:t>
            </w:r>
          </w:p>
        </w:tc>
        <w:tc>
          <w:tcPr>
            <w:tcW w:w="6762" w:type="dxa"/>
            <w:gridSpan w:val="3"/>
            <w:tcBorders>
              <w:top w:val="single" w:sz="4" w:space="0" w:color="auto"/>
              <w:bottom w:val="single" w:sz="4" w:space="0" w:color="auto"/>
            </w:tcBorders>
            <w:shd w:val="clear" w:color="auto" w:fill="auto"/>
            <w:vAlign w:val="bottom"/>
          </w:tcPr>
          <w:p w:rsidR="004B0C37" w:rsidRPr="003505B4" w:rsidRDefault="004B0C37" w:rsidP="003505B4">
            <w:pPr>
              <w:suppressAutoHyphens w:val="0"/>
              <w:spacing w:before="80" w:after="80" w:line="200" w:lineRule="exact"/>
              <w:ind w:right="113"/>
              <w:jc w:val="center"/>
              <w:rPr>
                <w:i/>
                <w:sz w:val="16"/>
              </w:rPr>
            </w:pPr>
            <w:r w:rsidRPr="003505B4">
              <w:rPr>
                <w:i/>
                <w:sz w:val="16"/>
              </w:rPr>
              <w:t>Total</w:t>
            </w:r>
          </w:p>
        </w:tc>
      </w:tr>
      <w:tr w:rsidR="004B0C37" w:rsidRPr="003505B4" w:rsidTr="003505B4">
        <w:trPr>
          <w:tblHeader/>
        </w:trPr>
        <w:tc>
          <w:tcPr>
            <w:tcW w:w="2254" w:type="dxa"/>
            <w:vMerge/>
            <w:tcBorders>
              <w:top w:val="single" w:sz="12" w:space="0" w:color="auto"/>
              <w:bottom w:val="single" w:sz="12" w:space="0" w:color="auto"/>
            </w:tcBorders>
            <w:shd w:val="clear" w:color="auto" w:fill="auto"/>
            <w:vAlign w:val="bottom"/>
          </w:tcPr>
          <w:p w:rsidR="004B0C37" w:rsidRPr="003505B4" w:rsidRDefault="004B0C37" w:rsidP="003505B4">
            <w:pPr>
              <w:suppressAutoHyphens w:val="0"/>
              <w:spacing w:before="40" w:after="40" w:line="220" w:lineRule="exact"/>
              <w:ind w:right="113"/>
              <w:rPr>
                <w:sz w:val="18"/>
              </w:rPr>
            </w:pPr>
          </w:p>
        </w:tc>
        <w:tc>
          <w:tcPr>
            <w:tcW w:w="2254" w:type="dxa"/>
            <w:tcBorders>
              <w:top w:val="single" w:sz="4" w:space="0" w:color="auto"/>
              <w:bottom w:val="single" w:sz="12" w:space="0" w:color="auto"/>
            </w:tcBorders>
            <w:shd w:val="clear" w:color="auto" w:fill="auto"/>
            <w:vAlign w:val="bottom"/>
          </w:tcPr>
          <w:p w:rsidR="004B0C37" w:rsidRPr="003505B4" w:rsidRDefault="004B0C37" w:rsidP="003505B4">
            <w:pPr>
              <w:suppressAutoHyphens w:val="0"/>
              <w:spacing w:before="80" w:after="80" w:line="200" w:lineRule="exact"/>
              <w:ind w:right="113"/>
              <w:jc w:val="right"/>
              <w:rPr>
                <w:i/>
                <w:sz w:val="16"/>
              </w:rPr>
            </w:pPr>
            <w:r w:rsidRPr="003505B4">
              <w:rPr>
                <w:i/>
                <w:sz w:val="16"/>
              </w:rPr>
              <w:t>Male</w:t>
            </w:r>
          </w:p>
        </w:tc>
        <w:tc>
          <w:tcPr>
            <w:tcW w:w="2254" w:type="dxa"/>
            <w:tcBorders>
              <w:top w:val="single" w:sz="4" w:space="0" w:color="auto"/>
              <w:bottom w:val="single" w:sz="12" w:space="0" w:color="auto"/>
            </w:tcBorders>
            <w:shd w:val="clear" w:color="auto" w:fill="auto"/>
            <w:vAlign w:val="bottom"/>
          </w:tcPr>
          <w:p w:rsidR="004B0C37" w:rsidRPr="003505B4" w:rsidRDefault="004B0C37" w:rsidP="003505B4">
            <w:pPr>
              <w:suppressAutoHyphens w:val="0"/>
              <w:spacing w:before="80" w:after="80" w:line="200" w:lineRule="exact"/>
              <w:ind w:right="113"/>
              <w:jc w:val="right"/>
              <w:rPr>
                <w:i/>
                <w:sz w:val="16"/>
              </w:rPr>
            </w:pPr>
            <w:r w:rsidRPr="003505B4">
              <w:rPr>
                <w:i/>
                <w:sz w:val="16"/>
              </w:rPr>
              <w:t>Female</w:t>
            </w:r>
          </w:p>
        </w:tc>
        <w:tc>
          <w:tcPr>
            <w:tcW w:w="2254" w:type="dxa"/>
            <w:tcBorders>
              <w:top w:val="single" w:sz="4" w:space="0" w:color="auto"/>
              <w:bottom w:val="single" w:sz="12" w:space="0" w:color="auto"/>
            </w:tcBorders>
            <w:shd w:val="clear" w:color="auto" w:fill="auto"/>
            <w:vAlign w:val="bottom"/>
          </w:tcPr>
          <w:p w:rsidR="004B0C37" w:rsidRPr="003505B4" w:rsidRDefault="004B0C37" w:rsidP="003505B4">
            <w:pPr>
              <w:suppressAutoHyphens w:val="0"/>
              <w:spacing w:before="80" w:after="80" w:line="200" w:lineRule="exact"/>
              <w:ind w:right="113"/>
              <w:jc w:val="right"/>
              <w:rPr>
                <w:i/>
                <w:sz w:val="16"/>
              </w:rPr>
            </w:pPr>
            <w:r w:rsidRPr="003505B4">
              <w:rPr>
                <w:i/>
                <w:sz w:val="16"/>
              </w:rPr>
              <w:t>Total</w:t>
            </w:r>
          </w:p>
        </w:tc>
      </w:tr>
      <w:tr w:rsidR="004B0C37" w:rsidRPr="003505B4" w:rsidTr="003505B4">
        <w:tc>
          <w:tcPr>
            <w:tcW w:w="2254" w:type="dxa"/>
            <w:tcBorders>
              <w:top w:val="single" w:sz="12" w:space="0" w:color="auto"/>
            </w:tcBorders>
            <w:shd w:val="clear" w:color="auto" w:fill="auto"/>
          </w:tcPr>
          <w:p w:rsidR="004B0C37" w:rsidRPr="003505B4" w:rsidRDefault="004B0C37" w:rsidP="003505B4">
            <w:pPr>
              <w:suppressAutoHyphens w:val="0"/>
              <w:spacing w:before="40" w:after="40" w:line="220" w:lineRule="exact"/>
              <w:ind w:right="113"/>
              <w:rPr>
                <w:sz w:val="18"/>
              </w:rPr>
            </w:pPr>
            <w:r w:rsidRPr="003505B4">
              <w:rPr>
                <w:sz w:val="18"/>
              </w:rPr>
              <w:t>2007</w:t>
            </w:r>
          </w:p>
        </w:tc>
        <w:tc>
          <w:tcPr>
            <w:tcW w:w="2254" w:type="dxa"/>
            <w:tcBorders>
              <w:top w:val="single" w:sz="12" w:space="0" w:color="auto"/>
            </w:tcBorders>
            <w:shd w:val="clear" w:color="auto" w:fill="auto"/>
            <w:vAlign w:val="bottom"/>
          </w:tcPr>
          <w:p w:rsidR="004B0C37" w:rsidRPr="003505B4" w:rsidRDefault="004B0C37" w:rsidP="003505B4">
            <w:pPr>
              <w:suppressAutoHyphens w:val="0"/>
              <w:spacing w:before="40" w:after="40" w:line="220" w:lineRule="exact"/>
              <w:ind w:right="113"/>
              <w:jc w:val="right"/>
              <w:rPr>
                <w:sz w:val="18"/>
                <w:szCs w:val="36"/>
                <w:lang w:val="en-US" w:bidi="ar-QA"/>
              </w:rPr>
            </w:pPr>
            <w:r w:rsidRPr="003505B4">
              <w:rPr>
                <w:sz w:val="18"/>
                <w:szCs w:val="36"/>
                <w:lang w:val="en-US" w:bidi="ar-QA"/>
              </w:rPr>
              <w:t>7.1</w:t>
            </w:r>
          </w:p>
        </w:tc>
        <w:tc>
          <w:tcPr>
            <w:tcW w:w="2254" w:type="dxa"/>
            <w:tcBorders>
              <w:top w:val="single" w:sz="12" w:space="0" w:color="auto"/>
            </w:tcBorders>
            <w:shd w:val="clear" w:color="auto" w:fill="auto"/>
            <w:vAlign w:val="bottom"/>
          </w:tcPr>
          <w:p w:rsidR="004B0C37" w:rsidRPr="003505B4" w:rsidRDefault="004B0C37" w:rsidP="003505B4">
            <w:pPr>
              <w:suppressAutoHyphens w:val="0"/>
              <w:spacing w:before="40" w:after="40" w:line="220" w:lineRule="exact"/>
              <w:ind w:right="113"/>
              <w:jc w:val="right"/>
              <w:rPr>
                <w:sz w:val="18"/>
                <w:szCs w:val="36"/>
                <w:lang w:val="en-US" w:bidi="ar-QA"/>
              </w:rPr>
            </w:pPr>
            <w:r w:rsidRPr="003505B4">
              <w:rPr>
                <w:sz w:val="18"/>
                <w:szCs w:val="36"/>
                <w:lang w:val="en-US" w:bidi="ar-QA"/>
              </w:rPr>
              <w:t>7.9</w:t>
            </w:r>
          </w:p>
        </w:tc>
        <w:tc>
          <w:tcPr>
            <w:tcW w:w="2254" w:type="dxa"/>
            <w:tcBorders>
              <w:top w:val="single" w:sz="12" w:space="0" w:color="auto"/>
            </w:tcBorders>
            <w:shd w:val="clear" w:color="auto" w:fill="auto"/>
            <w:vAlign w:val="bottom"/>
          </w:tcPr>
          <w:p w:rsidR="004B0C37" w:rsidRPr="003505B4" w:rsidRDefault="004B0C37" w:rsidP="003505B4">
            <w:pPr>
              <w:suppressAutoHyphens w:val="0"/>
              <w:spacing w:before="40" w:after="40" w:line="220" w:lineRule="exact"/>
              <w:ind w:right="113"/>
              <w:jc w:val="right"/>
              <w:rPr>
                <w:sz w:val="18"/>
                <w:szCs w:val="36"/>
                <w:lang w:val="en-US" w:bidi="ar-QA"/>
              </w:rPr>
            </w:pPr>
            <w:r w:rsidRPr="003505B4">
              <w:rPr>
                <w:sz w:val="18"/>
                <w:szCs w:val="36"/>
                <w:lang w:val="en-US" w:bidi="ar-QA"/>
              </w:rPr>
              <w:t>7.1</w:t>
            </w:r>
          </w:p>
        </w:tc>
      </w:tr>
      <w:tr w:rsidR="004B0C37" w:rsidRPr="003505B4" w:rsidTr="003505B4">
        <w:tc>
          <w:tcPr>
            <w:tcW w:w="2254" w:type="dxa"/>
            <w:shd w:val="clear" w:color="auto" w:fill="auto"/>
          </w:tcPr>
          <w:p w:rsidR="004B0C37" w:rsidRPr="003505B4" w:rsidRDefault="004B0C37" w:rsidP="003505B4">
            <w:pPr>
              <w:suppressAutoHyphens w:val="0"/>
              <w:spacing w:before="40" w:after="40" w:line="220" w:lineRule="exact"/>
              <w:ind w:right="113"/>
              <w:rPr>
                <w:sz w:val="18"/>
              </w:rPr>
            </w:pPr>
            <w:r w:rsidRPr="003505B4">
              <w:rPr>
                <w:sz w:val="18"/>
              </w:rPr>
              <w:t>2008</w:t>
            </w:r>
          </w:p>
        </w:tc>
        <w:tc>
          <w:tcPr>
            <w:tcW w:w="2254" w:type="dxa"/>
            <w:shd w:val="clear" w:color="auto" w:fill="auto"/>
            <w:vAlign w:val="bottom"/>
          </w:tcPr>
          <w:p w:rsidR="004B0C37" w:rsidRPr="003505B4" w:rsidRDefault="004B0C37" w:rsidP="003505B4">
            <w:pPr>
              <w:suppressAutoHyphens w:val="0"/>
              <w:spacing w:before="40" w:after="40" w:line="220" w:lineRule="exact"/>
              <w:ind w:right="113"/>
              <w:jc w:val="right"/>
              <w:rPr>
                <w:sz w:val="18"/>
                <w:szCs w:val="36"/>
                <w:lang w:val="en-US" w:bidi="ar-QA"/>
              </w:rPr>
            </w:pPr>
            <w:r w:rsidRPr="003505B4">
              <w:rPr>
                <w:sz w:val="18"/>
                <w:szCs w:val="36"/>
                <w:lang w:val="en-US" w:bidi="ar-QA"/>
              </w:rPr>
              <w:t>8.4</w:t>
            </w:r>
          </w:p>
        </w:tc>
        <w:tc>
          <w:tcPr>
            <w:tcW w:w="2254" w:type="dxa"/>
            <w:shd w:val="clear" w:color="auto" w:fill="auto"/>
            <w:vAlign w:val="bottom"/>
          </w:tcPr>
          <w:p w:rsidR="004B0C37" w:rsidRPr="003505B4" w:rsidRDefault="004B0C37" w:rsidP="003505B4">
            <w:pPr>
              <w:suppressAutoHyphens w:val="0"/>
              <w:spacing w:before="40" w:after="40" w:line="220" w:lineRule="exact"/>
              <w:ind w:right="113"/>
              <w:jc w:val="right"/>
              <w:rPr>
                <w:sz w:val="18"/>
                <w:szCs w:val="36"/>
                <w:lang w:val="en-US" w:bidi="ar-QA"/>
              </w:rPr>
            </w:pPr>
            <w:r w:rsidRPr="003505B4">
              <w:rPr>
                <w:sz w:val="18"/>
                <w:szCs w:val="36"/>
                <w:lang w:val="en-US" w:bidi="ar-QA"/>
              </w:rPr>
              <w:t>6.9</w:t>
            </w:r>
          </w:p>
        </w:tc>
        <w:tc>
          <w:tcPr>
            <w:tcW w:w="2254" w:type="dxa"/>
            <w:shd w:val="clear" w:color="auto" w:fill="auto"/>
            <w:vAlign w:val="bottom"/>
          </w:tcPr>
          <w:p w:rsidR="004B0C37" w:rsidRPr="003505B4" w:rsidRDefault="004B0C37" w:rsidP="003505B4">
            <w:pPr>
              <w:suppressAutoHyphens w:val="0"/>
              <w:spacing w:before="40" w:after="40" w:line="220" w:lineRule="exact"/>
              <w:ind w:right="113"/>
              <w:jc w:val="right"/>
              <w:rPr>
                <w:sz w:val="18"/>
                <w:szCs w:val="36"/>
                <w:lang w:val="en-US" w:bidi="ar-QA"/>
              </w:rPr>
            </w:pPr>
            <w:r w:rsidRPr="003505B4">
              <w:rPr>
                <w:sz w:val="18"/>
                <w:szCs w:val="36"/>
                <w:lang w:val="en-US" w:bidi="ar-QA"/>
              </w:rPr>
              <w:t>8.4</w:t>
            </w:r>
          </w:p>
        </w:tc>
      </w:tr>
      <w:tr w:rsidR="004B0C37" w:rsidRPr="003505B4" w:rsidTr="003505B4">
        <w:tc>
          <w:tcPr>
            <w:tcW w:w="2254" w:type="dxa"/>
            <w:shd w:val="clear" w:color="auto" w:fill="auto"/>
          </w:tcPr>
          <w:p w:rsidR="004B0C37" w:rsidRPr="003505B4" w:rsidRDefault="004B0C37" w:rsidP="003505B4">
            <w:pPr>
              <w:suppressAutoHyphens w:val="0"/>
              <w:spacing w:before="40" w:after="40" w:line="220" w:lineRule="exact"/>
              <w:ind w:right="113"/>
              <w:rPr>
                <w:sz w:val="18"/>
              </w:rPr>
            </w:pPr>
            <w:r w:rsidRPr="003505B4">
              <w:rPr>
                <w:sz w:val="18"/>
              </w:rPr>
              <w:t>2009</w:t>
            </w:r>
          </w:p>
        </w:tc>
        <w:tc>
          <w:tcPr>
            <w:tcW w:w="2254" w:type="dxa"/>
            <w:shd w:val="clear" w:color="auto" w:fill="auto"/>
            <w:vAlign w:val="bottom"/>
          </w:tcPr>
          <w:p w:rsidR="004B0C37" w:rsidRPr="003505B4" w:rsidRDefault="004B0C37" w:rsidP="003505B4">
            <w:pPr>
              <w:suppressAutoHyphens w:val="0"/>
              <w:spacing w:before="40" w:after="40" w:line="220" w:lineRule="exact"/>
              <w:ind w:right="113"/>
              <w:jc w:val="right"/>
              <w:rPr>
                <w:sz w:val="18"/>
                <w:szCs w:val="36"/>
                <w:lang w:val="en-US" w:bidi="ar-QA"/>
              </w:rPr>
            </w:pPr>
            <w:r w:rsidRPr="003505B4">
              <w:rPr>
                <w:sz w:val="18"/>
                <w:szCs w:val="36"/>
                <w:lang w:val="en-US" w:bidi="ar-QA"/>
              </w:rPr>
              <w:t>7.7</w:t>
            </w:r>
          </w:p>
        </w:tc>
        <w:tc>
          <w:tcPr>
            <w:tcW w:w="2254" w:type="dxa"/>
            <w:shd w:val="clear" w:color="auto" w:fill="auto"/>
            <w:vAlign w:val="bottom"/>
          </w:tcPr>
          <w:p w:rsidR="004B0C37" w:rsidRPr="003505B4" w:rsidRDefault="004B0C37" w:rsidP="003505B4">
            <w:pPr>
              <w:suppressAutoHyphens w:val="0"/>
              <w:spacing w:before="40" w:after="40" w:line="220" w:lineRule="exact"/>
              <w:ind w:right="113"/>
              <w:jc w:val="right"/>
              <w:rPr>
                <w:sz w:val="18"/>
                <w:szCs w:val="36"/>
                <w:lang w:val="en-US" w:bidi="ar-QA"/>
              </w:rPr>
            </w:pPr>
            <w:r w:rsidRPr="003505B4">
              <w:rPr>
                <w:sz w:val="18"/>
                <w:szCs w:val="36"/>
                <w:lang w:val="en-US" w:bidi="ar-QA"/>
              </w:rPr>
              <w:t>6.5</w:t>
            </w:r>
          </w:p>
        </w:tc>
        <w:tc>
          <w:tcPr>
            <w:tcW w:w="2254" w:type="dxa"/>
            <w:shd w:val="clear" w:color="auto" w:fill="auto"/>
            <w:vAlign w:val="bottom"/>
          </w:tcPr>
          <w:p w:rsidR="004B0C37" w:rsidRPr="003505B4" w:rsidRDefault="004B0C37" w:rsidP="003505B4">
            <w:pPr>
              <w:suppressAutoHyphens w:val="0"/>
              <w:spacing w:before="40" w:after="40" w:line="220" w:lineRule="exact"/>
              <w:ind w:right="113"/>
              <w:jc w:val="right"/>
              <w:rPr>
                <w:sz w:val="18"/>
                <w:szCs w:val="36"/>
                <w:lang w:val="en-US" w:bidi="ar-QA"/>
              </w:rPr>
            </w:pPr>
            <w:r w:rsidRPr="003505B4">
              <w:rPr>
                <w:sz w:val="18"/>
                <w:szCs w:val="36"/>
                <w:lang w:val="en-US" w:bidi="ar-QA"/>
              </w:rPr>
              <w:t>7.7</w:t>
            </w:r>
          </w:p>
        </w:tc>
      </w:tr>
      <w:tr w:rsidR="004B0C37" w:rsidRPr="003505B4" w:rsidTr="003505B4">
        <w:tc>
          <w:tcPr>
            <w:tcW w:w="2254" w:type="dxa"/>
            <w:shd w:val="clear" w:color="auto" w:fill="auto"/>
          </w:tcPr>
          <w:p w:rsidR="004B0C37" w:rsidRPr="003505B4" w:rsidRDefault="004B0C37" w:rsidP="003505B4">
            <w:pPr>
              <w:suppressAutoHyphens w:val="0"/>
              <w:spacing w:before="40" w:after="40" w:line="220" w:lineRule="exact"/>
              <w:ind w:right="113"/>
              <w:rPr>
                <w:sz w:val="18"/>
              </w:rPr>
            </w:pPr>
            <w:r w:rsidRPr="003505B4">
              <w:rPr>
                <w:sz w:val="18"/>
              </w:rPr>
              <w:t>2010</w:t>
            </w:r>
          </w:p>
        </w:tc>
        <w:tc>
          <w:tcPr>
            <w:tcW w:w="2254" w:type="dxa"/>
            <w:shd w:val="clear" w:color="auto" w:fill="auto"/>
            <w:vAlign w:val="bottom"/>
          </w:tcPr>
          <w:p w:rsidR="004B0C37" w:rsidRPr="003505B4" w:rsidRDefault="004B0C37" w:rsidP="003505B4">
            <w:pPr>
              <w:suppressAutoHyphens w:val="0"/>
              <w:spacing w:before="40" w:after="40" w:line="220" w:lineRule="exact"/>
              <w:ind w:right="113"/>
              <w:jc w:val="right"/>
              <w:rPr>
                <w:sz w:val="18"/>
                <w:szCs w:val="36"/>
                <w:lang w:val="en-US" w:bidi="ar-QA"/>
              </w:rPr>
            </w:pPr>
            <w:r w:rsidRPr="003505B4">
              <w:rPr>
                <w:sz w:val="18"/>
                <w:szCs w:val="36"/>
                <w:lang w:val="en-US" w:bidi="ar-QA"/>
              </w:rPr>
              <w:t>6.9</w:t>
            </w:r>
          </w:p>
        </w:tc>
        <w:tc>
          <w:tcPr>
            <w:tcW w:w="2254" w:type="dxa"/>
            <w:shd w:val="clear" w:color="auto" w:fill="auto"/>
            <w:vAlign w:val="bottom"/>
          </w:tcPr>
          <w:p w:rsidR="004B0C37" w:rsidRPr="003505B4" w:rsidRDefault="004B0C37" w:rsidP="003505B4">
            <w:pPr>
              <w:suppressAutoHyphens w:val="0"/>
              <w:spacing w:before="40" w:after="40" w:line="220" w:lineRule="exact"/>
              <w:ind w:right="113"/>
              <w:jc w:val="right"/>
              <w:rPr>
                <w:sz w:val="18"/>
                <w:szCs w:val="36"/>
                <w:lang w:val="en-US" w:bidi="ar-QA"/>
              </w:rPr>
            </w:pPr>
            <w:r w:rsidRPr="003505B4">
              <w:rPr>
                <w:sz w:val="18"/>
                <w:szCs w:val="36"/>
                <w:lang w:val="en-US" w:bidi="ar-QA"/>
              </w:rPr>
              <w:t>6.7</w:t>
            </w:r>
          </w:p>
        </w:tc>
        <w:tc>
          <w:tcPr>
            <w:tcW w:w="2254" w:type="dxa"/>
            <w:shd w:val="clear" w:color="auto" w:fill="auto"/>
            <w:vAlign w:val="bottom"/>
          </w:tcPr>
          <w:p w:rsidR="004B0C37" w:rsidRPr="003505B4" w:rsidRDefault="004B0C37" w:rsidP="003505B4">
            <w:pPr>
              <w:suppressAutoHyphens w:val="0"/>
              <w:spacing w:before="40" w:after="40" w:line="220" w:lineRule="exact"/>
              <w:ind w:right="113"/>
              <w:jc w:val="right"/>
              <w:rPr>
                <w:sz w:val="18"/>
                <w:szCs w:val="36"/>
                <w:lang w:val="en-US" w:bidi="ar-QA"/>
              </w:rPr>
            </w:pPr>
            <w:r w:rsidRPr="003505B4">
              <w:rPr>
                <w:sz w:val="18"/>
                <w:szCs w:val="36"/>
                <w:lang w:val="en-US" w:bidi="ar-QA"/>
              </w:rPr>
              <w:t>6.9</w:t>
            </w:r>
          </w:p>
        </w:tc>
      </w:tr>
      <w:tr w:rsidR="004B0C37" w:rsidRPr="003505B4" w:rsidTr="003505B4">
        <w:tc>
          <w:tcPr>
            <w:tcW w:w="2254" w:type="dxa"/>
            <w:shd w:val="clear" w:color="auto" w:fill="auto"/>
          </w:tcPr>
          <w:p w:rsidR="004B0C37" w:rsidRPr="003505B4" w:rsidRDefault="004B0C37" w:rsidP="003505B4">
            <w:pPr>
              <w:suppressAutoHyphens w:val="0"/>
              <w:spacing w:before="40" w:after="40" w:line="220" w:lineRule="exact"/>
              <w:ind w:right="113"/>
              <w:rPr>
                <w:sz w:val="18"/>
              </w:rPr>
            </w:pPr>
            <w:r w:rsidRPr="003505B4">
              <w:rPr>
                <w:sz w:val="18"/>
              </w:rPr>
              <w:t>2011</w:t>
            </w:r>
          </w:p>
        </w:tc>
        <w:tc>
          <w:tcPr>
            <w:tcW w:w="2254" w:type="dxa"/>
            <w:shd w:val="clear" w:color="auto" w:fill="auto"/>
            <w:vAlign w:val="bottom"/>
          </w:tcPr>
          <w:p w:rsidR="004B0C37" w:rsidRPr="003505B4" w:rsidRDefault="004B0C37" w:rsidP="003505B4">
            <w:pPr>
              <w:suppressAutoHyphens w:val="0"/>
              <w:spacing w:before="40" w:after="40" w:line="220" w:lineRule="exact"/>
              <w:ind w:right="113"/>
              <w:jc w:val="right"/>
              <w:rPr>
                <w:sz w:val="18"/>
                <w:szCs w:val="36"/>
                <w:lang w:val="en-US" w:bidi="ar-QA"/>
              </w:rPr>
            </w:pPr>
            <w:r w:rsidRPr="003505B4">
              <w:rPr>
                <w:sz w:val="18"/>
                <w:szCs w:val="36"/>
                <w:lang w:val="en-US" w:bidi="ar-QA"/>
              </w:rPr>
              <w:t>8.9</w:t>
            </w:r>
          </w:p>
        </w:tc>
        <w:tc>
          <w:tcPr>
            <w:tcW w:w="2254" w:type="dxa"/>
            <w:shd w:val="clear" w:color="auto" w:fill="auto"/>
            <w:vAlign w:val="bottom"/>
          </w:tcPr>
          <w:p w:rsidR="004B0C37" w:rsidRPr="003505B4" w:rsidRDefault="004B0C37" w:rsidP="003505B4">
            <w:pPr>
              <w:suppressAutoHyphens w:val="0"/>
              <w:spacing w:before="40" w:after="40" w:line="220" w:lineRule="exact"/>
              <w:ind w:right="113"/>
              <w:jc w:val="right"/>
              <w:rPr>
                <w:sz w:val="18"/>
                <w:szCs w:val="36"/>
                <w:lang w:val="en-US" w:bidi="ar-QA"/>
              </w:rPr>
            </w:pPr>
            <w:r w:rsidRPr="003505B4">
              <w:rPr>
                <w:sz w:val="18"/>
                <w:szCs w:val="36"/>
                <w:lang w:val="en-US" w:bidi="ar-QA"/>
              </w:rPr>
              <w:t>6.2</w:t>
            </w:r>
          </w:p>
        </w:tc>
        <w:tc>
          <w:tcPr>
            <w:tcW w:w="2254" w:type="dxa"/>
            <w:shd w:val="clear" w:color="auto" w:fill="auto"/>
            <w:vAlign w:val="bottom"/>
          </w:tcPr>
          <w:p w:rsidR="004B0C37" w:rsidRPr="003505B4" w:rsidRDefault="004B0C37" w:rsidP="003505B4">
            <w:pPr>
              <w:suppressAutoHyphens w:val="0"/>
              <w:spacing w:before="40" w:after="40" w:line="220" w:lineRule="exact"/>
              <w:ind w:right="113"/>
              <w:jc w:val="right"/>
              <w:rPr>
                <w:sz w:val="18"/>
                <w:szCs w:val="36"/>
                <w:lang w:val="en-US" w:bidi="ar-QA"/>
              </w:rPr>
            </w:pPr>
            <w:r w:rsidRPr="003505B4">
              <w:rPr>
                <w:sz w:val="18"/>
                <w:szCs w:val="36"/>
                <w:lang w:val="en-US" w:bidi="ar-QA"/>
              </w:rPr>
              <w:t>8.9</w:t>
            </w:r>
          </w:p>
        </w:tc>
      </w:tr>
      <w:tr w:rsidR="004B0C37" w:rsidRPr="003505B4" w:rsidTr="003505B4">
        <w:tc>
          <w:tcPr>
            <w:tcW w:w="2254" w:type="dxa"/>
            <w:shd w:val="clear" w:color="auto" w:fill="auto"/>
          </w:tcPr>
          <w:p w:rsidR="004B0C37" w:rsidRPr="003505B4" w:rsidRDefault="004B0C37" w:rsidP="003505B4">
            <w:pPr>
              <w:suppressAutoHyphens w:val="0"/>
              <w:spacing w:before="40" w:after="40" w:line="220" w:lineRule="exact"/>
              <w:ind w:right="113"/>
              <w:rPr>
                <w:sz w:val="18"/>
              </w:rPr>
            </w:pPr>
            <w:r w:rsidRPr="003505B4">
              <w:rPr>
                <w:sz w:val="18"/>
              </w:rPr>
              <w:t>2012</w:t>
            </w:r>
          </w:p>
        </w:tc>
        <w:tc>
          <w:tcPr>
            <w:tcW w:w="2254" w:type="dxa"/>
            <w:shd w:val="clear" w:color="auto" w:fill="auto"/>
            <w:vAlign w:val="bottom"/>
          </w:tcPr>
          <w:p w:rsidR="004B0C37" w:rsidRPr="003505B4" w:rsidRDefault="004B0C37" w:rsidP="003505B4">
            <w:pPr>
              <w:suppressAutoHyphens w:val="0"/>
              <w:spacing w:before="40" w:after="40" w:line="220" w:lineRule="exact"/>
              <w:ind w:right="113"/>
              <w:jc w:val="right"/>
              <w:rPr>
                <w:sz w:val="18"/>
                <w:szCs w:val="36"/>
                <w:lang w:val="en-US" w:bidi="ar-QA"/>
              </w:rPr>
            </w:pPr>
            <w:r w:rsidRPr="003505B4">
              <w:rPr>
                <w:sz w:val="18"/>
                <w:szCs w:val="36"/>
                <w:lang w:val="en-US" w:bidi="ar-QA"/>
              </w:rPr>
              <w:t>8.5</w:t>
            </w:r>
          </w:p>
        </w:tc>
        <w:tc>
          <w:tcPr>
            <w:tcW w:w="2254" w:type="dxa"/>
            <w:shd w:val="clear" w:color="auto" w:fill="auto"/>
            <w:vAlign w:val="bottom"/>
          </w:tcPr>
          <w:p w:rsidR="004B0C37" w:rsidRPr="003505B4" w:rsidRDefault="004B0C37" w:rsidP="003505B4">
            <w:pPr>
              <w:suppressAutoHyphens w:val="0"/>
              <w:spacing w:before="40" w:after="40" w:line="220" w:lineRule="exact"/>
              <w:ind w:right="113"/>
              <w:jc w:val="right"/>
              <w:rPr>
                <w:sz w:val="18"/>
                <w:szCs w:val="36"/>
                <w:lang w:val="en-US" w:bidi="ar-QA"/>
              </w:rPr>
            </w:pPr>
            <w:r w:rsidRPr="003505B4">
              <w:rPr>
                <w:sz w:val="18"/>
                <w:szCs w:val="36"/>
                <w:lang w:val="en-US" w:bidi="ar-QA"/>
              </w:rPr>
              <w:t>5.2</w:t>
            </w:r>
          </w:p>
        </w:tc>
        <w:tc>
          <w:tcPr>
            <w:tcW w:w="2254" w:type="dxa"/>
            <w:shd w:val="clear" w:color="auto" w:fill="auto"/>
            <w:vAlign w:val="bottom"/>
          </w:tcPr>
          <w:p w:rsidR="004B0C37" w:rsidRPr="003505B4" w:rsidRDefault="004B0C37" w:rsidP="003505B4">
            <w:pPr>
              <w:suppressAutoHyphens w:val="0"/>
              <w:spacing w:before="40" w:after="40" w:line="220" w:lineRule="exact"/>
              <w:ind w:right="113"/>
              <w:jc w:val="right"/>
              <w:rPr>
                <w:sz w:val="18"/>
                <w:szCs w:val="36"/>
                <w:lang w:val="en-US" w:bidi="ar-QA"/>
              </w:rPr>
            </w:pPr>
            <w:r w:rsidRPr="003505B4">
              <w:rPr>
                <w:sz w:val="18"/>
                <w:szCs w:val="36"/>
                <w:lang w:val="en-US" w:bidi="ar-QA"/>
              </w:rPr>
              <w:t>8.5</w:t>
            </w:r>
          </w:p>
        </w:tc>
      </w:tr>
      <w:tr w:rsidR="004B0C37" w:rsidRPr="003505B4" w:rsidTr="003505B4">
        <w:tc>
          <w:tcPr>
            <w:tcW w:w="2254" w:type="dxa"/>
            <w:shd w:val="clear" w:color="auto" w:fill="auto"/>
          </w:tcPr>
          <w:p w:rsidR="004B0C37" w:rsidRPr="003505B4" w:rsidRDefault="004B0C37" w:rsidP="003505B4">
            <w:pPr>
              <w:suppressAutoHyphens w:val="0"/>
              <w:spacing w:before="40" w:after="40" w:line="220" w:lineRule="exact"/>
              <w:ind w:right="113"/>
              <w:rPr>
                <w:sz w:val="18"/>
              </w:rPr>
            </w:pPr>
            <w:r w:rsidRPr="003505B4">
              <w:rPr>
                <w:sz w:val="18"/>
              </w:rPr>
              <w:t>2013</w:t>
            </w:r>
          </w:p>
        </w:tc>
        <w:tc>
          <w:tcPr>
            <w:tcW w:w="2254" w:type="dxa"/>
            <w:shd w:val="clear" w:color="auto" w:fill="auto"/>
            <w:vAlign w:val="bottom"/>
          </w:tcPr>
          <w:p w:rsidR="004B0C37" w:rsidRPr="003505B4" w:rsidRDefault="004B0C37" w:rsidP="003505B4">
            <w:pPr>
              <w:suppressAutoHyphens w:val="0"/>
              <w:spacing w:before="40" w:after="40" w:line="220" w:lineRule="exact"/>
              <w:ind w:right="113"/>
              <w:jc w:val="right"/>
              <w:rPr>
                <w:sz w:val="18"/>
                <w:szCs w:val="36"/>
                <w:lang w:val="en-US" w:bidi="ar-QA"/>
              </w:rPr>
            </w:pPr>
            <w:r w:rsidRPr="003505B4">
              <w:rPr>
                <w:sz w:val="18"/>
                <w:szCs w:val="36"/>
                <w:lang w:val="en-US" w:bidi="ar-QA"/>
              </w:rPr>
              <w:t>8.1</w:t>
            </w:r>
          </w:p>
        </w:tc>
        <w:tc>
          <w:tcPr>
            <w:tcW w:w="2254" w:type="dxa"/>
            <w:shd w:val="clear" w:color="auto" w:fill="auto"/>
            <w:vAlign w:val="bottom"/>
          </w:tcPr>
          <w:p w:rsidR="004B0C37" w:rsidRPr="003505B4" w:rsidRDefault="004B0C37" w:rsidP="003505B4">
            <w:pPr>
              <w:suppressAutoHyphens w:val="0"/>
              <w:spacing w:before="40" w:after="40" w:line="220" w:lineRule="exact"/>
              <w:ind w:right="113"/>
              <w:jc w:val="right"/>
              <w:rPr>
                <w:sz w:val="18"/>
                <w:szCs w:val="36"/>
                <w:lang w:val="en-US" w:bidi="ar-QA"/>
              </w:rPr>
            </w:pPr>
            <w:r w:rsidRPr="003505B4">
              <w:rPr>
                <w:sz w:val="18"/>
                <w:szCs w:val="36"/>
                <w:lang w:val="en-US" w:bidi="ar-QA"/>
              </w:rPr>
              <w:t>5.2</w:t>
            </w:r>
          </w:p>
        </w:tc>
        <w:tc>
          <w:tcPr>
            <w:tcW w:w="2254" w:type="dxa"/>
            <w:shd w:val="clear" w:color="auto" w:fill="auto"/>
            <w:vAlign w:val="bottom"/>
          </w:tcPr>
          <w:p w:rsidR="004B0C37" w:rsidRPr="003505B4" w:rsidRDefault="004B0C37" w:rsidP="003505B4">
            <w:pPr>
              <w:suppressAutoHyphens w:val="0"/>
              <w:spacing w:before="40" w:after="40" w:line="220" w:lineRule="exact"/>
              <w:ind w:right="113"/>
              <w:jc w:val="right"/>
              <w:rPr>
                <w:sz w:val="18"/>
                <w:szCs w:val="36"/>
                <w:lang w:val="en-US" w:bidi="ar-QA"/>
              </w:rPr>
            </w:pPr>
            <w:r w:rsidRPr="003505B4">
              <w:rPr>
                <w:sz w:val="18"/>
                <w:szCs w:val="36"/>
                <w:lang w:val="en-US" w:bidi="ar-QA"/>
              </w:rPr>
              <w:t>8.1</w:t>
            </w:r>
          </w:p>
        </w:tc>
      </w:tr>
      <w:tr w:rsidR="004B0C37" w:rsidRPr="003505B4" w:rsidTr="003505B4">
        <w:tc>
          <w:tcPr>
            <w:tcW w:w="2254" w:type="dxa"/>
            <w:shd w:val="clear" w:color="auto" w:fill="auto"/>
          </w:tcPr>
          <w:p w:rsidR="004B0C37" w:rsidRPr="003505B4" w:rsidRDefault="004B0C37" w:rsidP="003505B4">
            <w:pPr>
              <w:suppressAutoHyphens w:val="0"/>
              <w:spacing w:before="40" w:after="40" w:line="220" w:lineRule="exact"/>
              <w:ind w:right="113"/>
              <w:rPr>
                <w:sz w:val="18"/>
              </w:rPr>
            </w:pPr>
            <w:r w:rsidRPr="003505B4">
              <w:rPr>
                <w:sz w:val="18"/>
              </w:rPr>
              <w:t>2014</w:t>
            </w:r>
          </w:p>
        </w:tc>
        <w:tc>
          <w:tcPr>
            <w:tcW w:w="2254" w:type="dxa"/>
            <w:shd w:val="clear" w:color="auto" w:fill="auto"/>
            <w:vAlign w:val="bottom"/>
          </w:tcPr>
          <w:p w:rsidR="004B0C37" w:rsidRPr="003505B4" w:rsidRDefault="004B0C37" w:rsidP="003505B4">
            <w:pPr>
              <w:suppressAutoHyphens w:val="0"/>
              <w:spacing w:before="40" w:after="40" w:line="220" w:lineRule="exact"/>
              <w:ind w:right="113"/>
              <w:jc w:val="right"/>
              <w:rPr>
                <w:sz w:val="18"/>
                <w:szCs w:val="36"/>
                <w:lang w:val="en-US" w:bidi="ar-QA"/>
              </w:rPr>
            </w:pPr>
            <w:r w:rsidRPr="003505B4">
              <w:rPr>
                <w:sz w:val="18"/>
                <w:szCs w:val="36"/>
                <w:lang w:val="en-US" w:bidi="ar-QA"/>
              </w:rPr>
              <w:t>6.6</w:t>
            </w:r>
          </w:p>
        </w:tc>
        <w:tc>
          <w:tcPr>
            <w:tcW w:w="2254" w:type="dxa"/>
            <w:shd w:val="clear" w:color="auto" w:fill="auto"/>
            <w:vAlign w:val="bottom"/>
          </w:tcPr>
          <w:p w:rsidR="004B0C37" w:rsidRPr="003505B4" w:rsidRDefault="004B0C37" w:rsidP="003505B4">
            <w:pPr>
              <w:suppressAutoHyphens w:val="0"/>
              <w:spacing w:before="40" w:after="40" w:line="220" w:lineRule="exact"/>
              <w:ind w:right="113"/>
              <w:jc w:val="right"/>
              <w:rPr>
                <w:sz w:val="18"/>
                <w:szCs w:val="36"/>
                <w:lang w:val="en-US" w:bidi="ar-QA"/>
              </w:rPr>
            </w:pPr>
            <w:r w:rsidRPr="003505B4">
              <w:rPr>
                <w:sz w:val="18"/>
                <w:szCs w:val="36"/>
                <w:lang w:val="en-US" w:bidi="ar-QA"/>
              </w:rPr>
              <w:t>6.7</w:t>
            </w:r>
          </w:p>
        </w:tc>
        <w:tc>
          <w:tcPr>
            <w:tcW w:w="2254" w:type="dxa"/>
            <w:shd w:val="clear" w:color="auto" w:fill="auto"/>
            <w:vAlign w:val="bottom"/>
          </w:tcPr>
          <w:p w:rsidR="004B0C37" w:rsidRPr="003505B4" w:rsidRDefault="004B0C37" w:rsidP="003505B4">
            <w:pPr>
              <w:suppressAutoHyphens w:val="0"/>
              <w:spacing w:before="40" w:after="40" w:line="220" w:lineRule="exact"/>
              <w:ind w:right="113"/>
              <w:jc w:val="right"/>
              <w:rPr>
                <w:sz w:val="18"/>
                <w:szCs w:val="36"/>
                <w:lang w:val="en-US" w:bidi="ar-QA"/>
              </w:rPr>
            </w:pPr>
            <w:r w:rsidRPr="003505B4">
              <w:rPr>
                <w:sz w:val="18"/>
                <w:szCs w:val="36"/>
                <w:lang w:val="en-US" w:bidi="ar-QA"/>
              </w:rPr>
              <w:t>6.6</w:t>
            </w:r>
          </w:p>
        </w:tc>
      </w:tr>
      <w:tr w:rsidR="004B0C37" w:rsidRPr="003505B4" w:rsidTr="003505B4">
        <w:tc>
          <w:tcPr>
            <w:tcW w:w="2254" w:type="dxa"/>
            <w:shd w:val="clear" w:color="auto" w:fill="auto"/>
          </w:tcPr>
          <w:p w:rsidR="004B0C37" w:rsidRPr="003505B4" w:rsidRDefault="004B0C37" w:rsidP="003505B4">
            <w:pPr>
              <w:suppressAutoHyphens w:val="0"/>
              <w:spacing w:before="40" w:after="40" w:line="220" w:lineRule="exact"/>
              <w:ind w:right="113"/>
              <w:rPr>
                <w:sz w:val="18"/>
              </w:rPr>
            </w:pPr>
            <w:r w:rsidRPr="003505B4">
              <w:rPr>
                <w:sz w:val="18"/>
              </w:rPr>
              <w:t>2015</w:t>
            </w:r>
          </w:p>
        </w:tc>
        <w:tc>
          <w:tcPr>
            <w:tcW w:w="2254" w:type="dxa"/>
            <w:shd w:val="clear" w:color="auto" w:fill="auto"/>
            <w:vAlign w:val="bottom"/>
          </w:tcPr>
          <w:p w:rsidR="004B0C37" w:rsidRPr="003505B4" w:rsidRDefault="004B0C37" w:rsidP="003505B4">
            <w:pPr>
              <w:suppressAutoHyphens w:val="0"/>
              <w:spacing w:before="40" w:after="40" w:line="220" w:lineRule="exact"/>
              <w:ind w:right="113"/>
              <w:jc w:val="right"/>
              <w:rPr>
                <w:sz w:val="18"/>
                <w:szCs w:val="36"/>
                <w:lang w:val="en-US" w:bidi="ar-QA"/>
              </w:rPr>
            </w:pPr>
            <w:r w:rsidRPr="003505B4">
              <w:rPr>
                <w:sz w:val="18"/>
                <w:szCs w:val="36"/>
                <w:lang w:val="en-US" w:bidi="ar-QA"/>
              </w:rPr>
              <w:t>7.5</w:t>
            </w:r>
          </w:p>
        </w:tc>
        <w:tc>
          <w:tcPr>
            <w:tcW w:w="2254" w:type="dxa"/>
            <w:shd w:val="clear" w:color="auto" w:fill="auto"/>
            <w:vAlign w:val="bottom"/>
          </w:tcPr>
          <w:p w:rsidR="004B0C37" w:rsidRPr="003505B4" w:rsidRDefault="004B0C37" w:rsidP="003505B4">
            <w:pPr>
              <w:suppressAutoHyphens w:val="0"/>
              <w:spacing w:before="40" w:after="40" w:line="220" w:lineRule="exact"/>
              <w:ind w:right="113"/>
              <w:jc w:val="right"/>
              <w:rPr>
                <w:sz w:val="18"/>
                <w:szCs w:val="36"/>
                <w:lang w:val="en-US" w:bidi="ar-QA"/>
              </w:rPr>
            </w:pPr>
            <w:r w:rsidRPr="003505B4">
              <w:rPr>
                <w:sz w:val="18"/>
                <w:szCs w:val="36"/>
                <w:lang w:val="en-US" w:bidi="ar-QA"/>
              </w:rPr>
              <w:t>7.3</w:t>
            </w:r>
          </w:p>
        </w:tc>
        <w:tc>
          <w:tcPr>
            <w:tcW w:w="2254" w:type="dxa"/>
            <w:shd w:val="clear" w:color="auto" w:fill="auto"/>
            <w:vAlign w:val="bottom"/>
          </w:tcPr>
          <w:p w:rsidR="004B0C37" w:rsidRPr="003505B4" w:rsidRDefault="004B0C37" w:rsidP="003505B4">
            <w:pPr>
              <w:suppressAutoHyphens w:val="0"/>
              <w:spacing w:before="40" w:after="40" w:line="220" w:lineRule="exact"/>
              <w:ind w:right="113"/>
              <w:jc w:val="right"/>
              <w:rPr>
                <w:sz w:val="18"/>
                <w:szCs w:val="36"/>
                <w:lang w:val="en-US" w:bidi="ar-QA"/>
              </w:rPr>
            </w:pPr>
            <w:r w:rsidRPr="003505B4">
              <w:rPr>
                <w:sz w:val="18"/>
                <w:szCs w:val="36"/>
                <w:lang w:val="en-US" w:bidi="ar-QA"/>
              </w:rPr>
              <w:t>7.5</w:t>
            </w:r>
          </w:p>
        </w:tc>
      </w:tr>
      <w:tr w:rsidR="004B0C37" w:rsidRPr="003505B4" w:rsidTr="003505B4">
        <w:tc>
          <w:tcPr>
            <w:tcW w:w="2254" w:type="dxa"/>
            <w:shd w:val="clear" w:color="auto" w:fill="auto"/>
          </w:tcPr>
          <w:p w:rsidR="004B0C37" w:rsidRPr="003505B4" w:rsidRDefault="004B0C37" w:rsidP="003505B4">
            <w:pPr>
              <w:suppressAutoHyphens w:val="0"/>
              <w:spacing w:before="40" w:after="40" w:line="220" w:lineRule="exact"/>
              <w:ind w:right="113"/>
              <w:rPr>
                <w:sz w:val="18"/>
              </w:rPr>
            </w:pPr>
            <w:r w:rsidRPr="003505B4">
              <w:rPr>
                <w:sz w:val="18"/>
              </w:rPr>
              <w:t>2016</w:t>
            </w:r>
          </w:p>
        </w:tc>
        <w:tc>
          <w:tcPr>
            <w:tcW w:w="2254" w:type="dxa"/>
            <w:shd w:val="clear" w:color="auto" w:fill="auto"/>
            <w:vAlign w:val="bottom"/>
          </w:tcPr>
          <w:p w:rsidR="004B0C37" w:rsidRPr="003505B4" w:rsidRDefault="004B0C37" w:rsidP="003505B4">
            <w:pPr>
              <w:suppressAutoHyphens w:val="0"/>
              <w:spacing w:before="40" w:after="40" w:line="220" w:lineRule="exact"/>
              <w:ind w:right="113"/>
              <w:jc w:val="right"/>
              <w:rPr>
                <w:sz w:val="18"/>
                <w:szCs w:val="36"/>
                <w:lang w:val="en-US" w:bidi="ar-QA"/>
              </w:rPr>
            </w:pPr>
            <w:r w:rsidRPr="003505B4">
              <w:rPr>
                <w:sz w:val="18"/>
                <w:szCs w:val="36"/>
                <w:lang w:val="en-US" w:bidi="ar-QA"/>
              </w:rPr>
              <w:t>6.0</w:t>
            </w:r>
          </w:p>
        </w:tc>
        <w:tc>
          <w:tcPr>
            <w:tcW w:w="2254" w:type="dxa"/>
            <w:shd w:val="clear" w:color="auto" w:fill="auto"/>
            <w:vAlign w:val="bottom"/>
          </w:tcPr>
          <w:p w:rsidR="004B0C37" w:rsidRPr="003505B4" w:rsidRDefault="004B0C37" w:rsidP="003505B4">
            <w:pPr>
              <w:suppressAutoHyphens w:val="0"/>
              <w:spacing w:before="40" w:after="40" w:line="220" w:lineRule="exact"/>
              <w:ind w:right="113"/>
              <w:jc w:val="right"/>
              <w:rPr>
                <w:sz w:val="18"/>
                <w:szCs w:val="36"/>
                <w:lang w:val="en-US" w:bidi="ar-QA"/>
              </w:rPr>
            </w:pPr>
            <w:r w:rsidRPr="003505B4">
              <w:rPr>
                <w:sz w:val="18"/>
                <w:szCs w:val="36"/>
                <w:lang w:val="en-US" w:bidi="ar-QA"/>
              </w:rPr>
              <w:t>6.0</w:t>
            </w:r>
          </w:p>
        </w:tc>
        <w:tc>
          <w:tcPr>
            <w:tcW w:w="2254" w:type="dxa"/>
            <w:shd w:val="clear" w:color="auto" w:fill="auto"/>
            <w:vAlign w:val="bottom"/>
          </w:tcPr>
          <w:p w:rsidR="004B0C37" w:rsidRPr="003505B4" w:rsidRDefault="004B0C37" w:rsidP="003505B4">
            <w:pPr>
              <w:suppressAutoHyphens w:val="0"/>
              <w:spacing w:before="40" w:after="40" w:line="220" w:lineRule="exact"/>
              <w:ind w:right="113"/>
              <w:jc w:val="right"/>
              <w:rPr>
                <w:sz w:val="18"/>
                <w:szCs w:val="36"/>
                <w:lang w:val="en-US" w:bidi="ar-QA"/>
              </w:rPr>
            </w:pPr>
            <w:r w:rsidRPr="003505B4">
              <w:rPr>
                <w:sz w:val="18"/>
                <w:szCs w:val="36"/>
                <w:lang w:val="en-US" w:bidi="ar-QA"/>
              </w:rPr>
              <w:t>6.0</w:t>
            </w:r>
          </w:p>
        </w:tc>
      </w:tr>
    </w:tbl>
    <w:p w:rsidR="004B0C37" w:rsidRPr="00731118" w:rsidRDefault="004B0C37" w:rsidP="00731118">
      <w:pPr>
        <w:spacing w:before="120" w:after="240"/>
        <w:ind w:left="1134" w:right="1134" w:firstLine="170"/>
        <w:rPr>
          <w:sz w:val="18"/>
        </w:rPr>
      </w:pPr>
      <w:r w:rsidRPr="00731118">
        <w:rPr>
          <w:i/>
          <w:iCs/>
          <w:sz w:val="18"/>
        </w:rPr>
        <w:t>Source:</w:t>
      </w:r>
      <w:r w:rsidRPr="00731118">
        <w:rPr>
          <w:sz w:val="18"/>
        </w:rPr>
        <w:t xml:space="preserve"> </w:t>
      </w:r>
      <w:r w:rsidR="00731118">
        <w:rPr>
          <w:sz w:val="18"/>
        </w:rPr>
        <w:t xml:space="preserve"> </w:t>
      </w:r>
      <w:r w:rsidRPr="00731118">
        <w:rPr>
          <w:sz w:val="18"/>
        </w:rPr>
        <w:t>Ministry of Development Planning and Statistics: Population and Social Statistics (Annual bulletin of vital statistics: births and deaths, 2016)</w:t>
      </w:r>
      <w:r w:rsidR="00731118">
        <w:rPr>
          <w:sz w:val="18"/>
        </w:rPr>
        <w:t>.</w:t>
      </w:r>
    </w:p>
    <w:p w:rsidR="004B0C37" w:rsidRPr="0034732A" w:rsidRDefault="004B0C37" w:rsidP="00731118">
      <w:pPr>
        <w:pStyle w:val="SingleTxtG"/>
      </w:pPr>
      <w:r w:rsidRPr="0034732A">
        <w:t>12.</w:t>
      </w:r>
      <w:r w:rsidR="009D1BD8">
        <w:tab/>
      </w:r>
      <w:r w:rsidRPr="0034732A">
        <w:t>The infant mortality rate is a good indicator of child development</w:t>
      </w:r>
      <w:r>
        <w:t xml:space="preserve"> in</w:t>
      </w:r>
      <w:r w:rsidR="007F4A3A">
        <w:t xml:space="preserve"> </w:t>
      </w:r>
      <w:r w:rsidRPr="0034732A">
        <w:t xml:space="preserve">that it is a record of the number of deaths of children under the age of </w:t>
      </w:r>
      <w:r>
        <w:t>1</w:t>
      </w:r>
      <w:r w:rsidRPr="0034732A">
        <w:t xml:space="preserve"> per 1,000 live births.</w:t>
      </w:r>
      <w:r w:rsidR="007F4A3A">
        <w:t xml:space="preserve"> </w:t>
      </w:r>
      <w:r w:rsidRPr="0034732A">
        <w:t>It not only reflects the quality of prenatal and postpartum care</w:t>
      </w:r>
      <w:r>
        <w:t xml:space="preserve"> but is also a sound measure of </w:t>
      </w:r>
      <w:r w:rsidRPr="0034732A">
        <w:t>child</w:t>
      </w:r>
      <w:r>
        <w:t>ren</w:t>
      </w:r>
      <w:r w:rsidR="009D1BD8">
        <w:t>’</w:t>
      </w:r>
      <w:r w:rsidRPr="0034732A">
        <w:t>s social, economic and environmental circumstances.</w:t>
      </w:r>
      <w:r w:rsidR="007F4A3A">
        <w:t xml:space="preserve"> </w:t>
      </w:r>
      <w:r w:rsidRPr="0034732A">
        <w:t>The data show that the</w:t>
      </w:r>
      <w:r w:rsidR="007F4A3A">
        <w:t xml:space="preserve"> </w:t>
      </w:r>
      <w:r w:rsidRPr="0034732A">
        <w:t xml:space="preserve">infant mortality </w:t>
      </w:r>
      <w:r>
        <w:t xml:space="preserve">rate </w:t>
      </w:r>
      <w:r w:rsidRPr="0034732A">
        <w:t xml:space="preserve">in the period </w:t>
      </w:r>
      <w:r>
        <w:t xml:space="preserve">from 2007 to </w:t>
      </w:r>
      <w:r w:rsidRPr="0034732A">
        <w:t>2016 fell from 7.1 to 6.0 for both males and females.</w:t>
      </w:r>
    </w:p>
    <w:p w:rsidR="004B0C37" w:rsidRPr="0034732A" w:rsidRDefault="004B0C37" w:rsidP="00731118">
      <w:pPr>
        <w:pStyle w:val="SingleTxtG"/>
      </w:pPr>
      <w:r w:rsidRPr="0034732A">
        <w:t>13.</w:t>
      </w:r>
      <w:r w:rsidRPr="0034732A">
        <w:tab/>
        <w:t>Qataris profess the religion of Islam</w:t>
      </w:r>
      <w:r>
        <w:t>,</w:t>
      </w:r>
      <w:r w:rsidRPr="0034732A">
        <w:t xml:space="preserve"> and the overwhelming majority </w:t>
      </w:r>
      <w:r>
        <w:t xml:space="preserve">of the population </w:t>
      </w:r>
      <w:r w:rsidRPr="0034732A">
        <w:t>are Sunni Muslims.</w:t>
      </w:r>
      <w:r w:rsidR="007F4A3A">
        <w:t xml:space="preserve"> </w:t>
      </w:r>
      <w:r w:rsidRPr="0034732A">
        <w:t xml:space="preserve">Other faith groups are also present, as Qatar </w:t>
      </w:r>
      <w:r>
        <w:t>welcomes</w:t>
      </w:r>
      <w:r w:rsidRPr="0034732A">
        <w:t xml:space="preserve"> large numbers of workers</w:t>
      </w:r>
      <w:r w:rsidR="007F4A3A">
        <w:t xml:space="preserve"> </w:t>
      </w:r>
      <w:r w:rsidRPr="0034732A">
        <w:t>every year to meet the demands of its ambitious development plans</w:t>
      </w:r>
      <w:r>
        <w:t xml:space="preserve"> at all levels and in all spheres</w:t>
      </w:r>
      <w:r w:rsidRPr="0034732A">
        <w:t>. These migrant workers</w:t>
      </w:r>
      <w:r>
        <w:t>,</w:t>
      </w:r>
      <w:r w:rsidRPr="0034732A">
        <w:t xml:space="preserve"> with their diverse faiths, cultures and </w:t>
      </w:r>
      <w:r w:rsidRPr="0034732A">
        <w:lastRenderedPageBreak/>
        <w:t>lifestyles</w:t>
      </w:r>
      <w:r>
        <w:t>,</w:t>
      </w:r>
      <w:r w:rsidRPr="0034732A">
        <w:t xml:space="preserve"> come from all over the world and live side by side</w:t>
      </w:r>
      <w:r>
        <w:t xml:space="preserve"> with one another in Qatar</w:t>
      </w:r>
      <w:r w:rsidRPr="0034732A">
        <w:t>.</w:t>
      </w:r>
      <w:r w:rsidR="007F4A3A">
        <w:t xml:space="preserve"> </w:t>
      </w:r>
      <w:r w:rsidRPr="0034732A">
        <w:t>The experience of Qatar has shown that the high percentage of migrant</w:t>
      </w:r>
      <w:r>
        <w:t xml:space="preserve"> workers</w:t>
      </w:r>
      <w:r w:rsidRPr="0034732A">
        <w:t xml:space="preserve"> and wide range of nationalities, religions and cultures pose no barrier to </w:t>
      </w:r>
      <w:r>
        <w:t xml:space="preserve">the establishment of </w:t>
      </w:r>
      <w:r w:rsidRPr="0034732A">
        <w:t xml:space="preserve">positive coexistence </w:t>
      </w:r>
      <w:r>
        <w:t>among</w:t>
      </w:r>
      <w:r w:rsidRPr="0034732A">
        <w:t xml:space="preserve"> </w:t>
      </w:r>
      <w:r>
        <w:t>all</w:t>
      </w:r>
      <w:r w:rsidRPr="0034732A">
        <w:t xml:space="preserve"> segments of society.</w:t>
      </w:r>
      <w:r w:rsidR="007F4A3A">
        <w:t xml:space="preserve"> </w:t>
      </w:r>
      <w:r w:rsidRPr="0034732A">
        <w:t xml:space="preserve">Indeed, Qatari society </w:t>
      </w:r>
      <w:r>
        <w:t>has become</w:t>
      </w:r>
      <w:r w:rsidRPr="0034732A">
        <w:t xml:space="preserve"> a model for</w:t>
      </w:r>
      <w:r w:rsidR="007F4A3A">
        <w:t xml:space="preserve"> </w:t>
      </w:r>
      <w:r w:rsidRPr="0034732A">
        <w:t xml:space="preserve">coexistence </w:t>
      </w:r>
      <w:r>
        <w:t>among</w:t>
      </w:r>
      <w:r w:rsidRPr="0034732A">
        <w:t xml:space="preserve"> peoples of different faiths and cultures.</w:t>
      </w:r>
    </w:p>
    <w:p w:rsidR="004B0C37" w:rsidRPr="0034732A" w:rsidRDefault="008D4BF6" w:rsidP="008D4BF6">
      <w:pPr>
        <w:pStyle w:val="H23G"/>
      </w:pPr>
      <w:r>
        <w:tab/>
      </w:r>
      <w:r>
        <w:tab/>
      </w:r>
      <w:r w:rsidR="004B0C37" w:rsidRPr="0034732A">
        <w:t>Historical overview</w:t>
      </w:r>
    </w:p>
    <w:p w:rsidR="0060531D" w:rsidRDefault="004B0C37" w:rsidP="0060531D">
      <w:pPr>
        <w:pStyle w:val="SingleTxtG"/>
      </w:pPr>
      <w:r w:rsidRPr="0034732A">
        <w:t>14</w:t>
      </w:r>
      <w:r w:rsidR="009D1BD8">
        <w:t>.</w:t>
      </w:r>
      <w:r w:rsidR="009D1BD8">
        <w:tab/>
      </w:r>
      <w:r w:rsidRPr="0034732A">
        <w:t xml:space="preserve">The </w:t>
      </w:r>
      <w:r>
        <w:t xml:space="preserve">Al </w:t>
      </w:r>
      <w:proofErr w:type="spellStart"/>
      <w:r>
        <w:t>Thani</w:t>
      </w:r>
      <w:proofErr w:type="spellEnd"/>
      <w:r w:rsidRPr="0034732A">
        <w:t xml:space="preserve"> family has ruled Qatar since the beginning of </w:t>
      </w:r>
      <w:r w:rsidRPr="00015B1A">
        <w:t>the 18th</w:t>
      </w:r>
      <w:r w:rsidRPr="0034732A">
        <w:t xml:space="preserve"> century.</w:t>
      </w:r>
      <w:r w:rsidR="007F4A3A">
        <w:t xml:space="preserve"> </w:t>
      </w:r>
      <w:r w:rsidRPr="0034732A">
        <w:t xml:space="preserve">Sheikh </w:t>
      </w:r>
      <w:proofErr w:type="spellStart"/>
      <w:r w:rsidRPr="0034732A">
        <w:t>Jasim</w:t>
      </w:r>
      <w:proofErr w:type="spellEnd"/>
      <w:r w:rsidRPr="0034732A">
        <w:t xml:space="preserve"> </w:t>
      </w:r>
      <w:r>
        <w:t>ibn</w:t>
      </w:r>
      <w:r w:rsidRPr="0034732A">
        <w:t xml:space="preserve"> Mohammed </w:t>
      </w:r>
      <w:r>
        <w:t xml:space="preserve">Al </w:t>
      </w:r>
      <w:proofErr w:type="spellStart"/>
      <w:r>
        <w:t>Thani</w:t>
      </w:r>
      <w:proofErr w:type="spellEnd"/>
      <w:r w:rsidRPr="0034732A">
        <w:t>, who ruled from 1878 to 1913, is the founder of the modern State of Qatar.</w:t>
      </w:r>
      <w:r w:rsidR="007F4A3A">
        <w:t xml:space="preserve"> </w:t>
      </w:r>
      <w:r w:rsidRPr="0034732A">
        <w:t xml:space="preserve">The country celebrates its national day every year on 18 December, the date on which Sheikh </w:t>
      </w:r>
      <w:proofErr w:type="spellStart"/>
      <w:r w:rsidRPr="0034732A">
        <w:t>Jasim</w:t>
      </w:r>
      <w:proofErr w:type="spellEnd"/>
      <w:r w:rsidRPr="0034732A">
        <w:t xml:space="preserve"> came to power.</w:t>
      </w:r>
      <w:r w:rsidR="007F4A3A">
        <w:t xml:space="preserve"> </w:t>
      </w:r>
      <w:r w:rsidRPr="0034732A">
        <w:t>In 1916, following the outbreak of the First World War, the State signed a treaty with Great Britain providing for the protection of Qatari territory and nationals.</w:t>
      </w:r>
      <w:r w:rsidR="007F4A3A">
        <w:t xml:space="preserve"> </w:t>
      </w:r>
      <w:r w:rsidRPr="0034732A">
        <w:t>British influence over Qatar was limited to administrative oversight in certain areas, until Qatar gained independence in 1971.</w:t>
      </w:r>
    </w:p>
    <w:p w:rsidR="0060531D" w:rsidRDefault="004B0C37" w:rsidP="0060531D">
      <w:pPr>
        <w:pStyle w:val="SingleTxtG"/>
        <w:rPr>
          <w:lang w:eastAsia="en-GB"/>
        </w:rPr>
      </w:pPr>
      <w:r w:rsidRPr="0034732A">
        <w:t>15</w:t>
      </w:r>
      <w:r w:rsidR="009D1BD8">
        <w:t>.</w:t>
      </w:r>
      <w:r w:rsidR="009D1BD8">
        <w:tab/>
      </w:r>
      <w:r w:rsidRPr="0034732A">
        <w:t>Qatar is a State that has come of age.</w:t>
      </w:r>
      <w:r w:rsidR="007F4A3A">
        <w:t xml:space="preserve"> </w:t>
      </w:r>
      <w:r w:rsidRPr="0034732A">
        <w:t xml:space="preserve">In the area of education, for example, the first </w:t>
      </w:r>
      <w:r>
        <w:t xml:space="preserve">primary school for boys to be established based </w:t>
      </w:r>
      <w:r w:rsidRPr="0034732A">
        <w:t>on a modern curriculum was opened at the start of school year 1950/51, teaching 190 pupils</w:t>
      </w:r>
      <w:r>
        <w:t xml:space="preserve"> in four grades</w:t>
      </w:r>
      <w:r w:rsidRPr="0034732A">
        <w:t>.</w:t>
      </w:r>
      <w:r w:rsidR="007F4A3A">
        <w:t xml:space="preserve"> </w:t>
      </w:r>
      <w:r w:rsidRPr="0034732A">
        <w:t>At the start of school year 1953/54, the first primary schools for girls opened its doors.</w:t>
      </w:r>
      <w:r w:rsidR="007F4A3A">
        <w:t xml:space="preserve"> </w:t>
      </w:r>
      <w:r>
        <w:t>T</w:t>
      </w:r>
      <w:r w:rsidRPr="0034732A">
        <w:t>he Ministry of Education, the first ministry in the country</w:t>
      </w:r>
      <w:r w:rsidR="009D1BD8">
        <w:t>’</w:t>
      </w:r>
      <w:r w:rsidRPr="0034732A">
        <w:t>s history, was created at the beginning of school year 1957/58, establishing the principles of free, universal education at all levels and introducing compulsory primary education.</w:t>
      </w:r>
      <w:r w:rsidR="007F4A3A">
        <w:t xml:space="preserve"> </w:t>
      </w:r>
      <w:r>
        <w:t>Beginning</w:t>
      </w:r>
      <w:r w:rsidRPr="0034732A">
        <w:t xml:space="preserve"> as a teachers</w:t>
      </w:r>
      <w:r w:rsidR="009D1BD8">
        <w:t>’</w:t>
      </w:r>
      <w:r w:rsidRPr="0034732A">
        <w:t xml:space="preserve"> college in 1973 with some 150 male and female students, Qatar University – the national, government-run university – was founded in 1977.</w:t>
      </w:r>
      <w:r w:rsidR="007F4A3A">
        <w:t xml:space="preserve"> </w:t>
      </w:r>
      <w:r w:rsidRPr="0034732A">
        <w:t xml:space="preserve">The University </w:t>
      </w:r>
      <w:r>
        <w:t>currently</w:t>
      </w:r>
      <w:r w:rsidRPr="0034732A">
        <w:t xml:space="preserve"> consists of seven colleges: arts and sciences, engineering, business and economics, sharia and Islamic studies, law, education and pharmacy.</w:t>
      </w:r>
    </w:p>
    <w:p w:rsidR="0060531D" w:rsidRDefault="004B0C37" w:rsidP="0060531D">
      <w:pPr>
        <w:pStyle w:val="SingleTxtG"/>
        <w:rPr>
          <w:lang w:eastAsia="en-GB"/>
        </w:rPr>
      </w:pPr>
      <w:r w:rsidRPr="0034732A">
        <w:rPr>
          <w:lang w:eastAsia="en-GB"/>
        </w:rPr>
        <w:t>16</w:t>
      </w:r>
      <w:r w:rsidR="009D1BD8">
        <w:rPr>
          <w:lang w:eastAsia="en-GB"/>
        </w:rPr>
        <w:t>.</w:t>
      </w:r>
      <w:r w:rsidR="009D1BD8">
        <w:rPr>
          <w:lang w:eastAsia="en-GB"/>
        </w:rPr>
        <w:tab/>
      </w:r>
      <w:r w:rsidRPr="0034732A">
        <w:rPr>
          <w:lang w:eastAsia="en-GB"/>
        </w:rPr>
        <w:t>As regards the health sector, the first hospital was opened in 1945, followed by th</w:t>
      </w:r>
      <w:r>
        <w:rPr>
          <w:lang w:eastAsia="en-GB"/>
        </w:rPr>
        <w:t>e establishment of the Medical D</w:t>
      </w:r>
      <w:r w:rsidRPr="0034732A">
        <w:rPr>
          <w:lang w:eastAsia="en-GB"/>
        </w:rPr>
        <w:t>epartment in 1951.</w:t>
      </w:r>
      <w:r w:rsidR="007F4A3A">
        <w:rPr>
          <w:lang w:eastAsia="en-GB"/>
        </w:rPr>
        <w:t xml:space="preserve"> </w:t>
      </w:r>
      <w:r w:rsidRPr="0034732A">
        <w:rPr>
          <w:lang w:eastAsia="en-GB"/>
        </w:rPr>
        <w:t xml:space="preserve">Treatment has been provided free of charge by the Government since </w:t>
      </w:r>
      <w:r>
        <w:rPr>
          <w:lang w:eastAsia="en-GB"/>
        </w:rPr>
        <w:t>then</w:t>
      </w:r>
      <w:r w:rsidRPr="0034732A">
        <w:rPr>
          <w:lang w:eastAsia="en-GB"/>
        </w:rPr>
        <w:t>.</w:t>
      </w:r>
      <w:r w:rsidR="007F4A3A">
        <w:rPr>
          <w:lang w:eastAsia="en-GB"/>
        </w:rPr>
        <w:t xml:space="preserve"> </w:t>
      </w:r>
      <w:r w:rsidRPr="0034732A">
        <w:rPr>
          <w:lang w:eastAsia="en-GB"/>
        </w:rPr>
        <w:t>The Department of Public Health was established in 1953 to oversee all health-related matters.</w:t>
      </w:r>
      <w:r w:rsidR="007F4A3A">
        <w:rPr>
          <w:lang w:eastAsia="en-GB"/>
        </w:rPr>
        <w:t xml:space="preserve"> </w:t>
      </w:r>
      <w:r w:rsidRPr="0034732A">
        <w:rPr>
          <w:lang w:eastAsia="en-GB"/>
        </w:rPr>
        <w:t>In 1954, three government clinics were established and all citizens and non-Qatari government employees were given the right to receive treatment abroad at government expense.</w:t>
      </w:r>
      <w:r w:rsidR="007F4A3A">
        <w:rPr>
          <w:lang w:eastAsia="en-GB"/>
        </w:rPr>
        <w:t xml:space="preserve"> </w:t>
      </w:r>
      <w:r w:rsidRPr="0034732A">
        <w:rPr>
          <w:lang w:eastAsia="en-GB"/>
        </w:rPr>
        <w:t xml:space="preserve">The </w:t>
      </w:r>
      <w:r>
        <w:rPr>
          <w:lang w:eastAsia="en-GB"/>
        </w:rPr>
        <w:t>foundation</w:t>
      </w:r>
      <w:r w:rsidRPr="0034732A">
        <w:rPr>
          <w:lang w:eastAsia="en-GB"/>
        </w:rPr>
        <w:t xml:space="preserve"> of specialized government hospitals continued, although the Ministry of Health itself was </w:t>
      </w:r>
      <w:r>
        <w:rPr>
          <w:lang w:eastAsia="en-GB"/>
        </w:rPr>
        <w:t>not</w:t>
      </w:r>
      <w:r w:rsidRPr="0034732A">
        <w:rPr>
          <w:lang w:eastAsia="en-GB"/>
        </w:rPr>
        <w:t xml:space="preserve"> established </w:t>
      </w:r>
      <w:r>
        <w:rPr>
          <w:lang w:eastAsia="en-GB"/>
        </w:rPr>
        <w:t>until</w:t>
      </w:r>
      <w:r w:rsidRPr="0034732A">
        <w:rPr>
          <w:lang w:eastAsia="en-GB"/>
        </w:rPr>
        <w:t xml:space="preserve"> 1970.</w:t>
      </w:r>
      <w:r w:rsidR="007F4A3A">
        <w:rPr>
          <w:lang w:eastAsia="en-GB"/>
        </w:rPr>
        <w:t xml:space="preserve">  </w:t>
      </w:r>
    </w:p>
    <w:p w:rsidR="0060531D" w:rsidRDefault="004B0C37" w:rsidP="005F075E">
      <w:pPr>
        <w:pStyle w:val="SingleTxtG"/>
      </w:pPr>
      <w:r w:rsidRPr="0034732A">
        <w:t>17</w:t>
      </w:r>
      <w:r w:rsidR="009D1BD8">
        <w:t>.</w:t>
      </w:r>
      <w:r w:rsidR="009D1BD8">
        <w:tab/>
      </w:r>
      <w:r w:rsidRPr="0034732A">
        <w:t>Since 1995, the</w:t>
      </w:r>
      <w:r>
        <w:t xml:space="preserve"> country has undergone a comprehensive process of development in all sectors and there has been a drive to</w:t>
      </w:r>
      <w:r w:rsidR="007F4A3A">
        <w:t xml:space="preserve"> </w:t>
      </w:r>
      <w:r w:rsidRPr="0034732A">
        <w:t xml:space="preserve">build a modern State based upon </w:t>
      </w:r>
      <w:r>
        <w:t xml:space="preserve">strengthened </w:t>
      </w:r>
      <w:r w:rsidRPr="0034732A">
        <w:t xml:space="preserve">consultation, democracy and the participation of citizens in </w:t>
      </w:r>
      <w:r>
        <w:t>determining</w:t>
      </w:r>
      <w:r w:rsidRPr="0034732A">
        <w:t xml:space="preserve"> their </w:t>
      </w:r>
      <w:r>
        <w:t xml:space="preserve">own </w:t>
      </w:r>
      <w:r w:rsidRPr="0034732A">
        <w:t xml:space="preserve">affairs and </w:t>
      </w:r>
      <w:r>
        <w:t>national policy-making.</w:t>
      </w:r>
      <w:r w:rsidR="007F4A3A">
        <w:t xml:space="preserve"> </w:t>
      </w:r>
      <w:proofErr w:type="spellStart"/>
      <w:r>
        <w:t>Emir</w:t>
      </w:r>
      <w:r w:rsidRPr="0034732A">
        <w:t>i</w:t>
      </w:r>
      <w:proofErr w:type="spellEnd"/>
      <w:r w:rsidRPr="0034732A">
        <w:t xml:space="preserve"> Decision No. </w:t>
      </w:r>
      <w:r>
        <w:t>11 was issued in 1999 to provide for the establishment of</w:t>
      </w:r>
      <w:r w:rsidR="007F4A3A">
        <w:t xml:space="preserve"> </w:t>
      </w:r>
      <w:r w:rsidRPr="0034732A">
        <w:t>the Permanent Constitution Drafting Committee</w:t>
      </w:r>
      <w:r>
        <w:t>.</w:t>
      </w:r>
      <w:r w:rsidR="007F4A3A">
        <w:t xml:space="preserve"> </w:t>
      </w:r>
      <w:r>
        <w:t>The Committee completed its work in 2002 and in April 2003</w:t>
      </w:r>
      <w:r w:rsidRPr="0034732A">
        <w:t xml:space="preserve"> the Qatari people, both men and women, took part in a referendum on the </w:t>
      </w:r>
      <w:r>
        <w:t>Permanent Constitution</w:t>
      </w:r>
      <w:r w:rsidRPr="0034732A">
        <w:t>, which was approved by 96.64 per cent of voters.</w:t>
      </w:r>
      <w:r w:rsidR="007F4A3A">
        <w:t xml:space="preserve"> </w:t>
      </w:r>
    </w:p>
    <w:p w:rsidR="0060531D" w:rsidRDefault="004B0C37" w:rsidP="0060531D">
      <w:pPr>
        <w:pStyle w:val="SingleTxtG"/>
      </w:pPr>
      <w:r w:rsidRPr="0034732A">
        <w:t>18</w:t>
      </w:r>
      <w:r w:rsidR="009D1BD8">
        <w:t>.</w:t>
      </w:r>
      <w:r w:rsidR="009D1BD8">
        <w:tab/>
      </w:r>
      <w:r w:rsidRPr="0034732A">
        <w:t xml:space="preserve">The State of Qatar seeks to </w:t>
      </w:r>
      <w:r>
        <w:t>apply</w:t>
      </w:r>
      <w:r w:rsidR="007F4A3A">
        <w:t xml:space="preserve"> </w:t>
      </w:r>
      <w:r w:rsidRPr="0034732A">
        <w:t xml:space="preserve">the principle of gender equality </w:t>
      </w:r>
      <w:r>
        <w:t>in practice, starting with</w:t>
      </w:r>
      <w:r w:rsidR="007F4A3A">
        <w:t xml:space="preserve"> </w:t>
      </w:r>
      <w:r w:rsidRPr="0034732A">
        <w:t>the Constitution</w:t>
      </w:r>
      <w:r>
        <w:t xml:space="preserve"> and</w:t>
      </w:r>
      <w:r w:rsidRPr="0034732A">
        <w:t xml:space="preserve"> </w:t>
      </w:r>
      <w:r>
        <w:t>translating</w:t>
      </w:r>
      <w:r w:rsidR="007F4A3A">
        <w:t xml:space="preserve"> </w:t>
      </w:r>
      <w:r>
        <w:t>a determined</w:t>
      </w:r>
      <w:r w:rsidRPr="0034732A">
        <w:t xml:space="preserve"> political will in</w:t>
      </w:r>
      <w:r>
        <w:t>to reality in</w:t>
      </w:r>
      <w:r w:rsidRPr="0034732A">
        <w:t xml:space="preserve"> a gradual manner, taking into account the noble </w:t>
      </w:r>
      <w:r>
        <w:t>purposes</w:t>
      </w:r>
      <w:r w:rsidRPr="0034732A">
        <w:t xml:space="preserve"> of Islam and</w:t>
      </w:r>
      <w:r w:rsidR="007F4A3A">
        <w:t xml:space="preserve"> </w:t>
      </w:r>
      <w:r w:rsidRPr="0034732A">
        <w:t>the demands of openness and development.</w:t>
      </w:r>
      <w:r w:rsidR="007F4A3A">
        <w:t xml:space="preserve"> </w:t>
      </w:r>
      <w:r w:rsidRPr="0034732A">
        <w:t>The issue of the integration of women in</w:t>
      </w:r>
      <w:r>
        <w:t>to</w:t>
      </w:r>
      <w:r w:rsidRPr="0034732A">
        <w:t xml:space="preserve"> the development process, both as contributor</w:t>
      </w:r>
      <w:r>
        <w:t>s</w:t>
      </w:r>
      <w:r w:rsidRPr="0034732A">
        <w:t xml:space="preserve"> and beneficiar</w:t>
      </w:r>
      <w:r>
        <w:t>ies,</w:t>
      </w:r>
      <w:r w:rsidRPr="0034732A">
        <w:t xml:space="preserve"> has be</w:t>
      </w:r>
      <w:r>
        <w:t>en made</w:t>
      </w:r>
      <w:r w:rsidRPr="0034732A">
        <w:t xml:space="preserve"> a national priority.</w:t>
      </w:r>
      <w:r w:rsidR="007F4A3A">
        <w:t xml:space="preserve"> </w:t>
      </w:r>
      <w:r w:rsidRPr="0034732A">
        <w:t xml:space="preserve">As a result, women </w:t>
      </w:r>
      <w:r>
        <w:t xml:space="preserve">now </w:t>
      </w:r>
      <w:r w:rsidRPr="0034732A">
        <w:t xml:space="preserve">make up more than 36 per cent of the Qatari workforce, which is one of the highest </w:t>
      </w:r>
      <w:r>
        <w:t xml:space="preserve">female participation rates </w:t>
      </w:r>
      <w:r w:rsidRPr="0034732A">
        <w:t xml:space="preserve">in the Arab </w:t>
      </w:r>
      <w:r>
        <w:t>world</w:t>
      </w:r>
      <w:r w:rsidRPr="0034732A">
        <w:t>.</w:t>
      </w:r>
      <w:r w:rsidR="007F4A3A">
        <w:t xml:space="preserve"> </w:t>
      </w:r>
      <w:r w:rsidRPr="0034732A">
        <w:t xml:space="preserve">Moreover, </w:t>
      </w:r>
      <w:r>
        <w:t>with the appointment of</w:t>
      </w:r>
      <w:r w:rsidRPr="0034732A">
        <w:t xml:space="preserve"> a number of Qatari women to ministerial positions, women have </w:t>
      </w:r>
      <w:r>
        <w:t xml:space="preserve">now </w:t>
      </w:r>
      <w:r w:rsidRPr="0034732A">
        <w:t xml:space="preserve">reached the highest decision-making </w:t>
      </w:r>
      <w:r>
        <w:t>positions.</w:t>
      </w:r>
      <w:r w:rsidR="007F4A3A">
        <w:t xml:space="preserve"> </w:t>
      </w:r>
      <w:r w:rsidRPr="0034732A">
        <w:t xml:space="preserve">The first of these </w:t>
      </w:r>
      <w:r>
        <w:t xml:space="preserve">women </w:t>
      </w:r>
      <w:r w:rsidRPr="0034732A">
        <w:t xml:space="preserve">was </w:t>
      </w:r>
      <w:proofErr w:type="spellStart"/>
      <w:r w:rsidRPr="0034732A">
        <w:rPr>
          <w:bCs/>
        </w:rPr>
        <w:t>Sheikha</w:t>
      </w:r>
      <w:proofErr w:type="spellEnd"/>
      <w:r w:rsidRPr="0034732A">
        <w:rPr>
          <w:bCs/>
        </w:rPr>
        <w:t xml:space="preserve"> al-Mahmoud</w:t>
      </w:r>
      <w:r w:rsidRPr="0034732A">
        <w:t xml:space="preserve">, </w:t>
      </w:r>
      <w:r>
        <w:t xml:space="preserve">who was </w:t>
      </w:r>
      <w:r w:rsidRPr="0034732A">
        <w:t xml:space="preserve">appointed Minister of Education in 2003, a post she held </w:t>
      </w:r>
      <w:r>
        <w:t>until</w:t>
      </w:r>
      <w:r w:rsidRPr="0034732A">
        <w:t xml:space="preserve"> 2009, and </w:t>
      </w:r>
      <w:r>
        <w:t xml:space="preserve">who was </w:t>
      </w:r>
      <w:r w:rsidRPr="0034732A">
        <w:t>the first woman in the Gulf region to hold a ministerial portfolio.</w:t>
      </w:r>
      <w:r w:rsidR="007F4A3A">
        <w:t xml:space="preserve"> </w:t>
      </w:r>
      <w:r w:rsidRPr="0034732A">
        <w:t>Subsequently, a number of Qatari women have held ministerial portfolios, including those of public health and information and communications technology.</w:t>
      </w:r>
      <w:r w:rsidR="007F4A3A">
        <w:t xml:space="preserve"> </w:t>
      </w:r>
      <w:r w:rsidRPr="0034732A">
        <w:t xml:space="preserve">Underlining </w:t>
      </w:r>
      <w:r>
        <w:t>the State</w:t>
      </w:r>
      <w:r w:rsidR="009D1BD8">
        <w:t>’</w:t>
      </w:r>
      <w:r>
        <w:t>s</w:t>
      </w:r>
      <w:r w:rsidRPr="0034732A">
        <w:t xml:space="preserve"> belief in the important role played by </w:t>
      </w:r>
      <w:r>
        <w:t xml:space="preserve">women in the judiciary, </w:t>
      </w:r>
      <w:r w:rsidRPr="0034732A">
        <w:t xml:space="preserve">and in support of their constitutionally-affirmed rights, </w:t>
      </w:r>
      <w:proofErr w:type="spellStart"/>
      <w:r>
        <w:t>Emir</w:t>
      </w:r>
      <w:r w:rsidRPr="0034732A">
        <w:t>i</w:t>
      </w:r>
      <w:proofErr w:type="spellEnd"/>
      <w:r w:rsidRPr="0034732A">
        <w:t xml:space="preserve"> Decision No. 22 (2017) </w:t>
      </w:r>
      <w:r>
        <w:t xml:space="preserve">was issued </w:t>
      </w:r>
      <w:r w:rsidRPr="0034732A">
        <w:t>appoint</w:t>
      </w:r>
      <w:r>
        <w:t>ing</w:t>
      </w:r>
      <w:r w:rsidRPr="0034732A">
        <w:t xml:space="preserve"> four Qatari women to</w:t>
      </w:r>
      <w:r w:rsidR="007F4A3A">
        <w:t xml:space="preserve"> </w:t>
      </w:r>
      <w:r>
        <w:t>sit on</w:t>
      </w:r>
      <w:r w:rsidRPr="0034732A">
        <w:t xml:space="preserve"> the Advisory Council.</w:t>
      </w:r>
      <w:r w:rsidR="007F4A3A">
        <w:t xml:space="preserve"> </w:t>
      </w:r>
    </w:p>
    <w:p w:rsidR="0060531D" w:rsidRDefault="004B0C37" w:rsidP="0060531D">
      <w:pPr>
        <w:pStyle w:val="SingleTxtG"/>
      </w:pPr>
      <w:r w:rsidRPr="0034732A">
        <w:lastRenderedPageBreak/>
        <w:t>19</w:t>
      </w:r>
      <w:r w:rsidR="009D1BD8">
        <w:t>.</w:t>
      </w:r>
      <w:r w:rsidR="009D1BD8">
        <w:tab/>
      </w:r>
      <w:proofErr w:type="spellStart"/>
      <w:r>
        <w:t>Emir</w:t>
      </w:r>
      <w:r w:rsidRPr="0034732A">
        <w:t>i</w:t>
      </w:r>
      <w:proofErr w:type="spellEnd"/>
      <w:r w:rsidRPr="0034732A">
        <w:t xml:space="preserve"> Decision No. 44 (2008) </w:t>
      </w:r>
      <w:r>
        <w:t xml:space="preserve">provides for the </w:t>
      </w:r>
      <w:r w:rsidRPr="0034732A">
        <w:t>endorse</w:t>
      </w:r>
      <w:r>
        <w:t>ment</w:t>
      </w:r>
      <w:r w:rsidR="007F4A3A">
        <w:t xml:space="preserve"> </w:t>
      </w:r>
      <w:r w:rsidRPr="0034732A">
        <w:t>and re</w:t>
      </w:r>
      <w:r>
        <w:t>alization</w:t>
      </w:r>
      <w:r w:rsidR="007F4A3A">
        <w:t xml:space="preserve"> </w:t>
      </w:r>
      <w:r w:rsidRPr="0034732A">
        <w:t>of the comprehensive vision of development set out i</w:t>
      </w:r>
      <w:r>
        <w:t xml:space="preserve">n </w:t>
      </w:r>
      <w:r w:rsidR="009D1BD8">
        <w:t>“</w:t>
      </w:r>
      <w:r>
        <w:t>Qatar National Vision 2030</w:t>
      </w:r>
      <w:r w:rsidR="009D1BD8">
        <w:t>”</w:t>
      </w:r>
      <w:r>
        <w:t>.</w:t>
      </w:r>
      <w:r w:rsidR="007F4A3A">
        <w:t xml:space="preserve"> </w:t>
      </w:r>
      <w:r>
        <w:t>P</w:t>
      </w:r>
      <w:r w:rsidRPr="0034732A">
        <w:t>ub</w:t>
      </w:r>
      <w:r>
        <w:t xml:space="preserve">lished in the Official Gazette, the </w:t>
      </w:r>
      <w:r w:rsidR="009D1BD8">
        <w:t>“</w:t>
      </w:r>
      <w:r>
        <w:t>Vision</w:t>
      </w:r>
      <w:r w:rsidR="009D1BD8">
        <w:t>”</w:t>
      </w:r>
      <w:r w:rsidRPr="0034732A">
        <w:t xml:space="preserve"> focuses on turning Qatar into an advanced State, capable of achieving</w:t>
      </w:r>
      <w:r>
        <w:t xml:space="preserve"> sustainable development.</w:t>
      </w:r>
      <w:r w:rsidR="007F4A3A">
        <w:t xml:space="preserve"> </w:t>
      </w:r>
      <w:r>
        <w:t>The document</w:t>
      </w:r>
      <w:r w:rsidR="007F4A3A">
        <w:t xml:space="preserve"> </w:t>
      </w:r>
      <w:r w:rsidRPr="0034732A">
        <w:t xml:space="preserve">is based on the principles of the Constitution and directives of the political leadership and is designed to </w:t>
      </w:r>
      <w:r>
        <w:t>establish</w:t>
      </w:r>
      <w:r w:rsidRPr="0034732A">
        <w:t xml:space="preserve"> a society founded on justice, benevolence, equality, th</w:t>
      </w:r>
      <w:r>
        <w:t>e protection of public freedoms</w:t>
      </w:r>
      <w:r w:rsidRPr="0034732A">
        <w:t xml:space="preserve"> and moral and religious values and traditions.</w:t>
      </w:r>
      <w:r w:rsidR="007F4A3A">
        <w:t xml:space="preserve"> </w:t>
      </w:r>
      <w:r w:rsidRPr="0034732A">
        <w:t>It further seeks to achieve equality of opportunity and consolidate security and stability.</w:t>
      </w:r>
    </w:p>
    <w:p w:rsidR="0060531D" w:rsidRDefault="004B0C37" w:rsidP="0060531D">
      <w:pPr>
        <w:pStyle w:val="SingleTxtG"/>
      </w:pPr>
      <w:r w:rsidRPr="0034732A">
        <w:t>20</w:t>
      </w:r>
      <w:r w:rsidR="009D1BD8">
        <w:t>.</w:t>
      </w:r>
      <w:r w:rsidR="009D1BD8">
        <w:tab/>
      </w:r>
      <w:r w:rsidRPr="0034732A">
        <w:t xml:space="preserve">The Vision focuses on four key areas: </w:t>
      </w:r>
      <w:r>
        <w:t xml:space="preserve">(1) </w:t>
      </w:r>
      <w:r w:rsidRPr="0034732A">
        <w:t xml:space="preserve">human development, enabling the </w:t>
      </w:r>
      <w:r>
        <w:t>population</w:t>
      </w:r>
      <w:r w:rsidRPr="0034732A">
        <w:t xml:space="preserve"> of Qatar to build a prosperous society; </w:t>
      </w:r>
      <w:r>
        <w:t xml:space="preserve">(2) </w:t>
      </w:r>
      <w:r w:rsidRPr="0034732A">
        <w:t xml:space="preserve">social development, designed to create a just and safe society that upholds high moral values, </w:t>
      </w:r>
      <w:r>
        <w:t>delivers</w:t>
      </w:r>
      <w:r w:rsidRPr="0034732A">
        <w:t xml:space="preserve"> social welfare and is capable of </w:t>
      </w:r>
      <w:r>
        <w:t xml:space="preserve">dealing and </w:t>
      </w:r>
      <w:r w:rsidRPr="0034732A">
        <w:t xml:space="preserve">interacting with other societies; </w:t>
      </w:r>
      <w:r>
        <w:t xml:space="preserve">(3) </w:t>
      </w:r>
      <w:r w:rsidRPr="0034732A">
        <w:t xml:space="preserve">economic development, aimed at the creation of a diversified and competitive national economy capable of meeting the needs of the citizenry; and </w:t>
      </w:r>
      <w:r>
        <w:t xml:space="preserve">(4) </w:t>
      </w:r>
      <w:r w:rsidRPr="0034732A">
        <w:t>environmental development, balancing socio-economic development and environmental protection.</w:t>
      </w:r>
      <w:r w:rsidR="007F4A3A">
        <w:t xml:space="preserve"> </w:t>
      </w:r>
      <w:r w:rsidRPr="0034732A">
        <w:t xml:space="preserve">The Vision sets out the </w:t>
      </w:r>
      <w:r>
        <w:t xml:space="preserve">general </w:t>
      </w:r>
      <w:r w:rsidRPr="0034732A">
        <w:t>framework for future action and includes implementation strategies and plans.</w:t>
      </w:r>
    </w:p>
    <w:p w:rsidR="004B0C37" w:rsidRPr="0034732A" w:rsidRDefault="004B0C37" w:rsidP="00247C45">
      <w:pPr>
        <w:pStyle w:val="SingleTxtG"/>
      </w:pPr>
      <w:r w:rsidRPr="0034732A">
        <w:t>21</w:t>
      </w:r>
      <w:r w:rsidR="009D1BD8">
        <w:t>.</w:t>
      </w:r>
      <w:r w:rsidR="009D1BD8">
        <w:tab/>
      </w:r>
      <w:r w:rsidRPr="0034732A">
        <w:t xml:space="preserve">The National Vision and associated </w:t>
      </w:r>
      <w:r>
        <w:t xml:space="preserve">implementation </w:t>
      </w:r>
      <w:r w:rsidRPr="0034732A">
        <w:t xml:space="preserve">strategies </w:t>
      </w:r>
      <w:r>
        <w:t>constitute</w:t>
      </w:r>
      <w:r w:rsidRPr="0034732A">
        <w:t xml:space="preserve"> a secure, supportive </w:t>
      </w:r>
      <w:r>
        <w:t>framework</w:t>
      </w:r>
      <w:r w:rsidRPr="0034732A">
        <w:t xml:space="preserve"> in which to achieve the human rights set out in intern</w:t>
      </w:r>
      <w:r>
        <w:t>ational treaties and conventions.</w:t>
      </w:r>
      <w:r w:rsidR="007F4A3A">
        <w:t xml:space="preserve"> </w:t>
      </w:r>
      <w:r>
        <w:t xml:space="preserve">Chief among these strategies are </w:t>
      </w:r>
      <w:r w:rsidRPr="0034732A">
        <w:t>the First National De</w:t>
      </w:r>
      <w:r w:rsidR="0060531D">
        <w:t>velopment Strategy (2011–</w:t>
      </w:r>
      <w:r>
        <w:t xml:space="preserve">2016), the </w:t>
      </w:r>
      <w:r w:rsidRPr="0034732A">
        <w:t>Second Nat</w:t>
      </w:r>
      <w:r>
        <w:t>ional Development Strategy (2018</w:t>
      </w:r>
      <w:r w:rsidR="00247C45">
        <w:t>–</w:t>
      </w:r>
      <w:r>
        <w:t xml:space="preserve">2022) and </w:t>
      </w:r>
      <w:r w:rsidRPr="0034732A">
        <w:t xml:space="preserve">other sector-based policies and strategies, as </w:t>
      </w:r>
      <w:r>
        <w:t>listed below:</w:t>
      </w:r>
      <w:r w:rsidR="007F4A3A">
        <w:t xml:space="preserve"> </w:t>
      </w:r>
    </w:p>
    <w:p w:rsidR="004B0C37" w:rsidRPr="0034732A" w:rsidRDefault="00A703EC" w:rsidP="00A703EC">
      <w:pPr>
        <w:pStyle w:val="Bullet1G"/>
        <w:numPr>
          <w:ilvl w:val="0"/>
          <w:numId w:val="0"/>
        </w:numPr>
        <w:tabs>
          <w:tab w:val="left" w:pos="1701"/>
        </w:tabs>
        <w:ind w:left="1701" w:hanging="170"/>
        <w:rPr>
          <w:u w:val="single"/>
        </w:rPr>
      </w:pPr>
      <w:r w:rsidRPr="0034732A">
        <w:t>•</w:t>
      </w:r>
      <w:r w:rsidRPr="0034732A">
        <w:tab/>
      </w:r>
      <w:r w:rsidR="004B0C37" w:rsidRPr="0034732A">
        <w:t>Lab</w:t>
      </w:r>
      <w:r w:rsidR="004B0C37">
        <w:t>our Market Sector Strategy (2018</w:t>
      </w:r>
      <w:r w:rsidR="004B0C37" w:rsidRPr="0034732A">
        <w:t>−</w:t>
      </w:r>
      <w:r w:rsidR="004B0C37">
        <w:t>2022</w:t>
      </w:r>
      <w:r w:rsidR="004B0C37" w:rsidRPr="0034732A">
        <w:t xml:space="preserve">), </w:t>
      </w:r>
      <w:r w:rsidR="004B0C37">
        <w:t>designed</w:t>
      </w:r>
      <w:r w:rsidR="004B0C37" w:rsidRPr="0034732A">
        <w:t xml:space="preserve"> to </w:t>
      </w:r>
      <w:r w:rsidR="004B0C37">
        <w:t>create</w:t>
      </w:r>
      <w:r w:rsidR="007F4A3A">
        <w:t xml:space="preserve"> </w:t>
      </w:r>
      <w:r w:rsidR="004B0C37" w:rsidRPr="0034732A">
        <w:t>a competitive labour market</w:t>
      </w:r>
      <w:r w:rsidR="004B0C37">
        <w:t xml:space="preserve"> to</w:t>
      </w:r>
      <w:r w:rsidR="007F4A3A">
        <w:t xml:space="preserve"> </w:t>
      </w:r>
      <w:r w:rsidR="004B0C37" w:rsidRPr="0034732A">
        <w:t>enabl</w:t>
      </w:r>
      <w:r w:rsidR="004B0C37">
        <w:t>e</w:t>
      </w:r>
      <w:r w:rsidR="004B0C37" w:rsidRPr="0034732A">
        <w:t xml:space="preserve"> all Qataris to participate in development, build a prosperous society and meet the needs of the present generation</w:t>
      </w:r>
      <w:r w:rsidR="004B0C37">
        <w:t>,</w:t>
      </w:r>
      <w:r w:rsidR="004B0C37" w:rsidRPr="0034732A">
        <w:t xml:space="preserve"> without prejudic</w:t>
      </w:r>
      <w:r w:rsidR="004B0C37">
        <w:t>e to</w:t>
      </w:r>
      <w:r w:rsidR="004B0C37" w:rsidRPr="0034732A">
        <w:t xml:space="preserve"> those of future generations</w:t>
      </w:r>
      <w:r w:rsidR="004B0C37">
        <w:t>,</w:t>
      </w:r>
      <w:r w:rsidR="004B0C37" w:rsidRPr="0034732A">
        <w:t xml:space="preserve"> by ensuring effective participation of the workforce in the labour market, increasing productivity and attracting and retaining highly skilled workers</w:t>
      </w:r>
      <w:r w:rsidR="004B0C37">
        <w:t>. The strategy</w:t>
      </w:r>
      <w:r w:rsidR="004B0C37" w:rsidRPr="0034732A">
        <w:t xml:space="preserve"> also </w:t>
      </w:r>
      <w:r w:rsidR="004B0C37">
        <w:t>calls for</w:t>
      </w:r>
      <w:r w:rsidR="007F4A3A">
        <w:t xml:space="preserve"> </w:t>
      </w:r>
      <w:r w:rsidR="004B0C37" w:rsidRPr="0034732A">
        <w:t>the establishment of a modern</w:t>
      </w:r>
      <w:r w:rsidR="004B0C37">
        <w:t>,</w:t>
      </w:r>
      <w:r w:rsidR="004B0C37" w:rsidRPr="0034732A">
        <w:t xml:space="preserve"> transparent information system to provide data on supply and demand for recruitment and training purposes;</w:t>
      </w:r>
    </w:p>
    <w:p w:rsidR="004B0C37" w:rsidRPr="0034732A" w:rsidRDefault="00A703EC" w:rsidP="00A703EC">
      <w:pPr>
        <w:pStyle w:val="Bullet1G"/>
        <w:numPr>
          <w:ilvl w:val="0"/>
          <w:numId w:val="0"/>
        </w:numPr>
        <w:tabs>
          <w:tab w:val="left" w:pos="1701"/>
        </w:tabs>
        <w:ind w:left="1701" w:hanging="170"/>
      </w:pPr>
      <w:r w:rsidRPr="0034732A">
        <w:t>•</w:t>
      </w:r>
      <w:r w:rsidRPr="0034732A">
        <w:tab/>
      </w:r>
      <w:r w:rsidR="004B0C37" w:rsidRPr="0034732A">
        <w:t>Family Cohesion and Women</w:t>
      </w:r>
      <w:r w:rsidR="009D1BD8">
        <w:t>’</w:t>
      </w:r>
      <w:r w:rsidR="004B0C37" w:rsidRPr="0034732A">
        <w:t xml:space="preserve">s Empowerment Strategy (2011–2016), which </w:t>
      </w:r>
      <w:r w:rsidR="004B0C37">
        <w:t>is designed</w:t>
      </w:r>
      <w:r w:rsidR="007F4A3A">
        <w:t xml:space="preserve"> </w:t>
      </w:r>
      <w:r w:rsidR="004B0C37" w:rsidRPr="0034732A">
        <w:t xml:space="preserve">to strengthen family cohesion, rationalize the </w:t>
      </w:r>
      <w:r w:rsidR="004B0C37">
        <w:t xml:space="preserve">process for </w:t>
      </w:r>
      <w:r w:rsidR="004B0C37" w:rsidRPr="0034732A">
        <w:t>employment of domestic labour, reduce the number of cases of domestic violence, provide protection and support to affected families, support and empower economically and socially vulnerable families, assist women to achieve a balance between work-related and family responsibilities and empower women in all areas;</w:t>
      </w:r>
    </w:p>
    <w:p w:rsidR="004B0C37" w:rsidRPr="0034732A" w:rsidRDefault="00A703EC" w:rsidP="00A703EC">
      <w:pPr>
        <w:pStyle w:val="Bullet1G"/>
        <w:numPr>
          <w:ilvl w:val="0"/>
          <w:numId w:val="0"/>
        </w:numPr>
        <w:tabs>
          <w:tab w:val="left" w:pos="1701"/>
        </w:tabs>
        <w:ind w:left="1701" w:hanging="170"/>
      </w:pPr>
      <w:r w:rsidRPr="0034732A">
        <w:t>•</w:t>
      </w:r>
      <w:r w:rsidRPr="0034732A">
        <w:tab/>
      </w:r>
      <w:r w:rsidR="004B0C37" w:rsidRPr="0034732A">
        <w:t>National Health Strategy (2018</w:t>
      </w:r>
      <w:r w:rsidR="005B1D0B">
        <w:t>–</w:t>
      </w:r>
      <w:r w:rsidR="004B0C37" w:rsidRPr="0034732A">
        <w:t>2022), designed to introduce changes to the health-care system and deliver effective and affordable</w:t>
      </w:r>
      <w:r w:rsidR="004B0C37">
        <w:t>,</w:t>
      </w:r>
      <w:r w:rsidR="004B0C37" w:rsidRPr="0034732A">
        <w:t xml:space="preserve"> world-class</w:t>
      </w:r>
      <w:r w:rsidR="004B0C37">
        <w:t>,</w:t>
      </w:r>
      <w:r w:rsidR="004B0C37" w:rsidRPr="0034732A">
        <w:t xml:space="preserve"> comprehensive health care for all, taking into account the different nee</w:t>
      </w:r>
      <w:r w:rsidR="004B0C37">
        <w:t>ds of men, women and children; t</w:t>
      </w:r>
      <w:r w:rsidR="004B0C37" w:rsidRPr="0034732A">
        <w:t>h</w:t>
      </w:r>
      <w:r w:rsidR="004B0C37">
        <w:t>e strategy includes 35 projects;</w:t>
      </w:r>
    </w:p>
    <w:p w:rsidR="004B0C37" w:rsidRPr="0034732A" w:rsidRDefault="00A703EC" w:rsidP="00A703EC">
      <w:pPr>
        <w:pStyle w:val="Bullet1G"/>
        <w:numPr>
          <w:ilvl w:val="0"/>
          <w:numId w:val="0"/>
        </w:numPr>
        <w:tabs>
          <w:tab w:val="left" w:pos="1701"/>
        </w:tabs>
        <w:ind w:left="1701" w:hanging="170"/>
      </w:pPr>
      <w:r w:rsidRPr="0034732A">
        <w:t>•</w:t>
      </w:r>
      <w:r w:rsidRPr="0034732A">
        <w:tab/>
      </w:r>
      <w:r w:rsidR="004B0C37" w:rsidRPr="0034732A">
        <w:t>National Strategy for Primary Health Care (2013</w:t>
      </w:r>
      <w:r w:rsidR="003C771A">
        <w:t>–</w:t>
      </w:r>
      <w:r w:rsidR="004B0C37" w:rsidRPr="0034732A">
        <w:t xml:space="preserve">2018), </w:t>
      </w:r>
      <w:r w:rsidR="004B0C37">
        <w:t>designed</w:t>
      </w:r>
      <w:r w:rsidR="004B0C37" w:rsidRPr="0034732A">
        <w:t xml:space="preserve"> to address future health challenges by achieving eight goals</w:t>
      </w:r>
      <w:r w:rsidR="004B0C37">
        <w:t>, namely</w:t>
      </w:r>
      <w:r w:rsidR="004B0C37" w:rsidRPr="0034732A">
        <w:t xml:space="preserve"> </w:t>
      </w:r>
      <w:r w:rsidR="004B0C37">
        <w:t>promoting: health,</w:t>
      </w:r>
      <w:r w:rsidR="004B0C37" w:rsidRPr="0034732A">
        <w:t xml:space="preserve"> health check-ups, emergency care, </w:t>
      </w:r>
      <w:r w:rsidR="004B0C37">
        <w:t xml:space="preserve">treatments for </w:t>
      </w:r>
      <w:r w:rsidR="004B0C37" w:rsidRPr="0034732A">
        <w:t>chronic, non-infectious disease</w:t>
      </w:r>
      <w:r w:rsidR="004B0C37">
        <w:t>s,</w:t>
      </w:r>
      <w:r w:rsidR="004B0C37" w:rsidRPr="0034732A">
        <w:t xml:space="preserve"> care</w:t>
      </w:r>
      <w:r w:rsidR="004B0C37">
        <w:t xml:space="preserve"> in the home</w:t>
      </w:r>
      <w:r w:rsidR="004B0C37" w:rsidRPr="0034732A">
        <w:t xml:space="preserve">, mental health, mother and </w:t>
      </w:r>
      <w:r w:rsidR="004B0C37">
        <w:t>baby</w:t>
      </w:r>
      <w:r w:rsidR="004B0C37" w:rsidRPr="0034732A">
        <w:t xml:space="preserve"> care</w:t>
      </w:r>
      <w:r w:rsidR="004B0C37">
        <w:t>;</w:t>
      </w:r>
      <w:r w:rsidR="004B0C37" w:rsidRPr="0034732A">
        <w:t xml:space="preserve"> and child and adolescent care;</w:t>
      </w:r>
    </w:p>
    <w:p w:rsidR="004B0C37" w:rsidRPr="0034732A" w:rsidRDefault="00A703EC" w:rsidP="00A703EC">
      <w:pPr>
        <w:pStyle w:val="Bullet1G"/>
        <w:numPr>
          <w:ilvl w:val="0"/>
          <w:numId w:val="0"/>
        </w:numPr>
        <w:tabs>
          <w:tab w:val="left" w:pos="1701"/>
        </w:tabs>
        <w:ind w:left="1701" w:hanging="170"/>
      </w:pPr>
      <w:r w:rsidRPr="0034732A">
        <w:t>•</w:t>
      </w:r>
      <w:r w:rsidRPr="0034732A">
        <w:tab/>
      </w:r>
      <w:r w:rsidR="004B0C37" w:rsidRPr="0034732A">
        <w:t>Education and Training Strategy (2011</w:t>
      </w:r>
      <w:r w:rsidR="00723D1E">
        <w:t>–</w:t>
      </w:r>
      <w:r w:rsidR="004B0C37" w:rsidRPr="0034732A">
        <w:t xml:space="preserve">2016), </w:t>
      </w:r>
      <w:r w:rsidR="004B0C37">
        <w:t>designed</w:t>
      </w:r>
      <w:r w:rsidR="004B0C37" w:rsidRPr="0034732A">
        <w:t xml:space="preserve"> to produce an education system </w:t>
      </w:r>
      <w:r w:rsidR="004B0C37">
        <w:t xml:space="preserve">that is </w:t>
      </w:r>
      <w:r w:rsidR="004B0C37" w:rsidRPr="0034732A">
        <w:t xml:space="preserve">on a par with the best </w:t>
      </w:r>
      <w:r w:rsidR="004B0C37">
        <w:t>in the world and</w:t>
      </w:r>
      <w:r w:rsidR="007F4A3A">
        <w:t xml:space="preserve"> </w:t>
      </w:r>
      <w:r w:rsidR="004B0C37" w:rsidRPr="0034732A">
        <w:t>meets the needs of citizens and Qatari society by putting in place curricula and training programmes that respond to the current and future needs of the labour market, provid</w:t>
      </w:r>
      <w:r w:rsidR="004B0C37">
        <w:t>e</w:t>
      </w:r>
      <w:r w:rsidR="004B0C37" w:rsidRPr="0034732A">
        <w:t xml:space="preserve"> high quality educational and training opportunities </w:t>
      </w:r>
      <w:r w:rsidR="004B0C37">
        <w:t>to</w:t>
      </w:r>
      <w:r w:rsidR="007F4A3A">
        <w:t xml:space="preserve"> </w:t>
      </w:r>
      <w:r w:rsidR="004B0C37" w:rsidRPr="0034732A">
        <w:t>match the aspirations and capacities of each individual and offer life-long continuing education programmes for all.</w:t>
      </w:r>
      <w:r w:rsidR="007F4A3A">
        <w:t xml:space="preserve"> </w:t>
      </w:r>
      <w:r w:rsidR="004B0C37" w:rsidRPr="0034732A">
        <w:t xml:space="preserve">The </w:t>
      </w:r>
      <w:r w:rsidR="004B0C37">
        <w:t>s</w:t>
      </w:r>
      <w:r w:rsidR="004B0C37" w:rsidRPr="0034732A">
        <w:t xml:space="preserve">trategy </w:t>
      </w:r>
      <w:r w:rsidR="004B0C37">
        <w:t xml:space="preserve">is </w:t>
      </w:r>
      <w:r w:rsidR="004B0C37" w:rsidRPr="0034732A">
        <w:t xml:space="preserve">also </w:t>
      </w:r>
      <w:r w:rsidR="004B0C37">
        <w:t>designed</w:t>
      </w:r>
      <w:r w:rsidR="007F4A3A">
        <w:t xml:space="preserve"> </w:t>
      </w:r>
      <w:r w:rsidR="004B0C37" w:rsidRPr="0034732A">
        <w:t xml:space="preserve">to establish a national formal and non-formal education network to </w:t>
      </w:r>
      <w:r w:rsidR="004B0C37">
        <w:t>motivate and equip</w:t>
      </w:r>
      <w:r w:rsidR="004B0C37" w:rsidRPr="0034732A">
        <w:t xml:space="preserve"> Qatari children and young people with the skills </w:t>
      </w:r>
      <w:r w:rsidR="004B0C37">
        <w:t>needed</w:t>
      </w:r>
      <w:r w:rsidR="007F4A3A">
        <w:t xml:space="preserve"> </w:t>
      </w:r>
      <w:r w:rsidR="004B0C37" w:rsidRPr="0034732A">
        <w:t>to take part in building their society and ensuring its progress.</w:t>
      </w:r>
      <w:r w:rsidR="007F4A3A">
        <w:t xml:space="preserve"> </w:t>
      </w:r>
      <w:r w:rsidR="004B0C37" w:rsidRPr="0034732A">
        <w:t xml:space="preserve">This involves </w:t>
      </w:r>
      <w:r w:rsidR="004B0C37">
        <w:t>efforts to strengthen</w:t>
      </w:r>
      <w:r w:rsidR="004B0C37" w:rsidRPr="0034732A">
        <w:t xml:space="preserve"> the values and traditions of Qatari society, preserv</w:t>
      </w:r>
      <w:r w:rsidR="004B0C37">
        <w:t>e</w:t>
      </w:r>
      <w:r w:rsidR="004B0C37" w:rsidRPr="0034732A">
        <w:t xml:space="preserve"> the cultural heritage, encourag</w:t>
      </w:r>
      <w:r w:rsidR="004B0C37">
        <w:t>e</w:t>
      </w:r>
      <w:r w:rsidR="004B0C37" w:rsidRPr="0034732A">
        <w:t xml:space="preserve"> young people to be creative and innovative, build capacities, </w:t>
      </w:r>
      <w:r w:rsidR="004B0C37">
        <w:t>inculcate a</w:t>
      </w:r>
      <w:r w:rsidR="007F4A3A">
        <w:t xml:space="preserve"> </w:t>
      </w:r>
      <w:r w:rsidR="004B0C37" w:rsidRPr="0034732A">
        <w:t xml:space="preserve">spirit of citizenship </w:t>
      </w:r>
      <w:r w:rsidR="004B0C37">
        <w:t xml:space="preserve">and </w:t>
      </w:r>
      <w:r w:rsidR="004B0C37" w:rsidRPr="0034732A">
        <w:t>allegiance to the State and</w:t>
      </w:r>
      <w:r w:rsidR="007F4A3A">
        <w:t xml:space="preserve"> </w:t>
      </w:r>
      <w:r w:rsidR="004B0C37" w:rsidRPr="0034732A">
        <w:t>enabl</w:t>
      </w:r>
      <w:r w:rsidR="004B0C37">
        <w:t>e</w:t>
      </w:r>
      <w:r w:rsidR="004B0C37" w:rsidRPr="0034732A">
        <w:t xml:space="preserve"> </w:t>
      </w:r>
      <w:r w:rsidR="004B0C37">
        <w:t>young people to p</w:t>
      </w:r>
      <w:r w:rsidR="004B0C37" w:rsidRPr="0034732A">
        <w:t>articipate in a wide range of cultural and sporting activities.</w:t>
      </w:r>
      <w:r w:rsidR="007F4A3A">
        <w:t xml:space="preserve"> </w:t>
      </w:r>
      <w:r w:rsidR="004B0C37">
        <w:t>A further goal of the strategy is to establish</w:t>
      </w:r>
      <w:r w:rsidR="004B0C37" w:rsidRPr="0034732A">
        <w:t xml:space="preserve"> advanced, independent, well-managed educational institutions </w:t>
      </w:r>
      <w:r w:rsidR="004B0C37">
        <w:lastRenderedPageBreak/>
        <w:t>that are accountable and o</w:t>
      </w:r>
      <w:r w:rsidR="004B0C37" w:rsidRPr="0034732A">
        <w:t>perat</w:t>
      </w:r>
      <w:r w:rsidR="004B0C37">
        <w:t>e</w:t>
      </w:r>
      <w:r w:rsidR="004B0C37" w:rsidRPr="0034732A">
        <w:t xml:space="preserve"> in accordance with</w:t>
      </w:r>
      <w:r w:rsidR="007F4A3A">
        <w:t xml:space="preserve"> </w:t>
      </w:r>
      <w:r w:rsidR="004B0C37" w:rsidRPr="0034732A">
        <w:t xml:space="preserve">guidelines </w:t>
      </w:r>
      <w:r w:rsidR="004B0C37">
        <w:t>issued by the central Government and to create</w:t>
      </w:r>
      <w:r w:rsidR="007F4A3A">
        <w:t xml:space="preserve"> </w:t>
      </w:r>
      <w:r w:rsidR="004B0C37" w:rsidRPr="0034732A">
        <w:t>an effective system for funding scientific research based on</w:t>
      </w:r>
      <w:r w:rsidR="007F4A3A">
        <w:t xml:space="preserve"> </w:t>
      </w:r>
      <w:r w:rsidR="004B0C37" w:rsidRPr="0034732A">
        <w:t>public</w:t>
      </w:r>
      <w:r w:rsidR="004B0C37">
        <w:t>-</w:t>
      </w:r>
      <w:r w:rsidR="004B0C37" w:rsidRPr="0034732A">
        <w:t>private</w:t>
      </w:r>
      <w:r w:rsidR="007F4A3A">
        <w:t xml:space="preserve"> </w:t>
      </w:r>
      <w:r w:rsidR="004B0C37" w:rsidRPr="0034732A">
        <w:t>partnership</w:t>
      </w:r>
      <w:r w:rsidR="004B0C37">
        <w:t>s</w:t>
      </w:r>
      <w:r w:rsidR="004B0C37" w:rsidRPr="0034732A">
        <w:t xml:space="preserve"> and cooperation with specialized international </w:t>
      </w:r>
      <w:r w:rsidR="004B0C37">
        <w:t>organizations</w:t>
      </w:r>
      <w:r w:rsidR="004B0C37" w:rsidRPr="0034732A">
        <w:t xml:space="preserve"> and </w:t>
      </w:r>
      <w:r w:rsidR="004B0C37">
        <w:t>leading</w:t>
      </w:r>
      <w:r w:rsidR="007F4A3A">
        <w:t xml:space="preserve"> </w:t>
      </w:r>
      <w:r w:rsidR="004B0C37" w:rsidRPr="0034732A">
        <w:t>global research centres</w:t>
      </w:r>
      <w:r w:rsidR="004B0C37">
        <w:t xml:space="preserve">. All this is </w:t>
      </w:r>
      <w:r w:rsidR="004B0C37" w:rsidRPr="0034732A">
        <w:t xml:space="preserve">with a view to establishing an active role for Qatar in international cultural and intellectual life and scientific research; </w:t>
      </w:r>
    </w:p>
    <w:p w:rsidR="004B0C37" w:rsidRPr="0034732A" w:rsidRDefault="00A703EC" w:rsidP="00A703EC">
      <w:pPr>
        <w:pStyle w:val="Bullet1G"/>
        <w:numPr>
          <w:ilvl w:val="0"/>
          <w:numId w:val="0"/>
        </w:numPr>
        <w:tabs>
          <w:tab w:val="left" w:pos="1701"/>
        </w:tabs>
        <w:ind w:left="1701" w:hanging="170"/>
      </w:pPr>
      <w:r w:rsidRPr="0034732A">
        <w:t>•</w:t>
      </w:r>
      <w:r w:rsidRPr="0034732A">
        <w:tab/>
      </w:r>
      <w:r w:rsidR="004B0C37" w:rsidRPr="0034732A">
        <w:t>Social Protection Sector Strategy (2011</w:t>
      </w:r>
      <w:r w:rsidR="00A60867">
        <w:t>–</w:t>
      </w:r>
      <w:r w:rsidR="004B0C37" w:rsidRPr="0034732A">
        <w:t xml:space="preserve">2016), </w:t>
      </w:r>
      <w:r w:rsidR="004B0C37">
        <w:t>designed</w:t>
      </w:r>
      <w:r w:rsidR="004B0C37" w:rsidRPr="0034732A">
        <w:t xml:space="preserve"> to renew commitment to Arab and Islamic values and principles with a view to preserving the Qatari family </w:t>
      </w:r>
      <w:r w:rsidR="004B0C37">
        <w:t>and ensuring</w:t>
      </w:r>
      <w:r w:rsidR="004B0C37" w:rsidRPr="0034732A">
        <w:t xml:space="preserve"> its central</w:t>
      </w:r>
      <w:r w:rsidR="004B0C37">
        <w:t xml:space="preserve"> role in</w:t>
      </w:r>
      <w:r w:rsidR="004B0C37" w:rsidRPr="0034732A">
        <w:t xml:space="preserve"> social development;</w:t>
      </w:r>
    </w:p>
    <w:p w:rsidR="004B0C37" w:rsidRPr="0034732A" w:rsidRDefault="00A703EC" w:rsidP="00A703EC">
      <w:pPr>
        <w:pStyle w:val="Bullet1G"/>
        <w:numPr>
          <w:ilvl w:val="0"/>
          <w:numId w:val="0"/>
        </w:numPr>
        <w:tabs>
          <w:tab w:val="left" w:pos="1701"/>
        </w:tabs>
        <w:ind w:left="1701" w:hanging="170"/>
      </w:pPr>
      <w:r w:rsidRPr="0034732A">
        <w:t>•</w:t>
      </w:r>
      <w:r w:rsidRPr="0034732A">
        <w:tab/>
      </w:r>
      <w:r w:rsidR="004B0C37" w:rsidRPr="0034732A">
        <w:t>National T</w:t>
      </w:r>
      <w:r w:rsidR="00856C17">
        <w:t>raffic Safety Strategy (2013–</w:t>
      </w:r>
      <w:r w:rsidR="004B0C37" w:rsidRPr="0034732A">
        <w:t xml:space="preserve">2022), </w:t>
      </w:r>
      <w:r w:rsidR="004B0C37">
        <w:t>designed</w:t>
      </w:r>
      <w:r w:rsidR="004B0C37" w:rsidRPr="0034732A">
        <w:t xml:space="preserve"> to reduce the number of traffic accident fatalities and severe injuries each year as a step towards achieving the country</w:t>
      </w:r>
      <w:r w:rsidR="009D1BD8">
        <w:t>’</w:t>
      </w:r>
      <w:r w:rsidR="004B0C37" w:rsidRPr="0034732A">
        <w:t>s long-term vision road safety</w:t>
      </w:r>
      <w:r w:rsidR="004B0C37">
        <w:t xml:space="preserve"> vision</w:t>
      </w:r>
      <w:r w:rsidR="004B0C37" w:rsidRPr="0034732A">
        <w:t>.</w:t>
      </w:r>
      <w:r w:rsidR="007F4A3A">
        <w:t xml:space="preserve"> </w:t>
      </w:r>
      <w:r w:rsidR="004B0C37" w:rsidRPr="0034732A">
        <w:t xml:space="preserve">The </w:t>
      </w:r>
      <w:r w:rsidR="004B0C37">
        <w:t>s</w:t>
      </w:r>
      <w:r w:rsidR="004B0C37" w:rsidRPr="0034732A">
        <w:t xml:space="preserve">trategy, which seeks to further the shared vision of stakeholders, </w:t>
      </w:r>
      <w:r w:rsidR="004B0C37">
        <w:t xml:space="preserve">provides a </w:t>
      </w:r>
      <w:r w:rsidR="004B0C37" w:rsidRPr="0034732A">
        <w:t xml:space="preserve">framework </w:t>
      </w:r>
      <w:r w:rsidR="004B0C37">
        <w:t xml:space="preserve">for determining commitments and </w:t>
      </w:r>
      <w:r w:rsidR="004B0C37" w:rsidRPr="0034732A">
        <w:t xml:space="preserve">terms of reference for </w:t>
      </w:r>
      <w:r w:rsidR="004B0C37">
        <w:t xml:space="preserve">implementing </w:t>
      </w:r>
      <w:r w:rsidR="004B0C37" w:rsidRPr="0034732A">
        <w:t xml:space="preserve">the </w:t>
      </w:r>
      <w:r w:rsidR="004B0C37">
        <w:t xml:space="preserve">highest priority and </w:t>
      </w:r>
      <w:r w:rsidR="004B0C37" w:rsidRPr="0034732A">
        <w:t>most effective road safety initiatives.</w:t>
      </w:r>
      <w:r w:rsidR="007F4A3A">
        <w:t xml:space="preserve"> </w:t>
      </w:r>
      <w:r w:rsidR="004B0C37" w:rsidRPr="0034732A">
        <w:t xml:space="preserve">The </w:t>
      </w:r>
      <w:r w:rsidR="004B0C37">
        <w:t>s</w:t>
      </w:r>
      <w:r w:rsidR="004B0C37" w:rsidRPr="0034732A">
        <w:t>trategy complements existing strategies in Qatar, including the Comprehensive Planning, Sustainable Transport and Transportation Demand Management Strategy.</w:t>
      </w:r>
      <w:r w:rsidR="007F4A3A">
        <w:t xml:space="preserve"> </w:t>
      </w:r>
      <w:r w:rsidR="004B0C37">
        <w:t>It</w:t>
      </w:r>
      <w:r w:rsidR="004B0C37" w:rsidRPr="0034732A">
        <w:t xml:space="preserve"> includes a nationa</w:t>
      </w:r>
      <w:r w:rsidR="00BF78DC">
        <w:t>l road safety action plan (2013–</w:t>
      </w:r>
      <w:r w:rsidR="004B0C37" w:rsidRPr="0034732A">
        <w:t xml:space="preserve">2017), currently being implemented by 13 State bodies with the aim of improving road safety in Qatar to make it one of the best </w:t>
      </w:r>
      <w:r w:rsidR="004B0C37">
        <w:t xml:space="preserve">performers </w:t>
      </w:r>
      <w:r w:rsidR="004B0C37" w:rsidRPr="0034732A">
        <w:t>in the world and to make the country</w:t>
      </w:r>
      <w:r w:rsidR="009D1BD8">
        <w:t>’</w:t>
      </w:r>
      <w:r w:rsidR="004B0C37" w:rsidRPr="0034732A">
        <w:t>s roads the safest in the world.</w:t>
      </w:r>
      <w:r w:rsidR="007F4A3A">
        <w:t xml:space="preserve"> </w:t>
      </w:r>
      <w:r w:rsidR="004B0C37" w:rsidRPr="0034732A">
        <w:t>This will be achieved by implementing an ambitious programme of activities and projects over the next five years;</w:t>
      </w:r>
      <w:r w:rsidR="007F4A3A">
        <w:t xml:space="preserve"> </w:t>
      </w:r>
      <w:r w:rsidR="004B0C37" w:rsidRPr="0034732A">
        <w:t xml:space="preserve"> </w:t>
      </w:r>
    </w:p>
    <w:p w:rsidR="004B0C37" w:rsidRPr="0034732A" w:rsidRDefault="00A703EC" w:rsidP="00A703EC">
      <w:pPr>
        <w:pStyle w:val="Bullet1G"/>
        <w:numPr>
          <w:ilvl w:val="0"/>
          <w:numId w:val="0"/>
        </w:numPr>
        <w:tabs>
          <w:tab w:val="left" w:pos="1701"/>
        </w:tabs>
        <w:ind w:left="1701" w:hanging="170"/>
      </w:pPr>
      <w:r w:rsidRPr="0034732A">
        <w:t>•</w:t>
      </w:r>
      <w:r w:rsidRPr="0034732A">
        <w:tab/>
      </w:r>
      <w:r w:rsidR="004B0C37" w:rsidRPr="0034732A">
        <w:t xml:space="preserve">National Autism Plan (2017−2021), </w:t>
      </w:r>
      <w:r w:rsidR="004B0C37">
        <w:t>designed to develop</w:t>
      </w:r>
      <w:r w:rsidR="004B0C37" w:rsidRPr="0034732A">
        <w:t xml:space="preserve"> a comprehensive and integrated approach to the provision of care for autistic individuals of all ages;</w:t>
      </w:r>
    </w:p>
    <w:p w:rsidR="0060531D" w:rsidRDefault="00A703EC" w:rsidP="00A703EC">
      <w:pPr>
        <w:pStyle w:val="Bullet1G"/>
        <w:numPr>
          <w:ilvl w:val="0"/>
          <w:numId w:val="0"/>
        </w:numPr>
        <w:tabs>
          <w:tab w:val="left" w:pos="1701"/>
        </w:tabs>
        <w:ind w:left="1701" w:hanging="170"/>
      </w:pPr>
      <w:r>
        <w:t>•</w:t>
      </w:r>
      <w:r>
        <w:tab/>
      </w:r>
      <w:r w:rsidR="004B0C37" w:rsidRPr="0034732A">
        <w:t>State o</w:t>
      </w:r>
      <w:r w:rsidR="006C719B">
        <w:t>f Qatar Population Policy (2017–</w:t>
      </w:r>
      <w:r w:rsidR="004B0C37" w:rsidRPr="0034732A">
        <w:t xml:space="preserve">2022), </w:t>
      </w:r>
      <w:r w:rsidR="004B0C37">
        <w:t>designed</w:t>
      </w:r>
      <w:r w:rsidR="004B0C37" w:rsidRPr="0034732A">
        <w:t xml:space="preserve"> to control the high </w:t>
      </w:r>
      <w:r w:rsidR="004B0C37">
        <w:t xml:space="preserve">rate of </w:t>
      </w:r>
      <w:r w:rsidR="004B0C37" w:rsidRPr="0034732A">
        <w:t xml:space="preserve">population growth and </w:t>
      </w:r>
      <w:r w:rsidR="004B0C37">
        <w:t>limit the impact of</w:t>
      </w:r>
      <w:r w:rsidR="004B0C37" w:rsidRPr="0034732A">
        <w:t xml:space="preserve"> the </w:t>
      </w:r>
      <w:r w:rsidR="004B0C37">
        <w:t>population imbalance.</w:t>
      </w:r>
      <w:r w:rsidR="007F4A3A">
        <w:t xml:space="preserve"> </w:t>
      </w:r>
      <w:r w:rsidR="004B0C37">
        <w:t>T</w:t>
      </w:r>
      <w:r w:rsidR="004B0C37" w:rsidRPr="0034732A">
        <w:t>he policy includes a theme devoted to women and children, the primary goal of which is to support women</w:t>
      </w:r>
      <w:r w:rsidR="009D1BD8">
        <w:t>’</w:t>
      </w:r>
      <w:r w:rsidR="004B0C37" w:rsidRPr="0034732A">
        <w:t>s social participation and create suitable conditions to increase their participation in the workforce, as well as to preserve family cohesion and ensure a safe environment for children.</w:t>
      </w:r>
    </w:p>
    <w:p w:rsidR="0060531D" w:rsidRDefault="007B4E65" w:rsidP="007B4E65">
      <w:pPr>
        <w:pStyle w:val="H23G"/>
      </w:pPr>
      <w:r>
        <w:tab/>
      </w:r>
      <w:r>
        <w:tab/>
      </w:r>
      <w:r w:rsidR="004B0C37" w:rsidRPr="0034732A">
        <w:t>Social-economic indicators</w:t>
      </w:r>
    </w:p>
    <w:p w:rsidR="0060531D" w:rsidRDefault="004B0C37" w:rsidP="0060531D">
      <w:pPr>
        <w:pStyle w:val="SingleTxtG"/>
      </w:pPr>
      <w:r w:rsidRPr="0034732A">
        <w:t>22</w:t>
      </w:r>
      <w:r w:rsidR="009D1BD8">
        <w:t>.</w:t>
      </w:r>
      <w:r w:rsidR="009D1BD8">
        <w:tab/>
      </w:r>
      <w:r w:rsidRPr="0034732A">
        <w:t>Qatar takes care to provide up-to-date and reliable statistics.</w:t>
      </w:r>
      <w:r w:rsidR="007F4A3A">
        <w:t xml:space="preserve"> </w:t>
      </w:r>
      <w:proofErr w:type="spellStart"/>
      <w:r>
        <w:t>Emir</w:t>
      </w:r>
      <w:r w:rsidRPr="0034732A">
        <w:t>i</w:t>
      </w:r>
      <w:proofErr w:type="spellEnd"/>
      <w:r w:rsidRPr="0034732A">
        <w:t xml:space="preserve"> Decision No. 4 (2013), on the formation of a new cabinet, included the creation of the Ministry of Development Planning and Statistics as the result of the merger of the General Secretariat for Development Planning and Qatar Statistics Authority.</w:t>
      </w:r>
      <w:r w:rsidR="007F4A3A">
        <w:t xml:space="preserve"> </w:t>
      </w:r>
      <w:r w:rsidRPr="0034732A">
        <w:t>The Ministry is responsible for formulating and developing the State</w:t>
      </w:r>
      <w:r w:rsidR="009D1BD8">
        <w:t>’</w:t>
      </w:r>
      <w:r w:rsidRPr="0034732A">
        <w:t xml:space="preserve">s comprehensive vision in cooperation with the appropriate bodies, preparing and monitoring </w:t>
      </w:r>
      <w:r>
        <w:t xml:space="preserve">the </w:t>
      </w:r>
      <w:r w:rsidRPr="0034732A">
        <w:t xml:space="preserve">implementation </w:t>
      </w:r>
      <w:r>
        <w:t>of</w:t>
      </w:r>
      <w:r w:rsidRPr="0034732A">
        <w:t xml:space="preserve"> national development strategies in coordination with stakeholders, preparing s</w:t>
      </w:r>
      <w:r>
        <w:t>tudies on population strategy</w:t>
      </w:r>
      <w:r w:rsidRPr="0034732A">
        <w:t xml:space="preserve"> and </w:t>
      </w:r>
      <w:r>
        <w:t>policy</w:t>
      </w:r>
      <w:r w:rsidRPr="0034732A">
        <w:t>, supporting the development process in government bodies, working on linking development priorities to the State budget, monitoring progress made in implementing plans, setting up an integrate</w:t>
      </w:r>
      <w:r>
        <w:t>d</w:t>
      </w:r>
      <w:r w:rsidRPr="0034732A">
        <w:t xml:space="preserve"> statistical system, carrying out, organizing and overseeing official statistical activities, conducting censuses and surveys and publishing statistical data and reports.</w:t>
      </w:r>
    </w:p>
    <w:p w:rsidR="0060531D" w:rsidRDefault="004B0C37" w:rsidP="007A1427">
      <w:pPr>
        <w:pStyle w:val="SingleTxtG"/>
        <w:spacing w:line="220" w:lineRule="atLeast"/>
      </w:pPr>
      <w:r w:rsidRPr="0034732A">
        <w:t>23</w:t>
      </w:r>
      <w:r w:rsidR="009D1BD8">
        <w:t>.</w:t>
      </w:r>
      <w:r w:rsidR="009D1BD8">
        <w:tab/>
      </w:r>
      <w:r w:rsidRPr="0034732A">
        <w:t>The State of Qatar is going through a remarkable phase in its progress toward full and comprehensive development.</w:t>
      </w:r>
      <w:r w:rsidR="007F4A3A">
        <w:t xml:space="preserve"> </w:t>
      </w:r>
      <w:r w:rsidRPr="0034732A">
        <w:t>Real gross domestic product (GDP) registered a 2.2 per cent rate of growth in 2016, rising to 796 billion Qatari riyals, compared with 779 riyals in 2015. Qatar is a country that enjoys a very high level of human development</w:t>
      </w:r>
      <w:r>
        <w:t xml:space="preserve"> and wa</w:t>
      </w:r>
      <w:r w:rsidRPr="0034732A">
        <w:t>s ranked 33</w:t>
      </w:r>
      <w:r w:rsidRPr="00D12273">
        <w:t xml:space="preserve">rd </w:t>
      </w:r>
      <w:r w:rsidRPr="0034732A">
        <w:t xml:space="preserve">in the world </w:t>
      </w:r>
      <w:r>
        <w:t>by</w:t>
      </w:r>
      <w:r w:rsidRPr="0034732A">
        <w:t xml:space="preserve"> the 2016 Human Development Report published by the United Nations Development Programme (UNDP).</w:t>
      </w:r>
      <w:r w:rsidR="007F4A3A">
        <w:t xml:space="preserve"> </w:t>
      </w:r>
      <w:r w:rsidRPr="0034732A">
        <w:t>This ranking reflects the considerable and sustained progress achieved by Qatar in human development.</w:t>
      </w:r>
      <w:r w:rsidR="007F4A3A">
        <w:t xml:space="preserve"> </w:t>
      </w:r>
      <w:r w:rsidRPr="0034732A">
        <w:t xml:space="preserve">The report shows that </w:t>
      </w:r>
      <w:r>
        <w:t>the country</w:t>
      </w:r>
      <w:r w:rsidR="009D1BD8">
        <w:t>’</w:t>
      </w:r>
      <w:r>
        <w:t>s</w:t>
      </w:r>
      <w:r w:rsidRPr="0034732A">
        <w:t xml:space="preserve"> human development index score improved from 0.855 in 2015 to 0.856 in 2016, reflecting </w:t>
      </w:r>
      <w:r>
        <w:t xml:space="preserve">the </w:t>
      </w:r>
      <w:r w:rsidRPr="0034732A">
        <w:t>advances made in education, health and GDP.</w:t>
      </w:r>
      <w:r w:rsidR="007F4A3A">
        <w:t xml:space="preserve"> </w:t>
      </w:r>
      <w:r w:rsidRPr="0034732A">
        <w:t>In the area of education, the report shows a rise in the adult literacy rate for both sexes, from 96.7 per cent in the 2015 report to 97.8 per cent in the 2016 report.</w:t>
      </w:r>
      <w:r w:rsidR="007F4A3A">
        <w:t xml:space="preserve"> </w:t>
      </w:r>
      <w:r w:rsidRPr="0034732A">
        <w:t>There was also a rise in higher education enrolment for persons of eligible age to 16 per cent in the 2016 report from 14 per cent in the 2015 report.</w:t>
      </w:r>
      <w:r w:rsidR="007F4A3A">
        <w:t xml:space="preserve"> </w:t>
      </w:r>
      <w:r w:rsidRPr="0034732A">
        <w:t xml:space="preserve">As regards gross national income per capita, the report indicates that the </w:t>
      </w:r>
      <w:r w:rsidRPr="0034732A">
        <w:lastRenderedPageBreak/>
        <w:t>State of Qatar saw a rise from 66.18 US dollars in 2015 to 57.82 US dollars in 2016.</w:t>
      </w:r>
      <w:r w:rsidR="007F4A3A">
        <w:t xml:space="preserve"> </w:t>
      </w:r>
      <w:r w:rsidRPr="0034732A">
        <w:t xml:space="preserve">At the same time, the labour force participation rate for persons aged 15 and older </w:t>
      </w:r>
      <w:r>
        <w:t>rose to</w:t>
      </w:r>
      <w:r w:rsidRPr="0034732A">
        <w:t xml:space="preserve"> 84.6 per cent − </w:t>
      </w:r>
      <w:r>
        <w:t>ahead</w:t>
      </w:r>
      <w:r w:rsidRPr="0034732A">
        <w:t xml:space="preserve"> of Norway which, in 2016, was ranked first in the world on the human development index.</w:t>
      </w:r>
      <w:r w:rsidR="007F4A3A">
        <w:t xml:space="preserve"> </w:t>
      </w:r>
      <w:r w:rsidRPr="0034732A">
        <w:t xml:space="preserve">The youth unemployment rate (young people aged </w:t>
      </w:r>
      <w:r>
        <w:t xml:space="preserve">between </w:t>
      </w:r>
      <w:r w:rsidRPr="0034732A">
        <w:t xml:space="preserve">15 </w:t>
      </w:r>
      <w:r>
        <w:t>and</w:t>
      </w:r>
      <w:r w:rsidRPr="0034732A">
        <w:t xml:space="preserve"> 24) fell from 1.1 per cent in the 2015 report to 0.8 per cent in the 2016 report.</w:t>
      </w:r>
      <w:r w:rsidR="007F4A3A">
        <w:t xml:space="preserve"> </w:t>
      </w:r>
      <w:r w:rsidRPr="0034732A">
        <w:t>The report measured an increase in the percentage of Internet users from 91.5 per cent in the 2015 report to 92.9 per cent in the 2016 report.</w:t>
      </w:r>
      <w:r w:rsidR="007F4A3A">
        <w:t xml:space="preserve"> </w:t>
      </w:r>
      <w:r w:rsidRPr="0034732A">
        <w:t>Despite a fall between 2010 and 2015</w:t>
      </w:r>
      <w:r>
        <w:t xml:space="preserve"> </w:t>
      </w:r>
      <w:r w:rsidRPr="0034732A">
        <w:t>in the total fertility rate among women of childbearing age to 2.1 live births per mother, the country</w:t>
      </w:r>
      <w:r w:rsidR="009D1BD8">
        <w:t>’</w:t>
      </w:r>
      <w:r w:rsidRPr="0034732A">
        <w:t>s total fertility rate remains higher than that of Norway (1.8), Hong Kong (1.2) and Singapore (1.2).</w:t>
      </w:r>
    </w:p>
    <w:p w:rsidR="004B0C37" w:rsidRPr="0034732A" w:rsidRDefault="004B0C37" w:rsidP="007A1427">
      <w:pPr>
        <w:pStyle w:val="SingleTxtG"/>
        <w:spacing w:line="220" w:lineRule="atLeast"/>
      </w:pPr>
      <w:r w:rsidRPr="0034732A">
        <w:t>24</w:t>
      </w:r>
      <w:r w:rsidR="009D1BD8">
        <w:t>.</w:t>
      </w:r>
      <w:r w:rsidR="009D1BD8">
        <w:tab/>
      </w:r>
      <w:r w:rsidRPr="0034732A">
        <w:t xml:space="preserve">Qatar is keen to </w:t>
      </w:r>
      <w:r>
        <w:t>evaluate</w:t>
      </w:r>
      <w:r w:rsidRPr="0034732A">
        <w:t xml:space="preserve"> its progress toward achievement of the Millennium Development Goals and has issued five reports on the subject.</w:t>
      </w:r>
      <w:r w:rsidR="007F4A3A">
        <w:t xml:space="preserve"> </w:t>
      </w:r>
      <w:r w:rsidRPr="0034732A">
        <w:t xml:space="preserve">The most recent </w:t>
      </w:r>
      <w:r>
        <w:t>report</w:t>
      </w:r>
      <w:r w:rsidRPr="0034732A">
        <w:t xml:space="preserve"> was </w:t>
      </w:r>
      <w:r>
        <w:t xml:space="preserve">published </w:t>
      </w:r>
      <w:r w:rsidRPr="0034732A">
        <w:t xml:space="preserve">in January 2017 and showed that the State of Qatar has met most of the Millennium Development Goals and made tangible progress on those </w:t>
      </w:r>
      <w:r>
        <w:t>which</w:t>
      </w:r>
      <w:r w:rsidRPr="0034732A">
        <w:t xml:space="preserve"> have yet to be achieved.</w:t>
      </w:r>
      <w:r w:rsidR="007F4A3A">
        <w:t xml:space="preserve"> </w:t>
      </w:r>
      <w:r w:rsidRPr="0034732A">
        <w:t>The key findings of the fifth report were as follows:</w:t>
      </w:r>
    </w:p>
    <w:p w:rsidR="004B0C37" w:rsidRPr="0034732A" w:rsidRDefault="00A703EC" w:rsidP="00A703EC">
      <w:pPr>
        <w:pStyle w:val="Bullet1G"/>
        <w:numPr>
          <w:ilvl w:val="0"/>
          <w:numId w:val="0"/>
        </w:numPr>
        <w:tabs>
          <w:tab w:val="left" w:pos="1701"/>
        </w:tabs>
        <w:spacing w:line="220" w:lineRule="atLeast"/>
        <w:ind w:left="1701" w:hanging="170"/>
      </w:pPr>
      <w:r w:rsidRPr="0034732A">
        <w:t>•</w:t>
      </w:r>
      <w:r w:rsidRPr="0034732A">
        <w:tab/>
      </w:r>
      <w:r w:rsidR="004B0C37">
        <w:t>Poverty has been eradicated; t</w:t>
      </w:r>
      <w:r w:rsidR="004B0C37" w:rsidRPr="0034732A">
        <w:t>he State has been able to provide a life of plenty for all citizens and residents;</w:t>
      </w:r>
    </w:p>
    <w:p w:rsidR="004B0C37" w:rsidRPr="0034732A" w:rsidRDefault="00A703EC" w:rsidP="00A703EC">
      <w:pPr>
        <w:pStyle w:val="Bullet1G"/>
        <w:numPr>
          <w:ilvl w:val="0"/>
          <w:numId w:val="0"/>
        </w:numPr>
        <w:tabs>
          <w:tab w:val="left" w:pos="1701"/>
        </w:tabs>
        <w:spacing w:line="220" w:lineRule="atLeast"/>
        <w:ind w:left="1701" w:hanging="170"/>
      </w:pPr>
      <w:r w:rsidRPr="0034732A">
        <w:t>•</w:t>
      </w:r>
      <w:r w:rsidRPr="0034732A">
        <w:tab/>
      </w:r>
      <w:r w:rsidR="004B0C37" w:rsidRPr="0034732A">
        <w:t>Qatar is close to achieving the goal of universal primary education for boys and girls by 2015; school attendance rates in primary school for both sexes are over 91 per cent;</w:t>
      </w:r>
    </w:p>
    <w:p w:rsidR="004B0C37" w:rsidRPr="0034732A" w:rsidRDefault="00A703EC" w:rsidP="00A703EC">
      <w:pPr>
        <w:pStyle w:val="Bullet1G"/>
        <w:numPr>
          <w:ilvl w:val="0"/>
          <w:numId w:val="0"/>
        </w:numPr>
        <w:tabs>
          <w:tab w:val="left" w:pos="1701"/>
        </w:tabs>
        <w:spacing w:line="220" w:lineRule="atLeast"/>
        <w:ind w:left="1701" w:hanging="170"/>
      </w:pPr>
      <w:r w:rsidRPr="0034732A">
        <w:t>•</w:t>
      </w:r>
      <w:r w:rsidRPr="0034732A">
        <w:tab/>
      </w:r>
      <w:r w:rsidR="004B0C37" w:rsidRPr="0034732A">
        <w:t>Qatar has made great progress toward achieving the goal of gender equality, with a higher education gender parity rate of 1.94;</w:t>
      </w:r>
    </w:p>
    <w:p w:rsidR="004B0C37" w:rsidRPr="0034732A" w:rsidRDefault="00A703EC" w:rsidP="00A703EC">
      <w:pPr>
        <w:pStyle w:val="Bullet1G"/>
        <w:numPr>
          <w:ilvl w:val="0"/>
          <w:numId w:val="0"/>
        </w:numPr>
        <w:tabs>
          <w:tab w:val="left" w:pos="1701"/>
        </w:tabs>
        <w:spacing w:line="220" w:lineRule="atLeast"/>
        <w:ind w:left="1701" w:hanging="170"/>
      </w:pPr>
      <w:r w:rsidRPr="0034732A">
        <w:t>•</w:t>
      </w:r>
      <w:r w:rsidRPr="0034732A">
        <w:tab/>
      </w:r>
      <w:r w:rsidR="004B0C37" w:rsidRPr="0034732A">
        <w:t xml:space="preserve">Qatar has </w:t>
      </w:r>
      <w:r w:rsidR="004B0C37">
        <w:t>been able</w:t>
      </w:r>
      <w:r w:rsidR="004B0C37" w:rsidRPr="0034732A">
        <w:t xml:space="preserve"> to achieve the goal of reducing the </w:t>
      </w:r>
      <w:r w:rsidR="004B0C37">
        <w:t xml:space="preserve">under-5 </w:t>
      </w:r>
      <w:r w:rsidR="004B0C37" w:rsidRPr="0034732A">
        <w:t xml:space="preserve">mortality </w:t>
      </w:r>
      <w:r w:rsidR="004B0C37">
        <w:t>rate</w:t>
      </w:r>
      <w:r w:rsidR="004B0C37" w:rsidRPr="0034732A">
        <w:t xml:space="preserve"> by two-thirds;</w:t>
      </w:r>
    </w:p>
    <w:p w:rsidR="004B0C37" w:rsidRPr="0034732A" w:rsidRDefault="00A703EC" w:rsidP="00A703EC">
      <w:pPr>
        <w:pStyle w:val="Bullet1G"/>
        <w:numPr>
          <w:ilvl w:val="0"/>
          <w:numId w:val="0"/>
        </w:numPr>
        <w:tabs>
          <w:tab w:val="left" w:pos="1701"/>
        </w:tabs>
        <w:spacing w:line="220" w:lineRule="atLeast"/>
        <w:ind w:left="1701" w:hanging="170"/>
      </w:pPr>
      <w:r w:rsidRPr="0034732A">
        <w:t>•</w:t>
      </w:r>
      <w:r w:rsidRPr="0034732A">
        <w:tab/>
      </w:r>
      <w:r w:rsidR="004B0C37" w:rsidRPr="0034732A">
        <w:t>Qatar has surpassed the target of reducing the maternal mortality rate by three quarters;</w:t>
      </w:r>
    </w:p>
    <w:p w:rsidR="004B0C37" w:rsidRPr="0034732A" w:rsidRDefault="00A703EC" w:rsidP="00A703EC">
      <w:pPr>
        <w:pStyle w:val="Bullet1G"/>
        <w:numPr>
          <w:ilvl w:val="0"/>
          <w:numId w:val="0"/>
        </w:numPr>
        <w:tabs>
          <w:tab w:val="left" w:pos="1701"/>
        </w:tabs>
        <w:spacing w:line="220" w:lineRule="atLeast"/>
        <w:ind w:left="1701" w:hanging="170"/>
      </w:pPr>
      <w:r w:rsidRPr="0034732A">
        <w:t>•</w:t>
      </w:r>
      <w:r w:rsidRPr="0034732A">
        <w:tab/>
      </w:r>
      <w:r w:rsidR="004B0C37" w:rsidRPr="0034732A">
        <w:t xml:space="preserve">Qatar has </w:t>
      </w:r>
      <w:r w:rsidR="004B0C37">
        <w:t>been able</w:t>
      </w:r>
      <w:r w:rsidR="004B0C37" w:rsidRPr="0034732A">
        <w:t xml:space="preserve"> to achieve the target of eliminating malaria and other </w:t>
      </w:r>
      <w:r w:rsidR="004B0C37">
        <w:t xml:space="preserve">infectious </w:t>
      </w:r>
      <w:r w:rsidR="004B0C37" w:rsidRPr="0034732A">
        <w:t>diseases;</w:t>
      </w:r>
    </w:p>
    <w:p w:rsidR="0060531D" w:rsidRDefault="00A703EC" w:rsidP="00A703EC">
      <w:pPr>
        <w:pStyle w:val="Bullet1G"/>
        <w:numPr>
          <w:ilvl w:val="0"/>
          <w:numId w:val="0"/>
        </w:numPr>
        <w:tabs>
          <w:tab w:val="left" w:pos="1701"/>
        </w:tabs>
        <w:spacing w:line="220" w:lineRule="atLeast"/>
        <w:ind w:left="1701" w:hanging="170"/>
      </w:pPr>
      <w:r>
        <w:t>•</w:t>
      </w:r>
      <w:r>
        <w:tab/>
      </w:r>
      <w:r w:rsidR="004B0C37" w:rsidRPr="0034732A">
        <w:t>Qatar has been able to achieve most of the targets of the goal of ensuring environmental sustainability.</w:t>
      </w:r>
    </w:p>
    <w:p w:rsidR="0060531D" w:rsidRDefault="00561A3D" w:rsidP="007A1427">
      <w:pPr>
        <w:pStyle w:val="H23G"/>
        <w:spacing w:line="220" w:lineRule="atLeast"/>
      </w:pPr>
      <w:r>
        <w:tab/>
      </w:r>
      <w:r>
        <w:tab/>
      </w:r>
      <w:r w:rsidR="004B0C37" w:rsidRPr="0034732A">
        <w:t>Gross and net enrolment rates</w:t>
      </w:r>
    </w:p>
    <w:p w:rsidR="0060531D" w:rsidRDefault="004B0C37" w:rsidP="007A1427">
      <w:pPr>
        <w:pStyle w:val="SingleTxtG"/>
        <w:spacing w:line="220" w:lineRule="atLeast"/>
      </w:pPr>
      <w:r w:rsidRPr="0034732A">
        <w:t>25</w:t>
      </w:r>
      <w:r w:rsidR="009D1BD8">
        <w:t>.</w:t>
      </w:r>
      <w:r w:rsidR="009D1BD8">
        <w:tab/>
      </w:r>
      <w:r w:rsidRPr="0034732A">
        <w:t>The gross enrolment rate at primary level in school year 2016/2017 was 106.2 for males and 106.0 for females; the parity index stood at 100 per cent in the same year.</w:t>
      </w:r>
      <w:r w:rsidR="007F4A3A">
        <w:t xml:space="preserve"> </w:t>
      </w:r>
      <w:r w:rsidRPr="0034732A">
        <w:t>The net enrolment rate in school year 2016/2017 was 96.3 for males and 96.5 for females; the parity index stood at 100.2 per cent in the same year.</w:t>
      </w:r>
    </w:p>
    <w:p w:rsidR="004B0C37" w:rsidRPr="00F23BE7" w:rsidRDefault="004B0C37" w:rsidP="007A1427">
      <w:pPr>
        <w:pStyle w:val="Heading1"/>
        <w:spacing w:after="120" w:line="220" w:lineRule="atLeast"/>
        <w:rPr>
          <w:b/>
          <w:bCs/>
        </w:rPr>
      </w:pPr>
      <w:r w:rsidRPr="0034732A">
        <w:t>Table 10</w:t>
      </w:r>
      <w:r w:rsidR="00F23BE7">
        <w:br/>
      </w:r>
      <w:r w:rsidRPr="00F23BE7">
        <w:rPr>
          <w:b/>
          <w:bCs/>
        </w:rPr>
        <w:t>Gross and net enrolment at pri</w:t>
      </w:r>
      <w:r w:rsidR="00F23BE7">
        <w:rPr>
          <w:b/>
          <w:bCs/>
        </w:rPr>
        <w:t>mary level by gender (2011/2012–</w:t>
      </w:r>
      <w:r w:rsidRPr="00F23BE7">
        <w:rPr>
          <w:b/>
          <w:bCs/>
        </w:rPr>
        <w:t>2016/2017)</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72"/>
        <w:gridCol w:w="1472"/>
        <w:gridCol w:w="1477"/>
        <w:gridCol w:w="1477"/>
        <w:gridCol w:w="1472"/>
      </w:tblGrid>
      <w:tr w:rsidR="004B0C37" w:rsidRPr="002A71B9" w:rsidTr="002A71B9">
        <w:trPr>
          <w:tblHeader/>
        </w:trPr>
        <w:tc>
          <w:tcPr>
            <w:tcW w:w="1803" w:type="dxa"/>
            <w:vMerge w:val="restart"/>
            <w:tcBorders>
              <w:top w:val="single" w:sz="4" w:space="0" w:color="auto"/>
              <w:bottom w:val="single" w:sz="12" w:space="0" w:color="auto"/>
            </w:tcBorders>
            <w:shd w:val="clear" w:color="auto" w:fill="auto"/>
            <w:vAlign w:val="bottom"/>
          </w:tcPr>
          <w:p w:rsidR="004B0C37" w:rsidRPr="002A71B9" w:rsidRDefault="004B0C37" w:rsidP="002A71B9">
            <w:pPr>
              <w:suppressAutoHyphens w:val="0"/>
              <w:spacing w:before="80" w:after="80" w:line="200" w:lineRule="exact"/>
              <w:ind w:right="113"/>
              <w:rPr>
                <w:i/>
                <w:sz w:val="16"/>
              </w:rPr>
            </w:pPr>
            <w:r w:rsidRPr="002A71B9">
              <w:rPr>
                <w:i/>
                <w:sz w:val="16"/>
              </w:rPr>
              <w:t>Year</w:t>
            </w:r>
          </w:p>
        </w:tc>
        <w:tc>
          <w:tcPr>
            <w:tcW w:w="3606" w:type="dxa"/>
            <w:gridSpan w:val="2"/>
            <w:tcBorders>
              <w:top w:val="single" w:sz="4" w:space="0" w:color="auto"/>
              <w:bottom w:val="single" w:sz="4" w:space="0" w:color="auto"/>
              <w:right w:val="single" w:sz="24" w:space="0" w:color="FFFFFF" w:themeColor="background1"/>
            </w:tcBorders>
            <w:shd w:val="clear" w:color="auto" w:fill="auto"/>
            <w:vAlign w:val="bottom"/>
          </w:tcPr>
          <w:p w:rsidR="004B0C37" w:rsidRPr="002A71B9" w:rsidRDefault="004B0C37" w:rsidP="002A71B9">
            <w:pPr>
              <w:suppressAutoHyphens w:val="0"/>
              <w:spacing w:before="80" w:after="80" w:line="200" w:lineRule="exact"/>
              <w:ind w:right="113"/>
              <w:jc w:val="center"/>
              <w:rPr>
                <w:i/>
                <w:sz w:val="16"/>
              </w:rPr>
            </w:pPr>
            <w:r w:rsidRPr="002A71B9">
              <w:rPr>
                <w:i/>
                <w:sz w:val="16"/>
              </w:rPr>
              <w:t>Rate of gross enrolment</w:t>
            </w:r>
          </w:p>
        </w:tc>
        <w:tc>
          <w:tcPr>
            <w:tcW w:w="3607" w:type="dxa"/>
            <w:gridSpan w:val="2"/>
            <w:tcBorders>
              <w:top w:val="single" w:sz="4" w:space="0" w:color="auto"/>
              <w:left w:val="single" w:sz="24" w:space="0" w:color="FFFFFF" w:themeColor="background1"/>
              <w:bottom w:val="single" w:sz="4" w:space="0" w:color="auto"/>
            </w:tcBorders>
            <w:shd w:val="clear" w:color="auto" w:fill="auto"/>
            <w:vAlign w:val="bottom"/>
          </w:tcPr>
          <w:p w:rsidR="004B0C37" w:rsidRPr="002A71B9" w:rsidRDefault="004B0C37" w:rsidP="002A71B9">
            <w:pPr>
              <w:suppressAutoHyphens w:val="0"/>
              <w:spacing w:before="80" w:after="80" w:line="200" w:lineRule="exact"/>
              <w:ind w:right="113"/>
              <w:jc w:val="center"/>
              <w:rPr>
                <w:i/>
                <w:sz w:val="16"/>
              </w:rPr>
            </w:pPr>
            <w:r w:rsidRPr="002A71B9">
              <w:rPr>
                <w:i/>
                <w:sz w:val="16"/>
              </w:rPr>
              <w:t>Rate of net enrolment</w:t>
            </w:r>
          </w:p>
        </w:tc>
      </w:tr>
      <w:tr w:rsidR="004B0C37" w:rsidRPr="002A71B9" w:rsidTr="002A71B9">
        <w:trPr>
          <w:tblHeader/>
        </w:trPr>
        <w:tc>
          <w:tcPr>
            <w:tcW w:w="1803" w:type="dxa"/>
            <w:vMerge/>
            <w:tcBorders>
              <w:top w:val="single" w:sz="12" w:space="0" w:color="auto"/>
              <w:bottom w:val="single" w:sz="12" w:space="0" w:color="auto"/>
            </w:tcBorders>
            <w:shd w:val="clear" w:color="auto" w:fill="auto"/>
            <w:vAlign w:val="bottom"/>
          </w:tcPr>
          <w:p w:rsidR="004B0C37" w:rsidRPr="002A71B9" w:rsidRDefault="004B0C37" w:rsidP="002A71B9">
            <w:pPr>
              <w:suppressAutoHyphens w:val="0"/>
              <w:spacing w:before="40" w:after="40" w:line="220" w:lineRule="exact"/>
              <w:ind w:right="113"/>
              <w:rPr>
                <w:sz w:val="18"/>
              </w:rPr>
            </w:pPr>
          </w:p>
        </w:tc>
        <w:tc>
          <w:tcPr>
            <w:tcW w:w="1803" w:type="dxa"/>
            <w:tcBorders>
              <w:top w:val="single" w:sz="4" w:space="0" w:color="auto"/>
              <w:bottom w:val="single" w:sz="12" w:space="0" w:color="auto"/>
            </w:tcBorders>
            <w:shd w:val="clear" w:color="auto" w:fill="auto"/>
            <w:vAlign w:val="bottom"/>
          </w:tcPr>
          <w:p w:rsidR="004B0C37" w:rsidRPr="002A71B9" w:rsidRDefault="004B0C37" w:rsidP="002A71B9">
            <w:pPr>
              <w:suppressAutoHyphens w:val="0"/>
              <w:spacing w:before="80" w:after="80" w:line="200" w:lineRule="exact"/>
              <w:ind w:right="113"/>
              <w:jc w:val="right"/>
              <w:rPr>
                <w:i/>
                <w:sz w:val="16"/>
              </w:rPr>
            </w:pPr>
            <w:r w:rsidRPr="002A71B9">
              <w:rPr>
                <w:i/>
                <w:sz w:val="16"/>
              </w:rPr>
              <w:t>Qatari</w:t>
            </w:r>
          </w:p>
        </w:tc>
        <w:tc>
          <w:tcPr>
            <w:tcW w:w="1803" w:type="dxa"/>
            <w:tcBorders>
              <w:top w:val="single" w:sz="4" w:space="0" w:color="auto"/>
              <w:bottom w:val="single" w:sz="12" w:space="0" w:color="auto"/>
              <w:right w:val="single" w:sz="24" w:space="0" w:color="FFFFFF" w:themeColor="background1"/>
            </w:tcBorders>
            <w:shd w:val="clear" w:color="auto" w:fill="auto"/>
            <w:vAlign w:val="bottom"/>
          </w:tcPr>
          <w:p w:rsidR="004B0C37" w:rsidRPr="002A71B9" w:rsidRDefault="004B0C37" w:rsidP="002A71B9">
            <w:pPr>
              <w:suppressAutoHyphens w:val="0"/>
              <w:spacing w:before="80" w:after="80" w:line="200" w:lineRule="exact"/>
              <w:ind w:right="113"/>
              <w:jc w:val="right"/>
              <w:rPr>
                <w:i/>
                <w:sz w:val="16"/>
              </w:rPr>
            </w:pPr>
            <w:r w:rsidRPr="002A71B9">
              <w:rPr>
                <w:i/>
                <w:sz w:val="16"/>
              </w:rPr>
              <w:t>Non-Qatari</w:t>
            </w:r>
          </w:p>
        </w:tc>
        <w:tc>
          <w:tcPr>
            <w:tcW w:w="1803" w:type="dxa"/>
            <w:tcBorders>
              <w:top w:val="single" w:sz="4" w:space="0" w:color="auto"/>
              <w:left w:val="single" w:sz="24" w:space="0" w:color="FFFFFF" w:themeColor="background1"/>
              <w:bottom w:val="single" w:sz="12" w:space="0" w:color="auto"/>
            </w:tcBorders>
            <w:shd w:val="clear" w:color="auto" w:fill="auto"/>
            <w:vAlign w:val="bottom"/>
          </w:tcPr>
          <w:p w:rsidR="004B0C37" w:rsidRPr="002A71B9" w:rsidRDefault="004B0C37" w:rsidP="002A71B9">
            <w:pPr>
              <w:suppressAutoHyphens w:val="0"/>
              <w:spacing w:before="80" w:after="80" w:line="200" w:lineRule="exact"/>
              <w:ind w:right="113"/>
              <w:jc w:val="right"/>
              <w:rPr>
                <w:i/>
                <w:sz w:val="16"/>
              </w:rPr>
            </w:pPr>
            <w:r w:rsidRPr="002A71B9">
              <w:rPr>
                <w:i/>
                <w:sz w:val="16"/>
              </w:rPr>
              <w:t>Qatari</w:t>
            </w:r>
          </w:p>
        </w:tc>
        <w:tc>
          <w:tcPr>
            <w:tcW w:w="1804" w:type="dxa"/>
            <w:tcBorders>
              <w:top w:val="single" w:sz="4" w:space="0" w:color="auto"/>
              <w:bottom w:val="single" w:sz="12" w:space="0" w:color="auto"/>
            </w:tcBorders>
            <w:shd w:val="clear" w:color="auto" w:fill="auto"/>
            <w:vAlign w:val="bottom"/>
          </w:tcPr>
          <w:p w:rsidR="004B0C37" w:rsidRPr="002A71B9" w:rsidRDefault="004B0C37" w:rsidP="002A71B9">
            <w:pPr>
              <w:suppressAutoHyphens w:val="0"/>
              <w:spacing w:before="80" w:after="80" w:line="200" w:lineRule="exact"/>
              <w:ind w:right="113"/>
              <w:jc w:val="right"/>
              <w:rPr>
                <w:i/>
                <w:sz w:val="16"/>
              </w:rPr>
            </w:pPr>
            <w:r w:rsidRPr="002A71B9">
              <w:rPr>
                <w:i/>
                <w:sz w:val="16"/>
              </w:rPr>
              <w:t>Non-Qatari</w:t>
            </w:r>
          </w:p>
        </w:tc>
      </w:tr>
      <w:tr w:rsidR="004B0C37" w:rsidRPr="002A71B9" w:rsidTr="002A71B9">
        <w:tc>
          <w:tcPr>
            <w:tcW w:w="1803" w:type="dxa"/>
            <w:tcBorders>
              <w:top w:val="single" w:sz="12" w:space="0" w:color="auto"/>
            </w:tcBorders>
            <w:shd w:val="clear" w:color="auto" w:fill="auto"/>
          </w:tcPr>
          <w:p w:rsidR="004B0C37" w:rsidRPr="002A71B9" w:rsidRDefault="004B0C37" w:rsidP="002A71B9">
            <w:pPr>
              <w:suppressAutoHyphens w:val="0"/>
              <w:spacing w:before="40" w:after="40" w:line="220" w:lineRule="exact"/>
              <w:ind w:right="113"/>
              <w:rPr>
                <w:sz w:val="18"/>
              </w:rPr>
            </w:pPr>
            <w:r w:rsidRPr="002A71B9">
              <w:rPr>
                <w:sz w:val="18"/>
              </w:rPr>
              <w:t>2010/2011</w:t>
            </w:r>
          </w:p>
        </w:tc>
        <w:tc>
          <w:tcPr>
            <w:tcW w:w="1803" w:type="dxa"/>
            <w:tcBorders>
              <w:top w:val="single" w:sz="12" w:space="0" w:color="auto"/>
            </w:tcBorders>
            <w:shd w:val="clear" w:color="auto" w:fill="auto"/>
            <w:vAlign w:val="bottom"/>
          </w:tcPr>
          <w:p w:rsidR="004B0C37" w:rsidRPr="002A71B9" w:rsidRDefault="004B0C37" w:rsidP="002A71B9">
            <w:pPr>
              <w:suppressAutoHyphens w:val="0"/>
              <w:spacing w:before="40" w:after="40" w:line="220" w:lineRule="exact"/>
              <w:ind w:right="113"/>
              <w:jc w:val="right"/>
              <w:rPr>
                <w:sz w:val="18"/>
                <w:lang w:val="en-US" w:bidi="ar-QA"/>
              </w:rPr>
            </w:pPr>
            <w:r w:rsidRPr="002A71B9">
              <w:rPr>
                <w:sz w:val="18"/>
                <w:lang w:val="en-US" w:bidi="ar-QA"/>
              </w:rPr>
              <w:t>94.5</w:t>
            </w:r>
          </w:p>
        </w:tc>
        <w:tc>
          <w:tcPr>
            <w:tcW w:w="1803" w:type="dxa"/>
            <w:tcBorders>
              <w:top w:val="single" w:sz="12" w:space="0" w:color="auto"/>
            </w:tcBorders>
            <w:shd w:val="clear" w:color="auto" w:fill="auto"/>
            <w:vAlign w:val="bottom"/>
          </w:tcPr>
          <w:p w:rsidR="004B0C37" w:rsidRPr="002A71B9" w:rsidRDefault="004B0C37" w:rsidP="002A71B9">
            <w:pPr>
              <w:suppressAutoHyphens w:val="0"/>
              <w:spacing w:before="40" w:after="40" w:line="220" w:lineRule="exact"/>
              <w:ind w:right="113"/>
              <w:jc w:val="right"/>
              <w:rPr>
                <w:sz w:val="18"/>
                <w:lang w:val="en-US" w:bidi="ar-QA"/>
              </w:rPr>
            </w:pPr>
            <w:r w:rsidRPr="002A71B9">
              <w:rPr>
                <w:sz w:val="18"/>
                <w:lang w:val="en-US" w:bidi="ar-QA"/>
              </w:rPr>
              <w:t>102.3</w:t>
            </w:r>
          </w:p>
        </w:tc>
        <w:tc>
          <w:tcPr>
            <w:tcW w:w="1803" w:type="dxa"/>
            <w:tcBorders>
              <w:top w:val="single" w:sz="12" w:space="0" w:color="auto"/>
            </w:tcBorders>
            <w:shd w:val="clear" w:color="auto" w:fill="auto"/>
            <w:vAlign w:val="bottom"/>
          </w:tcPr>
          <w:p w:rsidR="004B0C37" w:rsidRPr="002A71B9" w:rsidRDefault="004B0C37" w:rsidP="002A71B9">
            <w:pPr>
              <w:suppressAutoHyphens w:val="0"/>
              <w:spacing w:before="40" w:after="40" w:line="220" w:lineRule="exact"/>
              <w:ind w:right="113"/>
              <w:jc w:val="right"/>
              <w:rPr>
                <w:sz w:val="18"/>
                <w:lang w:val="en-US" w:bidi="ar-QA"/>
              </w:rPr>
            </w:pPr>
            <w:r w:rsidRPr="002A71B9">
              <w:rPr>
                <w:sz w:val="18"/>
                <w:lang w:val="en-US" w:bidi="ar-QA"/>
              </w:rPr>
              <w:t>86.8</w:t>
            </w:r>
          </w:p>
        </w:tc>
        <w:tc>
          <w:tcPr>
            <w:tcW w:w="1804" w:type="dxa"/>
            <w:tcBorders>
              <w:top w:val="single" w:sz="12" w:space="0" w:color="auto"/>
            </w:tcBorders>
            <w:shd w:val="clear" w:color="auto" w:fill="auto"/>
            <w:vAlign w:val="bottom"/>
          </w:tcPr>
          <w:p w:rsidR="004B0C37" w:rsidRPr="002A71B9" w:rsidRDefault="004B0C37" w:rsidP="002A71B9">
            <w:pPr>
              <w:suppressAutoHyphens w:val="0"/>
              <w:spacing w:before="40" w:after="40" w:line="220" w:lineRule="exact"/>
              <w:ind w:right="113"/>
              <w:jc w:val="right"/>
              <w:rPr>
                <w:sz w:val="18"/>
                <w:lang w:val="en-US" w:bidi="ar-QA"/>
              </w:rPr>
            </w:pPr>
            <w:r w:rsidRPr="002A71B9">
              <w:rPr>
                <w:sz w:val="18"/>
                <w:lang w:val="en-US" w:bidi="ar-QA"/>
              </w:rPr>
              <w:t>92.7</w:t>
            </w:r>
          </w:p>
        </w:tc>
      </w:tr>
      <w:tr w:rsidR="004B0C37" w:rsidRPr="002A71B9" w:rsidTr="002A71B9">
        <w:tc>
          <w:tcPr>
            <w:tcW w:w="1803" w:type="dxa"/>
            <w:shd w:val="clear" w:color="auto" w:fill="auto"/>
          </w:tcPr>
          <w:p w:rsidR="004B0C37" w:rsidRPr="002A71B9" w:rsidRDefault="004B0C37" w:rsidP="002A71B9">
            <w:pPr>
              <w:suppressAutoHyphens w:val="0"/>
              <w:spacing w:before="40" w:after="40" w:line="220" w:lineRule="exact"/>
              <w:ind w:right="113"/>
              <w:rPr>
                <w:sz w:val="18"/>
              </w:rPr>
            </w:pPr>
            <w:r w:rsidRPr="002A71B9">
              <w:rPr>
                <w:sz w:val="18"/>
              </w:rPr>
              <w:t>2011/2012</w:t>
            </w:r>
          </w:p>
        </w:tc>
        <w:tc>
          <w:tcPr>
            <w:tcW w:w="1803" w:type="dxa"/>
            <w:shd w:val="clear" w:color="auto" w:fill="auto"/>
            <w:vAlign w:val="bottom"/>
          </w:tcPr>
          <w:p w:rsidR="004B0C37" w:rsidRPr="002A71B9" w:rsidRDefault="004B0C37" w:rsidP="002A71B9">
            <w:pPr>
              <w:suppressAutoHyphens w:val="0"/>
              <w:spacing w:before="40" w:after="40" w:line="220" w:lineRule="exact"/>
              <w:ind w:right="113"/>
              <w:jc w:val="right"/>
              <w:rPr>
                <w:sz w:val="18"/>
                <w:lang w:val="en-US" w:bidi="ar-QA"/>
              </w:rPr>
            </w:pPr>
            <w:r w:rsidRPr="002A71B9">
              <w:rPr>
                <w:sz w:val="18"/>
                <w:lang w:val="en-US" w:bidi="ar-QA"/>
              </w:rPr>
              <w:t>96.9</w:t>
            </w:r>
          </w:p>
        </w:tc>
        <w:tc>
          <w:tcPr>
            <w:tcW w:w="1803" w:type="dxa"/>
            <w:shd w:val="clear" w:color="auto" w:fill="auto"/>
            <w:vAlign w:val="bottom"/>
          </w:tcPr>
          <w:p w:rsidR="004B0C37" w:rsidRPr="002A71B9" w:rsidRDefault="004B0C37" w:rsidP="002A71B9">
            <w:pPr>
              <w:suppressAutoHyphens w:val="0"/>
              <w:spacing w:before="40" w:after="40" w:line="220" w:lineRule="exact"/>
              <w:ind w:right="113"/>
              <w:jc w:val="right"/>
              <w:rPr>
                <w:sz w:val="18"/>
                <w:lang w:val="en-US" w:bidi="ar-QA"/>
              </w:rPr>
            </w:pPr>
            <w:r w:rsidRPr="002A71B9">
              <w:rPr>
                <w:sz w:val="18"/>
                <w:lang w:val="en-US" w:bidi="ar-QA"/>
              </w:rPr>
              <w:t>105.9</w:t>
            </w:r>
          </w:p>
        </w:tc>
        <w:tc>
          <w:tcPr>
            <w:tcW w:w="1803" w:type="dxa"/>
            <w:shd w:val="clear" w:color="auto" w:fill="auto"/>
            <w:vAlign w:val="bottom"/>
          </w:tcPr>
          <w:p w:rsidR="004B0C37" w:rsidRPr="002A71B9" w:rsidRDefault="004B0C37" w:rsidP="002A71B9">
            <w:pPr>
              <w:suppressAutoHyphens w:val="0"/>
              <w:spacing w:before="40" w:after="40" w:line="220" w:lineRule="exact"/>
              <w:ind w:right="113"/>
              <w:jc w:val="right"/>
              <w:rPr>
                <w:sz w:val="18"/>
                <w:lang w:val="en-US" w:bidi="ar-QA"/>
              </w:rPr>
            </w:pPr>
            <w:r w:rsidRPr="002A71B9">
              <w:rPr>
                <w:sz w:val="18"/>
                <w:lang w:val="en-US" w:bidi="ar-QA"/>
              </w:rPr>
              <w:t>89.4</w:t>
            </w:r>
          </w:p>
        </w:tc>
        <w:tc>
          <w:tcPr>
            <w:tcW w:w="1804" w:type="dxa"/>
            <w:shd w:val="clear" w:color="auto" w:fill="auto"/>
            <w:vAlign w:val="bottom"/>
          </w:tcPr>
          <w:p w:rsidR="004B0C37" w:rsidRPr="002A71B9" w:rsidRDefault="004B0C37" w:rsidP="002A71B9">
            <w:pPr>
              <w:suppressAutoHyphens w:val="0"/>
              <w:spacing w:before="40" w:after="40" w:line="220" w:lineRule="exact"/>
              <w:ind w:right="113"/>
              <w:jc w:val="right"/>
              <w:rPr>
                <w:sz w:val="18"/>
                <w:lang w:val="en-US" w:bidi="ar-QA"/>
              </w:rPr>
            </w:pPr>
            <w:r w:rsidRPr="002A71B9">
              <w:rPr>
                <w:sz w:val="18"/>
                <w:lang w:val="en-US" w:bidi="ar-QA"/>
              </w:rPr>
              <w:t>96.4</w:t>
            </w:r>
          </w:p>
        </w:tc>
      </w:tr>
      <w:tr w:rsidR="004B0C37" w:rsidRPr="002A71B9" w:rsidTr="002A71B9">
        <w:tc>
          <w:tcPr>
            <w:tcW w:w="1803" w:type="dxa"/>
            <w:shd w:val="clear" w:color="auto" w:fill="auto"/>
          </w:tcPr>
          <w:p w:rsidR="004B0C37" w:rsidRPr="002A71B9" w:rsidRDefault="004B0C37" w:rsidP="002A71B9">
            <w:pPr>
              <w:suppressAutoHyphens w:val="0"/>
              <w:spacing w:before="40" w:after="40" w:line="220" w:lineRule="exact"/>
              <w:ind w:right="113"/>
              <w:rPr>
                <w:sz w:val="18"/>
              </w:rPr>
            </w:pPr>
            <w:r w:rsidRPr="002A71B9">
              <w:rPr>
                <w:sz w:val="18"/>
              </w:rPr>
              <w:t>2012/2013</w:t>
            </w:r>
          </w:p>
        </w:tc>
        <w:tc>
          <w:tcPr>
            <w:tcW w:w="1803" w:type="dxa"/>
            <w:shd w:val="clear" w:color="auto" w:fill="auto"/>
            <w:vAlign w:val="bottom"/>
          </w:tcPr>
          <w:p w:rsidR="004B0C37" w:rsidRPr="002A71B9" w:rsidRDefault="004B0C37" w:rsidP="002A71B9">
            <w:pPr>
              <w:suppressAutoHyphens w:val="0"/>
              <w:spacing w:before="40" w:after="40" w:line="220" w:lineRule="exact"/>
              <w:ind w:right="113"/>
              <w:jc w:val="right"/>
              <w:rPr>
                <w:sz w:val="18"/>
                <w:lang w:val="en-US" w:bidi="ar-QA"/>
              </w:rPr>
            </w:pPr>
            <w:r w:rsidRPr="002A71B9">
              <w:rPr>
                <w:sz w:val="18"/>
                <w:lang w:val="en-US" w:bidi="ar-QA"/>
              </w:rPr>
              <w:t>98.0</w:t>
            </w:r>
          </w:p>
        </w:tc>
        <w:tc>
          <w:tcPr>
            <w:tcW w:w="1803" w:type="dxa"/>
            <w:shd w:val="clear" w:color="auto" w:fill="auto"/>
            <w:vAlign w:val="bottom"/>
          </w:tcPr>
          <w:p w:rsidR="004B0C37" w:rsidRPr="002A71B9" w:rsidRDefault="004B0C37" w:rsidP="002A71B9">
            <w:pPr>
              <w:suppressAutoHyphens w:val="0"/>
              <w:spacing w:before="40" w:after="40" w:line="220" w:lineRule="exact"/>
              <w:ind w:right="113"/>
              <w:jc w:val="right"/>
              <w:rPr>
                <w:sz w:val="18"/>
                <w:lang w:val="en-US" w:bidi="ar-QA"/>
              </w:rPr>
            </w:pPr>
            <w:r w:rsidRPr="002A71B9">
              <w:rPr>
                <w:sz w:val="18"/>
                <w:lang w:val="en-US" w:bidi="ar-QA"/>
              </w:rPr>
              <w:t>101.3</w:t>
            </w:r>
          </w:p>
        </w:tc>
        <w:tc>
          <w:tcPr>
            <w:tcW w:w="1803" w:type="dxa"/>
            <w:shd w:val="clear" w:color="auto" w:fill="auto"/>
            <w:vAlign w:val="bottom"/>
          </w:tcPr>
          <w:p w:rsidR="004B0C37" w:rsidRPr="002A71B9" w:rsidRDefault="004B0C37" w:rsidP="002A71B9">
            <w:pPr>
              <w:suppressAutoHyphens w:val="0"/>
              <w:spacing w:before="40" w:after="40" w:line="220" w:lineRule="exact"/>
              <w:ind w:right="113"/>
              <w:jc w:val="right"/>
              <w:rPr>
                <w:sz w:val="18"/>
                <w:lang w:val="en-US" w:bidi="ar-QA"/>
              </w:rPr>
            </w:pPr>
            <w:r w:rsidRPr="002A71B9">
              <w:rPr>
                <w:sz w:val="18"/>
                <w:lang w:val="en-US" w:bidi="ar-QA"/>
              </w:rPr>
              <w:t>89.9</w:t>
            </w:r>
          </w:p>
        </w:tc>
        <w:tc>
          <w:tcPr>
            <w:tcW w:w="1804" w:type="dxa"/>
            <w:shd w:val="clear" w:color="auto" w:fill="auto"/>
            <w:vAlign w:val="bottom"/>
          </w:tcPr>
          <w:p w:rsidR="004B0C37" w:rsidRPr="002A71B9" w:rsidRDefault="004B0C37" w:rsidP="002A71B9">
            <w:pPr>
              <w:suppressAutoHyphens w:val="0"/>
              <w:spacing w:before="40" w:after="40" w:line="220" w:lineRule="exact"/>
              <w:ind w:right="113"/>
              <w:jc w:val="right"/>
              <w:rPr>
                <w:sz w:val="18"/>
                <w:lang w:val="en-US" w:bidi="ar-QA"/>
              </w:rPr>
            </w:pPr>
            <w:r w:rsidRPr="002A71B9">
              <w:rPr>
                <w:sz w:val="18"/>
                <w:lang w:val="en-US" w:bidi="ar-QA"/>
              </w:rPr>
              <w:t>92.5</w:t>
            </w:r>
          </w:p>
        </w:tc>
      </w:tr>
      <w:tr w:rsidR="004B0C37" w:rsidRPr="002A71B9" w:rsidTr="002A71B9">
        <w:tc>
          <w:tcPr>
            <w:tcW w:w="1803" w:type="dxa"/>
            <w:shd w:val="clear" w:color="auto" w:fill="auto"/>
          </w:tcPr>
          <w:p w:rsidR="004B0C37" w:rsidRPr="002A71B9" w:rsidRDefault="004B0C37" w:rsidP="002A71B9">
            <w:pPr>
              <w:suppressAutoHyphens w:val="0"/>
              <w:spacing w:before="40" w:after="40" w:line="220" w:lineRule="exact"/>
              <w:ind w:right="113"/>
              <w:rPr>
                <w:sz w:val="18"/>
              </w:rPr>
            </w:pPr>
            <w:r w:rsidRPr="002A71B9">
              <w:rPr>
                <w:sz w:val="18"/>
              </w:rPr>
              <w:t>2013/2014</w:t>
            </w:r>
          </w:p>
        </w:tc>
        <w:tc>
          <w:tcPr>
            <w:tcW w:w="1803" w:type="dxa"/>
            <w:shd w:val="clear" w:color="auto" w:fill="auto"/>
            <w:vAlign w:val="bottom"/>
          </w:tcPr>
          <w:p w:rsidR="004B0C37" w:rsidRPr="002A71B9" w:rsidRDefault="004B0C37" w:rsidP="002A71B9">
            <w:pPr>
              <w:suppressAutoHyphens w:val="0"/>
              <w:spacing w:before="40" w:after="40" w:line="220" w:lineRule="exact"/>
              <w:ind w:right="113"/>
              <w:jc w:val="right"/>
              <w:rPr>
                <w:sz w:val="18"/>
                <w:lang w:val="en-US" w:bidi="ar-QA"/>
              </w:rPr>
            </w:pPr>
            <w:r w:rsidRPr="002A71B9">
              <w:rPr>
                <w:sz w:val="18"/>
                <w:lang w:val="en-US" w:bidi="ar-QA"/>
              </w:rPr>
              <w:t>100.8</w:t>
            </w:r>
          </w:p>
        </w:tc>
        <w:tc>
          <w:tcPr>
            <w:tcW w:w="1803" w:type="dxa"/>
            <w:shd w:val="clear" w:color="auto" w:fill="auto"/>
            <w:vAlign w:val="bottom"/>
          </w:tcPr>
          <w:p w:rsidR="004B0C37" w:rsidRPr="002A71B9" w:rsidRDefault="004B0C37" w:rsidP="002A71B9">
            <w:pPr>
              <w:suppressAutoHyphens w:val="0"/>
              <w:spacing w:before="40" w:after="40" w:line="220" w:lineRule="exact"/>
              <w:ind w:right="113"/>
              <w:jc w:val="right"/>
              <w:rPr>
                <w:sz w:val="18"/>
                <w:lang w:val="en-US" w:bidi="ar-QA"/>
              </w:rPr>
            </w:pPr>
            <w:r w:rsidRPr="002A71B9">
              <w:rPr>
                <w:sz w:val="18"/>
                <w:lang w:val="en-US" w:bidi="ar-QA"/>
              </w:rPr>
              <w:t>102.7</w:t>
            </w:r>
          </w:p>
        </w:tc>
        <w:tc>
          <w:tcPr>
            <w:tcW w:w="1803" w:type="dxa"/>
            <w:shd w:val="clear" w:color="auto" w:fill="auto"/>
            <w:vAlign w:val="bottom"/>
          </w:tcPr>
          <w:p w:rsidR="004B0C37" w:rsidRPr="002A71B9" w:rsidRDefault="004B0C37" w:rsidP="002A71B9">
            <w:pPr>
              <w:suppressAutoHyphens w:val="0"/>
              <w:spacing w:before="40" w:after="40" w:line="220" w:lineRule="exact"/>
              <w:ind w:right="113"/>
              <w:jc w:val="right"/>
              <w:rPr>
                <w:sz w:val="18"/>
                <w:lang w:val="en-US" w:bidi="ar-QA"/>
              </w:rPr>
            </w:pPr>
            <w:r w:rsidRPr="002A71B9">
              <w:rPr>
                <w:sz w:val="18"/>
                <w:lang w:val="en-US" w:bidi="ar-QA"/>
              </w:rPr>
              <w:t>91.9</w:t>
            </w:r>
          </w:p>
        </w:tc>
        <w:tc>
          <w:tcPr>
            <w:tcW w:w="1804" w:type="dxa"/>
            <w:shd w:val="clear" w:color="auto" w:fill="auto"/>
            <w:vAlign w:val="bottom"/>
          </w:tcPr>
          <w:p w:rsidR="004B0C37" w:rsidRPr="002A71B9" w:rsidRDefault="004B0C37" w:rsidP="002A71B9">
            <w:pPr>
              <w:suppressAutoHyphens w:val="0"/>
              <w:spacing w:before="40" w:after="40" w:line="220" w:lineRule="exact"/>
              <w:ind w:right="113"/>
              <w:jc w:val="right"/>
              <w:rPr>
                <w:sz w:val="18"/>
                <w:lang w:val="en-US" w:bidi="ar-QA"/>
              </w:rPr>
            </w:pPr>
            <w:r w:rsidRPr="002A71B9">
              <w:rPr>
                <w:sz w:val="18"/>
                <w:lang w:val="en-US" w:bidi="ar-QA"/>
              </w:rPr>
              <w:t>93.0</w:t>
            </w:r>
          </w:p>
        </w:tc>
      </w:tr>
      <w:tr w:rsidR="004B0C37" w:rsidRPr="002A71B9" w:rsidTr="002A71B9">
        <w:tc>
          <w:tcPr>
            <w:tcW w:w="1803" w:type="dxa"/>
            <w:shd w:val="clear" w:color="auto" w:fill="auto"/>
          </w:tcPr>
          <w:p w:rsidR="004B0C37" w:rsidRPr="002A71B9" w:rsidRDefault="004B0C37" w:rsidP="002A71B9">
            <w:pPr>
              <w:suppressAutoHyphens w:val="0"/>
              <w:spacing w:before="40" w:after="40" w:line="220" w:lineRule="exact"/>
              <w:ind w:right="113"/>
              <w:rPr>
                <w:sz w:val="18"/>
              </w:rPr>
            </w:pPr>
            <w:r w:rsidRPr="002A71B9">
              <w:rPr>
                <w:sz w:val="18"/>
              </w:rPr>
              <w:t>2014/2015</w:t>
            </w:r>
          </w:p>
        </w:tc>
        <w:tc>
          <w:tcPr>
            <w:tcW w:w="1803" w:type="dxa"/>
            <w:shd w:val="clear" w:color="auto" w:fill="auto"/>
            <w:vAlign w:val="bottom"/>
          </w:tcPr>
          <w:p w:rsidR="004B0C37" w:rsidRPr="002A71B9" w:rsidRDefault="004B0C37" w:rsidP="002A71B9">
            <w:pPr>
              <w:suppressAutoHyphens w:val="0"/>
              <w:spacing w:before="40" w:after="40" w:line="220" w:lineRule="exact"/>
              <w:ind w:right="113"/>
              <w:jc w:val="right"/>
              <w:rPr>
                <w:sz w:val="18"/>
                <w:lang w:val="en-US" w:bidi="ar-QA"/>
              </w:rPr>
            </w:pPr>
            <w:r w:rsidRPr="002A71B9">
              <w:rPr>
                <w:sz w:val="18"/>
                <w:lang w:val="en-US" w:bidi="ar-QA"/>
              </w:rPr>
              <w:t>102.5</w:t>
            </w:r>
          </w:p>
        </w:tc>
        <w:tc>
          <w:tcPr>
            <w:tcW w:w="1803" w:type="dxa"/>
            <w:shd w:val="clear" w:color="auto" w:fill="auto"/>
            <w:vAlign w:val="bottom"/>
          </w:tcPr>
          <w:p w:rsidR="004B0C37" w:rsidRPr="002A71B9" w:rsidRDefault="004B0C37" w:rsidP="002A71B9">
            <w:pPr>
              <w:suppressAutoHyphens w:val="0"/>
              <w:spacing w:before="40" w:after="40" w:line="220" w:lineRule="exact"/>
              <w:ind w:right="113"/>
              <w:jc w:val="right"/>
              <w:rPr>
                <w:sz w:val="18"/>
                <w:lang w:val="en-US" w:bidi="ar-QA"/>
              </w:rPr>
            </w:pPr>
            <w:r w:rsidRPr="002A71B9">
              <w:rPr>
                <w:sz w:val="18"/>
                <w:lang w:val="en-US" w:bidi="ar-QA"/>
              </w:rPr>
              <w:t>100.4</w:t>
            </w:r>
          </w:p>
        </w:tc>
        <w:tc>
          <w:tcPr>
            <w:tcW w:w="1803" w:type="dxa"/>
            <w:shd w:val="clear" w:color="auto" w:fill="auto"/>
            <w:vAlign w:val="bottom"/>
          </w:tcPr>
          <w:p w:rsidR="004B0C37" w:rsidRPr="002A71B9" w:rsidRDefault="004B0C37" w:rsidP="002A71B9">
            <w:pPr>
              <w:suppressAutoHyphens w:val="0"/>
              <w:spacing w:before="40" w:after="40" w:line="220" w:lineRule="exact"/>
              <w:ind w:right="113"/>
              <w:jc w:val="right"/>
              <w:rPr>
                <w:sz w:val="18"/>
                <w:lang w:val="en-US" w:bidi="ar-QA"/>
              </w:rPr>
            </w:pPr>
            <w:r w:rsidRPr="002A71B9">
              <w:rPr>
                <w:sz w:val="18"/>
                <w:lang w:val="en-US" w:bidi="ar-QA"/>
              </w:rPr>
              <w:t>92.9</w:t>
            </w:r>
          </w:p>
        </w:tc>
        <w:tc>
          <w:tcPr>
            <w:tcW w:w="1804" w:type="dxa"/>
            <w:shd w:val="clear" w:color="auto" w:fill="auto"/>
            <w:vAlign w:val="bottom"/>
          </w:tcPr>
          <w:p w:rsidR="004B0C37" w:rsidRPr="002A71B9" w:rsidRDefault="004B0C37" w:rsidP="002A71B9">
            <w:pPr>
              <w:suppressAutoHyphens w:val="0"/>
              <w:spacing w:before="40" w:after="40" w:line="220" w:lineRule="exact"/>
              <w:ind w:right="113"/>
              <w:jc w:val="right"/>
              <w:rPr>
                <w:sz w:val="18"/>
                <w:lang w:val="en-US" w:bidi="ar-QA"/>
              </w:rPr>
            </w:pPr>
            <w:r w:rsidRPr="002A71B9">
              <w:rPr>
                <w:sz w:val="18"/>
                <w:lang w:val="en-US" w:bidi="ar-QA"/>
              </w:rPr>
              <w:t>90.4</w:t>
            </w:r>
          </w:p>
        </w:tc>
      </w:tr>
      <w:tr w:rsidR="004B0C37" w:rsidRPr="002A71B9" w:rsidTr="002A71B9">
        <w:tc>
          <w:tcPr>
            <w:tcW w:w="1803" w:type="dxa"/>
            <w:shd w:val="clear" w:color="auto" w:fill="auto"/>
          </w:tcPr>
          <w:p w:rsidR="004B0C37" w:rsidRPr="002A71B9" w:rsidRDefault="004B0C37" w:rsidP="002A71B9">
            <w:pPr>
              <w:suppressAutoHyphens w:val="0"/>
              <w:spacing w:before="40" w:after="40" w:line="220" w:lineRule="exact"/>
              <w:ind w:right="113"/>
              <w:rPr>
                <w:sz w:val="18"/>
              </w:rPr>
            </w:pPr>
            <w:r w:rsidRPr="002A71B9">
              <w:rPr>
                <w:sz w:val="18"/>
              </w:rPr>
              <w:t>2015/2016</w:t>
            </w:r>
          </w:p>
        </w:tc>
        <w:tc>
          <w:tcPr>
            <w:tcW w:w="1803" w:type="dxa"/>
            <w:shd w:val="clear" w:color="auto" w:fill="auto"/>
            <w:vAlign w:val="bottom"/>
          </w:tcPr>
          <w:p w:rsidR="004B0C37" w:rsidRPr="002A71B9" w:rsidRDefault="004B0C37" w:rsidP="002A71B9">
            <w:pPr>
              <w:suppressAutoHyphens w:val="0"/>
              <w:spacing w:before="40" w:after="40" w:line="220" w:lineRule="exact"/>
              <w:ind w:right="113"/>
              <w:jc w:val="right"/>
              <w:rPr>
                <w:sz w:val="18"/>
                <w:lang w:val="en-US" w:bidi="ar-QA"/>
              </w:rPr>
            </w:pPr>
            <w:r w:rsidRPr="002A71B9">
              <w:rPr>
                <w:sz w:val="18"/>
                <w:lang w:val="en-US" w:bidi="ar-QA"/>
              </w:rPr>
              <w:t>103.3</w:t>
            </w:r>
          </w:p>
        </w:tc>
        <w:tc>
          <w:tcPr>
            <w:tcW w:w="1803" w:type="dxa"/>
            <w:shd w:val="clear" w:color="auto" w:fill="auto"/>
            <w:vAlign w:val="bottom"/>
          </w:tcPr>
          <w:p w:rsidR="004B0C37" w:rsidRPr="002A71B9" w:rsidRDefault="004B0C37" w:rsidP="002A71B9">
            <w:pPr>
              <w:suppressAutoHyphens w:val="0"/>
              <w:spacing w:before="40" w:after="40" w:line="220" w:lineRule="exact"/>
              <w:ind w:right="113"/>
              <w:jc w:val="right"/>
              <w:rPr>
                <w:sz w:val="18"/>
                <w:lang w:val="en-US" w:bidi="ar-QA"/>
              </w:rPr>
            </w:pPr>
            <w:r w:rsidRPr="002A71B9">
              <w:rPr>
                <w:sz w:val="18"/>
                <w:lang w:val="en-US" w:bidi="ar-QA"/>
              </w:rPr>
              <w:t>103.9</w:t>
            </w:r>
          </w:p>
        </w:tc>
        <w:tc>
          <w:tcPr>
            <w:tcW w:w="1803" w:type="dxa"/>
            <w:shd w:val="clear" w:color="auto" w:fill="auto"/>
            <w:vAlign w:val="bottom"/>
          </w:tcPr>
          <w:p w:rsidR="004B0C37" w:rsidRPr="002A71B9" w:rsidRDefault="004B0C37" w:rsidP="002A71B9">
            <w:pPr>
              <w:suppressAutoHyphens w:val="0"/>
              <w:spacing w:before="40" w:after="40" w:line="220" w:lineRule="exact"/>
              <w:ind w:right="113"/>
              <w:jc w:val="right"/>
              <w:rPr>
                <w:sz w:val="18"/>
                <w:rtl/>
                <w:lang w:val="fr-FR" w:bidi="ar-QA"/>
              </w:rPr>
            </w:pPr>
            <w:r w:rsidRPr="002A71B9">
              <w:rPr>
                <w:sz w:val="18"/>
                <w:lang w:val="en-US" w:bidi="ar-QA"/>
              </w:rPr>
              <w:t>93.7</w:t>
            </w:r>
          </w:p>
        </w:tc>
        <w:tc>
          <w:tcPr>
            <w:tcW w:w="1804" w:type="dxa"/>
            <w:shd w:val="clear" w:color="auto" w:fill="auto"/>
            <w:vAlign w:val="bottom"/>
          </w:tcPr>
          <w:p w:rsidR="004B0C37" w:rsidRPr="002A71B9" w:rsidRDefault="004B0C37" w:rsidP="002A71B9">
            <w:pPr>
              <w:suppressAutoHyphens w:val="0"/>
              <w:spacing w:before="40" w:after="40" w:line="220" w:lineRule="exact"/>
              <w:ind w:right="113"/>
              <w:jc w:val="right"/>
              <w:rPr>
                <w:sz w:val="18"/>
                <w:rtl/>
                <w:lang w:val="fr-FR" w:bidi="ar-QA"/>
              </w:rPr>
            </w:pPr>
            <w:r w:rsidRPr="002A71B9">
              <w:rPr>
                <w:sz w:val="18"/>
                <w:lang w:val="en-US" w:bidi="ar-QA"/>
              </w:rPr>
              <w:t>94.1</w:t>
            </w:r>
          </w:p>
        </w:tc>
      </w:tr>
      <w:tr w:rsidR="004B0C37" w:rsidRPr="002A71B9" w:rsidTr="002A71B9">
        <w:tc>
          <w:tcPr>
            <w:tcW w:w="1803" w:type="dxa"/>
            <w:shd w:val="clear" w:color="auto" w:fill="auto"/>
          </w:tcPr>
          <w:p w:rsidR="004B0C37" w:rsidRPr="002A71B9" w:rsidRDefault="004B0C37" w:rsidP="002A71B9">
            <w:pPr>
              <w:suppressAutoHyphens w:val="0"/>
              <w:spacing w:before="40" w:after="40" w:line="220" w:lineRule="exact"/>
              <w:ind w:right="113"/>
              <w:rPr>
                <w:sz w:val="18"/>
              </w:rPr>
            </w:pPr>
            <w:r w:rsidRPr="002A71B9">
              <w:rPr>
                <w:sz w:val="18"/>
              </w:rPr>
              <w:t>2016/2017</w:t>
            </w:r>
          </w:p>
        </w:tc>
        <w:tc>
          <w:tcPr>
            <w:tcW w:w="1803" w:type="dxa"/>
            <w:shd w:val="clear" w:color="auto" w:fill="auto"/>
            <w:vAlign w:val="bottom"/>
          </w:tcPr>
          <w:p w:rsidR="004B0C37" w:rsidRPr="002A71B9" w:rsidRDefault="004B0C37" w:rsidP="002A71B9">
            <w:pPr>
              <w:suppressAutoHyphens w:val="0"/>
              <w:spacing w:before="40" w:after="40" w:line="220" w:lineRule="exact"/>
              <w:ind w:right="113"/>
              <w:jc w:val="right"/>
              <w:rPr>
                <w:sz w:val="18"/>
                <w:lang w:val="en-US" w:bidi="ar-QA"/>
              </w:rPr>
            </w:pPr>
            <w:r w:rsidRPr="002A71B9">
              <w:rPr>
                <w:sz w:val="18"/>
                <w:lang w:val="en-US" w:bidi="ar-QA"/>
              </w:rPr>
              <w:t>102.1</w:t>
            </w:r>
          </w:p>
        </w:tc>
        <w:tc>
          <w:tcPr>
            <w:tcW w:w="1803" w:type="dxa"/>
            <w:shd w:val="clear" w:color="auto" w:fill="auto"/>
            <w:vAlign w:val="bottom"/>
          </w:tcPr>
          <w:p w:rsidR="004B0C37" w:rsidRPr="002A71B9" w:rsidRDefault="004B0C37" w:rsidP="002A71B9">
            <w:pPr>
              <w:suppressAutoHyphens w:val="0"/>
              <w:spacing w:before="40" w:after="40" w:line="220" w:lineRule="exact"/>
              <w:ind w:right="113"/>
              <w:jc w:val="right"/>
              <w:rPr>
                <w:sz w:val="18"/>
                <w:lang w:val="en-US" w:bidi="ar-QA"/>
              </w:rPr>
            </w:pPr>
            <w:r w:rsidRPr="002A71B9">
              <w:rPr>
                <w:sz w:val="18"/>
                <w:lang w:val="en-US" w:bidi="ar-QA"/>
              </w:rPr>
              <w:t>108.0</w:t>
            </w:r>
          </w:p>
        </w:tc>
        <w:tc>
          <w:tcPr>
            <w:tcW w:w="1803" w:type="dxa"/>
            <w:shd w:val="clear" w:color="auto" w:fill="auto"/>
            <w:vAlign w:val="bottom"/>
          </w:tcPr>
          <w:p w:rsidR="004B0C37" w:rsidRPr="002A71B9" w:rsidRDefault="004B0C37" w:rsidP="002A71B9">
            <w:pPr>
              <w:suppressAutoHyphens w:val="0"/>
              <w:spacing w:before="40" w:after="40" w:line="220" w:lineRule="exact"/>
              <w:ind w:right="113"/>
              <w:jc w:val="right"/>
              <w:rPr>
                <w:sz w:val="18"/>
                <w:rtl/>
                <w:lang w:val="fr-FR" w:bidi="ar-QA"/>
              </w:rPr>
            </w:pPr>
            <w:r w:rsidRPr="002A71B9">
              <w:rPr>
                <w:sz w:val="18"/>
                <w:lang w:val="en-US" w:bidi="ar-QA"/>
              </w:rPr>
              <w:t>92.7</w:t>
            </w:r>
          </w:p>
        </w:tc>
        <w:tc>
          <w:tcPr>
            <w:tcW w:w="1804" w:type="dxa"/>
            <w:shd w:val="clear" w:color="auto" w:fill="auto"/>
            <w:vAlign w:val="bottom"/>
          </w:tcPr>
          <w:p w:rsidR="004B0C37" w:rsidRPr="002A71B9" w:rsidRDefault="004B0C37" w:rsidP="002A71B9">
            <w:pPr>
              <w:suppressAutoHyphens w:val="0"/>
              <w:spacing w:before="40" w:after="40" w:line="220" w:lineRule="exact"/>
              <w:ind w:right="113"/>
              <w:jc w:val="right"/>
              <w:rPr>
                <w:sz w:val="18"/>
                <w:rtl/>
                <w:lang w:val="fr-FR" w:bidi="ar-QA"/>
              </w:rPr>
            </w:pPr>
            <w:r w:rsidRPr="002A71B9">
              <w:rPr>
                <w:sz w:val="18"/>
                <w:lang w:val="en-US" w:bidi="ar-QA"/>
              </w:rPr>
              <w:t>98.1</w:t>
            </w:r>
          </w:p>
        </w:tc>
      </w:tr>
    </w:tbl>
    <w:p w:rsidR="004B0C37" w:rsidRPr="00FF3EE7" w:rsidRDefault="004B0C37" w:rsidP="00FF3EE7">
      <w:pPr>
        <w:spacing w:before="120"/>
        <w:ind w:left="1134" w:right="1134" w:firstLine="170"/>
        <w:rPr>
          <w:sz w:val="18"/>
        </w:rPr>
      </w:pPr>
      <w:r w:rsidRPr="00FF3EE7">
        <w:rPr>
          <w:i/>
          <w:iCs/>
          <w:sz w:val="18"/>
        </w:rPr>
        <w:t>Source:</w:t>
      </w:r>
      <w:r w:rsidRPr="00FF3EE7">
        <w:rPr>
          <w:sz w:val="18"/>
        </w:rPr>
        <w:t xml:space="preserve"> </w:t>
      </w:r>
      <w:r w:rsidR="00FF3EE7">
        <w:rPr>
          <w:sz w:val="18"/>
        </w:rPr>
        <w:t xml:space="preserve"> </w:t>
      </w:r>
      <w:r w:rsidRPr="00FF3EE7">
        <w:rPr>
          <w:sz w:val="18"/>
        </w:rPr>
        <w:t>Ministry of Development Planning and Statistics: Education in the State of Qatar, Statistical overview (2017);</w:t>
      </w:r>
    </w:p>
    <w:p w:rsidR="0060531D" w:rsidRPr="00EF19BA" w:rsidRDefault="004B0C37" w:rsidP="00680CF0">
      <w:pPr>
        <w:ind w:left="1134" w:right="1134" w:firstLine="170"/>
        <w:rPr>
          <w:sz w:val="18"/>
        </w:rPr>
      </w:pPr>
      <w:r w:rsidRPr="00EF19BA">
        <w:rPr>
          <w:i/>
          <w:iCs/>
          <w:sz w:val="18"/>
        </w:rPr>
        <w:t>Source:</w:t>
      </w:r>
      <w:r w:rsidRPr="00EF19BA">
        <w:rPr>
          <w:sz w:val="18"/>
        </w:rPr>
        <w:t xml:space="preserve"> </w:t>
      </w:r>
      <w:r w:rsidR="00EF19BA">
        <w:rPr>
          <w:sz w:val="18"/>
        </w:rPr>
        <w:t xml:space="preserve"> </w:t>
      </w:r>
      <w:r w:rsidRPr="00EF19BA">
        <w:rPr>
          <w:sz w:val="18"/>
        </w:rPr>
        <w:t>Ministry of Development Planning and Statistics, Education statistics</w:t>
      </w:r>
      <w:r w:rsidR="00680CF0">
        <w:rPr>
          <w:sz w:val="18"/>
        </w:rPr>
        <w:t xml:space="preserve"> 2015/2016–2016–</w:t>
      </w:r>
      <w:r w:rsidRPr="00EF19BA">
        <w:rPr>
          <w:sz w:val="18"/>
        </w:rPr>
        <w:t>2017</w:t>
      </w:r>
      <w:r w:rsidR="00EF19BA">
        <w:rPr>
          <w:sz w:val="18"/>
        </w:rPr>
        <w:t>.</w:t>
      </w:r>
    </w:p>
    <w:p w:rsidR="0060531D" w:rsidRDefault="004B0C37" w:rsidP="00CB7DC2">
      <w:pPr>
        <w:pStyle w:val="SingleTxtG"/>
      </w:pPr>
      <w:r w:rsidRPr="0034732A">
        <w:lastRenderedPageBreak/>
        <w:t>26</w:t>
      </w:r>
      <w:r w:rsidR="00276B1C">
        <w:t>.</w:t>
      </w:r>
      <w:r w:rsidR="00276B1C">
        <w:tab/>
      </w:r>
      <w:r w:rsidRPr="0034732A">
        <w:t>The number of teachers at preparatory level rose from 4,392 in school year 2010/2011 to 4,902 in school year 2015/2016.</w:t>
      </w:r>
      <w:r w:rsidR="007F4A3A">
        <w:t xml:space="preserve"> </w:t>
      </w:r>
      <w:r w:rsidRPr="0034732A">
        <w:t>Of these, 14 per cent were Qatari and 86 per cent non-Qatari.</w:t>
      </w:r>
      <w:r w:rsidR="007F4A3A">
        <w:t xml:space="preserve"> </w:t>
      </w:r>
      <w:r w:rsidRPr="0034732A">
        <w:t>In school year 2015/2016, some 1</w:t>
      </w:r>
      <w:r>
        <w:t>,</w:t>
      </w:r>
      <w:r w:rsidRPr="0034732A">
        <w:t>691 male and female teachers were working in boys</w:t>
      </w:r>
      <w:r w:rsidR="009D1BD8">
        <w:t>’</w:t>
      </w:r>
      <w:r w:rsidRPr="0034732A">
        <w:t xml:space="preserve"> schools, 1,652 in girls</w:t>
      </w:r>
      <w:r w:rsidR="009D1BD8">
        <w:t>’</w:t>
      </w:r>
      <w:r w:rsidRPr="0034732A">
        <w:t xml:space="preserve"> schools and 1,559 in mixed schools.</w:t>
      </w:r>
    </w:p>
    <w:p w:rsidR="0060531D" w:rsidRDefault="005763BA" w:rsidP="005763BA">
      <w:pPr>
        <w:pStyle w:val="H23G"/>
      </w:pPr>
      <w:r>
        <w:tab/>
      </w:r>
      <w:r>
        <w:tab/>
      </w:r>
      <w:r w:rsidR="004B0C37" w:rsidRPr="0034732A">
        <w:t>Gross and net enrolment rates</w:t>
      </w:r>
    </w:p>
    <w:p w:rsidR="0060531D" w:rsidRDefault="004B0C37" w:rsidP="00CB7DC2">
      <w:pPr>
        <w:pStyle w:val="SingleTxtG"/>
      </w:pPr>
      <w:r w:rsidRPr="0034732A">
        <w:t>27</w:t>
      </w:r>
      <w:r w:rsidR="00276B1C">
        <w:t>.</w:t>
      </w:r>
      <w:r w:rsidR="00276B1C">
        <w:tab/>
      </w:r>
      <w:r w:rsidRPr="0034732A">
        <w:t>The gross enrolment rate at preparatory level in school year 2016/17 was 104.1 for males and 102.6 for females; the parity index stood at 103.4 per cent in the same year.</w:t>
      </w:r>
      <w:r w:rsidR="007F4A3A">
        <w:t xml:space="preserve"> </w:t>
      </w:r>
      <w:r w:rsidRPr="0034732A">
        <w:t>The net enrolment rate in school year 2016/17 was 84.8 for males and 84.8 for females; the parity index stood at 100 per cent in the same year.</w:t>
      </w:r>
    </w:p>
    <w:p w:rsidR="004B0C37" w:rsidRPr="00985B0B" w:rsidRDefault="004B0C37" w:rsidP="00985B0B">
      <w:pPr>
        <w:pStyle w:val="Heading1"/>
        <w:spacing w:after="120"/>
        <w:rPr>
          <w:b/>
          <w:bCs/>
        </w:rPr>
      </w:pPr>
      <w:r w:rsidRPr="0034732A">
        <w:t>Table 11</w:t>
      </w:r>
      <w:r w:rsidR="00985B0B">
        <w:br/>
      </w:r>
      <w:r w:rsidRPr="00985B0B">
        <w:rPr>
          <w:b/>
          <w:bCs/>
        </w:rPr>
        <w:t>Gross and net enrolment at preparatory level by gender (2011/12</w:t>
      </w:r>
      <w:r w:rsidR="00985B0B">
        <w:rPr>
          <w:b/>
          <w:bCs/>
        </w:rPr>
        <w:t>–</w:t>
      </w:r>
      <w:r w:rsidRPr="00985B0B">
        <w:rPr>
          <w:b/>
          <w:bCs/>
        </w:rPr>
        <w:t>2016/17)</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72"/>
        <w:gridCol w:w="1472"/>
        <w:gridCol w:w="1477"/>
        <w:gridCol w:w="1477"/>
        <w:gridCol w:w="1472"/>
      </w:tblGrid>
      <w:tr w:rsidR="005A59CB" w:rsidRPr="007E7C1A" w:rsidTr="005A59CB">
        <w:trPr>
          <w:tblHeader/>
        </w:trPr>
        <w:tc>
          <w:tcPr>
            <w:tcW w:w="1803" w:type="dxa"/>
            <w:vMerge w:val="restart"/>
            <w:tcBorders>
              <w:top w:val="single" w:sz="4" w:space="0" w:color="auto"/>
              <w:bottom w:val="single" w:sz="12" w:space="0" w:color="auto"/>
            </w:tcBorders>
            <w:shd w:val="clear" w:color="auto" w:fill="auto"/>
            <w:vAlign w:val="bottom"/>
          </w:tcPr>
          <w:p w:rsidR="004B0C37" w:rsidRPr="007E7C1A" w:rsidRDefault="004B0C37" w:rsidP="007E7C1A">
            <w:pPr>
              <w:suppressAutoHyphens w:val="0"/>
              <w:spacing w:before="80" w:after="80" w:line="200" w:lineRule="exact"/>
              <w:ind w:right="113"/>
              <w:rPr>
                <w:i/>
                <w:sz w:val="16"/>
              </w:rPr>
            </w:pPr>
            <w:r w:rsidRPr="007E7C1A">
              <w:rPr>
                <w:i/>
                <w:sz w:val="16"/>
              </w:rPr>
              <w:t>Year</w:t>
            </w:r>
          </w:p>
        </w:tc>
        <w:tc>
          <w:tcPr>
            <w:tcW w:w="3606" w:type="dxa"/>
            <w:gridSpan w:val="2"/>
            <w:tcBorders>
              <w:top w:val="single" w:sz="4" w:space="0" w:color="auto"/>
              <w:bottom w:val="single" w:sz="4" w:space="0" w:color="auto"/>
              <w:right w:val="single" w:sz="24" w:space="0" w:color="FFFFFF" w:themeColor="background1"/>
            </w:tcBorders>
            <w:shd w:val="clear" w:color="auto" w:fill="auto"/>
            <w:vAlign w:val="bottom"/>
          </w:tcPr>
          <w:p w:rsidR="004B0C37" w:rsidRPr="007E7C1A" w:rsidRDefault="004B0C37" w:rsidP="00002D52">
            <w:pPr>
              <w:suppressAutoHyphens w:val="0"/>
              <w:spacing w:before="80" w:after="80" w:line="200" w:lineRule="exact"/>
              <w:ind w:right="113"/>
              <w:jc w:val="center"/>
              <w:rPr>
                <w:i/>
                <w:sz w:val="16"/>
              </w:rPr>
            </w:pPr>
            <w:r w:rsidRPr="007E7C1A">
              <w:rPr>
                <w:i/>
                <w:sz w:val="16"/>
              </w:rPr>
              <w:t>Rate of gross enrolment</w:t>
            </w:r>
          </w:p>
        </w:tc>
        <w:tc>
          <w:tcPr>
            <w:tcW w:w="3607" w:type="dxa"/>
            <w:gridSpan w:val="2"/>
            <w:tcBorders>
              <w:top w:val="single" w:sz="4" w:space="0" w:color="auto"/>
              <w:left w:val="single" w:sz="24" w:space="0" w:color="FFFFFF" w:themeColor="background1"/>
              <w:bottom w:val="single" w:sz="4" w:space="0" w:color="auto"/>
            </w:tcBorders>
            <w:shd w:val="clear" w:color="auto" w:fill="auto"/>
            <w:vAlign w:val="bottom"/>
          </w:tcPr>
          <w:p w:rsidR="004B0C37" w:rsidRPr="007E7C1A" w:rsidRDefault="004B0C37" w:rsidP="00002D52">
            <w:pPr>
              <w:suppressAutoHyphens w:val="0"/>
              <w:spacing w:before="80" w:after="80" w:line="200" w:lineRule="exact"/>
              <w:ind w:right="113"/>
              <w:jc w:val="center"/>
              <w:rPr>
                <w:i/>
                <w:sz w:val="16"/>
              </w:rPr>
            </w:pPr>
            <w:r w:rsidRPr="007E7C1A">
              <w:rPr>
                <w:i/>
                <w:sz w:val="16"/>
              </w:rPr>
              <w:t>Rate of net enrolment</w:t>
            </w:r>
          </w:p>
        </w:tc>
      </w:tr>
      <w:tr w:rsidR="005A59CB" w:rsidRPr="007E7C1A" w:rsidTr="005A59CB">
        <w:trPr>
          <w:tblHeader/>
        </w:trPr>
        <w:tc>
          <w:tcPr>
            <w:tcW w:w="1803" w:type="dxa"/>
            <w:vMerge/>
            <w:tcBorders>
              <w:top w:val="single" w:sz="12" w:space="0" w:color="auto"/>
              <w:bottom w:val="single" w:sz="12" w:space="0" w:color="auto"/>
            </w:tcBorders>
            <w:shd w:val="clear" w:color="auto" w:fill="auto"/>
            <w:vAlign w:val="bottom"/>
          </w:tcPr>
          <w:p w:rsidR="004B0C37" w:rsidRPr="007E7C1A" w:rsidRDefault="004B0C37" w:rsidP="007E7C1A">
            <w:pPr>
              <w:suppressAutoHyphens w:val="0"/>
              <w:spacing w:before="40" w:after="40" w:line="220" w:lineRule="exact"/>
              <w:ind w:right="113"/>
              <w:rPr>
                <w:sz w:val="18"/>
              </w:rPr>
            </w:pPr>
          </w:p>
        </w:tc>
        <w:tc>
          <w:tcPr>
            <w:tcW w:w="1803" w:type="dxa"/>
            <w:tcBorders>
              <w:top w:val="single" w:sz="4" w:space="0" w:color="auto"/>
              <w:bottom w:val="single" w:sz="12" w:space="0" w:color="auto"/>
            </w:tcBorders>
            <w:shd w:val="clear" w:color="auto" w:fill="auto"/>
            <w:vAlign w:val="bottom"/>
          </w:tcPr>
          <w:p w:rsidR="004B0C37" w:rsidRPr="00002D52" w:rsidRDefault="004B0C37" w:rsidP="00002D52">
            <w:pPr>
              <w:suppressAutoHyphens w:val="0"/>
              <w:spacing w:before="80" w:after="80" w:line="200" w:lineRule="exact"/>
              <w:ind w:right="113"/>
              <w:jc w:val="right"/>
              <w:rPr>
                <w:i/>
                <w:sz w:val="16"/>
              </w:rPr>
            </w:pPr>
            <w:r w:rsidRPr="00002D52">
              <w:rPr>
                <w:i/>
                <w:sz w:val="16"/>
              </w:rPr>
              <w:t>Qatari</w:t>
            </w:r>
          </w:p>
        </w:tc>
        <w:tc>
          <w:tcPr>
            <w:tcW w:w="1803" w:type="dxa"/>
            <w:tcBorders>
              <w:top w:val="single" w:sz="4" w:space="0" w:color="auto"/>
              <w:bottom w:val="single" w:sz="12" w:space="0" w:color="auto"/>
              <w:right w:val="single" w:sz="24" w:space="0" w:color="FFFFFF" w:themeColor="background1"/>
            </w:tcBorders>
            <w:shd w:val="clear" w:color="auto" w:fill="auto"/>
            <w:vAlign w:val="bottom"/>
          </w:tcPr>
          <w:p w:rsidR="004B0C37" w:rsidRPr="00002D52" w:rsidRDefault="004B0C37" w:rsidP="00002D52">
            <w:pPr>
              <w:suppressAutoHyphens w:val="0"/>
              <w:spacing w:before="80" w:after="80" w:line="200" w:lineRule="exact"/>
              <w:ind w:right="113"/>
              <w:jc w:val="right"/>
              <w:rPr>
                <w:i/>
                <w:sz w:val="16"/>
              </w:rPr>
            </w:pPr>
            <w:r w:rsidRPr="00002D52">
              <w:rPr>
                <w:i/>
                <w:sz w:val="16"/>
              </w:rPr>
              <w:t>Non-Qatari</w:t>
            </w:r>
          </w:p>
        </w:tc>
        <w:tc>
          <w:tcPr>
            <w:tcW w:w="1803" w:type="dxa"/>
            <w:tcBorders>
              <w:top w:val="single" w:sz="4" w:space="0" w:color="auto"/>
              <w:left w:val="single" w:sz="24" w:space="0" w:color="FFFFFF" w:themeColor="background1"/>
              <w:bottom w:val="single" w:sz="12" w:space="0" w:color="auto"/>
            </w:tcBorders>
            <w:shd w:val="clear" w:color="auto" w:fill="auto"/>
            <w:vAlign w:val="bottom"/>
          </w:tcPr>
          <w:p w:rsidR="004B0C37" w:rsidRPr="00002D52" w:rsidRDefault="004B0C37" w:rsidP="00002D52">
            <w:pPr>
              <w:suppressAutoHyphens w:val="0"/>
              <w:spacing w:before="80" w:after="80" w:line="200" w:lineRule="exact"/>
              <w:ind w:right="113"/>
              <w:jc w:val="right"/>
              <w:rPr>
                <w:i/>
                <w:sz w:val="16"/>
              </w:rPr>
            </w:pPr>
            <w:r w:rsidRPr="00002D52">
              <w:rPr>
                <w:i/>
                <w:sz w:val="16"/>
              </w:rPr>
              <w:t>Qatari</w:t>
            </w:r>
          </w:p>
        </w:tc>
        <w:tc>
          <w:tcPr>
            <w:tcW w:w="1804" w:type="dxa"/>
            <w:tcBorders>
              <w:top w:val="single" w:sz="4" w:space="0" w:color="auto"/>
              <w:bottom w:val="single" w:sz="12" w:space="0" w:color="auto"/>
            </w:tcBorders>
            <w:shd w:val="clear" w:color="auto" w:fill="auto"/>
            <w:vAlign w:val="bottom"/>
          </w:tcPr>
          <w:p w:rsidR="004B0C37" w:rsidRPr="00002D52" w:rsidRDefault="004B0C37" w:rsidP="00002D52">
            <w:pPr>
              <w:suppressAutoHyphens w:val="0"/>
              <w:spacing w:before="80" w:after="80" w:line="200" w:lineRule="exact"/>
              <w:ind w:right="113"/>
              <w:jc w:val="right"/>
              <w:rPr>
                <w:i/>
                <w:sz w:val="16"/>
              </w:rPr>
            </w:pPr>
            <w:r w:rsidRPr="00002D52">
              <w:rPr>
                <w:i/>
                <w:sz w:val="16"/>
              </w:rPr>
              <w:t>Non-Qatari</w:t>
            </w:r>
          </w:p>
        </w:tc>
      </w:tr>
      <w:tr w:rsidR="004B0C37" w:rsidRPr="007E7C1A" w:rsidTr="005A59CB">
        <w:tc>
          <w:tcPr>
            <w:tcW w:w="1803" w:type="dxa"/>
            <w:tcBorders>
              <w:top w:val="single" w:sz="12" w:space="0" w:color="auto"/>
            </w:tcBorders>
            <w:shd w:val="clear" w:color="auto" w:fill="auto"/>
          </w:tcPr>
          <w:p w:rsidR="004B0C37" w:rsidRPr="007E7C1A" w:rsidRDefault="004B0C37" w:rsidP="007E7C1A">
            <w:pPr>
              <w:suppressAutoHyphens w:val="0"/>
              <w:spacing w:before="40" w:after="40" w:line="220" w:lineRule="exact"/>
              <w:ind w:right="113"/>
              <w:rPr>
                <w:sz w:val="18"/>
              </w:rPr>
            </w:pPr>
            <w:r w:rsidRPr="007E7C1A">
              <w:rPr>
                <w:sz w:val="18"/>
              </w:rPr>
              <w:t>2010/2011</w:t>
            </w:r>
          </w:p>
        </w:tc>
        <w:tc>
          <w:tcPr>
            <w:tcW w:w="1803" w:type="dxa"/>
            <w:tcBorders>
              <w:top w:val="single" w:sz="12" w:space="0" w:color="auto"/>
            </w:tcBorders>
            <w:shd w:val="clear" w:color="auto" w:fill="auto"/>
            <w:vAlign w:val="bottom"/>
          </w:tcPr>
          <w:p w:rsidR="004B0C37" w:rsidRPr="007E7C1A" w:rsidRDefault="004B0C37" w:rsidP="007E7C1A">
            <w:pPr>
              <w:suppressAutoHyphens w:val="0"/>
              <w:spacing w:before="40" w:after="40" w:line="220" w:lineRule="exact"/>
              <w:ind w:right="113"/>
              <w:jc w:val="right"/>
              <w:rPr>
                <w:sz w:val="18"/>
                <w:lang w:val="en-US" w:bidi="ar-QA"/>
              </w:rPr>
            </w:pPr>
            <w:r w:rsidRPr="007E7C1A">
              <w:rPr>
                <w:sz w:val="18"/>
                <w:lang w:val="en-US" w:bidi="ar-QA"/>
              </w:rPr>
              <w:t>96.0</w:t>
            </w:r>
          </w:p>
        </w:tc>
        <w:tc>
          <w:tcPr>
            <w:tcW w:w="1803" w:type="dxa"/>
            <w:tcBorders>
              <w:top w:val="single" w:sz="12" w:space="0" w:color="auto"/>
            </w:tcBorders>
            <w:shd w:val="clear" w:color="auto" w:fill="auto"/>
            <w:vAlign w:val="bottom"/>
          </w:tcPr>
          <w:p w:rsidR="004B0C37" w:rsidRPr="007E7C1A" w:rsidRDefault="004B0C37" w:rsidP="007E7C1A">
            <w:pPr>
              <w:suppressAutoHyphens w:val="0"/>
              <w:spacing w:before="40" w:after="40" w:line="220" w:lineRule="exact"/>
              <w:ind w:right="113"/>
              <w:jc w:val="right"/>
              <w:rPr>
                <w:sz w:val="18"/>
                <w:lang w:val="en-US" w:bidi="ar-QA"/>
              </w:rPr>
            </w:pPr>
            <w:r w:rsidRPr="007E7C1A">
              <w:rPr>
                <w:sz w:val="18"/>
                <w:lang w:val="en-US" w:bidi="ar-QA"/>
              </w:rPr>
              <w:t>99.4</w:t>
            </w:r>
          </w:p>
        </w:tc>
        <w:tc>
          <w:tcPr>
            <w:tcW w:w="1803" w:type="dxa"/>
            <w:tcBorders>
              <w:top w:val="single" w:sz="12" w:space="0" w:color="auto"/>
            </w:tcBorders>
            <w:shd w:val="clear" w:color="auto" w:fill="auto"/>
            <w:vAlign w:val="bottom"/>
          </w:tcPr>
          <w:p w:rsidR="004B0C37" w:rsidRPr="007E7C1A" w:rsidRDefault="004B0C37" w:rsidP="007E7C1A">
            <w:pPr>
              <w:suppressAutoHyphens w:val="0"/>
              <w:spacing w:before="40" w:after="40" w:line="220" w:lineRule="exact"/>
              <w:ind w:right="113"/>
              <w:jc w:val="right"/>
              <w:rPr>
                <w:sz w:val="18"/>
                <w:lang w:val="en-US" w:bidi="ar-QA"/>
              </w:rPr>
            </w:pPr>
            <w:r w:rsidRPr="007E7C1A">
              <w:rPr>
                <w:sz w:val="18"/>
                <w:lang w:val="en-US" w:bidi="ar-QA"/>
              </w:rPr>
              <w:t>77.8</w:t>
            </w:r>
          </w:p>
        </w:tc>
        <w:tc>
          <w:tcPr>
            <w:tcW w:w="1804" w:type="dxa"/>
            <w:tcBorders>
              <w:top w:val="single" w:sz="12" w:space="0" w:color="auto"/>
            </w:tcBorders>
            <w:shd w:val="clear" w:color="auto" w:fill="auto"/>
            <w:vAlign w:val="bottom"/>
          </w:tcPr>
          <w:p w:rsidR="004B0C37" w:rsidRPr="007E7C1A" w:rsidRDefault="004B0C37" w:rsidP="007E7C1A">
            <w:pPr>
              <w:suppressAutoHyphens w:val="0"/>
              <w:spacing w:before="40" w:after="40" w:line="220" w:lineRule="exact"/>
              <w:ind w:right="113"/>
              <w:jc w:val="right"/>
              <w:rPr>
                <w:sz w:val="18"/>
                <w:lang w:val="en-US" w:bidi="ar-QA"/>
              </w:rPr>
            </w:pPr>
            <w:r w:rsidRPr="007E7C1A">
              <w:rPr>
                <w:sz w:val="18"/>
                <w:lang w:val="en-US" w:bidi="ar-QA"/>
              </w:rPr>
              <w:t>82.0</w:t>
            </w:r>
          </w:p>
        </w:tc>
      </w:tr>
      <w:tr w:rsidR="004B0C37" w:rsidRPr="007E7C1A" w:rsidTr="007E7C1A">
        <w:tc>
          <w:tcPr>
            <w:tcW w:w="1803" w:type="dxa"/>
            <w:shd w:val="clear" w:color="auto" w:fill="auto"/>
          </w:tcPr>
          <w:p w:rsidR="004B0C37" w:rsidRPr="007E7C1A" w:rsidRDefault="004B0C37" w:rsidP="007E7C1A">
            <w:pPr>
              <w:suppressAutoHyphens w:val="0"/>
              <w:spacing w:before="40" w:after="40" w:line="220" w:lineRule="exact"/>
              <w:ind w:right="113"/>
              <w:rPr>
                <w:sz w:val="18"/>
              </w:rPr>
            </w:pPr>
            <w:r w:rsidRPr="007E7C1A">
              <w:rPr>
                <w:sz w:val="18"/>
              </w:rPr>
              <w:t>2011/2012</w:t>
            </w:r>
          </w:p>
        </w:tc>
        <w:tc>
          <w:tcPr>
            <w:tcW w:w="1803" w:type="dxa"/>
            <w:shd w:val="clear" w:color="auto" w:fill="auto"/>
            <w:vAlign w:val="bottom"/>
          </w:tcPr>
          <w:p w:rsidR="004B0C37" w:rsidRPr="007E7C1A" w:rsidRDefault="004B0C37" w:rsidP="007E7C1A">
            <w:pPr>
              <w:suppressAutoHyphens w:val="0"/>
              <w:spacing w:before="40" w:after="40" w:line="220" w:lineRule="exact"/>
              <w:ind w:right="113"/>
              <w:jc w:val="right"/>
              <w:rPr>
                <w:sz w:val="18"/>
                <w:lang w:val="en-US" w:bidi="ar-QA"/>
              </w:rPr>
            </w:pPr>
            <w:r w:rsidRPr="007E7C1A">
              <w:rPr>
                <w:sz w:val="18"/>
                <w:lang w:val="en-US" w:bidi="ar-QA"/>
              </w:rPr>
              <w:t>98.7</w:t>
            </w:r>
          </w:p>
        </w:tc>
        <w:tc>
          <w:tcPr>
            <w:tcW w:w="1803" w:type="dxa"/>
            <w:shd w:val="clear" w:color="auto" w:fill="auto"/>
            <w:vAlign w:val="bottom"/>
          </w:tcPr>
          <w:p w:rsidR="004B0C37" w:rsidRPr="007E7C1A" w:rsidRDefault="004B0C37" w:rsidP="007E7C1A">
            <w:pPr>
              <w:suppressAutoHyphens w:val="0"/>
              <w:spacing w:before="40" w:after="40" w:line="220" w:lineRule="exact"/>
              <w:ind w:right="113"/>
              <w:jc w:val="right"/>
              <w:rPr>
                <w:sz w:val="18"/>
                <w:lang w:val="en-US" w:bidi="ar-QA"/>
              </w:rPr>
            </w:pPr>
            <w:r w:rsidRPr="007E7C1A">
              <w:rPr>
                <w:sz w:val="18"/>
                <w:lang w:val="en-US" w:bidi="ar-QA"/>
              </w:rPr>
              <w:t>96.1</w:t>
            </w:r>
          </w:p>
        </w:tc>
        <w:tc>
          <w:tcPr>
            <w:tcW w:w="1803" w:type="dxa"/>
            <w:shd w:val="clear" w:color="auto" w:fill="auto"/>
            <w:vAlign w:val="bottom"/>
          </w:tcPr>
          <w:p w:rsidR="004B0C37" w:rsidRPr="007E7C1A" w:rsidRDefault="004B0C37" w:rsidP="007E7C1A">
            <w:pPr>
              <w:suppressAutoHyphens w:val="0"/>
              <w:spacing w:before="40" w:after="40" w:line="220" w:lineRule="exact"/>
              <w:ind w:right="113"/>
              <w:jc w:val="right"/>
              <w:rPr>
                <w:sz w:val="18"/>
                <w:lang w:val="en-US" w:bidi="ar-QA"/>
              </w:rPr>
            </w:pPr>
            <w:r w:rsidRPr="007E7C1A">
              <w:rPr>
                <w:sz w:val="18"/>
                <w:lang w:val="en-US" w:bidi="ar-QA"/>
              </w:rPr>
              <w:t>80.8</w:t>
            </w:r>
          </w:p>
        </w:tc>
        <w:tc>
          <w:tcPr>
            <w:tcW w:w="1804" w:type="dxa"/>
            <w:shd w:val="clear" w:color="auto" w:fill="auto"/>
            <w:vAlign w:val="bottom"/>
          </w:tcPr>
          <w:p w:rsidR="004B0C37" w:rsidRPr="007E7C1A" w:rsidRDefault="004B0C37" w:rsidP="007E7C1A">
            <w:pPr>
              <w:suppressAutoHyphens w:val="0"/>
              <w:spacing w:before="40" w:after="40" w:line="220" w:lineRule="exact"/>
              <w:ind w:right="113"/>
              <w:jc w:val="right"/>
              <w:rPr>
                <w:sz w:val="18"/>
                <w:lang w:val="en-US" w:bidi="ar-QA"/>
              </w:rPr>
            </w:pPr>
            <w:r w:rsidRPr="007E7C1A">
              <w:rPr>
                <w:sz w:val="18"/>
                <w:lang w:val="en-US" w:bidi="ar-QA"/>
              </w:rPr>
              <w:t>79.3</w:t>
            </w:r>
          </w:p>
        </w:tc>
      </w:tr>
      <w:tr w:rsidR="004B0C37" w:rsidRPr="007E7C1A" w:rsidTr="007E7C1A">
        <w:tc>
          <w:tcPr>
            <w:tcW w:w="1803" w:type="dxa"/>
            <w:shd w:val="clear" w:color="auto" w:fill="auto"/>
          </w:tcPr>
          <w:p w:rsidR="004B0C37" w:rsidRPr="007E7C1A" w:rsidRDefault="004B0C37" w:rsidP="007E7C1A">
            <w:pPr>
              <w:suppressAutoHyphens w:val="0"/>
              <w:spacing w:before="40" w:after="40" w:line="220" w:lineRule="exact"/>
              <w:ind w:right="113"/>
              <w:rPr>
                <w:sz w:val="18"/>
              </w:rPr>
            </w:pPr>
            <w:r w:rsidRPr="007E7C1A">
              <w:rPr>
                <w:sz w:val="18"/>
              </w:rPr>
              <w:t>2012/2013</w:t>
            </w:r>
          </w:p>
        </w:tc>
        <w:tc>
          <w:tcPr>
            <w:tcW w:w="1803" w:type="dxa"/>
            <w:shd w:val="clear" w:color="auto" w:fill="auto"/>
            <w:vAlign w:val="bottom"/>
          </w:tcPr>
          <w:p w:rsidR="004B0C37" w:rsidRPr="007E7C1A" w:rsidRDefault="004B0C37" w:rsidP="007E7C1A">
            <w:pPr>
              <w:suppressAutoHyphens w:val="0"/>
              <w:spacing w:before="40" w:after="40" w:line="220" w:lineRule="exact"/>
              <w:ind w:right="113"/>
              <w:jc w:val="right"/>
              <w:rPr>
                <w:sz w:val="18"/>
                <w:lang w:val="en-US" w:bidi="ar-QA"/>
              </w:rPr>
            </w:pPr>
            <w:r w:rsidRPr="007E7C1A">
              <w:rPr>
                <w:sz w:val="18"/>
                <w:lang w:val="en-US" w:bidi="ar-QA"/>
              </w:rPr>
              <w:t>98.3</w:t>
            </w:r>
          </w:p>
        </w:tc>
        <w:tc>
          <w:tcPr>
            <w:tcW w:w="1803" w:type="dxa"/>
            <w:shd w:val="clear" w:color="auto" w:fill="auto"/>
            <w:vAlign w:val="bottom"/>
          </w:tcPr>
          <w:p w:rsidR="004B0C37" w:rsidRPr="007E7C1A" w:rsidRDefault="004B0C37" w:rsidP="007E7C1A">
            <w:pPr>
              <w:suppressAutoHyphens w:val="0"/>
              <w:spacing w:before="40" w:after="40" w:line="220" w:lineRule="exact"/>
              <w:ind w:right="113"/>
              <w:jc w:val="right"/>
              <w:rPr>
                <w:sz w:val="18"/>
                <w:lang w:val="en-US" w:bidi="ar-QA"/>
              </w:rPr>
            </w:pPr>
            <w:r w:rsidRPr="007E7C1A">
              <w:rPr>
                <w:sz w:val="18"/>
                <w:lang w:val="en-US" w:bidi="ar-QA"/>
              </w:rPr>
              <w:t>100.0</w:t>
            </w:r>
          </w:p>
        </w:tc>
        <w:tc>
          <w:tcPr>
            <w:tcW w:w="1803" w:type="dxa"/>
            <w:shd w:val="clear" w:color="auto" w:fill="auto"/>
            <w:vAlign w:val="bottom"/>
          </w:tcPr>
          <w:p w:rsidR="004B0C37" w:rsidRPr="007E7C1A" w:rsidRDefault="004B0C37" w:rsidP="007E7C1A">
            <w:pPr>
              <w:suppressAutoHyphens w:val="0"/>
              <w:spacing w:before="40" w:after="40" w:line="220" w:lineRule="exact"/>
              <w:ind w:right="113"/>
              <w:jc w:val="right"/>
              <w:rPr>
                <w:sz w:val="18"/>
                <w:lang w:val="en-US" w:bidi="ar-QA"/>
              </w:rPr>
            </w:pPr>
            <w:r w:rsidRPr="007E7C1A">
              <w:rPr>
                <w:sz w:val="18"/>
                <w:lang w:val="en-US" w:bidi="ar-QA"/>
              </w:rPr>
              <w:t>81.3</w:t>
            </w:r>
          </w:p>
        </w:tc>
        <w:tc>
          <w:tcPr>
            <w:tcW w:w="1804" w:type="dxa"/>
            <w:shd w:val="clear" w:color="auto" w:fill="auto"/>
            <w:vAlign w:val="bottom"/>
          </w:tcPr>
          <w:p w:rsidR="004B0C37" w:rsidRPr="007E7C1A" w:rsidRDefault="004B0C37" w:rsidP="007E7C1A">
            <w:pPr>
              <w:suppressAutoHyphens w:val="0"/>
              <w:spacing w:before="40" w:after="40" w:line="220" w:lineRule="exact"/>
              <w:ind w:right="113"/>
              <w:jc w:val="right"/>
              <w:rPr>
                <w:sz w:val="18"/>
                <w:lang w:val="en-US" w:bidi="ar-QA"/>
              </w:rPr>
            </w:pPr>
            <w:r w:rsidRPr="007E7C1A">
              <w:rPr>
                <w:sz w:val="18"/>
                <w:lang w:val="en-US" w:bidi="ar-QA"/>
              </w:rPr>
              <w:t>82.8</w:t>
            </w:r>
          </w:p>
        </w:tc>
      </w:tr>
      <w:tr w:rsidR="004B0C37" w:rsidRPr="007E7C1A" w:rsidTr="007E7C1A">
        <w:tc>
          <w:tcPr>
            <w:tcW w:w="1803" w:type="dxa"/>
            <w:shd w:val="clear" w:color="auto" w:fill="auto"/>
          </w:tcPr>
          <w:p w:rsidR="004B0C37" w:rsidRPr="007E7C1A" w:rsidRDefault="004B0C37" w:rsidP="007E7C1A">
            <w:pPr>
              <w:suppressAutoHyphens w:val="0"/>
              <w:spacing w:before="40" w:after="40" w:line="220" w:lineRule="exact"/>
              <w:ind w:right="113"/>
              <w:rPr>
                <w:sz w:val="18"/>
              </w:rPr>
            </w:pPr>
            <w:r w:rsidRPr="007E7C1A">
              <w:rPr>
                <w:sz w:val="18"/>
              </w:rPr>
              <w:t>2013/2014</w:t>
            </w:r>
          </w:p>
        </w:tc>
        <w:tc>
          <w:tcPr>
            <w:tcW w:w="1803" w:type="dxa"/>
            <w:shd w:val="clear" w:color="auto" w:fill="auto"/>
            <w:vAlign w:val="bottom"/>
          </w:tcPr>
          <w:p w:rsidR="004B0C37" w:rsidRPr="007E7C1A" w:rsidRDefault="004B0C37" w:rsidP="007E7C1A">
            <w:pPr>
              <w:suppressAutoHyphens w:val="0"/>
              <w:spacing w:before="40" w:after="40" w:line="220" w:lineRule="exact"/>
              <w:ind w:right="113"/>
              <w:jc w:val="right"/>
              <w:rPr>
                <w:sz w:val="18"/>
                <w:lang w:val="en-US" w:bidi="ar-QA"/>
              </w:rPr>
            </w:pPr>
            <w:r w:rsidRPr="007E7C1A">
              <w:rPr>
                <w:sz w:val="18"/>
                <w:lang w:val="en-US" w:bidi="ar-QA"/>
              </w:rPr>
              <w:t>100.1</w:t>
            </w:r>
          </w:p>
        </w:tc>
        <w:tc>
          <w:tcPr>
            <w:tcW w:w="1803" w:type="dxa"/>
            <w:shd w:val="clear" w:color="auto" w:fill="auto"/>
            <w:vAlign w:val="bottom"/>
          </w:tcPr>
          <w:p w:rsidR="004B0C37" w:rsidRPr="007E7C1A" w:rsidRDefault="004B0C37" w:rsidP="007E7C1A">
            <w:pPr>
              <w:suppressAutoHyphens w:val="0"/>
              <w:spacing w:before="40" w:after="40" w:line="220" w:lineRule="exact"/>
              <w:ind w:right="113"/>
              <w:jc w:val="right"/>
              <w:rPr>
                <w:sz w:val="18"/>
                <w:lang w:val="en-US" w:bidi="ar-QA"/>
              </w:rPr>
            </w:pPr>
            <w:r w:rsidRPr="007E7C1A">
              <w:rPr>
                <w:sz w:val="18"/>
                <w:lang w:val="en-US" w:bidi="ar-QA"/>
              </w:rPr>
              <w:t>99.0</w:t>
            </w:r>
          </w:p>
        </w:tc>
        <w:tc>
          <w:tcPr>
            <w:tcW w:w="1803" w:type="dxa"/>
            <w:shd w:val="clear" w:color="auto" w:fill="auto"/>
            <w:vAlign w:val="bottom"/>
          </w:tcPr>
          <w:p w:rsidR="004B0C37" w:rsidRPr="007E7C1A" w:rsidRDefault="004B0C37" w:rsidP="007E7C1A">
            <w:pPr>
              <w:suppressAutoHyphens w:val="0"/>
              <w:spacing w:before="40" w:after="40" w:line="220" w:lineRule="exact"/>
              <w:ind w:right="113"/>
              <w:jc w:val="right"/>
              <w:rPr>
                <w:sz w:val="18"/>
                <w:lang w:val="en-US" w:bidi="ar-QA"/>
              </w:rPr>
            </w:pPr>
            <w:r w:rsidRPr="007E7C1A">
              <w:rPr>
                <w:sz w:val="18"/>
                <w:lang w:val="en-US" w:bidi="ar-QA"/>
              </w:rPr>
              <w:t>82.5</w:t>
            </w:r>
          </w:p>
        </w:tc>
        <w:tc>
          <w:tcPr>
            <w:tcW w:w="1804" w:type="dxa"/>
            <w:shd w:val="clear" w:color="auto" w:fill="auto"/>
            <w:vAlign w:val="bottom"/>
          </w:tcPr>
          <w:p w:rsidR="004B0C37" w:rsidRPr="007E7C1A" w:rsidRDefault="004B0C37" w:rsidP="007E7C1A">
            <w:pPr>
              <w:suppressAutoHyphens w:val="0"/>
              <w:spacing w:before="40" w:after="40" w:line="220" w:lineRule="exact"/>
              <w:ind w:right="113"/>
              <w:jc w:val="right"/>
              <w:rPr>
                <w:sz w:val="18"/>
                <w:lang w:val="en-US" w:bidi="ar-QA"/>
              </w:rPr>
            </w:pPr>
            <w:r w:rsidRPr="007E7C1A">
              <w:rPr>
                <w:sz w:val="18"/>
                <w:lang w:val="en-US" w:bidi="ar-QA"/>
              </w:rPr>
              <w:t>82.0</w:t>
            </w:r>
          </w:p>
        </w:tc>
      </w:tr>
      <w:tr w:rsidR="004B0C37" w:rsidRPr="007E7C1A" w:rsidTr="007E7C1A">
        <w:tc>
          <w:tcPr>
            <w:tcW w:w="1803" w:type="dxa"/>
            <w:shd w:val="clear" w:color="auto" w:fill="auto"/>
          </w:tcPr>
          <w:p w:rsidR="004B0C37" w:rsidRPr="007E7C1A" w:rsidRDefault="004B0C37" w:rsidP="007E7C1A">
            <w:pPr>
              <w:suppressAutoHyphens w:val="0"/>
              <w:spacing w:before="40" w:after="40" w:line="220" w:lineRule="exact"/>
              <w:ind w:right="113"/>
              <w:rPr>
                <w:sz w:val="18"/>
              </w:rPr>
            </w:pPr>
            <w:r w:rsidRPr="007E7C1A">
              <w:rPr>
                <w:sz w:val="18"/>
              </w:rPr>
              <w:t>2014/2015</w:t>
            </w:r>
          </w:p>
        </w:tc>
        <w:tc>
          <w:tcPr>
            <w:tcW w:w="1803" w:type="dxa"/>
            <w:shd w:val="clear" w:color="auto" w:fill="auto"/>
            <w:vAlign w:val="bottom"/>
          </w:tcPr>
          <w:p w:rsidR="004B0C37" w:rsidRPr="007E7C1A" w:rsidRDefault="004B0C37" w:rsidP="007E7C1A">
            <w:pPr>
              <w:suppressAutoHyphens w:val="0"/>
              <w:spacing w:before="40" w:after="40" w:line="220" w:lineRule="exact"/>
              <w:ind w:right="113"/>
              <w:jc w:val="right"/>
              <w:rPr>
                <w:sz w:val="18"/>
                <w:lang w:val="en-US" w:bidi="ar-QA"/>
              </w:rPr>
            </w:pPr>
            <w:r w:rsidRPr="007E7C1A">
              <w:rPr>
                <w:sz w:val="18"/>
                <w:lang w:val="en-US" w:bidi="ar-QA"/>
              </w:rPr>
              <w:t>98.3</w:t>
            </w:r>
          </w:p>
        </w:tc>
        <w:tc>
          <w:tcPr>
            <w:tcW w:w="1803" w:type="dxa"/>
            <w:shd w:val="clear" w:color="auto" w:fill="auto"/>
            <w:vAlign w:val="bottom"/>
          </w:tcPr>
          <w:p w:rsidR="004B0C37" w:rsidRPr="007E7C1A" w:rsidRDefault="004B0C37" w:rsidP="007E7C1A">
            <w:pPr>
              <w:suppressAutoHyphens w:val="0"/>
              <w:spacing w:before="40" w:after="40" w:line="220" w:lineRule="exact"/>
              <w:ind w:right="113"/>
              <w:jc w:val="right"/>
              <w:rPr>
                <w:sz w:val="18"/>
                <w:lang w:val="en-US" w:bidi="ar-QA"/>
              </w:rPr>
            </w:pPr>
            <w:r w:rsidRPr="007E7C1A">
              <w:rPr>
                <w:sz w:val="18"/>
                <w:lang w:val="en-US" w:bidi="ar-QA"/>
              </w:rPr>
              <w:t>95.5</w:t>
            </w:r>
          </w:p>
        </w:tc>
        <w:tc>
          <w:tcPr>
            <w:tcW w:w="1803" w:type="dxa"/>
            <w:shd w:val="clear" w:color="auto" w:fill="auto"/>
            <w:vAlign w:val="bottom"/>
          </w:tcPr>
          <w:p w:rsidR="004B0C37" w:rsidRPr="007E7C1A" w:rsidRDefault="004B0C37" w:rsidP="007E7C1A">
            <w:pPr>
              <w:suppressAutoHyphens w:val="0"/>
              <w:spacing w:before="40" w:after="40" w:line="220" w:lineRule="exact"/>
              <w:ind w:right="113"/>
              <w:jc w:val="right"/>
              <w:rPr>
                <w:sz w:val="18"/>
                <w:lang w:val="en-US" w:bidi="ar-QA"/>
              </w:rPr>
            </w:pPr>
            <w:r w:rsidRPr="007E7C1A">
              <w:rPr>
                <w:sz w:val="18"/>
                <w:lang w:val="en-US" w:bidi="ar-QA"/>
              </w:rPr>
              <w:t>80.3</w:t>
            </w:r>
          </w:p>
        </w:tc>
        <w:tc>
          <w:tcPr>
            <w:tcW w:w="1804" w:type="dxa"/>
            <w:shd w:val="clear" w:color="auto" w:fill="auto"/>
            <w:vAlign w:val="bottom"/>
          </w:tcPr>
          <w:p w:rsidR="004B0C37" w:rsidRPr="007E7C1A" w:rsidRDefault="004B0C37" w:rsidP="007E7C1A">
            <w:pPr>
              <w:suppressAutoHyphens w:val="0"/>
              <w:spacing w:before="40" w:after="40" w:line="220" w:lineRule="exact"/>
              <w:ind w:right="113"/>
              <w:jc w:val="right"/>
              <w:rPr>
                <w:sz w:val="18"/>
                <w:lang w:val="en-US" w:bidi="ar-QA"/>
              </w:rPr>
            </w:pPr>
            <w:r w:rsidRPr="007E7C1A">
              <w:rPr>
                <w:sz w:val="18"/>
                <w:lang w:val="en-US" w:bidi="ar-QA"/>
              </w:rPr>
              <w:t>78.8</w:t>
            </w:r>
          </w:p>
        </w:tc>
      </w:tr>
      <w:tr w:rsidR="004B0C37" w:rsidRPr="007E7C1A" w:rsidTr="007E7C1A">
        <w:tc>
          <w:tcPr>
            <w:tcW w:w="1803" w:type="dxa"/>
            <w:shd w:val="clear" w:color="auto" w:fill="auto"/>
          </w:tcPr>
          <w:p w:rsidR="004B0C37" w:rsidRPr="007E7C1A" w:rsidRDefault="004B0C37" w:rsidP="007E7C1A">
            <w:pPr>
              <w:suppressAutoHyphens w:val="0"/>
              <w:spacing w:before="40" w:after="40" w:line="220" w:lineRule="exact"/>
              <w:ind w:right="113"/>
              <w:rPr>
                <w:sz w:val="18"/>
              </w:rPr>
            </w:pPr>
            <w:r w:rsidRPr="007E7C1A">
              <w:rPr>
                <w:sz w:val="18"/>
              </w:rPr>
              <w:t>2015/2016</w:t>
            </w:r>
          </w:p>
        </w:tc>
        <w:tc>
          <w:tcPr>
            <w:tcW w:w="1803" w:type="dxa"/>
            <w:shd w:val="clear" w:color="auto" w:fill="auto"/>
            <w:vAlign w:val="bottom"/>
          </w:tcPr>
          <w:p w:rsidR="004B0C37" w:rsidRPr="007E7C1A" w:rsidRDefault="004B0C37" w:rsidP="007E7C1A">
            <w:pPr>
              <w:suppressAutoHyphens w:val="0"/>
              <w:spacing w:before="40" w:after="40" w:line="220" w:lineRule="exact"/>
              <w:ind w:right="113"/>
              <w:jc w:val="right"/>
              <w:rPr>
                <w:sz w:val="18"/>
                <w:rtl/>
                <w:lang w:val="fr-FR" w:bidi="ar-QA"/>
              </w:rPr>
            </w:pPr>
            <w:r w:rsidRPr="007E7C1A">
              <w:rPr>
                <w:sz w:val="18"/>
                <w:lang w:val="en-US" w:bidi="ar-QA"/>
              </w:rPr>
              <w:t>100.9</w:t>
            </w:r>
          </w:p>
        </w:tc>
        <w:tc>
          <w:tcPr>
            <w:tcW w:w="1803" w:type="dxa"/>
            <w:shd w:val="clear" w:color="auto" w:fill="auto"/>
            <w:vAlign w:val="bottom"/>
          </w:tcPr>
          <w:p w:rsidR="004B0C37" w:rsidRPr="007E7C1A" w:rsidRDefault="004B0C37" w:rsidP="007E7C1A">
            <w:pPr>
              <w:suppressAutoHyphens w:val="0"/>
              <w:spacing w:before="40" w:after="40" w:line="220" w:lineRule="exact"/>
              <w:ind w:right="113"/>
              <w:jc w:val="right"/>
              <w:rPr>
                <w:sz w:val="18"/>
                <w:rtl/>
                <w:lang w:val="fr-FR" w:bidi="ar-QA"/>
              </w:rPr>
            </w:pPr>
            <w:r w:rsidRPr="007E7C1A">
              <w:rPr>
                <w:sz w:val="18"/>
                <w:lang w:val="en-US" w:bidi="ar-QA"/>
              </w:rPr>
              <w:t>95.2</w:t>
            </w:r>
          </w:p>
        </w:tc>
        <w:tc>
          <w:tcPr>
            <w:tcW w:w="1803" w:type="dxa"/>
            <w:shd w:val="clear" w:color="auto" w:fill="auto"/>
            <w:vAlign w:val="bottom"/>
          </w:tcPr>
          <w:p w:rsidR="004B0C37" w:rsidRPr="007E7C1A" w:rsidRDefault="004B0C37" w:rsidP="007E7C1A">
            <w:pPr>
              <w:suppressAutoHyphens w:val="0"/>
              <w:spacing w:before="40" w:after="40" w:line="220" w:lineRule="exact"/>
              <w:ind w:right="113"/>
              <w:jc w:val="right"/>
              <w:rPr>
                <w:sz w:val="18"/>
                <w:rtl/>
                <w:lang w:val="fr-FR" w:bidi="ar-QA"/>
              </w:rPr>
            </w:pPr>
            <w:r w:rsidRPr="007E7C1A">
              <w:rPr>
                <w:sz w:val="18"/>
                <w:lang w:val="en-US" w:bidi="ar-QA"/>
              </w:rPr>
              <w:t>83.0</w:t>
            </w:r>
          </w:p>
        </w:tc>
        <w:tc>
          <w:tcPr>
            <w:tcW w:w="1804" w:type="dxa"/>
            <w:shd w:val="clear" w:color="auto" w:fill="auto"/>
            <w:vAlign w:val="bottom"/>
          </w:tcPr>
          <w:p w:rsidR="004B0C37" w:rsidRPr="007E7C1A" w:rsidRDefault="004B0C37" w:rsidP="007E7C1A">
            <w:pPr>
              <w:suppressAutoHyphens w:val="0"/>
              <w:spacing w:before="40" w:after="40" w:line="220" w:lineRule="exact"/>
              <w:ind w:right="113"/>
              <w:jc w:val="right"/>
              <w:rPr>
                <w:sz w:val="18"/>
                <w:rtl/>
                <w:lang w:val="fr-FR" w:bidi="ar-QA"/>
              </w:rPr>
            </w:pPr>
            <w:r w:rsidRPr="007E7C1A">
              <w:rPr>
                <w:sz w:val="18"/>
                <w:lang w:val="en-US" w:bidi="ar-QA"/>
              </w:rPr>
              <w:t>79.3</w:t>
            </w:r>
          </w:p>
        </w:tc>
      </w:tr>
      <w:tr w:rsidR="004B0C37" w:rsidRPr="007E7C1A" w:rsidTr="007E7C1A">
        <w:tc>
          <w:tcPr>
            <w:tcW w:w="1803" w:type="dxa"/>
            <w:shd w:val="clear" w:color="auto" w:fill="auto"/>
          </w:tcPr>
          <w:p w:rsidR="004B0C37" w:rsidRPr="007E7C1A" w:rsidRDefault="004B0C37" w:rsidP="007E7C1A">
            <w:pPr>
              <w:suppressAutoHyphens w:val="0"/>
              <w:spacing w:before="40" w:after="40" w:line="220" w:lineRule="exact"/>
              <w:ind w:right="113"/>
              <w:rPr>
                <w:sz w:val="18"/>
              </w:rPr>
            </w:pPr>
            <w:r w:rsidRPr="007E7C1A">
              <w:rPr>
                <w:sz w:val="18"/>
              </w:rPr>
              <w:t>2016/2017</w:t>
            </w:r>
          </w:p>
        </w:tc>
        <w:tc>
          <w:tcPr>
            <w:tcW w:w="1803" w:type="dxa"/>
            <w:shd w:val="clear" w:color="auto" w:fill="auto"/>
            <w:vAlign w:val="bottom"/>
          </w:tcPr>
          <w:p w:rsidR="004B0C37" w:rsidRPr="007E7C1A" w:rsidRDefault="004B0C37" w:rsidP="007E7C1A">
            <w:pPr>
              <w:suppressAutoHyphens w:val="0"/>
              <w:spacing w:before="40" w:after="40" w:line="220" w:lineRule="exact"/>
              <w:ind w:right="113"/>
              <w:jc w:val="right"/>
              <w:rPr>
                <w:sz w:val="18"/>
                <w:rtl/>
                <w:lang w:val="fr-FR" w:bidi="ar-QA"/>
              </w:rPr>
            </w:pPr>
            <w:r w:rsidRPr="007E7C1A">
              <w:rPr>
                <w:sz w:val="18"/>
                <w:lang w:val="en-US" w:bidi="ar-QA"/>
              </w:rPr>
              <w:t>105.2</w:t>
            </w:r>
          </w:p>
        </w:tc>
        <w:tc>
          <w:tcPr>
            <w:tcW w:w="1803" w:type="dxa"/>
            <w:shd w:val="clear" w:color="auto" w:fill="auto"/>
            <w:vAlign w:val="bottom"/>
          </w:tcPr>
          <w:p w:rsidR="004B0C37" w:rsidRPr="007E7C1A" w:rsidRDefault="004B0C37" w:rsidP="007E7C1A">
            <w:pPr>
              <w:suppressAutoHyphens w:val="0"/>
              <w:spacing w:before="40" w:after="40" w:line="220" w:lineRule="exact"/>
              <w:ind w:right="113"/>
              <w:jc w:val="right"/>
              <w:rPr>
                <w:sz w:val="18"/>
                <w:rtl/>
                <w:lang w:val="fr-FR" w:bidi="ar-QA"/>
              </w:rPr>
            </w:pPr>
            <w:r w:rsidRPr="007E7C1A">
              <w:rPr>
                <w:sz w:val="18"/>
                <w:lang w:val="en-US" w:bidi="ar-QA"/>
              </w:rPr>
              <w:t>102.4</w:t>
            </w:r>
          </w:p>
        </w:tc>
        <w:tc>
          <w:tcPr>
            <w:tcW w:w="1803" w:type="dxa"/>
            <w:shd w:val="clear" w:color="auto" w:fill="auto"/>
            <w:vAlign w:val="bottom"/>
          </w:tcPr>
          <w:p w:rsidR="004B0C37" w:rsidRPr="007E7C1A" w:rsidRDefault="004B0C37" w:rsidP="007E7C1A">
            <w:pPr>
              <w:suppressAutoHyphens w:val="0"/>
              <w:spacing w:before="40" w:after="40" w:line="220" w:lineRule="exact"/>
              <w:ind w:right="113"/>
              <w:jc w:val="right"/>
              <w:rPr>
                <w:sz w:val="18"/>
                <w:rtl/>
                <w:lang w:val="fr-FR" w:bidi="ar-QA"/>
              </w:rPr>
            </w:pPr>
            <w:r w:rsidRPr="007E7C1A">
              <w:rPr>
                <w:sz w:val="18"/>
                <w:lang w:val="en-US" w:bidi="ar-QA"/>
              </w:rPr>
              <w:t>84.2</w:t>
            </w:r>
          </w:p>
        </w:tc>
        <w:tc>
          <w:tcPr>
            <w:tcW w:w="1804" w:type="dxa"/>
            <w:shd w:val="clear" w:color="auto" w:fill="auto"/>
            <w:vAlign w:val="bottom"/>
          </w:tcPr>
          <w:p w:rsidR="004B0C37" w:rsidRPr="007E7C1A" w:rsidRDefault="004B0C37" w:rsidP="007E7C1A">
            <w:pPr>
              <w:suppressAutoHyphens w:val="0"/>
              <w:spacing w:before="40" w:after="40" w:line="220" w:lineRule="exact"/>
              <w:ind w:right="113"/>
              <w:jc w:val="right"/>
              <w:rPr>
                <w:sz w:val="18"/>
                <w:rtl/>
                <w:lang w:val="fr-FR" w:bidi="ar-QA"/>
              </w:rPr>
            </w:pPr>
            <w:r w:rsidRPr="007E7C1A">
              <w:rPr>
                <w:sz w:val="18"/>
                <w:lang w:val="en-US" w:bidi="ar-QA"/>
              </w:rPr>
              <w:t>85.2</w:t>
            </w:r>
          </w:p>
        </w:tc>
      </w:tr>
    </w:tbl>
    <w:p w:rsidR="004B0C37" w:rsidRPr="00BB4DDD" w:rsidRDefault="004B0C37" w:rsidP="00BB4DDD">
      <w:pPr>
        <w:spacing w:before="120"/>
        <w:ind w:left="1134" w:right="1134" w:firstLine="170"/>
        <w:rPr>
          <w:sz w:val="18"/>
        </w:rPr>
      </w:pPr>
      <w:r w:rsidRPr="00BB4DDD">
        <w:rPr>
          <w:i/>
          <w:iCs/>
          <w:sz w:val="18"/>
        </w:rPr>
        <w:t>Source:</w:t>
      </w:r>
      <w:r w:rsidRPr="00BB4DDD">
        <w:rPr>
          <w:sz w:val="18"/>
        </w:rPr>
        <w:t xml:space="preserve"> </w:t>
      </w:r>
      <w:r w:rsidR="00BB4DDD">
        <w:rPr>
          <w:sz w:val="18"/>
        </w:rPr>
        <w:t xml:space="preserve"> </w:t>
      </w:r>
      <w:r w:rsidRPr="00BB4DDD">
        <w:rPr>
          <w:sz w:val="18"/>
        </w:rPr>
        <w:t>Ministry of Development Planning and Statistics: Education in the State of Qatar, Statistical overview (2017);</w:t>
      </w:r>
    </w:p>
    <w:p w:rsidR="0060531D" w:rsidRPr="00BB4DDD" w:rsidRDefault="004B0C37" w:rsidP="00BB4DDD">
      <w:pPr>
        <w:ind w:left="1134" w:right="1134" w:firstLine="170"/>
        <w:rPr>
          <w:sz w:val="18"/>
        </w:rPr>
      </w:pPr>
      <w:r w:rsidRPr="00BB4DDD">
        <w:rPr>
          <w:sz w:val="18"/>
        </w:rPr>
        <w:t xml:space="preserve">Source: </w:t>
      </w:r>
      <w:r w:rsidR="00BB4DDD">
        <w:rPr>
          <w:sz w:val="18"/>
        </w:rPr>
        <w:t xml:space="preserve"> </w:t>
      </w:r>
      <w:r w:rsidRPr="00BB4DDD">
        <w:rPr>
          <w:sz w:val="18"/>
        </w:rPr>
        <w:t>Ministry of Development Planning and Statistics: Education statistics 2015/2016-2016-2017</w:t>
      </w:r>
      <w:r w:rsidR="00BB4DDD">
        <w:rPr>
          <w:sz w:val="18"/>
        </w:rPr>
        <w:t>.</w:t>
      </w:r>
    </w:p>
    <w:p w:rsidR="0060531D" w:rsidRPr="00BB4DDD" w:rsidRDefault="00B855DD" w:rsidP="00B855DD">
      <w:pPr>
        <w:pStyle w:val="H23G"/>
      </w:pPr>
      <w:r>
        <w:tab/>
      </w:r>
      <w:r>
        <w:tab/>
      </w:r>
      <w:r w:rsidR="004B0C37" w:rsidRPr="00BB4DDD">
        <w:t xml:space="preserve">Unemployment rate </w:t>
      </w:r>
    </w:p>
    <w:p w:rsidR="0060531D" w:rsidRDefault="004B0C37" w:rsidP="00792277">
      <w:pPr>
        <w:pStyle w:val="SingleTxtG"/>
      </w:pPr>
      <w:r w:rsidRPr="0034732A">
        <w:t>28</w:t>
      </w:r>
      <w:r w:rsidR="00276B1C">
        <w:t>.</w:t>
      </w:r>
      <w:r w:rsidR="00276B1C">
        <w:tab/>
      </w:r>
      <w:r w:rsidRPr="0034732A">
        <w:t xml:space="preserve">According to the </w:t>
      </w:r>
      <w:r w:rsidRPr="0034732A">
        <w:rPr>
          <w:i/>
        </w:rPr>
        <w:t>Labour Force Sample Survey (2017)</w:t>
      </w:r>
      <w:r w:rsidRPr="0034732A">
        <w:t xml:space="preserve">, </w:t>
      </w:r>
      <w:r>
        <w:t>t</w:t>
      </w:r>
      <w:r w:rsidRPr="0034732A">
        <w:t>he rate of unemployment among the workforce stood at 0.1 per cent</w:t>
      </w:r>
      <w:r>
        <w:t>.</w:t>
      </w:r>
      <w:r w:rsidR="007F4A3A">
        <w:t xml:space="preserve"> </w:t>
      </w:r>
      <w:r>
        <w:t>T</w:t>
      </w:r>
      <w:r w:rsidRPr="0034732A">
        <w:t>he number of jobseekers, as defined by the International Labour Organization, stood at 2,736 in 2017, of whom men made up 37.9 per cent and women, 62.1 per cent.</w:t>
      </w:r>
      <w:r w:rsidR="007F4A3A">
        <w:t xml:space="preserve"> </w:t>
      </w:r>
      <w:r w:rsidRPr="0034732A">
        <w:t>The rate of unemployment stood at 0.1 per cent in the third quarter of 2017, compared to 0.2 in the third quarter of 2016.</w:t>
      </w:r>
    </w:p>
    <w:p w:rsidR="0060531D" w:rsidRDefault="004B0C37" w:rsidP="00792277">
      <w:pPr>
        <w:pStyle w:val="SingleTxtG"/>
      </w:pPr>
      <w:r w:rsidRPr="0034732A">
        <w:t>29</w:t>
      </w:r>
      <w:r w:rsidR="00276B1C">
        <w:t>.</w:t>
      </w:r>
      <w:r w:rsidR="00276B1C">
        <w:tab/>
      </w:r>
      <w:r>
        <w:t>In 2017, the male unemployment</w:t>
      </w:r>
      <w:r w:rsidRPr="0034732A">
        <w:t xml:space="preserve"> rate stood at 0.1 per cent, compared to 0.6 per cent for females.</w:t>
      </w:r>
      <w:r w:rsidR="007F4A3A">
        <w:t xml:space="preserve"> </w:t>
      </w:r>
      <w:r w:rsidRPr="0034732A">
        <w:t xml:space="preserve">The rate of unemployment </w:t>
      </w:r>
      <w:r>
        <w:t>among</w:t>
      </w:r>
      <w:r w:rsidRPr="0034732A">
        <w:t xml:space="preserve"> Qataris stood at 0.3 per cent (0.2 per cent of males and 0.6 per cent of females).</w:t>
      </w:r>
      <w:r w:rsidR="007F4A3A">
        <w:t xml:space="preserve"> </w:t>
      </w:r>
      <w:r w:rsidRPr="0034732A">
        <w:t xml:space="preserve">The highest rate was recorded in the 20-24 age group, where it stood at 0.5 per cent, according to the </w:t>
      </w:r>
      <w:r w:rsidRPr="0034732A">
        <w:rPr>
          <w:i/>
        </w:rPr>
        <w:t>Labour Force Sample Survey (2017).</w:t>
      </w:r>
      <w:r w:rsidR="007F4A3A">
        <w:t xml:space="preserve"> </w:t>
      </w:r>
    </w:p>
    <w:p w:rsidR="0060531D" w:rsidRDefault="00792277" w:rsidP="00792277">
      <w:pPr>
        <w:pStyle w:val="H23G"/>
      </w:pPr>
      <w:r>
        <w:tab/>
      </w:r>
      <w:r>
        <w:tab/>
      </w:r>
      <w:r w:rsidR="004B0C37" w:rsidRPr="0034732A">
        <w:t>Rate of economic participation by age group</w:t>
      </w:r>
    </w:p>
    <w:p w:rsidR="0060531D" w:rsidRDefault="004B0C37" w:rsidP="00792277">
      <w:pPr>
        <w:pStyle w:val="SingleTxtG"/>
      </w:pPr>
      <w:r w:rsidRPr="0034732A">
        <w:t>30</w:t>
      </w:r>
      <w:r w:rsidR="00276B1C">
        <w:t>.</w:t>
      </w:r>
      <w:r w:rsidR="00276B1C">
        <w:tab/>
      </w:r>
      <w:r w:rsidRPr="0034732A">
        <w:t xml:space="preserve">The rate of economic participation </w:t>
      </w:r>
      <w:r>
        <w:t>among</w:t>
      </w:r>
      <w:r w:rsidRPr="0034732A">
        <w:t xml:space="preserve"> Qataris peaks </w:t>
      </w:r>
      <w:r>
        <w:t>in</w:t>
      </w:r>
      <w:r w:rsidRPr="0034732A">
        <w:t xml:space="preserve"> the 35-39 age group and declines gradually thereafter with age, reaching its lowest level </w:t>
      </w:r>
      <w:r>
        <w:t>among</w:t>
      </w:r>
      <w:r w:rsidRPr="0034732A">
        <w:t xml:space="preserve"> the 59+ age group.</w:t>
      </w:r>
      <w:r w:rsidR="007F4A3A">
        <w:t xml:space="preserve"> </w:t>
      </w:r>
      <w:r w:rsidRPr="0034732A">
        <w:t xml:space="preserve">This is perfectly </w:t>
      </w:r>
      <w:r>
        <w:t>natural</w:t>
      </w:r>
      <w:r w:rsidRPr="0034732A">
        <w:t xml:space="preserve"> and linked to </w:t>
      </w:r>
      <w:r>
        <w:t>age of retirement.</w:t>
      </w:r>
      <w:r w:rsidR="007F4A3A">
        <w:t xml:space="preserve"> </w:t>
      </w:r>
      <w:r>
        <w:t xml:space="preserve">It is a </w:t>
      </w:r>
      <w:r w:rsidRPr="0034732A">
        <w:t xml:space="preserve">trend </w:t>
      </w:r>
      <w:r>
        <w:t xml:space="preserve">that </w:t>
      </w:r>
      <w:r w:rsidRPr="0034732A">
        <w:t>applies to economically active Qatari men and women</w:t>
      </w:r>
      <w:r>
        <w:t>: t</w:t>
      </w:r>
      <w:r w:rsidRPr="0034732A">
        <w:t xml:space="preserve">he first </w:t>
      </w:r>
      <w:r>
        <w:t>segment</w:t>
      </w:r>
      <w:r w:rsidRPr="0034732A">
        <w:t xml:space="preserve"> of the population (</w:t>
      </w:r>
      <w:r>
        <w:t xml:space="preserve">under </w:t>
      </w:r>
      <w:r w:rsidRPr="0034732A">
        <w:t>25 years</w:t>
      </w:r>
      <w:r>
        <w:t xml:space="preserve"> of age</w:t>
      </w:r>
      <w:r w:rsidRPr="0034732A">
        <w:t xml:space="preserve">) </w:t>
      </w:r>
      <w:r>
        <w:t>is</w:t>
      </w:r>
      <w:r w:rsidRPr="0034732A">
        <w:t xml:space="preserve"> in full-time</w:t>
      </w:r>
      <w:r>
        <w:t xml:space="preserve"> education, the second (25-59 years) is engaged in productive employment, while the third</w:t>
      </w:r>
      <w:r w:rsidRPr="0034732A">
        <w:t xml:space="preserve"> (60+ years) </w:t>
      </w:r>
      <w:r>
        <w:t>is</w:t>
      </w:r>
      <w:r w:rsidRPr="0034732A">
        <w:t xml:space="preserve"> retired and no longer economically active.</w:t>
      </w:r>
    </w:p>
    <w:p w:rsidR="004B0C37" w:rsidRPr="00A81041" w:rsidRDefault="004B0C37" w:rsidP="00A81041">
      <w:pPr>
        <w:spacing w:after="120"/>
        <w:rPr>
          <w:b/>
          <w:bCs/>
        </w:rPr>
      </w:pPr>
      <w:r w:rsidRPr="0034732A">
        <w:t>Table 12</w:t>
      </w:r>
      <w:r w:rsidR="00C624F7">
        <w:br/>
      </w:r>
      <w:r w:rsidRPr="00A81041">
        <w:rPr>
          <w:b/>
          <w:bCs/>
        </w:rPr>
        <w:t>Economically active population (15+ years) disaggregated by gender, nationality and age group (2017)</w:t>
      </w:r>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09"/>
        <w:gridCol w:w="992"/>
        <w:gridCol w:w="992"/>
        <w:gridCol w:w="992"/>
        <w:gridCol w:w="992"/>
        <w:gridCol w:w="993"/>
        <w:gridCol w:w="992"/>
        <w:gridCol w:w="992"/>
        <w:gridCol w:w="993"/>
        <w:gridCol w:w="992"/>
      </w:tblGrid>
      <w:tr w:rsidR="004B0C37" w:rsidRPr="00730AE7" w:rsidTr="00FF09D2">
        <w:trPr>
          <w:tblHeader/>
        </w:trPr>
        <w:tc>
          <w:tcPr>
            <w:tcW w:w="709" w:type="dxa"/>
            <w:vMerge w:val="restart"/>
            <w:tcBorders>
              <w:top w:val="single" w:sz="4" w:space="0" w:color="auto"/>
              <w:bottom w:val="single" w:sz="12" w:space="0" w:color="auto"/>
            </w:tcBorders>
            <w:shd w:val="clear" w:color="auto" w:fill="auto"/>
            <w:vAlign w:val="bottom"/>
          </w:tcPr>
          <w:p w:rsidR="004B0C37" w:rsidRPr="00730AE7" w:rsidRDefault="004B0C37" w:rsidP="00730AE7">
            <w:pPr>
              <w:suppressAutoHyphens w:val="0"/>
              <w:spacing w:before="80" w:after="80" w:line="200" w:lineRule="exact"/>
              <w:ind w:right="113"/>
              <w:rPr>
                <w:i/>
                <w:sz w:val="16"/>
                <w:szCs w:val="16"/>
              </w:rPr>
            </w:pPr>
          </w:p>
        </w:tc>
        <w:tc>
          <w:tcPr>
            <w:tcW w:w="2976" w:type="dxa"/>
            <w:gridSpan w:val="3"/>
            <w:tcBorders>
              <w:top w:val="single" w:sz="4" w:space="0" w:color="auto"/>
              <w:bottom w:val="single" w:sz="4" w:space="0" w:color="auto"/>
              <w:right w:val="single" w:sz="24" w:space="0" w:color="FFFFFF" w:themeColor="background1"/>
            </w:tcBorders>
            <w:shd w:val="clear" w:color="auto" w:fill="auto"/>
            <w:vAlign w:val="bottom"/>
          </w:tcPr>
          <w:p w:rsidR="004B0C37" w:rsidRPr="00730AE7" w:rsidRDefault="004B0C37" w:rsidP="00192133">
            <w:pPr>
              <w:suppressAutoHyphens w:val="0"/>
              <w:spacing w:before="80" w:after="80" w:line="200" w:lineRule="exact"/>
              <w:ind w:right="113"/>
              <w:jc w:val="center"/>
              <w:rPr>
                <w:i/>
                <w:sz w:val="16"/>
                <w:szCs w:val="16"/>
              </w:rPr>
            </w:pPr>
            <w:r w:rsidRPr="00730AE7">
              <w:rPr>
                <w:i/>
                <w:sz w:val="16"/>
                <w:szCs w:val="16"/>
              </w:rPr>
              <w:t>Qatari</w:t>
            </w:r>
          </w:p>
        </w:tc>
        <w:tc>
          <w:tcPr>
            <w:tcW w:w="2977"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4B0C37" w:rsidRPr="00730AE7" w:rsidRDefault="004B0C37" w:rsidP="00192133">
            <w:pPr>
              <w:suppressAutoHyphens w:val="0"/>
              <w:spacing w:before="80" w:after="80" w:line="200" w:lineRule="exact"/>
              <w:ind w:right="113"/>
              <w:jc w:val="center"/>
              <w:rPr>
                <w:i/>
                <w:sz w:val="16"/>
                <w:szCs w:val="16"/>
              </w:rPr>
            </w:pPr>
            <w:r w:rsidRPr="00730AE7">
              <w:rPr>
                <w:i/>
                <w:sz w:val="16"/>
                <w:szCs w:val="16"/>
              </w:rPr>
              <w:t>Non-Qatari</w:t>
            </w:r>
          </w:p>
        </w:tc>
        <w:tc>
          <w:tcPr>
            <w:tcW w:w="2977" w:type="dxa"/>
            <w:gridSpan w:val="3"/>
            <w:tcBorders>
              <w:top w:val="single" w:sz="4" w:space="0" w:color="auto"/>
              <w:left w:val="single" w:sz="24" w:space="0" w:color="FFFFFF" w:themeColor="background1"/>
              <w:bottom w:val="single" w:sz="4" w:space="0" w:color="auto"/>
            </w:tcBorders>
            <w:shd w:val="clear" w:color="auto" w:fill="auto"/>
            <w:vAlign w:val="bottom"/>
          </w:tcPr>
          <w:p w:rsidR="004B0C37" w:rsidRPr="00730AE7" w:rsidRDefault="004B0C37" w:rsidP="00192133">
            <w:pPr>
              <w:suppressAutoHyphens w:val="0"/>
              <w:spacing w:before="80" w:after="80" w:line="200" w:lineRule="exact"/>
              <w:ind w:right="113"/>
              <w:jc w:val="center"/>
              <w:rPr>
                <w:i/>
                <w:sz w:val="16"/>
                <w:szCs w:val="16"/>
              </w:rPr>
            </w:pPr>
            <w:r w:rsidRPr="00730AE7">
              <w:rPr>
                <w:i/>
                <w:sz w:val="16"/>
                <w:szCs w:val="16"/>
              </w:rPr>
              <w:t>Total</w:t>
            </w:r>
          </w:p>
        </w:tc>
      </w:tr>
      <w:tr w:rsidR="00192133" w:rsidRPr="00730AE7" w:rsidTr="00FF09D2">
        <w:trPr>
          <w:tblHeader/>
        </w:trPr>
        <w:tc>
          <w:tcPr>
            <w:tcW w:w="709" w:type="dxa"/>
            <w:vMerge/>
            <w:tcBorders>
              <w:top w:val="single" w:sz="12" w:space="0" w:color="auto"/>
              <w:bottom w:val="single" w:sz="12" w:space="0" w:color="auto"/>
            </w:tcBorders>
            <w:shd w:val="clear" w:color="auto" w:fill="auto"/>
            <w:vAlign w:val="bottom"/>
          </w:tcPr>
          <w:p w:rsidR="004B0C37" w:rsidRPr="00730AE7" w:rsidRDefault="004B0C37" w:rsidP="00730AE7">
            <w:pPr>
              <w:suppressAutoHyphens w:val="0"/>
              <w:spacing w:before="40" w:after="40" w:line="220" w:lineRule="exact"/>
              <w:ind w:right="113"/>
              <w:rPr>
                <w:sz w:val="18"/>
                <w:szCs w:val="16"/>
              </w:rPr>
            </w:pPr>
          </w:p>
        </w:tc>
        <w:tc>
          <w:tcPr>
            <w:tcW w:w="992" w:type="dxa"/>
            <w:tcBorders>
              <w:top w:val="single" w:sz="4" w:space="0" w:color="auto"/>
              <w:bottom w:val="single" w:sz="12" w:space="0" w:color="auto"/>
            </w:tcBorders>
            <w:shd w:val="clear" w:color="auto" w:fill="auto"/>
            <w:vAlign w:val="bottom"/>
          </w:tcPr>
          <w:p w:rsidR="004B0C37" w:rsidRPr="00192133" w:rsidRDefault="004B0C37" w:rsidP="00AC5AE2">
            <w:pPr>
              <w:suppressAutoHyphens w:val="0"/>
              <w:spacing w:before="80" w:after="80" w:line="200" w:lineRule="exact"/>
              <w:ind w:right="57"/>
              <w:jc w:val="right"/>
              <w:rPr>
                <w:i/>
                <w:sz w:val="16"/>
                <w:szCs w:val="16"/>
              </w:rPr>
            </w:pPr>
            <w:r w:rsidRPr="00192133">
              <w:rPr>
                <w:i/>
                <w:sz w:val="16"/>
                <w:szCs w:val="16"/>
              </w:rPr>
              <w:t>Males</w:t>
            </w:r>
          </w:p>
        </w:tc>
        <w:tc>
          <w:tcPr>
            <w:tcW w:w="992" w:type="dxa"/>
            <w:tcBorders>
              <w:top w:val="single" w:sz="4" w:space="0" w:color="auto"/>
              <w:bottom w:val="single" w:sz="12" w:space="0" w:color="auto"/>
            </w:tcBorders>
            <w:shd w:val="clear" w:color="auto" w:fill="auto"/>
            <w:vAlign w:val="bottom"/>
          </w:tcPr>
          <w:p w:rsidR="004B0C37" w:rsidRPr="00192133" w:rsidRDefault="004B0C37" w:rsidP="00AC5AE2">
            <w:pPr>
              <w:suppressAutoHyphens w:val="0"/>
              <w:spacing w:before="80" w:after="80" w:line="200" w:lineRule="exact"/>
              <w:ind w:right="57"/>
              <w:jc w:val="right"/>
              <w:rPr>
                <w:i/>
                <w:sz w:val="16"/>
                <w:szCs w:val="16"/>
              </w:rPr>
            </w:pPr>
            <w:r w:rsidRPr="00192133">
              <w:rPr>
                <w:i/>
                <w:sz w:val="16"/>
                <w:szCs w:val="16"/>
              </w:rPr>
              <w:t>Females</w:t>
            </w:r>
          </w:p>
        </w:tc>
        <w:tc>
          <w:tcPr>
            <w:tcW w:w="992" w:type="dxa"/>
            <w:tcBorders>
              <w:top w:val="single" w:sz="4" w:space="0" w:color="auto"/>
              <w:bottom w:val="single" w:sz="12" w:space="0" w:color="auto"/>
              <w:right w:val="single" w:sz="24" w:space="0" w:color="FFFFFF" w:themeColor="background1"/>
            </w:tcBorders>
            <w:shd w:val="clear" w:color="auto" w:fill="auto"/>
            <w:vAlign w:val="bottom"/>
          </w:tcPr>
          <w:p w:rsidR="004B0C37" w:rsidRPr="00192133" w:rsidRDefault="004B0C37" w:rsidP="00AC5AE2">
            <w:pPr>
              <w:suppressAutoHyphens w:val="0"/>
              <w:spacing w:before="80" w:after="80" w:line="200" w:lineRule="exact"/>
              <w:ind w:right="57"/>
              <w:jc w:val="right"/>
              <w:rPr>
                <w:i/>
                <w:sz w:val="16"/>
                <w:szCs w:val="16"/>
              </w:rPr>
            </w:pPr>
            <w:r w:rsidRPr="00192133">
              <w:rPr>
                <w:i/>
                <w:sz w:val="16"/>
                <w:szCs w:val="16"/>
              </w:rPr>
              <w:t>Total</w:t>
            </w:r>
          </w:p>
        </w:tc>
        <w:tc>
          <w:tcPr>
            <w:tcW w:w="992" w:type="dxa"/>
            <w:tcBorders>
              <w:top w:val="single" w:sz="4" w:space="0" w:color="auto"/>
              <w:left w:val="single" w:sz="24" w:space="0" w:color="FFFFFF" w:themeColor="background1"/>
              <w:bottom w:val="single" w:sz="12" w:space="0" w:color="auto"/>
            </w:tcBorders>
            <w:shd w:val="clear" w:color="auto" w:fill="auto"/>
            <w:vAlign w:val="bottom"/>
          </w:tcPr>
          <w:p w:rsidR="004B0C37" w:rsidRPr="00192133" w:rsidRDefault="004B0C37" w:rsidP="00AC5AE2">
            <w:pPr>
              <w:suppressAutoHyphens w:val="0"/>
              <w:spacing w:before="80" w:after="80" w:line="200" w:lineRule="exact"/>
              <w:ind w:right="57"/>
              <w:jc w:val="right"/>
              <w:rPr>
                <w:i/>
                <w:sz w:val="16"/>
                <w:szCs w:val="16"/>
              </w:rPr>
            </w:pPr>
            <w:r w:rsidRPr="00192133">
              <w:rPr>
                <w:i/>
                <w:sz w:val="16"/>
                <w:szCs w:val="16"/>
              </w:rPr>
              <w:t>Males</w:t>
            </w:r>
          </w:p>
        </w:tc>
        <w:tc>
          <w:tcPr>
            <w:tcW w:w="993" w:type="dxa"/>
            <w:tcBorders>
              <w:top w:val="single" w:sz="4" w:space="0" w:color="auto"/>
              <w:bottom w:val="single" w:sz="12" w:space="0" w:color="auto"/>
            </w:tcBorders>
            <w:shd w:val="clear" w:color="auto" w:fill="auto"/>
            <w:vAlign w:val="bottom"/>
          </w:tcPr>
          <w:p w:rsidR="004B0C37" w:rsidRPr="00192133" w:rsidRDefault="004B0C37" w:rsidP="00AC5AE2">
            <w:pPr>
              <w:suppressAutoHyphens w:val="0"/>
              <w:spacing w:before="80" w:after="80" w:line="200" w:lineRule="exact"/>
              <w:ind w:right="57"/>
              <w:jc w:val="right"/>
              <w:rPr>
                <w:i/>
                <w:sz w:val="16"/>
                <w:szCs w:val="16"/>
              </w:rPr>
            </w:pPr>
            <w:r w:rsidRPr="00192133">
              <w:rPr>
                <w:i/>
                <w:sz w:val="16"/>
                <w:szCs w:val="16"/>
              </w:rPr>
              <w:t>Females</w:t>
            </w:r>
          </w:p>
        </w:tc>
        <w:tc>
          <w:tcPr>
            <w:tcW w:w="992" w:type="dxa"/>
            <w:tcBorders>
              <w:top w:val="single" w:sz="4" w:space="0" w:color="auto"/>
              <w:bottom w:val="single" w:sz="12" w:space="0" w:color="auto"/>
              <w:right w:val="single" w:sz="24" w:space="0" w:color="FFFFFF" w:themeColor="background1"/>
            </w:tcBorders>
            <w:shd w:val="clear" w:color="auto" w:fill="auto"/>
            <w:vAlign w:val="bottom"/>
          </w:tcPr>
          <w:p w:rsidR="004B0C37" w:rsidRPr="00192133" w:rsidRDefault="004B0C37" w:rsidP="00AC5AE2">
            <w:pPr>
              <w:suppressAutoHyphens w:val="0"/>
              <w:spacing w:before="80" w:after="80" w:line="200" w:lineRule="exact"/>
              <w:ind w:right="57"/>
              <w:jc w:val="right"/>
              <w:rPr>
                <w:i/>
                <w:sz w:val="16"/>
                <w:szCs w:val="16"/>
              </w:rPr>
            </w:pPr>
            <w:r w:rsidRPr="00192133">
              <w:rPr>
                <w:i/>
                <w:sz w:val="16"/>
                <w:szCs w:val="16"/>
              </w:rPr>
              <w:t>Total</w:t>
            </w:r>
          </w:p>
        </w:tc>
        <w:tc>
          <w:tcPr>
            <w:tcW w:w="992" w:type="dxa"/>
            <w:tcBorders>
              <w:top w:val="single" w:sz="4" w:space="0" w:color="auto"/>
              <w:left w:val="single" w:sz="24" w:space="0" w:color="FFFFFF" w:themeColor="background1"/>
              <w:bottom w:val="single" w:sz="12" w:space="0" w:color="auto"/>
            </w:tcBorders>
            <w:shd w:val="clear" w:color="auto" w:fill="auto"/>
            <w:vAlign w:val="bottom"/>
          </w:tcPr>
          <w:p w:rsidR="004B0C37" w:rsidRPr="00192133" w:rsidRDefault="004B0C37" w:rsidP="00AC5AE2">
            <w:pPr>
              <w:suppressAutoHyphens w:val="0"/>
              <w:spacing w:before="80" w:after="80" w:line="200" w:lineRule="exact"/>
              <w:ind w:right="57"/>
              <w:jc w:val="right"/>
              <w:rPr>
                <w:i/>
                <w:sz w:val="16"/>
                <w:szCs w:val="16"/>
              </w:rPr>
            </w:pPr>
            <w:r w:rsidRPr="00192133">
              <w:rPr>
                <w:i/>
                <w:sz w:val="16"/>
                <w:szCs w:val="16"/>
              </w:rPr>
              <w:t>Males</w:t>
            </w:r>
          </w:p>
        </w:tc>
        <w:tc>
          <w:tcPr>
            <w:tcW w:w="993" w:type="dxa"/>
            <w:tcBorders>
              <w:top w:val="single" w:sz="4" w:space="0" w:color="auto"/>
              <w:bottom w:val="single" w:sz="12" w:space="0" w:color="auto"/>
            </w:tcBorders>
            <w:shd w:val="clear" w:color="auto" w:fill="auto"/>
            <w:vAlign w:val="bottom"/>
          </w:tcPr>
          <w:p w:rsidR="004B0C37" w:rsidRPr="00192133" w:rsidRDefault="004B0C37" w:rsidP="00AC5AE2">
            <w:pPr>
              <w:suppressAutoHyphens w:val="0"/>
              <w:spacing w:before="80" w:after="80" w:line="200" w:lineRule="exact"/>
              <w:ind w:right="57"/>
              <w:jc w:val="right"/>
              <w:rPr>
                <w:i/>
                <w:sz w:val="16"/>
                <w:szCs w:val="16"/>
              </w:rPr>
            </w:pPr>
            <w:r w:rsidRPr="00192133">
              <w:rPr>
                <w:i/>
                <w:sz w:val="16"/>
                <w:szCs w:val="16"/>
              </w:rPr>
              <w:t>Females</w:t>
            </w:r>
          </w:p>
        </w:tc>
        <w:tc>
          <w:tcPr>
            <w:tcW w:w="992" w:type="dxa"/>
            <w:tcBorders>
              <w:top w:val="single" w:sz="4" w:space="0" w:color="auto"/>
              <w:bottom w:val="single" w:sz="12" w:space="0" w:color="auto"/>
            </w:tcBorders>
            <w:shd w:val="clear" w:color="auto" w:fill="auto"/>
            <w:vAlign w:val="bottom"/>
          </w:tcPr>
          <w:p w:rsidR="004B0C37" w:rsidRPr="00192133" w:rsidRDefault="004B0C37" w:rsidP="00AC5AE2">
            <w:pPr>
              <w:suppressAutoHyphens w:val="0"/>
              <w:spacing w:before="80" w:after="80" w:line="200" w:lineRule="exact"/>
              <w:ind w:right="57"/>
              <w:jc w:val="right"/>
              <w:rPr>
                <w:i/>
                <w:sz w:val="16"/>
                <w:szCs w:val="16"/>
              </w:rPr>
            </w:pPr>
            <w:r w:rsidRPr="00192133">
              <w:rPr>
                <w:i/>
                <w:sz w:val="16"/>
                <w:szCs w:val="16"/>
              </w:rPr>
              <w:t>Total</w:t>
            </w:r>
          </w:p>
        </w:tc>
      </w:tr>
      <w:tr w:rsidR="004B0C37" w:rsidRPr="00730AE7" w:rsidTr="00FF09D2">
        <w:tc>
          <w:tcPr>
            <w:tcW w:w="709" w:type="dxa"/>
            <w:tcBorders>
              <w:top w:val="single" w:sz="12" w:space="0" w:color="auto"/>
              <w:bottom w:val="nil"/>
            </w:tcBorders>
            <w:shd w:val="clear" w:color="auto" w:fill="auto"/>
          </w:tcPr>
          <w:p w:rsidR="004B0C37" w:rsidRPr="00730AE7" w:rsidRDefault="004B0C37" w:rsidP="00192133">
            <w:pPr>
              <w:suppressAutoHyphens w:val="0"/>
              <w:spacing w:before="40" w:after="40" w:line="220" w:lineRule="exact"/>
              <w:ind w:right="113"/>
              <w:rPr>
                <w:sz w:val="18"/>
                <w:szCs w:val="16"/>
              </w:rPr>
            </w:pPr>
            <w:r w:rsidRPr="00730AE7">
              <w:rPr>
                <w:sz w:val="18"/>
                <w:szCs w:val="16"/>
              </w:rPr>
              <w:t>15</w:t>
            </w:r>
            <w:r w:rsidR="00192133">
              <w:rPr>
                <w:sz w:val="18"/>
                <w:szCs w:val="16"/>
              </w:rPr>
              <w:t>–</w:t>
            </w:r>
            <w:r w:rsidRPr="00730AE7">
              <w:rPr>
                <w:sz w:val="18"/>
                <w:szCs w:val="16"/>
              </w:rPr>
              <w:t>24</w:t>
            </w:r>
          </w:p>
        </w:tc>
        <w:tc>
          <w:tcPr>
            <w:tcW w:w="992" w:type="dxa"/>
            <w:tcBorders>
              <w:top w:val="single" w:sz="12" w:space="0" w:color="auto"/>
              <w:bottom w:val="nil"/>
            </w:tcBorders>
            <w:shd w:val="clear" w:color="auto" w:fill="auto"/>
            <w:vAlign w:val="bottom"/>
          </w:tcPr>
          <w:p w:rsidR="004B0C37" w:rsidRPr="00730AE7" w:rsidRDefault="004B0C37" w:rsidP="00AC5AE2">
            <w:pPr>
              <w:suppressAutoHyphens w:val="0"/>
              <w:spacing w:before="40" w:after="40" w:line="220" w:lineRule="exact"/>
              <w:ind w:right="57"/>
              <w:jc w:val="right"/>
              <w:rPr>
                <w:sz w:val="18"/>
                <w:szCs w:val="16"/>
                <w:lang w:val="en-US" w:bidi="ar-QA"/>
              </w:rPr>
            </w:pPr>
            <w:r w:rsidRPr="00730AE7">
              <w:rPr>
                <w:sz w:val="18"/>
                <w:szCs w:val="16"/>
                <w:lang w:val="en-US" w:bidi="ar-QA"/>
              </w:rPr>
              <w:t>13 603</w:t>
            </w:r>
          </w:p>
        </w:tc>
        <w:tc>
          <w:tcPr>
            <w:tcW w:w="992" w:type="dxa"/>
            <w:tcBorders>
              <w:top w:val="single" w:sz="12" w:space="0" w:color="auto"/>
              <w:bottom w:val="nil"/>
            </w:tcBorders>
            <w:shd w:val="clear" w:color="auto" w:fill="auto"/>
            <w:vAlign w:val="bottom"/>
          </w:tcPr>
          <w:p w:rsidR="004B0C37" w:rsidRPr="00730AE7" w:rsidRDefault="004B0C37" w:rsidP="00AC5AE2">
            <w:pPr>
              <w:suppressAutoHyphens w:val="0"/>
              <w:spacing w:before="40" w:after="40" w:line="220" w:lineRule="exact"/>
              <w:ind w:right="57"/>
              <w:jc w:val="right"/>
              <w:rPr>
                <w:sz w:val="18"/>
                <w:szCs w:val="16"/>
                <w:lang w:val="en-US" w:bidi="ar-QA"/>
              </w:rPr>
            </w:pPr>
            <w:r w:rsidRPr="00730AE7">
              <w:rPr>
                <w:sz w:val="18"/>
                <w:szCs w:val="16"/>
                <w:lang w:val="en-US" w:bidi="ar-QA"/>
              </w:rPr>
              <w:t>5 576</w:t>
            </w:r>
          </w:p>
        </w:tc>
        <w:tc>
          <w:tcPr>
            <w:tcW w:w="992" w:type="dxa"/>
            <w:tcBorders>
              <w:top w:val="single" w:sz="12" w:space="0" w:color="auto"/>
              <w:bottom w:val="nil"/>
            </w:tcBorders>
            <w:shd w:val="clear" w:color="auto" w:fill="auto"/>
            <w:vAlign w:val="bottom"/>
          </w:tcPr>
          <w:p w:rsidR="004B0C37" w:rsidRPr="00730AE7" w:rsidRDefault="004B0C37" w:rsidP="00AC5AE2">
            <w:pPr>
              <w:suppressAutoHyphens w:val="0"/>
              <w:spacing w:before="40" w:after="40" w:line="220" w:lineRule="exact"/>
              <w:ind w:right="57"/>
              <w:jc w:val="right"/>
              <w:rPr>
                <w:sz w:val="18"/>
                <w:szCs w:val="16"/>
                <w:lang w:val="en-US" w:bidi="ar-QA"/>
              </w:rPr>
            </w:pPr>
            <w:r w:rsidRPr="00730AE7">
              <w:rPr>
                <w:sz w:val="18"/>
                <w:szCs w:val="16"/>
                <w:lang w:val="en-US" w:bidi="ar-QA"/>
              </w:rPr>
              <w:t>19 179</w:t>
            </w:r>
          </w:p>
        </w:tc>
        <w:tc>
          <w:tcPr>
            <w:tcW w:w="992" w:type="dxa"/>
            <w:tcBorders>
              <w:top w:val="single" w:sz="12" w:space="0" w:color="auto"/>
              <w:bottom w:val="nil"/>
            </w:tcBorders>
            <w:shd w:val="clear" w:color="auto" w:fill="auto"/>
            <w:vAlign w:val="bottom"/>
          </w:tcPr>
          <w:p w:rsidR="004B0C37" w:rsidRPr="00730AE7" w:rsidRDefault="004B0C37" w:rsidP="00AC5AE2">
            <w:pPr>
              <w:suppressAutoHyphens w:val="0"/>
              <w:spacing w:before="40" w:after="40" w:line="220" w:lineRule="exact"/>
              <w:ind w:right="57"/>
              <w:jc w:val="right"/>
              <w:rPr>
                <w:sz w:val="18"/>
                <w:szCs w:val="16"/>
                <w:lang w:val="en-US" w:bidi="ar-QA"/>
              </w:rPr>
            </w:pPr>
            <w:r w:rsidRPr="00730AE7">
              <w:rPr>
                <w:sz w:val="18"/>
                <w:szCs w:val="16"/>
                <w:lang w:val="en-US" w:bidi="ar-QA"/>
              </w:rPr>
              <w:t>181 591</w:t>
            </w:r>
          </w:p>
        </w:tc>
        <w:tc>
          <w:tcPr>
            <w:tcW w:w="993" w:type="dxa"/>
            <w:tcBorders>
              <w:top w:val="single" w:sz="12" w:space="0" w:color="auto"/>
              <w:bottom w:val="nil"/>
            </w:tcBorders>
            <w:shd w:val="clear" w:color="auto" w:fill="auto"/>
            <w:vAlign w:val="bottom"/>
          </w:tcPr>
          <w:p w:rsidR="004B0C37" w:rsidRPr="00730AE7" w:rsidRDefault="004B0C37" w:rsidP="00AC5AE2">
            <w:pPr>
              <w:suppressAutoHyphens w:val="0"/>
              <w:spacing w:before="40" w:after="40" w:line="220" w:lineRule="exact"/>
              <w:ind w:right="57"/>
              <w:jc w:val="right"/>
              <w:rPr>
                <w:sz w:val="18"/>
                <w:szCs w:val="16"/>
                <w:lang w:val="en-US" w:bidi="ar-QA"/>
              </w:rPr>
            </w:pPr>
            <w:r w:rsidRPr="00730AE7">
              <w:rPr>
                <w:sz w:val="18"/>
                <w:szCs w:val="16"/>
                <w:lang w:val="en-US" w:bidi="ar-QA"/>
              </w:rPr>
              <w:t>34 684</w:t>
            </w:r>
          </w:p>
        </w:tc>
        <w:tc>
          <w:tcPr>
            <w:tcW w:w="992" w:type="dxa"/>
            <w:tcBorders>
              <w:top w:val="single" w:sz="12" w:space="0" w:color="auto"/>
              <w:bottom w:val="nil"/>
            </w:tcBorders>
            <w:shd w:val="clear" w:color="auto" w:fill="auto"/>
            <w:vAlign w:val="bottom"/>
          </w:tcPr>
          <w:p w:rsidR="004B0C37" w:rsidRPr="00730AE7" w:rsidRDefault="004B0C37" w:rsidP="00AC5AE2">
            <w:pPr>
              <w:suppressAutoHyphens w:val="0"/>
              <w:spacing w:before="40" w:after="40" w:line="220" w:lineRule="exact"/>
              <w:ind w:right="57"/>
              <w:jc w:val="right"/>
              <w:rPr>
                <w:sz w:val="18"/>
                <w:szCs w:val="16"/>
                <w:lang w:val="en-US" w:bidi="ar-QA"/>
              </w:rPr>
            </w:pPr>
            <w:r w:rsidRPr="00730AE7">
              <w:rPr>
                <w:sz w:val="18"/>
                <w:szCs w:val="16"/>
                <w:lang w:val="en-US" w:bidi="ar-QA"/>
              </w:rPr>
              <w:t>216 275</w:t>
            </w:r>
          </w:p>
        </w:tc>
        <w:tc>
          <w:tcPr>
            <w:tcW w:w="992" w:type="dxa"/>
            <w:tcBorders>
              <w:top w:val="single" w:sz="12" w:space="0" w:color="auto"/>
              <w:bottom w:val="nil"/>
            </w:tcBorders>
            <w:shd w:val="clear" w:color="auto" w:fill="auto"/>
            <w:vAlign w:val="bottom"/>
          </w:tcPr>
          <w:p w:rsidR="004B0C37" w:rsidRPr="00730AE7" w:rsidRDefault="004B0C37" w:rsidP="00AC5AE2">
            <w:pPr>
              <w:suppressAutoHyphens w:val="0"/>
              <w:spacing w:before="40" w:after="40" w:line="220" w:lineRule="exact"/>
              <w:ind w:right="57"/>
              <w:jc w:val="right"/>
              <w:rPr>
                <w:sz w:val="18"/>
                <w:szCs w:val="16"/>
                <w:lang w:val="en-US" w:bidi="ar-QA"/>
              </w:rPr>
            </w:pPr>
            <w:r w:rsidRPr="00730AE7">
              <w:rPr>
                <w:sz w:val="18"/>
                <w:szCs w:val="16"/>
                <w:lang w:val="en-US" w:bidi="ar-QA"/>
              </w:rPr>
              <w:t>195 194</w:t>
            </w:r>
          </w:p>
        </w:tc>
        <w:tc>
          <w:tcPr>
            <w:tcW w:w="993" w:type="dxa"/>
            <w:tcBorders>
              <w:top w:val="single" w:sz="12" w:space="0" w:color="auto"/>
              <w:bottom w:val="nil"/>
            </w:tcBorders>
            <w:shd w:val="clear" w:color="auto" w:fill="auto"/>
            <w:vAlign w:val="bottom"/>
          </w:tcPr>
          <w:p w:rsidR="004B0C37" w:rsidRPr="00730AE7" w:rsidRDefault="004B0C37" w:rsidP="00AC5AE2">
            <w:pPr>
              <w:suppressAutoHyphens w:val="0"/>
              <w:spacing w:before="40" w:after="40" w:line="220" w:lineRule="exact"/>
              <w:ind w:right="57"/>
              <w:jc w:val="right"/>
              <w:rPr>
                <w:sz w:val="18"/>
                <w:szCs w:val="16"/>
                <w:lang w:val="en-US" w:bidi="ar-QA"/>
              </w:rPr>
            </w:pPr>
            <w:r w:rsidRPr="00730AE7">
              <w:rPr>
                <w:sz w:val="18"/>
                <w:szCs w:val="16"/>
                <w:lang w:val="en-US" w:bidi="ar-QA"/>
              </w:rPr>
              <w:t>40 260</w:t>
            </w:r>
          </w:p>
        </w:tc>
        <w:tc>
          <w:tcPr>
            <w:tcW w:w="992" w:type="dxa"/>
            <w:tcBorders>
              <w:top w:val="single" w:sz="12" w:space="0" w:color="auto"/>
              <w:bottom w:val="nil"/>
            </w:tcBorders>
            <w:shd w:val="clear" w:color="auto" w:fill="auto"/>
            <w:vAlign w:val="bottom"/>
          </w:tcPr>
          <w:p w:rsidR="004B0C37" w:rsidRPr="00730AE7" w:rsidRDefault="004B0C37" w:rsidP="00AC5AE2">
            <w:pPr>
              <w:suppressAutoHyphens w:val="0"/>
              <w:spacing w:before="40" w:after="40" w:line="220" w:lineRule="exact"/>
              <w:ind w:right="57"/>
              <w:jc w:val="right"/>
              <w:rPr>
                <w:sz w:val="18"/>
                <w:szCs w:val="16"/>
                <w:lang w:val="en-US" w:bidi="ar-QA"/>
              </w:rPr>
            </w:pPr>
            <w:r w:rsidRPr="00730AE7">
              <w:rPr>
                <w:sz w:val="18"/>
                <w:szCs w:val="16"/>
                <w:lang w:val="en-US" w:bidi="ar-QA"/>
              </w:rPr>
              <w:t>235 454</w:t>
            </w:r>
          </w:p>
        </w:tc>
      </w:tr>
      <w:tr w:rsidR="004B0C37" w:rsidRPr="00730AE7" w:rsidTr="00FF09D2">
        <w:tc>
          <w:tcPr>
            <w:tcW w:w="709" w:type="dxa"/>
            <w:tcBorders>
              <w:top w:val="nil"/>
              <w:bottom w:val="nil"/>
            </w:tcBorders>
            <w:shd w:val="clear" w:color="auto" w:fill="auto"/>
          </w:tcPr>
          <w:p w:rsidR="004B0C37" w:rsidRPr="00730AE7" w:rsidRDefault="00192133" w:rsidP="00730AE7">
            <w:pPr>
              <w:suppressAutoHyphens w:val="0"/>
              <w:spacing w:before="40" w:after="40" w:line="220" w:lineRule="exact"/>
              <w:ind w:right="113"/>
              <w:rPr>
                <w:sz w:val="18"/>
                <w:szCs w:val="16"/>
              </w:rPr>
            </w:pPr>
            <w:r>
              <w:rPr>
                <w:sz w:val="18"/>
                <w:szCs w:val="16"/>
              </w:rPr>
              <w:t>25–</w:t>
            </w:r>
            <w:r w:rsidR="004B0C37" w:rsidRPr="00730AE7">
              <w:rPr>
                <w:sz w:val="18"/>
                <w:szCs w:val="16"/>
              </w:rPr>
              <w:t>34</w:t>
            </w:r>
          </w:p>
        </w:tc>
        <w:tc>
          <w:tcPr>
            <w:tcW w:w="992" w:type="dxa"/>
            <w:tcBorders>
              <w:top w:val="nil"/>
              <w:bottom w:val="nil"/>
            </w:tcBorders>
            <w:shd w:val="clear" w:color="auto" w:fill="auto"/>
            <w:vAlign w:val="bottom"/>
          </w:tcPr>
          <w:p w:rsidR="004B0C37" w:rsidRPr="00730AE7" w:rsidRDefault="004B0C37" w:rsidP="00AC5AE2">
            <w:pPr>
              <w:suppressAutoHyphens w:val="0"/>
              <w:spacing w:before="40" w:after="40" w:line="220" w:lineRule="exact"/>
              <w:ind w:right="57"/>
              <w:jc w:val="right"/>
              <w:rPr>
                <w:sz w:val="18"/>
                <w:szCs w:val="16"/>
                <w:lang w:val="en-US" w:bidi="ar-QA"/>
              </w:rPr>
            </w:pPr>
            <w:r w:rsidRPr="00730AE7">
              <w:rPr>
                <w:sz w:val="18"/>
                <w:szCs w:val="16"/>
                <w:lang w:val="en-US" w:bidi="ar-QA"/>
              </w:rPr>
              <w:t>21 893</w:t>
            </w:r>
          </w:p>
        </w:tc>
        <w:tc>
          <w:tcPr>
            <w:tcW w:w="992" w:type="dxa"/>
            <w:tcBorders>
              <w:top w:val="nil"/>
              <w:bottom w:val="nil"/>
            </w:tcBorders>
            <w:shd w:val="clear" w:color="auto" w:fill="auto"/>
            <w:vAlign w:val="bottom"/>
          </w:tcPr>
          <w:p w:rsidR="004B0C37" w:rsidRPr="00730AE7" w:rsidRDefault="004B0C37" w:rsidP="00AC5AE2">
            <w:pPr>
              <w:suppressAutoHyphens w:val="0"/>
              <w:spacing w:before="40" w:after="40" w:line="220" w:lineRule="exact"/>
              <w:ind w:right="57"/>
              <w:jc w:val="right"/>
              <w:rPr>
                <w:sz w:val="18"/>
                <w:szCs w:val="16"/>
                <w:lang w:val="en-US" w:bidi="ar-QA"/>
              </w:rPr>
            </w:pPr>
            <w:r w:rsidRPr="00730AE7">
              <w:rPr>
                <w:sz w:val="18"/>
                <w:szCs w:val="16"/>
                <w:lang w:val="en-US" w:bidi="ar-QA"/>
              </w:rPr>
              <w:t>16 368</w:t>
            </w:r>
          </w:p>
        </w:tc>
        <w:tc>
          <w:tcPr>
            <w:tcW w:w="992" w:type="dxa"/>
            <w:tcBorders>
              <w:top w:val="nil"/>
              <w:bottom w:val="nil"/>
            </w:tcBorders>
            <w:shd w:val="clear" w:color="auto" w:fill="auto"/>
            <w:vAlign w:val="bottom"/>
          </w:tcPr>
          <w:p w:rsidR="004B0C37" w:rsidRPr="00730AE7" w:rsidRDefault="004B0C37" w:rsidP="00AC5AE2">
            <w:pPr>
              <w:suppressAutoHyphens w:val="0"/>
              <w:spacing w:before="40" w:after="40" w:line="220" w:lineRule="exact"/>
              <w:ind w:right="57"/>
              <w:jc w:val="right"/>
              <w:rPr>
                <w:sz w:val="18"/>
                <w:szCs w:val="16"/>
                <w:lang w:val="en-US" w:bidi="ar-QA"/>
              </w:rPr>
            </w:pPr>
            <w:r w:rsidRPr="00730AE7">
              <w:rPr>
                <w:sz w:val="18"/>
                <w:szCs w:val="16"/>
                <w:lang w:val="en-US" w:bidi="ar-QA"/>
              </w:rPr>
              <w:t>38 261</w:t>
            </w:r>
          </w:p>
        </w:tc>
        <w:tc>
          <w:tcPr>
            <w:tcW w:w="992" w:type="dxa"/>
            <w:tcBorders>
              <w:top w:val="nil"/>
              <w:bottom w:val="nil"/>
            </w:tcBorders>
            <w:shd w:val="clear" w:color="auto" w:fill="auto"/>
            <w:vAlign w:val="bottom"/>
          </w:tcPr>
          <w:p w:rsidR="004B0C37" w:rsidRPr="00730AE7" w:rsidRDefault="004B0C37" w:rsidP="00AC5AE2">
            <w:pPr>
              <w:suppressAutoHyphens w:val="0"/>
              <w:spacing w:before="40" w:after="40" w:line="220" w:lineRule="exact"/>
              <w:ind w:right="57"/>
              <w:jc w:val="right"/>
              <w:rPr>
                <w:sz w:val="18"/>
                <w:szCs w:val="16"/>
                <w:lang w:val="en-US" w:bidi="ar-QA"/>
              </w:rPr>
            </w:pPr>
            <w:r w:rsidRPr="00730AE7">
              <w:rPr>
                <w:sz w:val="18"/>
                <w:szCs w:val="16"/>
                <w:lang w:val="en-US" w:bidi="ar-QA"/>
              </w:rPr>
              <w:t>684 692</w:t>
            </w:r>
          </w:p>
        </w:tc>
        <w:tc>
          <w:tcPr>
            <w:tcW w:w="993" w:type="dxa"/>
            <w:tcBorders>
              <w:top w:val="nil"/>
              <w:bottom w:val="nil"/>
            </w:tcBorders>
            <w:shd w:val="clear" w:color="auto" w:fill="auto"/>
            <w:vAlign w:val="bottom"/>
          </w:tcPr>
          <w:p w:rsidR="004B0C37" w:rsidRPr="00730AE7" w:rsidRDefault="004B0C37" w:rsidP="00AC5AE2">
            <w:pPr>
              <w:suppressAutoHyphens w:val="0"/>
              <w:spacing w:before="40" w:after="40" w:line="220" w:lineRule="exact"/>
              <w:ind w:right="57"/>
              <w:jc w:val="right"/>
              <w:rPr>
                <w:sz w:val="18"/>
                <w:szCs w:val="16"/>
                <w:lang w:val="en-US" w:bidi="ar-QA"/>
              </w:rPr>
            </w:pPr>
            <w:r w:rsidRPr="00730AE7">
              <w:rPr>
                <w:sz w:val="18"/>
                <w:szCs w:val="16"/>
                <w:lang w:val="en-US" w:bidi="ar-QA"/>
              </w:rPr>
              <w:t>99 233</w:t>
            </w:r>
          </w:p>
        </w:tc>
        <w:tc>
          <w:tcPr>
            <w:tcW w:w="992" w:type="dxa"/>
            <w:tcBorders>
              <w:top w:val="nil"/>
              <w:bottom w:val="nil"/>
            </w:tcBorders>
            <w:shd w:val="clear" w:color="auto" w:fill="auto"/>
            <w:vAlign w:val="bottom"/>
          </w:tcPr>
          <w:p w:rsidR="004B0C37" w:rsidRPr="00730AE7" w:rsidRDefault="004B0C37" w:rsidP="00AC5AE2">
            <w:pPr>
              <w:suppressAutoHyphens w:val="0"/>
              <w:spacing w:before="40" w:after="40" w:line="220" w:lineRule="exact"/>
              <w:ind w:right="57"/>
              <w:jc w:val="right"/>
              <w:rPr>
                <w:sz w:val="18"/>
                <w:szCs w:val="16"/>
                <w:lang w:val="en-US" w:bidi="ar-QA"/>
              </w:rPr>
            </w:pPr>
            <w:r w:rsidRPr="00730AE7">
              <w:rPr>
                <w:sz w:val="18"/>
                <w:szCs w:val="16"/>
                <w:lang w:val="en-US" w:bidi="ar-QA"/>
              </w:rPr>
              <w:t>783 925</w:t>
            </w:r>
          </w:p>
        </w:tc>
        <w:tc>
          <w:tcPr>
            <w:tcW w:w="992" w:type="dxa"/>
            <w:tcBorders>
              <w:top w:val="nil"/>
              <w:bottom w:val="nil"/>
            </w:tcBorders>
            <w:shd w:val="clear" w:color="auto" w:fill="auto"/>
            <w:vAlign w:val="bottom"/>
          </w:tcPr>
          <w:p w:rsidR="004B0C37" w:rsidRPr="00730AE7" w:rsidRDefault="004B0C37" w:rsidP="00AC5AE2">
            <w:pPr>
              <w:suppressAutoHyphens w:val="0"/>
              <w:spacing w:before="40" w:after="40" w:line="220" w:lineRule="exact"/>
              <w:ind w:right="57"/>
              <w:jc w:val="right"/>
              <w:rPr>
                <w:sz w:val="18"/>
                <w:szCs w:val="16"/>
                <w:lang w:val="en-US" w:bidi="ar-QA"/>
              </w:rPr>
            </w:pPr>
            <w:r w:rsidRPr="00730AE7">
              <w:rPr>
                <w:sz w:val="18"/>
                <w:szCs w:val="16"/>
                <w:lang w:val="en-US" w:bidi="ar-QA"/>
              </w:rPr>
              <w:t>706 585</w:t>
            </w:r>
          </w:p>
        </w:tc>
        <w:tc>
          <w:tcPr>
            <w:tcW w:w="993" w:type="dxa"/>
            <w:tcBorders>
              <w:top w:val="nil"/>
              <w:bottom w:val="nil"/>
            </w:tcBorders>
            <w:shd w:val="clear" w:color="auto" w:fill="auto"/>
            <w:vAlign w:val="bottom"/>
          </w:tcPr>
          <w:p w:rsidR="004B0C37" w:rsidRPr="00730AE7" w:rsidRDefault="004B0C37" w:rsidP="00AC5AE2">
            <w:pPr>
              <w:suppressAutoHyphens w:val="0"/>
              <w:spacing w:before="40" w:after="40" w:line="220" w:lineRule="exact"/>
              <w:ind w:right="57"/>
              <w:jc w:val="right"/>
              <w:rPr>
                <w:sz w:val="18"/>
                <w:szCs w:val="16"/>
                <w:lang w:val="en-US" w:bidi="ar-QA"/>
              </w:rPr>
            </w:pPr>
            <w:r w:rsidRPr="00730AE7">
              <w:rPr>
                <w:sz w:val="18"/>
                <w:szCs w:val="16"/>
                <w:lang w:val="en-US" w:bidi="ar-QA"/>
              </w:rPr>
              <w:t>115 601</w:t>
            </w:r>
          </w:p>
        </w:tc>
        <w:tc>
          <w:tcPr>
            <w:tcW w:w="992" w:type="dxa"/>
            <w:tcBorders>
              <w:top w:val="nil"/>
              <w:bottom w:val="nil"/>
            </w:tcBorders>
            <w:shd w:val="clear" w:color="auto" w:fill="auto"/>
            <w:vAlign w:val="bottom"/>
          </w:tcPr>
          <w:p w:rsidR="004B0C37" w:rsidRPr="00730AE7" w:rsidRDefault="004B0C37" w:rsidP="00AC5AE2">
            <w:pPr>
              <w:suppressAutoHyphens w:val="0"/>
              <w:spacing w:before="40" w:after="40" w:line="220" w:lineRule="exact"/>
              <w:ind w:right="57"/>
              <w:jc w:val="right"/>
              <w:rPr>
                <w:sz w:val="18"/>
                <w:szCs w:val="16"/>
                <w:lang w:val="en-US" w:bidi="ar-QA"/>
              </w:rPr>
            </w:pPr>
            <w:r w:rsidRPr="00730AE7">
              <w:rPr>
                <w:sz w:val="18"/>
                <w:szCs w:val="16"/>
                <w:lang w:val="en-US" w:bidi="ar-QA"/>
              </w:rPr>
              <w:t>822 186</w:t>
            </w:r>
          </w:p>
        </w:tc>
      </w:tr>
      <w:tr w:rsidR="004B0C37" w:rsidRPr="00730AE7" w:rsidTr="00FF09D2">
        <w:tc>
          <w:tcPr>
            <w:tcW w:w="709" w:type="dxa"/>
            <w:tcBorders>
              <w:top w:val="nil"/>
            </w:tcBorders>
            <w:shd w:val="clear" w:color="auto" w:fill="auto"/>
          </w:tcPr>
          <w:p w:rsidR="004B0C37" w:rsidRPr="00730AE7" w:rsidRDefault="00192133" w:rsidP="00730AE7">
            <w:pPr>
              <w:suppressAutoHyphens w:val="0"/>
              <w:spacing w:before="40" w:after="40" w:line="220" w:lineRule="exact"/>
              <w:ind w:right="113"/>
              <w:rPr>
                <w:sz w:val="18"/>
                <w:szCs w:val="16"/>
              </w:rPr>
            </w:pPr>
            <w:r>
              <w:rPr>
                <w:sz w:val="18"/>
                <w:szCs w:val="16"/>
              </w:rPr>
              <w:lastRenderedPageBreak/>
              <w:t>35–</w:t>
            </w:r>
            <w:r w:rsidR="004B0C37" w:rsidRPr="00730AE7">
              <w:rPr>
                <w:sz w:val="18"/>
                <w:szCs w:val="16"/>
              </w:rPr>
              <w:t>44</w:t>
            </w:r>
          </w:p>
        </w:tc>
        <w:tc>
          <w:tcPr>
            <w:tcW w:w="992" w:type="dxa"/>
            <w:tcBorders>
              <w:top w:val="nil"/>
            </w:tcBorders>
            <w:shd w:val="clear" w:color="auto" w:fill="auto"/>
            <w:vAlign w:val="bottom"/>
          </w:tcPr>
          <w:p w:rsidR="004B0C37" w:rsidRPr="00730AE7" w:rsidRDefault="004B0C37" w:rsidP="00AC5AE2">
            <w:pPr>
              <w:suppressAutoHyphens w:val="0"/>
              <w:spacing w:before="40" w:after="40" w:line="220" w:lineRule="exact"/>
              <w:ind w:right="57"/>
              <w:jc w:val="right"/>
              <w:rPr>
                <w:sz w:val="18"/>
                <w:szCs w:val="16"/>
                <w:lang w:val="en-US" w:bidi="ar-QA"/>
              </w:rPr>
            </w:pPr>
            <w:r w:rsidRPr="00730AE7">
              <w:rPr>
                <w:sz w:val="18"/>
                <w:szCs w:val="16"/>
                <w:lang w:val="en-US" w:bidi="ar-QA"/>
              </w:rPr>
              <w:t>15 310</w:t>
            </w:r>
          </w:p>
        </w:tc>
        <w:tc>
          <w:tcPr>
            <w:tcW w:w="992" w:type="dxa"/>
            <w:tcBorders>
              <w:top w:val="nil"/>
            </w:tcBorders>
            <w:shd w:val="clear" w:color="auto" w:fill="auto"/>
            <w:vAlign w:val="bottom"/>
          </w:tcPr>
          <w:p w:rsidR="004B0C37" w:rsidRPr="00730AE7" w:rsidRDefault="004B0C37" w:rsidP="00AC5AE2">
            <w:pPr>
              <w:suppressAutoHyphens w:val="0"/>
              <w:spacing w:before="40" w:after="40" w:line="220" w:lineRule="exact"/>
              <w:ind w:right="57"/>
              <w:jc w:val="right"/>
              <w:rPr>
                <w:sz w:val="18"/>
                <w:szCs w:val="16"/>
                <w:lang w:val="en-US" w:bidi="ar-QA"/>
              </w:rPr>
            </w:pPr>
            <w:r w:rsidRPr="00730AE7">
              <w:rPr>
                <w:sz w:val="18"/>
                <w:szCs w:val="16"/>
                <w:lang w:val="en-US" w:bidi="ar-QA"/>
              </w:rPr>
              <w:t>9 733</w:t>
            </w:r>
          </w:p>
        </w:tc>
        <w:tc>
          <w:tcPr>
            <w:tcW w:w="992" w:type="dxa"/>
            <w:tcBorders>
              <w:top w:val="nil"/>
            </w:tcBorders>
            <w:shd w:val="clear" w:color="auto" w:fill="auto"/>
            <w:vAlign w:val="bottom"/>
          </w:tcPr>
          <w:p w:rsidR="004B0C37" w:rsidRPr="00730AE7" w:rsidRDefault="004B0C37" w:rsidP="00AC5AE2">
            <w:pPr>
              <w:suppressAutoHyphens w:val="0"/>
              <w:spacing w:before="40" w:after="40" w:line="220" w:lineRule="exact"/>
              <w:ind w:right="57"/>
              <w:jc w:val="right"/>
              <w:rPr>
                <w:sz w:val="18"/>
                <w:szCs w:val="16"/>
                <w:lang w:val="en-US" w:bidi="ar-QA"/>
              </w:rPr>
            </w:pPr>
            <w:r w:rsidRPr="00730AE7">
              <w:rPr>
                <w:sz w:val="18"/>
                <w:szCs w:val="16"/>
                <w:lang w:val="en-US" w:bidi="ar-QA"/>
              </w:rPr>
              <w:t>25 043</w:t>
            </w:r>
          </w:p>
        </w:tc>
        <w:tc>
          <w:tcPr>
            <w:tcW w:w="992" w:type="dxa"/>
            <w:tcBorders>
              <w:top w:val="nil"/>
            </w:tcBorders>
            <w:shd w:val="clear" w:color="auto" w:fill="auto"/>
            <w:vAlign w:val="bottom"/>
          </w:tcPr>
          <w:p w:rsidR="004B0C37" w:rsidRPr="00730AE7" w:rsidRDefault="004B0C37" w:rsidP="00AC5AE2">
            <w:pPr>
              <w:suppressAutoHyphens w:val="0"/>
              <w:spacing w:before="40" w:after="40" w:line="220" w:lineRule="exact"/>
              <w:ind w:right="57"/>
              <w:jc w:val="right"/>
              <w:rPr>
                <w:sz w:val="18"/>
                <w:szCs w:val="16"/>
                <w:lang w:val="en-US" w:bidi="ar-QA"/>
              </w:rPr>
            </w:pPr>
            <w:r w:rsidRPr="00730AE7">
              <w:rPr>
                <w:sz w:val="18"/>
                <w:szCs w:val="16"/>
                <w:lang w:val="en-US" w:bidi="ar-QA"/>
              </w:rPr>
              <w:t>514 441</w:t>
            </w:r>
          </w:p>
        </w:tc>
        <w:tc>
          <w:tcPr>
            <w:tcW w:w="993" w:type="dxa"/>
            <w:tcBorders>
              <w:top w:val="nil"/>
            </w:tcBorders>
            <w:shd w:val="clear" w:color="auto" w:fill="auto"/>
            <w:vAlign w:val="bottom"/>
          </w:tcPr>
          <w:p w:rsidR="004B0C37" w:rsidRPr="00730AE7" w:rsidRDefault="004B0C37" w:rsidP="00AC5AE2">
            <w:pPr>
              <w:suppressAutoHyphens w:val="0"/>
              <w:spacing w:before="40" w:after="40" w:line="220" w:lineRule="exact"/>
              <w:ind w:right="57"/>
              <w:jc w:val="right"/>
              <w:rPr>
                <w:sz w:val="18"/>
                <w:szCs w:val="16"/>
                <w:lang w:val="en-US" w:bidi="ar-QA"/>
              </w:rPr>
            </w:pPr>
            <w:r w:rsidRPr="00730AE7">
              <w:rPr>
                <w:sz w:val="18"/>
                <w:szCs w:val="16"/>
                <w:lang w:val="en-US" w:bidi="ar-QA"/>
              </w:rPr>
              <w:t>82 853</w:t>
            </w:r>
          </w:p>
        </w:tc>
        <w:tc>
          <w:tcPr>
            <w:tcW w:w="992" w:type="dxa"/>
            <w:tcBorders>
              <w:top w:val="nil"/>
            </w:tcBorders>
            <w:shd w:val="clear" w:color="auto" w:fill="auto"/>
            <w:vAlign w:val="bottom"/>
          </w:tcPr>
          <w:p w:rsidR="004B0C37" w:rsidRPr="00730AE7" w:rsidRDefault="004B0C37" w:rsidP="00AC5AE2">
            <w:pPr>
              <w:suppressAutoHyphens w:val="0"/>
              <w:spacing w:before="40" w:after="40" w:line="220" w:lineRule="exact"/>
              <w:ind w:right="57"/>
              <w:jc w:val="right"/>
              <w:rPr>
                <w:sz w:val="18"/>
                <w:szCs w:val="16"/>
                <w:lang w:val="en-US" w:bidi="ar-QA"/>
              </w:rPr>
            </w:pPr>
            <w:r w:rsidRPr="00730AE7">
              <w:rPr>
                <w:sz w:val="18"/>
                <w:szCs w:val="16"/>
                <w:lang w:val="en-US" w:bidi="ar-QA"/>
              </w:rPr>
              <w:t>597 294</w:t>
            </w:r>
          </w:p>
        </w:tc>
        <w:tc>
          <w:tcPr>
            <w:tcW w:w="992" w:type="dxa"/>
            <w:tcBorders>
              <w:top w:val="nil"/>
            </w:tcBorders>
            <w:shd w:val="clear" w:color="auto" w:fill="auto"/>
            <w:vAlign w:val="bottom"/>
          </w:tcPr>
          <w:p w:rsidR="004B0C37" w:rsidRPr="00730AE7" w:rsidRDefault="004B0C37" w:rsidP="00AC5AE2">
            <w:pPr>
              <w:suppressAutoHyphens w:val="0"/>
              <w:spacing w:before="40" w:after="40" w:line="220" w:lineRule="exact"/>
              <w:ind w:right="57"/>
              <w:jc w:val="right"/>
              <w:rPr>
                <w:sz w:val="18"/>
                <w:szCs w:val="16"/>
                <w:lang w:val="en-US" w:bidi="ar-QA"/>
              </w:rPr>
            </w:pPr>
            <w:r w:rsidRPr="00730AE7">
              <w:rPr>
                <w:sz w:val="18"/>
                <w:szCs w:val="16"/>
                <w:lang w:val="en-US" w:bidi="ar-QA"/>
              </w:rPr>
              <w:t>529 751</w:t>
            </w:r>
          </w:p>
        </w:tc>
        <w:tc>
          <w:tcPr>
            <w:tcW w:w="993" w:type="dxa"/>
            <w:tcBorders>
              <w:top w:val="nil"/>
            </w:tcBorders>
            <w:shd w:val="clear" w:color="auto" w:fill="auto"/>
            <w:vAlign w:val="bottom"/>
          </w:tcPr>
          <w:p w:rsidR="004B0C37" w:rsidRPr="00730AE7" w:rsidRDefault="004B0C37" w:rsidP="00AC5AE2">
            <w:pPr>
              <w:suppressAutoHyphens w:val="0"/>
              <w:spacing w:before="40" w:after="40" w:line="220" w:lineRule="exact"/>
              <w:ind w:right="57"/>
              <w:jc w:val="right"/>
              <w:rPr>
                <w:sz w:val="18"/>
                <w:szCs w:val="16"/>
                <w:lang w:val="en-US" w:bidi="ar-QA"/>
              </w:rPr>
            </w:pPr>
            <w:r w:rsidRPr="00730AE7">
              <w:rPr>
                <w:sz w:val="18"/>
                <w:szCs w:val="16"/>
                <w:lang w:val="en-US" w:bidi="ar-QA"/>
              </w:rPr>
              <w:t>92 586</w:t>
            </w:r>
          </w:p>
        </w:tc>
        <w:tc>
          <w:tcPr>
            <w:tcW w:w="992" w:type="dxa"/>
            <w:tcBorders>
              <w:top w:val="nil"/>
            </w:tcBorders>
            <w:shd w:val="clear" w:color="auto" w:fill="auto"/>
            <w:vAlign w:val="bottom"/>
          </w:tcPr>
          <w:p w:rsidR="004B0C37" w:rsidRPr="00730AE7" w:rsidRDefault="004B0C37" w:rsidP="00AC5AE2">
            <w:pPr>
              <w:suppressAutoHyphens w:val="0"/>
              <w:spacing w:before="40" w:after="40" w:line="220" w:lineRule="exact"/>
              <w:ind w:right="57"/>
              <w:jc w:val="right"/>
              <w:rPr>
                <w:sz w:val="18"/>
                <w:szCs w:val="16"/>
                <w:lang w:val="en-US" w:bidi="ar-QA"/>
              </w:rPr>
            </w:pPr>
            <w:r w:rsidRPr="00730AE7">
              <w:rPr>
                <w:sz w:val="18"/>
                <w:szCs w:val="16"/>
                <w:lang w:val="en-US" w:bidi="ar-QA"/>
              </w:rPr>
              <w:t>622 337</w:t>
            </w:r>
          </w:p>
        </w:tc>
      </w:tr>
      <w:tr w:rsidR="004B0C37" w:rsidRPr="00730AE7" w:rsidTr="00FF09D2">
        <w:tc>
          <w:tcPr>
            <w:tcW w:w="709" w:type="dxa"/>
            <w:shd w:val="clear" w:color="auto" w:fill="auto"/>
          </w:tcPr>
          <w:p w:rsidR="004B0C37" w:rsidRPr="00730AE7" w:rsidRDefault="004B0C37" w:rsidP="00192133">
            <w:pPr>
              <w:suppressAutoHyphens w:val="0"/>
              <w:spacing w:before="40" w:after="40" w:line="220" w:lineRule="exact"/>
              <w:ind w:right="113"/>
              <w:rPr>
                <w:sz w:val="18"/>
                <w:szCs w:val="16"/>
              </w:rPr>
            </w:pPr>
            <w:r w:rsidRPr="00730AE7">
              <w:rPr>
                <w:sz w:val="18"/>
                <w:szCs w:val="16"/>
              </w:rPr>
              <w:t>45</w:t>
            </w:r>
            <w:r w:rsidR="00192133">
              <w:rPr>
                <w:sz w:val="18"/>
                <w:szCs w:val="16"/>
              </w:rPr>
              <w:t>–</w:t>
            </w:r>
            <w:r w:rsidRPr="00730AE7">
              <w:rPr>
                <w:sz w:val="18"/>
                <w:szCs w:val="16"/>
              </w:rPr>
              <w:t>54</w:t>
            </w:r>
          </w:p>
        </w:tc>
        <w:tc>
          <w:tcPr>
            <w:tcW w:w="992" w:type="dxa"/>
            <w:shd w:val="clear" w:color="auto" w:fill="auto"/>
            <w:vAlign w:val="bottom"/>
          </w:tcPr>
          <w:p w:rsidR="004B0C37" w:rsidRPr="00730AE7" w:rsidRDefault="004B0C37" w:rsidP="00AC5AE2">
            <w:pPr>
              <w:suppressAutoHyphens w:val="0"/>
              <w:spacing w:before="40" w:after="40" w:line="220" w:lineRule="exact"/>
              <w:ind w:right="57"/>
              <w:jc w:val="right"/>
              <w:rPr>
                <w:sz w:val="18"/>
                <w:szCs w:val="16"/>
                <w:lang w:val="en-US" w:bidi="ar-QA"/>
              </w:rPr>
            </w:pPr>
            <w:r w:rsidRPr="00730AE7">
              <w:rPr>
                <w:sz w:val="18"/>
                <w:szCs w:val="16"/>
                <w:lang w:val="en-US" w:bidi="ar-QA"/>
              </w:rPr>
              <w:t>12 524</w:t>
            </w:r>
          </w:p>
        </w:tc>
        <w:tc>
          <w:tcPr>
            <w:tcW w:w="992" w:type="dxa"/>
            <w:shd w:val="clear" w:color="auto" w:fill="auto"/>
            <w:vAlign w:val="bottom"/>
          </w:tcPr>
          <w:p w:rsidR="004B0C37" w:rsidRPr="00730AE7" w:rsidRDefault="004B0C37" w:rsidP="00AC5AE2">
            <w:pPr>
              <w:suppressAutoHyphens w:val="0"/>
              <w:spacing w:before="40" w:after="40" w:line="220" w:lineRule="exact"/>
              <w:ind w:right="57"/>
              <w:jc w:val="right"/>
              <w:rPr>
                <w:sz w:val="18"/>
                <w:szCs w:val="16"/>
                <w:lang w:val="en-US" w:bidi="ar-QA"/>
              </w:rPr>
            </w:pPr>
            <w:r w:rsidRPr="00730AE7">
              <w:rPr>
                <w:sz w:val="18"/>
                <w:szCs w:val="16"/>
                <w:lang w:val="en-US" w:bidi="ar-QA"/>
              </w:rPr>
              <w:t>4 679</w:t>
            </w:r>
          </w:p>
        </w:tc>
        <w:tc>
          <w:tcPr>
            <w:tcW w:w="992" w:type="dxa"/>
            <w:shd w:val="clear" w:color="auto" w:fill="auto"/>
            <w:vAlign w:val="bottom"/>
          </w:tcPr>
          <w:p w:rsidR="004B0C37" w:rsidRPr="00730AE7" w:rsidRDefault="004B0C37" w:rsidP="00AC5AE2">
            <w:pPr>
              <w:suppressAutoHyphens w:val="0"/>
              <w:spacing w:before="40" w:after="40" w:line="220" w:lineRule="exact"/>
              <w:ind w:right="57"/>
              <w:jc w:val="right"/>
              <w:rPr>
                <w:sz w:val="18"/>
                <w:szCs w:val="16"/>
                <w:lang w:val="en-US" w:bidi="ar-QA"/>
              </w:rPr>
            </w:pPr>
            <w:r w:rsidRPr="00730AE7">
              <w:rPr>
                <w:sz w:val="18"/>
                <w:szCs w:val="16"/>
                <w:lang w:val="en-US" w:bidi="ar-QA"/>
              </w:rPr>
              <w:t>17 203</w:t>
            </w:r>
          </w:p>
        </w:tc>
        <w:tc>
          <w:tcPr>
            <w:tcW w:w="992" w:type="dxa"/>
            <w:shd w:val="clear" w:color="auto" w:fill="auto"/>
            <w:vAlign w:val="bottom"/>
          </w:tcPr>
          <w:p w:rsidR="004B0C37" w:rsidRPr="00730AE7" w:rsidRDefault="004B0C37" w:rsidP="00AC5AE2">
            <w:pPr>
              <w:suppressAutoHyphens w:val="0"/>
              <w:spacing w:before="40" w:after="40" w:line="220" w:lineRule="exact"/>
              <w:ind w:right="57"/>
              <w:jc w:val="right"/>
              <w:rPr>
                <w:sz w:val="18"/>
                <w:szCs w:val="16"/>
                <w:lang w:val="en-US" w:bidi="ar-QA"/>
              </w:rPr>
            </w:pPr>
            <w:r w:rsidRPr="00730AE7">
              <w:rPr>
                <w:sz w:val="18"/>
                <w:szCs w:val="16"/>
                <w:lang w:val="en-US" w:bidi="ar-QA"/>
              </w:rPr>
              <w:t>248 671</w:t>
            </w:r>
          </w:p>
        </w:tc>
        <w:tc>
          <w:tcPr>
            <w:tcW w:w="993" w:type="dxa"/>
            <w:shd w:val="clear" w:color="auto" w:fill="auto"/>
            <w:vAlign w:val="bottom"/>
          </w:tcPr>
          <w:p w:rsidR="004B0C37" w:rsidRPr="00730AE7" w:rsidRDefault="004B0C37" w:rsidP="00AC5AE2">
            <w:pPr>
              <w:suppressAutoHyphens w:val="0"/>
              <w:spacing w:before="40" w:after="40" w:line="220" w:lineRule="exact"/>
              <w:ind w:right="57"/>
              <w:jc w:val="right"/>
              <w:rPr>
                <w:sz w:val="18"/>
                <w:szCs w:val="16"/>
                <w:lang w:val="en-US" w:bidi="ar-QA"/>
              </w:rPr>
            </w:pPr>
            <w:r w:rsidRPr="00730AE7">
              <w:rPr>
                <w:sz w:val="18"/>
                <w:szCs w:val="16"/>
                <w:lang w:val="en-US" w:bidi="ar-QA"/>
              </w:rPr>
              <w:t>17 949</w:t>
            </w:r>
          </w:p>
        </w:tc>
        <w:tc>
          <w:tcPr>
            <w:tcW w:w="992" w:type="dxa"/>
            <w:shd w:val="clear" w:color="auto" w:fill="auto"/>
            <w:vAlign w:val="bottom"/>
          </w:tcPr>
          <w:p w:rsidR="004B0C37" w:rsidRPr="00730AE7" w:rsidRDefault="004B0C37" w:rsidP="00AC5AE2">
            <w:pPr>
              <w:suppressAutoHyphens w:val="0"/>
              <w:spacing w:before="40" w:after="40" w:line="220" w:lineRule="exact"/>
              <w:ind w:right="57"/>
              <w:jc w:val="right"/>
              <w:rPr>
                <w:sz w:val="18"/>
                <w:szCs w:val="16"/>
                <w:lang w:val="en-US" w:bidi="ar-QA"/>
              </w:rPr>
            </w:pPr>
            <w:r w:rsidRPr="00730AE7">
              <w:rPr>
                <w:sz w:val="18"/>
                <w:szCs w:val="16"/>
                <w:lang w:val="en-US" w:bidi="ar-QA"/>
              </w:rPr>
              <w:t>266 620</w:t>
            </w:r>
          </w:p>
        </w:tc>
        <w:tc>
          <w:tcPr>
            <w:tcW w:w="992" w:type="dxa"/>
            <w:shd w:val="clear" w:color="auto" w:fill="auto"/>
            <w:vAlign w:val="bottom"/>
          </w:tcPr>
          <w:p w:rsidR="004B0C37" w:rsidRPr="00730AE7" w:rsidRDefault="004B0C37" w:rsidP="00AC5AE2">
            <w:pPr>
              <w:suppressAutoHyphens w:val="0"/>
              <w:spacing w:before="40" w:after="40" w:line="220" w:lineRule="exact"/>
              <w:ind w:right="57"/>
              <w:jc w:val="right"/>
              <w:rPr>
                <w:sz w:val="18"/>
                <w:szCs w:val="16"/>
                <w:lang w:val="en-US" w:bidi="ar-QA"/>
              </w:rPr>
            </w:pPr>
            <w:r w:rsidRPr="00730AE7">
              <w:rPr>
                <w:sz w:val="18"/>
                <w:szCs w:val="16"/>
                <w:lang w:val="en-US" w:bidi="ar-QA"/>
              </w:rPr>
              <w:t>261 195</w:t>
            </w:r>
          </w:p>
        </w:tc>
        <w:tc>
          <w:tcPr>
            <w:tcW w:w="993" w:type="dxa"/>
            <w:shd w:val="clear" w:color="auto" w:fill="auto"/>
            <w:vAlign w:val="bottom"/>
          </w:tcPr>
          <w:p w:rsidR="004B0C37" w:rsidRPr="00730AE7" w:rsidRDefault="004B0C37" w:rsidP="00AC5AE2">
            <w:pPr>
              <w:suppressAutoHyphens w:val="0"/>
              <w:spacing w:before="40" w:after="40" w:line="220" w:lineRule="exact"/>
              <w:ind w:right="57"/>
              <w:jc w:val="right"/>
              <w:rPr>
                <w:sz w:val="18"/>
                <w:szCs w:val="16"/>
                <w:lang w:val="en-US" w:bidi="ar-QA"/>
              </w:rPr>
            </w:pPr>
            <w:r w:rsidRPr="00730AE7">
              <w:rPr>
                <w:sz w:val="18"/>
                <w:szCs w:val="16"/>
                <w:lang w:val="en-US" w:bidi="ar-QA"/>
              </w:rPr>
              <w:t>22 628</w:t>
            </w:r>
          </w:p>
        </w:tc>
        <w:tc>
          <w:tcPr>
            <w:tcW w:w="992" w:type="dxa"/>
            <w:shd w:val="clear" w:color="auto" w:fill="auto"/>
            <w:vAlign w:val="bottom"/>
          </w:tcPr>
          <w:p w:rsidR="004B0C37" w:rsidRPr="00730AE7" w:rsidRDefault="004B0C37" w:rsidP="00AC5AE2">
            <w:pPr>
              <w:suppressAutoHyphens w:val="0"/>
              <w:spacing w:before="40" w:after="40" w:line="220" w:lineRule="exact"/>
              <w:ind w:right="57"/>
              <w:jc w:val="right"/>
              <w:rPr>
                <w:sz w:val="18"/>
                <w:szCs w:val="16"/>
                <w:lang w:val="en-US" w:bidi="ar-QA"/>
              </w:rPr>
            </w:pPr>
            <w:r w:rsidRPr="00730AE7">
              <w:rPr>
                <w:sz w:val="18"/>
                <w:szCs w:val="16"/>
                <w:lang w:val="en-US" w:bidi="ar-QA"/>
              </w:rPr>
              <w:t>283 823</w:t>
            </w:r>
          </w:p>
        </w:tc>
      </w:tr>
      <w:tr w:rsidR="004B0C37" w:rsidRPr="00730AE7" w:rsidTr="00451E07">
        <w:tc>
          <w:tcPr>
            <w:tcW w:w="709" w:type="dxa"/>
            <w:tcBorders>
              <w:bottom w:val="single" w:sz="4" w:space="0" w:color="auto"/>
            </w:tcBorders>
            <w:shd w:val="clear" w:color="auto" w:fill="auto"/>
          </w:tcPr>
          <w:p w:rsidR="004B0C37" w:rsidRPr="00730AE7" w:rsidRDefault="004B0C37" w:rsidP="00730AE7">
            <w:pPr>
              <w:suppressAutoHyphens w:val="0"/>
              <w:spacing w:before="40" w:after="40" w:line="220" w:lineRule="exact"/>
              <w:ind w:right="113"/>
              <w:rPr>
                <w:sz w:val="18"/>
                <w:szCs w:val="16"/>
              </w:rPr>
            </w:pPr>
            <w:r w:rsidRPr="00730AE7">
              <w:rPr>
                <w:sz w:val="18"/>
                <w:szCs w:val="16"/>
              </w:rPr>
              <w:t>55+</w:t>
            </w:r>
          </w:p>
        </w:tc>
        <w:tc>
          <w:tcPr>
            <w:tcW w:w="992" w:type="dxa"/>
            <w:tcBorders>
              <w:bottom w:val="single" w:sz="4" w:space="0" w:color="auto"/>
            </w:tcBorders>
            <w:shd w:val="clear" w:color="auto" w:fill="auto"/>
            <w:vAlign w:val="bottom"/>
          </w:tcPr>
          <w:p w:rsidR="004B0C37" w:rsidRPr="00730AE7" w:rsidRDefault="004B0C37" w:rsidP="00AC5AE2">
            <w:pPr>
              <w:suppressAutoHyphens w:val="0"/>
              <w:spacing w:before="40" w:after="40" w:line="220" w:lineRule="exact"/>
              <w:ind w:right="57"/>
              <w:jc w:val="right"/>
              <w:rPr>
                <w:sz w:val="18"/>
                <w:szCs w:val="16"/>
                <w:lang w:val="en-US" w:bidi="ar-QA"/>
              </w:rPr>
            </w:pPr>
            <w:r w:rsidRPr="00730AE7">
              <w:rPr>
                <w:sz w:val="18"/>
                <w:szCs w:val="16"/>
                <w:lang w:val="en-US" w:bidi="ar-QA"/>
              </w:rPr>
              <w:t>3 641</w:t>
            </w:r>
          </w:p>
        </w:tc>
        <w:tc>
          <w:tcPr>
            <w:tcW w:w="992" w:type="dxa"/>
            <w:tcBorders>
              <w:bottom w:val="single" w:sz="4" w:space="0" w:color="auto"/>
            </w:tcBorders>
            <w:shd w:val="clear" w:color="auto" w:fill="auto"/>
            <w:vAlign w:val="bottom"/>
          </w:tcPr>
          <w:p w:rsidR="004B0C37" w:rsidRPr="00730AE7" w:rsidRDefault="004B0C37" w:rsidP="00AC5AE2">
            <w:pPr>
              <w:suppressAutoHyphens w:val="0"/>
              <w:spacing w:before="40" w:after="40" w:line="220" w:lineRule="exact"/>
              <w:ind w:right="57"/>
              <w:jc w:val="right"/>
              <w:rPr>
                <w:sz w:val="18"/>
                <w:szCs w:val="16"/>
                <w:lang w:val="en-US" w:bidi="ar-QA"/>
              </w:rPr>
            </w:pPr>
            <w:r w:rsidRPr="00730AE7">
              <w:rPr>
                <w:sz w:val="18"/>
                <w:szCs w:val="16"/>
                <w:lang w:val="en-US" w:bidi="ar-QA"/>
              </w:rPr>
              <w:t>939</w:t>
            </w:r>
          </w:p>
        </w:tc>
        <w:tc>
          <w:tcPr>
            <w:tcW w:w="992" w:type="dxa"/>
            <w:tcBorders>
              <w:bottom w:val="single" w:sz="4" w:space="0" w:color="auto"/>
            </w:tcBorders>
            <w:shd w:val="clear" w:color="auto" w:fill="auto"/>
            <w:vAlign w:val="bottom"/>
          </w:tcPr>
          <w:p w:rsidR="004B0C37" w:rsidRPr="00730AE7" w:rsidRDefault="004B0C37" w:rsidP="00AC5AE2">
            <w:pPr>
              <w:suppressAutoHyphens w:val="0"/>
              <w:spacing w:before="40" w:after="40" w:line="220" w:lineRule="exact"/>
              <w:ind w:right="57"/>
              <w:jc w:val="right"/>
              <w:rPr>
                <w:sz w:val="18"/>
                <w:szCs w:val="16"/>
                <w:lang w:val="en-US" w:bidi="ar-QA"/>
              </w:rPr>
            </w:pPr>
            <w:r w:rsidRPr="00730AE7">
              <w:rPr>
                <w:sz w:val="18"/>
                <w:szCs w:val="16"/>
                <w:lang w:val="en-US" w:bidi="ar-QA"/>
              </w:rPr>
              <w:t>4 580</w:t>
            </w:r>
          </w:p>
        </w:tc>
        <w:tc>
          <w:tcPr>
            <w:tcW w:w="992" w:type="dxa"/>
            <w:tcBorders>
              <w:bottom w:val="single" w:sz="4" w:space="0" w:color="auto"/>
            </w:tcBorders>
            <w:shd w:val="clear" w:color="auto" w:fill="auto"/>
            <w:vAlign w:val="bottom"/>
          </w:tcPr>
          <w:p w:rsidR="004B0C37" w:rsidRPr="00730AE7" w:rsidRDefault="004B0C37" w:rsidP="00AC5AE2">
            <w:pPr>
              <w:suppressAutoHyphens w:val="0"/>
              <w:spacing w:before="40" w:after="40" w:line="220" w:lineRule="exact"/>
              <w:ind w:right="57"/>
              <w:jc w:val="right"/>
              <w:rPr>
                <w:sz w:val="18"/>
                <w:szCs w:val="16"/>
                <w:lang w:val="en-US" w:bidi="ar-QA"/>
              </w:rPr>
            </w:pPr>
            <w:r w:rsidRPr="00730AE7">
              <w:rPr>
                <w:sz w:val="18"/>
                <w:szCs w:val="16"/>
                <w:lang w:val="en-US" w:bidi="ar-QA"/>
              </w:rPr>
              <w:t>82 974</w:t>
            </w:r>
          </w:p>
        </w:tc>
        <w:tc>
          <w:tcPr>
            <w:tcW w:w="993" w:type="dxa"/>
            <w:tcBorders>
              <w:bottom w:val="single" w:sz="4" w:space="0" w:color="auto"/>
            </w:tcBorders>
            <w:shd w:val="clear" w:color="auto" w:fill="auto"/>
            <w:vAlign w:val="bottom"/>
          </w:tcPr>
          <w:p w:rsidR="004B0C37" w:rsidRPr="00730AE7" w:rsidRDefault="004B0C37" w:rsidP="00AC5AE2">
            <w:pPr>
              <w:suppressAutoHyphens w:val="0"/>
              <w:spacing w:before="40" w:after="40" w:line="220" w:lineRule="exact"/>
              <w:ind w:right="57"/>
              <w:jc w:val="right"/>
              <w:rPr>
                <w:sz w:val="18"/>
                <w:szCs w:val="16"/>
                <w:lang w:val="en-US" w:bidi="ar-QA"/>
              </w:rPr>
            </w:pPr>
            <w:r w:rsidRPr="00730AE7">
              <w:rPr>
                <w:sz w:val="18"/>
                <w:szCs w:val="16"/>
                <w:lang w:val="en-US" w:bidi="ar-QA"/>
              </w:rPr>
              <w:t>5 569</w:t>
            </w:r>
          </w:p>
        </w:tc>
        <w:tc>
          <w:tcPr>
            <w:tcW w:w="992" w:type="dxa"/>
            <w:tcBorders>
              <w:bottom w:val="single" w:sz="4" w:space="0" w:color="auto"/>
            </w:tcBorders>
            <w:shd w:val="clear" w:color="auto" w:fill="auto"/>
            <w:vAlign w:val="bottom"/>
          </w:tcPr>
          <w:p w:rsidR="004B0C37" w:rsidRPr="00730AE7" w:rsidRDefault="004B0C37" w:rsidP="00AC5AE2">
            <w:pPr>
              <w:suppressAutoHyphens w:val="0"/>
              <w:spacing w:before="40" w:after="40" w:line="220" w:lineRule="exact"/>
              <w:ind w:right="57"/>
              <w:jc w:val="right"/>
              <w:rPr>
                <w:sz w:val="18"/>
                <w:szCs w:val="16"/>
                <w:lang w:val="en-US" w:bidi="ar-QA"/>
              </w:rPr>
            </w:pPr>
            <w:r w:rsidRPr="00730AE7">
              <w:rPr>
                <w:sz w:val="18"/>
                <w:szCs w:val="16"/>
                <w:lang w:val="en-US" w:bidi="ar-QA"/>
              </w:rPr>
              <w:t>88 543</w:t>
            </w:r>
          </w:p>
        </w:tc>
        <w:tc>
          <w:tcPr>
            <w:tcW w:w="992" w:type="dxa"/>
            <w:tcBorders>
              <w:bottom w:val="single" w:sz="4" w:space="0" w:color="auto"/>
            </w:tcBorders>
            <w:shd w:val="clear" w:color="auto" w:fill="auto"/>
            <w:vAlign w:val="bottom"/>
          </w:tcPr>
          <w:p w:rsidR="004B0C37" w:rsidRPr="00730AE7" w:rsidRDefault="004B0C37" w:rsidP="00AC5AE2">
            <w:pPr>
              <w:suppressAutoHyphens w:val="0"/>
              <w:spacing w:before="40" w:after="40" w:line="220" w:lineRule="exact"/>
              <w:ind w:right="57"/>
              <w:jc w:val="right"/>
              <w:rPr>
                <w:sz w:val="18"/>
                <w:szCs w:val="16"/>
                <w:lang w:val="en-US" w:bidi="ar-QA"/>
              </w:rPr>
            </w:pPr>
            <w:r w:rsidRPr="00730AE7">
              <w:rPr>
                <w:sz w:val="18"/>
                <w:szCs w:val="16"/>
                <w:lang w:val="en-US" w:bidi="ar-QA"/>
              </w:rPr>
              <w:t>86 615</w:t>
            </w:r>
          </w:p>
        </w:tc>
        <w:tc>
          <w:tcPr>
            <w:tcW w:w="993" w:type="dxa"/>
            <w:tcBorders>
              <w:bottom w:val="single" w:sz="4" w:space="0" w:color="auto"/>
            </w:tcBorders>
            <w:shd w:val="clear" w:color="auto" w:fill="auto"/>
            <w:vAlign w:val="bottom"/>
          </w:tcPr>
          <w:p w:rsidR="004B0C37" w:rsidRPr="00730AE7" w:rsidRDefault="004B0C37" w:rsidP="00AC5AE2">
            <w:pPr>
              <w:suppressAutoHyphens w:val="0"/>
              <w:spacing w:before="40" w:after="40" w:line="220" w:lineRule="exact"/>
              <w:ind w:right="57"/>
              <w:jc w:val="right"/>
              <w:rPr>
                <w:sz w:val="18"/>
                <w:szCs w:val="16"/>
                <w:lang w:val="en-US" w:bidi="ar-QA"/>
              </w:rPr>
            </w:pPr>
            <w:r w:rsidRPr="00730AE7">
              <w:rPr>
                <w:sz w:val="18"/>
                <w:szCs w:val="16"/>
                <w:lang w:val="en-US" w:bidi="ar-QA"/>
              </w:rPr>
              <w:t>6 508</w:t>
            </w:r>
          </w:p>
        </w:tc>
        <w:tc>
          <w:tcPr>
            <w:tcW w:w="992" w:type="dxa"/>
            <w:tcBorders>
              <w:bottom w:val="single" w:sz="4" w:space="0" w:color="auto"/>
            </w:tcBorders>
            <w:shd w:val="clear" w:color="auto" w:fill="auto"/>
            <w:vAlign w:val="bottom"/>
          </w:tcPr>
          <w:p w:rsidR="004B0C37" w:rsidRPr="00730AE7" w:rsidRDefault="004B0C37" w:rsidP="00AC5AE2">
            <w:pPr>
              <w:suppressAutoHyphens w:val="0"/>
              <w:spacing w:before="40" w:after="40" w:line="220" w:lineRule="exact"/>
              <w:ind w:right="57"/>
              <w:jc w:val="right"/>
              <w:rPr>
                <w:sz w:val="18"/>
                <w:szCs w:val="16"/>
                <w:lang w:val="en-US" w:bidi="ar-QA"/>
              </w:rPr>
            </w:pPr>
            <w:r w:rsidRPr="00730AE7">
              <w:rPr>
                <w:sz w:val="18"/>
                <w:szCs w:val="16"/>
                <w:lang w:val="en-US" w:bidi="ar-QA"/>
              </w:rPr>
              <w:t>93 123</w:t>
            </w:r>
          </w:p>
        </w:tc>
      </w:tr>
      <w:tr w:rsidR="004B0C37" w:rsidRPr="00730AE7" w:rsidTr="00451E07">
        <w:tc>
          <w:tcPr>
            <w:tcW w:w="709" w:type="dxa"/>
            <w:tcBorders>
              <w:top w:val="single" w:sz="4" w:space="0" w:color="auto"/>
            </w:tcBorders>
            <w:shd w:val="clear" w:color="auto" w:fill="auto"/>
          </w:tcPr>
          <w:p w:rsidR="004B0C37" w:rsidRPr="00FA70AE" w:rsidRDefault="004B0C37" w:rsidP="00FF09D2">
            <w:pPr>
              <w:suppressAutoHyphens w:val="0"/>
              <w:spacing w:before="80" w:after="80" w:line="220" w:lineRule="exact"/>
              <w:ind w:left="113"/>
              <w:rPr>
                <w:b/>
                <w:sz w:val="18"/>
                <w:szCs w:val="16"/>
              </w:rPr>
            </w:pPr>
            <w:r w:rsidRPr="00AC5AE2">
              <w:rPr>
                <w:b/>
                <w:sz w:val="18"/>
                <w:szCs w:val="16"/>
              </w:rPr>
              <w:t>Total</w:t>
            </w:r>
          </w:p>
        </w:tc>
        <w:tc>
          <w:tcPr>
            <w:tcW w:w="992" w:type="dxa"/>
            <w:tcBorders>
              <w:top w:val="single" w:sz="4" w:space="0" w:color="auto"/>
            </w:tcBorders>
            <w:shd w:val="clear" w:color="auto" w:fill="auto"/>
            <w:vAlign w:val="bottom"/>
          </w:tcPr>
          <w:p w:rsidR="004B0C37" w:rsidRPr="00AC5AE2" w:rsidRDefault="004B0C37" w:rsidP="00FF09D2">
            <w:pPr>
              <w:suppressAutoHyphens w:val="0"/>
              <w:spacing w:before="80" w:after="80" w:line="220" w:lineRule="exact"/>
              <w:ind w:right="57"/>
              <w:jc w:val="right"/>
              <w:rPr>
                <w:b/>
                <w:sz w:val="18"/>
                <w:szCs w:val="16"/>
                <w:lang w:val="en-US" w:bidi="ar-QA"/>
              </w:rPr>
            </w:pPr>
            <w:r w:rsidRPr="00AC5AE2">
              <w:rPr>
                <w:b/>
                <w:sz w:val="18"/>
                <w:szCs w:val="16"/>
                <w:lang w:val="en-US" w:bidi="ar-QA"/>
              </w:rPr>
              <w:t>66 971</w:t>
            </w:r>
          </w:p>
        </w:tc>
        <w:tc>
          <w:tcPr>
            <w:tcW w:w="992" w:type="dxa"/>
            <w:tcBorders>
              <w:top w:val="single" w:sz="4" w:space="0" w:color="auto"/>
            </w:tcBorders>
            <w:shd w:val="clear" w:color="auto" w:fill="auto"/>
            <w:vAlign w:val="bottom"/>
          </w:tcPr>
          <w:p w:rsidR="004B0C37" w:rsidRPr="00AC5AE2" w:rsidRDefault="004B0C37" w:rsidP="00FF09D2">
            <w:pPr>
              <w:suppressAutoHyphens w:val="0"/>
              <w:spacing w:before="80" w:after="80" w:line="220" w:lineRule="exact"/>
              <w:ind w:right="57"/>
              <w:jc w:val="right"/>
              <w:rPr>
                <w:b/>
                <w:sz w:val="18"/>
                <w:szCs w:val="16"/>
                <w:lang w:val="en-US" w:bidi="ar-QA"/>
              </w:rPr>
            </w:pPr>
            <w:r w:rsidRPr="00AC5AE2">
              <w:rPr>
                <w:b/>
                <w:sz w:val="18"/>
                <w:szCs w:val="16"/>
                <w:lang w:val="en-US" w:bidi="ar-QA"/>
              </w:rPr>
              <w:t>37 295</w:t>
            </w:r>
          </w:p>
        </w:tc>
        <w:tc>
          <w:tcPr>
            <w:tcW w:w="992" w:type="dxa"/>
            <w:tcBorders>
              <w:top w:val="single" w:sz="4" w:space="0" w:color="auto"/>
            </w:tcBorders>
            <w:shd w:val="clear" w:color="auto" w:fill="auto"/>
            <w:vAlign w:val="bottom"/>
          </w:tcPr>
          <w:p w:rsidR="004B0C37" w:rsidRPr="00AC5AE2" w:rsidRDefault="004B0C37" w:rsidP="00FF09D2">
            <w:pPr>
              <w:suppressAutoHyphens w:val="0"/>
              <w:spacing w:before="80" w:after="80" w:line="220" w:lineRule="exact"/>
              <w:ind w:right="57"/>
              <w:jc w:val="right"/>
              <w:rPr>
                <w:b/>
                <w:sz w:val="18"/>
                <w:szCs w:val="16"/>
                <w:lang w:val="en-US" w:bidi="ar-QA"/>
              </w:rPr>
            </w:pPr>
            <w:r w:rsidRPr="00AC5AE2">
              <w:rPr>
                <w:b/>
                <w:sz w:val="18"/>
                <w:szCs w:val="16"/>
                <w:lang w:val="en-US" w:bidi="ar-QA"/>
              </w:rPr>
              <w:t>104 266</w:t>
            </w:r>
          </w:p>
        </w:tc>
        <w:tc>
          <w:tcPr>
            <w:tcW w:w="992" w:type="dxa"/>
            <w:tcBorders>
              <w:top w:val="single" w:sz="4" w:space="0" w:color="auto"/>
            </w:tcBorders>
            <w:shd w:val="clear" w:color="auto" w:fill="auto"/>
            <w:vAlign w:val="bottom"/>
          </w:tcPr>
          <w:p w:rsidR="004B0C37" w:rsidRPr="00AC5AE2" w:rsidRDefault="004B0C37" w:rsidP="00FF09D2">
            <w:pPr>
              <w:suppressAutoHyphens w:val="0"/>
              <w:spacing w:before="80" w:after="80" w:line="220" w:lineRule="exact"/>
              <w:ind w:right="57"/>
              <w:jc w:val="right"/>
              <w:rPr>
                <w:b/>
                <w:sz w:val="18"/>
                <w:szCs w:val="16"/>
                <w:lang w:val="en-US" w:bidi="ar-QA"/>
              </w:rPr>
            </w:pPr>
            <w:r w:rsidRPr="00AC5AE2">
              <w:rPr>
                <w:b/>
                <w:sz w:val="18"/>
                <w:szCs w:val="16"/>
                <w:lang w:val="en-US" w:bidi="ar-QA"/>
              </w:rPr>
              <w:t>1 712 369</w:t>
            </w:r>
          </w:p>
        </w:tc>
        <w:tc>
          <w:tcPr>
            <w:tcW w:w="993" w:type="dxa"/>
            <w:tcBorders>
              <w:top w:val="single" w:sz="4" w:space="0" w:color="auto"/>
            </w:tcBorders>
            <w:shd w:val="clear" w:color="auto" w:fill="auto"/>
            <w:vAlign w:val="bottom"/>
          </w:tcPr>
          <w:p w:rsidR="004B0C37" w:rsidRPr="00AC5AE2" w:rsidRDefault="004B0C37" w:rsidP="00FF09D2">
            <w:pPr>
              <w:suppressAutoHyphens w:val="0"/>
              <w:spacing w:before="80" w:after="80" w:line="220" w:lineRule="exact"/>
              <w:ind w:right="57"/>
              <w:jc w:val="right"/>
              <w:rPr>
                <w:b/>
                <w:sz w:val="18"/>
                <w:szCs w:val="16"/>
                <w:lang w:val="en-US" w:bidi="ar-QA"/>
              </w:rPr>
            </w:pPr>
            <w:r w:rsidRPr="00AC5AE2">
              <w:rPr>
                <w:b/>
                <w:sz w:val="18"/>
                <w:szCs w:val="16"/>
                <w:lang w:val="en-US" w:bidi="ar-QA"/>
              </w:rPr>
              <w:t>240 288</w:t>
            </w:r>
          </w:p>
        </w:tc>
        <w:tc>
          <w:tcPr>
            <w:tcW w:w="992" w:type="dxa"/>
            <w:tcBorders>
              <w:top w:val="single" w:sz="4" w:space="0" w:color="auto"/>
            </w:tcBorders>
            <w:shd w:val="clear" w:color="auto" w:fill="auto"/>
            <w:vAlign w:val="bottom"/>
          </w:tcPr>
          <w:p w:rsidR="004B0C37" w:rsidRPr="00AC5AE2" w:rsidRDefault="004B0C37" w:rsidP="00FF09D2">
            <w:pPr>
              <w:suppressAutoHyphens w:val="0"/>
              <w:spacing w:before="80" w:after="80" w:line="220" w:lineRule="exact"/>
              <w:ind w:right="57"/>
              <w:jc w:val="right"/>
              <w:rPr>
                <w:b/>
                <w:sz w:val="18"/>
                <w:szCs w:val="16"/>
                <w:lang w:val="en-US" w:bidi="ar-QA"/>
              </w:rPr>
            </w:pPr>
            <w:r w:rsidRPr="00AC5AE2">
              <w:rPr>
                <w:b/>
                <w:sz w:val="18"/>
                <w:szCs w:val="16"/>
                <w:lang w:val="en-US" w:bidi="ar-QA"/>
              </w:rPr>
              <w:t>1 952 657</w:t>
            </w:r>
          </w:p>
        </w:tc>
        <w:tc>
          <w:tcPr>
            <w:tcW w:w="992" w:type="dxa"/>
            <w:tcBorders>
              <w:top w:val="single" w:sz="4" w:space="0" w:color="auto"/>
            </w:tcBorders>
            <w:shd w:val="clear" w:color="auto" w:fill="auto"/>
            <w:vAlign w:val="bottom"/>
          </w:tcPr>
          <w:p w:rsidR="004B0C37" w:rsidRPr="00AC5AE2" w:rsidRDefault="004B0C37" w:rsidP="00FF09D2">
            <w:pPr>
              <w:suppressAutoHyphens w:val="0"/>
              <w:spacing w:before="80" w:after="80" w:line="220" w:lineRule="exact"/>
              <w:ind w:right="57"/>
              <w:jc w:val="right"/>
              <w:rPr>
                <w:b/>
                <w:sz w:val="18"/>
                <w:szCs w:val="16"/>
                <w:lang w:val="en-US" w:bidi="ar-QA"/>
              </w:rPr>
            </w:pPr>
            <w:r w:rsidRPr="00AC5AE2">
              <w:rPr>
                <w:b/>
                <w:sz w:val="18"/>
                <w:szCs w:val="16"/>
                <w:lang w:val="en-US" w:bidi="ar-QA"/>
              </w:rPr>
              <w:t>1 779 340</w:t>
            </w:r>
          </w:p>
        </w:tc>
        <w:tc>
          <w:tcPr>
            <w:tcW w:w="993" w:type="dxa"/>
            <w:tcBorders>
              <w:top w:val="single" w:sz="4" w:space="0" w:color="auto"/>
            </w:tcBorders>
            <w:shd w:val="clear" w:color="auto" w:fill="auto"/>
            <w:vAlign w:val="bottom"/>
          </w:tcPr>
          <w:p w:rsidR="004B0C37" w:rsidRPr="00AC5AE2" w:rsidRDefault="004B0C37" w:rsidP="00FF09D2">
            <w:pPr>
              <w:suppressAutoHyphens w:val="0"/>
              <w:spacing w:before="80" w:after="80" w:line="220" w:lineRule="exact"/>
              <w:ind w:right="57"/>
              <w:jc w:val="right"/>
              <w:rPr>
                <w:b/>
                <w:sz w:val="18"/>
                <w:szCs w:val="16"/>
                <w:lang w:val="en-US" w:bidi="ar-QA"/>
              </w:rPr>
            </w:pPr>
            <w:r w:rsidRPr="00AC5AE2">
              <w:rPr>
                <w:b/>
                <w:sz w:val="18"/>
                <w:szCs w:val="16"/>
                <w:lang w:val="en-US" w:bidi="ar-QA"/>
              </w:rPr>
              <w:t>277 583</w:t>
            </w:r>
          </w:p>
        </w:tc>
        <w:tc>
          <w:tcPr>
            <w:tcW w:w="992" w:type="dxa"/>
            <w:tcBorders>
              <w:top w:val="single" w:sz="4" w:space="0" w:color="auto"/>
            </w:tcBorders>
            <w:shd w:val="clear" w:color="auto" w:fill="auto"/>
            <w:vAlign w:val="bottom"/>
          </w:tcPr>
          <w:p w:rsidR="004B0C37" w:rsidRPr="00AC5AE2" w:rsidRDefault="004B0C37" w:rsidP="00FF09D2">
            <w:pPr>
              <w:suppressAutoHyphens w:val="0"/>
              <w:spacing w:before="80" w:after="80" w:line="220" w:lineRule="exact"/>
              <w:ind w:right="57"/>
              <w:jc w:val="right"/>
              <w:rPr>
                <w:b/>
                <w:sz w:val="18"/>
                <w:szCs w:val="16"/>
                <w:lang w:val="en-US" w:bidi="ar-QA"/>
              </w:rPr>
            </w:pPr>
            <w:r w:rsidRPr="00AC5AE2">
              <w:rPr>
                <w:b/>
                <w:sz w:val="18"/>
                <w:szCs w:val="16"/>
                <w:lang w:val="en-US" w:bidi="ar-QA"/>
              </w:rPr>
              <w:t>2 056 923</w:t>
            </w:r>
          </w:p>
        </w:tc>
      </w:tr>
    </w:tbl>
    <w:p w:rsidR="0060531D" w:rsidRPr="00F80CC4" w:rsidRDefault="004B0C37" w:rsidP="00F80CC4">
      <w:pPr>
        <w:spacing w:before="120"/>
        <w:ind w:left="1134" w:right="1134" w:firstLine="170"/>
        <w:rPr>
          <w:sz w:val="18"/>
        </w:rPr>
      </w:pPr>
      <w:r w:rsidRPr="00F80CC4">
        <w:rPr>
          <w:i/>
          <w:iCs/>
          <w:sz w:val="18"/>
        </w:rPr>
        <w:t>Source:</w:t>
      </w:r>
      <w:r w:rsidRPr="00F80CC4">
        <w:rPr>
          <w:sz w:val="18"/>
        </w:rPr>
        <w:t xml:space="preserve"> </w:t>
      </w:r>
      <w:r w:rsidR="00F80CC4">
        <w:rPr>
          <w:sz w:val="18"/>
        </w:rPr>
        <w:t xml:space="preserve"> </w:t>
      </w:r>
      <w:r w:rsidRPr="00F80CC4">
        <w:rPr>
          <w:sz w:val="18"/>
        </w:rPr>
        <w:t>Ministry of Development Planning and Statistics: La</w:t>
      </w:r>
      <w:r w:rsidR="007F3CD4">
        <w:rPr>
          <w:sz w:val="18"/>
        </w:rPr>
        <w:t>bour Force Sample Survey (2017).</w:t>
      </w:r>
    </w:p>
    <w:p w:rsidR="0060531D" w:rsidRDefault="00881905" w:rsidP="00881905">
      <w:pPr>
        <w:pStyle w:val="H23G"/>
      </w:pPr>
      <w:r>
        <w:tab/>
      </w:r>
      <w:r>
        <w:tab/>
      </w:r>
      <w:r w:rsidR="004B0C37" w:rsidRPr="0034732A">
        <w:t>Participation in the workforce</w:t>
      </w:r>
    </w:p>
    <w:p w:rsidR="0060531D" w:rsidRDefault="004B0C37" w:rsidP="00881905">
      <w:pPr>
        <w:pStyle w:val="SingleTxtG"/>
      </w:pPr>
      <w:r w:rsidRPr="0034732A">
        <w:t>31</w:t>
      </w:r>
      <w:r w:rsidR="00276B1C">
        <w:t>.</w:t>
      </w:r>
      <w:r w:rsidR="00276B1C">
        <w:tab/>
      </w:r>
      <w:r w:rsidRPr="0034732A">
        <w:t xml:space="preserve">Participation in the workforce </w:t>
      </w:r>
      <w:r>
        <w:t>by</w:t>
      </w:r>
      <w:r w:rsidRPr="0034732A">
        <w:t xml:space="preserve"> those aged 15 and above stood at 88.4 per cent.</w:t>
      </w:r>
      <w:r w:rsidR="007F4A3A">
        <w:t xml:space="preserve"> </w:t>
      </w:r>
      <w:r w:rsidRPr="0034732A">
        <w:t xml:space="preserve">The results of the </w:t>
      </w:r>
      <w:r w:rsidRPr="009737AB">
        <w:rPr>
          <w:i/>
        </w:rPr>
        <w:t>Labour Force Sample Survey (2017)</w:t>
      </w:r>
      <w:r w:rsidRPr="0034732A">
        <w:t xml:space="preserve"> conducted by the Ministry of Development Planning and Statistics show that the number of economically active workers increased from 2,055,359 in 2016 to 2,056,923</w:t>
      </w:r>
      <w:r>
        <w:t xml:space="preserve"> in 2017</w:t>
      </w:r>
      <w:r w:rsidRPr="0034732A">
        <w:t>, with males making up 86.5 per cent and females, 13.5 per cent.</w:t>
      </w:r>
    </w:p>
    <w:p w:rsidR="0060531D" w:rsidRDefault="004B0C37" w:rsidP="00B244B4">
      <w:pPr>
        <w:pStyle w:val="SingleTxtG"/>
      </w:pPr>
      <w:r w:rsidRPr="0034732A">
        <w:t>32</w:t>
      </w:r>
      <w:r w:rsidR="00276B1C">
        <w:t>.</w:t>
      </w:r>
      <w:r w:rsidR="00276B1C">
        <w:tab/>
      </w:r>
      <w:r w:rsidRPr="0034732A">
        <w:t xml:space="preserve">The data indicate that the level of economic participation of those aged 15 and over was 88.4 per cent (96.1 per cent among males </w:t>
      </w:r>
      <w:r>
        <w:t>compared with</w:t>
      </w:r>
      <w:r w:rsidRPr="0034732A">
        <w:t xml:space="preserve"> 58.5 per cent among females).</w:t>
      </w:r>
      <w:r w:rsidR="007F4A3A">
        <w:t xml:space="preserve"> </w:t>
      </w:r>
      <w:r w:rsidRPr="0034732A">
        <w:t xml:space="preserve">The </w:t>
      </w:r>
      <w:r>
        <w:t>highest level</w:t>
      </w:r>
      <w:r w:rsidRPr="0034732A">
        <w:t xml:space="preserve"> of economic participation </w:t>
      </w:r>
      <w:r>
        <w:t>is</w:t>
      </w:r>
      <w:r w:rsidRPr="0034732A">
        <w:t xml:space="preserve"> </w:t>
      </w:r>
      <w:r>
        <w:t>to be found in the 25</w:t>
      </w:r>
      <w:r w:rsidR="00B244B4">
        <w:t>–</w:t>
      </w:r>
      <w:r>
        <w:t xml:space="preserve">34 age group, </w:t>
      </w:r>
      <w:r w:rsidRPr="0034732A">
        <w:t>reaching 94.5 per cent.</w:t>
      </w:r>
      <w:r w:rsidR="007F4A3A">
        <w:t xml:space="preserve"> </w:t>
      </w:r>
      <w:r>
        <w:t>In</w:t>
      </w:r>
      <w:r w:rsidRPr="0034732A">
        <w:t xml:space="preserve"> the same </w:t>
      </w:r>
      <w:r>
        <w:t>year</w:t>
      </w:r>
      <w:r w:rsidRPr="0034732A">
        <w:t>, the economic dependency ratio was 22.9 per cent.</w:t>
      </w:r>
      <w:r w:rsidR="007F4A3A">
        <w:t xml:space="preserve"> </w:t>
      </w:r>
    </w:p>
    <w:p w:rsidR="0060531D" w:rsidRDefault="004B0C37" w:rsidP="00881905">
      <w:pPr>
        <w:pStyle w:val="SingleTxtG"/>
      </w:pPr>
      <w:r w:rsidRPr="0034732A">
        <w:t>33</w:t>
      </w:r>
      <w:r w:rsidR="00276B1C">
        <w:t>.</w:t>
      </w:r>
      <w:r w:rsidR="00276B1C">
        <w:tab/>
      </w:r>
      <w:r w:rsidRPr="0034732A">
        <w:t>The data further indicat</w:t>
      </w:r>
      <w:r>
        <w:t xml:space="preserve">e that the rate of economic participation of Qataris </w:t>
      </w:r>
      <w:r w:rsidRPr="0034732A">
        <w:t>stands at 52.2 per cent of the total Qatari population aged 15 and above.</w:t>
      </w:r>
      <w:r w:rsidR="007F4A3A">
        <w:t xml:space="preserve"> </w:t>
      </w:r>
      <w:r w:rsidRPr="0034732A">
        <w:t>Males make up 64.2 per cent of the total Qatari workforce.</w:t>
      </w:r>
    </w:p>
    <w:p w:rsidR="004B0C37" w:rsidRPr="0034732A" w:rsidRDefault="00881905" w:rsidP="00881905">
      <w:pPr>
        <w:pStyle w:val="H23G"/>
      </w:pPr>
      <w:r>
        <w:tab/>
      </w:r>
      <w:r>
        <w:tab/>
      </w:r>
      <w:r w:rsidR="004B0C37" w:rsidRPr="0034732A">
        <w:t xml:space="preserve">Average household size according to </w:t>
      </w:r>
      <w:r w:rsidR="004B0C37">
        <w:t xml:space="preserve">the </w:t>
      </w:r>
      <w:r w:rsidR="004B0C37" w:rsidRPr="0034732A">
        <w:t>2015 census</w:t>
      </w:r>
    </w:p>
    <w:p w:rsidR="0060531D" w:rsidRDefault="00A703EC" w:rsidP="00A703EC">
      <w:pPr>
        <w:pStyle w:val="Bullet1G"/>
        <w:numPr>
          <w:ilvl w:val="0"/>
          <w:numId w:val="0"/>
        </w:numPr>
        <w:tabs>
          <w:tab w:val="left" w:pos="1701"/>
        </w:tabs>
        <w:ind w:left="1701" w:hanging="170"/>
      </w:pPr>
      <w:r>
        <w:t>•</w:t>
      </w:r>
      <w:r>
        <w:tab/>
      </w:r>
      <w:r w:rsidR="004B0C37" w:rsidRPr="0034732A">
        <w:t>Average family size in 2015 was 4.7</w:t>
      </w:r>
      <w:r w:rsidR="004B0C37">
        <w:t xml:space="preserve"> members</w:t>
      </w:r>
      <w:r w:rsidR="004B0C37" w:rsidRPr="0034732A">
        <w:t>.</w:t>
      </w:r>
    </w:p>
    <w:p w:rsidR="004B0C37" w:rsidRPr="0034732A" w:rsidRDefault="00881905" w:rsidP="00881905">
      <w:pPr>
        <w:pStyle w:val="H23G"/>
      </w:pPr>
      <w:r>
        <w:tab/>
      </w:r>
      <w:r>
        <w:tab/>
      </w:r>
      <w:r w:rsidR="004B0C37" w:rsidRPr="0034732A">
        <w:t>Percentage of urban and rural population</w:t>
      </w:r>
    </w:p>
    <w:p w:rsidR="0060531D" w:rsidRDefault="00A703EC" w:rsidP="00A703EC">
      <w:pPr>
        <w:pStyle w:val="Bullet1G"/>
        <w:numPr>
          <w:ilvl w:val="0"/>
          <w:numId w:val="0"/>
        </w:numPr>
        <w:tabs>
          <w:tab w:val="left" w:pos="1701"/>
        </w:tabs>
        <w:ind w:left="1701" w:hanging="170"/>
      </w:pPr>
      <w:r>
        <w:t>•</w:t>
      </w:r>
      <w:r>
        <w:tab/>
      </w:r>
      <w:r w:rsidR="004B0C37" w:rsidRPr="0034732A">
        <w:t>Urban population: 100 per cent; rural population 0 per cent.</w:t>
      </w:r>
    </w:p>
    <w:p w:rsidR="004B0C37" w:rsidRPr="0034732A" w:rsidRDefault="00BE72CB" w:rsidP="00B4671A">
      <w:pPr>
        <w:pStyle w:val="H23G"/>
      </w:pPr>
      <w:r>
        <w:tab/>
      </w:r>
      <w:r>
        <w:tab/>
      </w:r>
      <w:r w:rsidR="004B0C37" w:rsidRPr="0034732A">
        <w:t>Percentage of population living below the poverty li</w:t>
      </w:r>
      <w:r>
        <w:t>ne (2012</w:t>
      </w:r>
      <w:r w:rsidR="00B4671A">
        <w:t>–</w:t>
      </w:r>
      <w:r w:rsidR="004B0C37" w:rsidRPr="0034732A">
        <w:t>2013)</w:t>
      </w:r>
    </w:p>
    <w:p w:rsidR="0060531D" w:rsidRDefault="00A703EC" w:rsidP="00A703EC">
      <w:pPr>
        <w:pStyle w:val="Bullet1G"/>
        <w:numPr>
          <w:ilvl w:val="0"/>
          <w:numId w:val="0"/>
        </w:numPr>
        <w:tabs>
          <w:tab w:val="left" w:pos="1701"/>
        </w:tabs>
        <w:ind w:left="1701" w:hanging="170"/>
      </w:pPr>
      <w:r>
        <w:t>•</w:t>
      </w:r>
      <w:r>
        <w:tab/>
      </w:r>
      <w:r w:rsidR="004B0C37" w:rsidRPr="0034732A">
        <w:t>Percentage of population living below the poverty line: 0 per cent</w:t>
      </w:r>
      <w:r w:rsidR="00BE72CB">
        <w:t>.</w:t>
      </w:r>
    </w:p>
    <w:p w:rsidR="0060531D" w:rsidRDefault="00BE72CB" w:rsidP="00BE72CB">
      <w:pPr>
        <w:pStyle w:val="H1G"/>
      </w:pPr>
      <w:r>
        <w:tab/>
      </w:r>
      <w:r w:rsidR="004B0C37" w:rsidRPr="0034732A">
        <w:t>B.</w:t>
      </w:r>
      <w:r>
        <w:tab/>
      </w:r>
      <w:r w:rsidR="004B0C37" w:rsidRPr="0034732A">
        <w:t>Constitutional, political and legal structure of the State</w:t>
      </w:r>
    </w:p>
    <w:p w:rsidR="0060531D" w:rsidRDefault="00946B43" w:rsidP="00946B43">
      <w:pPr>
        <w:pStyle w:val="H23G"/>
      </w:pPr>
      <w:r>
        <w:tab/>
      </w:r>
      <w:r>
        <w:tab/>
      </w:r>
      <w:r w:rsidR="004B0C37" w:rsidRPr="0034732A">
        <w:t>Permanent Constitution of the State of Qatar</w:t>
      </w:r>
    </w:p>
    <w:p w:rsidR="0060531D" w:rsidRDefault="004B0C37" w:rsidP="00946B43">
      <w:pPr>
        <w:pStyle w:val="SingleTxtG"/>
      </w:pPr>
      <w:r w:rsidRPr="00791F4B">
        <w:t>34</w:t>
      </w:r>
      <w:r w:rsidR="00276B1C">
        <w:t>.</w:t>
      </w:r>
      <w:r w:rsidR="00276B1C">
        <w:tab/>
      </w:r>
      <w:r w:rsidRPr="00791F4B">
        <w:t xml:space="preserve">In 2004, the </w:t>
      </w:r>
      <w:r>
        <w:t>Permanent Constitution</w:t>
      </w:r>
      <w:r w:rsidRPr="00791F4B">
        <w:t xml:space="preserve"> of the State of Qatar was promulgated to secure the foundations of Qatari society and engender grass-roots participation in decision-making.</w:t>
      </w:r>
      <w:r w:rsidR="007F4A3A">
        <w:t xml:space="preserve"> </w:t>
      </w:r>
      <w:r w:rsidRPr="00791F4B">
        <w:t>Comprising 150 articles, the Constitution sets out the guiding principles for State policy and the prerequisites for the exercise of power, including separation of powers, primacy of the rule of law, independence of the judiciary and guarantee of fundamental rights and freedoms.</w:t>
      </w:r>
    </w:p>
    <w:p w:rsidR="0060531D" w:rsidRDefault="004B0C37" w:rsidP="00946B43">
      <w:pPr>
        <w:pStyle w:val="SingleTxtG"/>
      </w:pPr>
      <w:r w:rsidRPr="00791F4B">
        <w:t>35</w:t>
      </w:r>
      <w:r w:rsidR="00276B1C">
        <w:t>.</w:t>
      </w:r>
      <w:r w:rsidR="00276B1C">
        <w:tab/>
      </w:r>
      <w:r w:rsidRPr="00791F4B">
        <w:t xml:space="preserve">Part I, article 1 of the Constitution, concerning the State and the foundations of governance, affirms that the State religion is Islam and that sharia is </w:t>
      </w:r>
      <w:r>
        <w:t>a principal</w:t>
      </w:r>
      <w:r w:rsidRPr="00791F4B">
        <w:t xml:space="preserve"> source of law.</w:t>
      </w:r>
      <w:r w:rsidR="007F4A3A">
        <w:t xml:space="preserve"> </w:t>
      </w:r>
      <w:r w:rsidRPr="00791F4B">
        <w:t xml:space="preserve">The explanatory memorandum to the Constitution affirms that no legislation may be </w:t>
      </w:r>
      <w:r>
        <w:t>adopted</w:t>
      </w:r>
      <w:r w:rsidRPr="00791F4B">
        <w:t xml:space="preserve"> in Qatar that conflicts with the absolute, definitive and fixed principles of Islamic sharia.</w:t>
      </w:r>
    </w:p>
    <w:p w:rsidR="004B0C37" w:rsidRDefault="004B0C37" w:rsidP="00946B43">
      <w:pPr>
        <w:pStyle w:val="SingleTxtG"/>
      </w:pPr>
      <w:r w:rsidRPr="00791F4B">
        <w:t>36</w:t>
      </w:r>
      <w:r w:rsidR="00276B1C">
        <w:t>.</w:t>
      </w:r>
      <w:r w:rsidR="00276B1C">
        <w:tab/>
      </w:r>
      <w:r w:rsidRPr="00791F4B">
        <w:t xml:space="preserve">The system of governance of the State is hereditary in the family of Al </w:t>
      </w:r>
      <w:proofErr w:type="spellStart"/>
      <w:r w:rsidRPr="00791F4B">
        <w:t>Thani</w:t>
      </w:r>
      <w:proofErr w:type="spellEnd"/>
      <w:r w:rsidRPr="00791F4B">
        <w:t xml:space="preserve"> and </w:t>
      </w:r>
      <w:r>
        <w:t xml:space="preserve">the </w:t>
      </w:r>
      <w:r w:rsidRPr="00791F4B">
        <w:t xml:space="preserve">male </w:t>
      </w:r>
      <w:r>
        <w:t>line of Hamad ibn</w:t>
      </w:r>
      <w:r w:rsidRPr="00791F4B">
        <w:t xml:space="preserve"> </w:t>
      </w:r>
      <w:proofErr w:type="spellStart"/>
      <w:r w:rsidRPr="00791F4B">
        <w:t>Khalifa</w:t>
      </w:r>
      <w:proofErr w:type="spellEnd"/>
      <w:r w:rsidRPr="00791F4B">
        <w:t xml:space="preserve"> </w:t>
      </w:r>
      <w:r>
        <w:t>ibn</w:t>
      </w:r>
      <w:r w:rsidRPr="00791F4B">
        <w:t xml:space="preserve"> Hamad </w:t>
      </w:r>
      <w:r>
        <w:t>ibn</w:t>
      </w:r>
      <w:r w:rsidRPr="00791F4B">
        <w:t xml:space="preserve"> Abdullah </w:t>
      </w:r>
      <w:r>
        <w:t>ibn</w:t>
      </w:r>
      <w:r w:rsidRPr="00791F4B">
        <w:t xml:space="preserve"> </w:t>
      </w:r>
      <w:proofErr w:type="spellStart"/>
      <w:r w:rsidRPr="00791F4B">
        <w:t>Jassim</w:t>
      </w:r>
      <w:proofErr w:type="spellEnd"/>
      <w:r w:rsidRPr="00791F4B">
        <w:t>.</w:t>
      </w:r>
      <w:r w:rsidR="007F4A3A">
        <w:t xml:space="preserve"> </w:t>
      </w:r>
      <w:r w:rsidRPr="00791F4B">
        <w:t xml:space="preserve"> </w:t>
      </w:r>
    </w:p>
    <w:p w:rsidR="0060531D" w:rsidRDefault="004B0C37" w:rsidP="00A206CA">
      <w:pPr>
        <w:pStyle w:val="SingleTxtG"/>
      </w:pPr>
      <w:r w:rsidRPr="00791F4B">
        <w:t>37</w:t>
      </w:r>
      <w:r w:rsidR="00276B1C">
        <w:t>.</w:t>
      </w:r>
      <w:r w:rsidR="00276B1C">
        <w:tab/>
      </w:r>
      <w:r w:rsidRPr="00791F4B">
        <w:t>Part II of the Constitution, concerning the guiding principles of society, states that Qatari society is founded on justice, benevolence, freedom, equality and high moral values.</w:t>
      </w:r>
      <w:r w:rsidR="007F4A3A">
        <w:t xml:space="preserve"> </w:t>
      </w:r>
      <w:r w:rsidRPr="00791F4B">
        <w:t xml:space="preserve">The Constitution establishes that the State is responsible for upholding these principles and </w:t>
      </w:r>
      <w:r w:rsidRPr="00791F4B">
        <w:lastRenderedPageBreak/>
        <w:t>for guaranteeing security, stability, equal opportunity, solidarity and fellowship among citizens.</w:t>
      </w:r>
      <w:r w:rsidR="007F4A3A">
        <w:t xml:space="preserve"> </w:t>
      </w:r>
      <w:r w:rsidRPr="00791F4B">
        <w:t>It emphasizes the role of the family as the foundation of society whose mainstays are religion, morality and patriotism. It defines the State</w:t>
      </w:r>
      <w:r w:rsidR="009D1BD8">
        <w:t>’</w:t>
      </w:r>
      <w:r w:rsidRPr="00791F4B">
        <w:t xml:space="preserve">s obligations towards the family and </w:t>
      </w:r>
      <w:r>
        <w:t>evinces</w:t>
      </w:r>
      <w:r w:rsidRPr="00791F4B">
        <w:t xml:space="preserve"> concern for young persons, stating that they must be shielded from immorality, </w:t>
      </w:r>
      <w:r>
        <w:t xml:space="preserve">protected from </w:t>
      </w:r>
      <w:r w:rsidRPr="00791F4B">
        <w:t xml:space="preserve">exploitation and the evils of physical, mental and spiritual neglect and </w:t>
      </w:r>
      <w:r>
        <w:t>provided with the</w:t>
      </w:r>
      <w:r w:rsidRPr="00791F4B">
        <w:t xml:space="preserve"> conditions favourable to the development of their potential.</w:t>
      </w:r>
    </w:p>
    <w:p w:rsidR="0060531D" w:rsidRDefault="004B0C37" w:rsidP="0056539F">
      <w:pPr>
        <w:pStyle w:val="SingleTxtG"/>
      </w:pPr>
      <w:r w:rsidRPr="00791F4B">
        <w:t>38</w:t>
      </w:r>
      <w:r w:rsidR="00276B1C">
        <w:t>.</w:t>
      </w:r>
      <w:r w:rsidR="00276B1C">
        <w:tab/>
      </w:r>
      <w:r w:rsidRPr="00791F4B">
        <w:t>Part III of the Constitution is devoted to fundamental rights and freedoms. It affirms that citizens have equal public rights and duties before the law and that there can be no discrimination on grounds of sex, origin, language or religion.</w:t>
      </w:r>
    </w:p>
    <w:p w:rsidR="0060531D" w:rsidRDefault="004B0C37" w:rsidP="0056539F">
      <w:pPr>
        <w:pStyle w:val="SingleTxtG"/>
      </w:pPr>
      <w:r w:rsidRPr="00791F4B">
        <w:t>39</w:t>
      </w:r>
      <w:r w:rsidR="00276B1C">
        <w:t>.</w:t>
      </w:r>
      <w:r w:rsidR="00276B1C">
        <w:tab/>
      </w:r>
      <w:r w:rsidRPr="00791F4B">
        <w:t xml:space="preserve">The Constitution states that the foreign policy of Qatar is guided by a number of principles: </w:t>
      </w:r>
      <w:r>
        <w:t>consolidation of</w:t>
      </w:r>
      <w:r w:rsidRPr="00791F4B">
        <w:t xml:space="preserve"> international peace and security; respect for human rights; rejection of violence and </w:t>
      </w:r>
      <w:r>
        <w:t xml:space="preserve">the </w:t>
      </w:r>
      <w:r w:rsidRPr="00791F4B">
        <w:t>use of force; promotion of the settlement of international disputes by peaceful means; and cooperation with peace-loving nations.</w:t>
      </w:r>
    </w:p>
    <w:p w:rsidR="0060531D" w:rsidRDefault="009B7AD8" w:rsidP="009B7AD8">
      <w:pPr>
        <w:pStyle w:val="H23G"/>
      </w:pPr>
      <w:r>
        <w:tab/>
      </w:r>
      <w:r>
        <w:tab/>
      </w:r>
      <w:r w:rsidR="004B0C37" w:rsidRPr="00791F4B">
        <w:t>Organization of powers</w:t>
      </w:r>
    </w:p>
    <w:p w:rsidR="0060531D" w:rsidRDefault="004B0C37" w:rsidP="0056539F">
      <w:pPr>
        <w:pStyle w:val="SingleTxtG"/>
      </w:pPr>
      <w:r w:rsidRPr="00791F4B">
        <w:t>40</w:t>
      </w:r>
      <w:r w:rsidR="00276B1C">
        <w:t>.</w:t>
      </w:r>
      <w:r w:rsidR="00276B1C">
        <w:tab/>
      </w:r>
      <w:r w:rsidRPr="00791F4B">
        <w:t xml:space="preserve">In Qatar, the </w:t>
      </w:r>
      <w:r>
        <w:t>fundamental</w:t>
      </w:r>
      <w:r w:rsidRPr="00791F4B">
        <w:t xml:space="preserve"> principle behind the organization of powers is that the people are the source of authority, which they exercise in ac</w:t>
      </w:r>
      <w:r>
        <w:t>cordance with the Constitution.</w:t>
      </w:r>
      <w:r w:rsidR="007F4A3A">
        <w:t xml:space="preserve"> </w:t>
      </w:r>
      <w:r w:rsidRPr="00791F4B">
        <w:t>The system of government is based on the separation of powers and the fullest cooperation between them.</w:t>
      </w:r>
      <w:r w:rsidR="007F4A3A">
        <w:t xml:space="preserve"> </w:t>
      </w:r>
      <w:r w:rsidRPr="00791F4B">
        <w:t xml:space="preserve">Legislative authority is vested in the Advisory Council, executive authority in the </w:t>
      </w:r>
      <w:r>
        <w:t>Emir</w:t>
      </w:r>
      <w:r w:rsidRPr="00791F4B">
        <w:t>, assisted by the Council of Ministers, and judicial authority in the courts.</w:t>
      </w:r>
      <w:r w:rsidR="007F4A3A">
        <w:t xml:space="preserve"> </w:t>
      </w:r>
      <w:r w:rsidRPr="00791F4B">
        <w:t xml:space="preserve">Court judgements are delivered in the name of the </w:t>
      </w:r>
      <w:r>
        <w:t>Emir</w:t>
      </w:r>
      <w:r w:rsidRPr="00791F4B">
        <w:t>.</w:t>
      </w:r>
      <w:r w:rsidR="007F4A3A">
        <w:t xml:space="preserve"> </w:t>
      </w:r>
      <w:r w:rsidRPr="00791F4B">
        <w:t>The following is a short summary of Part IV of the Constitution, which is devoted to this subject:</w:t>
      </w:r>
    </w:p>
    <w:p w:rsidR="0060531D" w:rsidRDefault="007D4D1E" w:rsidP="007D4D1E">
      <w:pPr>
        <w:pStyle w:val="H23G"/>
      </w:pPr>
      <w:r>
        <w:tab/>
      </w:r>
      <w:r>
        <w:tab/>
      </w:r>
      <w:r w:rsidR="004B0C37" w:rsidRPr="00791F4B">
        <w:t xml:space="preserve">The </w:t>
      </w:r>
      <w:r w:rsidR="004B0C37">
        <w:t>Emir</w:t>
      </w:r>
    </w:p>
    <w:p w:rsidR="0060531D" w:rsidRDefault="004B0C37" w:rsidP="003A3E1A">
      <w:pPr>
        <w:pStyle w:val="SingleTxtG"/>
      </w:pPr>
      <w:r w:rsidRPr="00791F4B">
        <w:t>41</w:t>
      </w:r>
      <w:r w:rsidR="00276B1C">
        <w:t>.</w:t>
      </w:r>
      <w:r w:rsidR="00276B1C">
        <w:tab/>
      </w:r>
      <w:r w:rsidRPr="00791F4B">
        <w:t xml:space="preserve">The </w:t>
      </w:r>
      <w:r>
        <w:t>Emir</w:t>
      </w:r>
      <w:r w:rsidRPr="00791F4B">
        <w:t xml:space="preserve"> of Qatar is the Head of State.</w:t>
      </w:r>
      <w:r w:rsidR="007F4A3A">
        <w:t xml:space="preserve"> </w:t>
      </w:r>
      <w:r w:rsidRPr="00791F4B">
        <w:t>His person is inviolable and must be respected by all.</w:t>
      </w:r>
      <w:r w:rsidR="007F4A3A">
        <w:t xml:space="preserve"> </w:t>
      </w:r>
      <w:r w:rsidRPr="00791F4B">
        <w:t>He is the Commander-in-Chief of the Armed Forces and represents the State at home and abroad and in all international relations.</w:t>
      </w:r>
      <w:r w:rsidR="007F4A3A">
        <w:t xml:space="preserve"> </w:t>
      </w:r>
      <w:r w:rsidRPr="00791F4B">
        <w:t>He concludes treaties and conventions by decree and informs the Advisory Council thereof.</w:t>
      </w:r>
      <w:r w:rsidR="007F4A3A">
        <w:t xml:space="preserve"> </w:t>
      </w:r>
      <w:r w:rsidRPr="00791F4B">
        <w:t>Once ratified and published in the Official Gazette, these instruments acquire the force of law.</w:t>
      </w:r>
      <w:r w:rsidR="007F4A3A">
        <w:t xml:space="preserve"> </w:t>
      </w:r>
      <w:r w:rsidRPr="00791F4B">
        <w:t xml:space="preserve"> The </w:t>
      </w:r>
      <w:r>
        <w:t>Emir</w:t>
      </w:r>
      <w:r w:rsidRPr="00791F4B">
        <w:t xml:space="preserve"> draws up the general policy of the State with the assistance of the Council of Ministers and ratifies and promulgates laws.</w:t>
      </w:r>
      <w:r w:rsidR="007F4A3A">
        <w:t xml:space="preserve"> </w:t>
      </w:r>
      <w:r>
        <w:t>No law may be promulgated unless ratified by the Emir.</w:t>
      </w:r>
      <w:r w:rsidR="007F4A3A">
        <w:t xml:space="preserve"> </w:t>
      </w:r>
      <w:r w:rsidRPr="00791F4B">
        <w:t xml:space="preserve">He establishes, regulates and defines the functions of ministries, other governmental bodies and </w:t>
      </w:r>
      <w:r>
        <w:t xml:space="preserve">the </w:t>
      </w:r>
      <w:r w:rsidRPr="00791F4B">
        <w:t xml:space="preserve">consultative bodies that assist and advise him in the task of </w:t>
      </w:r>
      <w:r>
        <w:t>directing</w:t>
      </w:r>
      <w:r w:rsidRPr="00791F4B">
        <w:t xml:space="preserve"> and overseeing higher State policy.</w:t>
      </w:r>
      <w:r w:rsidR="007F4A3A">
        <w:t xml:space="preserve"> </w:t>
      </w:r>
      <w:r w:rsidRPr="00791F4B">
        <w:t>He also performs such other functions as are regulated by the Constitution or law.</w:t>
      </w:r>
    </w:p>
    <w:p w:rsidR="0060531D" w:rsidRDefault="00F07E94" w:rsidP="00F07E94">
      <w:pPr>
        <w:pStyle w:val="H23G"/>
      </w:pPr>
      <w:r>
        <w:tab/>
      </w:r>
      <w:r>
        <w:tab/>
      </w:r>
      <w:r w:rsidR="004B0C37" w:rsidRPr="00791F4B">
        <w:t>The legislature</w:t>
      </w:r>
    </w:p>
    <w:p w:rsidR="0060531D" w:rsidRDefault="004B0C37" w:rsidP="003A3E1A">
      <w:pPr>
        <w:pStyle w:val="SingleTxtG"/>
      </w:pPr>
      <w:r w:rsidRPr="00791F4B">
        <w:t>42</w:t>
      </w:r>
      <w:r w:rsidR="00276B1C">
        <w:t>.</w:t>
      </w:r>
      <w:r w:rsidR="00276B1C">
        <w:tab/>
      </w:r>
      <w:r>
        <w:t>Under</w:t>
      </w:r>
      <w:r w:rsidRPr="00791F4B">
        <w:t xml:space="preserve"> the </w:t>
      </w:r>
      <w:r>
        <w:t>Permanent Constitution</w:t>
      </w:r>
      <w:r w:rsidRPr="00791F4B">
        <w:t>, the Advisory Council is vested with the power to legislate, approve the general budget and exercise oversight of the executive branch.</w:t>
      </w:r>
      <w:r w:rsidR="007F4A3A">
        <w:t xml:space="preserve"> </w:t>
      </w:r>
      <w:r w:rsidRPr="00791F4B">
        <w:t xml:space="preserve">Under article 77, Qatar </w:t>
      </w:r>
      <w:r>
        <w:t>does not have</w:t>
      </w:r>
      <w:r w:rsidRPr="00791F4B">
        <w:t xml:space="preserve"> a bicameral system with one elected chamber and one appointed chamber.</w:t>
      </w:r>
      <w:r w:rsidR="007F4A3A">
        <w:t xml:space="preserve"> </w:t>
      </w:r>
      <w:r w:rsidRPr="00791F4B">
        <w:t xml:space="preserve">Rather, it has chosen a unicameral system with one chamber comprising both elected and appointed members in which the elected members form a clear majority. Article 77 states that the Advisory Council consists of 45 members, two thirds of whom are elected by direct, secret, universal suffrage. The other members are appointed by the </w:t>
      </w:r>
      <w:r>
        <w:t>Emir</w:t>
      </w:r>
      <w:r w:rsidRPr="00791F4B">
        <w:t>.</w:t>
      </w:r>
      <w:r w:rsidR="007F4A3A">
        <w:t xml:space="preserve"> </w:t>
      </w:r>
      <w:r w:rsidRPr="00791F4B">
        <w:t>The Elections Act shall be promulgated by a law defining the conditions for voting and nomination.</w:t>
      </w:r>
    </w:p>
    <w:p w:rsidR="0060531D" w:rsidRDefault="00E14201" w:rsidP="00E14201">
      <w:pPr>
        <w:pStyle w:val="H23G"/>
      </w:pPr>
      <w:r>
        <w:tab/>
      </w:r>
      <w:r>
        <w:tab/>
      </w:r>
      <w:r w:rsidR="004B0C37" w:rsidRPr="00791F4B">
        <w:t>The executive</w:t>
      </w:r>
    </w:p>
    <w:p w:rsidR="0060531D" w:rsidRDefault="004B0C37" w:rsidP="003A3E1A">
      <w:pPr>
        <w:pStyle w:val="SingleTxtG"/>
      </w:pPr>
      <w:r w:rsidRPr="00791F4B">
        <w:t>43</w:t>
      </w:r>
      <w:r w:rsidR="00276B1C">
        <w:t>.</w:t>
      </w:r>
      <w:r w:rsidR="00276B1C">
        <w:tab/>
      </w:r>
      <w:r w:rsidRPr="00791F4B">
        <w:t xml:space="preserve">The Council of Ministers assists the </w:t>
      </w:r>
      <w:r>
        <w:t>Emir</w:t>
      </w:r>
      <w:r w:rsidRPr="00791F4B">
        <w:t xml:space="preserve"> in performing his functions and exercising his powers </w:t>
      </w:r>
      <w:r>
        <w:t>under</w:t>
      </w:r>
      <w:r w:rsidRPr="00791F4B">
        <w:t xml:space="preserve"> the Constitution and the law.</w:t>
      </w:r>
      <w:r w:rsidR="007F4A3A">
        <w:t xml:space="preserve"> </w:t>
      </w:r>
      <w:r w:rsidRPr="00791F4B">
        <w:t xml:space="preserve">In its capacity as the supreme executive body, the Council of Ministers manages all internal and external affairs falling within its purview </w:t>
      </w:r>
      <w:r>
        <w:t>under</w:t>
      </w:r>
      <w:r w:rsidRPr="00791F4B">
        <w:t xml:space="preserve"> the Constitution and the law.</w:t>
      </w:r>
      <w:r w:rsidR="007F4A3A">
        <w:t xml:space="preserve"> </w:t>
      </w:r>
      <w:r w:rsidRPr="00791F4B">
        <w:t xml:space="preserve">It is responsible for proposing laws and decrees to be </w:t>
      </w:r>
      <w:r>
        <w:t>put</w:t>
      </w:r>
      <w:r w:rsidRPr="00791F4B">
        <w:t xml:space="preserve"> before the Advisory Council for discussion.</w:t>
      </w:r>
      <w:r w:rsidR="007F4A3A">
        <w:t xml:space="preserve"> </w:t>
      </w:r>
      <w:r w:rsidRPr="00791F4B">
        <w:t xml:space="preserve">If approved, these are submitted to the </w:t>
      </w:r>
      <w:r>
        <w:t>Emir</w:t>
      </w:r>
      <w:r w:rsidRPr="00791F4B">
        <w:t xml:space="preserve"> for ratification and promulgation in accordance with the Constitution.</w:t>
      </w:r>
      <w:r w:rsidR="007F4A3A">
        <w:t xml:space="preserve"> </w:t>
      </w:r>
      <w:r w:rsidRPr="00791F4B">
        <w:t xml:space="preserve">Among other functions, the Council of Ministers adopts regulations and decisions drawn up by </w:t>
      </w:r>
      <w:r w:rsidRPr="00791F4B">
        <w:lastRenderedPageBreak/>
        <w:t>ministries, oversees law enforcement and monitors the conduct of the Government</w:t>
      </w:r>
      <w:r w:rsidR="009D1BD8">
        <w:t>’</w:t>
      </w:r>
      <w:r w:rsidRPr="00791F4B">
        <w:t>s financial and administrative affairs.</w:t>
      </w:r>
    </w:p>
    <w:p w:rsidR="0060531D" w:rsidRDefault="00195A8F" w:rsidP="00195A8F">
      <w:pPr>
        <w:pStyle w:val="H23G"/>
      </w:pPr>
      <w:r>
        <w:tab/>
      </w:r>
      <w:r>
        <w:tab/>
      </w:r>
      <w:r w:rsidR="004B0C37" w:rsidRPr="00791F4B">
        <w:t>The judiciary</w:t>
      </w:r>
    </w:p>
    <w:p w:rsidR="0060531D" w:rsidRDefault="004B0C37" w:rsidP="003A3E1A">
      <w:pPr>
        <w:pStyle w:val="SingleTxtG"/>
      </w:pPr>
      <w:r w:rsidRPr="00791F4B">
        <w:t>44</w:t>
      </w:r>
      <w:r w:rsidR="00276B1C">
        <w:t>.</w:t>
      </w:r>
      <w:r w:rsidR="00276B1C">
        <w:tab/>
      </w:r>
      <w:r w:rsidRPr="00791F4B">
        <w:t xml:space="preserve">The Constitution </w:t>
      </w:r>
      <w:r>
        <w:t>espouses</w:t>
      </w:r>
      <w:r w:rsidRPr="00791F4B">
        <w:t xml:space="preserve"> the princi</w:t>
      </w:r>
      <w:r>
        <w:t>ple of the rule of law.</w:t>
      </w:r>
      <w:r w:rsidR="007F4A3A">
        <w:t xml:space="preserve"> </w:t>
      </w:r>
      <w:r>
        <w:t xml:space="preserve">Article 129 stipulates: </w:t>
      </w:r>
      <w:r w:rsidR="009D1BD8">
        <w:t>“</w:t>
      </w:r>
      <w:r w:rsidRPr="00791F4B">
        <w:t>The rule of law is the basis of government in the State.</w:t>
      </w:r>
      <w:r w:rsidR="007F4A3A">
        <w:t xml:space="preserve"> </w:t>
      </w:r>
      <w:r w:rsidRPr="00791F4B">
        <w:t>The honour, impartiality and fairness of judges serve as a guarantee of rights and freedoms</w:t>
      </w:r>
      <w:r w:rsidR="009D1BD8">
        <w:t>”</w:t>
      </w:r>
      <w:r w:rsidRPr="00791F4B">
        <w:t>.</w:t>
      </w:r>
      <w:r w:rsidR="007F4A3A">
        <w:t xml:space="preserve"> </w:t>
      </w:r>
      <w:r>
        <w:t xml:space="preserve">Article 130 stipulates: </w:t>
      </w:r>
      <w:r w:rsidR="009D1BD8">
        <w:t>“</w:t>
      </w:r>
      <w:r w:rsidRPr="00791F4B">
        <w:t xml:space="preserve">The judiciary is independent and judicial </w:t>
      </w:r>
      <w:r>
        <w:t>authority</w:t>
      </w:r>
      <w:r w:rsidRPr="00791F4B">
        <w:t xml:space="preserve"> is vested in courts of various kinds and levels</w:t>
      </w:r>
      <w:r w:rsidR="009D1BD8">
        <w:t>”</w:t>
      </w:r>
      <w:r w:rsidRPr="00791F4B">
        <w:t>.</w:t>
      </w:r>
      <w:r w:rsidR="007F4A3A">
        <w:t xml:space="preserve"> </w:t>
      </w:r>
      <w:r>
        <w:t xml:space="preserve">Article 131 stipulates: </w:t>
      </w:r>
      <w:r w:rsidR="009D1BD8">
        <w:t>“</w:t>
      </w:r>
      <w:r w:rsidRPr="00791F4B">
        <w:t xml:space="preserve">Judges are independent and subject to </w:t>
      </w:r>
      <w:r>
        <w:t xml:space="preserve">no authority other than the law; </w:t>
      </w:r>
      <w:r w:rsidRPr="00791F4B">
        <w:t xml:space="preserve">there </w:t>
      </w:r>
      <w:r>
        <w:t>may</w:t>
      </w:r>
      <w:r w:rsidRPr="00791F4B">
        <w:t xml:space="preserve"> be no interference in legal proceedings or in the administration of justice</w:t>
      </w:r>
      <w:r w:rsidR="009D1BD8">
        <w:t>”</w:t>
      </w:r>
      <w:r w:rsidRPr="00791F4B">
        <w:t>.</w:t>
      </w:r>
      <w:r w:rsidR="007F4A3A">
        <w:t xml:space="preserve"> </w:t>
      </w:r>
      <w:r>
        <w:t xml:space="preserve">Article 137 stipulates: </w:t>
      </w:r>
      <w:r w:rsidR="009D1BD8">
        <w:t>“</w:t>
      </w:r>
      <w:r w:rsidRPr="00791F4B">
        <w:t>The judiciary shall have a supreme council to oversee the conduct of the work of the courts and their auxiliary bodies.</w:t>
      </w:r>
      <w:r w:rsidR="007F4A3A">
        <w:t xml:space="preserve"> </w:t>
      </w:r>
      <w:r w:rsidRPr="00791F4B">
        <w:t>The composition, powers and functions of the council shall be prescribed by law</w:t>
      </w:r>
      <w:r>
        <w:t>.</w:t>
      </w:r>
      <w:r w:rsidR="009D1BD8">
        <w:t>”</w:t>
      </w:r>
    </w:p>
    <w:p w:rsidR="0060531D" w:rsidRDefault="004B0C37" w:rsidP="003A3E1A">
      <w:pPr>
        <w:pStyle w:val="SingleTxtG"/>
      </w:pPr>
      <w:r w:rsidRPr="00791F4B">
        <w:t>45</w:t>
      </w:r>
      <w:r w:rsidR="00276B1C">
        <w:t>.</w:t>
      </w:r>
      <w:r w:rsidR="00276B1C">
        <w:tab/>
      </w:r>
      <w:r w:rsidRPr="00791F4B">
        <w:t xml:space="preserve">In accordance with </w:t>
      </w:r>
      <w:r>
        <w:t xml:space="preserve">the </w:t>
      </w:r>
      <w:r w:rsidRPr="00791F4B">
        <w:t>Judiciary Act No. 10 (2003), the</w:t>
      </w:r>
      <w:r>
        <w:t xml:space="preserve"> court system</w:t>
      </w:r>
      <w:r w:rsidRPr="00791F4B">
        <w:t xml:space="preserve"> in Qatar comprise</w:t>
      </w:r>
      <w:r>
        <w:t>s</w:t>
      </w:r>
      <w:r w:rsidRPr="00791F4B">
        <w:t xml:space="preserve"> the Court of Cassation, Court of Appe</w:t>
      </w:r>
      <w:r>
        <w:t>al and Court of First Instance.</w:t>
      </w:r>
      <w:r w:rsidR="007F4A3A">
        <w:t xml:space="preserve"> </w:t>
      </w:r>
      <w:r w:rsidRPr="00791F4B">
        <w:t xml:space="preserve">The Supreme Judicial Council was established under article 22 of the Act to ensure the </w:t>
      </w:r>
      <w:r>
        <w:t>independence of the judiciary.</w:t>
      </w:r>
      <w:r w:rsidR="007F4A3A">
        <w:t xml:space="preserve"> </w:t>
      </w:r>
      <w:r w:rsidRPr="00791F4B">
        <w:t>Article 23 of the Act sets out the Council</w:t>
      </w:r>
      <w:r w:rsidR="009D1BD8">
        <w:t>’</w:t>
      </w:r>
      <w:r w:rsidRPr="00791F4B">
        <w:t xml:space="preserve">s functions, which are to comment on </w:t>
      </w:r>
      <w:r>
        <w:t>issues</w:t>
      </w:r>
      <w:r w:rsidRPr="00791F4B">
        <w:t xml:space="preserve"> relating to the judiciary; study and propose legislation on the development of the judicial system; offer its views on the appointment, promotion, transfer, secondment and retirement of judges; and examine </w:t>
      </w:r>
      <w:r>
        <w:t>grievances</w:t>
      </w:r>
      <w:r w:rsidRPr="00791F4B">
        <w:t xml:space="preserve"> </w:t>
      </w:r>
      <w:r>
        <w:t>relating to the administration of justice</w:t>
      </w:r>
      <w:r w:rsidRPr="00791F4B">
        <w:t xml:space="preserve">, </w:t>
      </w:r>
      <w:r>
        <w:t>on</w:t>
      </w:r>
      <w:r w:rsidRPr="00791F4B">
        <w:t xml:space="preserve"> which its decisions are final.</w:t>
      </w:r>
    </w:p>
    <w:p w:rsidR="0060531D" w:rsidRDefault="004B0C37" w:rsidP="003A3E1A">
      <w:pPr>
        <w:pStyle w:val="SingleTxtG"/>
      </w:pPr>
      <w:r w:rsidRPr="00791F4B">
        <w:t>46</w:t>
      </w:r>
      <w:r w:rsidR="00276B1C">
        <w:t>.</w:t>
      </w:r>
      <w:r w:rsidR="00276B1C">
        <w:tab/>
      </w:r>
      <w:r w:rsidRPr="00791F4B">
        <w:t>The Qatari Constitution also provides for centralized oversight of the constitutionality of laws, an approach espoused in most modern constitutions to ensure the balance of powers.</w:t>
      </w:r>
      <w:r w:rsidR="007F4A3A">
        <w:t xml:space="preserve"> </w:t>
      </w:r>
      <w:r>
        <w:t>As such</w:t>
      </w:r>
      <w:r w:rsidRPr="00791F4B">
        <w:t xml:space="preserve">, the Constitutional Court settles disputes relating to the constitutionality of laws and regulations, either at its own initiative or at the </w:t>
      </w:r>
      <w:r>
        <w:t>urging</w:t>
      </w:r>
      <w:r w:rsidRPr="00791F4B">
        <w:t xml:space="preserve"> of </w:t>
      </w:r>
      <w:r>
        <w:t>litigants</w:t>
      </w:r>
      <w:r w:rsidRPr="00791F4B">
        <w:t>.</w:t>
      </w:r>
      <w:r w:rsidR="007F4A3A">
        <w:t xml:space="preserve"> </w:t>
      </w:r>
      <w:r w:rsidRPr="00791F4B">
        <w:t>Its judgements and decisions are final, may not be appealed and are binding on all State bodies.</w:t>
      </w:r>
      <w:r w:rsidR="007F4A3A">
        <w:t xml:space="preserve"> </w:t>
      </w:r>
      <w:r>
        <w:t>T</w:t>
      </w:r>
      <w:r w:rsidRPr="00791F4B">
        <w:t xml:space="preserve">he independence of the judiciary </w:t>
      </w:r>
      <w:r>
        <w:t xml:space="preserve">has been further promoted by the promulgation of </w:t>
      </w:r>
      <w:r w:rsidRPr="00791F4B">
        <w:t xml:space="preserve">Act No. 7 (2007), on the settlement of administrative disputes, which recognizes abuse of authority as grounds for the </w:t>
      </w:r>
      <w:r>
        <w:t>annulment</w:t>
      </w:r>
      <w:r w:rsidRPr="00791F4B">
        <w:t xml:space="preserve"> of an administrative decision or </w:t>
      </w:r>
      <w:r>
        <w:t xml:space="preserve">the </w:t>
      </w:r>
      <w:r w:rsidRPr="00791F4B">
        <w:t>award of compensation.</w:t>
      </w:r>
    </w:p>
    <w:p w:rsidR="004B0C37" w:rsidRDefault="004B0C37" w:rsidP="003A3E1A">
      <w:pPr>
        <w:pStyle w:val="SingleTxtG"/>
      </w:pPr>
      <w:r w:rsidRPr="00791F4B">
        <w:t>47</w:t>
      </w:r>
      <w:r w:rsidR="00276B1C">
        <w:t>.</w:t>
      </w:r>
      <w:r w:rsidR="00276B1C">
        <w:tab/>
      </w:r>
      <w:r w:rsidRPr="00791F4B">
        <w:t xml:space="preserve">The </w:t>
      </w:r>
      <w:r>
        <w:t>Office of the Public Prosecutor</w:t>
      </w:r>
      <w:r w:rsidRPr="00791F4B">
        <w:t xml:space="preserve"> is an independent judicial body charged with bringing public legal actions on behalf of society.</w:t>
      </w:r>
      <w:r w:rsidR="007F4A3A">
        <w:t xml:space="preserve"> </w:t>
      </w:r>
      <w:r w:rsidRPr="00791F4B">
        <w:t>It oversees criminal investigations and monitors law enforcement.</w:t>
      </w:r>
      <w:r w:rsidR="007F4A3A">
        <w:t xml:space="preserve"> </w:t>
      </w:r>
      <w:r w:rsidRPr="00791F4B">
        <w:t>It initiates and pursues criminal proceeding</w:t>
      </w:r>
      <w:r>
        <w:t xml:space="preserve">s and takes </w:t>
      </w:r>
      <w:r w:rsidRPr="00791F4B">
        <w:t xml:space="preserve">all </w:t>
      </w:r>
      <w:r>
        <w:t xml:space="preserve">appropriate </w:t>
      </w:r>
      <w:r w:rsidRPr="00791F4B">
        <w:t>measures in accordance with the law.</w:t>
      </w:r>
      <w:r w:rsidR="007F4A3A">
        <w:t xml:space="preserve"> </w:t>
      </w:r>
      <w:r w:rsidRPr="00791F4B">
        <w:t xml:space="preserve">It also has powers to </w:t>
      </w:r>
      <w:r>
        <w:t>conduct</w:t>
      </w:r>
      <w:r w:rsidRPr="00791F4B">
        <w:t xml:space="preserve"> investigations and bring charges. </w:t>
      </w:r>
    </w:p>
    <w:p w:rsidR="0060531D" w:rsidRDefault="00CD1AB7" w:rsidP="0098738A">
      <w:pPr>
        <w:pStyle w:val="H23G"/>
      </w:pPr>
      <w:r>
        <w:tab/>
      </w:r>
      <w:r>
        <w:tab/>
      </w:r>
      <w:r w:rsidR="004B0C37" w:rsidRPr="00791F4B">
        <w:t>Legislation regulating the recognition of non-governmental organizations</w:t>
      </w:r>
    </w:p>
    <w:p w:rsidR="0060531D" w:rsidRDefault="004B0C37" w:rsidP="003A3E1A">
      <w:pPr>
        <w:pStyle w:val="SingleTxtG"/>
        <w:rPr>
          <w:color w:val="000000"/>
        </w:rPr>
      </w:pPr>
      <w:r w:rsidRPr="00791F4B">
        <w:rPr>
          <w:color w:val="000000"/>
        </w:rPr>
        <w:t>48</w:t>
      </w:r>
      <w:r w:rsidR="00276B1C">
        <w:rPr>
          <w:color w:val="000000"/>
        </w:rPr>
        <w:t>.</w:t>
      </w:r>
      <w:r w:rsidR="00276B1C">
        <w:rPr>
          <w:color w:val="000000"/>
        </w:rPr>
        <w:tab/>
      </w:r>
      <w:r w:rsidRPr="00791F4B">
        <w:rPr>
          <w:color w:val="000000"/>
        </w:rPr>
        <w:t xml:space="preserve">The Qatar Red Crescent Society was established in 1978 and the Qatar Charitable Society in 1980, followed by </w:t>
      </w:r>
      <w:r>
        <w:rPr>
          <w:color w:val="000000"/>
        </w:rPr>
        <w:t xml:space="preserve">other </w:t>
      </w:r>
      <w:r w:rsidRPr="00791F4B">
        <w:rPr>
          <w:color w:val="000000"/>
        </w:rPr>
        <w:t>non-governmental philanthropic associations and private foundations.</w:t>
      </w:r>
      <w:r w:rsidR="007F4A3A">
        <w:rPr>
          <w:color w:val="000000"/>
        </w:rPr>
        <w:t xml:space="preserve"> </w:t>
      </w:r>
      <w:r w:rsidRPr="00791F4B">
        <w:rPr>
          <w:color w:val="000000"/>
        </w:rPr>
        <w:t xml:space="preserve">Qatari society has long been open to the idea of voluntary charitable work, since Islamic culture supports charitable activities as the noblest </w:t>
      </w:r>
      <w:r>
        <w:rPr>
          <w:color w:val="000000"/>
        </w:rPr>
        <w:t xml:space="preserve">type of </w:t>
      </w:r>
      <w:r w:rsidRPr="00791F4B">
        <w:rPr>
          <w:color w:val="000000"/>
        </w:rPr>
        <w:t>work in which a Muslim can engage.</w:t>
      </w:r>
    </w:p>
    <w:p w:rsidR="0060531D" w:rsidRDefault="004B0C37" w:rsidP="003A3E1A">
      <w:pPr>
        <w:pStyle w:val="SingleTxtG"/>
        <w:rPr>
          <w:color w:val="000000"/>
        </w:rPr>
      </w:pPr>
      <w:r w:rsidRPr="00791F4B">
        <w:rPr>
          <w:color w:val="000000"/>
        </w:rPr>
        <w:t>49</w:t>
      </w:r>
      <w:r w:rsidR="00276B1C">
        <w:rPr>
          <w:color w:val="000000"/>
        </w:rPr>
        <w:t>.</w:t>
      </w:r>
      <w:r w:rsidR="00276B1C">
        <w:rPr>
          <w:color w:val="000000"/>
        </w:rPr>
        <w:tab/>
      </w:r>
      <w:r w:rsidRPr="00791F4B">
        <w:rPr>
          <w:color w:val="000000"/>
        </w:rPr>
        <w:t>The right to form non-governmental associations and private foundations is regulated under Act No. 12 (2004), which limits the activities in which such organizations may engage to the humanitarian, social, cultural, scientific and charitable spheres.</w:t>
      </w:r>
      <w:r w:rsidR="007F4A3A">
        <w:rPr>
          <w:color w:val="000000"/>
        </w:rPr>
        <w:t xml:space="preserve"> </w:t>
      </w:r>
      <w:r w:rsidRPr="00791F4B">
        <w:rPr>
          <w:color w:val="000000"/>
        </w:rPr>
        <w:t xml:space="preserve">The Act states that such organizations must be non-profit making and </w:t>
      </w:r>
      <w:r>
        <w:rPr>
          <w:color w:val="000000"/>
        </w:rPr>
        <w:t>may</w:t>
      </w:r>
      <w:r w:rsidRPr="00791F4B">
        <w:rPr>
          <w:color w:val="000000"/>
        </w:rPr>
        <w:t xml:space="preserve"> not engage in politics.</w:t>
      </w:r>
      <w:r w:rsidR="007F4A3A">
        <w:rPr>
          <w:color w:val="000000"/>
        </w:rPr>
        <w:t xml:space="preserve"> </w:t>
      </w:r>
      <w:r w:rsidRPr="00791F4B">
        <w:rPr>
          <w:color w:val="000000"/>
        </w:rPr>
        <w:t>The Ministry of Administrative Development, Labour and Social Affairs is responsible for registering and monitoring non-governmental associations and private foundations.</w:t>
      </w:r>
      <w:r w:rsidR="007F4A3A">
        <w:rPr>
          <w:color w:val="000000"/>
        </w:rPr>
        <w:t xml:space="preserve"> </w:t>
      </w:r>
      <w:r w:rsidRPr="00791F4B">
        <w:rPr>
          <w:color w:val="000000"/>
        </w:rPr>
        <w:t xml:space="preserve">The Act states that the Council of Ministers, on the recommendation of the relevant minister, may grant an association financial assistance or a loan and </w:t>
      </w:r>
      <w:r>
        <w:rPr>
          <w:color w:val="000000"/>
        </w:rPr>
        <w:t xml:space="preserve">may </w:t>
      </w:r>
      <w:r w:rsidRPr="00791F4B">
        <w:rPr>
          <w:color w:val="000000"/>
        </w:rPr>
        <w:t>allow it to benefit from exemptions on customs duties, taxes and other fees in order to help it achieve its objectives.</w:t>
      </w:r>
    </w:p>
    <w:p w:rsidR="0060531D" w:rsidRDefault="004B0C37" w:rsidP="003A3E1A">
      <w:pPr>
        <w:pStyle w:val="SingleTxtG"/>
        <w:rPr>
          <w:color w:val="000000"/>
        </w:rPr>
      </w:pPr>
      <w:r w:rsidRPr="00791F4B">
        <w:rPr>
          <w:color w:val="000000"/>
        </w:rPr>
        <w:t>50</w:t>
      </w:r>
      <w:r w:rsidR="00276B1C">
        <w:rPr>
          <w:color w:val="000000"/>
        </w:rPr>
        <w:t>.</w:t>
      </w:r>
      <w:r w:rsidR="00276B1C">
        <w:rPr>
          <w:color w:val="000000"/>
        </w:rPr>
        <w:tab/>
      </w:r>
      <w:r w:rsidRPr="00791F4B">
        <w:rPr>
          <w:color w:val="000000"/>
        </w:rPr>
        <w:t>Legislative Decree No. 21 (2006) regulates the establishment of philanthropic private foundations and assigns responsibility for issuing licences to such institutions to the Real Estate Registration and Documentation Department of the Ministry of Justice.</w:t>
      </w:r>
      <w:r w:rsidR="007F4A3A">
        <w:rPr>
          <w:color w:val="000000"/>
        </w:rPr>
        <w:t xml:space="preserve"> </w:t>
      </w:r>
      <w:r w:rsidRPr="00791F4B">
        <w:rPr>
          <w:color w:val="000000"/>
        </w:rPr>
        <w:t xml:space="preserve">The Legislative Decree defines these institutions as entities founded by one or more natural or corporate persons to pursue one or more philanthropic </w:t>
      </w:r>
      <w:r>
        <w:rPr>
          <w:color w:val="000000"/>
        </w:rPr>
        <w:t>aims</w:t>
      </w:r>
      <w:r w:rsidRPr="00791F4B">
        <w:rPr>
          <w:color w:val="000000"/>
        </w:rPr>
        <w:t>.</w:t>
      </w:r>
      <w:r w:rsidR="007F4A3A">
        <w:rPr>
          <w:color w:val="000000"/>
        </w:rPr>
        <w:t xml:space="preserve"> </w:t>
      </w:r>
      <w:r w:rsidRPr="00791F4B">
        <w:rPr>
          <w:color w:val="000000"/>
        </w:rPr>
        <w:t xml:space="preserve">The Council of Ministers may </w:t>
      </w:r>
      <w:r w:rsidRPr="00791F4B">
        <w:rPr>
          <w:color w:val="000000"/>
        </w:rPr>
        <w:lastRenderedPageBreak/>
        <w:t xml:space="preserve">extend all or some of the following privileges to these institutions: financial assistance and privileges in kind, including allocation of land </w:t>
      </w:r>
      <w:r>
        <w:rPr>
          <w:color w:val="000000"/>
        </w:rPr>
        <w:t>to be used in</w:t>
      </w:r>
      <w:r w:rsidRPr="00791F4B">
        <w:rPr>
          <w:color w:val="000000"/>
        </w:rPr>
        <w:t xml:space="preserve"> the pursuit of their activities; exemption in whole or in part from taxes and fees; and </w:t>
      </w:r>
      <w:r>
        <w:rPr>
          <w:color w:val="000000"/>
        </w:rPr>
        <w:t>a prohibition on the</w:t>
      </w:r>
      <w:r w:rsidRPr="00791F4B">
        <w:rPr>
          <w:color w:val="000000"/>
        </w:rPr>
        <w:t xml:space="preserve"> seizure of assets or property by prescription.</w:t>
      </w:r>
    </w:p>
    <w:p w:rsidR="0060531D" w:rsidRDefault="004B0C37" w:rsidP="003A3E1A">
      <w:pPr>
        <w:pStyle w:val="SingleTxtG"/>
        <w:rPr>
          <w:color w:val="000000"/>
        </w:rPr>
      </w:pPr>
      <w:r w:rsidRPr="00791F4B">
        <w:rPr>
          <w:color w:val="000000"/>
        </w:rPr>
        <w:t>51</w:t>
      </w:r>
      <w:r w:rsidR="00276B1C">
        <w:rPr>
          <w:color w:val="000000"/>
        </w:rPr>
        <w:t>.</w:t>
      </w:r>
      <w:r w:rsidR="00276B1C">
        <w:rPr>
          <w:color w:val="000000"/>
        </w:rPr>
        <w:tab/>
      </w:r>
      <w:r w:rsidRPr="00791F4B">
        <w:rPr>
          <w:color w:val="000000"/>
        </w:rPr>
        <w:t xml:space="preserve">A number of private philanthropic foundations have been established by </w:t>
      </w:r>
      <w:proofErr w:type="spellStart"/>
      <w:r>
        <w:rPr>
          <w:color w:val="000000"/>
        </w:rPr>
        <w:t>Emir</w:t>
      </w:r>
      <w:r w:rsidRPr="00791F4B">
        <w:rPr>
          <w:color w:val="000000"/>
        </w:rPr>
        <w:t>i</w:t>
      </w:r>
      <w:proofErr w:type="spellEnd"/>
      <w:r w:rsidRPr="00791F4B">
        <w:rPr>
          <w:color w:val="000000"/>
        </w:rPr>
        <w:t xml:space="preserve"> decision, including, for example, Decision No. 51 (2007), approving the establishment of the Arab Democracy Foundation; Decision No. 86 (2007), approving the establishment of the Doha Centre for Media Freedom; Decision No. 3 (2008), approving the establishment of the </w:t>
      </w:r>
      <w:proofErr w:type="spellStart"/>
      <w:r w:rsidRPr="00791F4B">
        <w:rPr>
          <w:color w:val="000000"/>
        </w:rPr>
        <w:t>Silatech</w:t>
      </w:r>
      <w:proofErr w:type="spellEnd"/>
      <w:r w:rsidRPr="00791F4B">
        <w:rPr>
          <w:color w:val="000000"/>
        </w:rPr>
        <w:t xml:space="preserve"> Foundation; and Decision No. 20 (2010), approving the establishment of the Doha International Centre for Interfaith Dialogue.</w:t>
      </w:r>
      <w:r w:rsidR="007F4A3A">
        <w:rPr>
          <w:color w:val="000000"/>
        </w:rPr>
        <w:t xml:space="preserve"> </w:t>
      </w:r>
      <w:r w:rsidRPr="00791F4B">
        <w:rPr>
          <w:color w:val="000000"/>
        </w:rPr>
        <w:t>Several organizations have been set up under the auspices of the Qatar Foundation for Education, Science and Community Development, including Reach Out to Asia (ROTA) and the Doha International Institute for Family Studies and Development, both of which have been given consultative status by the United Nations Economic and Social Council.</w:t>
      </w:r>
      <w:r w:rsidR="007F4A3A">
        <w:rPr>
          <w:color w:val="000000"/>
        </w:rPr>
        <w:t xml:space="preserve"> </w:t>
      </w:r>
      <w:r w:rsidRPr="00791F4B">
        <w:rPr>
          <w:color w:val="000000"/>
        </w:rPr>
        <w:t>The Qatar Social Work Foundation was</w:t>
      </w:r>
      <w:r>
        <w:rPr>
          <w:color w:val="000000"/>
        </w:rPr>
        <w:t xml:space="preserve"> established in 2013 as a high-level</w:t>
      </w:r>
      <w:r w:rsidRPr="00791F4B">
        <w:rPr>
          <w:color w:val="000000"/>
        </w:rPr>
        <w:t xml:space="preserve"> body </w:t>
      </w:r>
      <w:r>
        <w:rPr>
          <w:color w:val="000000"/>
        </w:rPr>
        <w:t xml:space="preserve">whose </w:t>
      </w:r>
      <w:r w:rsidRPr="00791F4B">
        <w:rPr>
          <w:color w:val="000000"/>
        </w:rPr>
        <w:t xml:space="preserve">consolidated board of directors </w:t>
      </w:r>
      <w:r>
        <w:rPr>
          <w:color w:val="000000"/>
        </w:rPr>
        <w:t xml:space="preserve">is </w:t>
      </w:r>
      <w:r w:rsidRPr="00791F4B">
        <w:rPr>
          <w:color w:val="000000"/>
        </w:rPr>
        <w:t>responsible for supervising and monitoring the activities of social work organizations and centres in Qatar.</w:t>
      </w:r>
      <w:r w:rsidR="007F4A3A">
        <w:rPr>
          <w:color w:val="000000"/>
        </w:rPr>
        <w:t xml:space="preserve"> </w:t>
      </w:r>
      <w:r w:rsidRPr="00791F4B">
        <w:rPr>
          <w:color w:val="000000"/>
        </w:rPr>
        <w:t xml:space="preserve">The Foundation </w:t>
      </w:r>
      <w:r>
        <w:rPr>
          <w:color w:val="000000"/>
        </w:rPr>
        <w:t>formulates and monitors</w:t>
      </w:r>
      <w:r w:rsidRPr="00791F4B">
        <w:rPr>
          <w:color w:val="000000"/>
        </w:rPr>
        <w:t xml:space="preserve"> implementation of plans, programmes, policies and strategies </w:t>
      </w:r>
      <w:r>
        <w:rPr>
          <w:color w:val="000000"/>
        </w:rPr>
        <w:t>aimed at furthering</w:t>
      </w:r>
      <w:r w:rsidRPr="00791F4B">
        <w:rPr>
          <w:color w:val="000000"/>
        </w:rPr>
        <w:t xml:space="preserve"> the goals of civil society organizations, in cooperation and coordination with ministries, government agencies and public and private corporations and institutions </w:t>
      </w:r>
      <w:r>
        <w:rPr>
          <w:color w:val="000000"/>
        </w:rPr>
        <w:t>at home and abroad.</w:t>
      </w:r>
      <w:r w:rsidR="007F4A3A">
        <w:rPr>
          <w:color w:val="000000"/>
        </w:rPr>
        <w:t xml:space="preserve"> </w:t>
      </w:r>
      <w:r>
        <w:rPr>
          <w:color w:val="000000"/>
        </w:rPr>
        <w:t>The Foundation</w:t>
      </w:r>
      <w:r w:rsidR="009D1BD8">
        <w:rPr>
          <w:color w:val="000000"/>
        </w:rPr>
        <w:t>’</w:t>
      </w:r>
      <w:r>
        <w:rPr>
          <w:color w:val="000000"/>
        </w:rPr>
        <w:t xml:space="preserve">s </w:t>
      </w:r>
      <w:r w:rsidR="009D1BD8">
        <w:rPr>
          <w:color w:val="000000"/>
        </w:rPr>
        <w:t>“</w:t>
      </w:r>
      <w:r>
        <w:rPr>
          <w:color w:val="000000"/>
        </w:rPr>
        <w:t>family</w:t>
      </w:r>
      <w:r w:rsidR="009D1BD8">
        <w:rPr>
          <w:color w:val="000000"/>
        </w:rPr>
        <w:t>”</w:t>
      </w:r>
      <w:r>
        <w:rPr>
          <w:color w:val="000000"/>
        </w:rPr>
        <w:t xml:space="preserve"> consists of </w:t>
      </w:r>
      <w:r w:rsidRPr="00791F4B">
        <w:rPr>
          <w:color w:val="000000"/>
        </w:rPr>
        <w:t xml:space="preserve">the following centres and initiatives: (1) </w:t>
      </w:r>
      <w:r>
        <w:rPr>
          <w:color w:val="000000"/>
        </w:rPr>
        <w:t xml:space="preserve">the </w:t>
      </w:r>
      <w:r w:rsidRPr="00791F4B">
        <w:rPr>
          <w:color w:val="000000"/>
        </w:rPr>
        <w:t xml:space="preserve">Protection and Social Rehabilitation Centre, (2) Family Consulting Centre, (3) Orphan Care Centre, (4) Centre for the Empowerment and Care of the Elderly, (5) </w:t>
      </w:r>
      <w:proofErr w:type="spellStart"/>
      <w:r w:rsidRPr="00791F4B">
        <w:rPr>
          <w:color w:val="000000"/>
        </w:rPr>
        <w:t>Shafallah</w:t>
      </w:r>
      <w:proofErr w:type="spellEnd"/>
      <w:r w:rsidRPr="00791F4B">
        <w:rPr>
          <w:color w:val="000000"/>
        </w:rPr>
        <w:t xml:space="preserve"> Centre for Persons with Disabilities, (6) Social Development Centre and (7) Best Buddies initiative (Qatar).</w:t>
      </w:r>
      <w:r>
        <w:rPr>
          <w:color w:val="000000"/>
        </w:rPr>
        <w:t xml:space="preserve"> </w:t>
      </w:r>
    </w:p>
    <w:p w:rsidR="0060531D" w:rsidRDefault="006D0E49" w:rsidP="006D0E49">
      <w:pPr>
        <w:pStyle w:val="HChG"/>
      </w:pPr>
      <w:r>
        <w:tab/>
      </w:r>
      <w:r w:rsidR="004B0C37" w:rsidRPr="00791F4B">
        <w:t>II</w:t>
      </w:r>
      <w:r w:rsidR="00276B1C">
        <w:t>.</w:t>
      </w:r>
      <w:r w:rsidR="00276B1C">
        <w:tab/>
      </w:r>
      <w:r w:rsidR="004B0C37" w:rsidRPr="00791F4B">
        <w:t>General framework for the protection and promotion of human rights</w:t>
      </w:r>
    </w:p>
    <w:p w:rsidR="0060531D" w:rsidRDefault="00CB5EC7" w:rsidP="00CB5EC7">
      <w:pPr>
        <w:pStyle w:val="H1G"/>
      </w:pPr>
      <w:r>
        <w:tab/>
      </w:r>
      <w:r w:rsidR="004B0C37" w:rsidRPr="00791F4B">
        <w:t>A</w:t>
      </w:r>
      <w:r w:rsidR="00276B1C">
        <w:t>.</w:t>
      </w:r>
      <w:r w:rsidR="00276B1C">
        <w:tab/>
      </w:r>
      <w:r w:rsidR="004B0C37">
        <w:t xml:space="preserve">Acceptance of </w:t>
      </w:r>
      <w:r w:rsidR="004B0C37" w:rsidRPr="00791F4B">
        <w:t>international human rights standards</w:t>
      </w:r>
    </w:p>
    <w:p w:rsidR="0060531D" w:rsidRDefault="0077631E" w:rsidP="0077631E">
      <w:pPr>
        <w:pStyle w:val="H23G"/>
      </w:pPr>
      <w:r>
        <w:tab/>
      </w:r>
      <w:r>
        <w:tab/>
      </w:r>
      <w:r w:rsidR="004B0C37" w:rsidRPr="00791F4B">
        <w:t xml:space="preserve">Accession to international </w:t>
      </w:r>
      <w:r w:rsidR="004B0C37">
        <w:t xml:space="preserve">human rights </w:t>
      </w:r>
      <w:r w:rsidR="004B0C37" w:rsidRPr="00791F4B">
        <w:t>treaties</w:t>
      </w:r>
    </w:p>
    <w:p w:rsidR="004B0C37" w:rsidRDefault="004B0C37" w:rsidP="003A3E1A">
      <w:pPr>
        <w:pStyle w:val="SingleTxtG"/>
      </w:pPr>
      <w:r w:rsidRPr="00791F4B">
        <w:rPr>
          <w:color w:val="000000"/>
        </w:rPr>
        <w:t>52</w:t>
      </w:r>
      <w:r w:rsidR="00276B1C">
        <w:rPr>
          <w:color w:val="000000"/>
        </w:rPr>
        <w:t>.</w:t>
      </w:r>
      <w:r w:rsidR="00276B1C">
        <w:rPr>
          <w:color w:val="000000"/>
        </w:rPr>
        <w:tab/>
      </w:r>
      <w:r w:rsidRPr="0041005F">
        <w:t xml:space="preserve">With a view to </w:t>
      </w:r>
      <w:r>
        <w:t xml:space="preserve">promoting and </w:t>
      </w:r>
      <w:r w:rsidRPr="0041005F">
        <w:t xml:space="preserve">strengthening the </w:t>
      </w:r>
      <w:r>
        <w:t xml:space="preserve">human rights </w:t>
      </w:r>
      <w:r w:rsidRPr="0041005F">
        <w:t xml:space="preserve">legislative framework, Qatar has acceded to and ratified numerous international and regional human rights conventions, as </w:t>
      </w:r>
      <w:r>
        <w:t>follows</w:t>
      </w:r>
      <w:r w:rsidR="000E5444">
        <w:t>:</w:t>
      </w:r>
    </w:p>
    <w:p w:rsidR="004B0C37" w:rsidRPr="00EE7396" w:rsidRDefault="00A703EC" w:rsidP="00A703EC">
      <w:pPr>
        <w:pStyle w:val="Bullet1G"/>
        <w:numPr>
          <w:ilvl w:val="0"/>
          <w:numId w:val="0"/>
        </w:numPr>
        <w:tabs>
          <w:tab w:val="left" w:pos="1701"/>
        </w:tabs>
        <w:ind w:left="1701" w:hanging="170"/>
      </w:pPr>
      <w:r w:rsidRPr="00EE7396">
        <w:t>•</w:t>
      </w:r>
      <w:r w:rsidRPr="00EE7396">
        <w:tab/>
      </w:r>
      <w:r w:rsidR="004B0C37" w:rsidRPr="00EE7396">
        <w:t>International Covenant on Civil and Political Rights and International Covenant on Economic, Social and Cultural Rights (2018);</w:t>
      </w:r>
    </w:p>
    <w:p w:rsidR="004B0C37" w:rsidRDefault="00A703EC" w:rsidP="00A703EC">
      <w:pPr>
        <w:pStyle w:val="Bullet1G"/>
        <w:numPr>
          <w:ilvl w:val="0"/>
          <w:numId w:val="0"/>
        </w:numPr>
        <w:tabs>
          <w:tab w:val="left" w:pos="1701"/>
        </w:tabs>
        <w:ind w:left="1701" w:hanging="170"/>
      </w:pPr>
      <w:r>
        <w:t>•</w:t>
      </w:r>
      <w:r>
        <w:tab/>
      </w:r>
      <w:r w:rsidR="004B0C37" w:rsidRPr="00EE7396">
        <w:t>Arab Convention for the Protection of Copyright and Related Rights (2015);</w:t>
      </w:r>
    </w:p>
    <w:p w:rsidR="004B0C37" w:rsidRDefault="00A703EC" w:rsidP="00A703EC">
      <w:pPr>
        <w:pStyle w:val="Bullet1G"/>
        <w:numPr>
          <w:ilvl w:val="0"/>
          <w:numId w:val="0"/>
        </w:numPr>
        <w:tabs>
          <w:tab w:val="left" w:pos="1701"/>
        </w:tabs>
        <w:ind w:left="1701" w:hanging="170"/>
      </w:pPr>
      <w:r>
        <w:t>•</w:t>
      </w:r>
      <w:r>
        <w:tab/>
      </w:r>
      <w:r w:rsidR="004B0C37" w:rsidRPr="00EE7396">
        <w:t>International Convention for the Suppression of Acts of Nuclear Terrorism</w:t>
      </w:r>
      <w:r w:rsidR="004B0C37">
        <w:t xml:space="preserve"> (2014);</w:t>
      </w:r>
    </w:p>
    <w:p w:rsidR="004B0C37" w:rsidRDefault="00A703EC" w:rsidP="00A703EC">
      <w:pPr>
        <w:pStyle w:val="Bullet1G"/>
        <w:numPr>
          <w:ilvl w:val="0"/>
          <w:numId w:val="0"/>
        </w:numPr>
        <w:tabs>
          <w:tab w:val="left" w:pos="1701"/>
        </w:tabs>
        <w:ind w:left="1701" w:hanging="170"/>
      </w:pPr>
      <w:r>
        <w:t>•</w:t>
      </w:r>
      <w:r>
        <w:tab/>
      </w:r>
      <w:r w:rsidR="004B0C37" w:rsidRPr="00EE7396">
        <w:t>Arab Convention on Combating Money Laundering and Terrorist Financing</w:t>
      </w:r>
      <w:r w:rsidR="004B0C37">
        <w:t xml:space="preserve"> (2012);</w:t>
      </w:r>
    </w:p>
    <w:p w:rsidR="004B0C37" w:rsidRDefault="00A703EC" w:rsidP="00A703EC">
      <w:pPr>
        <w:pStyle w:val="Bullet1G"/>
        <w:numPr>
          <w:ilvl w:val="0"/>
          <w:numId w:val="0"/>
        </w:numPr>
        <w:tabs>
          <w:tab w:val="left" w:pos="1701"/>
        </w:tabs>
        <w:ind w:left="1701" w:hanging="170"/>
      </w:pPr>
      <w:r>
        <w:t>•</w:t>
      </w:r>
      <w:r>
        <w:tab/>
      </w:r>
      <w:r w:rsidR="004B0C37" w:rsidRPr="00EE7396">
        <w:t>Convention on the Protection and Promotion of the Diversity of Cultural Expressions</w:t>
      </w:r>
      <w:r w:rsidR="004B0C37">
        <w:t xml:space="preserve"> (2009);</w:t>
      </w:r>
    </w:p>
    <w:p w:rsidR="004B0C37" w:rsidRDefault="00A703EC" w:rsidP="00A703EC">
      <w:pPr>
        <w:pStyle w:val="Bullet1G"/>
        <w:numPr>
          <w:ilvl w:val="0"/>
          <w:numId w:val="0"/>
        </w:numPr>
        <w:tabs>
          <w:tab w:val="left" w:pos="1701"/>
        </w:tabs>
        <w:ind w:left="1701" w:hanging="170"/>
      </w:pPr>
      <w:r>
        <w:t>•</w:t>
      </w:r>
      <w:r>
        <w:tab/>
      </w:r>
      <w:r w:rsidR="004B0C37">
        <w:t>Arab Charter on Human Rights (2009);</w:t>
      </w:r>
    </w:p>
    <w:p w:rsidR="004B0C37" w:rsidRPr="009C50EB" w:rsidRDefault="00A703EC" w:rsidP="00A703EC">
      <w:pPr>
        <w:pStyle w:val="Bullet1G"/>
        <w:numPr>
          <w:ilvl w:val="0"/>
          <w:numId w:val="0"/>
        </w:numPr>
        <w:tabs>
          <w:tab w:val="left" w:pos="1701"/>
        </w:tabs>
        <w:ind w:left="1701" w:hanging="170"/>
      </w:pPr>
      <w:r w:rsidRPr="009C50EB">
        <w:t>•</w:t>
      </w:r>
      <w:r w:rsidRPr="009C50EB">
        <w:tab/>
      </w:r>
      <w:r w:rsidR="004B0C37" w:rsidRPr="009C50EB">
        <w:t>Convention on the Elimination of all Forms of Discrimination Against Women</w:t>
      </w:r>
      <w:r w:rsidR="004B0C37">
        <w:t xml:space="preserve"> (2009);</w:t>
      </w:r>
    </w:p>
    <w:p w:rsidR="004B0C37" w:rsidRDefault="00A703EC" w:rsidP="00A703EC">
      <w:pPr>
        <w:pStyle w:val="Bullet1G"/>
        <w:numPr>
          <w:ilvl w:val="0"/>
          <w:numId w:val="0"/>
        </w:numPr>
        <w:tabs>
          <w:tab w:val="left" w:pos="1701"/>
        </w:tabs>
        <w:ind w:left="1701" w:hanging="170"/>
      </w:pPr>
      <w:r>
        <w:t>•</w:t>
      </w:r>
      <w:r>
        <w:tab/>
      </w:r>
      <w:r w:rsidR="004B0C37" w:rsidRPr="00EC0177">
        <w:t>Protocol to Prevent, Suppress and Punish Trafficking in Persons</w:t>
      </w:r>
      <w:r w:rsidR="004B0C37">
        <w:t>, e</w:t>
      </w:r>
      <w:r w:rsidR="004B0C37" w:rsidRPr="00EC0177">
        <w:t>specially Women and Children</w:t>
      </w:r>
      <w:r w:rsidR="004B0C37">
        <w:t xml:space="preserve"> (the Palermo Protocol, 2008);</w:t>
      </w:r>
    </w:p>
    <w:p w:rsidR="004B0C37" w:rsidRDefault="00A703EC" w:rsidP="00A703EC">
      <w:pPr>
        <w:pStyle w:val="Bullet1G"/>
        <w:numPr>
          <w:ilvl w:val="0"/>
          <w:numId w:val="0"/>
        </w:numPr>
        <w:tabs>
          <w:tab w:val="left" w:pos="1701"/>
        </w:tabs>
        <w:ind w:left="1701" w:hanging="170"/>
      </w:pPr>
      <w:r>
        <w:t>•</w:t>
      </w:r>
      <w:r>
        <w:tab/>
      </w:r>
      <w:r w:rsidR="004B0C37" w:rsidRPr="0041005F">
        <w:t>Convention on the Rights of Persons with Disabilities</w:t>
      </w:r>
      <w:r w:rsidR="004B0C37">
        <w:t xml:space="preserve"> (2008);</w:t>
      </w:r>
    </w:p>
    <w:p w:rsidR="004B0C37" w:rsidRDefault="00A703EC" w:rsidP="00A703EC">
      <w:pPr>
        <w:pStyle w:val="Bullet1G"/>
        <w:numPr>
          <w:ilvl w:val="0"/>
          <w:numId w:val="0"/>
        </w:numPr>
        <w:tabs>
          <w:tab w:val="left" w:pos="1701"/>
        </w:tabs>
        <w:ind w:left="1701" w:hanging="170"/>
      </w:pPr>
      <w:r>
        <w:t>•</w:t>
      </w:r>
      <w:r>
        <w:tab/>
      </w:r>
      <w:r w:rsidR="004B0C37" w:rsidRPr="0041005F">
        <w:t>United Nations Convention against Transnational Organized Crime</w:t>
      </w:r>
      <w:r w:rsidR="004B0C37">
        <w:t xml:space="preserve"> (2008);</w:t>
      </w:r>
    </w:p>
    <w:p w:rsidR="004B0C37" w:rsidRDefault="00A703EC" w:rsidP="00A703EC">
      <w:pPr>
        <w:pStyle w:val="Bullet1G"/>
        <w:numPr>
          <w:ilvl w:val="0"/>
          <w:numId w:val="0"/>
        </w:numPr>
        <w:tabs>
          <w:tab w:val="left" w:pos="1701"/>
        </w:tabs>
        <w:ind w:left="1701" w:hanging="170"/>
      </w:pPr>
      <w:r>
        <w:t>•</w:t>
      </w:r>
      <w:r>
        <w:tab/>
      </w:r>
      <w:r w:rsidR="004B0C37" w:rsidRPr="0041005F">
        <w:t>Abolition of Forced Labour Convention</w:t>
      </w:r>
      <w:r w:rsidR="004B0C37">
        <w:t xml:space="preserve"> (2007);</w:t>
      </w:r>
    </w:p>
    <w:p w:rsidR="004B0C37" w:rsidRDefault="00A703EC" w:rsidP="00A703EC">
      <w:pPr>
        <w:pStyle w:val="Bullet1G"/>
        <w:numPr>
          <w:ilvl w:val="0"/>
          <w:numId w:val="0"/>
        </w:numPr>
        <w:tabs>
          <w:tab w:val="left" w:pos="1701"/>
        </w:tabs>
        <w:ind w:left="1701" w:hanging="170"/>
      </w:pPr>
      <w:r>
        <w:t>•</w:t>
      </w:r>
      <w:r>
        <w:tab/>
      </w:r>
      <w:r w:rsidR="004B0C37" w:rsidRPr="0041005F">
        <w:t>Minimum Age Convention</w:t>
      </w:r>
      <w:r w:rsidR="004B0C37">
        <w:t xml:space="preserve"> (2005);</w:t>
      </w:r>
    </w:p>
    <w:p w:rsidR="004B0C37" w:rsidRDefault="00A703EC" w:rsidP="00A703EC">
      <w:pPr>
        <w:pStyle w:val="Bullet1G"/>
        <w:numPr>
          <w:ilvl w:val="0"/>
          <w:numId w:val="0"/>
        </w:numPr>
        <w:tabs>
          <w:tab w:val="left" w:pos="1701"/>
        </w:tabs>
        <w:ind w:left="1701" w:hanging="170"/>
      </w:pPr>
      <w:r>
        <w:lastRenderedPageBreak/>
        <w:t>•</w:t>
      </w:r>
      <w:r>
        <w:tab/>
      </w:r>
      <w:r w:rsidR="004B0C37" w:rsidRPr="0041005F">
        <w:t>Optional Protocol to the Convention on the Rights of the Child on the involvement of children in armed conflict</w:t>
      </w:r>
      <w:r w:rsidR="004B0C37">
        <w:t xml:space="preserve"> (2002);</w:t>
      </w:r>
    </w:p>
    <w:p w:rsidR="004B0C37" w:rsidRDefault="00A703EC" w:rsidP="00A703EC">
      <w:pPr>
        <w:pStyle w:val="Bullet1G"/>
        <w:numPr>
          <w:ilvl w:val="0"/>
          <w:numId w:val="0"/>
        </w:numPr>
        <w:tabs>
          <w:tab w:val="left" w:pos="1701"/>
        </w:tabs>
        <w:ind w:left="1701" w:hanging="170"/>
      </w:pPr>
      <w:r>
        <w:t>•</w:t>
      </w:r>
      <w:r>
        <w:tab/>
      </w:r>
      <w:r w:rsidR="004B0C37" w:rsidRPr="0041005F">
        <w:t>Optional Protocol to the Convention on the Rights of the Child on the sale of children, child prostitution and child pornography</w:t>
      </w:r>
      <w:r w:rsidR="004B0C37">
        <w:t xml:space="preserve"> (2001);</w:t>
      </w:r>
    </w:p>
    <w:p w:rsidR="004B0C37" w:rsidRPr="0041005F" w:rsidRDefault="00A703EC" w:rsidP="00A703EC">
      <w:pPr>
        <w:pStyle w:val="Bullet1G"/>
        <w:numPr>
          <w:ilvl w:val="0"/>
          <w:numId w:val="0"/>
        </w:numPr>
        <w:tabs>
          <w:tab w:val="left" w:pos="1701"/>
        </w:tabs>
        <w:ind w:left="1701" w:hanging="170"/>
      </w:pPr>
      <w:r w:rsidRPr="0041005F">
        <w:t>•</w:t>
      </w:r>
      <w:r w:rsidRPr="0041005F">
        <w:tab/>
      </w:r>
      <w:r w:rsidR="004B0C37" w:rsidRPr="0041005F">
        <w:t>Convention against Torture and Other Cruel, Inhuman or Degrading Treatment or Punishment (2001)</w:t>
      </w:r>
    </w:p>
    <w:p w:rsidR="004B0C37" w:rsidRDefault="00A703EC" w:rsidP="00A703EC">
      <w:pPr>
        <w:pStyle w:val="Bullet1G"/>
        <w:numPr>
          <w:ilvl w:val="0"/>
          <w:numId w:val="0"/>
        </w:numPr>
        <w:tabs>
          <w:tab w:val="left" w:pos="1701"/>
        </w:tabs>
        <w:ind w:left="1701" w:hanging="170"/>
      </w:pPr>
      <w:r>
        <w:t>•</w:t>
      </w:r>
      <w:r>
        <w:tab/>
      </w:r>
      <w:r w:rsidR="004B0C37" w:rsidRPr="0041005F">
        <w:t>Worst Forms of Child Labour Convention</w:t>
      </w:r>
      <w:r w:rsidR="004B0C37">
        <w:t xml:space="preserve"> (2001);</w:t>
      </w:r>
    </w:p>
    <w:p w:rsidR="004B0C37" w:rsidRDefault="00A703EC" w:rsidP="00A703EC">
      <w:pPr>
        <w:pStyle w:val="Bullet1G"/>
        <w:numPr>
          <w:ilvl w:val="0"/>
          <w:numId w:val="0"/>
        </w:numPr>
        <w:tabs>
          <w:tab w:val="left" w:pos="1701"/>
        </w:tabs>
        <w:ind w:left="1701" w:hanging="170"/>
      </w:pPr>
      <w:r>
        <w:t>•</w:t>
      </w:r>
      <w:r>
        <w:tab/>
      </w:r>
      <w:r w:rsidR="004B0C37" w:rsidRPr="0041005F">
        <w:t>Forced Labour Convention</w:t>
      </w:r>
      <w:r w:rsidR="004B0C37">
        <w:t xml:space="preserve"> (1998);</w:t>
      </w:r>
    </w:p>
    <w:p w:rsidR="004B0C37" w:rsidRPr="00EE7396" w:rsidRDefault="00A703EC" w:rsidP="00A703EC">
      <w:pPr>
        <w:pStyle w:val="Bullet1G"/>
        <w:numPr>
          <w:ilvl w:val="0"/>
          <w:numId w:val="0"/>
        </w:numPr>
        <w:tabs>
          <w:tab w:val="left" w:pos="1701"/>
        </w:tabs>
        <w:ind w:left="1701" w:hanging="170"/>
      </w:pPr>
      <w:r w:rsidRPr="00EE7396">
        <w:t>•</w:t>
      </w:r>
      <w:r w:rsidRPr="00EE7396">
        <w:tab/>
      </w:r>
      <w:r w:rsidR="004B0C37" w:rsidRPr="00EE7396">
        <w:t>Convention on the Rights of the Child</w:t>
      </w:r>
      <w:r w:rsidR="004B0C37">
        <w:t xml:space="preserve"> (1995);</w:t>
      </w:r>
    </w:p>
    <w:p w:rsidR="004B0C37" w:rsidRDefault="00A703EC" w:rsidP="00A703EC">
      <w:pPr>
        <w:pStyle w:val="Bullet1G"/>
        <w:numPr>
          <w:ilvl w:val="0"/>
          <w:numId w:val="0"/>
        </w:numPr>
        <w:tabs>
          <w:tab w:val="left" w:pos="1701"/>
        </w:tabs>
        <w:ind w:left="1701" w:hanging="170"/>
      </w:pPr>
      <w:r>
        <w:t>•</w:t>
      </w:r>
      <w:r>
        <w:tab/>
      </w:r>
      <w:r w:rsidR="004B0C37" w:rsidRPr="009C50EB">
        <w:rPr>
          <w:color w:val="222222"/>
        </w:rPr>
        <w:t>Conventio</w:t>
      </w:r>
      <w:r w:rsidR="004B0C37">
        <w:rPr>
          <w:color w:val="222222"/>
        </w:rPr>
        <w:t>n concerning Discrimination in r</w:t>
      </w:r>
      <w:r w:rsidR="004B0C37" w:rsidRPr="009C50EB">
        <w:rPr>
          <w:color w:val="222222"/>
        </w:rPr>
        <w:t>espect of Employment and Occupation</w:t>
      </w:r>
      <w:r w:rsidR="004B0C37">
        <w:t xml:space="preserve"> (1976);</w:t>
      </w:r>
    </w:p>
    <w:p w:rsidR="0060531D" w:rsidRDefault="00A703EC" w:rsidP="00A703EC">
      <w:pPr>
        <w:pStyle w:val="Bullet1G"/>
        <w:numPr>
          <w:ilvl w:val="0"/>
          <w:numId w:val="0"/>
        </w:numPr>
        <w:tabs>
          <w:tab w:val="left" w:pos="1701"/>
        </w:tabs>
        <w:ind w:left="1701" w:hanging="170"/>
      </w:pPr>
      <w:r>
        <w:t>•</w:t>
      </w:r>
      <w:r>
        <w:tab/>
      </w:r>
      <w:r w:rsidR="004B0C37" w:rsidRPr="00EE7396">
        <w:t>International Convention on the Elimination of All Forms of Racial Discrimination (</w:t>
      </w:r>
      <w:r w:rsidR="004B0C37">
        <w:t>2009</w:t>
      </w:r>
      <w:r w:rsidR="004B0C37" w:rsidRPr="00EE7396">
        <w:t>)</w:t>
      </w:r>
      <w:r w:rsidR="004B0C37">
        <w:t xml:space="preserve">. </w:t>
      </w:r>
    </w:p>
    <w:p w:rsidR="0060531D" w:rsidRDefault="004B0C37" w:rsidP="003A3E1A">
      <w:pPr>
        <w:pStyle w:val="SingleTxtG"/>
        <w:rPr>
          <w:color w:val="2C2C2C"/>
          <w:bdr w:val="none" w:sz="0" w:space="0" w:color="auto" w:frame="1"/>
        </w:rPr>
      </w:pPr>
      <w:r w:rsidRPr="00A711DE">
        <w:t>53</w:t>
      </w:r>
      <w:r w:rsidR="00276B1C">
        <w:t>.</w:t>
      </w:r>
      <w:r w:rsidR="00276B1C">
        <w:tab/>
      </w:r>
      <w:r w:rsidRPr="00A711DE">
        <w:rPr>
          <w:color w:val="2C2C2C"/>
          <w:bdr w:val="none" w:sz="0" w:space="0" w:color="auto" w:frame="1"/>
        </w:rPr>
        <w:t xml:space="preserve">The </w:t>
      </w:r>
      <w:r>
        <w:rPr>
          <w:color w:val="2C2C2C"/>
          <w:bdr w:val="none" w:sz="0" w:space="0" w:color="auto" w:frame="1"/>
        </w:rPr>
        <w:t>Emir</w:t>
      </w:r>
      <w:r w:rsidRPr="00A711DE">
        <w:rPr>
          <w:color w:val="2C2C2C"/>
          <w:bdr w:val="none" w:sz="0" w:space="0" w:color="auto" w:frame="1"/>
        </w:rPr>
        <w:t xml:space="preserve"> shall conclude treaties and agreements by decree and refer them to the </w:t>
      </w:r>
      <w:r>
        <w:rPr>
          <w:color w:val="2C2C2C"/>
          <w:bdr w:val="none" w:sz="0" w:space="0" w:color="auto" w:frame="1"/>
        </w:rPr>
        <w:t>Advisory</w:t>
      </w:r>
      <w:r w:rsidRPr="00A711DE">
        <w:rPr>
          <w:color w:val="2C2C2C"/>
          <w:bdr w:val="none" w:sz="0" w:space="0" w:color="auto" w:frame="1"/>
        </w:rPr>
        <w:t xml:space="preserve"> Council, accompanied by appropriate </w:t>
      </w:r>
      <w:r>
        <w:rPr>
          <w:color w:val="2C2C2C"/>
          <w:bdr w:val="none" w:sz="0" w:space="0" w:color="auto" w:frame="1"/>
        </w:rPr>
        <w:t>clarification</w:t>
      </w:r>
      <w:r w:rsidRPr="00A711DE">
        <w:rPr>
          <w:color w:val="2C2C2C"/>
          <w:bdr w:val="none" w:sz="0" w:space="0" w:color="auto" w:frame="1"/>
        </w:rPr>
        <w:t>.</w:t>
      </w:r>
      <w:r w:rsidR="007F4A3A">
        <w:rPr>
          <w:color w:val="2C2C2C"/>
          <w:bdr w:val="none" w:sz="0" w:space="0" w:color="auto" w:frame="1"/>
        </w:rPr>
        <w:t xml:space="preserve"> </w:t>
      </w:r>
      <w:r w:rsidRPr="00A711DE">
        <w:rPr>
          <w:color w:val="2C2C2C"/>
          <w:bdr w:val="none" w:sz="0" w:space="0" w:color="auto" w:frame="1"/>
        </w:rPr>
        <w:t xml:space="preserve">The treaty or agreement shall have the power of law after ratification and publication in the Official </w:t>
      </w:r>
      <w:r w:rsidRPr="00A711DE">
        <w:rPr>
          <w:iCs/>
          <w:color w:val="2C2C2C"/>
          <w:bdr w:val="none" w:sz="0" w:space="0" w:color="auto" w:frame="1"/>
        </w:rPr>
        <w:t>Gazette</w:t>
      </w:r>
      <w:r w:rsidRPr="00A711DE">
        <w:rPr>
          <w:color w:val="2C2C2C"/>
          <w:bdr w:val="none" w:sz="0" w:space="0" w:color="auto" w:frame="1"/>
        </w:rPr>
        <w:t xml:space="preserve">. </w:t>
      </w:r>
    </w:p>
    <w:p w:rsidR="0060531D" w:rsidRDefault="003D0599" w:rsidP="003D0599">
      <w:pPr>
        <w:pStyle w:val="H23G"/>
        <w:rPr>
          <w:bdr w:val="none" w:sz="0" w:space="0" w:color="auto" w:frame="1"/>
        </w:rPr>
      </w:pPr>
      <w:r>
        <w:rPr>
          <w:bdr w:val="none" w:sz="0" w:space="0" w:color="auto" w:frame="1"/>
        </w:rPr>
        <w:tab/>
      </w:r>
      <w:r>
        <w:rPr>
          <w:bdr w:val="none" w:sz="0" w:space="0" w:color="auto" w:frame="1"/>
        </w:rPr>
        <w:tab/>
      </w:r>
      <w:r w:rsidR="004B0C37" w:rsidRPr="008417CD">
        <w:rPr>
          <w:bdr w:val="none" w:sz="0" w:space="0" w:color="auto" w:frame="1"/>
        </w:rPr>
        <w:t>Reservations and declarations to international conventions</w:t>
      </w:r>
    </w:p>
    <w:p w:rsidR="004B0C37" w:rsidRDefault="004B0C37" w:rsidP="003A3E1A">
      <w:pPr>
        <w:pStyle w:val="SingleTxtG"/>
        <w:rPr>
          <w:color w:val="2C2C2C"/>
          <w:bdr w:val="none" w:sz="0" w:space="0" w:color="auto" w:frame="1"/>
        </w:rPr>
      </w:pPr>
      <w:r>
        <w:rPr>
          <w:color w:val="2C2C2C"/>
          <w:bdr w:val="none" w:sz="0" w:space="0" w:color="auto" w:frame="1"/>
        </w:rPr>
        <w:t>54</w:t>
      </w:r>
      <w:r w:rsidR="00276B1C">
        <w:rPr>
          <w:color w:val="2C2C2C"/>
          <w:bdr w:val="none" w:sz="0" w:space="0" w:color="auto" w:frame="1"/>
        </w:rPr>
        <w:t>.</w:t>
      </w:r>
      <w:r w:rsidR="00276B1C">
        <w:rPr>
          <w:color w:val="2C2C2C"/>
          <w:bdr w:val="none" w:sz="0" w:space="0" w:color="auto" w:frame="1"/>
        </w:rPr>
        <w:tab/>
      </w:r>
      <w:r>
        <w:rPr>
          <w:color w:val="2C2C2C"/>
          <w:bdr w:val="none" w:sz="0" w:space="0" w:color="auto" w:frame="1"/>
        </w:rPr>
        <w:t>In recent years the State has initiated a strategic policy vis-à-vis general reservations to international conventions, resulting in a review of its general reservations to the human rights conventions to which Qatar is a party.</w:t>
      </w:r>
      <w:r w:rsidR="007F4A3A">
        <w:rPr>
          <w:color w:val="2C2C2C"/>
          <w:bdr w:val="none" w:sz="0" w:space="0" w:color="auto" w:frame="1"/>
        </w:rPr>
        <w:t xml:space="preserve"> </w:t>
      </w:r>
      <w:r>
        <w:rPr>
          <w:color w:val="2C2C2C"/>
          <w:bdr w:val="none" w:sz="0" w:space="0" w:color="auto" w:frame="1"/>
        </w:rPr>
        <w:t>Accordingly:</w:t>
      </w:r>
    </w:p>
    <w:p w:rsidR="004B0C37" w:rsidRDefault="00A703EC" w:rsidP="00A703EC">
      <w:pPr>
        <w:pStyle w:val="Bullet1G"/>
        <w:numPr>
          <w:ilvl w:val="0"/>
          <w:numId w:val="0"/>
        </w:numPr>
        <w:tabs>
          <w:tab w:val="left" w:pos="1701"/>
        </w:tabs>
        <w:ind w:left="1701" w:hanging="170"/>
      </w:pPr>
      <w:r>
        <w:t>•</w:t>
      </w:r>
      <w:r>
        <w:tab/>
      </w:r>
      <w:r w:rsidR="004B0C37" w:rsidRPr="008417CD">
        <w:t xml:space="preserve">The State has withdrawn its general reservation to the Optional Protocol to the Convention on the Rights of the Child on the sale of children, child prostitution and child pornography and partially withdrawn its general reservation to </w:t>
      </w:r>
      <w:r w:rsidR="004B0C37">
        <w:t>those</w:t>
      </w:r>
      <w:r w:rsidR="004B0C37" w:rsidRPr="008417CD">
        <w:t xml:space="preserve"> provisions</w:t>
      </w:r>
      <w:r w:rsidR="004B0C37">
        <w:t xml:space="preserve"> of</w:t>
      </w:r>
      <w:r w:rsidR="004B0C37" w:rsidRPr="008417CD">
        <w:t xml:space="preserve"> the Convention on the Rights of the Child </w:t>
      </w:r>
      <w:r w:rsidR="004B0C37">
        <w:t>which</w:t>
      </w:r>
      <w:r w:rsidR="004B0C37" w:rsidRPr="008417CD">
        <w:t xml:space="preserve"> are inconsistent with Islamic sharia</w:t>
      </w:r>
      <w:r w:rsidR="004B0C37">
        <w:t xml:space="preserve">; the reservation shall continue to apply in respect of articles 2 and 14 of the </w:t>
      </w:r>
      <w:r w:rsidR="004B0C37" w:rsidRPr="008417CD">
        <w:t>Convention on the Rights of the Child</w:t>
      </w:r>
      <w:r w:rsidR="004B0C37">
        <w:t>;</w:t>
      </w:r>
    </w:p>
    <w:p w:rsidR="0060531D" w:rsidRDefault="00A703EC" w:rsidP="00A703EC">
      <w:pPr>
        <w:pStyle w:val="Bullet1G"/>
        <w:numPr>
          <w:ilvl w:val="0"/>
          <w:numId w:val="0"/>
        </w:numPr>
        <w:tabs>
          <w:tab w:val="left" w:pos="1701"/>
        </w:tabs>
        <w:ind w:left="1701" w:hanging="170"/>
      </w:pPr>
      <w:r>
        <w:t>•</w:t>
      </w:r>
      <w:r>
        <w:tab/>
      </w:r>
      <w:r w:rsidR="004B0C37" w:rsidRPr="008417CD">
        <w:t>The State has withdrawn its reservation</w:t>
      </w:r>
      <w:r w:rsidR="004B0C37">
        <w:t>s</w:t>
      </w:r>
      <w:r w:rsidR="004B0C37" w:rsidRPr="008417CD">
        <w:t xml:space="preserve"> to</w:t>
      </w:r>
      <w:r w:rsidR="004B0C37">
        <w:t xml:space="preserve"> articles 21 and 22 in response to the recommendation of the Committee against Torture and amended and replaced its general reservation to the Convention with a partial reservation applying only to articles 1 and 16.</w:t>
      </w:r>
    </w:p>
    <w:p w:rsidR="0060531D" w:rsidRDefault="00AD5811" w:rsidP="00AD5811">
      <w:pPr>
        <w:pStyle w:val="H1G"/>
      </w:pPr>
      <w:r>
        <w:tab/>
      </w:r>
      <w:r w:rsidR="004B0C37">
        <w:t>B</w:t>
      </w:r>
      <w:r w:rsidR="00276B1C">
        <w:t>.</w:t>
      </w:r>
      <w:r w:rsidR="00276B1C">
        <w:tab/>
      </w:r>
      <w:r w:rsidR="004B0C37">
        <w:t>Legal and institutional framework for the protection and promotion of human rights nationally</w:t>
      </w:r>
    </w:p>
    <w:p w:rsidR="0060531D" w:rsidRDefault="00135D57" w:rsidP="00135D57">
      <w:pPr>
        <w:pStyle w:val="H23G"/>
      </w:pPr>
      <w:r>
        <w:tab/>
      </w:r>
      <w:r>
        <w:tab/>
      </w:r>
      <w:r w:rsidR="004B0C37">
        <w:t>Constitutional protection for human rights</w:t>
      </w:r>
    </w:p>
    <w:p w:rsidR="0060531D" w:rsidRDefault="004B0C37" w:rsidP="003A3E1A">
      <w:pPr>
        <w:pStyle w:val="SingleTxtG"/>
        <w:rPr>
          <w:color w:val="000000"/>
        </w:rPr>
      </w:pPr>
      <w:r>
        <w:rPr>
          <w:color w:val="000000"/>
        </w:rPr>
        <w:t>55</w:t>
      </w:r>
      <w:r w:rsidR="00276B1C">
        <w:rPr>
          <w:color w:val="000000"/>
        </w:rPr>
        <w:t>.</w:t>
      </w:r>
      <w:r w:rsidR="00276B1C">
        <w:rPr>
          <w:color w:val="000000"/>
        </w:rPr>
        <w:tab/>
      </w:r>
      <w:r>
        <w:rPr>
          <w:color w:val="000000"/>
        </w:rPr>
        <w:t>The State of Qatar is keen for the subject of human rights to be at the heart of constitutional, political, economic, social and cultural reform and this concern is reflected in the development and strengthening of the legislative and institutional infrastructure of human rights.</w:t>
      </w:r>
      <w:r w:rsidR="007F4A3A">
        <w:rPr>
          <w:color w:val="000000"/>
        </w:rPr>
        <w:t xml:space="preserve"> </w:t>
      </w:r>
      <w:r>
        <w:rPr>
          <w:color w:val="000000"/>
        </w:rPr>
        <w:t>Part III (articles 34-58) of the 2004 Constitution is devoted to fundamental rights and freedoms, enshrining the principle of the integration, interconnection, interrelationship and indivisibility of rights.</w:t>
      </w:r>
      <w:r w:rsidR="007F4A3A">
        <w:rPr>
          <w:color w:val="000000"/>
        </w:rPr>
        <w:t xml:space="preserve"> </w:t>
      </w:r>
      <w:r>
        <w:rPr>
          <w:color w:val="000000"/>
        </w:rPr>
        <w:t>It thus provides equal guarantees of economic, social, cultural, civil and political rights.</w:t>
      </w:r>
      <w:r w:rsidR="007F4A3A">
        <w:rPr>
          <w:color w:val="000000"/>
        </w:rPr>
        <w:t xml:space="preserve"> </w:t>
      </w:r>
      <w:r>
        <w:rPr>
          <w:color w:val="000000"/>
        </w:rPr>
        <w:t>By way of example, the fundamental rights and freedoms guaranteed by the Constitution include: equality before the law; prohibition of discrimination; personal liberty; the criminalization of torture; freedom of the press and of expression; the establishment of associations; freedom of worship; the right to work; and the right to education.</w:t>
      </w:r>
      <w:r w:rsidR="007F4A3A">
        <w:rPr>
          <w:color w:val="000000"/>
        </w:rPr>
        <w:t xml:space="preserve"> </w:t>
      </w:r>
      <w:r>
        <w:rPr>
          <w:color w:val="000000"/>
        </w:rPr>
        <w:t>The Constitution affirms that these rights may not be restricted or diminished on grounds of amendment or restructuring.</w:t>
      </w:r>
      <w:r w:rsidR="007F4A3A">
        <w:rPr>
          <w:color w:val="000000"/>
        </w:rPr>
        <w:t xml:space="preserve"> </w:t>
      </w:r>
      <w:r>
        <w:rPr>
          <w:color w:val="000000"/>
        </w:rPr>
        <w:t>Thus article 146 stipulates that provisions relating to public rights and freedoms may only be modified for the purpose of granting additional safeguards for the benefit of the citizen.</w:t>
      </w:r>
    </w:p>
    <w:p w:rsidR="0060531D" w:rsidRDefault="000B378D" w:rsidP="000B378D">
      <w:pPr>
        <w:pStyle w:val="H23G"/>
      </w:pPr>
      <w:r>
        <w:lastRenderedPageBreak/>
        <w:tab/>
      </w:r>
      <w:r>
        <w:tab/>
      </w:r>
      <w:r w:rsidR="004B0C37" w:rsidRPr="00745DA2">
        <w:t xml:space="preserve">Legal </w:t>
      </w:r>
      <w:r w:rsidR="004B0C37">
        <w:t>safeguards for</w:t>
      </w:r>
      <w:r w:rsidR="004B0C37" w:rsidRPr="00745DA2">
        <w:t xml:space="preserve"> human rights</w:t>
      </w:r>
    </w:p>
    <w:p w:rsidR="004B0C37" w:rsidRPr="00811026" w:rsidRDefault="004B0C37" w:rsidP="003A3E1A">
      <w:pPr>
        <w:pStyle w:val="SingleTxtG"/>
      </w:pPr>
      <w:r>
        <w:t>56</w:t>
      </w:r>
      <w:r w:rsidR="00276B1C">
        <w:t>.</w:t>
      </w:r>
      <w:r w:rsidR="00276B1C">
        <w:tab/>
      </w:r>
      <w:r>
        <w:t>The fundamental rights and freedoms guaranteed by the Constitution have been further enhanced by the enactment of several pieces of domestic legislation including:</w:t>
      </w:r>
    </w:p>
    <w:p w:rsidR="004B0C37" w:rsidRPr="00A9653F" w:rsidRDefault="00A703EC" w:rsidP="00A703EC">
      <w:pPr>
        <w:pStyle w:val="Bullet1G"/>
        <w:numPr>
          <w:ilvl w:val="0"/>
          <w:numId w:val="0"/>
        </w:numPr>
        <w:tabs>
          <w:tab w:val="left" w:pos="1701"/>
        </w:tabs>
        <w:ind w:left="1701" w:hanging="170"/>
      </w:pPr>
      <w:r w:rsidRPr="00A9653F">
        <w:t>•</w:t>
      </w:r>
      <w:r w:rsidRPr="00A9653F">
        <w:tab/>
      </w:r>
      <w:r w:rsidR="004B0C37" w:rsidRPr="00A9653F">
        <w:t>Act No. 1 (1994), on juveniles;</w:t>
      </w:r>
    </w:p>
    <w:p w:rsidR="004B0C37" w:rsidRPr="00A9653F" w:rsidRDefault="00A703EC" w:rsidP="00A703EC">
      <w:pPr>
        <w:pStyle w:val="Bullet1G"/>
        <w:numPr>
          <w:ilvl w:val="0"/>
          <w:numId w:val="0"/>
        </w:numPr>
        <w:tabs>
          <w:tab w:val="left" w:pos="1701"/>
        </w:tabs>
        <w:ind w:left="1701" w:hanging="170"/>
      </w:pPr>
      <w:r w:rsidRPr="00A9653F">
        <w:t>•</w:t>
      </w:r>
      <w:r w:rsidRPr="00A9653F">
        <w:tab/>
      </w:r>
      <w:r w:rsidR="004B0C37">
        <w:t xml:space="preserve">Act No. 38 (1995), on </w:t>
      </w:r>
      <w:r w:rsidR="004B0C37" w:rsidRPr="00A9653F">
        <w:t>social security;</w:t>
      </w:r>
    </w:p>
    <w:p w:rsidR="004B0C37" w:rsidRPr="00A9653F" w:rsidRDefault="00A703EC" w:rsidP="00A703EC">
      <w:pPr>
        <w:pStyle w:val="Bullet1G"/>
        <w:numPr>
          <w:ilvl w:val="0"/>
          <w:numId w:val="0"/>
        </w:numPr>
        <w:tabs>
          <w:tab w:val="left" w:pos="1701"/>
        </w:tabs>
        <w:ind w:left="1701" w:hanging="170"/>
      </w:pPr>
      <w:r w:rsidRPr="00A9653F">
        <w:t>•</w:t>
      </w:r>
      <w:r w:rsidRPr="00A9653F">
        <w:tab/>
      </w:r>
      <w:r w:rsidR="004B0C37">
        <w:t>Act No. 7 (</w:t>
      </w:r>
      <w:r w:rsidR="004B0C37" w:rsidRPr="00A9653F">
        <w:t>1996</w:t>
      </w:r>
      <w:r w:rsidR="004B0C37">
        <w:t>),</w:t>
      </w:r>
      <w:r w:rsidR="004B0C37" w:rsidRPr="00A9653F">
        <w:t xml:space="preserve"> </w:t>
      </w:r>
      <w:r w:rsidR="004B0C37">
        <w:t>on the regulation of</w:t>
      </w:r>
      <w:r w:rsidR="004B0C37" w:rsidRPr="00A9653F">
        <w:t xml:space="preserve"> medical treatment and health services in Qatar;</w:t>
      </w:r>
    </w:p>
    <w:p w:rsidR="004B0C37" w:rsidRDefault="00A703EC" w:rsidP="00A703EC">
      <w:pPr>
        <w:pStyle w:val="Bullet1G"/>
        <w:numPr>
          <w:ilvl w:val="0"/>
          <w:numId w:val="0"/>
        </w:numPr>
        <w:tabs>
          <w:tab w:val="left" w:pos="1701"/>
        </w:tabs>
        <w:ind w:left="1701" w:hanging="170"/>
      </w:pPr>
      <w:r>
        <w:t>•</w:t>
      </w:r>
      <w:r>
        <w:tab/>
      </w:r>
      <w:r w:rsidR="004B0C37" w:rsidRPr="00A9653F">
        <w:t xml:space="preserve">Act No. 25 </w:t>
      </w:r>
      <w:r w:rsidR="004B0C37">
        <w:t>(</w:t>
      </w:r>
      <w:r w:rsidR="004B0C37" w:rsidRPr="00A9653F">
        <w:t>2001</w:t>
      </w:r>
      <w:r w:rsidR="004B0C37">
        <w:t>),</w:t>
      </w:r>
      <w:r w:rsidR="004B0C37" w:rsidRPr="00A9653F">
        <w:t xml:space="preserve"> </w:t>
      </w:r>
      <w:r w:rsidR="004B0C37">
        <w:t>on</w:t>
      </w:r>
      <w:r w:rsidR="004B0C37" w:rsidRPr="00A9653F">
        <w:t xml:space="preserve"> compulsory education;</w:t>
      </w:r>
    </w:p>
    <w:p w:rsidR="004B0C37" w:rsidRPr="00A9653F" w:rsidRDefault="00A703EC" w:rsidP="00A703EC">
      <w:pPr>
        <w:pStyle w:val="Bullet1G"/>
        <w:numPr>
          <w:ilvl w:val="0"/>
          <w:numId w:val="0"/>
        </w:numPr>
        <w:tabs>
          <w:tab w:val="left" w:pos="1701"/>
        </w:tabs>
        <w:ind w:left="1701" w:hanging="170"/>
      </w:pPr>
      <w:r w:rsidRPr="00A9653F">
        <w:t>•</w:t>
      </w:r>
      <w:r w:rsidRPr="00A9653F">
        <w:tab/>
      </w:r>
      <w:r w:rsidR="004B0C37">
        <w:t>Act No. 24 (2002), on retirement and pensions;</w:t>
      </w:r>
    </w:p>
    <w:p w:rsidR="004B0C37" w:rsidRPr="00A9653F" w:rsidRDefault="00A703EC" w:rsidP="00A703EC">
      <w:pPr>
        <w:pStyle w:val="Bullet1G"/>
        <w:numPr>
          <w:ilvl w:val="0"/>
          <w:numId w:val="0"/>
        </w:numPr>
        <w:tabs>
          <w:tab w:val="left" w:pos="1701"/>
        </w:tabs>
        <w:ind w:left="1701" w:hanging="170"/>
      </w:pPr>
      <w:r w:rsidRPr="00A9653F">
        <w:t>•</w:t>
      </w:r>
      <w:r w:rsidRPr="00A9653F">
        <w:tab/>
      </w:r>
      <w:r w:rsidR="004B0C37">
        <w:t>Act No. 10 (</w:t>
      </w:r>
      <w:r w:rsidR="004B0C37" w:rsidRPr="00A9653F">
        <w:t>2003</w:t>
      </w:r>
      <w:r w:rsidR="004B0C37">
        <w:t xml:space="preserve">), </w:t>
      </w:r>
      <w:r w:rsidR="004B0C37" w:rsidRPr="00A9653F">
        <w:t>the Judicial Authority Act;</w:t>
      </w:r>
    </w:p>
    <w:p w:rsidR="004B0C37" w:rsidRPr="00A9653F" w:rsidRDefault="00A703EC" w:rsidP="00A703EC">
      <w:pPr>
        <w:pStyle w:val="Bullet1G"/>
        <w:numPr>
          <w:ilvl w:val="0"/>
          <w:numId w:val="0"/>
        </w:numPr>
        <w:tabs>
          <w:tab w:val="left" w:pos="1701"/>
        </w:tabs>
        <w:ind w:left="1701" w:hanging="170"/>
      </w:pPr>
      <w:r w:rsidRPr="00A9653F">
        <w:t>•</w:t>
      </w:r>
      <w:r w:rsidRPr="00A9653F">
        <w:tab/>
      </w:r>
      <w:r w:rsidR="004B0C37">
        <w:t>Act No. 2 (</w:t>
      </w:r>
      <w:r w:rsidR="004B0C37" w:rsidRPr="00A9653F">
        <w:t>2004</w:t>
      </w:r>
      <w:r w:rsidR="004B0C37">
        <w:t>),</w:t>
      </w:r>
      <w:r w:rsidR="004B0C37" w:rsidRPr="00A9653F">
        <w:t xml:space="preserve"> </w:t>
      </w:r>
      <w:r w:rsidR="004B0C37">
        <w:t>on</w:t>
      </w:r>
      <w:r w:rsidR="004B0C37" w:rsidRPr="00A9653F">
        <w:t xml:space="preserve"> persons with special needs;</w:t>
      </w:r>
    </w:p>
    <w:p w:rsidR="004B0C37" w:rsidRPr="00A9653F" w:rsidRDefault="00A703EC" w:rsidP="00A703EC">
      <w:pPr>
        <w:pStyle w:val="Bullet1G"/>
        <w:numPr>
          <w:ilvl w:val="0"/>
          <w:numId w:val="0"/>
        </w:numPr>
        <w:tabs>
          <w:tab w:val="left" w:pos="1701"/>
        </w:tabs>
        <w:ind w:left="1701" w:hanging="170"/>
      </w:pPr>
      <w:r w:rsidRPr="00A9653F">
        <w:t>•</w:t>
      </w:r>
      <w:r w:rsidRPr="00A9653F">
        <w:tab/>
      </w:r>
      <w:r w:rsidR="004B0C37">
        <w:t>Act No. 12 (</w:t>
      </w:r>
      <w:r w:rsidR="004B0C37" w:rsidRPr="00A9653F">
        <w:t>2004</w:t>
      </w:r>
      <w:r w:rsidR="004B0C37">
        <w:t>), on</w:t>
      </w:r>
      <w:r w:rsidR="004B0C37" w:rsidRPr="00A9653F">
        <w:t xml:space="preserve"> private associations and institutions;</w:t>
      </w:r>
    </w:p>
    <w:p w:rsidR="004B0C37" w:rsidRPr="00A9653F" w:rsidRDefault="00A703EC" w:rsidP="00A703EC">
      <w:pPr>
        <w:pStyle w:val="Bullet1G"/>
        <w:numPr>
          <w:ilvl w:val="0"/>
          <w:numId w:val="0"/>
        </w:numPr>
        <w:tabs>
          <w:tab w:val="left" w:pos="1701"/>
        </w:tabs>
        <w:ind w:left="1701" w:hanging="170"/>
      </w:pPr>
      <w:r w:rsidRPr="00A9653F">
        <w:t>•</w:t>
      </w:r>
      <w:r w:rsidRPr="00A9653F">
        <w:tab/>
      </w:r>
      <w:r w:rsidR="004B0C37">
        <w:t>Act No. 14 (</w:t>
      </w:r>
      <w:r w:rsidR="004B0C37" w:rsidRPr="00A9653F">
        <w:t>2004</w:t>
      </w:r>
      <w:r w:rsidR="004B0C37">
        <w:t xml:space="preserve">), </w:t>
      </w:r>
      <w:r w:rsidR="004B0C37" w:rsidRPr="00A9653F">
        <w:t xml:space="preserve">the Labour </w:t>
      </w:r>
      <w:r w:rsidR="004B0C37">
        <w:t>Law</w:t>
      </w:r>
      <w:r w:rsidR="004B0C37" w:rsidRPr="00A9653F">
        <w:t>;</w:t>
      </w:r>
    </w:p>
    <w:p w:rsidR="004B0C37" w:rsidRPr="00A9653F" w:rsidRDefault="00A703EC" w:rsidP="00A703EC">
      <w:pPr>
        <w:pStyle w:val="Bullet1G"/>
        <w:numPr>
          <w:ilvl w:val="0"/>
          <w:numId w:val="0"/>
        </w:numPr>
        <w:tabs>
          <w:tab w:val="left" w:pos="1701"/>
        </w:tabs>
        <w:ind w:left="1701" w:hanging="170"/>
      </w:pPr>
      <w:r w:rsidRPr="00A9653F">
        <w:t>•</w:t>
      </w:r>
      <w:r w:rsidRPr="00A9653F">
        <w:tab/>
      </w:r>
      <w:r w:rsidR="004B0C37">
        <w:t>Act No. 18 (</w:t>
      </w:r>
      <w:r w:rsidR="004B0C37" w:rsidRPr="00A9653F">
        <w:t>2004</w:t>
      </w:r>
      <w:r w:rsidR="004B0C37">
        <w:t>), on publ</w:t>
      </w:r>
      <w:r w:rsidR="004B0C37" w:rsidRPr="00A9653F">
        <w:t>ic meetings and processions;</w:t>
      </w:r>
    </w:p>
    <w:p w:rsidR="004B0C37" w:rsidRPr="00A9653F" w:rsidRDefault="00A703EC" w:rsidP="00A703EC">
      <w:pPr>
        <w:pStyle w:val="Bullet1G"/>
        <w:numPr>
          <w:ilvl w:val="0"/>
          <w:numId w:val="0"/>
        </w:numPr>
        <w:tabs>
          <w:tab w:val="left" w:pos="1701"/>
        </w:tabs>
        <w:ind w:left="1701" w:hanging="170"/>
      </w:pPr>
      <w:r w:rsidRPr="00A9653F">
        <w:t>•</w:t>
      </w:r>
      <w:r w:rsidRPr="00A9653F">
        <w:tab/>
      </w:r>
      <w:r w:rsidR="004B0C37">
        <w:t>Act No. 22 (200</w:t>
      </w:r>
      <w:r w:rsidR="004B0C37" w:rsidRPr="00A9653F">
        <w:t>4</w:t>
      </w:r>
      <w:r w:rsidR="004B0C37">
        <w:t>),</w:t>
      </w:r>
      <w:r w:rsidR="004B0C37" w:rsidRPr="00A9653F">
        <w:t xml:space="preserve"> the Civil Code;</w:t>
      </w:r>
    </w:p>
    <w:p w:rsidR="004B0C37" w:rsidRPr="00A9653F" w:rsidRDefault="00A703EC" w:rsidP="00A703EC">
      <w:pPr>
        <w:pStyle w:val="Bullet1G"/>
        <w:numPr>
          <w:ilvl w:val="0"/>
          <w:numId w:val="0"/>
        </w:numPr>
        <w:tabs>
          <w:tab w:val="left" w:pos="1701"/>
        </w:tabs>
        <w:ind w:left="1701" w:hanging="170"/>
      </w:pPr>
      <w:r w:rsidRPr="00A9653F">
        <w:t>•</w:t>
      </w:r>
      <w:r w:rsidRPr="00A9653F">
        <w:tab/>
      </w:r>
      <w:r w:rsidR="004B0C37">
        <w:t xml:space="preserve">Act No. 23 (2004), </w:t>
      </w:r>
      <w:r w:rsidR="004B0C37" w:rsidRPr="00A9653F">
        <w:t>the Code of Criminal Procedure;</w:t>
      </w:r>
    </w:p>
    <w:p w:rsidR="004B0C37" w:rsidRDefault="00A703EC" w:rsidP="00A703EC">
      <w:pPr>
        <w:pStyle w:val="Bullet1G"/>
        <w:numPr>
          <w:ilvl w:val="0"/>
          <w:numId w:val="0"/>
        </w:numPr>
        <w:tabs>
          <w:tab w:val="left" w:pos="1701"/>
        </w:tabs>
        <w:ind w:left="1701" w:hanging="170"/>
      </w:pPr>
      <w:r>
        <w:t>•</w:t>
      </w:r>
      <w:r>
        <w:tab/>
      </w:r>
      <w:r w:rsidR="004B0C37">
        <w:t xml:space="preserve">Act No. 40 (2004), on </w:t>
      </w:r>
      <w:r w:rsidR="004B0C37" w:rsidRPr="00A9653F">
        <w:t xml:space="preserve">custodianship of the </w:t>
      </w:r>
      <w:r w:rsidR="004B0C37">
        <w:t>property</w:t>
      </w:r>
      <w:r w:rsidR="004B0C37" w:rsidRPr="00A9653F">
        <w:t xml:space="preserve"> of minors (the Act contains a </w:t>
      </w:r>
      <w:r w:rsidR="004B0C37">
        <w:t>set</w:t>
      </w:r>
      <w:r w:rsidR="004B0C37" w:rsidRPr="00A9653F">
        <w:t xml:space="preserve"> of provisions </w:t>
      </w:r>
      <w:r w:rsidR="004B0C37">
        <w:t>to ensure that children</w:t>
      </w:r>
      <w:r w:rsidR="009D1BD8">
        <w:t>’</w:t>
      </w:r>
      <w:r w:rsidR="004B0C37">
        <w:t>s property is protected</w:t>
      </w:r>
      <w:r w:rsidR="004B0C37" w:rsidRPr="00A9653F">
        <w:t xml:space="preserve"> </w:t>
      </w:r>
      <w:r w:rsidR="004B0C37">
        <w:t>and that there is overs</w:t>
      </w:r>
      <w:r w:rsidR="00EB5997">
        <w:t>ight of the actions of parents/</w:t>
      </w:r>
      <w:r w:rsidR="004B0C37">
        <w:t xml:space="preserve">legal </w:t>
      </w:r>
      <w:r w:rsidR="004B0C37" w:rsidRPr="00A9653F">
        <w:t>guardians);</w:t>
      </w:r>
    </w:p>
    <w:p w:rsidR="004B0C37" w:rsidRDefault="00A703EC" w:rsidP="00A703EC">
      <w:pPr>
        <w:pStyle w:val="Bullet1G"/>
        <w:numPr>
          <w:ilvl w:val="0"/>
          <w:numId w:val="0"/>
        </w:numPr>
        <w:tabs>
          <w:tab w:val="left" w:pos="1701"/>
        </w:tabs>
        <w:ind w:left="1701" w:hanging="170"/>
      </w:pPr>
      <w:r>
        <w:t>•</w:t>
      </w:r>
      <w:r>
        <w:tab/>
      </w:r>
      <w:r w:rsidR="004B0C37">
        <w:t>Act No. 22 (</w:t>
      </w:r>
      <w:r w:rsidR="004B0C37" w:rsidRPr="00A9653F">
        <w:t>2005</w:t>
      </w:r>
      <w:r w:rsidR="004B0C37">
        <w:t>),</w:t>
      </w:r>
      <w:r w:rsidR="004B0C37" w:rsidRPr="00A9653F">
        <w:t xml:space="preserve"> prohibiting the recruitment, employment, training and </w:t>
      </w:r>
      <w:r w:rsidR="004B0C37">
        <w:t>participation</w:t>
      </w:r>
      <w:r w:rsidR="004B0C37" w:rsidRPr="00A9653F">
        <w:t xml:space="preserve"> of children in camel racing</w:t>
      </w:r>
      <w:r w:rsidR="004B0C37">
        <w:t>;</w:t>
      </w:r>
    </w:p>
    <w:p w:rsidR="004B0C37" w:rsidRDefault="00A703EC" w:rsidP="00A703EC">
      <w:pPr>
        <w:pStyle w:val="Bullet1G"/>
        <w:numPr>
          <w:ilvl w:val="0"/>
          <w:numId w:val="0"/>
        </w:numPr>
        <w:tabs>
          <w:tab w:val="left" w:pos="1701"/>
        </w:tabs>
        <w:ind w:left="1701" w:hanging="170"/>
      </w:pPr>
      <w:r>
        <w:t>•</w:t>
      </w:r>
      <w:r>
        <w:tab/>
      </w:r>
      <w:r w:rsidR="004B0C37">
        <w:t xml:space="preserve">Act No. 38 (2005), on </w:t>
      </w:r>
      <w:r w:rsidR="004B0C37" w:rsidRPr="00A9653F">
        <w:t>Qatari nationality</w:t>
      </w:r>
      <w:r w:rsidR="004B0C37">
        <w:t>;</w:t>
      </w:r>
    </w:p>
    <w:p w:rsidR="004B0C37" w:rsidRDefault="00A703EC" w:rsidP="00A703EC">
      <w:pPr>
        <w:pStyle w:val="Bullet1G"/>
        <w:numPr>
          <w:ilvl w:val="0"/>
          <w:numId w:val="0"/>
        </w:numPr>
        <w:tabs>
          <w:tab w:val="left" w:pos="1701"/>
        </w:tabs>
        <w:ind w:left="1701" w:hanging="170"/>
      </w:pPr>
      <w:r>
        <w:t>•</w:t>
      </w:r>
      <w:r>
        <w:tab/>
      </w:r>
      <w:r w:rsidR="004B0C37">
        <w:t>Legislative Decree No. 21 (2006), on private philanthropic foundations;</w:t>
      </w:r>
    </w:p>
    <w:p w:rsidR="004B0C37" w:rsidRPr="00A9653F" w:rsidRDefault="00A703EC" w:rsidP="00A703EC">
      <w:pPr>
        <w:pStyle w:val="Bullet1G"/>
        <w:numPr>
          <w:ilvl w:val="0"/>
          <w:numId w:val="0"/>
        </w:numPr>
        <w:tabs>
          <w:tab w:val="left" w:pos="1701"/>
        </w:tabs>
        <w:ind w:left="1701" w:hanging="170"/>
      </w:pPr>
      <w:r w:rsidRPr="00A9653F">
        <w:t>•</w:t>
      </w:r>
      <w:r w:rsidRPr="00A9653F">
        <w:tab/>
      </w:r>
      <w:r w:rsidR="004B0C37">
        <w:t>Act No. 22 (</w:t>
      </w:r>
      <w:r w:rsidR="004B0C37" w:rsidRPr="00A9653F">
        <w:t>2006</w:t>
      </w:r>
      <w:r w:rsidR="004B0C37">
        <w:t xml:space="preserve">), </w:t>
      </w:r>
      <w:r w:rsidR="004B0C37" w:rsidRPr="00A9653F">
        <w:t xml:space="preserve">the Family </w:t>
      </w:r>
      <w:r w:rsidR="004B0C37">
        <w:t>Act;</w:t>
      </w:r>
    </w:p>
    <w:p w:rsidR="004B0C37" w:rsidRPr="00A9653F" w:rsidRDefault="00A703EC" w:rsidP="00A703EC">
      <w:pPr>
        <w:pStyle w:val="Bullet1G"/>
        <w:numPr>
          <w:ilvl w:val="0"/>
          <w:numId w:val="0"/>
        </w:numPr>
        <w:tabs>
          <w:tab w:val="left" w:pos="1701"/>
        </w:tabs>
        <w:ind w:left="1701" w:hanging="170"/>
      </w:pPr>
      <w:r w:rsidRPr="00A9653F">
        <w:t>•</w:t>
      </w:r>
      <w:r w:rsidRPr="00A9653F">
        <w:tab/>
      </w:r>
      <w:r w:rsidR="004B0C37">
        <w:t xml:space="preserve">Act No. 2 (2007), on </w:t>
      </w:r>
      <w:r w:rsidR="004B0C37" w:rsidRPr="00A9653F">
        <w:t>the housing system</w:t>
      </w:r>
      <w:r w:rsidR="004B0C37">
        <w:t>;</w:t>
      </w:r>
    </w:p>
    <w:p w:rsidR="004B0C37" w:rsidRPr="00A9653F" w:rsidRDefault="00A703EC" w:rsidP="00A703EC">
      <w:pPr>
        <w:pStyle w:val="Bullet1G"/>
        <w:numPr>
          <w:ilvl w:val="0"/>
          <w:numId w:val="0"/>
        </w:numPr>
        <w:tabs>
          <w:tab w:val="left" w:pos="1701"/>
        </w:tabs>
        <w:ind w:left="1701" w:hanging="170"/>
      </w:pPr>
      <w:r w:rsidRPr="00A9653F">
        <w:t>•</w:t>
      </w:r>
      <w:r w:rsidRPr="00A9653F">
        <w:tab/>
      </w:r>
      <w:r w:rsidR="004B0C37" w:rsidRPr="00A9653F">
        <w:t xml:space="preserve">Council </w:t>
      </w:r>
      <w:r w:rsidR="004B0C37">
        <w:t xml:space="preserve">of Ministers Decision No. 17 (2007), on </w:t>
      </w:r>
      <w:r w:rsidR="004B0C37" w:rsidRPr="00A9653F">
        <w:t>housing system priorities and rules</w:t>
      </w:r>
      <w:r w:rsidR="004B0C37">
        <w:t>;</w:t>
      </w:r>
    </w:p>
    <w:p w:rsidR="004B0C37" w:rsidRPr="00A9653F" w:rsidRDefault="00A703EC" w:rsidP="00A703EC">
      <w:pPr>
        <w:pStyle w:val="Bullet1G"/>
        <w:numPr>
          <w:ilvl w:val="0"/>
          <w:numId w:val="0"/>
        </w:numPr>
        <w:tabs>
          <w:tab w:val="left" w:pos="1701"/>
        </w:tabs>
        <w:ind w:left="1701" w:hanging="170"/>
      </w:pPr>
      <w:r w:rsidRPr="00A9653F">
        <w:t>•</w:t>
      </w:r>
      <w:r w:rsidRPr="00A9653F">
        <w:tab/>
      </w:r>
      <w:r w:rsidR="004B0C37" w:rsidRPr="00A9653F">
        <w:t xml:space="preserve">Council </w:t>
      </w:r>
      <w:r w:rsidR="004B0C37">
        <w:t xml:space="preserve">of Ministers Decision No. 18 (2007), on </w:t>
      </w:r>
      <w:r w:rsidR="004B0C37" w:rsidRPr="00A9653F">
        <w:t>housing system priorities and rules</w:t>
      </w:r>
      <w:r w:rsidR="004B0C37">
        <w:t xml:space="preserve"> for the needy (free housing);</w:t>
      </w:r>
    </w:p>
    <w:p w:rsidR="004B0C37" w:rsidRPr="00A9653F" w:rsidRDefault="00A703EC" w:rsidP="00A703EC">
      <w:pPr>
        <w:pStyle w:val="Bullet1G"/>
        <w:numPr>
          <w:ilvl w:val="0"/>
          <w:numId w:val="0"/>
        </w:numPr>
        <w:tabs>
          <w:tab w:val="left" w:pos="1701"/>
        </w:tabs>
        <w:ind w:left="1701" w:hanging="170"/>
      </w:pPr>
      <w:r w:rsidRPr="00A9653F">
        <w:t>•</w:t>
      </w:r>
      <w:r w:rsidRPr="00A9653F">
        <w:tab/>
      </w:r>
      <w:r w:rsidR="004B0C37">
        <w:t>Act No. 12 (</w:t>
      </w:r>
      <w:r w:rsidR="004B0C37" w:rsidRPr="00A9653F">
        <w:t>2008</w:t>
      </w:r>
      <w:r w:rsidR="004B0C37">
        <w:t>), on</w:t>
      </w:r>
      <w:r w:rsidR="004B0C37" w:rsidRPr="00A9653F">
        <w:t xml:space="preserve"> </w:t>
      </w:r>
      <w:r w:rsidR="004B0C37">
        <w:t>the establishment of</w:t>
      </w:r>
      <w:r w:rsidR="004B0C37" w:rsidRPr="00A9653F">
        <w:t xml:space="preserve"> the Supreme Constitutional Court;</w:t>
      </w:r>
    </w:p>
    <w:p w:rsidR="004B0C37" w:rsidRPr="00A9653F" w:rsidRDefault="00A703EC" w:rsidP="00A703EC">
      <w:pPr>
        <w:pStyle w:val="Bullet1G"/>
        <w:numPr>
          <w:ilvl w:val="0"/>
          <w:numId w:val="0"/>
        </w:numPr>
        <w:tabs>
          <w:tab w:val="left" w:pos="1701"/>
        </w:tabs>
        <w:ind w:left="1701" w:hanging="170"/>
      </w:pPr>
      <w:r w:rsidRPr="00A9653F">
        <w:t>•</w:t>
      </w:r>
      <w:r w:rsidRPr="00A9653F">
        <w:tab/>
      </w:r>
      <w:r w:rsidR="004B0C37">
        <w:t xml:space="preserve">Act No. 19 (2008), on </w:t>
      </w:r>
      <w:r w:rsidR="004B0C37" w:rsidRPr="00A9653F">
        <w:t>determining the amount of blood money (</w:t>
      </w:r>
      <w:proofErr w:type="spellStart"/>
      <w:r w:rsidR="004B0C37" w:rsidRPr="00A9653F">
        <w:rPr>
          <w:i/>
          <w:iCs/>
        </w:rPr>
        <w:t>diyah</w:t>
      </w:r>
      <w:proofErr w:type="spellEnd"/>
      <w:r w:rsidR="004B0C37" w:rsidRPr="00A9653F">
        <w:t>) payable for manslaughter;</w:t>
      </w:r>
    </w:p>
    <w:p w:rsidR="004B0C37" w:rsidRPr="00A9653F" w:rsidRDefault="00A703EC" w:rsidP="00A703EC">
      <w:pPr>
        <w:pStyle w:val="Bullet1G"/>
        <w:numPr>
          <w:ilvl w:val="0"/>
          <w:numId w:val="0"/>
        </w:numPr>
        <w:tabs>
          <w:tab w:val="left" w:pos="1701"/>
        </w:tabs>
        <w:ind w:left="1701" w:hanging="170"/>
      </w:pPr>
      <w:r w:rsidRPr="00A9653F">
        <w:t>•</w:t>
      </w:r>
      <w:r w:rsidRPr="00A9653F">
        <w:tab/>
      </w:r>
      <w:r w:rsidR="004B0C37">
        <w:t>Act No. 3 (2009), on the regulation of</w:t>
      </w:r>
      <w:r w:rsidR="004B0C37" w:rsidRPr="00A9653F">
        <w:t xml:space="preserve"> penal and correctional institutions;</w:t>
      </w:r>
    </w:p>
    <w:p w:rsidR="004B0C37" w:rsidRPr="00A9653F" w:rsidRDefault="00A703EC" w:rsidP="00A703EC">
      <w:pPr>
        <w:pStyle w:val="Bullet1G"/>
        <w:numPr>
          <w:ilvl w:val="0"/>
          <w:numId w:val="0"/>
        </w:numPr>
        <w:tabs>
          <w:tab w:val="left" w:pos="1701"/>
        </w:tabs>
        <w:ind w:left="1701" w:hanging="170"/>
      </w:pPr>
      <w:r w:rsidRPr="00A9653F">
        <w:t>•</w:t>
      </w:r>
      <w:r w:rsidRPr="00A9653F">
        <w:tab/>
      </w:r>
      <w:r w:rsidR="004B0C37">
        <w:t>Act No. 4 (</w:t>
      </w:r>
      <w:r w:rsidR="004B0C37" w:rsidRPr="00A9653F">
        <w:t>2009</w:t>
      </w:r>
      <w:r w:rsidR="004B0C37">
        <w:t>), on</w:t>
      </w:r>
      <w:r w:rsidR="004B0C37" w:rsidRPr="00A9653F">
        <w:t xml:space="preserve"> regulating the entry, exit, residence and sponsorship of migrant workers;</w:t>
      </w:r>
    </w:p>
    <w:p w:rsidR="004B0C37" w:rsidRDefault="00A703EC" w:rsidP="00A703EC">
      <w:pPr>
        <w:pStyle w:val="Bullet1G"/>
        <w:numPr>
          <w:ilvl w:val="0"/>
          <w:numId w:val="0"/>
        </w:numPr>
        <w:tabs>
          <w:tab w:val="left" w:pos="1701"/>
        </w:tabs>
        <w:ind w:left="1701" w:hanging="170"/>
      </w:pPr>
      <w:r>
        <w:t>•</w:t>
      </w:r>
      <w:r>
        <w:tab/>
      </w:r>
      <w:r w:rsidR="004B0C37">
        <w:t>Act No. 8 (</w:t>
      </w:r>
      <w:r w:rsidR="004B0C37" w:rsidRPr="00A9653F">
        <w:t>2009</w:t>
      </w:r>
      <w:r w:rsidR="004B0C37">
        <w:t>),</w:t>
      </w:r>
      <w:r w:rsidR="004B0C37" w:rsidRPr="00A9653F">
        <w:t xml:space="preserve"> the Human Resources Management Act;</w:t>
      </w:r>
    </w:p>
    <w:p w:rsidR="004B0C37" w:rsidRDefault="00A703EC" w:rsidP="00A703EC">
      <w:pPr>
        <w:pStyle w:val="Bullet1G"/>
        <w:numPr>
          <w:ilvl w:val="0"/>
          <w:numId w:val="0"/>
        </w:numPr>
        <w:tabs>
          <w:tab w:val="left" w:pos="1701"/>
        </w:tabs>
        <w:ind w:left="1701" w:hanging="170"/>
      </w:pPr>
      <w:r>
        <w:t>•</w:t>
      </w:r>
      <w:r>
        <w:tab/>
      </w:r>
      <w:r w:rsidR="004B0C37">
        <w:t>Act No. 15 (</w:t>
      </w:r>
      <w:r w:rsidR="004B0C37" w:rsidRPr="00A9653F">
        <w:t>2011</w:t>
      </w:r>
      <w:r w:rsidR="004B0C37">
        <w:t>),</w:t>
      </w:r>
      <w:r w:rsidR="004B0C37" w:rsidRPr="00A9653F">
        <w:t xml:space="preserve"> on combating trafficking in persons</w:t>
      </w:r>
      <w:r w:rsidR="004B0C37">
        <w:t>;</w:t>
      </w:r>
    </w:p>
    <w:p w:rsidR="004B0C37" w:rsidRDefault="00A703EC" w:rsidP="00A703EC">
      <w:pPr>
        <w:pStyle w:val="Bullet1G"/>
        <w:numPr>
          <w:ilvl w:val="0"/>
          <w:numId w:val="0"/>
        </w:numPr>
        <w:tabs>
          <w:tab w:val="left" w:pos="1701"/>
        </w:tabs>
        <w:ind w:left="1701" w:hanging="170"/>
      </w:pPr>
      <w:r>
        <w:t>•</w:t>
      </w:r>
      <w:r>
        <w:tab/>
      </w:r>
      <w:r w:rsidR="004B0C37">
        <w:t xml:space="preserve">Act No. 12 (2013), </w:t>
      </w:r>
      <w:r w:rsidR="004B0C37" w:rsidRPr="00A9653F">
        <w:t xml:space="preserve">amending certain provisions of </w:t>
      </w:r>
      <w:r w:rsidR="004B0C37">
        <w:t>Act No. 7 (2007), on rendering judgement in respect of administrative disputes;</w:t>
      </w:r>
    </w:p>
    <w:p w:rsidR="004B0C37" w:rsidRDefault="00A703EC" w:rsidP="00A703EC">
      <w:pPr>
        <w:pStyle w:val="Bullet1G"/>
        <w:numPr>
          <w:ilvl w:val="0"/>
          <w:numId w:val="0"/>
        </w:numPr>
        <w:tabs>
          <w:tab w:val="left" w:pos="1701"/>
        </w:tabs>
        <w:ind w:left="1701" w:hanging="170"/>
      </w:pPr>
      <w:r>
        <w:t>•</w:t>
      </w:r>
      <w:r>
        <w:tab/>
      </w:r>
      <w:r w:rsidR="004B0C37">
        <w:t>Act No. 7 (2013), on social health insurance;</w:t>
      </w:r>
    </w:p>
    <w:p w:rsidR="004B0C37" w:rsidRDefault="00A703EC" w:rsidP="00A703EC">
      <w:pPr>
        <w:pStyle w:val="Bullet1G"/>
        <w:numPr>
          <w:ilvl w:val="0"/>
          <w:numId w:val="0"/>
        </w:numPr>
        <w:tabs>
          <w:tab w:val="left" w:pos="1701"/>
        </w:tabs>
        <w:ind w:left="1701" w:hanging="170"/>
      </w:pPr>
      <w:r>
        <w:t>•</w:t>
      </w:r>
      <w:r>
        <w:tab/>
      </w:r>
      <w:r w:rsidR="004B0C37">
        <w:t>Act No. 6 (2013), on the Health and Education Fund;</w:t>
      </w:r>
    </w:p>
    <w:p w:rsidR="004B0C37" w:rsidRDefault="00A703EC" w:rsidP="00A703EC">
      <w:pPr>
        <w:pStyle w:val="Bullet1G"/>
        <w:numPr>
          <w:ilvl w:val="0"/>
          <w:numId w:val="0"/>
        </w:numPr>
        <w:tabs>
          <w:tab w:val="left" w:pos="1701"/>
        </w:tabs>
        <w:ind w:left="1701" w:hanging="170"/>
      </w:pPr>
      <w:r>
        <w:t>•</w:t>
      </w:r>
      <w:r>
        <w:tab/>
      </w:r>
      <w:r w:rsidR="004B0C37">
        <w:t>Minister of Labour and Social Affairs Decision No. 18 (2014), on determining standards and specifications for workers</w:t>
      </w:r>
      <w:r w:rsidR="009D1BD8">
        <w:t>’</w:t>
      </w:r>
      <w:r w:rsidR="004B0C37">
        <w:t xml:space="preserve"> housing; the Decision takes mandatory international standards for workers</w:t>
      </w:r>
      <w:r w:rsidR="009D1BD8">
        <w:t>’</w:t>
      </w:r>
      <w:r w:rsidR="004B0C37">
        <w:t xml:space="preserve"> housing into account;</w:t>
      </w:r>
    </w:p>
    <w:p w:rsidR="004B0C37" w:rsidRDefault="00A703EC" w:rsidP="00A703EC">
      <w:pPr>
        <w:pStyle w:val="Bullet1G"/>
        <w:numPr>
          <w:ilvl w:val="0"/>
          <w:numId w:val="0"/>
        </w:numPr>
        <w:tabs>
          <w:tab w:val="left" w:pos="1701"/>
        </w:tabs>
        <w:ind w:left="1701" w:hanging="170"/>
      </w:pPr>
      <w:r>
        <w:lastRenderedPageBreak/>
        <w:t>•</w:t>
      </w:r>
      <w:r>
        <w:tab/>
      </w:r>
      <w:r w:rsidR="004B0C37">
        <w:t>Act No. 14 (2014), promulgating the Cybercrime Prevention Act;</w:t>
      </w:r>
    </w:p>
    <w:p w:rsidR="004B0C37" w:rsidRDefault="00A703EC" w:rsidP="00A703EC">
      <w:pPr>
        <w:pStyle w:val="Bullet1G"/>
        <w:numPr>
          <w:ilvl w:val="0"/>
          <w:numId w:val="0"/>
        </w:numPr>
        <w:tabs>
          <w:tab w:val="left" w:pos="1701"/>
        </w:tabs>
        <w:ind w:left="1701" w:hanging="170"/>
      </w:pPr>
      <w:r>
        <w:t>•</w:t>
      </w:r>
      <w:r>
        <w:tab/>
      </w:r>
      <w:r w:rsidR="004B0C37" w:rsidRPr="00D144FC">
        <w:t>Act No. 22 (2015)</w:t>
      </w:r>
      <w:r w:rsidR="004B0C37">
        <w:t xml:space="preserve">, </w:t>
      </w:r>
      <w:r w:rsidR="004B0C37" w:rsidRPr="00A9653F">
        <w:t>amending certain provisions of</w:t>
      </w:r>
      <w:r w:rsidR="004B0C37">
        <w:t xml:space="preserve"> the Penal Code, promulgated by Act No. 11 (2004);</w:t>
      </w:r>
    </w:p>
    <w:p w:rsidR="004B0C37" w:rsidRDefault="00A703EC" w:rsidP="00A703EC">
      <w:pPr>
        <w:pStyle w:val="Bullet1G"/>
        <w:numPr>
          <w:ilvl w:val="0"/>
          <w:numId w:val="0"/>
        </w:numPr>
        <w:tabs>
          <w:tab w:val="left" w:pos="1701"/>
        </w:tabs>
        <w:ind w:left="1701" w:hanging="170"/>
      </w:pPr>
      <w:r>
        <w:t>•</w:t>
      </w:r>
      <w:r>
        <w:tab/>
      </w:r>
      <w:r w:rsidR="004B0C37">
        <w:t>Act No. 12 (2015), amending the provisions of Legislative Decree No. 17 (2010), on the regulation of the National Human Rights Committee, granting the Committee greater independence and giving its members immunity and legal assurances;</w:t>
      </w:r>
    </w:p>
    <w:p w:rsidR="004B0C37" w:rsidRDefault="00A703EC" w:rsidP="00A703EC">
      <w:pPr>
        <w:pStyle w:val="Bullet1G"/>
        <w:numPr>
          <w:ilvl w:val="0"/>
          <w:numId w:val="0"/>
        </w:numPr>
        <w:tabs>
          <w:tab w:val="left" w:pos="1701"/>
        </w:tabs>
        <w:ind w:left="1701" w:hanging="170"/>
      </w:pPr>
      <w:r>
        <w:t>•</w:t>
      </w:r>
      <w:r>
        <w:tab/>
      </w:r>
      <w:proofErr w:type="spellStart"/>
      <w:r w:rsidR="004B0C37">
        <w:t>Emiri</w:t>
      </w:r>
      <w:proofErr w:type="spellEnd"/>
      <w:r w:rsidR="004B0C37">
        <w:t xml:space="preserve"> Decision No.6 (2015), on restructuring the Administrative Control and Transparency Authority with a view to achieving higher indicators of impartiality and transparency in public office and combating corruption in all its forms;</w:t>
      </w:r>
    </w:p>
    <w:p w:rsidR="004B0C37" w:rsidRDefault="00A703EC" w:rsidP="00A703EC">
      <w:pPr>
        <w:pStyle w:val="Bullet1G"/>
        <w:numPr>
          <w:ilvl w:val="0"/>
          <w:numId w:val="0"/>
        </w:numPr>
        <w:tabs>
          <w:tab w:val="left" w:pos="1701"/>
        </w:tabs>
        <w:ind w:left="1701" w:hanging="170"/>
      </w:pPr>
      <w:r>
        <w:t>•</w:t>
      </w:r>
      <w:r>
        <w:tab/>
      </w:r>
      <w:r w:rsidR="004B0C37">
        <w:t>Act No. 1 (2015), amending certain provisions of the Labour Law, No. 14 (2014), on wage protection;</w:t>
      </w:r>
    </w:p>
    <w:p w:rsidR="004B0C37" w:rsidRDefault="00A703EC" w:rsidP="00A703EC">
      <w:pPr>
        <w:pStyle w:val="Bullet1G"/>
        <w:numPr>
          <w:ilvl w:val="0"/>
          <w:numId w:val="0"/>
        </w:numPr>
        <w:tabs>
          <w:tab w:val="left" w:pos="1701"/>
        </w:tabs>
        <w:ind w:left="1701" w:hanging="170"/>
      </w:pPr>
      <w:r>
        <w:t>•</w:t>
      </w:r>
      <w:r>
        <w:tab/>
      </w:r>
      <w:r w:rsidR="004B0C37">
        <w:t>Approval by the Council of Ministers, sitting on 19 October 2016, of a law amending certain provisions of the Labour Law, No. 14 (2014) and creating one or more committees responsible for rendering judgement in disputes arising from the provisions of the Labour Law and employment contracts;</w:t>
      </w:r>
    </w:p>
    <w:p w:rsidR="004B0C37" w:rsidRDefault="00A703EC" w:rsidP="00A703EC">
      <w:pPr>
        <w:pStyle w:val="Bullet1G"/>
        <w:numPr>
          <w:ilvl w:val="0"/>
          <w:numId w:val="0"/>
        </w:numPr>
        <w:tabs>
          <w:tab w:val="left" w:pos="1701"/>
        </w:tabs>
        <w:ind w:left="1701" w:hanging="170"/>
      </w:pPr>
      <w:r>
        <w:t>•</w:t>
      </w:r>
      <w:r>
        <w:tab/>
      </w:r>
      <w:r w:rsidR="004B0C37">
        <w:t>Act No.16 (2016), on mental health;</w:t>
      </w:r>
    </w:p>
    <w:p w:rsidR="004B0C37" w:rsidRDefault="00A703EC" w:rsidP="00A703EC">
      <w:pPr>
        <w:pStyle w:val="Bullet1G"/>
        <w:numPr>
          <w:ilvl w:val="0"/>
          <w:numId w:val="0"/>
        </w:numPr>
        <w:tabs>
          <w:tab w:val="left" w:pos="1701"/>
        </w:tabs>
        <w:ind w:left="1701" w:hanging="170"/>
      </w:pPr>
      <w:r>
        <w:t>•</w:t>
      </w:r>
      <w:r>
        <w:tab/>
      </w:r>
      <w:r w:rsidR="004B0C37">
        <w:t>Act No. 13 (2016), on protecting the privacy of personal data;</w:t>
      </w:r>
    </w:p>
    <w:p w:rsidR="004B0C37" w:rsidRDefault="00A703EC" w:rsidP="00A703EC">
      <w:pPr>
        <w:pStyle w:val="Bullet1G"/>
        <w:numPr>
          <w:ilvl w:val="0"/>
          <w:numId w:val="0"/>
        </w:numPr>
        <w:tabs>
          <w:tab w:val="left" w:pos="1701"/>
        </w:tabs>
        <w:ind w:left="1701" w:hanging="170"/>
      </w:pPr>
      <w:r>
        <w:t>•</w:t>
      </w:r>
      <w:r>
        <w:tab/>
      </w:r>
      <w:r w:rsidR="004B0C37">
        <w:t>Act No. 15 (2016), the Civil Human Resources Act, affirming the principle of non-discrimination and equality among employees in respect of rights and duties;</w:t>
      </w:r>
    </w:p>
    <w:p w:rsidR="004B0C37" w:rsidRDefault="00A703EC" w:rsidP="00A703EC">
      <w:pPr>
        <w:pStyle w:val="Bullet1G"/>
        <w:numPr>
          <w:ilvl w:val="0"/>
          <w:numId w:val="0"/>
        </w:numPr>
        <w:tabs>
          <w:tab w:val="left" w:pos="1701"/>
        </w:tabs>
        <w:ind w:left="1701" w:hanging="170"/>
      </w:pPr>
      <w:r>
        <w:t>•</w:t>
      </w:r>
      <w:r>
        <w:tab/>
      </w:r>
      <w:r w:rsidR="004B0C37">
        <w:t>Act No.15 (2017), on domestic workers;</w:t>
      </w:r>
    </w:p>
    <w:p w:rsidR="004B0C37" w:rsidRDefault="00A703EC" w:rsidP="00A703EC">
      <w:pPr>
        <w:pStyle w:val="Bullet1G"/>
        <w:numPr>
          <w:ilvl w:val="0"/>
          <w:numId w:val="0"/>
        </w:numPr>
        <w:tabs>
          <w:tab w:val="left" w:pos="1701"/>
        </w:tabs>
        <w:ind w:left="1701" w:hanging="170"/>
      </w:pPr>
      <w:r>
        <w:t>•</w:t>
      </w:r>
      <w:r>
        <w:tab/>
      </w:r>
      <w:r w:rsidR="004B0C37">
        <w:t>Act No. 1 (2017), amending certain provisions of Act No. 21 (2015), regulating the entry and exit of migrant workers and relating to the freedom to exit the country;</w:t>
      </w:r>
    </w:p>
    <w:p w:rsidR="004B0C37" w:rsidRDefault="00A703EC" w:rsidP="00A703EC">
      <w:pPr>
        <w:pStyle w:val="Bullet1G"/>
        <w:numPr>
          <w:ilvl w:val="0"/>
          <w:numId w:val="0"/>
        </w:numPr>
        <w:tabs>
          <w:tab w:val="left" w:pos="1701"/>
        </w:tabs>
        <w:ind w:left="1701" w:hanging="170"/>
      </w:pPr>
      <w:r>
        <w:t>•</w:t>
      </w:r>
      <w:r>
        <w:tab/>
      </w:r>
      <w:r w:rsidR="004B0C37">
        <w:t>Act No. 11 (2018), on political asylum;</w:t>
      </w:r>
    </w:p>
    <w:p w:rsidR="004B0C37" w:rsidRDefault="00A703EC" w:rsidP="00A703EC">
      <w:pPr>
        <w:pStyle w:val="Bullet1G"/>
        <w:numPr>
          <w:ilvl w:val="0"/>
          <w:numId w:val="0"/>
        </w:numPr>
        <w:tabs>
          <w:tab w:val="left" w:pos="1701"/>
        </w:tabs>
        <w:ind w:left="1701" w:hanging="170"/>
      </w:pPr>
      <w:r>
        <w:t>•</w:t>
      </w:r>
      <w:r>
        <w:tab/>
      </w:r>
      <w:r w:rsidR="004B0C37">
        <w:t>Act No. 10 (2018), on the permanent residence permit;</w:t>
      </w:r>
    </w:p>
    <w:p w:rsidR="004B0C37" w:rsidRDefault="00A703EC" w:rsidP="00A703EC">
      <w:pPr>
        <w:pStyle w:val="Bullet1G"/>
        <w:numPr>
          <w:ilvl w:val="0"/>
          <w:numId w:val="0"/>
        </w:numPr>
        <w:tabs>
          <w:tab w:val="left" w:pos="1701"/>
        </w:tabs>
        <w:ind w:left="1701" w:hanging="170"/>
      </w:pPr>
      <w:r>
        <w:t>•</w:t>
      </w:r>
      <w:r>
        <w:tab/>
      </w:r>
      <w:r w:rsidR="004B0C37">
        <w:t>Act No. 17 (2018), on the creation of the Migrant Workers Support and Insurance Fund;</w:t>
      </w:r>
    </w:p>
    <w:p w:rsidR="0060531D" w:rsidRDefault="00A703EC" w:rsidP="00A703EC">
      <w:pPr>
        <w:pStyle w:val="Bullet1G"/>
        <w:numPr>
          <w:ilvl w:val="0"/>
          <w:numId w:val="0"/>
        </w:numPr>
        <w:tabs>
          <w:tab w:val="left" w:pos="1701"/>
        </w:tabs>
        <w:ind w:left="1701" w:hanging="170"/>
      </w:pPr>
      <w:r>
        <w:t>•</w:t>
      </w:r>
      <w:r>
        <w:tab/>
      </w:r>
      <w:r w:rsidR="004B0C37">
        <w:t>Act No. 13 (2018), amending article 7 of Act No. 21 (2015), regulating the entry, exit and residence of migrant workers and abolishing exit authorization.</w:t>
      </w:r>
    </w:p>
    <w:p w:rsidR="0060531D" w:rsidRDefault="00745ADE" w:rsidP="00745ADE">
      <w:pPr>
        <w:pStyle w:val="H23G"/>
      </w:pPr>
      <w:r>
        <w:tab/>
      </w:r>
      <w:r>
        <w:tab/>
      </w:r>
      <w:r w:rsidR="004B0C37" w:rsidRPr="00014370">
        <w:t>Institutional mechanisms to promote human rights</w:t>
      </w:r>
    </w:p>
    <w:p w:rsidR="0060531D" w:rsidRDefault="004B0C37" w:rsidP="003A3E1A">
      <w:pPr>
        <w:pStyle w:val="SingleTxtG"/>
      </w:pPr>
      <w:r>
        <w:t>57</w:t>
      </w:r>
      <w:r w:rsidR="00276B1C">
        <w:t>.</w:t>
      </w:r>
      <w:r w:rsidR="00276B1C">
        <w:tab/>
      </w:r>
      <w:r>
        <w:t>The concern of the State of Qatar with human rights has taken concrete form with the establishment of various governmental and non-governmental organizations focused on protecting and supporting the concept of integrated, interlinked and indivisible human rights.</w:t>
      </w:r>
      <w:r w:rsidR="007F4A3A">
        <w:t xml:space="preserve"> </w:t>
      </w:r>
      <w:r>
        <w:t>These include:</w:t>
      </w:r>
    </w:p>
    <w:p w:rsidR="0060531D" w:rsidRDefault="00F345A2" w:rsidP="00F345A2">
      <w:pPr>
        <w:pStyle w:val="H23G"/>
      </w:pPr>
      <w:r>
        <w:tab/>
      </w:r>
      <w:r>
        <w:tab/>
      </w:r>
      <w:r w:rsidR="004B0C37" w:rsidRPr="00014370">
        <w:t>Independent mechanisms</w:t>
      </w:r>
    </w:p>
    <w:p w:rsidR="0060531D" w:rsidRDefault="00F345A2" w:rsidP="00F345A2">
      <w:pPr>
        <w:pStyle w:val="H4G"/>
      </w:pPr>
      <w:r>
        <w:tab/>
      </w:r>
      <w:r>
        <w:tab/>
      </w:r>
      <w:r w:rsidR="004B0C37" w:rsidRPr="00014370">
        <w:t>National Committee for Human Rights</w:t>
      </w:r>
    </w:p>
    <w:p w:rsidR="004B0C37" w:rsidRDefault="004B0C37" w:rsidP="003A3E1A">
      <w:pPr>
        <w:pStyle w:val="SingleTxtG"/>
      </w:pPr>
      <w:r>
        <w:t>58</w:t>
      </w:r>
      <w:r w:rsidR="00276B1C">
        <w:t>.</w:t>
      </w:r>
      <w:r w:rsidR="00276B1C">
        <w:tab/>
      </w:r>
      <w:r>
        <w:t xml:space="preserve">The </w:t>
      </w:r>
      <w:r w:rsidRPr="00014370">
        <w:t>National Committee for Human Rights</w:t>
      </w:r>
      <w:r>
        <w:t xml:space="preserve"> was established by Legislative Decree No. 38 (2002) as an independent, national institution concerned with the protection and promotion of human rights.</w:t>
      </w:r>
      <w:r w:rsidR="007F4A3A">
        <w:t xml:space="preserve"> </w:t>
      </w:r>
      <w:r>
        <w:t>On 19 August 2010, Legislative Decree No.17 (2010) was issued, restructuring the Committee to grant it further safeguards and responsibilities in accordance with the Paris Principles, which regulate the status of human rights organizations around the world.</w:t>
      </w:r>
      <w:r w:rsidR="007F4A3A">
        <w:t xml:space="preserve"> </w:t>
      </w:r>
      <w:r>
        <w:t>The Committee was accredited</w:t>
      </w:r>
      <w:r w:rsidRPr="006756AF">
        <w:t xml:space="preserve"> </w:t>
      </w:r>
      <w:r w:rsidR="009D1BD8">
        <w:t>“</w:t>
      </w:r>
      <w:r w:rsidRPr="006756AF">
        <w:t>A</w:t>
      </w:r>
      <w:r w:rsidR="009D1BD8">
        <w:t>”</w:t>
      </w:r>
      <w:r w:rsidRPr="006756AF">
        <w:t xml:space="preserve"> status by the International Coordinating Committee of National Human Rights Institutions </w:t>
      </w:r>
      <w:r>
        <w:t xml:space="preserve">in Geneva </w:t>
      </w:r>
      <w:r w:rsidRPr="006756AF">
        <w:t xml:space="preserve">for the </w:t>
      </w:r>
      <w:r>
        <w:t>first time in 2010 and was re-accredited for the second time in a row in 2015.</w:t>
      </w:r>
      <w:r w:rsidR="007F4A3A">
        <w:t xml:space="preserve"> </w:t>
      </w:r>
      <w:r>
        <w:t xml:space="preserve">The National Committee seeks to: </w:t>
      </w:r>
    </w:p>
    <w:p w:rsidR="004B0C37" w:rsidRDefault="00A703EC" w:rsidP="00A703EC">
      <w:pPr>
        <w:pStyle w:val="Bullet1G"/>
        <w:numPr>
          <w:ilvl w:val="0"/>
          <w:numId w:val="0"/>
        </w:numPr>
        <w:tabs>
          <w:tab w:val="left" w:pos="1701"/>
        </w:tabs>
        <w:ind w:left="1701" w:hanging="170"/>
      </w:pPr>
      <w:r>
        <w:t>•</w:t>
      </w:r>
      <w:r>
        <w:tab/>
      </w:r>
      <w:r w:rsidR="004B0C37">
        <w:t>P</w:t>
      </w:r>
      <w:r w:rsidR="004B0C37" w:rsidRPr="006756AF">
        <w:t xml:space="preserve">ropose </w:t>
      </w:r>
      <w:r w:rsidR="004B0C37">
        <w:t>ways of promoting</w:t>
      </w:r>
      <w:r w:rsidR="004B0C37" w:rsidRPr="006756AF">
        <w:t xml:space="preserve"> and </w:t>
      </w:r>
      <w:r w:rsidR="004B0C37">
        <w:t>monitoring</w:t>
      </w:r>
      <w:r w:rsidR="004B0C37" w:rsidRPr="006756AF">
        <w:t xml:space="preserve"> </w:t>
      </w:r>
      <w:r w:rsidR="004B0C37">
        <w:t xml:space="preserve">achievement of </w:t>
      </w:r>
      <w:r w:rsidR="004B0C37" w:rsidRPr="006756AF">
        <w:t xml:space="preserve">the objectives </w:t>
      </w:r>
      <w:r w:rsidR="004B0C37">
        <w:t>of</w:t>
      </w:r>
      <w:r w:rsidR="004B0C37" w:rsidRPr="006756AF">
        <w:t xml:space="preserve"> international conventions a</w:t>
      </w:r>
      <w:r w:rsidR="004B0C37">
        <w:t>nd instruments on human rights</w:t>
      </w:r>
      <w:r w:rsidR="004B0C37" w:rsidRPr="006756AF">
        <w:t xml:space="preserve"> to which the St</w:t>
      </w:r>
      <w:r w:rsidR="004B0C37">
        <w:t>ate of Qatar has become a party</w:t>
      </w:r>
      <w:r w:rsidR="004B0C37" w:rsidRPr="006756AF">
        <w:t xml:space="preserve"> and to </w:t>
      </w:r>
      <w:r w:rsidR="004B0C37">
        <w:t xml:space="preserve">make recommendations </w:t>
      </w:r>
      <w:r w:rsidR="004B0C37" w:rsidRPr="006756AF">
        <w:t>on accession to other human rights conv</w:t>
      </w:r>
      <w:r w:rsidR="004B0C37">
        <w:t>entions and instruments;</w:t>
      </w:r>
    </w:p>
    <w:p w:rsidR="004B0C37" w:rsidRDefault="00A703EC" w:rsidP="00A703EC">
      <w:pPr>
        <w:pStyle w:val="Bullet1G"/>
        <w:numPr>
          <w:ilvl w:val="0"/>
          <w:numId w:val="0"/>
        </w:numPr>
        <w:tabs>
          <w:tab w:val="left" w:pos="1701"/>
        </w:tabs>
        <w:ind w:left="1701" w:hanging="170"/>
      </w:pPr>
      <w:r>
        <w:lastRenderedPageBreak/>
        <w:t>•</w:t>
      </w:r>
      <w:r>
        <w:tab/>
      </w:r>
      <w:r w:rsidR="004B0C37">
        <w:t>A</w:t>
      </w:r>
      <w:r w:rsidR="004B0C37" w:rsidRPr="006756AF">
        <w:t xml:space="preserve">dvise and </w:t>
      </w:r>
      <w:r w:rsidR="004B0C37">
        <w:t>make</w:t>
      </w:r>
      <w:r w:rsidR="004B0C37" w:rsidRPr="006756AF">
        <w:t xml:space="preserve"> recommendations to the concerned authoritie</w:t>
      </w:r>
      <w:r w:rsidR="004B0C37">
        <w:t>s regarding human rights issues;</w:t>
      </w:r>
    </w:p>
    <w:p w:rsidR="004B0C37" w:rsidRDefault="00A703EC" w:rsidP="00A703EC">
      <w:pPr>
        <w:pStyle w:val="Bullet1G"/>
        <w:numPr>
          <w:ilvl w:val="0"/>
          <w:numId w:val="0"/>
        </w:numPr>
        <w:tabs>
          <w:tab w:val="left" w:pos="1701"/>
        </w:tabs>
        <w:ind w:left="1701" w:hanging="170"/>
      </w:pPr>
      <w:r>
        <w:t>•</w:t>
      </w:r>
      <w:r>
        <w:tab/>
      </w:r>
      <w:r w:rsidR="004B0C37">
        <w:t>Look into</w:t>
      </w:r>
      <w:r w:rsidR="004B0C37" w:rsidRPr="006756AF">
        <w:t xml:space="preserve"> any abuses or violations of human rights, </w:t>
      </w:r>
      <w:r w:rsidR="004B0C37">
        <w:t xml:space="preserve">settle </w:t>
      </w:r>
      <w:r w:rsidR="004B0C37" w:rsidRPr="006756AF">
        <w:t xml:space="preserve">complaints reported to </w:t>
      </w:r>
      <w:r w:rsidR="004B0C37">
        <w:t>the Committee</w:t>
      </w:r>
      <w:r w:rsidR="004B0C37" w:rsidRPr="006756AF">
        <w:t xml:space="preserve">, coordinate with the authorities </w:t>
      </w:r>
      <w:r w:rsidR="004B0C37">
        <w:t xml:space="preserve">on </w:t>
      </w:r>
      <w:r w:rsidR="004B0C37" w:rsidRPr="006756AF">
        <w:t>necessary action</w:t>
      </w:r>
      <w:r w:rsidR="004B0C37">
        <w:t xml:space="preserve"> to be taken</w:t>
      </w:r>
      <w:r w:rsidR="004B0C37" w:rsidRPr="006756AF">
        <w:t xml:space="preserve"> and propose ways </w:t>
      </w:r>
      <w:r w:rsidR="004B0C37">
        <w:t>of</w:t>
      </w:r>
      <w:r w:rsidR="004B0C37" w:rsidRPr="006756AF">
        <w:t xml:space="preserve"> address</w:t>
      </w:r>
      <w:r w:rsidR="004B0C37">
        <w:t>ing</w:t>
      </w:r>
      <w:r w:rsidR="004B0C37" w:rsidRPr="006756AF">
        <w:t xml:space="preserve"> abuses </w:t>
      </w:r>
      <w:r w:rsidR="004B0C37">
        <w:t>and</w:t>
      </w:r>
      <w:r w:rsidR="004B0C37" w:rsidRPr="006756AF">
        <w:t xml:space="preserve"> violations and pr</w:t>
      </w:r>
      <w:r w:rsidR="004B0C37">
        <w:t>eventing reoccurrence;</w:t>
      </w:r>
    </w:p>
    <w:p w:rsidR="004B0C37" w:rsidRDefault="00A703EC" w:rsidP="00A703EC">
      <w:pPr>
        <w:pStyle w:val="Bullet1G"/>
        <w:numPr>
          <w:ilvl w:val="0"/>
          <w:numId w:val="0"/>
        </w:numPr>
        <w:tabs>
          <w:tab w:val="left" w:pos="1701"/>
        </w:tabs>
        <w:ind w:left="1701" w:hanging="170"/>
      </w:pPr>
      <w:r>
        <w:t>•</w:t>
      </w:r>
      <w:r>
        <w:tab/>
      </w:r>
      <w:r w:rsidR="004B0C37">
        <w:t>M</w:t>
      </w:r>
      <w:r w:rsidR="004B0C37" w:rsidRPr="006756AF">
        <w:t xml:space="preserve">ake suggestions </w:t>
      </w:r>
      <w:r w:rsidR="004B0C37">
        <w:t>regarding the compliance of existing legislation and bills with</w:t>
      </w:r>
      <w:r w:rsidR="004B0C37" w:rsidRPr="006756AF">
        <w:t xml:space="preserve"> the provisions of international human rights conventions to which the Sta</w:t>
      </w:r>
      <w:r w:rsidR="004B0C37">
        <w:t>te of Qatar is a party;</w:t>
      </w:r>
    </w:p>
    <w:p w:rsidR="004B0C37" w:rsidRDefault="00A703EC" w:rsidP="00A703EC">
      <w:pPr>
        <w:pStyle w:val="Bullet1G"/>
        <w:numPr>
          <w:ilvl w:val="0"/>
          <w:numId w:val="0"/>
        </w:numPr>
        <w:tabs>
          <w:tab w:val="left" w:pos="1701"/>
        </w:tabs>
        <w:ind w:left="1701" w:hanging="170"/>
      </w:pPr>
      <w:r>
        <w:t>•</w:t>
      </w:r>
      <w:r>
        <w:tab/>
      </w:r>
      <w:r w:rsidR="004B0C37">
        <w:t>M</w:t>
      </w:r>
      <w:r w:rsidR="004B0C37" w:rsidRPr="006756AF">
        <w:t xml:space="preserve">onitor </w:t>
      </w:r>
      <w:r w:rsidR="004B0C37">
        <w:t xml:space="preserve">and prepare reports on the </w:t>
      </w:r>
      <w:r w:rsidR="004B0C37" w:rsidRPr="006756AF">
        <w:t xml:space="preserve">human rights </w:t>
      </w:r>
      <w:r w:rsidR="004B0C37">
        <w:t xml:space="preserve">situation in the country </w:t>
      </w:r>
      <w:r w:rsidR="004B0C37" w:rsidRPr="006756AF">
        <w:t>and submit such reports</w:t>
      </w:r>
      <w:r w:rsidR="004B0C37">
        <w:t>, with comments,</w:t>
      </w:r>
      <w:r w:rsidR="004B0C37" w:rsidRPr="006756AF">
        <w:t xml:space="preserve"> to the Council of Ministers</w:t>
      </w:r>
      <w:r w:rsidR="004B0C37">
        <w:t>;</w:t>
      </w:r>
    </w:p>
    <w:p w:rsidR="004B0C37" w:rsidRDefault="00A703EC" w:rsidP="00A703EC">
      <w:pPr>
        <w:pStyle w:val="Bullet1G"/>
        <w:numPr>
          <w:ilvl w:val="0"/>
          <w:numId w:val="0"/>
        </w:numPr>
        <w:tabs>
          <w:tab w:val="left" w:pos="1701"/>
        </w:tabs>
        <w:ind w:left="1701" w:hanging="170"/>
      </w:pPr>
      <w:r>
        <w:t>•</w:t>
      </w:r>
      <w:r>
        <w:tab/>
      </w:r>
      <w:r w:rsidR="004B0C37">
        <w:t>M</w:t>
      </w:r>
      <w:r w:rsidR="004B0C37" w:rsidRPr="006756AF">
        <w:t xml:space="preserve">onitor issues that </w:t>
      </w:r>
      <w:r w:rsidR="004B0C37">
        <w:t>may</w:t>
      </w:r>
      <w:r w:rsidR="004B0C37" w:rsidRPr="006756AF">
        <w:t xml:space="preserve"> be raised </w:t>
      </w:r>
      <w:r w:rsidR="004B0C37">
        <w:t>concerning</w:t>
      </w:r>
      <w:r w:rsidR="004B0C37" w:rsidRPr="006756AF">
        <w:t xml:space="preserve"> </w:t>
      </w:r>
      <w:r w:rsidR="004B0C37">
        <w:t xml:space="preserve">the </w:t>
      </w:r>
      <w:r w:rsidR="004B0C37" w:rsidRPr="006756AF">
        <w:t xml:space="preserve">human rights </w:t>
      </w:r>
      <w:r w:rsidR="004B0C37">
        <w:t>situation</w:t>
      </w:r>
      <w:r w:rsidR="004B0C37" w:rsidRPr="006756AF">
        <w:t xml:space="preserve"> in the country and coordinate with the auth</w:t>
      </w:r>
      <w:r w:rsidR="004B0C37">
        <w:t>orities to address such issues;</w:t>
      </w:r>
    </w:p>
    <w:p w:rsidR="004B0C37" w:rsidRDefault="00A703EC" w:rsidP="00A703EC">
      <w:pPr>
        <w:pStyle w:val="Bullet1G"/>
        <w:numPr>
          <w:ilvl w:val="0"/>
          <w:numId w:val="0"/>
        </w:numPr>
        <w:tabs>
          <w:tab w:val="left" w:pos="1701"/>
        </w:tabs>
        <w:ind w:left="1701" w:hanging="170"/>
      </w:pPr>
      <w:r>
        <w:t>•</w:t>
      </w:r>
      <w:r>
        <w:tab/>
      </w:r>
      <w:r w:rsidR="004B0C37">
        <w:t>Participate</w:t>
      </w:r>
      <w:r w:rsidR="004B0C37" w:rsidRPr="006756AF">
        <w:t xml:space="preserve"> in the preparation of national reports </w:t>
      </w:r>
      <w:r w:rsidR="004B0C37">
        <w:t xml:space="preserve">on </w:t>
      </w:r>
      <w:r w:rsidR="004B0C37" w:rsidRPr="006756AF">
        <w:t>the conventions to whic</w:t>
      </w:r>
      <w:r w:rsidR="004B0C37">
        <w:t>h the State is a party, for submission</w:t>
      </w:r>
      <w:r w:rsidR="004B0C37" w:rsidRPr="006756AF">
        <w:t xml:space="preserve"> to international human rights bodies and organizations</w:t>
      </w:r>
      <w:r w:rsidR="004B0C37">
        <w:t>;</w:t>
      </w:r>
    </w:p>
    <w:p w:rsidR="004B0C37" w:rsidRDefault="00A703EC" w:rsidP="00A703EC">
      <w:pPr>
        <w:pStyle w:val="Bullet1G"/>
        <w:numPr>
          <w:ilvl w:val="0"/>
          <w:numId w:val="0"/>
        </w:numPr>
        <w:tabs>
          <w:tab w:val="left" w:pos="1701"/>
        </w:tabs>
        <w:ind w:left="1701" w:hanging="170"/>
      </w:pPr>
      <w:r>
        <w:t>•</w:t>
      </w:r>
      <w:r>
        <w:tab/>
      </w:r>
      <w:r w:rsidR="004B0C37">
        <w:t>C</w:t>
      </w:r>
      <w:r w:rsidR="004B0C37" w:rsidRPr="006756AF">
        <w:t xml:space="preserve">ooperate with international, regional, and national organizations concerned with human rights and freedoms and </w:t>
      </w:r>
      <w:r w:rsidR="004B0C37">
        <w:t>participate</w:t>
      </w:r>
      <w:r w:rsidR="004B0C37" w:rsidRPr="006756AF">
        <w:t xml:space="preserve"> i</w:t>
      </w:r>
      <w:r w:rsidR="004B0C37">
        <w:t>n related international events;</w:t>
      </w:r>
    </w:p>
    <w:p w:rsidR="004B0C37" w:rsidRDefault="00A703EC" w:rsidP="00A703EC">
      <w:pPr>
        <w:pStyle w:val="Bullet1G"/>
        <w:numPr>
          <w:ilvl w:val="0"/>
          <w:numId w:val="0"/>
        </w:numPr>
        <w:tabs>
          <w:tab w:val="left" w:pos="1701"/>
        </w:tabs>
        <w:ind w:left="1701" w:hanging="170"/>
      </w:pPr>
      <w:r>
        <w:t>•</w:t>
      </w:r>
      <w:r>
        <w:tab/>
      </w:r>
      <w:r w:rsidR="004B0C37">
        <w:t>R</w:t>
      </w:r>
      <w:r w:rsidR="004B0C37" w:rsidRPr="006756AF">
        <w:t>aise awarene</w:t>
      </w:r>
      <w:r w:rsidR="004B0C37">
        <w:t xml:space="preserve">ss of the culture of human rights and freedoms and </w:t>
      </w:r>
      <w:r w:rsidR="004B0C37" w:rsidRPr="006756AF">
        <w:t xml:space="preserve">consolidate </w:t>
      </w:r>
      <w:r w:rsidR="004B0C37">
        <w:t>the principles</w:t>
      </w:r>
      <w:r w:rsidR="004B0C37" w:rsidRPr="006756AF">
        <w:t xml:space="preserve"> </w:t>
      </w:r>
      <w:r w:rsidR="004B0C37">
        <w:t>thereof in</w:t>
      </w:r>
      <w:r w:rsidR="004B0C37" w:rsidRPr="006756AF">
        <w:t xml:space="preserve"> </w:t>
      </w:r>
      <w:r w:rsidR="004B0C37">
        <w:t>theory and practice;</w:t>
      </w:r>
    </w:p>
    <w:p w:rsidR="004B0C37" w:rsidRDefault="00A703EC" w:rsidP="00A703EC">
      <w:pPr>
        <w:pStyle w:val="Bullet1G"/>
        <w:numPr>
          <w:ilvl w:val="0"/>
          <w:numId w:val="0"/>
        </w:numPr>
        <w:tabs>
          <w:tab w:val="left" w:pos="1701"/>
        </w:tabs>
        <w:ind w:left="1701" w:hanging="170"/>
      </w:pPr>
      <w:r>
        <w:t>•</w:t>
      </w:r>
      <w:r>
        <w:tab/>
      </w:r>
      <w:r w:rsidR="004B0C37">
        <w:t>C</w:t>
      </w:r>
      <w:r w:rsidR="004B0C37" w:rsidRPr="006756AF">
        <w:t>onduct field</w:t>
      </w:r>
      <w:r w:rsidR="004B0C37">
        <w:t xml:space="preserve"> visits to penal and reform</w:t>
      </w:r>
      <w:r w:rsidR="004B0C37" w:rsidRPr="006756AF">
        <w:t xml:space="preserve"> institutions, detention centres, </w:t>
      </w:r>
      <w:r w:rsidR="004B0C37">
        <w:t>workers</w:t>
      </w:r>
      <w:r w:rsidR="009D1BD8">
        <w:t>’</w:t>
      </w:r>
      <w:r w:rsidR="004B0C37">
        <w:t xml:space="preserve"> accommodation blocks</w:t>
      </w:r>
      <w:r w:rsidR="004B0C37" w:rsidRPr="006756AF">
        <w:t xml:space="preserve">, health institutions, and educational institutions </w:t>
      </w:r>
      <w:r w:rsidR="004B0C37">
        <w:t>in order</w:t>
      </w:r>
      <w:r w:rsidR="004B0C37" w:rsidRPr="006756AF">
        <w:t xml:space="preserve"> to </w:t>
      </w:r>
      <w:r w:rsidR="004B0C37">
        <w:t xml:space="preserve">observe the human rights situation; </w:t>
      </w:r>
      <w:r w:rsidR="004B0C37" w:rsidRPr="006756AF">
        <w:t xml:space="preserve">visits </w:t>
      </w:r>
      <w:r w:rsidR="004B0C37">
        <w:t xml:space="preserve">are </w:t>
      </w:r>
      <w:r w:rsidR="004B0C37" w:rsidRPr="006756AF">
        <w:t>to be made by t</w:t>
      </w:r>
      <w:r w:rsidR="004B0C37">
        <w:t>he Committee chairman and members;</w:t>
      </w:r>
    </w:p>
    <w:p w:rsidR="004B0C37" w:rsidRDefault="00A703EC" w:rsidP="00A703EC">
      <w:pPr>
        <w:pStyle w:val="Bullet1G"/>
        <w:numPr>
          <w:ilvl w:val="0"/>
          <w:numId w:val="0"/>
        </w:numPr>
        <w:tabs>
          <w:tab w:val="left" w:pos="1701"/>
        </w:tabs>
        <w:ind w:left="1701" w:hanging="170"/>
      </w:pPr>
      <w:r>
        <w:t>•</w:t>
      </w:r>
      <w:r>
        <w:tab/>
      </w:r>
      <w:r w:rsidR="004B0C37">
        <w:t>C</w:t>
      </w:r>
      <w:r w:rsidR="004B0C37" w:rsidRPr="006756AF">
        <w:t xml:space="preserve">oordinate and cooperate with human rights </w:t>
      </w:r>
      <w:r w:rsidR="004B0C37">
        <w:t>organizations</w:t>
      </w:r>
      <w:r w:rsidR="004B0C37" w:rsidRPr="006756AF">
        <w:t xml:space="preserve"> in Qatar, </w:t>
      </w:r>
      <w:r w:rsidR="004B0C37">
        <w:t>in a manner appropriate to</w:t>
      </w:r>
      <w:r w:rsidR="004B0C37" w:rsidRPr="006756AF">
        <w:t xml:space="preserve"> </w:t>
      </w:r>
      <w:r w:rsidR="004B0C37">
        <w:t>the responsibilities and mandate of each;</w:t>
      </w:r>
    </w:p>
    <w:p w:rsidR="004B0C37" w:rsidRDefault="00A703EC" w:rsidP="00A703EC">
      <w:pPr>
        <w:pStyle w:val="Bullet1G"/>
        <w:numPr>
          <w:ilvl w:val="0"/>
          <w:numId w:val="0"/>
        </w:numPr>
        <w:tabs>
          <w:tab w:val="left" w:pos="1701"/>
        </w:tabs>
        <w:ind w:left="1701" w:hanging="170"/>
      </w:pPr>
      <w:r>
        <w:t>•</w:t>
      </w:r>
      <w:r>
        <w:tab/>
      </w:r>
      <w:r w:rsidR="004B0C37">
        <w:t>O</w:t>
      </w:r>
      <w:r w:rsidR="004B0C37" w:rsidRPr="006756AF">
        <w:t xml:space="preserve">rganize conferences, symposiums, courses and </w:t>
      </w:r>
      <w:r w:rsidR="004B0C37">
        <w:t>seminars</w:t>
      </w:r>
      <w:r w:rsidR="004B0C37" w:rsidRPr="006756AF">
        <w:t xml:space="preserve"> on </w:t>
      </w:r>
      <w:r w:rsidR="004B0C37">
        <w:t xml:space="preserve">subjects relating to </w:t>
      </w:r>
      <w:r w:rsidR="004B0C37" w:rsidRPr="006756AF">
        <w:t>human rights and freedoms and coordinate with the authorities</w:t>
      </w:r>
      <w:r w:rsidR="004B0C37">
        <w:t xml:space="preserve"> when necessary;</w:t>
      </w:r>
    </w:p>
    <w:p w:rsidR="004B0C37" w:rsidRPr="006756AF" w:rsidRDefault="00A703EC" w:rsidP="00A703EC">
      <w:pPr>
        <w:pStyle w:val="Bullet1G"/>
        <w:numPr>
          <w:ilvl w:val="0"/>
          <w:numId w:val="0"/>
        </w:numPr>
        <w:tabs>
          <w:tab w:val="left" w:pos="1701"/>
        </w:tabs>
        <w:ind w:left="1701" w:hanging="170"/>
      </w:pPr>
      <w:r w:rsidRPr="006756AF">
        <w:t>•</w:t>
      </w:r>
      <w:r w:rsidRPr="006756AF">
        <w:tab/>
      </w:r>
      <w:r w:rsidR="004B0C37">
        <w:t>T</w:t>
      </w:r>
      <w:r w:rsidR="004B0C37" w:rsidRPr="006756AF">
        <w:t xml:space="preserve">ake part in the preparation </w:t>
      </w:r>
      <w:r w:rsidR="004B0C37">
        <w:t xml:space="preserve">and implementation </w:t>
      </w:r>
      <w:r w:rsidR="004B0C37" w:rsidRPr="006756AF">
        <w:t xml:space="preserve">of </w:t>
      </w:r>
      <w:r w:rsidR="004B0C37">
        <w:t>human rights education</w:t>
      </w:r>
      <w:r w:rsidR="004B0C37" w:rsidRPr="006756AF">
        <w:t xml:space="preserve"> and research programmes.</w:t>
      </w:r>
    </w:p>
    <w:p w:rsidR="0060531D" w:rsidRDefault="004B0C37" w:rsidP="003A3E1A">
      <w:pPr>
        <w:pStyle w:val="SingleTxtG"/>
      </w:pPr>
      <w:r>
        <w:t>59</w:t>
      </w:r>
      <w:r w:rsidR="00276B1C">
        <w:t>.</w:t>
      </w:r>
      <w:r w:rsidR="00276B1C">
        <w:tab/>
      </w:r>
      <w:r>
        <w:t>Article 16 of Legislative Decree No. 17 (2010) stipulates that m</w:t>
      </w:r>
      <w:r w:rsidRPr="0037118C">
        <w:t xml:space="preserve">inistries, government </w:t>
      </w:r>
      <w:r>
        <w:t>agencies</w:t>
      </w:r>
      <w:r w:rsidRPr="0037118C">
        <w:t xml:space="preserve"> and public institutions</w:t>
      </w:r>
      <w:r>
        <w:t xml:space="preserve"> and entities</w:t>
      </w:r>
      <w:r w:rsidRPr="0037118C">
        <w:t xml:space="preserve"> shall cooperate with the </w:t>
      </w:r>
      <w:r>
        <w:t>Committee</w:t>
      </w:r>
      <w:r w:rsidRPr="0037118C">
        <w:t xml:space="preserve"> in </w:t>
      </w:r>
      <w:r>
        <w:t>the performance</w:t>
      </w:r>
      <w:r w:rsidRPr="0037118C">
        <w:t xml:space="preserve"> its duties and </w:t>
      </w:r>
      <w:r>
        <w:t xml:space="preserve">responsibilities and </w:t>
      </w:r>
      <w:r w:rsidRPr="0037118C">
        <w:t xml:space="preserve">provide the </w:t>
      </w:r>
      <w:r>
        <w:t>Committee</w:t>
      </w:r>
      <w:r w:rsidRPr="0037118C">
        <w:t xml:space="preserve"> with </w:t>
      </w:r>
      <w:r>
        <w:t xml:space="preserve">any data and </w:t>
      </w:r>
      <w:r w:rsidRPr="0037118C">
        <w:t xml:space="preserve">information </w:t>
      </w:r>
      <w:r>
        <w:t>required</w:t>
      </w:r>
      <w:r w:rsidRPr="0037118C">
        <w:t>.</w:t>
      </w:r>
      <w:r w:rsidR="007F4A3A">
        <w:t xml:space="preserve"> </w:t>
      </w:r>
      <w:r w:rsidRPr="0037118C">
        <w:t xml:space="preserve">The </w:t>
      </w:r>
      <w:r>
        <w:t>Committee</w:t>
      </w:r>
      <w:r w:rsidRPr="0037118C">
        <w:t xml:space="preserve"> may invite </w:t>
      </w:r>
      <w:r>
        <w:t>a</w:t>
      </w:r>
      <w:r w:rsidRPr="0037118C">
        <w:t xml:space="preserve"> representative of these </w:t>
      </w:r>
      <w:r>
        <w:t>bodies</w:t>
      </w:r>
      <w:r w:rsidRPr="0037118C">
        <w:t xml:space="preserve"> to attend its meetings </w:t>
      </w:r>
      <w:r>
        <w:t>in a non-voting capacity</w:t>
      </w:r>
      <w:r w:rsidRPr="0037118C">
        <w:t>.</w:t>
      </w:r>
    </w:p>
    <w:p w:rsidR="0060531D" w:rsidRDefault="004B0C37" w:rsidP="003A3E1A">
      <w:pPr>
        <w:pStyle w:val="SingleTxtG"/>
      </w:pPr>
      <w:r>
        <w:t>60</w:t>
      </w:r>
      <w:r w:rsidR="00276B1C">
        <w:t>.</w:t>
      </w:r>
      <w:r w:rsidR="00276B1C">
        <w:tab/>
      </w:r>
      <w:r>
        <w:t>The Committee reports regularly every six months to the Council of Ministers.</w:t>
      </w:r>
      <w:r w:rsidR="007F4A3A">
        <w:t xml:space="preserve"> </w:t>
      </w:r>
      <w:r>
        <w:t>Reports contain studies of human rights legislation and the human rights situation in the country, news of Committee activities and recommendations.</w:t>
      </w:r>
      <w:r w:rsidR="007F4A3A">
        <w:t xml:space="preserve"> </w:t>
      </w:r>
      <w:r>
        <w:t xml:space="preserve">Pursuant to the principle of transparency and to promote public awareness of human rights, the Committee posts its annual report online at </w:t>
      </w:r>
      <w:hyperlink r:id="rId11" w:history="1">
        <w:r w:rsidRPr="0065115A">
          <w:t>www.nhrc-qa.org</w:t>
        </w:r>
      </w:hyperlink>
      <w:r>
        <w:t>.</w:t>
      </w:r>
    </w:p>
    <w:p w:rsidR="0060531D" w:rsidRDefault="004B0C37" w:rsidP="003A3E1A">
      <w:pPr>
        <w:pStyle w:val="SingleTxtG"/>
      </w:pPr>
      <w:r>
        <w:t>61</w:t>
      </w:r>
      <w:r w:rsidR="00276B1C">
        <w:t>.</w:t>
      </w:r>
      <w:r w:rsidR="00276B1C">
        <w:tab/>
      </w:r>
      <w:r>
        <w:t>The Committee receives reports of a wide range of human rights violations and seeks to address most of these.</w:t>
      </w:r>
      <w:r w:rsidR="007F4A3A">
        <w:t xml:space="preserve"> </w:t>
      </w:r>
      <w:r>
        <w:t>The Committee also scrutinizes domestic legislation to assess its compliance with international conventions and charters and encourages the State to ratify or accede to international and regional human rights charters.</w:t>
      </w:r>
      <w:r w:rsidR="007F4A3A">
        <w:t xml:space="preserve"> </w:t>
      </w:r>
      <w:r>
        <w:t>Furthermore, it submits observations and views to the State after preparing the reports which the State is obliged to submit to United Nations bodies and committees and regional human rights organizations.</w:t>
      </w:r>
      <w:r w:rsidR="007F4A3A">
        <w:t xml:space="preserve"> </w:t>
      </w:r>
      <w:r>
        <w:t>The Committee takes the legal measures necessary to protect human rights and provides such legal assistance as is permitted under its mandate.</w:t>
      </w:r>
      <w:r w:rsidR="007F4A3A">
        <w:t xml:space="preserve"> </w:t>
      </w:r>
      <w:r>
        <w:t>It also plays an intermediary and conciliatory role between contending parties, with a view to reaching an amicable solution before the parties resort to the courts.</w:t>
      </w:r>
    </w:p>
    <w:p w:rsidR="0060531D" w:rsidRDefault="004B0C37" w:rsidP="003A3E1A">
      <w:pPr>
        <w:pStyle w:val="SingleTxtG"/>
      </w:pPr>
      <w:r>
        <w:t>62</w:t>
      </w:r>
      <w:r w:rsidR="00276B1C">
        <w:t>.</w:t>
      </w:r>
      <w:r w:rsidR="00276B1C">
        <w:tab/>
      </w:r>
      <w:r>
        <w:t>The Committee works in close cooperation with international organizations, especially the Office of the United Nations High Commissioner for Human Rights.</w:t>
      </w:r>
    </w:p>
    <w:p w:rsidR="0060531D" w:rsidRDefault="00375607" w:rsidP="00DD7176">
      <w:pPr>
        <w:pStyle w:val="H4G"/>
      </w:pPr>
      <w:r>
        <w:lastRenderedPageBreak/>
        <w:tab/>
      </w:r>
      <w:r>
        <w:tab/>
      </w:r>
      <w:r w:rsidR="004B0C37" w:rsidRPr="00D51D9C">
        <w:t>Qatar Social Work Foundation</w:t>
      </w:r>
    </w:p>
    <w:p w:rsidR="0060531D" w:rsidRDefault="004B0C37" w:rsidP="003A3E1A">
      <w:pPr>
        <w:pStyle w:val="SingleTxtG"/>
        <w:rPr>
          <w:color w:val="000000"/>
        </w:rPr>
      </w:pPr>
      <w:r>
        <w:t>63</w:t>
      </w:r>
      <w:r w:rsidR="00276B1C">
        <w:t>.</w:t>
      </w:r>
      <w:r w:rsidR="00276B1C">
        <w:tab/>
      </w:r>
      <w:r w:rsidRPr="00791F4B">
        <w:rPr>
          <w:color w:val="000000"/>
        </w:rPr>
        <w:t>The Qatar Social Work Foundation was</w:t>
      </w:r>
      <w:r>
        <w:rPr>
          <w:color w:val="000000"/>
        </w:rPr>
        <w:t xml:space="preserve"> established in 2013 as a high-level</w:t>
      </w:r>
      <w:r w:rsidRPr="00791F4B">
        <w:rPr>
          <w:color w:val="000000"/>
        </w:rPr>
        <w:t xml:space="preserve"> body </w:t>
      </w:r>
      <w:r>
        <w:rPr>
          <w:color w:val="000000"/>
        </w:rPr>
        <w:t xml:space="preserve">whose </w:t>
      </w:r>
      <w:r w:rsidRPr="00791F4B">
        <w:rPr>
          <w:color w:val="000000"/>
        </w:rPr>
        <w:t xml:space="preserve">consolidated board of directors </w:t>
      </w:r>
      <w:r>
        <w:rPr>
          <w:color w:val="000000"/>
        </w:rPr>
        <w:t xml:space="preserve">is </w:t>
      </w:r>
      <w:r w:rsidRPr="00791F4B">
        <w:rPr>
          <w:color w:val="000000"/>
        </w:rPr>
        <w:t>responsible for supervising and monitoring the activities of social work organizations and centres in Qatar.</w:t>
      </w:r>
      <w:r w:rsidR="007F4A3A">
        <w:rPr>
          <w:color w:val="000000"/>
        </w:rPr>
        <w:t xml:space="preserve"> </w:t>
      </w:r>
      <w:r w:rsidRPr="00791F4B">
        <w:rPr>
          <w:color w:val="000000"/>
        </w:rPr>
        <w:t xml:space="preserve">The Foundation </w:t>
      </w:r>
      <w:r>
        <w:rPr>
          <w:color w:val="000000"/>
        </w:rPr>
        <w:t>formulates and monitors</w:t>
      </w:r>
      <w:r w:rsidRPr="00791F4B">
        <w:rPr>
          <w:color w:val="000000"/>
        </w:rPr>
        <w:t xml:space="preserve"> implementation of plans, programmes, policies and strategies </w:t>
      </w:r>
      <w:r>
        <w:rPr>
          <w:color w:val="000000"/>
        </w:rPr>
        <w:t>aimed at furthering</w:t>
      </w:r>
      <w:r w:rsidRPr="00791F4B">
        <w:rPr>
          <w:color w:val="000000"/>
        </w:rPr>
        <w:t xml:space="preserve"> the goals of civil society organizations, in cooperation and coordination with ministries, government agencies and public and private corporations and institutions </w:t>
      </w:r>
      <w:r>
        <w:rPr>
          <w:color w:val="000000"/>
        </w:rPr>
        <w:t>at home and abroad.</w:t>
      </w:r>
      <w:r w:rsidR="007F4A3A">
        <w:rPr>
          <w:color w:val="000000"/>
        </w:rPr>
        <w:t xml:space="preserve"> </w:t>
      </w:r>
      <w:r>
        <w:rPr>
          <w:color w:val="000000"/>
        </w:rPr>
        <w:t>The Foundation</w:t>
      </w:r>
      <w:r w:rsidR="009D1BD8">
        <w:rPr>
          <w:color w:val="000000"/>
        </w:rPr>
        <w:t>’</w:t>
      </w:r>
      <w:r>
        <w:rPr>
          <w:color w:val="000000"/>
        </w:rPr>
        <w:t xml:space="preserve">s </w:t>
      </w:r>
      <w:r w:rsidR="009D1BD8">
        <w:rPr>
          <w:color w:val="000000"/>
        </w:rPr>
        <w:t>“</w:t>
      </w:r>
      <w:r>
        <w:rPr>
          <w:color w:val="000000"/>
        </w:rPr>
        <w:t>family</w:t>
      </w:r>
      <w:r w:rsidR="009D1BD8">
        <w:rPr>
          <w:color w:val="000000"/>
        </w:rPr>
        <w:t>”</w:t>
      </w:r>
      <w:r>
        <w:rPr>
          <w:color w:val="000000"/>
        </w:rPr>
        <w:t xml:space="preserve"> consists of</w:t>
      </w:r>
      <w:r w:rsidRPr="00791F4B">
        <w:rPr>
          <w:color w:val="000000"/>
        </w:rPr>
        <w:t xml:space="preserve"> the following centres and initiatives: (1) </w:t>
      </w:r>
      <w:r>
        <w:rPr>
          <w:color w:val="000000"/>
        </w:rPr>
        <w:t xml:space="preserve">the </w:t>
      </w:r>
      <w:r w:rsidRPr="00791F4B">
        <w:rPr>
          <w:color w:val="000000"/>
        </w:rPr>
        <w:t xml:space="preserve">Protection and Social Rehabilitation Centre, (2) Family Consulting Centre, (3) Orphan Care Centre, (4) Centre for the Empowerment and Care of the Elderly, (5) </w:t>
      </w:r>
      <w:proofErr w:type="spellStart"/>
      <w:r w:rsidRPr="00791F4B">
        <w:rPr>
          <w:color w:val="000000"/>
        </w:rPr>
        <w:t>Shafallah</w:t>
      </w:r>
      <w:proofErr w:type="spellEnd"/>
      <w:r w:rsidRPr="00791F4B">
        <w:rPr>
          <w:color w:val="000000"/>
        </w:rPr>
        <w:t xml:space="preserve"> Centre for Persons with Disabilities, (6) Social Development Centre and (7) Best Buddies initiative (Qatar).</w:t>
      </w:r>
      <w:r w:rsidR="007F4A3A">
        <w:rPr>
          <w:color w:val="000000"/>
        </w:rPr>
        <w:t xml:space="preserve"> </w:t>
      </w:r>
      <w:r>
        <w:rPr>
          <w:color w:val="000000"/>
        </w:rPr>
        <w:t xml:space="preserve">The Foundation is focused on energizing the concepts of voluntary work and </w:t>
      </w:r>
      <w:r w:rsidR="009D1BD8">
        <w:rPr>
          <w:color w:val="000000"/>
        </w:rPr>
        <w:t>“</w:t>
      </w:r>
      <w:r>
        <w:rPr>
          <w:color w:val="000000"/>
        </w:rPr>
        <w:t>development</w:t>
      </w:r>
      <w:r w:rsidR="009D1BD8">
        <w:rPr>
          <w:color w:val="000000"/>
        </w:rPr>
        <w:t>”</w:t>
      </w:r>
      <w:r>
        <w:rPr>
          <w:color w:val="000000"/>
        </w:rPr>
        <w:t xml:space="preserve"> and ensuring the right of everyone to fight back against stereotyping and social exclusion on grounds of disability or misfortune.</w:t>
      </w:r>
      <w:r w:rsidR="007F4A3A">
        <w:rPr>
          <w:color w:val="000000"/>
        </w:rPr>
        <w:t xml:space="preserve"> </w:t>
      </w:r>
      <w:r>
        <w:rPr>
          <w:color w:val="000000"/>
        </w:rPr>
        <w:t>It promotes social solidarity and the right of persons with disabilities to participate in the development process.</w:t>
      </w:r>
      <w:r w:rsidR="007F4A3A">
        <w:rPr>
          <w:color w:val="000000"/>
        </w:rPr>
        <w:t xml:space="preserve"> </w:t>
      </w:r>
      <w:r>
        <w:rPr>
          <w:color w:val="000000"/>
        </w:rPr>
        <w:t>It also seeks to address issues of domestic violence, the empowerment of women, capacity-building among young people and the empowerment of the elderly without condescension or viewing them as a burden.</w:t>
      </w:r>
      <w:r w:rsidR="007F4A3A">
        <w:rPr>
          <w:color w:val="000000"/>
        </w:rPr>
        <w:t xml:space="preserve"> </w:t>
      </w:r>
      <w:r>
        <w:rPr>
          <w:color w:val="000000"/>
        </w:rPr>
        <w:t xml:space="preserve">Furthermore, it aims to rehabilitate and </w:t>
      </w:r>
      <w:r w:rsidRPr="00875449">
        <w:rPr>
          <w:color w:val="000000"/>
        </w:rPr>
        <w:t>integrate individuals in society by offering protection and prevention programmes in cooperation with various State institutions.</w:t>
      </w:r>
      <w:r w:rsidR="007F4A3A">
        <w:rPr>
          <w:color w:val="000000"/>
        </w:rPr>
        <w:t xml:space="preserve"> </w:t>
      </w:r>
      <w:r w:rsidRPr="00875449">
        <w:rPr>
          <w:color w:val="000000"/>
        </w:rPr>
        <w:t>The Foundation and the centres operating under its umbrella helped to prepare the eight sector-based strategies that make up the Second National Development Strategy (2017-2022).</w:t>
      </w:r>
      <w:r w:rsidR="007F4A3A">
        <w:rPr>
          <w:color w:val="000000"/>
        </w:rPr>
        <w:t xml:space="preserve"> </w:t>
      </w:r>
      <w:r>
        <w:rPr>
          <w:color w:val="000000"/>
        </w:rPr>
        <w:t>In addition</w:t>
      </w:r>
      <w:r w:rsidRPr="00875449">
        <w:rPr>
          <w:color w:val="000000"/>
        </w:rPr>
        <w:t xml:space="preserve">, the Foundation has supervised the planning of some 55 development projects covering the various </w:t>
      </w:r>
      <w:r>
        <w:rPr>
          <w:color w:val="000000"/>
        </w:rPr>
        <w:t>spheres of activity</w:t>
      </w:r>
      <w:r w:rsidRPr="00875449">
        <w:rPr>
          <w:color w:val="000000"/>
        </w:rPr>
        <w:t xml:space="preserve"> of its affiliated centres and aimed at achieving their strategic goals and serving the target social groups.</w:t>
      </w:r>
      <w:r w:rsidR="007F4A3A">
        <w:rPr>
          <w:color w:val="000000"/>
        </w:rPr>
        <w:t xml:space="preserve"> </w:t>
      </w:r>
      <w:r w:rsidRPr="00875449">
        <w:rPr>
          <w:color w:val="000000"/>
        </w:rPr>
        <w:t>These projects address extremely important issues in the fields of disability, family guidance, domestic violence and the welfare</w:t>
      </w:r>
      <w:r>
        <w:rPr>
          <w:color w:val="000000"/>
        </w:rPr>
        <w:t xml:space="preserve"> and empowerment of the elderly, </w:t>
      </w:r>
      <w:r w:rsidRPr="00875449">
        <w:rPr>
          <w:color w:val="000000"/>
        </w:rPr>
        <w:t>orphans etc.</w:t>
      </w:r>
      <w:r w:rsidR="007F4A3A">
        <w:rPr>
          <w:color w:val="000000"/>
        </w:rPr>
        <w:t xml:space="preserve"> </w:t>
      </w:r>
      <w:r w:rsidRPr="00875449">
        <w:rPr>
          <w:color w:val="000000"/>
        </w:rPr>
        <w:t xml:space="preserve">The Foundation has concluded memorandums of </w:t>
      </w:r>
      <w:r>
        <w:rPr>
          <w:color w:val="000000"/>
        </w:rPr>
        <w:t>understanding</w:t>
      </w:r>
      <w:r w:rsidRPr="00875449">
        <w:rPr>
          <w:color w:val="000000"/>
        </w:rPr>
        <w:t xml:space="preserve"> with the League of Arab States </w:t>
      </w:r>
      <w:r>
        <w:rPr>
          <w:color w:val="000000"/>
        </w:rPr>
        <w:t>on boosting technical cooperation in order to achieve the goals of the Arab Decade of Civil Society Organizations, as well as a memorandum of understanding with the United Nations Population Fund to promote joint cooperation.</w:t>
      </w:r>
      <w:r w:rsidR="007F4A3A">
        <w:rPr>
          <w:color w:val="000000"/>
        </w:rPr>
        <w:t xml:space="preserve"> </w:t>
      </w:r>
      <w:r>
        <w:rPr>
          <w:color w:val="000000"/>
        </w:rPr>
        <w:t>Memorandums of understanding have also been concluded locally with various government agencies and bodies and civil society organizations.</w:t>
      </w:r>
    </w:p>
    <w:p w:rsidR="0060531D" w:rsidRDefault="00543C0B" w:rsidP="00543C0B">
      <w:pPr>
        <w:pStyle w:val="H23G"/>
      </w:pPr>
      <w:r>
        <w:tab/>
      </w:r>
      <w:r>
        <w:tab/>
      </w:r>
      <w:r w:rsidR="004B0C37" w:rsidRPr="00587130">
        <w:t>Government</w:t>
      </w:r>
      <w:r w:rsidR="004B0C37">
        <w:t>al</w:t>
      </w:r>
      <w:r w:rsidR="004B0C37" w:rsidRPr="00587130">
        <w:t xml:space="preserve"> mechanisms</w:t>
      </w:r>
    </w:p>
    <w:p w:rsidR="0060531D" w:rsidRDefault="00A27777" w:rsidP="00A27777">
      <w:pPr>
        <w:pStyle w:val="H23G"/>
      </w:pPr>
      <w:r>
        <w:tab/>
      </w:r>
      <w:r>
        <w:tab/>
      </w:r>
      <w:r w:rsidR="004B0C37">
        <w:t>Competent</w:t>
      </w:r>
      <w:r w:rsidR="004B0C37" w:rsidRPr="00587130">
        <w:t xml:space="preserve"> departments in </w:t>
      </w:r>
      <w:r w:rsidR="004B0C37">
        <w:t>State</w:t>
      </w:r>
      <w:r w:rsidR="004B0C37" w:rsidRPr="00587130">
        <w:t xml:space="preserve"> ministries</w:t>
      </w:r>
    </w:p>
    <w:p w:rsidR="0060531D" w:rsidRDefault="004B0C37" w:rsidP="003A3E1A">
      <w:pPr>
        <w:pStyle w:val="SingleTxtG"/>
        <w:rPr>
          <w:color w:val="000000"/>
        </w:rPr>
      </w:pPr>
      <w:r>
        <w:rPr>
          <w:color w:val="000000"/>
        </w:rPr>
        <w:t>64</w:t>
      </w:r>
      <w:r w:rsidR="00276B1C">
        <w:rPr>
          <w:color w:val="000000"/>
        </w:rPr>
        <w:t>.</w:t>
      </w:r>
      <w:r w:rsidR="00276B1C">
        <w:rPr>
          <w:color w:val="000000"/>
        </w:rPr>
        <w:tab/>
      </w:r>
      <w:r>
        <w:rPr>
          <w:color w:val="000000"/>
        </w:rPr>
        <w:t>A number of departments have been created within the organizational structures of government ministries and agencies.</w:t>
      </w:r>
      <w:r w:rsidR="007F4A3A">
        <w:rPr>
          <w:color w:val="000000"/>
        </w:rPr>
        <w:t xml:space="preserve"> </w:t>
      </w:r>
      <w:r>
        <w:rPr>
          <w:color w:val="000000"/>
        </w:rPr>
        <w:t>By way of example, these include:</w:t>
      </w:r>
    </w:p>
    <w:p w:rsidR="0060531D" w:rsidRDefault="006D1688" w:rsidP="000B52DB">
      <w:pPr>
        <w:pStyle w:val="H4G"/>
      </w:pPr>
      <w:r>
        <w:tab/>
      </w:r>
      <w:r>
        <w:tab/>
      </w:r>
      <w:r w:rsidR="004B0C37">
        <w:t>Department of Human Rights (</w:t>
      </w:r>
      <w:r w:rsidR="004B0C37" w:rsidRPr="00587130">
        <w:t>Ministry of Interior</w:t>
      </w:r>
      <w:r w:rsidR="004B0C37">
        <w:t>)</w:t>
      </w:r>
    </w:p>
    <w:p w:rsidR="0060531D" w:rsidRDefault="004B0C37" w:rsidP="003A3E1A">
      <w:pPr>
        <w:pStyle w:val="SingleTxtG"/>
      </w:pPr>
      <w:r>
        <w:rPr>
          <w:color w:val="000000"/>
        </w:rPr>
        <w:t>65</w:t>
      </w:r>
      <w:r w:rsidR="00276B1C">
        <w:rPr>
          <w:color w:val="000000"/>
        </w:rPr>
        <w:t>.</w:t>
      </w:r>
      <w:r w:rsidR="00276B1C">
        <w:rPr>
          <w:color w:val="000000"/>
        </w:rPr>
        <w:tab/>
      </w:r>
      <w:r>
        <w:rPr>
          <w:color w:val="000000"/>
        </w:rPr>
        <w:t>Given the concern of the Permanent Constitution with rights and freedoms and keen to promote human rights in all areas of its activity, the Ministry of Interior created the Department of Human Rights within its organizational structure, pursuant to Decision of the Minister of State for Interior Affairs No. 26 (2005).</w:t>
      </w:r>
      <w:r w:rsidR="007F4A3A">
        <w:rPr>
          <w:color w:val="000000"/>
        </w:rPr>
        <w:t xml:space="preserve"> </w:t>
      </w:r>
      <w:r>
        <w:rPr>
          <w:color w:val="000000"/>
        </w:rPr>
        <w:t xml:space="preserve">The Department is the principle channel of communication between the </w:t>
      </w:r>
      <w:r>
        <w:t>National Human Rights Committee and Ministry of Interior, on the one hand, and between members of the public and the Ministry, on the other.</w:t>
      </w:r>
    </w:p>
    <w:p w:rsidR="0060531D" w:rsidRDefault="004B0C37" w:rsidP="003A3E1A">
      <w:pPr>
        <w:pStyle w:val="SingleTxtG"/>
      </w:pPr>
      <w:r>
        <w:t>66</w:t>
      </w:r>
      <w:r w:rsidR="00276B1C">
        <w:t>.</w:t>
      </w:r>
      <w:r w:rsidR="00276B1C">
        <w:tab/>
      </w:r>
      <w:r>
        <w:t>The Department</w:t>
      </w:r>
      <w:r w:rsidR="009D1BD8">
        <w:t>’</w:t>
      </w:r>
      <w:r>
        <w:t xml:space="preserve">s duties include working in coordination with relevant ministerial agencies to achieve the goals of international human rights conventions as these concern the </w:t>
      </w:r>
      <w:r w:rsidRPr="00207099">
        <w:t>Ministry of Interior.</w:t>
      </w:r>
      <w:r w:rsidR="007F4A3A">
        <w:t xml:space="preserve"> </w:t>
      </w:r>
      <w:r w:rsidRPr="00207099">
        <w:t xml:space="preserve">The Department receives, studies and investigates complaints received by the Ministry from individuals </w:t>
      </w:r>
      <w:r>
        <w:t>or through</w:t>
      </w:r>
      <w:r w:rsidRPr="00207099">
        <w:t xml:space="preserve"> the National Human Rights Committee</w:t>
      </w:r>
      <w:r>
        <w:t xml:space="preserve">; it </w:t>
      </w:r>
      <w:r w:rsidRPr="00207099">
        <w:t>examines background issues and makes recommendations on cases.</w:t>
      </w:r>
      <w:r w:rsidR="007F4A3A">
        <w:t xml:space="preserve"> </w:t>
      </w:r>
      <w:r w:rsidRPr="00207099">
        <w:t xml:space="preserve">It visits penal institutions, deportation centres and security facilities to ascertain compliance with the operative laws and regulations and ensure that </w:t>
      </w:r>
      <w:r>
        <w:t xml:space="preserve">human </w:t>
      </w:r>
      <w:r w:rsidRPr="00207099">
        <w:t xml:space="preserve">rights are </w:t>
      </w:r>
      <w:r>
        <w:t xml:space="preserve">not </w:t>
      </w:r>
      <w:r w:rsidRPr="00207099">
        <w:t>being infringed.</w:t>
      </w:r>
      <w:r w:rsidR="007F4A3A">
        <w:t xml:space="preserve"> </w:t>
      </w:r>
      <w:r w:rsidRPr="00207099">
        <w:t xml:space="preserve">It submits regular reports to the Minister and </w:t>
      </w:r>
      <w:r>
        <w:t>seeks to raise</w:t>
      </w:r>
      <w:r w:rsidRPr="00207099">
        <w:t xml:space="preserve"> </w:t>
      </w:r>
      <w:r>
        <w:t xml:space="preserve">the human rights </w:t>
      </w:r>
      <w:r w:rsidRPr="00207099">
        <w:t>awareness of ministerial agencies by issuing bulletins and circulars and organizing seminars and lectures.</w:t>
      </w:r>
      <w:r w:rsidR="007F4A3A">
        <w:t xml:space="preserve"> </w:t>
      </w:r>
      <w:r>
        <w:t>Furthermore, it represents</w:t>
      </w:r>
      <w:r w:rsidRPr="00E725CA">
        <w:t xml:space="preserve"> the Ministry </w:t>
      </w:r>
      <w:r>
        <w:t>at</w:t>
      </w:r>
      <w:r w:rsidRPr="00E725CA">
        <w:t xml:space="preserve"> international, regional and local conferences on </w:t>
      </w:r>
      <w:r w:rsidRPr="00E725CA">
        <w:lastRenderedPageBreak/>
        <w:t>human rights.</w:t>
      </w:r>
      <w:r w:rsidR="007F4A3A">
        <w:t xml:space="preserve"> </w:t>
      </w:r>
      <w:r w:rsidRPr="00E725CA">
        <w:t xml:space="preserve">In August 2010, the Human Rights Department received an ISO certificate of excellence (2008–2009), having </w:t>
      </w:r>
      <w:r>
        <w:t>met</w:t>
      </w:r>
      <w:r w:rsidRPr="00E725CA">
        <w:t xml:space="preserve"> all the req</w:t>
      </w:r>
      <w:r>
        <w:t>uirements for ISO certification.</w:t>
      </w:r>
    </w:p>
    <w:p w:rsidR="0060531D" w:rsidRDefault="0051045D" w:rsidP="000B3AF9">
      <w:pPr>
        <w:pStyle w:val="H4G"/>
      </w:pPr>
      <w:r>
        <w:tab/>
      </w:r>
      <w:r>
        <w:tab/>
      </w:r>
      <w:r w:rsidR="004B0C37">
        <w:t>Department of Human Rights (</w:t>
      </w:r>
      <w:r w:rsidR="004B0C37" w:rsidRPr="00587130">
        <w:t xml:space="preserve">Ministry of </w:t>
      </w:r>
      <w:r w:rsidR="004B0C37">
        <w:t>Foreign Affairs)</w:t>
      </w:r>
    </w:p>
    <w:p w:rsidR="0060531D" w:rsidRDefault="004B0C37" w:rsidP="003A3E1A">
      <w:pPr>
        <w:pStyle w:val="SingleTxtG"/>
      </w:pPr>
      <w:r>
        <w:t>67</w:t>
      </w:r>
      <w:r w:rsidR="00276B1C">
        <w:t>.</w:t>
      </w:r>
      <w:r w:rsidR="00276B1C">
        <w:tab/>
      </w:r>
      <w:r w:rsidRPr="00207099">
        <w:t xml:space="preserve">The Human Rights </w:t>
      </w:r>
      <w:r>
        <w:t>Department</w:t>
      </w:r>
      <w:r w:rsidRPr="00207099">
        <w:t xml:space="preserve"> of the Ministry of Foreign Affairs was established </w:t>
      </w:r>
      <w:r>
        <w:t>by</w:t>
      </w:r>
      <w:r w:rsidRPr="00207099">
        <w:t xml:space="preserve"> </w:t>
      </w:r>
      <w:r>
        <w:t xml:space="preserve">Decision of the </w:t>
      </w:r>
      <w:r w:rsidRPr="00207099">
        <w:t xml:space="preserve">Minister for Foreign Affairs </w:t>
      </w:r>
      <w:r>
        <w:t>No. 16 (2003)</w:t>
      </w:r>
      <w:r w:rsidRPr="00207099">
        <w:t>.</w:t>
      </w:r>
      <w:r w:rsidR="007F4A3A">
        <w:t xml:space="preserve"> </w:t>
      </w:r>
      <w:r w:rsidRPr="00207099">
        <w:t xml:space="preserve">It comments and offers advice on human rights </w:t>
      </w:r>
      <w:r>
        <w:t>matters and issues</w:t>
      </w:r>
      <w:r w:rsidRPr="00207099">
        <w:t xml:space="preserve"> </w:t>
      </w:r>
      <w:r>
        <w:t>referred to it and expresses a view on draft international conventions to which the State wishes to become a party.</w:t>
      </w:r>
      <w:r w:rsidR="007F4A3A">
        <w:t xml:space="preserve"> </w:t>
      </w:r>
      <w:r>
        <w:t>W</w:t>
      </w:r>
      <w:r w:rsidRPr="00207099">
        <w:t>orking in conjunction with the Ministry</w:t>
      </w:r>
      <w:r w:rsidR="009D1BD8">
        <w:t>’</w:t>
      </w:r>
      <w:r w:rsidRPr="00207099">
        <w:t>s Department of Legal Affairs</w:t>
      </w:r>
      <w:r>
        <w:t xml:space="preserve"> and other State bodies,</w:t>
      </w:r>
      <w:r w:rsidRPr="00207099">
        <w:t xml:space="preserve"> </w:t>
      </w:r>
      <w:r>
        <w:t xml:space="preserve">the Department helps to prepare the </w:t>
      </w:r>
      <w:r w:rsidRPr="00207099">
        <w:t xml:space="preserve">human rights reports </w:t>
      </w:r>
      <w:r>
        <w:t>required</w:t>
      </w:r>
      <w:r w:rsidRPr="00207099">
        <w:t xml:space="preserve"> under international </w:t>
      </w:r>
      <w:r>
        <w:t>conventions</w:t>
      </w:r>
      <w:r w:rsidRPr="00207099">
        <w:t xml:space="preserve"> </w:t>
      </w:r>
      <w:r>
        <w:t xml:space="preserve">for submission </w:t>
      </w:r>
      <w:r w:rsidRPr="00207099">
        <w:t xml:space="preserve">to </w:t>
      </w:r>
      <w:r>
        <w:t>international monitoring bodies.</w:t>
      </w:r>
      <w:r w:rsidR="007F4A3A">
        <w:t xml:space="preserve"> </w:t>
      </w:r>
      <w:r>
        <w:t xml:space="preserve">In coordination with the appropriate bodies, it </w:t>
      </w:r>
      <w:r w:rsidRPr="00207099">
        <w:t xml:space="preserve">prepares replies to reports by international organizations and </w:t>
      </w:r>
      <w:r>
        <w:t>non-governmental organizations</w:t>
      </w:r>
      <w:r w:rsidRPr="00207099">
        <w:t xml:space="preserve"> on the human rights sit</w:t>
      </w:r>
      <w:r>
        <w:t>uation in Qatar for submission</w:t>
      </w:r>
      <w:r w:rsidRPr="00207099">
        <w:t xml:space="preserve"> to those organizations.</w:t>
      </w:r>
      <w:r w:rsidR="007F4A3A">
        <w:t xml:space="preserve"> </w:t>
      </w:r>
      <w:r w:rsidRPr="00207099">
        <w:t>It drafts</w:t>
      </w:r>
      <w:r>
        <w:t xml:space="preserve"> replies </w:t>
      </w:r>
      <w:r w:rsidRPr="00207099">
        <w:t xml:space="preserve">to reports by foreign Governments on human rights </w:t>
      </w:r>
      <w:r>
        <w:t>cases</w:t>
      </w:r>
      <w:r w:rsidRPr="00207099">
        <w:t xml:space="preserve"> </w:t>
      </w:r>
      <w:r>
        <w:t>in Qatar.</w:t>
      </w:r>
      <w:r w:rsidR="007F4A3A">
        <w:t xml:space="preserve"> </w:t>
      </w:r>
      <w:r w:rsidRPr="00207099">
        <w:t xml:space="preserve">It </w:t>
      </w:r>
      <w:r>
        <w:t>briefs</w:t>
      </w:r>
      <w:r w:rsidRPr="00207099">
        <w:t xml:space="preserve"> the Governments</w:t>
      </w:r>
      <w:r>
        <w:t xml:space="preserve"> concerned and informs</w:t>
      </w:r>
      <w:r w:rsidRPr="00207099">
        <w:t xml:space="preserve"> </w:t>
      </w:r>
      <w:r>
        <w:t xml:space="preserve">overseas </w:t>
      </w:r>
      <w:r w:rsidRPr="00207099">
        <w:t xml:space="preserve">diplomatic and consular missions on </w:t>
      </w:r>
      <w:r>
        <w:t>recent</w:t>
      </w:r>
      <w:r w:rsidRPr="00207099">
        <w:t xml:space="preserve"> developments </w:t>
      </w:r>
      <w:r>
        <w:t>in the human rights situation</w:t>
      </w:r>
      <w:r w:rsidRPr="00207099">
        <w:t>.</w:t>
      </w:r>
      <w:r w:rsidR="007F4A3A">
        <w:t xml:space="preserve"> </w:t>
      </w:r>
      <w:r>
        <w:t>The Department monitors</w:t>
      </w:r>
      <w:r w:rsidRPr="00207099">
        <w:t xml:space="preserve"> local and intern</w:t>
      </w:r>
      <w:r>
        <w:t>ational human rights issues.</w:t>
      </w:r>
      <w:r w:rsidR="007F4A3A">
        <w:t xml:space="preserve"> </w:t>
      </w:r>
      <w:r>
        <w:t xml:space="preserve">It attends </w:t>
      </w:r>
      <w:r w:rsidRPr="00207099">
        <w:t xml:space="preserve">human rights conferences and </w:t>
      </w:r>
      <w:r>
        <w:t xml:space="preserve">participates in </w:t>
      </w:r>
      <w:r w:rsidRPr="00207099">
        <w:t xml:space="preserve">activities </w:t>
      </w:r>
      <w:r>
        <w:t>organized</w:t>
      </w:r>
      <w:r w:rsidRPr="00207099">
        <w:t xml:space="preserve"> by regional and international </w:t>
      </w:r>
      <w:r>
        <w:t>human rights organizations, seeking to involve ministerial and other bodies</w:t>
      </w:r>
      <w:r w:rsidRPr="00207099">
        <w:t xml:space="preserve"> in these activities.</w:t>
      </w:r>
      <w:r w:rsidR="007F4A3A">
        <w:t xml:space="preserve"> </w:t>
      </w:r>
      <w:r w:rsidRPr="00207099">
        <w:t xml:space="preserve">It </w:t>
      </w:r>
      <w:r>
        <w:t>refers</w:t>
      </w:r>
      <w:r w:rsidRPr="00207099">
        <w:t xml:space="preserve"> complaints about human rights violations </w:t>
      </w:r>
      <w:r>
        <w:t>received</w:t>
      </w:r>
      <w:r w:rsidRPr="00207099">
        <w:t xml:space="preserve"> from abroad to the au</w:t>
      </w:r>
      <w:r>
        <w:t>thorities and follows up on these</w:t>
      </w:r>
      <w:r w:rsidRPr="00207099">
        <w:t>.</w:t>
      </w:r>
      <w:r w:rsidR="007F4A3A">
        <w:t xml:space="preserve"> </w:t>
      </w:r>
      <w:r w:rsidRPr="00207099">
        <w:t>It also formulates p</w:t>
      </w:r>
      <w:r>
        <w:t>lans and proposals on ways of utiliz</w:t>
      </w:r>
      <w:r w:rsidRPr="00207099">
        <w:t>ing the advisory and technical assistance services offered by international human rights organizations.</w:t>
      </w:r>
      <w:r w:rsidR="007F4A3A">
        <w:t xml:space="preserve"> </w:t>
      </w:r>
      <w:r w:rsidRPr="00207099">
        <w:t xml:space="preserve">It represents the Ministry in the human rights bodies </w:t>
      </w:r>
      <w:r>
        <w:t>set up</w:t>
      </w:r>
      <w:r w:rsidRPr="00207099">
        <w:t xml:space="preserve"> by the State.</w:t>
      </w:r>
    </w:p>
    <w:p w:rsidR="0060531D" w:rsidRDefault="004B0C37" w:rsidP="003A3E1A">
      <w:pPr>
        <w:pStyle w:val="SingleTxtG"/>
      </w:pPr>
      <w:r>
        <w:t>68</w:t>
      </w:r>
      <w:r w:rsidR="00276B1C">
        <w:t>.</w:t>
      </w:r>
      <w:r w:rsidR="00276B1C">
        <w:tab/>
      </w:r>
      <w:r>
        <w:t>By Decision of the Deputy Prime Minister and Minister of Foreign Affairs No. 44 (2017), three departmental subsections were established in 2018, as follows:</w:t>
      </w:r>
    </w:p>
    <w:p w:rsidR="004B0C37" w:rsidRDefault="00A703EC" w:rsidP="00A703EC">
      <w:pPr>
        <w:pStyle w:val="Bullet1G"/>
        <w:numPr>
          <w:ilvl w:val="0"/>
          <w:numId w:val="0"/>
        </w:numPr>
        <w:tabs>
          <w:tab w:val="left" w:pos="1701"/>
        </w:tabs>
        <w:ind w:left="1701" w:hanging="170"/>
      </w:pPr>
      <w:r>
        <w:t>•</w:t>
      </w:r>
      <w:r>
        <w:tab/>
      </w:r>
      <w:r w:rsidR="004B0C37">
        <w:t>Regional human rights affairs section, principally concerned with monitoring human rights cases within the framework of the Gulf Cooperation Council, League of Arab States and Organization of Islamic Cooperation, and scrutinizing regional human rights conventions;</w:t>
      </w:r>
    </w:p>
    <w:p w:rsidR="004B0C37" w:rsidRPr="007A24AA" w:rsidRDefault="00A703EC" w:rsidP="00A703EC">
      <w:pPr>
        <w:pStyle w:val="Bullet1G"/>
        <w:numPr>
          <w:ilvl w:val="0"/>
          <w:numId w:val="0"/>
        </w:numPr>
        <w:tabs>
          <w:tab w:val="left" w:pos="1701"/>
        </w:tabs>
        <w:ind w:left="1701" w:hanging="170"/>
      </w:pPr>
      <w:r w:rsidRPr="007A24AA">
        <w:t>•</w:t>
      </w:r>
      <w:r w:rsidRPr="007A24AA">
        <w:tab/>
      </w:r>
      <w:r w:rsidR="004B0C37" w:rsidRPr="00F259C5">
        <w:t>International human rights affairs section, principally concerned with monitoring cases relating to the various mechanisms of the United Nations Human Rights Council, United Nations General Assembly Social, Humanitarian and Cultural Affairs Committee, Office of the United Nations High Commissioner for Human Rights and United Nations specialized agencies</w:t>
      </w:r>
      <w:r w:rsidR="004B0C37">
        <w:t>.</w:t>
      </w:r>
      <w:r w:rsidR="007F4A3A">
        <w:t xml:space="preserve"> </w:t>
      </w:r>
      <w:r w:rsidR="004B0C37">
        <w:t xml:space="preserve">The section also scrutinizes draft international human rights conventions and </w:t>
      </w:r>
      <w:r w:rsidR="004B0C37" w:rsidRPr="00207099">
        <w:t xml:space="preserve">formulates plans and proposals on ways of </w:t>
      </w:r>
      <w:r w:rsidR="004B0C37">
        <w:t>utilizing</w:t>
      </w:r>
      <w:r w:rsidR="004B0C37" w:rsidRPr="00207099">
        <w:t xml:space="preserve"> the advisory and technical assistance services offered by international human rights organizations</w:t>
      </w:r>
      <w:r w:rsidR="004B0C37">
        <w:t>;</w:t>
      </w:r>
    </w:p>
    <w:p w:rsidR="0060531D" w:rsidRDefault="00A703EC" w:rsidP="00A703EC">
      <w:pPr>
        <w:pStyle w:val="Bullet1G"/>
        <w:numPr>
          <w:ilvl w:val="0"/>
          <w:numId w:val="0"/>
        </w:numPr>
        <w:tabs>
          <w:tab w:val="left" w:pos="1701"/>
        </w:tabs>
        <w:ind w:left="1701" w:hanging="170"/>
      </w:pPr>
      <w:r>
        <w:t>•</w:t>
      </w:r>
      <w:r>
        <w:tab/>
      </w:r>
      <w:r w:rsidR="004B0C37">
        <w:t xml:space="preserve">Human rights treaty committees section, </w:t>
      </w:r>
      <w:r w:rsidR="004B0C37" w:rsidRPr="00F259C5">
        <w:t>principally concerned with monitoring</w:t>
      </w:r>
      <w:r w:rsidR="004B0C37">
        <w:t xml:space="preserve"> and reporting on cases relating to the Universal Periodic Review (UPR) and United Nations monitoring committees on the international human rights conventions to which Qatar is a party, in coordination with the relevant administrative units in the Ministry and other State authorities.</w:t>
      </w:r>
      <w:r w:rsidR="007F4A3A">
        <w:t xml:space="preserve"> </w:t>
      </w:r>
      <w:r w:rsidR="004B0C37">
        <w:t>It submits these reports to the appropriate international monitoring bodies.</w:t>
      </w:r>
      <w:r w:rsidR="007F4A3A">
        <w:t xml:space="preserve"> </w:t>
      </w:r>
      <w:r w:rsidR="004B0C37">
        <w:t>The Section prepares for the discussion of reports submitted under the UPR and those submitted to international and regional monitoring bodies.</w:t>
      </w:r>
      <w:r w:rsidR="007F4A3A">
        <w:t xml:space="preserve"> </w:t>
      </w:r>
      <w:r w:rsidR="004B0C37">
        <w:t>It considers whether to accept or reject the recommendations of the UPR Working Group.</w:t>
      </w:r>
      <w:r w:rsidR="007F4A3A">
        <w:t xml:space="preserve"> </w:t>
      </w:r>
      <w:r w:rsidR="004B0C37">
        <w:t>In collaboration with the relevant State bodies, the Section puts forward plans for implementing the recommendations of the UPR Working Group and monitoring committees.</w:t>
      </w:r>
    </w:p>
    <w:p w:rsidR="0060531D" w:rsidRDefault="00335149" w:rsidP="000B3AF9">
      <w:pPr>
        <w:pStyle w:val="H4G"/>
      </w:pPr>
      <w:r>
        <w:tab/>
      </w:r>
      <w:r>
        <w:tab/>
      </w:r>
      <w:r w:rsidR="004B0C37" w:rsidRPr="005B5DF5">
        <w:t>National Committee to Combat Human Trafficking</w:t>
      </w:r>
    </w:p>
    <w:p w:rsidR="0060531D" w:rsidRDefault="004B0C37" w:rsidP="003A3E1A">
      <w:pPr>
        <w:pStyle w:val="SingleTxtG"/>
      </w:pPr>
      <w:r>
        <w:t>69</w:t>
      </w:r>
      <w:r w:rsidR="00276B1C">
        <w:t>.</w:t>
      </w:r>
      <w:r w:rsidR="00276B1C">
        <w:tab/>
      </w:r>
      <w:r>
        <w:t>The National Committee to Combat Human Trafficking was established in 2017 to coordinate national efforts to control, prevent and combat human trafficking.</w:t>
      </w:r>
      <w:r w:rsidR="007F4A3A">
        <w:t xml:space="preserve"> </w:t>
      </w:r>
      <w:r>
        <w:t xml:space="preserve">As the national coordinating body responsible for monitoring, preventing and combating human trafficking, the Committee is chaired by the Ministry of Administrative Development, Labour and Social Affairs; members include representatives of the Ministry of Foreign Affairs (deputy chairperson), Ministry of Interior, Ministry of Justice, Ministry of Public </w:t>
      </w:r>
      <w:r>
        <w:lastRenderedPageBreak/>
        <w:t xml:space="preserve">Health, Office of the Public Prosecutor, Government Communications Office, National Human Rights Committee, Qatar Social Work Foundation and the </w:t>
      </w:r>
      <w:r w:rsidRPr="00791F4B">
        <w:rPr>
          <w:color w:val="000000"/>
        </w:rPr>
        <w:t>Protection and Social Rehabilitation Centre</w:t>
      </w:r>
      <w:r>
        <w:rPr>
          <w:color w:val="000000"/>
        </w:rPr>
        <w:t>.</w:t>
      </w:r>
      <w:r w:rsidR="007F4A3A">
        <w:t xml:space="preserve"> </w:t>
      </w:r>
      <w:r>
        <w:t>The Committee seeks to coordinate the national effort to control, prevent and combat human trafficking.</w:t>
      </w:r>
      <w:r w:rsidR="007F4A3A">
        <w:t xml:space="preserve"> </w:t>
      </w:r>
      <w:r>
        <w:t xml:space="preserve">Its duties include, </w:t>
      </w:r>
      <w:r w:rsidRPr="006618BE">
        <w:rPr>
          <w:i/>
        </w:rPr>
        <w:t>inter alia</w:t>
      </w:r>
      <w:r>
        <w:t>, the preparation of national plans to combat human trafficking and the preparation and publication of an annual report on the country</w:t>
      </w:r>
      <w:r w:rsidR="009D1BD8">
        <w:t>’</w:t>
      </w:r>
      <w:r>
        <w:t>s efforts in this area.</w:t>
      </w:r>
      <w:r w:rsidR="007F4A3A">
        <w:t xml:space="preserve"> </w:t>
      </w:r>
      <w:r>
        <w:t>It also works in coordination with the authorities and stakeholders to ensure victim protection and support.</w:t>
      </w:r>
      <w:r w:rsidR="007F4A3A">
        <w:t xml:space="preserve"> </w:t>
      </w:r>
      <w:r>
        <w:t>The Committee has prepared a draft National Plan to Combat Trafficking in Persons (2017-2022) and, in cooperation with the United Nations Office on Drugs and Crime and League of Arab States, launched an Arab initiative to combat human trafficking (2011-2014).</w:t>
      </w:r>
      <w:r w:rsidR="007F4A3A">
        <w:t xml:space="preserve"> </w:t>
      </w:r>
      <w:r>
        <w:t>To this end, the State provided the sum of six million US dollars to build national capacities in combating human trafficking in the Arab region by organizing training courses for judges, inspectors and police officers working to combat human trafficking.</w:t>
      </w:r>
      <w:r w:rsidR="007F4A3A">
        <w:t xml:space="preserve"> </w:t>
      </w:r>
      <w:r>
        <w:t>The last of these courses was held in 2017.</w:t>
      </w:r>
    </w:p>
    <w:p w:rsidR="0060531D" w:rsidRDefault="00BA06C6" w:rsidP="00BA06C6">
      <w:pPr>
        <w:pStyle w:val="H23G"/>
      </w:pPr>
      <w:r>
        <w:tab/>
      </w:r>
      <w:r>
        <w:tab/>
      </w:r>
      <w:r w:rsidR="004B0C37" w:rsidRPr="00BE4B1A">
        <w:t>National Committee for International Humanitarian Law</w:t>
      </w:r>
    </w:p>
    <w:p w:rsidR="0060531D" w:rsidRDefault="004B0C37" w:rsidP="003A3E1A">
      <w:pPr>
        <w:pStyle w:val="SingleTxtG"/>
      </w:pPr>
      <w:r>
        <w:t>70</w:t>
      </w:r>
      <w:r w:rsidR="00276B1C">
        <w:t>.</w:t>
      </w:r>
      <w:r w:rsidR="00276B1C">
        <w:tab/>
      </w:r>
      <w:r>
        <w:t xml:space="preserve">The </w:t>
      </w:r>
      <w:r w:rsidRPr="00BE4B1A">
        <w:t xml:space="preserve">National Committee for International Humanitarian Law, established pursuant to </w:t>
      </w:r>
      <w:r>
        <w:t>Ministerial Decision No. 27 (2012)</w:t>
      </w:r>
      <w:r w:rsidRPr="00BE4B1A">
        <w:t xml:space="preserve">, </w:t>
      </w:r>
      <w:r>
        <w:t>makes</w:t>
      </w:r>
      <w:r w:rsidRPr="00BE4B1A">
        <w:t xml:space="preserve"> recommendations to the Government on implementing and </w:t>
      </w:r>
      <w:r>
        <w:t>spreading awareness of international humanitarian law.</w:t>
      </w:r>
    </w:p>
    <w:p w:rsidR="0060531D" w:rsidRDefault="00BA06C6" w:rsidP="00BA06C6">
      <w:pPr>
        <w:pStyle w:val="H23G"/>
      </w:pPr>
      <w:r>
        <w:tab/>
      </w:r>
      <w:r>
        <w:tab/>
      </w:r>
      <w:r w:rsidR="004B0C37" w:rsidRPr="00BE4B1A">
        <w:t>Standing Committee on Emergencies</w:t>
      </w:r>
    </w:p>
    <w:p w:rsidR="0060531D" w:rsidRDefault="004B0C37" w:rsidP="003A3E1A">
      <w:pPr>
        <w:pStyle w:val="SingleTxtG"/>
      </w:pPr>
      <w:r>
        <w:t>71</w:t>
      </w:r>
      <w:r w:rsidR="00276B1C">
        <w:t>.</w:t>
      </w:r>
      <w:r w:rsidR="00276B1C">
        <w:tab/>
      </w:r>
      <w:r>
        <w:t xml:space="preserve">The </w:t>
      </w:r>
      <w:r w:rsidRPr="00BE4B1A">
        <w:t xml:space="preserve">Standing Committee on Emergencies, established pursuant to </w:t>
      </w:r>
      <w:r>
        <w:t>Council of Ministers Decision No. 14 (</w:t>
      </w:r>
      <w:r w:rsidRPr="00BE4B1A">
        <w:t>2011</w:t>
      </w:r>
      <w:r>
        <w:t>)</w:t>
      </w:r>
      <w:r w:rsidRPr="00BE4B1A">
        <w:t xml:space="preserve">, prepares studies and develops plans and procedures to tackle disasters, </w:t>
      </w:r>
      <w:r>
        <w:t xml:space="preserve">provide prompt disaster relief and </w:t>
      </w:r>
      <w:r w:rsidRPr="00BE4B1A">
        <w:t>ensure safe tra</w:t>
      </w:r>
      <w:r>
        <w:t>nsportation and communications; it also formulates</w:t>
      </w:r>
      <w:r w:rsidRPr="00BE4B1A">
        <w:t xml:space="preserve"> and disseminate o</w:t>
      </w:r>
      <w:r>
        <w:t>utreach plans through the media.</w:t>
      </w:r>
    </w:p>
    <w:p w:rsidR="0060531D" w:rsidRDefault="0041659B" w:rsidP="00522623">
      <w:pPr>
        <w:pStyle w:val="H23G"/>
      </w:pPr>
      <w:r>
        <w:tab/>
      </w:r>
      <w:r>
        <w:tab/>
      </w:r>
      <w:r w:rsidR="004B0C37" w:rsidRPr="00BE4B1A">
        <w:t xml:space="preserve">National Committee on Climate Change and Clean Development </w:t>
      </w:r>
    </w:p>
    <w:p w:rsidR="0060531D" w:rsidRDefault="004B0C37" w:rsidP="003A3E1A">
      <w:pPr>
        <w:pStyle w:val="SingleTxtG"/>
      </w:pPr>
      <w:r>
        <w:t>72</w:t>
      </w:r>
      <w:r w:rsidR="00276B1C">
        <w:t>.</w:t>
      </w:r>
      <w:r w:rsidR="00276B1C">
        <w:tab/>
      </w:r>
      <w:r>
        <w:t xml:space="preserve">The </w:t>
      </w:r>
      <w:r w:rsidRPr="00BE4B1A">
        <w:t>National Committee on Clima</w:t>
      </w:r>
      <w:r>
        <w:t xml:space="preserve">te Change and Clean Development, </w:t>
      </w:r>
      <w:r w:rsidRPr="00BE4B1A">
        <w:t xml:space="preserve">established pursuant to </w:t>
      </w:r>
      <w:r>
        <w:t>Council of Ministers Decision No.15 (</w:t>
      </w:r>
      <w:r w:rsidRPr="00BE4B1A">
        <w:t>2011</w:t>
      </w:r>
      <w:r>
        <w:t xml:space="preserve">), </w:t>
      </w:r>
      <w:r w:rsidRPr="00BE4B1A">
        <w:t xml:space="preserve">seeks to follow up recommendations </w:t>
      </w:r>
      <w:r>
        <w:t>adopted</w:t>
      </w:r>
      <w:r w:rsidRPr="00BE4B1A">
        <w:t xml:space="preserve"> by meetings of the Conference of the Parties to the United Nations Framework Convention on Climate Change and its Kyoto Protocol and to ensure implementation of commitments </w:t>
      </w:r>
      <w:r>
        <w:t>made</w:t>
      </w:r>
      <w:r w:rsidRPr="00BE4B1A">
        <w:t xml:space="preserve"> under </w:t>
      </w:r>
      <w:r>
        <w:t>the Convention and its Protocol.</w:t>
      </w:r>
    </w:p>
    <w:p w:rsidR="0060531D" w:rsidRDefault="0041659B" w:rsidP="00522623">
      <w:pPr>
        <w:pStyle w:val="H23G"/>
      </w:pPr>
      <w:r>
        <w:tab/>
      </w:r>
      <w:r>
        <w:tab/>
      </w:r>
      <w:r w:rsidR="004B0C37" w:rsidRPr="00BE4B1A">
        <w:t>National Committee for Occupational Health and Safety</w:t>
      </w:r>
    </w:p>
    <w:p w:rsidR="0060531D" w:rsidRDefault="004B0C37" w:rsidP="003A3E1A">
      <w:pPr>
        <w:pStyle w:val="SingleTxtG"/>
      </w:pPr>
      <w:r>
        <w:t>73</w:t>
      </w:r>
      <w:r w:rsidR="00276B1C">
        <w:t>.</w:t>
      </w:r>
      <w:r w:rsidR="00276B1C">
        <w:tab/>
      </w:r>
      <w:r>
        <w:t xml:space="preserve">The </w:t>
      </w:r>
      <w:r w:rsidRPr="00BE4B1A">
        <w:t>National Committee for</w:t>
      </w:r>
      <w:r>
        <w:t xml:space="preserve"> Occupational Health and Safety, </w:t>
      </w:r>
      <w:r w:rsidRPr="00BE4B1A">
        <w:t xml:space="preserve">established pursuant to </w:t>
      </w:r>
      <w:r>
        <w:t>Council of Ministers Decision No.16 (</w:t>
      </w:r>
      <w:r w:rsidRPr="00BE4B1A">
        <w:t>2011</w:t>
      </w:r>
      <w:r>
        <w:t xml:space="preserve">), </w:t>
      </w:r>
      <w:r w:rsidRPr="00BE4B1A">
        <w:t>proposes national policies, programmes and regulations on</w:t>
      </w:r>
      <w:r>
        <w:t xml:space="preserve"> occupational health and safety.</w:t>
      </w:r>
    </w:p>
    <w:p w:rsidR="0060531D" w:rsidRDefault="0041659B" w:rsidP="00522623">
      <w:pPr>
        <w:pStyle w:val="H23G"/>
      </w:pPr>
      <w:r>
        <w:tab/>
      </w:r>
      <w:r>
        <w:tab/>
      </w:r>
      <w:r w:rsidR="004B0C37" w:rsidRPr="00BE4B1A">
        <w:t xml:space="preserve">Administrative Control and Transparency Authority </w:t>
      </w:r>
    </w:p>
    <w:p w:rsidR="0060531D" w:rsidRDefault="004B0C37" w:rsidP="003A3E1A">
      <w:pPr>
        <w:pStyle w:val="SingleTxtG"/>
      </w:pPr>
      <w:r>
        <w:t>74</w:t>
      </w:r>
      <w:r w:rsidR="00276B1C">
        <w:t>.</w:t>
      </w:r>
      <w:r w:rsidR="00276B1C">
        <w:tab/>
      </w:r>
      <w:r>
        <w:t xml:space="preserve">The </w:t>
      </w:r>
      <w:r w:rsidRPr="00BE4B1A">
        <w:t xml:space="preserve">Administrative Control and Transparency Authority was established pursuant to </w:t>
      </w:r>
      <w:proofErr w:type="spellStart"/>
      <w:r>
        <w:t>Emiri</w:t>
      </w:r>
      <w:proofErr w:type="spellEnd"/>
      <w:r>
        <w:t xml:space="preserve"> Decree No. 75 (2011) to provide</w:t>
      </w:r>
      <w:r w:rsidRPr="00BE4B1A">
        <w:t xml:space="preserve"> oversight, ensure transparency and </w:t>
      </w:r>
      <w:r>
        <w:t>impartiality</w:t>
      </w:r>
      <w:r w:rsidRPr="00BE4B1A">
        <w:t xml:space="preserve"> and combat corruption in all its forms and manifestations.</w:t>
      </w:r>
    </w:p>
    <w:p w:rsidR="0060531D" w:rsidRDefault="0041659B" w:rsidP="00522623">
      <w:pPr>
        <w:pStyle w:val="H23G"/>
      </w:pPr>
      <w:r>
        <w:tab/>
      </w:r>
      <w:r>
        <w:tab/>
      </w:r>
      <w:r w:rsidR="004B0C37" w:rsidRPr="002E66A4">
        <w:t>Non-governmental mechanisms</w:t>
      </w:r>
    </w:p>
    <w:p w:rsidR="0060531D" w:rsidRDefault="0041659B" w:rsidP="00522623">
      <w:pPr>
        <w:pStyle w:val="H4G"/>
      </w:pPr>
      <w:r>
        <w:tab/>
      </w:r>
      <w:r>
        <w:tab/>
      </w:r>
      <w:r w:rsidR="004B0C37" w:rsidRPr="00B87E56">
        <w:t>Arab Democracy Foundation</w:t>
      </w:r>
    </w:p>
    <w:p w:rsidR="0060531D" w:rsidRDefault="004B0C37" w:rsidP="003A3E1A">
      <w:pPr>
        <w:pStyle w:val="SingleTxtG"/>
      </w:pPr>
      <w:r>
        <w:t>75</w:t>
      </w:r>
      <w:r w:rsidR="00276B1C">
        <w:t>.</w:t>
      </w:r>
      <w:r w:rsidR="00276B1C">
        <w:tab/>
      </w:r>
      <w:r w:rsidRPr="00B87E56">
        <w:t>In May 2007, Qatar hosted the Second Forum on Democracy and Political Reform in the Arab World, which led to the establishment of the Doha-based Arab Democracy Foundation</w:t>
      </w:r>
      <w:r>
        <w:t xml:space="preserve"> pursuant to </w:t>
      </w:r>
      <w:proofErr w:type="spellStart"/>
      <w:r>
        <w:t>Emiri</w:t>
      </w:r>
      <w:proofErr w:type="spellEnd"/>
      <w:r>
        <w:t xml:space="preserve"> Decision No. 51 (2007)</w:t>
      </w:r>
      <w:r w:rsidRPr="00B87E56">
        <w:t>.</w:t>
      </w:r>
      <w:r w:rsidR="007F4A3A">
        <w:t xml:space="preserve"> </w:t>
      </w:r>
      <w:r w:rsidRPr="00B87E56">
        <w:t xml:space="preserve">The Foundation is the first of its kind in the Arab world and its goal is to promote a culture </w:t>
      </w:r>
      <w:r>
        <w:t xml:space="preserve">of democracy </w:t>
      </w:r>
      <w:r w:rsidRPr="00B87E56">
        <w:t>in the region.</w:t>
      </w:r>
      <w:r w:rsidR="007F4A3A">
        <w:t xml:space="preserve"> </w:t>
      </w:r>
      <w:r w:rsidRPr="00B87E56">
        <w:t xml:space="preserve">Qatar has donated 10 million </w:t>
      </w:r>
      <w:r>
        <w:t xml:space="preserve">US dollars </w:t>
      </w:r>
      <w:r w:rsidRPr="00B87E56">
        <w:t xml:space="preserve">to support the work of the Foundation, which </w:t>
      </w:r>
      <w:r>
        <w:t>published</w:t>
      </w:r>
      <w:r w:rsidRPr="00B87E56">
        <w:t xml:space="preserve"> its first report on democ</w:t>
      </w:r>
      <w:r>
        <w:t xml:space="preserve">racy in the Arab world in 2008, </w:t>
      </w:r>
      <w:r w:rsidRPr="00B87E56">
        <w:t xml:space="preserve">based </w:t>
      </w:r>
      <w:r>
        <w:t>up</w:t>
      </w:r>
      <w:r w:rsidRPr="00B87E56">
        <w:t>on 17 national reports.</w:t>
      </w:r>
      <w:r w:rsidR="007F4A3A">
        <w:t xml:space="preserve"> </w:t>
      </w:r>
      <w:r>
        <w:t xml:space="preserve">For more information, see </w:t>
      </w:r>
      <w:hyperlink r:id="rId12" w:history="1">
        <w:r w:rsidRPr="00047823">
          <w:t>www.adf.org.qa</w:t>
        </w:r>
      </w:hyperlink>
      <w:r w:rsidR="000B3AF9">
        <w:t>.</w:t>
      </w:r>
    </w:p>
    <w:p w:rsidR="0060531D" w:rsidRDefault="0041659B" w:rsidP="00522623">
      <w:pPr>
        <w:pStyle w:val="H4G"/>
      </w:pPr>
      <w:r>
        <w:lastRenderedPageBreak/>
        <w:tab/>
      </w:r>
      <w:r>
        <w:tab/>
      </w:r>
      <w:r w:rsidR="004B0C37" w:rsidRPr="00B87E56">
        <w:t>Doha Centre for Media Freedom</w:t>
      </w:r>
    </w:p>
    <w:p w:rsidR="0060531D" w:rsidRDefault="004B0C37" w:rsidP="003A3E1A">
      <w:pPr>
        <w:pStyle w:val="SingleTxtG"/>
      </w:pPr>
      <w:r>
        <w:t>76</w:t>
      </w:r>
      <w:r w:rsidR="00276B1C">
        <w:t>.</w:t>
      </w:r>
      <w:r w:rsidR="00276B1C">
        <w:tab/>
      </w:r>
      <w:r>
        <w:t>F</w:t>
      </w:r>
      <w:r w:rsidRPr="00B87E56">
        <w:t xml:space="preserve">reedom of opinion and expression, </w:t>
      </w:r>
      <w:r>
        <w:t>guaranteed</w:t>
      </w:r>
      <w:r w:rsidRPr="00B87E56">
        <w:t xml:space="preserve"> </w:t>
      </w:r>
      <w:r>
        <w:t>by the Constitution, is a fundamental pillar of a modern democratic society.</w:t>
      </w:r>
      <w:r w:rsidR="007F4A3A">
        <w:t xml:space="preserve"> </w:t>
      </w:r>
      <w:r>
        <w:t xml:space="preserve">As such, the </w:t>
      </w:r>
      <w:r w:rsidRPr="00B87E56">
        <w:t xml:space="preserve">media </w:t>
      </w:r>
      <w:r>
        <w:t>are a basic component of the State</w:t>
      </w:r>
      <w:r w:rsidRPr="00B87E56">
        <w:t>.</w:t>
      </w:r>
      <w:r w:rsidR="007F4A3A">
        <w:t xml:space="preserve"> </w:t>
      </w:r>
      <w:r>
        <w:t>Furthermore</w:t>
      </w:r>
      <w:r w:rsidRPr="00B87E56">
        <w:t xml:space="preserve">, the media play </w:t>
      </w:r>
      <w:r>
        <w:t xml:space="preserve">a significant </w:t>
      </w:r>
      <w:r w:rsidRPr="00B87E56">
        <w:t xml:space="preserve">role in promoting dialogue, fostering mutual understanding, encouraging tolerance and coexistence and creating an environment </w:t>
      </w:r>
      <w:r>
        <w:t>hostile to</w:t>
      </w:r>
      <w:r w:rsidRPr="00B87E56">
        <w:t xml:space="preserve"> terrorism and </w:t>
      </w:r>
      <w:r>
        <w:t xml:space="preserve">the </w:t>
      </w:r>
      <w:r w:rsidRPr="00B87E56">
        <w:t>incitement of hatred.</w:t>
      </w:r>
      <w:r w:rsidR="007F4A3A">
        <w:t xml:space="preserve"> </w:t>
      </w:r>
      <w:r w:rsidRPr="00B87E56">
        <w:t xml:space="preserve">In this </w:t>
      </w:r>
      <w:r>
        <w:t>context</w:t>
      </w:r>
      <w:r w:rsidRPr="00B87E56">
        <w:t xml:space="preserve">, </w:t>
      </w:r>
      <w:proofErr w:type="spellStart"/>
      <w:r>
        <w:t>Emiri</w:t>
      </w:r>
      <w:proofErr w:type="spellEnd"/>
      <w:r>
        <w:t xml:space="preserve"> Decision</w:t>
      </w:r>
      <w:r w:rsidRPr="00B87E56">
        <w:t xml:space="preserve"> </w:t>
      </w:r>
      <w:r>
        <w:t>No. 86</w:t>
      </w:r>
      <w:r w:rsidRPr="00B87E56">
        <w:t xml:space="preserve"> </w:t>
      </w:r>
      <w:r>
        <w:t>(</w:t>
      </w:r>
      <w:r w:rsidRPr="00B87E56">
        <w:t>2007</w:t>
      </w:r>
      <w:r>
        <w:t>) was issued,</w:t>
      </w:r>
      <w:r w:rsidRPr="00B87E56">
        <w:t xml:space="preserve"> </w:t>
      </w:r>
      <w:r>
        <w:t>approving</w:t>
      </w:r>
      <w:r w:rsidRPr="00B87E56">
        <w:t xml:space="preserve"> the establishment of the Doha Centre for Media Freedom as a private </w:t>
      </w:r>
      <w:r>
        <w:t xml:space="preserve">philanthropic </w:t>
      </w:r>
      <w:r w:rsidRPr="00B87E56">
        <w:t>institution.</w:t>
      </w:r>
      <w:r w:rsidR="007F4A3A">
        <w:t xml:space="preserve"> </w:t>
      </w:r>
      <w:r>
        <w:t>The principles of f</w:t>
      </w:r>
      <w:r w:rsidRPr="00B87E56">
        <w:t xml:space="preserve">reedom, credibility, independence, accountability and transparency </w:t>
      </w:r>
      <w:r>
        <w:t>provide strategic underpinning</w:t>
      </w:r>
      <w:r w:rsidRPr="00B87E56">
        <w:t xml:space="preserve"> </w:t>
      </w:r>
      <w:r>
        <w:t>for</w:t>
      </w:r>
      <w:r w:rsidRPr="00B87E56">
        <w:t xml:space="preserve"> the goals </w:t>
      </w:r>
      <w:r>
        <w:t>of the Centre, which consist in safeguarding</w:t>
      </w:r>
      <w:r w:rsidRPr="00B87E56">
        <w:t xml:space="preserve"> the </w:t>
      </w:r>
      <w:r>
        <w:t>media</w:t>
      </w:r>
      <w:r w:rsidRPr="00B87E56">
        <w:t xml:space="preserve"> in </w:t>
      </w:r>
      <w:r>
        <w:t>a manner consistent</w:t>
      </w:r>
      <w:r w:rsidRPr="00B87E56">
        <w:t xml:space="preserve"> with international standards, conduct</w:t>
      </w:r>
      <w:r>
        <w:t>ing</w:t>
      </w:r>
      <w:r w:rsidRPr="00B87E56">
        <w:t xml:space="preserve"> media research and build</w:t>
      </w:r>
      <w:r>
        <w:t>ing</w:t>
      </w:r>
      <w:r w:rsidRPr="00B87E56">
        <w:t xml:space="preserve"> a database </w:t>
      </w:r>
      <w:r>
        <w:t>to serve the various</w:t>
      </w:r>
      <w:r w:rsidRPr="00B87E56">
        <w:t xml:space="preserve"> media</w:t>
      </w:r>
      <w:r>
        <w:t xml:space="preserve"> sectors</w:t>
      </w:r>
      <w:r w:rsidRPr="00B87E56">
        <w:t>.</w:t>
      </w:r>
      <w:r w:rsidR="007F4A3A">
        <w:t xml:space="preserve"> </w:t>
      </w:r>
      <w:r w:rsidRPr="00B87E56">
        <w:t>In additi</w:t>
      </w:r>
      <w:r>
        <w:t>on, the Centre plans to erect a memorial in honour of those from around the world who have fought and died for freedom of the media</w:t>
      </w:r>
      <w:r w:rsidRPr="00B87E56">
        <w:t>.</w:t>
      </w:r>
      <w:r w:rsidR="007F4A3A">
        <w:t xml:space="preserve"> </w:t>
      </w:r>
      <w:r>
        <w:t>The Centre</w:t>
      </w:r>
      <w:r w:rsidRPr="00B87E56">
        <w:t xml:space="preserve"> </w:t>
      </w:r>
      <w:r>
        <w:t xml:space="preserve">also </w:t>
      </w:r>
      <w:r w:rsidRPr="00B87E56">
        <w:t xml:space="preserve">provides assistance to journalists whose rights </w:t>
      </w:r>
      <w:r>
        <w:t>have been</w:t>
      </w:r>
      <w:r w:rsidRPr="00B87E56">
        <w:t xml:space="preserve"> violated </w:t>
      </w:r>
      <w:r>
        <w:t>in the exercise of their profession</w:t>
      </w:r>
      <w:r w:rsidRPr="00B87E56">
        <w:t xml:space="preserve">, particularly </w:t>
      </w:r>
      <w:r>
        <w:t>in crisis situations</w:t>
      </w:r>
      <w:r w:rsidRPr="00B87E56">
        <w:t>.</w:t>
      </w:r>
      <w:r w:rsidR="007F4A3A">
        <w:t xml:space="preserve"> </w:t>
      </w:r>
      <w:r>
        <w:t xml:space="preserve">It should be noted that </w:t>
      </w:r>
      <w:r w:rsidRPr="00B87E56">
        <w:t>in January 2008</w:t>
      </w:r>
      <w:r>
        <w:t xml:space="preserve"> t</w:t>
      </w:r>
      <w:r w:rsidRPr="00B87E56">
        <w:t>he Centre signed a</w:t>
      </w:r>
      <w:r>
        <w:t xml:space="preserve"> protocol of</w:t>
      </w:r>
      <w:r w:rsidRPr="00B87E56">
        <w:t xml:space="preserve"> cooperation with </w:t>
      </w:r>
      <w:r w:rsidR="009D1BD8">
        <w:t>“</w:t>
      </w:r>
      <w:r w:rsidRPr="00B87E56">
        <w:t>Reporters without Borders</w:t>
      </w:r>
      <w:r w:rsidR="009D1BD8">
        <w:t>”</w:t>
      </w:r>
      <w:r w:rsidRPr="00B87E56">
        <w:t>.</w:t>
      </w:r>
      <w:r w:rsidR="007F4A3A">
        <w:t xml:space="preserve"> </w:t>
      </w:r>
      <w:r>
        <w:t xml:space="preserve">For more information, see </w:t>
      </w:r>
      <w:hyperlink r:id="rId13" w:history="1">
        <w:r w:rsidRPr="00047823">
          <w:t>www.dohacentre.org</w:t>
        </w:r>
      </w:hyperlink>
      <w:r w:rsidR="00D63C1A">
        <w:t>.</w:t>
      </w:r>
    </w:p>
    <w:p w:rsidR="0060531D" w:rsidRDefault="0041659B" w:rsidP="0041659B">
      <w:pPr>
        <w:pStyle w:val="H4G"/>
      </w:pPr>
      <w:r>
        <w:tab/>
      </w:r>
      <w:r>
        <w:tab/>
      </w:r>
      <w:r w:rsidR="004B0C37" w:rsidRPr="00B87E56">
        <w:t>Doha International Centre for Interfaith Dialogue</w:t>
      </w:r>
    </w:p>
    <w:p w:rsidR="0060531D" w:rsidRDefault="00276B1C" w:rsidP="003A3E1A">
      <w:pPr>
        <w:pStyle w:val="SingleTxtG"/>
      </w:pPr>
      <w:r>
        <w:t>77.</w:t>
      </w:r>
      <w:r>
        <w:tab/>
      </w:r>
      <w:r w:rsidR="004B0C37" w:rsidRPr="00B87E56">
        <w:t>The Doha International Centre for Interfaith Dialogue was establishe</w:t>
      </w:r>
      <w:r w:rsidR="004B0C37">
        <w:t>d on the recommendation of the F</w:t>
      </w:r>
      <w:r w:rsidR="004B0C37" w:rsidRPr="00B87E56">
        <w:t>ifth Doha Interfaith Dialogue Conference, held in May 2007</w:t>
      </w:r>
      <w:r w:rsidR="004B0C37">
        <w:t xml:space="preserve">, and the Centre </w:t>
      </w:r>
      <w:r w:rsidR="004B0C37" w:rsidRPr="00B87E56">
        <w:t xml:space="preserve">was inaugurated in May 2008 during the Sixth </w:t>
      </w:r>
      <w:r w:rsidR="004B0C37">
        <w:t>Interfaith Dialogue Conference.</w:t>
      </w:r>
      <w:r w:rsidR="007F4A3A">
        <w:t xml:space="preserve"> </w:t>
      </w:r>
      <w:r w:rsidR="004B0C37" w:rsidRPr="00B87E56">
        <w:t xml:space="preserve">The goal of the Centre is to promote and spread </w:t>
      </w:r>
      <w:r w:rsidR="004B0C37">
        <w:t>the</w:t>
      </w:r>
      <w:r w:rsidR="004B0C37" w:rsidRPr="00B87E56">
        <w:t xml:space="preserve"> culture </w:t>
      </w:r>
      <w:r w:rsidR="004B0C37">
        <w:t>of</w:t>
      </w:r>
      <w:r w:rsidR="004B0C37" w:rsidRPr="00B87E56">
        <w:t xml:space="preserve"> dialogue and peaceful coexistence.</w:t>
      </w:r>
      <w:r w:rsidR="007F4A3A">
        <w:t xml:space="preserve"> </w:t>
      </w:r>
      <w:r w:rsidR="004B0C37">
        <w:t xml:space="preserve">For more information, see </w:t>
      </w:r>
      <w:hyperlink r:id="rId14" w:history="1">
        <w:r w:rsidR="004B0C37" w:rsidRPr="00047823">
          <w:t>www.dicid.org</w:t>
        </w:r>
      </w:hyperlink>
      <w:r w:rsidR="00D63C1A">
        <w:t>.</w:t>
      </w:r>
    </w:p>
    <w:p w:rsidR="0060531D" w:rsidRDefault="0041659B" w:rsidP="0041659B">
      <w:pPr>
        <w:pStyle w:val="H4G"/>
      </w:pPr>
      <w:r>
        <w:tab/>
      </w:r>
      <w:r>
        <w:tab/>
      </w:r>
      <w:r w:rsidR="004B0C37" w:rsidRPr="00945D85">
        <w:t>Qatar Committee for the Alliance of Civilizations</w:t>
      </w:r>
    </w:p>
    <w:p w:rsidR="0060531D" w:rsidRDefault="004B0C37" w:rsidP="003A3E1A">
      <w:pPr>
        <w:pStyle w:val="SingleTxtG"/>
      </w:pPr>
      <w:r>
        <w:t>78</w:t>
      </w:r>
      <w:r w:rsidR="00276B1C">
        <w:t>.</w:t>
      </w:r>
      <w:r w:rsidR="00276B1C">
        <w:tab/>
      </w:r>
      <w:r>
        <w:t>The Qatar Committee for the Alliance of Civilizations was established pursuant to Council of Ministers</w:t>
      </w:r>
      <w:r w:rsidR="009D1BD8">
        <w:t>’</w:t>
      </w:r>
      <w:r>
        <w:t xml:space="preserve"> Decision No. 8 (2010) with the aim of combating intolerance and instilling the values of tolerance, solidarity and peace among the peoples of the world and developing human potential.</w:t>
      </w:r>
    </w:p>
    <w:p w:rsidR="0060531D" w:rsidRDefault="00A9030D" w:rsidP="00A9030D">
      <w:pPr>
        <w:pStyle w:val="H4G"/>
      </w:pPr>
      <w:r>
        <w:tab/>
      </w:r>
      <w:r>
        <w:tab/>
      </w:r>
      <w:proofErr w:type="spellStart"/>
      <w:r w:rsidR="004B0C37" w:rsidRPr="00945D85">
        <w:t>Silatech</w:t>
      </w:r>
      <w:proofErr w:type="spellEnd"/>
    </w:p>
    <w:p w:rsidR="0060531D" w:rsidRDefault="004B0C37" w:rsidP="00BB770C">
      <w:pPr>
        <w:pStyle w:val="SingleTxtG"/>
      </w:pPr>
      <w:r>
        <w:t>79</w:t>
      </w:r>
      <w:r w:rsidR="00276B1C">
        <w:t>.</w:t>
      </w:r>
      <w:r w:rsidR="00276B1C">
        <w:tab/>
      </w:r>
      <w:r>
        <w:t xml:space="preserve">The </w:t>
      </w:r>
      <w:proofErr w:type="spellStart"/>
      <w:r>
        <w:t>Silatech</w:t>
      </w:r>
      <w:proofErr w:type="spellEnd"/>
      <w:r>
        <w:t xml:space="preserve"> organization was founded in 2008 with the aim of providing a wide range of job opportunities for Arab youth, promoting entrepreneurship, enabling access to capital and markets and facilitating participation in social and economic development.</w:t>
      </w:r>
      <w:r w:rsidR="007F4A3A">
        <w:t xml:space="preserve"> </w:t>
      </w:r>
      <w:proofErr w:type="spellStart"/>
      <w:r>
        <w:t>Silatech</w:t>
      </w:r>
      <w:proofErr w:type="spellEnd"/>
      <w:r>
        <w:t xml:space="preserve"> has programmes in 17 Arab States.</w:t>
      </w:r>
    </w:p>
    <w:p w:rsidR="0060531D" w:rsidRDefault="00BB770C" w:rsidP="00BB770C">
      <w:pPr>
        <w:pStyle w:val="H4G"/>
      </w:pPr>
      <w:r>
        <w:tab/>
      </w:r>
      <w:r>
        <w:tab/>
      </w:r>
      <w:r w:rsidR="004B0C37" w:rsidRPr="002637DE">
        <w:t>Education above All Foundation</w:t>
      </w:r>
    </w:p>
    <w:p w:rsidR="0060531D" w:rsidRDefault="004B0C37" w:rsidP="00BB770C">
      <w:pPr>
        <w:pStyle w:val="SingleTxtG"/>
      </w:pPr>
      <w:r>
        <w:t>80</w:t>
      </w:r>
      <w:r w:rsidR="00276B1C">
        <w:t>.</w:t>
      </w:r>
      <w:r w:rsidR="00276B1C">
        <w:tab/>
      </w:r>
      <w:r>
        <w:t>The Education above All Foundation was established in 2012 with the aim of providing children in areas affected by poverty or armed conflict with an education.</w:t>
      </w:r>
      <w:r w:rsidR="007F4A3A">
        <w:t xml:space="preserve"> </w:t>
      </w:r>
      <w:r>
        <w:t>The Foundation</w:t>
      </w:r>
      <w:r w:rsidR="009D1BD8">
        <w:t>’</w:t>
      </w:r>
      <w:r>
        <w:t>s three programmes seek to provide educational opportunities, particularly in areas suffering from poverty or armed conflict.</w:t>
      </w:r>
    </w:p>
    <w:p w:rsidR="0060531D" w:rsidRDefault="004B0C37" w:rsidP="00540BD8">
      <w:pPr>
        <w:pStyle w:val="SingleTxtG"/>
      </w:pPr>
      <w:r>
        <w:t>81</w:t>
      </w:r>
      <w:r w:rsidR="00276B1C">
        <w:t>.</w:t>
      </w:r>
      <w:r w:rsidR="00276B1C">
        <w:tab/>
      </w:r>
      <w:r>
        <w:t>The Foundation</w:t>
      </w:r>
      <w:r w:rsidR="009D1BD8">
        <w:t>’</w:t>
      </w:r>
      <w:r>
        <w:t>s goal is to reach out to ten million out-of-school children and provide them with quality education.</w:t>
      </w:r>
      <w:r w:rsidR="007F4A3A">
        <w:t xml:space="preserve"> </w:t>
      </w:r>
      <w:r>
        <w:t>The Foundation aims to collect 1 billion US dollars to support education and promote programme sustainability.</w:t>
      </w:r>
      <w:r w:rsidR="007F4A3A">
        <w:t xml:space="preserve"> </w:t>
      </w:r>
      <w:r>
        <w:t>To date, it has enabled</w:t>
      </w:r>
      <w:r w:rsidRPr="00627839">
        <w:t xml:space="preserve"> </w:t>
      </w:r>
      <w:r>
        <w:t>7.1 million</w:t>
      </w:r>
      <w:r w:rsidRPr="00627839">
        <w:t xml:space="preserve"> of the most marginalised out-of-school children to access quality </w:t>
      </w:r>
      <w:r>
        <w:t>education.</w:t>
      </w:r>
      <w:r w:rsidR="007F4A3A">
        <w:t xml:space="preserve"> </w:t>
      </w:r>
      <w:r>
        <w:t xml:space="preserve">The Foundation </w:t>
      </w:r>
      <w:r w:rsidRPr="00627839">
        <w:t xml:space="preserve">is the only </w:t>
      </w:r>
      <w:r>
        <w:t>one in the world</w:t>
      </w:r>
      <w:r w:rsidRPr="00627839">
        <w:t xml:space="preserve"> focused solely on supporting </w:t>
      </w:r>
      <w:r>
        <w:t>such</w:t>
      </w:r>
      <w:r w:rsidRPr="00627839">
        <w:t xml:space="preserve"> children</w:t>
      </w:r>
      <w:r>
        <w:t xml:space="preserve"> and works by establishing partnerships with local and global organizations to remove the obstacles preventing children from having a quality education, including poverty, conflict and strife and gender discrimination.</w:t>
      </w:r>
      <w:r w:rsidR="007F4A3A">
        <w:t xml:space="preserve"> </w:t>
      </w:r>
      <w:r>
        <w:t xml:space="preserve">The </w:t>
      </w:r>
      <w:r w:rsidRPr="00FA0EE2">
        <w:t>Foundation has been invited to join the U</w:t>
      </w:r>
      <w:r>
        <w:t>NESCO</w:t>
      </w:r>
      <w:r w:rsidRPr="00FA0EE2">
        <w:t xml:space="preserve"> 2030 Education Steering Committee to represent the efforts of </w:t>
      </w:r>
      <w:r>
        <w:t>organizations</w:t>
      </w:r>
      <w:r w:rsidRPr="00FA0EE2">
        <w:t xml:space="preserve"> around the world working to achieve the Sustainable Development </w:t>
      </w:r>
      <w:r>
        <w:t xml:space="preserve">Goals </w:t>
      </w:r>
      <w:r w:rsidRPr="00FA0EE2">
        <w:t xml:space="preserve">on education. It has also </w:t>
      </w:r>
      <w:r>
        <w:t>been invited by the P</w:t>
      </w:r>
      <w:r w:rsidRPr="00FA0EE2">
        <w:t>resident o</w:t>
      </w:r>
      <w:r>
        <w:t>f</w:t>
      </w:r>
      <w:r w:rsidRPr="00FA0EE2">
        <w:t xml:space="preserve"> the </w:t>
      </w:r>
      <w:r>
        <w:t>United Nations</w:t>
      </w:r>
      <w:r w:rsidRPr="00FA0EE2">
        <w:t xml:space="preserve"> General Assembly to participate in the </w:t>
      </w:r>
      <w:r>
        <w:t>High-Level Meeting on Education.</w:t>
      </w:r>
    </w:p>
    <w:p w:rsidR="0060531D" w:rsidRDefault="00270DD8" w:rsidP="00270DD8">
      <w:pPr>
        <w:pStyle w:val="H23G"/>
      </w:pPr>
      <w:r>
        <w:lastRenderedPageBreak/>
        <w:tab/>
      </w:r>
      <w:r>
        <w:tab/>
      </w:r>
      <w:r w:rsidR="004B0C37" w:rsidRPr="0012069B">
        <w:t>Dissemination of human rights instruments</w:t>
      </w:r>
    </w:p>
    <w:p w:rsidR="0060531D" w:rsidRDefault="00C97136" w:rsidP="004D277C">
      <w:pPr>
        <w:pStyle w:val="H23G"/>
      </w:pPr>
      <w:r>
        <w:tab/>
      </w:r>
      <w:r>
        <w:tab/>
      </w:r>
      <w:r w:rsidR="004B0C37">
        <w:t>Spreading</w:t>
      </w:r>
      <w:r w:rsidR="004B0C37" w:rsidRPr="0012069B">
        <w:t xml:space="preserve"> and </w:t>
      </w:r>
      <w:r w:rsidR="004B0C37">
        <w:t>promoting</w:t>
      </w:r>
      <w:r w:rsidR="004B0C37" w:rsidRPr="0012069B">
        <w:t xml:space="preserve"> awareness of international human rights conventions</w:t>
      </w:r>
    </w:p>
    <w:p w:rsidR="0060531D" w:rsidRDefault="00276B1C" w:rsidP="00BB770C">
      <w:pPr>
        <w:pStyle w:val="SingleTxtG"/>
      </w:pPr>
      <w:r>
        <w:t>82.</w:t>
      </w:r>
      <w:r>
        <w:tab/>
      </w:r>
      <w:r w:rsidR="004B0C37">
        <w:t>Human rights organizations have organized specialized seminars, workshops and training courses on the rights of women, children, persons with disabilities and workers, as well as other topics, targeting a wide range of government employees, including staff of the Ministry of Interior, Office of the Public Prosecutor, judges and doctors.</w:t>
      </w:r>
    </w:p>
    <w:p w:rsidR="0060531D" w:rsidRDefault="00276B1C" w:rsidP="0001096E">
      <w:pPr>
        <w:pStyle w:val="SingleTxtG"/>
      </w:pPr>
      <w:r>
        <w:t>83.</w:t>
      </w:r>
      <w:r>
        <w:tab/>
      </w:r>
      <w:r w:rsidR="004B0C37">
        <w:t>The State has implemented various programmes on the incorporation of human rights concepts and numerous studies and research papers on human rights have been published.</w:t>
      </w:r>
      <w:r w:rsidR="007F4A3A">
        <w:t xml:space="preserve"> </w:t>
      </w:r>
      <w:r w:rsidR="004B0C37">
        <w:t>Local seminars, workshops and training courses have also been organized.</w:t>
      </w:r>
    </w:p>
    <w:p w:rsidR="0060531D" w:rsidRDefault="004B0C37" w:rsidP="00BB770C">
      <w:pPr>
        <w:pStyle w:val="SingleTxtG"/>
        <w:rPr>
          <w:color w:val="000000"/>
        </w:rPr>
      </w:pPr>
      <w:r>
        <w:t>84</w:t>
      </w:r>
      <w:r w:rsidR="00276B1C">
        <w:t>.</w:t>
      </w:r>
      <w:r w:rsidR="00276B1C">
        <w:tab/>
      </w:r>
      <w:r w:rsidRPr="003B7CC5">
        <w:rPr>
          <w:color w:val="000000"/>
        </w:rPr>
        <w:t xml:space="preserve">The National Human Rights Committee </w:t>
      </w:r>
      <w:r>
        <w:rPr>
          <w:color w:val="000000"/>
        </w:rPr>
        <w:t xml:space="preserve">organizes a range of human rights training and outreach courses and programmes, including </w:t>
      </w:r>
      <w:r w:rsidRPr="003B7CC5">
        <w:rPr>
          <w:color w:val="000000"/>
        </w:rPr>
        <w:t>ongoing programmes to raise awareness of women</w:t>
      </w:r>
      <w:r w:rsidR="009D1BD8">
        <w:rPr>
          <w:color w:val="000000"/>
        </w:rPr>
        <w:t>’</w:t>
      </w:r>
      <w:r w:rsidRPr="003B7CC5">
        <w:rPr>
          <w:color w:val="000000"/>
        </w:rPr>
        <w:t xml:space="preserve">s rights </w:t>
      </w:r>
      <w:r>
        <w:rPr>
          <w:color w:val="000000"/>
        </w:rPr>
        <w:t>among</w:t>
      </w:r>
      <w:r w:rsidRPr="003B7CC5">
        <w:rPr>
          <w:color w:val="000000"/>
        </w:rPr>
        <w:t xml:space="preserve"> male and female students in schools and universities through training courses, workshops and seminars.</w:t>
      </w:r>
      <w:r w:rsidR="007F4A3A">
        <w:rPr>
          <w:color w:val="000000"/>
        </w:rPr>
        <w:t xml:space="preserve"> </w:t>
      </w:r>
      <w:r w:rsidRPr="003B7CC5">
        <w:rPr>
          <w:color w:val="000000"/>
        </w:rPr>
        <w:t xml:space="preserve">In 2015 and 2016, the Committee held a number of symposia targeting female preparatory and secondary </w:t>
      </w:r>
      <w:r>
        <w:rPr>
          <w:color w:val="000000"/>
        </w:rPr>
        <w:t xml:space="preserve">school </w:t>
      </w:r>
      <w:r w:rsidRPr="003B7CC5">
        <w:rPr>
          <w:color w:val="000000"/>
        </w:rPr>
        <w:t xml:space="preserve">students. The Committee also organized a </w:t>
      </w:r>
      <w:r w:rsidR="009D1BD8">
        <w:rPr>
          <w:color w:val="000000"/>
        </w:rPr>
        <w:t>“</w:t>
      </w:r>
      <w:r w:rsidRPr="003B7CC5">
        <w:rPr>
          <w:color w:val="000000"/>
        </w:rPr>
        <w:t>legal clinic</w:t>
      </w:r>
      <w:r w:rsidR="009D1BD8">
        <w:rPr>
          <w:color w:val="000000"/>
        </w:rPr>
        <w:t>”</w:t>
      </w:r>
      <w:r w:rsidRPr="003B7CC5">
        <w:rPr>
          <w:color w:val="000000"/>
        </w:rPr>
        <w:t xml:space="preserve"> with students of Qatar University</w:t>
      </w:r>
      <w:r w:rsidR="009D1BD8">
        <w:rPr>
          <w:color w:val="000000"/>
        </w:rPr>
        <w:t>’</w:t>
      </w:r>
      <w:r>
        <w:rPr>
          <w:color w:val="000000"/>
        </w:rPr>
        <w:t>s</w:t>
      </w:r>
      <w:r w:rsidRPr="003B7CC5">
        <w:rPr>
          <w:color w:val="000000"/>
        </w:rPr>
        <w:t xml:space="preserve"> Faculty of Law to familiarize them with the Convention.</w:t>
      </w:r>
    </w:p>
    <w:p w:rsidR="0060531D" w:rsidRDefault="004B0C37" w:rsidP="00BB770C">
      <w:pPr>
        <w:pStyle w:val="SingleTxtG"/>
      </w:pPr>
      <w:r w:rsidRPr="00862981">
        <w:rPr>
          <w:color w:val="000000"/>
        </w:rPr>
        <w:t>85</w:t>
      </w:r>
      <w:r w:rsidR="00276B1C">
        <w:rPr>
          <w:color w:val="000000"/>
        </w:rPr>
        <w:t>.</w:t>
      </w:r>
      <w:r w:rsidR="00276B1C">
        <w:rPr>
          <w:color w:val="000000"/>
        </w:rPr>
        <w:tab/>
      </w:r>
      <w:r w:rsidRPr="00862981">
        <w:rPr>
          <w:color w:val="000000"/>
        </w:rPr>
        <w:t>Civil society organizations, in cooperation with the National Human Rights Committee, organize ongoing training courses and workshops to promote implementation of the Convention on the Elimination of All Forms of Discrimination against Women, the Convention on the Rights of Persons with Di</w:t>
      </w:r>
      <w:r>
        <w:rPr>
          <w:color w:val="000000"/>
        </w:rPr>
        <w:t>sabilities and the Protocol on the suppression of human t</w:t>
      </w:r>
      <w:r w:rsidRPr="00862981">
        <w:rPr>
          <w:color w:val="000000"/>
        </w:rPr>
        <w:t xml:space="preserve">rafficking, raise awareness of the provisions of those conventions and train personnel </w:t>
      </w:r>
      <w:r>
        <w:rPr>
          <w:color w:val="000000"/>
        </w:rPr>
        <w:t xml:space="preserve">working </w:t>
      </w:r>
      <w:r w:rsidRPr="00862981">
        <w:rPr>
          <w:color w:val="000000"/>
        </w:rPr>
        <w:t xml:space="preserve">in law enforcement, </w:t>
      </w:r>
      <w:r>
        <w:rPr>
          <w:color w:val="000000"/>
        </w:rPr>
        <w:t xml:space="preserve">the public </w:t>
      </w:r>
      <w:r w:rsidRPr="00862981">
        <w:rPr>
          <w:color w:val="000000"/>
        </w:rPr>
        <w:t>prosecution</w:t>
      </w:r>
      <w:r>
        <w:rPr>
          <w:color w:val="000000"/>
        </w:rPr>
        <w:t xml:space="preserve"> service</w:t>
      </w:r>
      <w:r w:rsidRPr="00862981">
        <w:rPr>
          <w:color w:val="000000"/>
        </w:rPr>
        <w:t xml:space="preserve">, courts and police, as well as lawyers and media </w:t>
      </w:r>
      <w:r>
        <w:rPr>
          <w:color w:val="000000"/>
        </w:rPr>
        <w:t>workers</w:t>
      </w:r>
      <w:r w:rsidRPr="00862981">
        <w:rPr>
          <w:color w:val="000000"/>
        </w:rPr>
        <w:t>.</w:t>
      </w:r>
      <w:r w:rsidR="007F4A3A">
        <w:rPr>
          <w:color w:val="000000"/>
        </w:rPr>
        <w:t xml:space="preserve"> </w:t>
      </w:r>
      <w:r>
        <w:rPr>
          <w:color w:val="000000"/>
        </w:rPr>
        <w:t>I</w:t>
      </w:r>
      <w:r w:rsidRPr="00862981">
        <w:rPr>
          <w:color w:val="000000"/>
        </w:rPr>
        <w:t xml:space="preserve">n February 2016, </w:t>
      </w:r>
      <w:r>
        <w:rPr>
          <w:color w:val="000000"/>
        </w:rPr>
        <w:t xml:space="preserve">for example, </w:t>
      </w:r>
      <w:r w:rsidRPr="00862981">
        <w:rPr>
          <w:color w:val="000000"/>
        </w:rPr>
        <w:t xml:space="preserve">the Committee </w:t>
      </w:r>
      <w:r>
        <w:rPr>
          <w:color w:val="000000"/>
        </w:rPr>
        <w:t>delivered</w:t>
      </w:r>
      <w:r w:rsidRPr="00862981">
        <w:rPr>
          <w:color w:val="000000"/>
        </w:rPr>
        <w:t xml:space="preserve"> a training course for the Qatari Armed Forces General Command on </w:t>
      </w:r>
      <w:r>
        <w:rPr>
          <w:color w:val="000000"/>
        </w:rPr>
        <w:t>a</w:t>
      </w:r>
      <w:r w:rsidRPr="00862981">
        <w:rPr>
          <w:color w:val="000000"/>
        </w:rPr>
        <w:t xml:space="preserve"> number of human r</w:t>
      </w:r>
      <w:r>
        <w:rPr>
          <w:color w:val="000000"/>
        </w:rPr>
        <w:t>ights-related issues, including women</w:t>
      </w:r>
      <w:r w:rsidR="009D1BD8">
        <w:rPr>
          <w:color w:val="000000"/>
        </w:rPr>
        <w:t>’</w:t>
      </w:r>
      <w:r>
        <w:rPr>
          <w:color w:val="000000"/>
        </w:rPr>
        <w:t>s rights.</w:t>
      </w:r>
      <w:r w:rsidR="007F4A3A">
        <w:rPr>
          <w:color w:val="000000"/>
        </w:rPr>
        <w:t xml:space="preserve"> </w:t>
      </w:r>
      <w:r w:rsidRPr="00862981">
        <w:rPr>
          <w:color w:val="000000"/>
        </w:rPr>
        <w:t xml:space="preserve">In April 2016, it </w:t>
      </w:r>
      <w:r>
        <w:rPr>
          <w:color w:val="000000"/>
        </w:rPr>
        <w:t>held</w:t>
      </w:r>
      <w:r w:rsidRPr="00862981">
        <w:rPr>
          <w:color w:val="000000"/>
        </w:rPr>
        <w:t xml:space="preserve"> a workshop on national legislation, including legislation concerning women, and the perspective of the National Human Rights</w:t>
      </w:r>
      <w:r>
        <w:rPr>
          <w:color w:val="000000"/>
        </w:rPr>
        <w:t xml:space="preserve"> Committee on such legislation; the workshop was designed for</w:t>
      </w:r>
      <w:r w:rsidRPr="00862981">
        <w:rPr>
          <w:color w:val="000000"/>
        </w:rPr>
        <w:t xml:space="preserve"> law enforcement personnel in the police, public prosecutor</w:t>
      </w:r>
      <w:r w:rsidR="009D1BD8">
        <w:rPr>
          <w:color w:val="000000"/>
        </w:rPr>
        <w:t>’</w:t>
      </w:r>
      <w:r w:rsidRPr="00862981">
        <w:rPr>
          <w:color w:val="000000"/>
        </w:rPr>
        <w:t>s office and courts.</w:t>
      </w:r>
    </w:p>
    <w:p w:rsidR="0060531D" w:rsidRDefault="004B0C37" w:rsidP="00BB770C">
      <w:pPr>
        <w:pStyle w:val="SingleTxtG"/>
      </w:pPr>
      <w:r>
        <w:t>86</w:t>
      </w:r>
      <w:r w:rsidR="00276B1C">
        <w:t>.</w:t>
      </w:r>
      <w:r w:rsidR="00276B1C">
        <w:tab/>
      </w:r>
      <w:r>
        <w:t xml:space="preserve">Qatar hosts the </w:t>
      </w:r>
      <w:r w:rsidRPr="00214CD3">
        <w:rPr>
          <w:bCs/>
        </w:rPr>
        <w:t>United Nations Human Rights Training and Documentation Centre for South-West Asia and the Arab Region</w:t>
      </w:r>
      <w:r>
        <w:rPr>
          <w:bCs/>
        </w:rPr>
        <w:t>, established pursuant to A/Res/60/153.</w:t>
      </w:r>
      <w:r w:rsidR="007F4A3A">
        <w:rPr>
          <w:bCs/>
        </w:rPr>
        <w:t xml:space="preserve"> </w:t>
      </w:r>
      <w:r>
        <w:rPr>
          <w:bCs/>
        </w:rPr>
        <w:t>The aim of the Centre is to regulate human rights training and documentation activities in line with international standards and support efforts to protect and promote human rights in the region, working under the auspices of the United Nations High Commissioner for Human Rights, Geneva and in cooperation with governments, United Nations specialized agencies and programmes, national human rights institutions and non-governmental organizations.</w:t>
      </w:r>
    </w:p>
    <w:p w:rsidR="0060531D" w:rsidRDefault="00FC4D3B" w:rsidP="00B22F96">
      <w:pPr>
        <w:pStyle w:val="H23G"/>
      </w:pPr>
      <w:r>
        <w:tab/>
      </w:r>
      <w:r>
        <w:tab/>
      </w:r>
      <w:r w:rsidR="004B0C37" w:rsidRPr="00C71907">
        <w:t xml:space="preserve">Promotion of human rights awareness through educational programmes and </w:t>
      </w:r>
      <w:r w:rsidR="004B0C37">
        <w:t>government</w:t>
      </w:r>
      <w:r w:rsidR="004B0C37" w:rsidRPr="00C71907">
        <w:t xml:space="preserve"> media</w:t>
      </w:r>
    </w:p>
    <w:p w:rsidR="004B0C37" w:rsidRDefault="004B0C37" w:rsidP="00BB770C">
      <w:pPr>
        <w:pStyle w:val="SingleTxtG"/>
      </w:pPr>
      <w:r>
        <w:t>87</w:t>
      </w:r>
      <w:r w:rsidR="00276B1C">
        <w:t>.</w:t>
      </w:r>
      <w:r w:rsidR="00276B1C">
        <w:tab/>
      </w:r>
      <w:r w:rsidRPr="00C71907">
        <w:t xml:space="preserve">Human rights concepts </w:t>
      </w:r>
      <w:r>
        <w:t>are</w:t>
      </w:r>
      <w:r w:rsidRPr="00C71907">
        <w:t xml:space="preserve"> incorporated into </w:t>
      </w:r>
      <w:r>
        <w:t>the curriculum in various forms.</w:t>
      </w:r>
      <w:r w:rsidR="007F4A3A">
        <w:t xml:space="preserve"> </w:t>
      </w:r>
      <w:r>
        <w:t xml:space="preserve">They </w:t>
      </w:r>
      <w:r w:rsidRPr="00C71907">
        <w:t>are present</w:t>
      </w:r>
      <w:r>
        <w:t xml:space="preserve">ed as separate subjects or as </w:t>
      </w:r>
      <w:r w:rsidRPr="00C71907">
        <w:t>curricular</w:t>
      </w:r>
      <w:r>
        <w:t xml:space="preserve"> or extracurricular activities and </w:t>
      </w:r>
      <w:r w:rsidRPr="00C71907">
        <w:t>drawings and diagrams.</w:t>
      </w:r>
      <w:r w:rsidR="007F4A3A">
        <w:t xml:space="preserve"> </w:t>
      </w:r>
      <w:r w:rsidRPr="00C71907">
        <w:t>School curricula and textbooks include material on a range of rights</w:t>
      </w:r>
      <w:r>
        <w:t>,</w:t>
      </w:r>
      <w:r w:rsidRPr="00C71907">
        <w:t xml:space="preserve"> </w:t>
      </w:r>
      <w:r>
        <w:t>including</w:t>
      </w:r>
      <w:r w:rsidRPr="00C71907">
        <w:t xml:space="preserve"> political, civil and economic rights, the rights of children and women, social and cultural rights and the rights of </w:t>
      </w:r>
      <w:r>
        <w:t>the elderly</w:t>
      </w:r>
      <w:r w:rsidRPr="00C71907">
        <w:t xml:space="preserve"> and persons with disabilities.</w:t>
      </w:r>
      <w:r w:rsidR="007F4A3A">
        <w:t xml:space="preserve"> </w:t>
      </w:r>
      <w:r>
        <w:t>Note here that the civics curriculum</w:t>
      </w:r>
      <w:r w:rsidRPr="00C71907">
        <w:t xml:space="preserve"> is designed to promote cooperation, empathy, equality, love, peace, tolerance and other values that are bound up with social and civil responsibilities</w:t>
      </w:r>
      <w:r>
        <w:t>,</w:t>
      </w:r>
      <w:r w:rsidRPr="00C71907">
        <w:t xml:space="preserve"> such as respect for the law, good citizenship, civic participation, honesty, integrity and trustworthiness. The curriculum also promotes the values of respect for and preservation of the cultural heritage and environment of Qatar.</w:t>
      </w:r>
    </w:p>
    <w:p w:rsidR="004B0C37" w:rsidRDefault="004B0C37" w:rsidP="00BB770C">
      <w:pPr>
        <w:pStyle w:val="SingleTxtG"/>
        <w:rPr>
          <w:color w:val="000000"/>
        </w:rPr>
      </w:pPr>
      <w:r>
        <w:t>88</w:t>
      </w:r>
      <w:r w:rsidR="00276B1C">
        <w:t>.</w:t>
      </w:r>
      <w:r w:rsidR="00276B1C">
        <w:tab/>
      </w:r>
      <w:r>
        <w:t>S</w:t>
      </w:r>
      <w:r>
        <w:rPr>
          <w:color w:val="000000"/>
        </w:rPr>
        <w:t>ince January 2017</w:t>
      </w:r>
      <w:r w:rsidRPr="003F63AF">
        <w:rPr>
          <w:color w:val="000000"/>
        </w:rPr>
        <w:t xml:space="preserve"> Qatar Television, in cooperation with the National Human Rights Committee, has been broadcasting a weekly programme to raise awareness </w:t>
      </w:r>
      <w:r>
        <w:rPr>
          <w:color w:val="000000"/>
        </w:rPr>
        <w:t>of disability.</w:t>
      </w:r>
      <w:r w:rsidR="007F4A3A">
        <w:rPr>
          <w:color w:val="000000"/>
        </w:rPr>
        <w:t xml:space="preserve"> </w:t>
      </w:r>
      <w:r>
        <w:rPr>
          <w:color w:val="000000"/>
        </w:rPr>
        <w:t>G</w:t>
      </w:r>
      <w:r w:rsidRPr="003F63AF">
        <w:rPr>
          <w:color w:val="000000"/>
        </w:rPr>
        <w:t>reater focus is being placed on the rights of women with disabilities, with a view to combating stereotypes.</w:t>
      </w:r>
    </w:p>
    <w:p w:rsidR="0060531D" w:rsidRDefault="004B0C37" w:rsidP="00BB770C">
      <w:pPr>
        <w:pStyle w:val="SingleTxtG"/>
      </w:pPr>
      <w:r w:rsidRPr="00FC5A3F">
        <w:lastRenderedPageBreak/>
        <w:t>89</w:t>
      </w:r>
      <w:r w:rsidR="00276B1C">
        <w:t>.</w:t>
      </w:r>
      <w:r w:rsidR="00276B1C">
        <w:tab/>
      </w:r>
      <w:r w:rsidRPr="00FC5A3F">
        <w:t xml:space="preserve">Qatar accords considerable importance to the subject of human rights education and training and a number of governmental and non-governmental bodies </w:t>
      </w:r>
      <w:r>
        <w:t>organize</w:t>
      </w:r>
      <w:r w:rsidRPr="00FC5A3F">
        <w:t xml:space="preserve"> training courses on the protection and promotion of human rights.</w:t>
      </w:r>
    </w:p>
    <w:p w:rsidR="0060531D" w:rsidRDefault="006647AE" w:rsidP="00B22F96">
      <w:pPr>
        <w:pStyle w:val="H23G"/>
      </w:pPr>
      <w:r>
        <w:tab/>
      </w:r>
      <w:r>
        <w:tab/>
      </w:r>
      <w:r w:rsidR="004B0C37" w:rsidRPr="00FC5A3F">
        <w:t>State development aid</w:t>
      </w:r>
    </w:p>
    <w:p w:rsidR="0060531D" w:rsidRDefault="004B0C37" w:rsidP="00BB770C">
      <w:pPr>
        <w:pStyle w:val="SingleTxtG"/>
      </w:pPr>
      <w:r w:rsidRPr="00A14816">
        <w:t>90</w:t>
      </w:r>
      <w:r w:rsidR="00276B1C">
        <w:t>.</w:t>
      </w:r>
      <w:r w:rsidR="00276B1C">
        <w:tab/>
      </w:r>
      <w:r w:rsidRPr="00A14816">
        <w:t xml:space="preserve">Qatar accords considerable importance to the delivery of development assistance, as can be gauged from the directives </w:t>
      </w:r>
      <w:r>
        <w:t>of His Highness the E</w:t>
      </w:r>
      <w:r w:rsidRPr="00A14816">
        <w:t>mir supporting charitable efforts and initiatives focused on human development.</w:t>
      </w:r>
      <w:r w:rsidR="007F4A3A">
        <w:t xml:space="preserve"> </w:t>
      </w:r>
      <w:r>
        <w:t>Accordingly</w:t>
      </w:r>
      <w:r w:rsidRPr="00A14816">
        <w:t xml:space="preserve">, the State has provided development </w:t>
      </w:r>
      <w:r>
        <w:t>aid</w:t>
      </w:r>
      <w:r w:rsidRPr="00A14816">
        <w:t xml:space="preserve"> to developing countries around the world and contributed to the achievement of several of the development goals of those countries.</w:t>
      </w:r>
      <w:r w:rsidR="007F4A3A">
        <w:t xml:space="preserve"> </w:t>
      </w:r>
      <w:r w:rsidRPr="00A14816">
        <w:t xml:space="preserve">Qatari development </w:t>
      </w:r>
      <w:r>
        <w:t>aid</w:t>
      </w:r>
      <w:r w:rsidRPr="00A14816">
        <w:t xml:space="preserve"> is provided on an impartial basis and without any political conditions imposed on </w:t>
      </w:r>
      <w:r>
        <w:t>beneficiary countries</w:t>
      </w:r>
      <w:r w:rsidRPr="00A14816">
        <w:t xml:space="preserve">. </w:t>
      </w:r>
      <w:r>
        <w:t>Aid</w:t>
      </w:r>
      <w:r w:rsidRPr="00A14816">
        <w:t xml:space="preserve"> is flexible and the process for obtaining it from governmental and non-governmental organizations is straightforward.</w:t>
      </w:r>
    </w:p>
    <w:p w:rsidR="0060531D" w:rsidRDefault="00276B1C" w:rsidP="00BB770C">
      <w:pPr>
        <w:pStyle w:val="SingleTxtG"/>
        <w:rPr>
          <w:color w:val="000000"/>
        </w:rPr>
      </w:pPr>
      <w:r>
        <w:t>91.</w:t>
      </w:r>
      <w:r>
        <w:tab/>
      </w:r>
      <w:r w:rsidR="004B0C37" w:rsidRPr="00A14816">
        <w:rPr>
          <w:color w:val="000000"/>
        </w:rPr>
        <w:t xml:space="preserve">Qatar </w:t>
      </w:r>
      <w:r w:rsidR="004B0C37">
        <w:rPr>
          <w:color w:val="000000"/>
        </w:rPr>
        <w:t xml:space="preserve">actively contributes </w:t>
      </w:r>
      <w:r w:rsidR="004B0C37" w:rsidRPr="00A14816">
        <w:rPr>
          <w:color w:val="000000"/>
        </w:rPr>
        <w:t>to the developm</w:t>
      </w:r>
      <w:r w:rsidR="004B0C37">
        <w:rPr>
          <w:color w:val="000000"/>
        </w:rPr>
        <w:t xml:space="preserve">ent of a global partnership for </w:t>
      </w:r>
      <w:r w:rsidR="004B0C37" w:rsidRPr="00A14816">
        <w:rPr>
          <w:color w:val="000000"/>
        </w:rPr>
        <w:t>development.</w:t>
      </w:r>
      <w:r w:rsidR="007F4A3A">
        <w:rPr>
          <w:color w:val="000000"/>
        </w:rPr>
        <w:t xml:space="preserve"> </w:t>
      </w:r>
      <w:r w:rsidR="004B0C37">
        <w:rPr>
          <w:color w:val="000000"/>
        </w:rPr>
        <w:t xml:space="preserve">It is a major donor to, and </w:t>
      </w:r>
      <w:r w:rsidR="004B0C37" w:rsidRPr="00A14816">
        <w:rPr>
          <w:color w:val="000000"/>
        </w:rPr>
        <w:t>key partner in, international development initiatives and the provision of development aid and assistance is a key pillar of the country</w:t>
      </w:r>
      <w:r w:rsidR="009D1BD8">
        <w:rPr>
          <w:color w:val="000000"/>
        </w:rPr>
        <w:t>’</w:t>
      </w:r>
      <w:r w:rsidR="004B0C37" w:rsidRPr="00A14816">
        <w:rPr>
          <w:color w:val="000000"/>
        </w:rPr>
        <w:t>s foreign policy.</w:t>
      </w:r>
    </w:p>
    <w:p w:rsidR="004B0C37" w:rsidRPr="00686B56" w:rsidRDefault="004B0C37" w:rsidP="00BB770C">
      <w:pPr>
        <w:pStyle w:val="SingleTxtG"/>
      </w:pPr>
      <w:r w:rsidRPr="00A14816">
        <w:rPr>
          <w:color w:val="000000"/>
        </w:rPr>
        <w:t>92</w:t>
      </w:r>
      <w:r w:rsidR="00276B1C">
        <w:rPr>
          <w:color w:val="000000"/>
        </w:rPr>
        <w:t>.</w:t>
      </w:r>
      <w:r w:rsidR="00276B1C">
        <w:rPr>
          <w:color w:val="000000"/>
        </w:rPr>
        <w:tab/>
      </w:r>
      <w:r w:rsidRPr="00686B56">
        <w:t xml:space="preserve">In addition to providing humanitarian and development </w:t>
      </w:r>
      <w:r>
        <w:t>aid</w:t>
      </w:r>
      <w:r w:rsidRPr="00686B56">
        <w:t>, the State also undertakes international humanitarian and development initiatives. The State has launched a number of initiatives, including but not limited to the following:</w:t>
      </w:r>
    </w:p>
    <w:p w:rsidR="004B0C37" w:rsidRPr="00686B56" w:rsidRDefault="00A703EC" w:rsidP="00A703EC">
      <w:pPr>
        <w:pStyle w:val="Bullet1G"/>
        <w:numPr>
          <w:ilvl w:val="0"/>
          <w:numId w:val="0"/>
        </w:numPr>
        <w:tabs>
          <w:tab w:val="left" w:pos="1701"/>
        </w:tabs>
        <w:ind w:left="1701" w:hanging="170"/>
      </w:pPr>
      <w:r w:rsidRPr="00686B56">
        <w:t>•</w:t>
      </w:r>
      <w:r w:rsidRPr="00686B56">
        <w:tab/>
      </w:r>
      <w:r w:rsidR="009D1BD8">
        <w:t>“</w:t>
      </w:r>
      <w:r w:rsidR="004B0C37" w:rsidRPr="00686B56">
        <w:t>HOPEFOR</w:t>
      </w:r>
      <w:r w:rsidR="009D1BD8">
        <w:t>”</w:t>
      </w:r>
      <w:r w:rsidR="004B0C37" w:rsidRPr="00686B56">
        <w:t xml:space="preserve">, </w:t>
      </w:r>
      <w:r w:rsidR="004B0C37">
        <w:t xml:space="preserve">in operation </w:t>
      </w:r>
      <w:r w:rsidR="004B0C37" w:rsidRPr="00686B56">
        <w:t>since June 2010</w:t>
      </w:r>
      <w:r w:rsidR="004B0C37">
        <w:t xml:space="preserve"> in New York</w:t>
      </w:r>
      <w:r w:rsidR="004B0C37" w:rsidRPr="00686B56">
        <w:t xml:space="preserve">, aims to improve the effectiveness and coordination of military and civil defence resources </w:t>
      </w:r>
      <w:r w:rsidR="004B0C37">
        <w:t>for natural disaster response</w:t>
      </w:r>
      <w:r w:rsidR="004B0C37" w:rsidRPr="00686B56">
        <w:t>;</w:t>
      </w:r>
    </w:p>
    <w:p w:rsidR="004B0C37" w:rsidRPr="00686B56" w:rsidRDefault="00A703EC" w:rsidP="00A703EC">
      <w:pPr>
        <w:pStyle w:val="Bullet1G"/>
        <w:numPr>
          <w:ilvl w:val="0"/>
          <w:numId w:val="0"/>
        </w:numPr>
        <w:tabs>
          <w:tab w:val="left" w:pos="1701"/>
        </w:tabs>
        <w:ind w:left="1701" w:hanging="170"/>
      </w:pPr>
      <w:r w:rsidRPr="00686B56">
        <w:t>•</w:t>
      </w:r>
      <w:r w:rsidRPr="00686B56">
        <w:tab/>
      </w:r>
      <w:r w:rsidR="009D1BD8">
        <w:t>“</w:t>
      </w:r>
      <w:r w:rsidR="004B0C37" w:rsidRPr="00686B56">
        <w:t>Protecting Education in Insecurity and Armed Conflict</w:t>
      </w:r>
      <w:r w:rsidR="009D1BD8">
        <w:t>”</w:t>
      </w:r>
      <w:r w:rsidR="009E75EF">
        <w:t xml:space="preserve"> </w:t>
      </w:r>
      <w:r w:rsidR="004B0C37" w:rsidRPr="00686B56">
        <w:t>(formerly the E</w:t>
      </w:r>
      <w:r w:rsidR="004B0C37">
        <w:t>ducation Above All Foundation) has, since 2008, sought</w:t>
      </w:r>
      <w:r w:rsidR="004B0C37" w:rsidRPr="00686B56">
        <w:t xml:space="preserve"> to protect, support and promote the right to education in current or potential zones of crisis, conflict and war;</w:t>
      </w:r>
    </w:p>
    <w:p w:rsidR="004B0C37" w:rsidRPr="00686B56" w:rsidRDefault="00A703EC" w:rsidP="00A703EC">
      <w:pPr>
        <w:pStyle w:val="Bullet1G"/>
        <w:numPr>
          <w:ilvl w:val="0"/>
          <w:numId w:val="0"/>
        </w:numPr>
        <w:tabs>
          <w:tab w:val="left" w:pos="1701"/>
        </w:tabs>
        <w:ind w:left="1701" w:hanging="170"/>
      </w:pPr>
      <w:r w:rsidRPr="00686B56">
        <w:t>•</w:t>
      </w:r>
      <w:r w:rsidRPr="00686B56">
        <w:tab/>
      </w:r>
      <w:r w:rsidR="009D1BD8">
        <w:t>“</w:t>
      </w:r>
      <w:r w:rsidR="004B0C37">
        <w:t>Al-</w:t>
      </w:r>
      <w:proofErr w:type="spellStart"/>
      <w:r w:rsidR="004B0C37">
        <w:t>Fakhoora</w:t>
      </w:r>
      <w:proofErr w:type="spellEnd"/>
      <w:r w:rsidR="009D1BD8">
        <w:t>”</w:t>
      </w:r>
      <w:r w:rsidR="004B0C37">
        <w:t xml:space="preserve"> has, since 2009, sought</w:t>
      </w:r>
      <w:r w:rsidR="004B0C37" w:rsidRPr="00686B56">
        <w:t xml:space="preserve"> to support and protect students and schools in conflict zones around the world, especially in Gaza;</w:t>
      </w:r>
    </w:p>
    <w:p w:rsidR="004B0C37" w:rsidRPr="00686B56" w:rsidRDefault="00A703EC" w:rsidP="00A703EC">
      <w:pPr>
        <w:pStyle w:val="Bullet1G"/>
        <w:numPr>
          <w:ilvl w:val="0"/>
          <w:numId w:val="0"/>
        </w:numPr>
        <w:tabs>
          <w:tab w:val="left" w:pos="1701"/>
        </w:tabs>
        <w:ind w:left="1701" w:hanging="170"/>
      </w:pPr>
      <w:r w:rsidRPr="00686B56">
        <w:t>•</w:t>
      </w:r>
      <w:r w:rsidRPr="00686B56">
        <w:tab/>
      </w:r>
      <w:r w:rsidR="009D1BD8">
        <w:t>“</w:t>
      </w:r>
      <w:r w:rsidR="004B0C37" w:rsidRPr="00686B56">
        <w:t>Educate a Child</w:t>
      </w:r>
      <w:r w:rsidR="009D1BD8">
        <w:t>”</w:t>
      </w:r>
      <w:r w:rsidR="004B0C37">
        <w:t xml:space="preserve"> seeks to reduce</w:t>
      </w:r>
      <w:r w:rsidR="004B0C37" w:rsidRPr="00686B56">
        <w:t xml:space="preserve"> the number of children around the world </w:t>
      </w:r>
      <w:r w:rsidR="004B0C37">
        <w:t>deprived of the</w:t>
      </w:r>
      <w:r w:rsidR="004B0C37" w:rsidRPr="00686B56">
        <w:t xml:space="preserve"> right to education </w:t>
      </w:r>
      <w:r w:rsidR="004B0C37">
        <w:t>because</w:t>
      </w:r>
      <w:r w:rsidR="004B0C37" w:rsidRPr="00686B56">
        <w:t xml:space="preserve"> of conflict</w:t>
      </w:r>
      <w:r w:rsidR="004B0C37">
        <w:t>, war and natural disaster</w:t>
      </w:r>
      <w:r w:rsidR="004B0C37" w:rsidRPr="00686B56">
        <w:t xml:space="preserve">, as well as children living in urban slums </w:t>
      </w:r>
      <w:r w:rsidR="004B0C37">
        <w:t xml:space="preserve">or remote, rural areas and </w:t>
      </w:r>
      <w:r w:rsidR="004B0C37" w:rsidRPr="00686B56">
        <w:t xml:space="preserve">groups </w:t>
      </w:r>
      <w:r w:rsidR="004B0C37">
        <w:t>that face</w:t>
      </w:r>
      <w:r w:rsidR="004B0C37" w:rsidRPr="00686B56">
        <w:t xml:space="preserve"> </w:t>
      </w:r>
      <w:r w:rsidR="004B0C37">
        <w:t>particular</w:t>
      </w:r>
      <w:r w:rsidR="004B0C37" w:rsidRPr="00686B56">
        <w:t xml:space="preserve"> challenges in </w:t>
      </w:r>
      <w:r w:rsidR="004B0C37">
        <w:t xml:space="preserve">accessing </w:t>
      </w:r>
      <w:r w:rsidR="004B0C37" w:rsidRPr="00686B56">
        <w:t>education, such as girls, persons with disabilities and minorities;</w:t>
      </w:r>
    </w:p>
    <w:p w:rsidR="004B0C37" w:rsidRPr="00686B56" w:rsidRDefault="00A703EC" w:rsidP="00A703EC">
      <w:pPr>
        <w:pStyle w:val="Bullet1G"/>
        <w:numPr>
          <w:ilvl w:val="0"/>
          <w:numId w:val="0"/>
        </w:numPr>
        <w:tabs>
          <w:tab w:val="left" w:pos="1701"/>
        </w:tabs>
        <w:ind w:left="1701" w:hanging="170"/>
      </w:pPr>
      <w:r w:rsidRPr="00686B56">
        <w:t>•</w:t>
      </w:r>
      <w:r w:rsidRPr="00686B56">
        <w:tab/>
      </w:r>
      <w:r w:rsidR="004B0C37" w:rsidRPr="00686B56">
        <w:t xml:space="preserve">Qatari-Mauritanian Social Development Foundation, whose activities include </w:t>
      </w:r>
      <w:r w:rsidR="004B0C37">
        <w:t>establishing literacy programmes to educate and qualify</w:t>
      </w:r>
      <w:r w:rsidR="004B0C37" w:rsidRPr="00686B56">
        <w:t xml:space="preserve"> </w:t>
      </w:r>
      <w:r w:rsidR="004B0C37">
        <w:t>children</w:t>
      </w:r>
      <w:r w:rsidR="004B0C37" w:rsidRPr="00686B56">
        <w:t xml:space="preserve"> and </w:t>
      </w:r>
      <w:r w:rsidR="004B0C37">
        <w:t xml:space="preserve">setting up </w:t>
      </w:r>
      <w:r w:rsidR="004B0C37" w:rsidRPr="00686B56">
        <w:t xml:space="preserve">micro enterprises to </w:t>
      </w:r>
      <w:r w:rsidR="004B0C37">
        <w:t>help</w:t>
      </w:r>
      <w:r w:rsidR="004B0C37" w:rsidRPr="00686B56">
        <w:t xml:space="preserve"> </w:t>
      </w:r>
      <w:r w:rsidR="004B0C37">
        <w:t>them</w:t>
      </w:r>
      <w:r w:rsidR="004B0C37" w:rsidRPr="00686B56">
        <w:t>;</w:t>
      </w:r>
    </w:p>
    <w:p w:rsidR="004B0C37" w:rsidRDefault="00A703EC" w:rsidP="00A703EC">
      <w:pPr>
        <w:pStyle w:val="Bullet1G"/>
        <w:numPr>
          <w:ilvl w:val="0"/>
          <w:numId w:val="0"/>
        </w:numPr>
        <w:tabs>
          <w:tab w:val="left" w:pos="1701"/>
        </w:tabs>
        <w:ind w:left="1701" w:hanging="170"/>
      </w:pPr>
      <w:r>
        <w:t>•</w:t>
      </w:r>
      <w:r>
        <w:tab/>
      </w:r>
      <w:r w:rsidR="004B0C37" w:rsidRPr="00686B56">
        <w:t>Qatar De</w:t>
      </w:r>
      <w:r w:rsidR="004B0C37">
        <w:t xml:space="preserve">velopment Fund </w:t>
      </w:r>
      <w:r w:rsidR="004B0C37" w:rsidRPr="00686B56">
        <w:t xml:space="preserve">aims to </w:t>
      </w:r>
      <w:r w:rsidR="004B0C37">
        <w:t>boost</w:t>
      </w:r>
      <w:r w:rsidR="004B0C37" w:rsidRPr="00686B56">
        <w:t xml:space="preserve"> </w:t>
      </w:r>
      <w:r w:rsidR="004B0C37">
        <w:t xml:space="preserve">economic growth in </w:t>
      </w:r>
      <w:r w:rsidR="004B0C37" w:rsidRPr="00686B56">
        <w:t xml:space="preserve">Arab and other developing countries </w:t>
      </w:r>
      <w:r w:rsidR="004B0C37">
        <w:t>by</w:t>
      </w:r>
      <w:r w:rsidR="004B0C37" w:rsidRPr="00686B56">
        <w:t xml:space="preserve"> implement</w:t>
      </w:r>
      <w:r w:rsidR="004B0C37">
        <w:t>ing</w:t>
      </w:r>
      <w:r w:rsidR="004B0C37" w:rsidRPr="00686B56">
        <w:t xml:space="preserve"> </w:t>
      </w:r>
      <w:r w:rsidR="004B0C37">
        <w:t>development programmes;</w:t>
      </w:r>
    </w:p>
    <w:p w:rsidR="0060531D" w:rsidRDefault="00A703EC" w:rsidP="00A703EC">
      <w:pPr>
        <w:pStyle w:val="Bullet1G"/>
        <w:numPr>
          <w:ilvl w:val="0"/>
          <w:numId w:val="0"/>
        </w:numPr>
        <w:tabs>
          <w:tab w:val="left" w:pos="1701"/>
        </w:tabs>
        <w:ind w:left="1701" w:hanging="170"/>
      </w:pPr>
      <w:r>
        <w:t>•</w:t>
      </w:r>
      <w:r>
        <w:tab/>
      </w:r>
      <w:r w:rsidR="004B0C37">
        <w:t>Qatar made a substantial contribution to the launch of the South Fund for Development and Human Circumstances, officially established by the Group of 77 and China at the second South Summit (Doha, 2005).</w:t>
      </w:r>
    </w:p>
    <w:p w:rsidR="0060531D" w:rsidRDefault="005B0D75" w:rsidP="005B0D75">
      <w:pPr>
        <w:pStyle w:val="H1G"/>
      </w:pPr>
      <w:r>
        <w:tab/>
      </w:r>
      <w:r w:rsidR="004B0C37" w:rsidRPr="009F4EF2">
        <w:t>C</w:t>
      </w:r>
      <w:r w:rsidR="00276B1C">
        <w:t>.</w:t>
      </w:r>
      <w:r w:rsidR="00276B1C">
        <w:tab/>
      </w:r>
      <w:r w:rsidR="004B0C37">
        <w:t>The r</w:t>
      </w:r>
      <w:r w:rsidR="004B0C37" w:rsidRPr="009F4EF2">
        <w:t>eporting process at national level</w:t>
      </w:r>
    </w:p>
    <w:p w:rsidR="0060531D" w:rsidRDefault="004B0C37" w:rsidP="00BB770C">
      <w:pPr>
        <w:pStyle w:val="SingleTxtG"/>
      </w:pPr>
      <w:r w:rsidRPr="00094BE6">
        <w:t>93</w:t>
      </w:r>
      <w:r w:rsidR="00276B1C">
        <w:t>.</w:t>
      </w:r>
      <w:r w:rsidR="00276B1C">
        <w:tab/>
      </w:r>
      <w:r w:rsidRPr="00094BE6">
        <w:t>Qatar is committed</w:t>
      </w:r>
      <w:r w:rsidRPr="00F46FD9">
        <w:t xml:space="preserve"> to meeting its obligations under all the international </w:t>
      </w:r>
      <w:r>
        <w:t>conventions to which it is a party.</w:t>
      </w:r>
      <w:r w:rsidR="007F4A3A">
        <w:t xml:space="preserve"> </w:t>
      </w:r>
      <w:r>
        <w:t>Both t</w:t>
      </w:r>
      <w:r w:rsidRPr="00F46FD9">
        <w:t xml:space="preserve">he Council of Ministers </w:t>
      </w:r>
      <w:r>
        <w:t>and Ministry of Foreign Affairs form</w:t>
      </w:r>
      <w:r w:rsidRPr="00F46FD9">
        <w:t xml:space="preserve"> joint committees to draft </w:t>
      </w:r>
      <w:r>
        <w:t>the State</w:t>
      </w:r>
      <w:r w:rsidR="009D1BD8">
        <w:t>’</w:t>
      </w:r>
      <w:r>
        <w:t>s</w:t>
      </w:r>
      <w:r w:rsidRPr="00F46FD9">
        <w:t xml:space="preserve"> reports on the implementation of these </w:t>
      </w:r>
      <w:r>
        <w:t>conventions</w:t>
      </w:r>
      <w:r w:rsidRPr="00F46FD9">
        <w:t>.</w:t>
      </w:r>
      <w:r w:rsidR="007F4A3A">
        <w:t xml:space="preserve"> </w:t>
      </w:r>
      <w:r>
        <w:t xml:space="preserve"> Membership of these committees consists of representatives of key government bodies.</w:t>
      </w:r>
      <w:r w:rsidR="007F4A3A">
        <w:t xml:space="preserve"> </w:t>
      </w:r>
      <w:r>
        <w:t>Once the drafting process is complete, the National Human Rights Committee is invited to present its views and suggestions.</w:t>
      </w:r>
      <w:r w:rsidR="007F4A3A">
        <w:t xml:space="preserve"> </w:t>
      </w:r>
      <w:r>
        <w:t xml:space="preserve"> </w:t>
      </w:r>
    </w:p>
    <w:p w:rsidR="0060531D" w:rsidRDefault="004B0C37" w:rsidP="00BB770C">
      <w:pPr>
        <w:pStyle w:val="SingleTxtG"/>
      </w:pPr>
      <w:r w:rsidRPr="009F4EF2">
        <w:t>94</w:t>
      </w:r>
      <w:r w:rsidR="00486817">
        <w:t>.</w:t>
      </w:r>
      <w:r w:rsidR="00486817">
        <w:tab/>
      </w:r>
      <w:r w:rsidRPr="009F4EF2">
        <w:t xml:space="preserve">The Council of Ministers </w:t>
      </w:r>
      <w:r>
        <w:t>or Ministry of Foreign Affairs form</w:t>
      </w:r>
      <w:r w:rsidRPr="009F4EF2">
        <w:t xml:space="preserve"> the delegations </w:t>
      </w:r>
      <w:r>
        <w:t>which</w:t>
      </w:r>
      <w:r w:rsidRPr="009F4EF2">
        <w:t xml:space="preserve"> present and discuss the reports with the human rights treaty bodies.</w:t>
      </w:r>
      <w:r w:rsidR="007F4A3A">
        <w:t xml:space="preserve"> </w:t>
      </w:r>
      <w:r>
        <w:t>Qatar</w:t>
      </w:r>
      <w:r w:rsidRPr="009F4EF2">
        <w:t xml:space="preserve"> </w:t>
      </w:r>
      <w:r>
        <w:t>is keen to ensure</w:t>
      </w:r>
      <w:r w:rsidRPr="009F4EF2">
        <w:t xml:space="preserve"> that delegations are </w:t>
      </w:r>
      <w:r>
        <w:t>sufficiently high-level</w:t>
      </w:r>
      <w:r w:rsidRPr="009F4EF2">
        <w:t xml:space="preserve"> and </w:t>
      </w:r>
      <w:r>
        <w:t>represent</w:t>
      </w:r>
      <w:r w:rsidRPr="009F4EF2">
        <w:t xml:space="preserve"> all the bodies </w:t>
      </w:r>
      <w:r>
        <w:t>which</w:t>
      </w:r>
      <w:r w:rsidRPr="009F4EF2">
        <w:t xml:space="preserve"> took part in </w:t>
      </w:r>
      <w:r w:rsidRPr="009F4EF2">
        <w:lastRenderedPageBreak/>
        <w:t>the drafting process.</w:t>
      </w:r>
      <w:r w:rsidR="007F4A3A">
        <w:t xml:space="preserve"> </w:t>
      </w:r>
      <w:r>
        <w:t>Furthermore, the State</w:t>
      </w:r>
      <w:r w:rsidRPr="009F4EF2">
        <w:t xml:space="preserve"> follows up the concluding observations </w:t>
      </w:r>
      <w:r>
        <w:t>made by the treaty bodies.</w:t>
      </w:r>
      <w:r w:rsidR="007F4A3A">
        <w:t xml:space="preserve"> </w:t>
      </w:r>
      <w:r w:rsidRPr="009F4EF2">
        <w:t xml:space="preserve">As the main </w:t>
      </w:r>
      <w:r>
        <w:t>stakeholder</w:t>
      </w:r>
      <w:r w:rsidRPr="009F4EF2">
        <w:t xml:space="preserve">, the Ministry of Foreign Affairs </w:t>
      </w:r>
      <w:r>
        <w:t>coordinates discussion of the concluding observations</w:t>
      </w:r>
      <w:r w:rsidRPr="009F4EF2">
        <w:t xml:space="preserve"> with all </w:t>
      </w:r>
      <w:r>
        <w:t>concerned</w:t>
      </w:r>
      <w:r w:rsidRPr="009F4EF2">
        <w:t xml:space="preserve"> bodies.</w:t>
      </w:r>
      <w:r w:rsidR="007F4A3A">
        <w:t xml:space="preserve"> </w:t>
      </w:r>
      <w:r>
        <w:t>M</w:t>
      </w:r>
      <w:r w:rsidRPr="009F4EF2">
        <w:t xml:space="preserve">inistries and other organizations </w:t>
      </w:r>
      <w:r>
        <w:t xml:space="preserve">are encouraged </w:t>
      </w:r>
      <w:r w:rsidRPr="009F4EF2">
        <w:t xml:space="preserve">to </w:t>
      </w:r>
      <w:r>
        <w:t xml:space="preserve">take these </w:t>
      </w:r>
      <w:r w:rsidRPr="009F4EF2">
        <w:t xml:space="preserve">observations </w:t>
      </w:r>
      <w:r>
        <w:t xml:space="preserve">into account </w:t>
      </w:r>
      <w:r w:rsidRPr="009F4EF2">
        <w:t xml:space="preserve">when </w:t>
      </w:r>
      <w:r>
        <w:t>formulating</w:t>
      </w:r>
      <w:r w:rsidRPr="009F4EF2">
        <w:t xml:space="preserve"> </w:t>
      </w:r>
      <w:r>
        <w:t xml:space="preserve">their </w:t>
      </w:r>
      <w:r w:rsidRPr="009F4EF2">
        <w:t>annual plans and programmes.</w:t>
      </w:r>
    </w:p>
    <w:p w:rsidR="0060531D" w:rsidRDefault="004B0C37" w:rsidP="00BB770C">
      <w:pPr>
        <w:pStyle w:val="SingleTxtG"/>
      </w:pPr>
      <w:r>
        <w:t>95</w:t>
      </w:r>
      <w:r w:rsidR="00486817">
        <w:t>.</w:t>
      </w:r>
      <w:r w:rsidR="00486817">
        <w:tab/>
      </w:r>
      <w:r>
        <w:t>Furthermore, the Council of Ministers approved the formation of a standing committee responsible for drafting reports under the Universal Periodic Review and following up recommendations made after the submission of each report.</w:t>
      </w:r>
      <w:r w:rsidR="007F4A3A">
        <w:t xml:space="preserve"> </w:t>
      </w:r>
      <w:r>
        <w:t>Formed pursuant to a decision of the Council of Ministers Decision adopted at ordinary session no. 33 (24 November 2010), the committee consists of the bodies which prepared the first report under the chairmanship of the Minister of State for Foreign Affairs and with a membership drawn from the Ministry of Foreign Affairs, Ministry of Interior, Ministry of Administrative Development, Labour and Social Affairs, Ministry of Justice, Advisory Council, Ministry of Public Health, Ministry of Culture and Sport and Ministry of Education.</w:t>
      </w:r>
    </w:p>
    <w:p w:rsidR="0060531D" w:rsidRDefault="00FD31F8" w:rsidP="00FD31F8">
      <w:pPr>
        <w:pStyle w:val="HChG"/>
      </w:pPr>
      <w:r>
        <w:tab/>
      </w:r>
      <w:r w:rsidR="004B0C37" w:rsidRPr="00887A91">
        <w:t>III.</w:t>
      </w:r>
      <w:r w:rsidR="00486817">
        <w:tab/>
      </w:r>
      <w:r w:rsidR="004B0C37" w:rsidRPr="00887A91">
        <w:t>Information on non-discrimination, equality and effective means of redress</w:t>
      </w:r>
    </w:p>
    <w:p w:rsidR="0060531D" w:rsidRDefault="00FD31F8" w:rsidP="00FD31F8">
      <w:pPr>
        <w:pStyle w:val="H1G"/>
      </w:pPr>
      <w:r>
        <w:tab/>
      </w:r>
      <w:r w:rsidR="004B0C37" w:rsidRPr="00887A91">
        <w:t>A</w:t>
      </w:r>
      <w:r w:rsidR="00486817">
        <w:t>.</w:t>
      </w:r>
      <w:r w:rsidR="00486817">
        <w:tab/>
      </w:r>
      <w:r w:rsidR="004B0C37" w:rsidRPr="00887A91">
        <w:t>Non-Discrimination and equality</w:t>
      </w:r>
    </w:p>
    <w:p w:rsidR="0060531D" w:rsidRDefault="004B0C37" w:rsidP="00BB770C">
      <w:pPr>
        <w:pStyle w:val="SingleTxtG"/>
      </w:pPr>
      <w:r>
        <w:t>96</w:t>
      </w:r>
      <w:r w:rsidR="00486817">
        <w:t>.</w:t>
      </w:r>
      <w:r w:rsidR="00486817">
        <w:tab/>
      </w:r>
      <w:r w:rsidRPr="001D56AB">
        <w:t xml:space="preserve">The legal framework </w:t>
      </w:r>
      <w:r>
        <w:t>enshrining</w:t>
      </w:r>
      <w:r w:rsidRPr="001D56AB">
        <w:t xml:space="preserve"> the principles of equality and protection from discrimination is</w:t>
      </w:r>
      <w:r>
        <w:t xml:space="preserve"> adopted</w:t>
      </w:r>
      <w:r w:rsidRPr="001D56AB">
        <w:t xml:space="preserve"> in </w:t>
      </w:r>
      <w:r>
        <w:t>part II,</w:t>
      </w:r>
      <w:r w:rsidRPr="001D56AB">
        <w:t xml:space="preserve"> articles 18 and 19</w:t>
      </w:r>
      <w:r>
        <w:t xml:space="preserve"> of </w:t>
      </w:r>
      <w:r w:rsidRPr="001D56AB">
        <w:t xml:space="preserve">the </w:t>
      </w:r>
      <w:r>
        <w:t>Permanent Constitution</w:t>
      </w:r>
      <w:r w:rsidRPr="001D56AB">
        <w:t xml:space="preserve">, </w:t>
      </w:r>
      <w:r>
        <w:t>on</w:t>
      </w:r>
      <w:r w:rsidRPr="001D56AB">
        <w:t xml:space="preserve"> </w:t>
      </w:r>
      <w:r w:rsidR="009D1BD8">
        <w:t>“</w:t>
      </w:r>
      <w:r w:rsidRPr="001D56AB">
        <w:t xml:space="preserve">the </w:t>
      </w:r>
      <w:r>
        <w:t>guiding principles</w:t>
      </w:r>
      <w:r w:rsidRPr="001D56AB">
        <w:t xml:space="preserve"> of society</w:t>
      </w:r>
      <w:r w:rsidR="009D1BD8">
        <w:t>”</w:t>
      </w:r>
      <w:r w:rsidRPr="001D56AB">
        <w:t>.</w:t>
      </w:r>
      <w:r w:rsidR="007F4A3A">
        <w:t xml:space="preserve"> </w:t>
      </w:r>
      <w:r w:rsidRPr="001D56AB">
        <w:t xml:space="preserve">Article 18 </w:t>
      </w:r>
      <w:r>
        <w:t>stipulates</w:t>
      </w:r>
      <w:r w:rsidRPr="001D56AB">
        <w:t xml:space="preserve">: </w:t>
      </w:r>
      <w:r w:rsidR="009D1BD8">
        <w:t>“</w:t>
      </w:r>
      <w:r w:rsidRPr="001D56AB">
        <w:t>Qatari society is based on the values of justice, benevolence, freedom, equality, and high morals</w:t>
      </w:r>
      <w:r>
        <w:t>.</w:t>
      </w:r>
      <w:r w:rsidR="009D1BD8">
        <w:t>”</w:t>
      </w:r>
      <w:r w:rsidR="007F4A3A">
        <w:t xml:space="preserve"> </w:t>
      </w:r>
      <w:r>
        <w:t>The principles contained in article 18, one of which is equality, are given support by</w:t>
      </w:r>
      <w:r w:rsidRPr="001D56AB">
        <w:t xml:space="preserve"> article 19 of the Constitution, which affirms: </w:t>
      </w:r>
      <w:r w:rsidR="009D1BD8">
        <w:t>“</w:t>
      </w:r>
      <w:r w:rsidRPr="00D962C4">
        <w:t>T</w:t>
      </w:r>
      <w:r w:rsidRPr="00D962C4">
        <w:rPr>
          <w:color w:val="2C2C2C"/>
        </w:rPr>
        <w:t>he State shall safeguard the foundations of society and ensure security, stability and equal opportunities for all citizens.</w:t>
      </w:r>
      <w:r w:rsidR="009D1BD8">
        <w:t>”</w:t>
      </w:r>
      <w:r w:rsidR="007F4A3A">
        <w:t xml:space="preserve"> </w:t>
      </w:r>
      <w:r>
        <w:t>Accordingly,</w:t>
      </w:r>
      <w:r w:rsidRPr="001D56AB">
        <w:t xml:space="preserve"> all State policies must </w:t>
      </w:r>
      <w:r>
        <w:t>embrace</w:t>
      </w:r>
      <w:r w:rsidRPr="001D56AB">
        <w:t xml:space="preserve"> and </w:t>
      </w:r>
      <w:r>
        <w:t>ensure</w:t>
      </w:r>
      <w:r w:rsidRPr="001D56AB">
        <w:t xml:space="preserve"> the </w:t>
      </w:r>
      <w:r>
        <w:t xml:space="preserve">guiding </w:t>
      </w:r>
      <w:r w:rsidRPr="001D56AB">
        <w:t xml:space="preserve">principles </w:t>
      </w:r>
      <w:r>
        <w:t>enshrined</w:t>
      </w:r>
      <w:r w:rsidRPr="001D56AB">
        <w:t xml:space="preserve"> in article 18 of the Constitution, including the principle of equality.</w:t>
      </w:r>
      <w:r w:rsidR="007F4A3A">
        <w:t xml:space="preserve"> </w:t>
      </w:r>
      <w:r w:rsidRPr="001D56AB">
        <w:t xml:space="preserve">Equality </w:t>
      </w:r>
      <w:r>
        <w:t>must</w:t>
      </w:r>
      <w:r w:rsidRPr="001D56AB">
        <w:t xml:space="preserve"> be viewed as a noble principle</w:t>
      </w:r>
      <w:r>
        <w:t>,</w:t>
      </w:r>
      <w:r w:rsidRPr="001D56AB">
        <w:t xml:space="preserve"> </w:t>
      </w:r>
      <w:r>
        <w:t>enjoying guaranteed</w:t>
      </w:r>
      <w:r w:rsidRPr="001D56AB">
        <w:t xml:space="preserve"> cons</w:t>
      </w:r>
      <w:r>
        <w:t xml:space="preserve">titutional protection in Qatar; </w:t>
      </w:r>
      <w:r w:rsidRPr="001D56AB">
        <w:t xml:space="preserve">no law or </w:t>
      </w:r>
      <w:r>
        <w:t>legislation</w:t>
      </w:r>
      <w:r w:rsidRPr="001D56AB">
        <w:t xml:space="preserve"> may be enacted that undermines this principle.</w:t>
      </w:r>
      <w:r w:rsidR="007F4A3A">
        <w:t xml:space="preserve"> </w:t>
      </w:r>
      <w:r w:rsidRPr="001D56AB">
        <w:t>The establishment of the Supreme Consti</w:t>
      </w:r>
      <w:r>
        <w:t>tutional Court by Act No. 12 (</w:t>
      </w:r>
      <w:r w:rsidRPr="001D56AB">
        <w:t>2008</w:t>
      </w:r>
      <w:r>
        <w:t>),</w:t>
      </w:r>
      <w:r w:rsidRPr="001D56AB">
        <w:t xml:space="preserve"> </w:t>
      </w:r>
      <w:r>
        <w:t xml:space="preserve">promulgated on 18 June 2008, </w:t>
      </w:r>
      <w:r w:rsidRPr="001D56AB">
        <w:t>further boosted t</w:t>
      </w:r>
      <w:r>
        <w:t xml:space="preserve">he protection accorded the </w:t>
      </w:r>
      <w:r w:rsidRPr="001D56AB">
        <w:t>pr</w:t>
      </w:r>
      <w:r>
        <w:t>inciple of equality under the Constitution.</w:t>
      </w:r>
      <w:r w:rsidR="007F4A3A">
        <w:t xml:space="preserve"> </w:t>
      </w:r>
      <w:r>
        <w:t>T</w:t>
      </w:r>
      <w:r w:rsidRPr="001D56AB">
        <w:t>he Court adjudicates in disputes over the constitutionality of laws and regulations.</w:t>
      </w:r>
    </w:p>
    <w:p w:rsidR="0060531D" w:rsidRDefault="004B0C37" w:rsidP="00BB770C">
      <w:pPr>
        <w:pStyle w:val="SingleTxtG"/>
      </w:pPr>
      <w:r>
        <w:t>97</w:t>
      </w:r>
      <w:r w:rsidR="00486817">
        <w:t>.</w:t>
      </w:r>
      <w:r w:rsidR="00486817">
        <w:tab/>
      </w:r>
      <w:r w:rsidRPr="001D56AB">
        <w:t xml:space="preserve">The general principle of equality </w:t>
      </w:r>
      <w:r>
        <w:t>stated</w:t>
      </w:r>
      <w:r w:rsidRPr="001D56AB">
        <w:t xml:space="preserve"> in article 18 of the Constitution is </w:t>
      </w:r>
      <w:r>
        <w:t>elaborated</w:t>
      </w:r>
      <w:r w:rsidRPr="001D56AB">
        <w:t xml:space="preserve"> in detail in</w:t>
      </w:r>
      <w:r>
        <w:t xml:space="preserve"> part III, articles 34 and 35</w:t>
      </w:r>
      <w:r w:rsidRPr="001D56AB">
        <w:t xml:space="preserve">, </w:t>
      </w:r>
      <w:r>
        <w:t>on</w:t>
      </w:r>
      <w:r w:rsidRPr="001D56AB">
        <w:t xml:space="preserve"> </w:t>
      </w:r>
      <w:r>
        <w:t>public rights and duties.</w:t>
      </w:r>
      <w:r w:rsidR="007F4A3A">
        <w:t xml:space="preserve"> </w:t>
      </w:r>
      <w:r>
        <w:t>Thus a</w:t>
      </w:r>
      <w:r w:rsidRPr="001D56AB">
        <w:t xml:space="preserve">rticle 34 </w:t>
      </w:r>
      <w:r>
        <w:t>stipulates</w:t>
      </w:r>
      <w:r w:rsidRPr="001D56AB">
        <w:t xml:space="preserve">: </w:t>
      </w:r>
      <w:r w:rsidR="009D1BD8">
        <w:t>“</w:t>
      </w:r>
      <w:r w:rsidRPr="001D56AB">
        <w:t xml:space="preserve">Citizens </w:t>
      </w:r>
      <w:r>
        <w:t>shall be</w:t>
      </w:r>
      <w:r w:rsidRPr="001D56AB">
        <w:t xml:space="preserve"> equal </w:t>
      </w:r>
      <w:r>
        <w:t xml:space="preserve">in respect of </w:t>
      </w:r>
      <w:r w:rsidRPr="001D56AB">
        <w:t>rights and obligations</w:t>
      </w:r>
      <w:r>
        <w:t xml:space="preserve">. </w:t>
      </w:r>
      <w:r w:rsidR="009D1BD8">
        <w:t>“</w:t>
      </w:r>
      <w:r>
        <w:t>A</w:t>
      </w:r>
      <w:r w:rsidRPr="001D56AB">
        <w:t xml:space="preserve">rticle 35 affirms the right </w:t>
      </w:r>
      <w:r>
        <w:t>to</w:t>
      </w:r>
      <w:r w:rsidRPr="001D56AB">
        <w:t xml:space="preserve"> equality before the law and </w:t>
      </w:r>
      <w:r>
        <w:t>non-discrimination, stipulating</w:t>
      </w:r>
      <w:r w:rsidRPr="001D56AB">
        <w:t xml:space="preserve">: </w:t>
      </w:r>
      <w:r w:rsidR="009D1BD8">
        <w:t>“</w:t>
      </w:r>
      <w:r w:rsidRPr="001D56AB">
        <w:t>All per</w:t>
      </w:r>
      <w:r>
        <w:t>sons are equal before the law and t</w:t>
      </w:r>
      <w:r w:rsidRPr="001D56AB">
        <w:t>here shall be no discrimination between them on grounds of sex, origin, language or religion</w:t>
      </w:r>
      <w:r>
        <w:t>.</w:t>
      </w:r>
      <w:r w:rsidR="009D1BD8">
        <w:t>”</w:t>
      </w:r>
      <w:r w:rsidR="007F4A3A">
        <w:t xml:space="preserve"> </w:t>
      </w:r>
      <w:r>
        <w:t>A</w:t>
      </w:r>
      <w:r w:rsidRPr="001D56AB">
        <w:t xml:space="preserve">rticles 34–58 of the Constitution </w:t>
      </w:r>
      <w:r>
        <w:t>guarantee</w:t>
      </w:r>
      <w:r w:rsidRPr="001D56AB">
        <w:t xml:space="preserve"> fundamental rights and freedoms based on the principle that rights are integrat</w:t>
      </w:r>
      <w:r>
        <w:t>ed, interrelated, interlinked and indivisible. Accordingly, t</w:t>
      </w:r>
      <w:r w:rsidRPr="001D56AB">
        <w:t xml:space="preserve">he Constitution </w:t>
      </w:r>
      <w:r>
        <w:rPr>
          <w:color w:val="000000"/>
        </w:rPr>
        <w:t>provides guarantees of equal economic, social, cultural, civil and political rights</w:t>
      </w:r>
      <w:r>
        <w:t>.</w:t>
      </w:r>
      <w:r w:rsidR="007F4A3A">
        <w:t xml:space="preserve"> </w:t>
      </w:r>
      <w:r>
        <w:t>P</w:t>
      </w:r>
      <w:r w:rsidRPr="001D56AB">
        <w:t xml:space="preserve">art III of the Constitution </w:t>
      </w:r>
      <w:r>
        <w:t>further guarantees</w:t>
      </w:r>
      <w:r w:rsidRPr="001D56AB">
        <w:t xml:space="preserve"> human rights</w:t>
      </w:r>
      <w:r>
        <w:t xml:space="preserve"> in Qatar by enshrining</w:t>
      </w:r>
      <w:r w:rsidRPr="001D56AB">
        <w:t xml:space="preserve"> </w:t>
      </w:r>
      <w:r>
        <w:t>public</w:t>
      </w:r>
      <w:r w:rsidRPr="001D56AB">
        <w:t xml:space="preserve"> rights and freedoms as legal provisions at the very heart of the Constitution, </w:t>
      </w:r>
      <w:r>
        <w:t>according</w:t>
      </w:r>
      <w:r w:rsidRPr="001D56AB">
        <w:t xml:space="preserve"> them primacy over ordinary laws and making them binding. </w:t>
      </w:r>
    </w:p>
    <w:p w:rsidR="0060531D" w:rsidRDefault="004B0C37" w:rsidP="00BB770C">
      <w:pPr>
        <w:pStyle w:val="SingleTxtG"/>
      </w:pPr>
      <w:r>
        <w:t>98</w:t>
      </w:r>
      <w:r w:rsidR="00486817">
        <w:t>.</w:t>
      </w:r>
      <w:r w:rsidR="00486817">
        <w:tab/>
      </w:r>
      <w:r>
        <w:t xml:space="preserve">The aforementioned constitutional protection of the right to equality and non-discrimination has been strengthened by accession to the </w:t>
      </w:r>
      <w:r w:rsidRPr="00EE5B99">
        <w:t xml:space="preserve">International Convention on the Elimination of All Forms of Racial Discrimination </w:t>
      </w:r>
      <w:r>
        <w:t>in 1976.</w:t>
      </w:r>
      <w:r w:rsidR="007F4A3A">
        <w:t xml:space="preserve"> </w:t>
      </w:r>
      <w:r>
        <w:t>Under article 68 of the Permanent Constitution, which explicitly states that treaties and conventions</w:t>
      </w:r>
      <w:r w:rsidRPr="00867D2B">
        <w:t xml:space="preserve"> </w:t>
      </w:r>
      <w:r>
        <w:t>shall have the force of law once they have been ratified and published in the Official Gazette, the provisions of the Convention acquired the force of law in the State of Qatar with no obstacle to their application by the courts.</w:t>
      </w:r>
      <w:r w:rsidR="007F4A3A">
        <w:t xml:space="preserve"> </w:t>
      </w:r>
      <w:r>
        <w:t xml:space="preserve">Furthermore, article 16 of the Permanent Constitution explicitly </w:t>
      </w:r>
      <w:r w:rsidRPr="004E4BB5">
        <w:t xml:space="preserve">states: </w:t>
      </w:r>
      <w:r w:rsidR="009D1BD8">
        <w:t>“</w:t>
      </w:r>
      <w:r w:rsidRPr="004E4BB5">
        <w:rPr>
          <w:color w:val="000000"/>
        </w:rPr>
        <w:t xml:space="preserve">The State shall respect international </w:t>
      </w:r>
      <w:r>
        <w:rPr>
          <w:color w:val="000000"/>
        </w:rPr>
        <w:t>agreements</w:t>
      </w:r>
      <w:r w:rsidRPr="004E4BB5">
        <w:rPr>
          <w:color w:val="000000"/>
        </w:rPr>
        <w:t xml:space="preserve"> and </w:t>
      </w:r>
      <w:r>
        <w:rPr>
          <w:color w:val="000000"/>
        </w:rPr>
        <w:t>charters</w:t>
      </w:r>
      <w:r w:rsidRPr="004E4BB5">
        <w:rPr>
          <w:color w:val="000000"/>
        </w:rPr>
        <w:t xml:space="preserve"> and strive to implemen</w:t>
      </w:r>
      <w:r>
        <w:rPr>
          <w:color w:val="000000"/>
        </w:rPr>
        <w:t xml:space="preserve">t all international treaties and </w:t>
      </w:r>
      <w:r w:rsidRPr="004E4BB5">
        <w:rPr>
          <w:color w:val="000000"/>
        </w:rPr>
        <w:t xml:space="preserve">conventions </w:t>
      </w:r>
      <w:r>
        <w:rPr>
          <w:color w:val="000000"/>
        </w:rPr>
        <w:t>to which it is a party</w:t>
      </w:r>
      <w:r w:rsidR="00BE09A9">
        <w:rPr>
          <w:color w:val="000000"/>
        </w:rPr>
        <w:t>.</w:t>
      </w:r>
      <w:r w:rsidR="009D1BD8">
        <w:rPr>
          <w:color w:val="000000"/>
        </w:rPr>
        <w:t>”</w:t>
      </w:r>
    </w:p>
    <w:p w:rsidR="004B0C37" w:rsidRDefault="004B0C37" w:rsidP="00BB770C">
      <w:pPr>
        <w:pStyle w:val="SingleTxtG"/>
      </w:pPr>
      <w:r>
        <w:lastRenderedPageBreak/>
        <w:t>99</w:t>
      </w:r>
      <w:r w:rsidR="00486817">
        <w:t>.</w:t>
      </w:r>
      <w:r w:rsidR="00486817">
        <w:tab/>
      </w:r>
      <w:r>
        <w:t>In addition to the aforementioned constitutional protection, there are a number of laws whose provisions are consistent with the principle of non-discrimination.</w:t>
      </w:r>
      <w:r w:rsidR="007F4A3A">
        <w:t xml:space="preserve"> </w:t>
      </w:r>
      <w:r>
        <w:t>These include:</w:t>
      </w:r>
    </w:p>
    <w:p w:rsidR="004B0C37" w:rsidRDefault="00A703EC" w:rsidP="00A703EC">
      <w:pPr>
        <w:pStyle w:val="Bullet1G"/>
        <w:numPr>
          <w:ilvl w:val="0"/>
          <w:numId w:val="0"/>
        </w:numPr>
        <w:tabs>
          <w:tab w:val="left" w:pos="1701"/>
        </w:tabs>
        <w:ind w:left="1701" w:hanging="170"/>
      </w:pPr>
      <w:r>
        <w:t>•</w:t>
      </w:r>
      <w:r>
        <w:tab/>
      </w:r>
      <w:r w:rsidR="004B0C37">
        <w:t>Publications and Publishing Act No. 8 (1979);</w:t>
      </w:r>
    </w:p>
    <w:p w:rsidR="004B0C37" w:rsidRDefault="00A703EC" w:rsidP="00A703EC">
      <w:pPr>
        <w:pStyle w:val="Bullet1G"/>
        <w:numPr>
          <w:ilvl w:val="0"/>
          <w:numId w:val="0"/>
        </w:numPr>
        <w:tabs>
          <w:tab w:val="left" w:pos="1701"/>
        </w:tabs>
        <w:ind w:left="1701" w:hanging="170"/>
      </w:pPr>
      <w:r>
        <w:t>•</w:t>
      </w:r>
      <w:r>
        <w:tab/>
      </w:r>
      <w:r w:rsidR="004B0C37">
        <w:t>Code of Civil and Commercial Procedure No. 13 (1993);</w:t>
      </w:r>
    </w:p>
    <w:p w:rsidR="004B0C37" w:rsidRDefault="00A703EC" w:rsidP="00A703EC">
      <w:pPr>
        <w:pStyle w:val="Bullet1G"/>
        <w:numPr>
          <w:ilvl w:val="0"/>
          <w:numId w:val="0"/>
        </w:numPr>
        <w:tabs>
          <w:tab w:val="left" w:pos="1701"/>
        </w:tabs>
        <w:ind w:left="1701" w:hanging="170"/>
      </w:pPr>
      <w:r>
        <w:t>•</w:t>
      </w:r>
      <w:r>
        <w:tab/>
      </w:r>
      <w:r w:rsidR="004B0C37">
        <w:t>Labour Law No. 14 (2004, amended);</w:t>
      </w:r>
    </w:p>
    <w:p w:rsidR="004B0C37" w:rsidRDefault="00A703EC" w:rsidP="00A703EC">
      <w:pPr>
        <w:pStyle w:val="Bullet1G"/>
        <w:numPr>
          <w:ilvl w:val="0"/>
          <w:numId w:val="0"/>
        </w:numPr>
        <w:tabs>
          <w:tab w:val="left" w:pos="1701"/>
        </w:tabs>
        <w:ind w:left="1701" w:hanging="170"/>
      </w:pPr>
      <w:r>
        <w:t>•</w:t>
      </w:r>
      <w:r>
        <w:tab/>
      </w:r>
      <w:r w:rsidR="004B0C37">
        <w:t>Code of Criminal Procedure No. 23 (2004), which affirms equality between all persons on the territory of the State, whether citizens or residents, in respect of criminal litigation, collection of evidence, investigation, trial and enforcement of judgment, without any distinction or discrimination whatsoever;</w:t>
      </w:r>
    </w:p>
    <w:p w:rsidR="004B0C37" w:rsidRDefault="00A703EC" w:rsidP="00A703EC">
      <w:pPr>
        <w:pStyle w:val="Bullet1G"/>
        <w:numPr>
          <w:ilvl w:val="0"/>
          <w:numId w:val="0"/>
        </w:numPr>
        <w:tabs>
          <w:tab w:val="left" w:pos="1701"/>
        </w:tabs>
        <w:ind w:left="1701" w:hanging="170"/>
      </w:pPr>
      <w:r>
        <w:t>•</w:t>
      </w:r>
      <w:r>
        <w:tab/>
      </w:r>
      <w:r w:rsidR="004B0C37">
        <w:t>The provisions of the Civil Act No. 22 (2004) do not discriminate between citizen and resident in respect of the civil rights provided for under the Act;</w:t>
      </w:r>
    </w:p>
    <w:p w:rsidR="004B0C37" w:rsidRDefault="00A703EC" w:rsidP="00A703EC">
      <w:pPr>
        <w:pStyle w:val="Bullet1G"/>
        <w:numPr>
          <w:ilvl w:val="0"/>
          <w:numId w:val="0"/>
        </w:numPr>
        <w:tabs>
          <w:tab w:val="left" w:pos="1701"/>
        </w:tabs>
        <w:ind w:left="1701" w:hanging="170"/>
      </w:pPr>
      <w:r>
        <w:t>•</w:t>
      </w:r>
      <w:r>
        <w:tab/>
      </w:r>
      <w:r w:rsidR="004B0C37">
        <w:t>Family Act No. 22 (2006);</w:t>
      </w:r>
    </w:p>
    <w:p w:rsidR="004B0C37" w:rsidRDefault="00A703EC" w:rsidP="00A703EC">
      <w:pPr>
        <w:pStyle w:val="Bullet1G"/>
        <w:numPr>
          <w:ilvl w:val="0"/>
          <w:numId w:val="0"/>
        </w:numPr>
        <w:tabs>
          <w:tab w:val="left" w:pos="1701"/>
        </w:tabs>
        <w:ind w:left="1701" w:hanging="170"/>
      </w:pPr>
      <w:r>
        <w:t>•</w:t>
      </w:r>
      <w:r>
        <w:tab/>
      </w:r>
      <w:r w:rsidR="004B0C37" w:rsidRPr="00791F4B">
        <w:t>Act No. 7 (2007), on the settlement of administrative disputes</w:t>
      </w:r>
      <w:r w:rsidR="004B0C37">
        <w:t>;</w:t>
      </w:r>
    </w:p>
    <w:p w:rsidR="004B0C37" w:rsidRPr="00A9653F" w:rsidRDefault="00A703EC" w:rsidP="00A703EC">
      <w:pPr>
        <w:pStyle w:val="Bullet1G"/>
        <w:numPr>
          <w:ilvl w:val="0"/>
          <w:numId w:val="0"/>
        </w:numPr>
        <w:tabs>
          <w:tab w:val="left" w:pos="1701"/>
        </w:tabs>
        <w:ind w:left="1701" w:hanging="170"/>
      </w:pPr>
      <w:r w:rsidRPr="00A9653F">
        <w:t>•</w:t>
      </w:r>
      <w:r w:rsidRPr="00A9653F">
        <w:tab/>
      </w:r>
      <w:r w:rsidR="004B0C37" w:rsidRPr="00A9653F">
        <w:t>Supreme Constitutional Court</w:t>
      </w:r>
      <w:r w:rsidR="004B0C37">
        <w:t xml:space="preserve"> Act No. 12 (</w:t>
      </w:r>
      <w:r w:rsidR="004B0C37" w:rsidRPr="00A9653F">
        <w:t>2008</w:t>
      </w:r>
      <w:r w:rsidR="004B0C37">
        <w:t>)</w:t>
      </w:r>
      <w:r w:rsidR="004B0C37" w:rsidRPr="00A9653F">
        <w:t>;</w:t>
      </w:r>
    </w:p>
    <w:p w:rsidR="004B0C37" w:rsidRPr="00A9653F" w:rsidRDefault="00A703EC" w:rsidP="00A703EC">
      <w:pPr>
        <w:pStyle w:val="Bullet1G"/>
        <w:numPr>
          <w:ilvl w:val="0"/>
          <w:numId w:val="0"/>
        </w:numPr>
        <w:tabs>
          <w:tab w:val="left" w:pos="1701"/>
        </w:tabs>
        <w:ind w:left="1701" w:hanging="170"/>
      </w:pPr>
      <w:r w:rsidRPr="00A9653F">
        <w:t>•</w:t>
      </w:r>
      <w:r w:rsidRPr="00A9653F">
        <w:tab/>
      </w:r>
      <w:r w:rsidR="004B0C37">
        <w:t xml:space="preserve">Act No. 19 (2008), on </w:t>
      </w:r>
      <w:r w:rsidR="004B0C37" w:rsidRPr="00A9653F">
        <w:t>determining the amount of blood money (</w:t>
      </w:r>
      <w:proofErr w:type="spellStart"/>
      <w:r w:rsidR="004B0C37" w:rsidRPr="00A9653F">
        <w:rPr>
          <w:i/>
          <w:iCs/>
        </w:rPr>
        <w:t>diyah</w:t>
      </w:r>
      <w:proofErr w:type="spellEnd"/>
      <w:r w:rsidR="004B0C37" w:rsidRPr="00A9653F">
        <w:t>) payable for manslaughter;</w:t>
      </w:r>
    </w:p>
    <w:p w:rsidR="004B0C37" w:rsidRDefault="00A703EC" w:rsidP="00A703EC">
      <w:pPr>
        <w:pStyle w:val="Bullet1G"/>
        <w:numPr>
          <w:ilvl w:val="0"/>
          <w:numId w:val="0"/>
        </w:numPr>
        <w:tabs>
          <w:tab w:val="left" w:pos="1701"/>
        </w:tabs>
        <w:ind w:left="1701" w:hanging="170"/>
      </w:pPr>
      <w:r>
        <w:t>•</w:t>
      </w:r>
      <w:r>
        <w:tab/>
      </w:r>
      <w:r w:rsidR="004B0C37">
        <w:t>Penal Code No. 11 (2004), as amended by Act No.8 (2010);</w:t>
      </w:r>
    </w:p>
    <w:p w:rsidR="004B0C37" w:rsidRDefault="00A703EC" w:rsidP="00A703EC">
      <w:pPr>
        <w:pStyle w:val="Bullet1G"/>
        <w:numPr>
          <w:ilvl w:val="0"/>
          <w:numId w:val="0"/>
        </w:numPr>
        <w:tabs>
          <w:tab w:val="left" w:pos="1701"/>
        </w:tabs>
        <w:ind w:left="1701" w:hanging="170"/>
      </w:pPr>
      <w:r>
        <w:t>•</w:t>
      </w:r>
      <w:r>
        <w:tab/>
      </w:r>
      <w:r w:rsidR="004B0C37">
        <w:t>Act No. 15 (2011), on combating human trafficking;</w:t>
      </w:r>
    </w:p>
    <w:p w:rsidR="004B0C37" w:rsidRPr="006D21F5" w:rsidRDefault="00A703EC" w:rsidP="00A703EC">
      <w:pPr>
        <w:pStyle w:val="Bullet1G"/>
        <w:numPr>
          <w:ilvl w:val="0"/>
          <w:numId w:val="0"/>
        </w:numPr>
        <w:tabs>
          <w:tab w:val="left" w:pos="1701"/>
        </w:tabs>
        <w:ind w:left="1701" w:hanging="170"/>
      </w:pPr>
      <w:r w:rsidRPr="006D21F5">
        <w:t>•</w:t>
      </w:r>
      <w:r w:rsidRPr="006D21F5">
        <w:tab/>
      </w:r>
      <w:r w:rsidR="004B0C37">
        <w:t>Act No. 14 (2014), on the prevention of cybercrime;</w:t>
      </w:r>
    </w:p>
    <w:p w:rsidR="004B0C37" w:rsidRPr="00B13E06" w:rsidRDefault="00A703EC" w:rsidP="00A703EC">
      <w:pPr>
        <w:pStyle w:val="Bullet1G"/>
        <w:numPr>
          <w:ilvl w:val="0"/>
          <w:numId w:val="0"/>
        </w:numPr>
        <w:tabs>
          <w:tab w:val="left" w:pos="1701"/>
        </w:tabs>
        <w:ind w:left="1701" w:hanging="170"/>
      </w:pPr>
      <w:r w:rsidRPr="00B13E06">
        <w:t>•</w:t>
      </w:r>
      <w:r w:rsidRPr="00B13E06">
        <w:tab/>
      </w:r>
      <w:r w:rsidR="004B0C37">
        <w:t>Act No. 21 (2015, amended), regulating the entry, exit and residence of migrant workers;</w:t>
      </w:r>
    </w:p>
    <w:p w:rsidR="0060531D" w:rsidRDefault="00A703EC" w:rsidP="00A703EC">
      <w:pPr>
        <w:pStyle w:val="Bullet1G"/>
        <w:numPr>
          <w:ilvl w:val="0"/>
          <w:numId w:val="0"/>
        </w:numPr>
        <w:tabs>
          <w:tab w:val="left" w:pos="1701"/>
        </w:tabs>
        <w:ind w:left="1701" w:hanging="170"/>
      </w:pPr>
      <w:r>
        <w:t>•</w:t>
      </w:r>
      <w:r>
        <w:tab/>
      </w:r>
      <w:r w:rsidR="004B0C37">
        <w:t>Act No. 13 (2016), on protecting the privacy of personal data.</w:t>
      </w:r>
    </w:p>
    <w:p w:rsidR="0060531D" w:rsidRDefault="004B0C37" w:rsidP="00BB770C">
      <w:pPr>
        <w:pStyle w:val="SingleTxtG"/>
      </w:pPr>
      <w:r>
        <w:t>100</w:t>
      </w:r>
      <w:r w:rsidR="00486817">
        <w:t>.</w:t>
      </w:r>
      <w:r w:rsidR="00486817">
        <w:tab/>
      </w:r>
      <w:r>
        <w:t>The Civil Human Resources Act</w:t>
      </w:r>
      <w:r w:rsidRPr="00C12B36">
        <w:t xml:space="preserve"> </w:t>
      </w:r>
      <w:r>
        <w:t>No. 15 (2016), affirms the principle of equality and non-discrimination among employees in respect of rights and duties.</w:t>
      </w:r>
    </w:p>
    <w:p w:rsidR="0060531D" w:rsidRDefault="004B0C37" w:rsidP="00BB770C">
      <w:pPr>
        <w:pStyle w:val="SingleTxtG"/>
      </w:pPr>
      <w:r>
        <w:t>101</w:t>
      </w:r>
      <w:r w:rsidR="00486817">
        <w:t>.</w:t>
      </w:r>
      <w:r w:rsidR="00486817">
        <w:tab/>
      </w:r>
      <w:r>
        <w:t>Qatari legislation seeks to close any loopholes that could be used to fuel racial conflict or promote racist practices.</w:t>
      </w:r>
      <w:r w:rsidR="007F4A3A">
        <w:t xml:space="preserve"> </w:t>
      </w:r>
      <w:r>
        <w:t>Thus article 47 of the Publications and Publishing Act No. 8 (1979) prohibits the publication of anything designed to spread discord in the community or incite racial, sectarian or religious strife.</w:t>
      </w:r>
      <w:r w:rsidR="007F4A3A">
        <w:t xml:space="preserve"> </w:t>
      </w:r>
      <w:r>
        <w:t>Under article 47, offences carry a term of up to six months in prison or a fine of up to 3,000 riyals, as stipulated in the Penal Code.</w:t>
      </w:r>
      <w:r w:rsidR="007F4A3A">
        <w:t xml:space="preserve"> </w:t>
      </w:r>
      <w:r>
        <w:t xml:space="preserve">Article 2 (11) of a decision of the Minister of Information and Culture in 1992, on the guidelines and rules for censorship, stipulates that no censorship body in the Ministry of Information and Culture dealing with printed and </w:t>
      </w:r>
      <w:proofErr w:type="spellStart"/>
      <w:r>
        <w:t>audiovisual</w:t>
      </w:r>
      <w:proofErr w:type="spellEnd"/>
      <w:r>
        <w:t xml:space="preserve"> materials may permit the circulation, broadcast, display or advertising of any work depicting a human being or ethnic group in a derogatory manner, unless necessary to create a positive impression for a noble purpose, such as combating racial discrimination.</w:t>
      </w:r>
    </w:p>
    <w:p w:rsidR="004B0C37" w:rsidRPr="00007770" w:rsidRDefault="004B0C37" w:rsidP="00BB770C">
      <w:pPr>
        <w:pStyle w:val="SingleTxtG"/>
      </w:pPr>
      <w:r>
        <w:t>102</w:t>
      </w:r>
      <w:r w:rsidR="00486817">
        <w:t>.</w:t>
      </w:r>
      <w:r w:rsidR="00486817">
        <w:tab/>
      </w:r>
      <w:r>
        <w:t xml:space="preserve">Furthermore, article 256 </w:t>
      </w:r>
      <w:r w:rsidRPr="00007770">
        <w:t xml:space="preserve">of the Qatari </w:t>
      </w:r>
      <w:r>
        <w:t>Penal Code (</w:t>
      </w:r>
      <w:r w:rsidRPr="00007770">
        <w:t>2004</w:t>
      </w:r>
      <w:r>
        <w:t>) as amended by Act No. 8 (2010),</w:t>
      </w:r>
      <w:r w:rsidRPr="00007770">
        <w:t xml:space="preserve"> makes it an offence to </w:t>
      </w:r>
      <w:r>
        <w:t>insult</w:t>
      </w:r>
      <w:r w:rsidRPr="00007770">
        <w:t xml:space="preserve"> the revealed religions, </w:t>
      </w:r>
      <w:r>
        <w:t xml:space="preserve">commit blasphemy, traduce the </w:t>
      </w:r>
      <w:r w:rsidRPr="00007770">
        <w:t>prophet</w:t>
      </w:r>
      <w:r>
        <w:t>s</w:t>
      </w:r>
      <w:r w:rsidRPr="00007770">
        <w:t xml:space="preserve"> </w:t>
      </w:r>
      <w:r>
        <w:t>or</w:t>
      </w:r>
      <w:r w:rsidRPr="00007770">
        <w:t xml:space="preserve"> damage, vandalize or desecrate buildings used for the </w:t>
      </w:r>
      <w:r>
        <w:t>performance</w:t>
      </w:r>
      <w:r w:rsidRPr="00007770">
        <w:t xml:space="preserve"> of religi</w:t>
      </w:r>
      <w:r>
        <w:t>ous rites. The article explicitly provides for a</w:t>
      </w:r>
      <w:r w:rsidRPr="00007770">
        <w:t xml:space="preserve"> term of up to 7 years</w:t>
      </w:r>
      <w:r w:rsidR="009D1BD8">
        <w:t>’</w:t>
      </w:r>
      <w:r w:rsidRPr="00007770">
        <w:t xml:space="preserve"> imprisonment </w:t>
      </w:r>
      <w:r>
        <w:t xml:space="preserve">for committing </w:t>
      </w:r>
      <w:r w:rsidRPr="00007770">
        <w:t>any of the following acts:</w:t>
      </w:r>
    </w:p>
    <w:p w:rsidR="004B0C37" w:rsidRPr="00007770" w:rsidRDefault="00A703EC" w:rsidP="00A703EC">
      <w:pPr>
        <w:pStyle w:val="Bullet1G"/>
        <w:numPr>
          <w:ilvl w:val="0"/>
          <w:numId w:val="0"/>
        </w:numPr>
        <w:tabs>
          <w:tab w:val="left" w:pos="1701"/>
        </w:tabs>
        <w:ind w:left="1701" w:hanging="170"/>
      </w:pPr>
      <w:r w:rsidRPr="00007770">
        <w:t>•</w:t>
      </w:r>
      <w:r w:rsidRPr="00007770">
        <w:tab/>
      </w:r>
      <w:r w:rsidR="004B0C37">
        <w:t>Insulting</w:t>
      </w:r>
      <w:r w:rsidR="004B0C37" w:rsidRPr="00007770">
        <w:t xml:space="preserve"> a revealed religion </w:t>
      </w:r>
      <w:r w:rsidR="004B0C37">
        <w:t>protected by</w:t>
      </w:r>
      <w:r w:rsidR="004B0C37" w:rsidRPr="00007770">
        <w:t xml:space="preserve"> Islamic sharia</w:t>
      </w:r>
      <w:r w:rsidR="004B0C37">
        <w:t>;</w:t>
      </w:r>
    </w:p>
    <w:p w:rsidR="004B0C37" w:rsidRPr="00007770" w:rsidRDefault="00A703EC" w:rsidP="00A703EC">
      <w:pPr>
        <w:pStyle w:val="Bullet1G"/>
        <w:numPr>
          <w:ilvl w:val="0"/>
          <w:numId w:val="0"/>
        </w:numPr>
        <w:tabs>
          <w:tab w:val="left" w:pos="1701"/>
        </w:tabs>
        <w:ind w:left="1701" w:hanging="170"/>
      </w:pPr>
      <w:r w:rsidRPr="00007770">
        <w:t>•</w:t>
      </w:r>
      <w:r w:rsidRPr="00007770">
        <w:tab/>
      </w:r>
      <w:r w:rsidR="004B0C37">
        <w:t>Traducing or making allegations against one of the</w:t>
      </w:r>
      <w:r w:rsidR="004B0C37" w:rsidRPr="00007770">
        <w:t xml:space="preserve"> pr</w:t>
      </w:r>
      <w:r w:rsidR="004B0C37">
        <w:t xml:space="preserve">ophets whether verbally, pictorially, in writing </w:t>
      </w:r>
      <w:r w:rsidR="004B0C37" w:rsidRPr="00007770">
        <w:t xml:space="preserve">or </w:t>
      </w:r>
      <w:r w:rsidR="004B0C37">
        <w:t>otherwise;</w:t>
      </w:r>
    </w:p>
    <w:p w:rsidR="0060531D" w:rsidRDefault="00A703EC" w:rsidP="00A703EC">
      <w:pPr>
        <w:pStyle w:val="Bullet1G"/>
        <w:numPr>
          <w:ilvl w:val="0"/>
          <w:numId w:val="0"/>
        </w:numPr>
        <w:tabs>
          <w:tab w:val="left" w:pos="1701"/>
        </w:tabs>
        <w:ind w:left="1701" w:hanging="170"/>
      </w:pPr>
      <w:r>
        <w:t>•</w:t>
      </w:r>
      <w:r>
        <w:tab/>
      </w:r>
      <w:r w:rsidR="004B0C37" w:rsidRPr="00007770">
        <w:t>Damaging, vandalizing, destroying or desecrating building</w:t>
      </w:r>
      <w:r w:rsidR="004B0C37">
        <w:t>s</w:t>
      </w:r>
      <w:r w:rsidR="004B0C37" w:rsidRPr="00007770">
        <w:t xml:space="preserve"> or any object found therein used </w:t>
      </w:r>
      <w:r w:rsidR="004B0C37">
        <w:t>in the performance of</w:t>
      </w:r>
      <w:r w:rsidR="004B0C37" w:rsidRPr="00007770">
        <w:t xml:space="preserve"> the religious rites of </w:t>
      </w:r>
      <w:r w:rsidR="004B0C37">
        <w:t>any</w:t>
      </w:r>
      <w:r w:rsidR="004B0C37" w:rsidRPr="00007770">
        <w:t xml:space="preserve"> of the revealed religions protected </w:t>
      </w:r>
      <w:r w:rsidR="004B0C37">
        <w:t>by</w:t>
      </w:r>
      <w:r w:rsidR="004B0C37" w:rsidRPr="00007770">
        <w:t xml:space="preserve"> sharia</w:t>
      </w:r>
      <w:r w:rsidR="004B0C37">
        <w:t>.</w:t>
      </w:r>
    </w:p>
    <w:p w:rsidR="0060531D" w:rsidRDefault="004B0C37" w:rsidP="00BB770C">
      <w:pPr>
        <w:pStyle w:val="SingleTxtG"/>
      </w:pPr>
      <w:r>
        <w:t>103</w:t>
      </w:r>
      <w:r w:rsidR="00486817">
        <w:t>.</w:t>
      </w:r>
      <w:r w:rsidR="00486817">
        <w:tab/>
      </w:r>
      <w:r>
        <w:t>Article 159 (</w:t>
      </w:r>
      <w:proofErr w:type="spellStart"/>
      <w:r>
        <w:t>bis</w:t>
      </w:r>
      <w:proofErr w:type="spellEnd"/>
      <w:r>
        <w:t xml:space="preserve">) stipulates that any public servant or other person acting in an official capacity who uses torture or incites or agrees to the use of torture or is silent in the </w:t>
      </w:r>
      <w:r>
        <w:lastRenderedPageBreak/>
        <w:t>face of torture shall be sentenced to a term of up to 5 years</w:t>
      </w:r>
      <w:r w:rsidR="009D1BD8">
        <w:t>’</w:t>
      </w:r>
      <w:r>
        <w:t xml:space="preserve"> imprisonment.</w:t>
      </w:r>
      <w:r w:rsidR="007F4A3A">
        <w:t xml:space="preserve"> </w:t>
      </w:r>
      <w:r>
        <w:t>Torture is held to be any act resulting in severe physical or mental pain or suffering inflicted on purpose by one person against another to obtain information or a confession from that person or another person or to punish him or another person for an act he committed or is suspected of committing or to frighten or force him or another person or when such pain or torment is inflicted for a reason based on any type of discrimination.</w:t>
      </w:r>
      <w:r w:rsidR="007F4A3A">
        <w:t xml:space="preserve"> </w:t>
      </w:r>
    </w:p>
    <w:p w:rsidR="0060531D" w:rsidRDefault="004B0C37" w:rsidP="00BB770C">
      <w:pPr>
        <w:pStyle w:val="SingleTxtG"/>
      </w:pPr>
      <w:r>
        <w:t>104</w:t>
      </w:r>
      <w:r w:rsidR="00486817">
        <w:t>.</w:t>
      </w:r>
      <w:r w:rsidR="00486817">
        <w:tab/>
      </w:r>
      <w:r w:rsidRPr="00B044E5">
        <w:t xml:space="preserve">The Constitution </w:t>
      </w:r>
      <w:r>
        <w:t>espouses</w:t>
      </w:r>
      <w:r w:rsidRPr="00B044E5">
        <w:t xml:space="preserve"> the principle of the</w:t>
      </w:r>
      <w:r>
        <w:t xml:space="preserve"> independence of the judiciary.</w:t>
      </w:r>
      <w:r w:rsidR="007F4A3A">
        <w:t xml:space="preserve"> </w:t>
      </w:r>
      <w:r>
        <w:t>Article 130 stipulates:</w:t>
      </w:r>
      <w:r w:rsidRPr="00791F4B">
        <w:t xml:space="preserve"> </w:t>
      </w:r>
      <w:r w:rsidR="009D1BD8">
        <w:t>“</w:t>
      </w:r>
      <w:r w:rsidRPr="00791F4B">
        <w:t xml:space="preserve">The judiciary is independent and judicial </w:t>
      </w:r>
      <w:r>
        <w:t>authority</w:t>
      </w:r>
      <w:r w:rsidRPr="00791F4B">
        <w:t xml:space="preserve"> is vested in courts of var</w:t>
      </w:r>
      <w:r>
        <w:t>ious kinds and levels.</w:t>
      </w:r>
      <w:r w:rsidR="009D1BD8">
        <w:t>”</w:t>
      </w:r>
      <w:r w:rsidR="007F4A3A">
        <w:t xml:space="preserve"> </w:t>
      </w:r>
      <w:r>
        <w:t>Article 131 stipulates:</w:t>
      </w:r>
      <w:r w:rsidRPr="00791F4B">
        <w:t xml:space="preserve"> </w:t>
      </w:r>
      <w:r w:rsidR="009D1BD8">
        <w:t>“</w:t>
      </w:r>
      <w:r w:rsidRPr="00791F4B">
        <w:t xml:space="preserve">Judges are independent and subject to </w:t>
      </w:r>
      <w:r>
        <w:t xml:space="preserve">no authority other than the law; </w:t>
      </w:r>
      <w:r w:rsidRPr="00791F4B">
        <w:t xml:space="preserve">there </w:t>
      </w:r>
      <w:r>
        <w:t>may</w:t>
      </w:r>
      <w:r w:rsidRPr="00791F4B">
        <w:t xml:space="preserve"> be no interference in legal proceedings or in the </w:t>
      </w:r>
      <w:r>
        <w:t>administration of justice</w:t>
      </w:r>
      <w:r w:rsidR="009D1BD8">
        <w:t>”</w:t>
      </w:r>
      <w:r>
        <w:t>.</w:t>
      </w:r>
      <w:r w:rsidR="007F4A3A">
        <w:t xml:space="preserve"> </w:t>
      </w:r>
      <w:r w:rsidRPr="00B044E5">
        <w:t xml:space="preserve">The independence of the judiciary is </w:t>
      </w:r>
      <w:r>
        <w:t xml:space="preserve">also enshrined in the </w:t>
      </w:r>
      <w:r w:rsidRPr="00B044E5">
        <w:t>Judicial Authority Act</w:t>
      </w:r>
      <w:r>
        <w:t>, promulgated by Act No. 10 (</w:t>
      </w:r>
      <w:r w:rsidRPr="00B044E5">
        <w:t>2003</w:t>
      </w:r>
      <w:r>
        <w:t xml:space="preserve">), </w:t>
      </w:r>
      <w:r w:rsidRPr="00B044E5">
        <w:t xml:space="preserve">article 2 of which </w:t>
      </w:r>
      <w:r>
        <w:t>states:</w:t>
      </w:r>
      <w:r w:rsidRPr="00B044E5">
        <w:t xml:space="preserve"> </w:t>
      </w:r>
      <w:r w:rsidR="009D1BD8">
        <w:t>“</w:t>
      </w:r>
      <w:r w:rsidRPr="00B044E5">
        <w:t xml:space="preserve">Judges are independent and cannot be dismissed </w:t>
      </w:r>
      <w:r>
        <w:t>save</w:t>
      </w:r>
      <w:r w:rsidRPr="00B044E5">
        <w:t xml:space="preserve"> in accordance with the provisions of this Act.</w:t>
      </w:r>
      <w:r w:rsidR="007F4A3A">
        <w:t xml:space="preserve"> </w:t>
      </w:r>
      <w:r w:rsidRPr="00B044E5">
        <w:t>The independence of the judiciary sha</w:t>
      </w:r>
      <w:r>
        <w:t xml:space="preserve">ll not be compromised and there shall be no </w:t>
      </w:r>
      <w:r w:rsidRPr="00B044E5">
        <w:t>interference in the administration of justice.</w:t>
      </w:r>
      <w:r w:rsidR="009D1BD8">
        <w:t>”</w:t>
      </w:r>
      <w:r w:rsidR="007F4A3A">
        <w:t xml:space="preserve"> </w:t>
      </w:r>
      <w:r w:rsidRPr="00B044E5">
        <w:t xml:space="preserve">Under the Judicial Authority Act, the </w:t>
      </w:r>
      <w:r>
        <w:t>Qatari court system</w:t>
      </w:r>
      <w:r w:rsidRPr="00B044E5">
        <w:t xml:space="preserve"> consist</w:t>
      </w:r>
      <w:r>
        <w:t>s</w:t>
      </w:r>
      <w:r w:rsidRPr="00B044E5">
        <w:t xml:space="preserve"> of Court of First Instance, Court of Appeal and Court of Cassation. The Supreme Judicial Council was established under the Judicial Authority Act to uphold the independence of the judiciary, express </w:t>
      </w:r>
      <w:r>
        <w:t>an opinion</w:t>
      </w:r>
      <w:r w:rsidRPr="00B044E5">
        <w:t xml:space="preserve"> on matters relating to the judiciary, </w:t>
      </w:r>
      <w:r>
        <w:t>scrutinize</w:t>
      </w:r>
      <w:r w:rsidRPr="00B044E5">
        <w:t xml:space="preserve"> and propose legislation on the development of the judicial system and to express </w:t>
      </w:r>
      <w:r>
        <w:t>an opinion</w:t>
      </w:r>
      <w:r w:rsidRPr="00B044E5">
        <w:t xml:space="preserve"> on the appointment, promotion, transfer, secondment and retirement of judges in accordance with the Judicial Authority Act.</w:t>
      </w:r>
      <w:r w:rsidR="007F4A3A">
        <w:t xml:space="preserve"> </w:t>
      </w:r>
      <w:r w:rsidRPr="00B044E5">
        <w:t>In addition, the Council considers grievances relating to the administration of justice, on which its decision is final.</w:t>
      </w:r>
      <w:r w:rsidR="007F4A3A">
        <w:t xml:space="preserve"> </w:t>
      </w:r>
      <w:r w:rsidRPr="00B044E5">
        <w:t xml:space="preserve">The Act </w:t>
      </w:r>
      <w:r>
        <w:t>ensures</w:t>
      </w:r>
      <w:r w:rsidRPr="00B044E5">
        <w:t xml:space="preserve"> the finan</w:t>
      </w:r>
      <w:r>
        <w:t xml:space="preserve">cial independence of the courts, </w:t>
      </w:r>
      <w:r w:rsidRPr="00B044E5">
        <w:t xml:space="preserve">stipulating that </w:t>
      </w:r>
      <w:r>
        <w:t>court</w:t>
      </w:r>
      <w:r w:rsidRPr="00B044E5">
        <w:t xml:space="preserve"> budget</w:t>
      </w:r>
      <w:r>
        <w:t>s</w:t>
      </w:r>
      <w:r w:rsidRPr="00B044E5">
        <w:t xml:space="preserve"> shall be annexed to the State budget.</w:t>
      </w:r>
    </w:p>
    <w:p w:rsidR="0060531D" w:rsidRDefault="004B0C37" w:rsidP="00BB770C">
      <w:pPr>
        <w:pStyle w:val="SingleTxtG"/>
      </w:pPr>
      <w:r>
        <w:t>105</w:t>
      </w:r>
      <w:r w:rsidR="00486817">
        <w:t>.</w:t>
      </w:r>
      <w:r w:rsidR="00486817">
        <w:tab/>
      </w:r>
      <w:r w:rsidRPr="00886AEF">
        <w:t xml:space="preserve">The Constitution </w:t>
      </w:r>
      <w:r>
        <w:t>espouses the notion of</w:t>
      </w:r>
      <w:r w:rsidRPr="00886AEF">
        <w:t xml:space="preserve"> central </w:t>
      </w:r>
      <w:r>
        <w:t>oversight</w:t>
      </w:r>
      <w:r w:rsidRPr="00886AEF">
        <w:t xml:space="preserve"> </w:t>
      </w:r>
      <w:r>
        <w:t>of</w:t>
      </w:r>
      <w:r w:rsidRPr="00886AEF">
        <w:t xml:space="preserve"> the constitutionality of laws and </w:t>
      </w:r>
      <w:r>
        <w:t>leaves</w:t>
      </w:r>
      <w:r w:rsidRPr="00886AEF">
        <w:t xml:space="preserve"> it to the law to regulate that </w:t>
      </w:r>
      <w:r>
        <w:t>oversight.</w:t>
      </w:r>
      <w:r w:rsidR="007F4A3A">
        <w:t xml:space="preserve"> </w:t>
      </w:r>
      <w:r>
        <w:t>This is the approach adopted by m</w:t>
      </w:r>
      <w:r w:rsidRPr="00886AEF">
        <w:t xml:space="preserve">ost modern constitutions as it is conducive to achieving a broad balance between the different </w:t>
      </w:r>
      <w:r>
        <w:t>branches</w:t>
      </w:r>
      <w:r w:rsidRPr="00886AEF">
        <w:t xml:space="preserve"> of government.</w:t>
      </w:r>
      <w:r w:rsidR="007F4A3A">
        <w:t xml:space="preserve"> </w:t>
      </w:r>
      <w:r>
        <w:t>Act No. 12 (</w:t>
      </w:r>
      <w:r w:rsidRPr="00886AEF">
        <w:t>2008</w:t>
      </w:r>
      <w:r>
        <w:t>) established</w:t>
      </w:r>
      <w:r w:rsidRPr="00886AEF">
        <w:t xml:space="preserve"> the Supreme Constitu</w:t>
      </w:r>
      <w:r>
        <w:t xml:space="preserve">tional Court as an independent </w:t>
      </w:r>
      <w:r w:rsidRPr="00886AEF">
        <w:t>judicial body with</w:t>
      </w:r>
      <w:r>
        <w:t xml:space="preserve"> its own budget and</w:t>
      </w:r>
      <w:r w:rsidRPr="00886AEF">
        <w:t xml:space="preserve"> the authority to adjudicate in disputes relating to the constitutionality of laws and regulations, </w:t>
      </w:r>
      <w:r>
        <w:t>disputes over</w:t>
      </w:r>
      <w:r w:rsidRPr="00886AEF">
        <w:t xml:space="preserve"> jurisdiction and disputes concerning the enforcement of contradictory final judgements </w:t>
      </w:r>
      <w:r>
        <w:t>handed down</w:t>
      </w:r>
      <w:r w:rsidRPr="00886AEF">
        <w:t xml:space="preserve"> by judicial </w:t>
      </w:r>
      <w:r>
        <w:t xml:space="preserve">bodies </w:t>
      </w:r>
      <w:r w:rsidRPr="00886AEF">
        <w:t>or bodies</w:t>
      </w:r>
      <w:r>
        <w:t xml:space="preserve"> with a judicial mandate</w:t>
      </w:r>
      <w:r w:rsidRPr="00886AEF">
        <w:t>.</w:t>
      </w:r>
      <w:r w:rsidR="007F4A3A">
        <w:t xml:space="preserve"> </w:t>
      </w:r>
      <w:r>
        <w:t>The Court</w:t>
      </w:r>
      <w:r w:rsidRPr="00886AEF">
        <w:t xml:space="preserve"> is competent to interpret laws </w:t>
      </w:r>
      <w:r>
        <w:t>whose</w:t>
      </w:r>
      <w:r w:rsidRPr="00886AEF">
        <w:t xml:space="preserve"> application </w:t>
      </w:r>
      <w:r>
        <w:t>is controversial</w:t>
      </w:r>
      <w:r w:rsidRPr="00886AEF">
        <w:t xml:space="preserve"> and has the required weight to ensure uniform interpretation of the law</w:t>
      </w:r>
      <w:r>
        <w:t>,</w:t>
      </w:r>
      <w:r w:rsidRPr="00886AEF">
        <w:t xml:space="preserve"> when requested to do so by the Prime Minister or President of the Advisory Council.</w:t>
      </w:r>
      <w:r w:rsidR="007F4A3A">
        <w:t xml:space="preserve"> </w:t>
      </w:r>
      <w:r>
        <w:t>Pursuant to the foregoing</w:t>
      </w:r>
      <w:r w:rsidRPr="00886AEF">
        <w:t>, the Court is competent to adjudicate in disputes relating to the constituti</w:t>
      </w:r>
      <w:r>
        <w:t>onality of laws and regulations</w:t>
      </w:r>
      <w:r w:rsidRPr="00886AEF">
        <w:t xml:space="preserve"> </w:t>
      </w:r>
      <w:r>
        <w:t>at</w:t>
      </w:r>
      <w:r w:rsidRPr="00886AEF">
        <w:t xml:space="preserve"> its own </w:t>
      </w:r>
      <w:r>
        <w:t>initiative</w:t>
      </w:r>
      <w:r w:rsidRPr="00886AEF">
        <w:t xml:space="preserve"> or at the </w:t>
      </w:r>
      <w:r>
        <w:t>urging</w:t>
      </w:r>
      <w:r w:rsidRPr="00886AEF">
        <w:t xml:space="preserve"> of litigants; its judgments and decisions are </w:t>
      </w:r>
      <w:r>
        <w:t>final, not subject to appeal</w:t>
      </w:r>
      <w:r w:rsidRPr="00886AEF">
        <w:t xml:space="preserve"> and binding on all State </w:t>
      </w:r>
      <w:r>
        <w:t>bodies and persons o</w:t>
      </w:r>
      <w:r w:rsidRPr="00886AEF">
        <w:t>n Qatar</w:t>
      </w:r>
      <w:r>
        <w:t>i territory</w:t>
      </w:r>
      <w:r w:rsidRPr="00886AEF">
        <w:t>.</w:t>
      </w:r>
      <w:r w:rsidR="007F4A3A">
        <w:t xml:space="preserve"> </w:t>
      </w:r>
      <w:r w:rsidRPr="00886AEF">
        <w:t xml:space="preserve">The independence of the judiciary was </w:t>
      </w:r>
      <w:r>
        <w:t xml:space="preserve">further </w:t>
      </w:r>
      <w:r w:rsidRPr="00886AEF">
        <w:t xml:space="preserve">strengthened by </w:t>
      </w:r>
      <w:r>
        <w:t>the promulgation of Act No. 7 (</w:t>
      </w:r>
      <w:r w:rsidRPr="00886AEF">
        <w:t>2007</w:t>
      </w:r>
      <w:r>
        <w:t>),</w:t>
      </w:r>
      <w:r w:rsidRPr="00886AEF">
        <w:t xml:space="preserve"> on the adjudication of administrative disputes.</w:t>
      </w:r>
      <w:r w:rsidR="007F4A3A">
        <w:t xml:space="preserve"> </w:t>
      </w:r>
      <w:r w:rsidRPr="00886AEF">
        <w:t xml:space="preserve">Under this Act, abuse of power constitutes grounds </w:t>
      </w:r>
      <w:r>
        <w:t>for the annulment</w:t>
      </w:r>
      <w:r w:rsidRPr="00886AEF">
        <w:t xml:space="preserve"> </w:t>
      </w:r>
      <w:r>
        <w:t xml:space="preserve">of </w:t>
      </w:r>
      <w:r w:rsidRPr="00886AEF">
        <w:t xml:space="preserve">an administrative decision or </w:t>
      </w:r>
      <w:r>
        <w:t>the award of compensation</w:t>
      </w:r>
      <w:r w:rsidRPr="00886AEF">
        <w:t>.</w:t>
      </w:r>
    </w:p>
    <w:p w:rsidR="0060531D" w:rsidRDefault="004B0C37" w:rsidP="00F37BAE">
      <w:pPr>
        <w:pStyle w:val="SingleTxtG"/>
        <w:rPr>
          <w:color w:val="000000"/>
        </w:rPr>
      </w:pPr>
      <w:r>
        <w:t>106</w:t>
      </w:r>
      <w:r w:rsidR="00486817">
        <w:t>.</w:t>
      </w:r>
      <w:r w:rsidR="00486817">
        <w:tab/>
      </w:r>
      <w:r w:rsidR="00D64D01">
        <w:rPr>
          <w:color w:val="000000"/>
        </w:rPr>
        <w:t>Part III (articles 34–</w:t>
      </w:r>
      <w:r>
        <w:rPr>
          <w:color w:val="000000"/>
        </w:rPr>
        <w:t>58) of the Constitution is devoted to fundamental rights and freedoms, enshrining the principle of the integration, interconnection, interrelationship and indivisibility of rights.</w:t>
      </w:r>
      <w:r w:rsidR="007F4A3A">
        <w:rPr>
          <w:color w:val="000000"/>
        </w:rPr>
        <w:t xml:space="preserve"> </w:t>
      </w:r>
      <w:r>
        <w:rPr>
          <w:color w:val="000000"/>
        </w:rPr>
        <w:t>It thus provides guarantees of equal economic, social, cultural, civil and political rights.</w:t>
      </w:r>
      <w:r w:rsidR="007F4A3A">
        <w:rPr>
          <w:color w:val="000000"/>
        </w:rPr>
        <w:t xml:space="preserve"> </w:t>
      </w:r>
      <w:r>
        <w:rPr>
          <w:color w:val="000000"/>
        </w:rPr>
        <w:t>As regards political rights, article 42 guarantees the right to vote and stand for election without discrimination on grounds of gender, language or religion, in keeping with article 35.</w:t>
      </w:r>
      <w:r w:rsidR="007F4A3A">
        <w:rPr>
          <w:color w:val="000000"/>
        </w:rPr>
        <w:t xml:space="preserve"> </w:t>
      </w:r>
      <w:r>
        <w:rPr>
          <w:color w:val="000000"/>
        </w:rPr>
        <w:t>The Constitution also guarantees the right to participate in the political process and hold public office. These constitutionally-guaranteed political rights must be read in the light of article 34, which states that citizens are equal in respect of rights and duties.</w:t>
      </w:r>
      <w:r w:rsidR="007F4A3A">
        <w:rPr>
          <w:color w:val="000000"/>
        </w:rPr>
        <w:t xml:space="preserve"> </w:t>
      </w:r>
      <w:r>
        <w:rPr>
          <w:color w:val="000000"/>
        </w:rPr>
        <w:t>Note that article 146 of the Constitution stipulates that rights may not be restricted or diminished on grounds of amendment or restructuring.</w:t>
      </w:r>
    </w:p>
    <w:p w:rsidR="0060531D" w:rsidRDefault="004B0C37" w:rsidP="00BB770C">
      <w:pPr>
        <w:pStyle w:val="SingleTxtG"/>
      </w:pPr>
      <w:r w:rsidRPr="00FA4F92">
        <w:t>107</w:t>
      </w:r>
      <w:r w:rsidR="00486817">
        <w:t>.</w:t>
      </w:r>
      <w:r w:rsidR="00486817">
        <w:tab/>
      </w:r>
      <w:r w:rsidRPr="00FA4F92">
        <w:t xml:space="preserve">To </w:t>
      </w:r>
      <w:r>
        <w:t xml:space="preserve">guarantee and </w:t>
      </w:r>
      <w:r w:rsidRPr="00FA4F92">
        <w:t xml:space="preserve">promote political rights, the Elections Department was established within the Ministry of Interior pursuant to Minister of </w:t>
      </w:r>
      <w:r>
        <w:t>Interior Decision No. 1 (2003).</w:t>
      </w:r>
      <w:r w:rsidR="007F4A3A">
        <w:t xml:space="preserve"> </w:t>
      </w:r>
      <w:r w:rsidRPr="00FA4F92">
        <w:t>The Department oversees the organization and administration of elections and monitors the electoral process</w:t>
      </w:r>
      <w:r>
        <w:t>,</w:t>
      </w:r>
      <w:r w:rsidRPr="00FA4F92">
        <w:t xml:space="preserve"> in coordination with relevant bodies and committees.</w:t>
      </w:r>
      <w:r w:rsidR="007F4A3A">
        <w:t xml:space="preserve"> </w:t>
      </w:r>
      <w:r w:rsidRPr="00FA4F92">
        <w:t xml:space="preserve">It also develops </w:t>
      </w:r>
      <w:r>
        <w:t xml:space="preserve">the </w:t>
      </w:r>
      <w:r w:rsidRPr="00FA4F92">
        <w:t>procedures and regulatory mechanisms for conducting elections.</w:t>
      </w:r>
    </w:p>
    <w:p w:rsidR="004B0C37" w:rsidRDefault="004B0C37" w:rsidP="00BB770C">
      <w:pPr>
        <w:pStyle w:val="SingleTxtG"/>
      </w:pPr>
      <w:r w:rsidRPr="00FA4F92">
        <w:lastRenderedPageBreak/>
        <w:t>108</w:t>
      </w:r>
      <w:r w:rsidR="00486817">
        <w:t>.</w:t>
      </w:r>
      <w:r w:rsidR="00486817">
        <w:tab/>
      </w:r>
      <w:r w:rsidRPr="00FA4F92">
        <w:t xml:space="preserve">The first elections in which women and men participated </w:t>
      </w:r>
      <w:r>
        <w:t>equally</w:t>
      </w:r>
      <w:r w:rsidRPr="00FA4F92">
        <w:t xml:space="preserve"> </w:t>
      </w:r>
      <w:r>
        <w:t>was</w:t>
      </w:r>
      <w:r w:rsidRPr="00FA4F92">
        <w:t xml:space="preserve"> </w:t>
      </w:r>
      <w:r>
        <w:t xml:space="preserve">for </w:t>
      </w:r>
      <w:r w:rsidRPr="00FA4F92">
        <w:t xml:space="preserve">the first </w:t>
      </w:r>
      <w:r>
        <w:t xml:space="preserve">term of the </w:t>
      </w:r>
      <w:r w:rsidRPr="00FA4F92">
        <w:t xml:space="preserve">Central Municipal Council in 1999, when both men and women </w:t>
      </w:r>
      <w:r>
        <w:t>took part</w:t>
      </w:r>
      <w:r w:rsidRPr="00FA4F92">
        <w:t xml:space="preserve"> </w:t>
      </w:r>
      <w:r>
        <w:t xml:space="preserve">for the first time </w:t>
      </w:r>
      <w:r w:rsidRPr="00FA4F92">
        <w:t>as voters and candidates.</w:t>
      </w:r>
      <w:r w:rsidR="007F4A3A">
        <w:t xml:space="preserve"> </w:t>
      </w:r>
      <w:r>
        <w:t>There was a high voter turnout, with s</w:t>
      </w:r>
      <w:r w:rsidRPr="00FA4F92">
        <w:t>ome 77.4 per cent of registered female voters and 81.5 per cent of regi</w:t>
      </w:r>
      <w:r>
        <w:t xml:space="preserve">stered male voters casting their votes; </w:t>
      </w:r>
      <w:r w:rsidRPr="00FA4F92">
        <w:t>six female c</w:t>
      </w:r>
      <w:r>
        <w:t>andidates stood unsuccessfully.</w:t>
      </w:r>
      <w:r w:rsidR="007F4A3A">
        <w:t xml:space="preserve"> </w:t>
      </w:r>
      <w:r>
        <w:t>However, t</w:t>
      </w:r>
      <w:r w:rsidRPr="00FA4F92">
        <w:t xml:space="preserve">he percentage of registered voters of both sexes who </w:t>
      </w:r>
      <w:r>
        <w:t>voted</w:t>
      </w:r>
      <w:r w:rsidRPr="00FA4F92">
        <w:t xml:space="preserve"> in the elections for the second term of the Council was significantly lower</w:t>
      </w:r>
      <w:r>
        <w:t xml:space="preserve">, </w:t>
      </w:r>
      <w:r w:rsidRPr="00FA4F92">
        <w:t>with only 27 per cent of female voters and 36.2 per cent of male voters taking part.</w:t>
      </w:r>
      <w:r w:rsidR="007F4A3A">
        <w:t xml:space="preserve"> </w:t>
      </w:r>
      <w:r>
        <w:t>Never</w:t>
      </w:r>
      <w:r w:rsidRPr="00FA4F92">
        <w:t xml:space="preserve">theless, a significant milestone for women was achieved in </w:t>
      </w:r>
      <w:r>
        <w:t>the second round</w:t>
      </w:r>
      <w:r w:rsidRPr="00FA4F92">
        <w:t xml:space="preserve"> with the election of the first female candidate to the 29-member Council.</w:t>
      </w:r>
      <w:r w:rsidR="007F4A3A">
        <w:t xml:space="preserve"> </w:t>
      </w:r>
      <w:r>
        <w:t>Voter turnout</w:t>
      </w:r>
      <w:r w:rsidRPr="00FA4F92">
        <w:t xml:space="preserve"> rose in the elections for the third term of the Council, held in 2007, with 51.8 per cent of female voters and 47.5 per cent of male voters taking part.</w:t>
      </w:r>
      <w:r w:rsidR="007F4A3A">
        <w:t xml:space="preserve"> </w:t>
      </w:r>
      <w:r w:rsidRPr="00FA4F92">
        <w:t>Furthermore, one of the three female candidates was elected to the Council.</w:t>
      </w:r>
      <w:r w:rsidR="007F4A3A">
        <w:t xml:space="preserve"> </w:t>
      </w:r>
      <w:r w:rsidRPr="00FA4F92">
        <w:t xml:space="preserve">In the elections for the fifth term of the Council, held in 2015, voter turnout </w:t>
      </w:r>
      <w:r>
        <w:t xml:space="preserve">among both sexes </w:t>
      </w:r>
      <w:r w:rsidRPr="00FA4F92">
        <w:t>increased further, with 70.3 per cent of registered female voters and 65.2 per cent of registered male voters taking part.</w:t>
      </w:r>
    </w:p>
    <w:p w:rsidR="004B0C37" w:rsidRPr="00C475FC" w:rsidRDefault="004B0C37" w:rsidP="00C475FC">
      <w:pPr>
        <w:pStyle w:val="Heading1"/>
        <w:spacing w:after="120"/>
        <w:rPr>
          <w:b/>
          <w:bCs/>
        </w:rPr>
      </w:pPr>
      <w:r w:rsidRPr="0069482C">
        <w:t>Table 14</w:t>
      </w:r>
      <w:r w:rsidR="00C475FC">
        <w:br/>
      </w:r>
      <w:r w:rsidRPr="00C475FC">
        <w:rPr>
          <w:b/>
          <w:bCs/>
        </w:rPr>
        <w:t xml:space="preserve">Participation in elections to the Central Municipal Council disaggregated by sex </w:t>
      </w:r>
      <w:r w:rsidR="00E1741E">
        <w:rPr>
          <w:b/>
          <w:bCs/>
        </w:rPr>
        <w:br/>
      </w:r>
      <w:r w:rsidRPr="00C475FC">
        <w:rPr>
          <w:b/>
          <w:bCs/>
        </w:rPr>
        <w:t>(2003−2015)</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32"/>
        <w:gridCol w:w="1086"/>
        <w:gridCol w:w="744"/>
        <w:gridCol w:w="744"/>
        <w:gridCol w:w="744"/>
        <w:gridCol w:w="744"/>
        <w:gridCol w:w="744"/>
        <w:gridCol w:w="744"/>
        <w:gridCol w:w="744"/>
        <w:gridCol w:w="744"/>
      </w:tblGrid>
      <w:tr w:rsidR="00BA5C4F" w:rsidRPr="00E07404" w:rsidTr="000B7314">
        <w:trPr>
          <w:cantSplit/>
          <w:trHeight w:val="240"/>
          <w:tblHeader/>
        </w:trPr>
        <w:tc>
          <w:tcPr>
            <w:tcW w:w="1418" w:type="dxa"/>
            <w:gridSpan w:val="2"/>
            <w:vMerge w:val="restart"/>
            <w:tcBorders>
              <w:top w:val="single" w:sz="4" w:space="0" w:color="auto"/>
              <w:bottom w:val="single" w:sz="12" w:space="0" w:color="auto"/>
            </w:tcBorders>
            <w:shd w:val="clear" w:color="auto" w:fill="auto"/>
            <w:vAlign w:val="bottom"/>
          </w:tcPr>
          <w:p w:rsidR="004B0C37" w:rsidRPr="00E07404" w:rsidRDefault="004B0C37" w:rsidP="00E07404">
            <w:pPr>
              <w:suppressAutoHyphens w:val="0"/>
              <w:spacing w:before="80" w:after="80" w:line="200" w:lineRule="exact"/>
              <w:ind w:right="113"/>
              <w:jc w:val="right"/>
              <w:rPr>
                <w:bCs/>
                <w:i/>
                <w:sz w:val="16"/>
              </w:rPr>
            </w:pPr>
            <w:r w:rsidRPr="00E07404">
              <w:rPr>
                <w:bCs/>
                <w:i/>
                <w:sz w:val="16"/>
              </w:rPr>
              <w:t>Data expressed</w:t>
            </w:r>
          </w:p>
        </w:tc>
        <w:tc>
          <w:tcPr>
            <w:tcW w:w="1488" w:type="dxa"/>
            <w:gridSpan w:val="2"/>
            <w:tcBorders>
              <w:top w:val="single" w:sz="4" w:space="0" w:color="auto"/>
              <w:bottom w:val="single" w:sz="4" w:space="0" w:color="auto"/>
              <w:right w:val="single" w:sz="24" w:space="0" w:color="FFFFFF" w:themeColor="background1"/>
            </w:tcBorders>
            <w:shd w:val="clear" w:color="auto" w:fill="auto"/>
            <w:vAlign w:val="bottom"/>
          </w:tcPr>
          <w:p w:rsidR="004B0C37" w:rsidRPr="00E07404" w:rsidRDefault="004B0C37" w:rsidP="00BA5C4F">
            <w:pPr>
              <w:suppressAutoHyphens w:val="0"/>
              <w:spacing w:before="80" w:after="80" w:line="200" w:lineRule="exact"/>
              <w:ind w:right="113"/>
              <w:jc w:val="center"/>
              <w:rPr>
                <w:bCs/>
                <w:i/>
                <w:sz w:val="16"/>
              </w:rPr>
            </w:pPr>
            <w:r w:rsidRPr="00E07404">
              <w:rPr>
                <w:bCs/>
                <w:i/>
                <w:sz w:val="16"/>
              </w:rPr>
              <w:t>Second term 2003</w:t>
            </w:r>
          </w:p>
        </w:tc>
        <w:tc>
          <w:tcPr>
            <w:tcW w:w="1488"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4B0C37" w:rsidRPr="00E07404" w:rsidRDefault="004B0C37" w:rsidP="00BA5C4F">
            <w:pPr>
              <w:suppressAutoHyphens w:val="0"/>
              <w:spacing w:before="80" w:after="80" w:line="200" w:lineRule="exact"/>
              <w:ind w:right="113"/>
              <w:jc w:val="center"/>
              <w:rPr>
                <w:bCs/>
                <w:i/>
                <w:sz w:val="16"/>
              </w:rPr>
            </w:pPr>
            <w:r w:rsidRPr="00E07404">
              <w:rPr>
                <w:bCs/>
                <w:i/>
                <w:sz w:val="16"/>
              </w:rPr>
              <w:t>Third term 2007</w:t>
            </w:r>
          </w:p>
        </w:tc>
        <w:tc>
          <w:tcPr>
            <w:tcW w:w="1488"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4B0C37" w:rsidRPr="00E07404" w:rsidRDefault="004B0C37" w:rsidP="00BA5C4F">
            <w:pPr>
              <w:suppressAutoHyphens w:val="0"/>
              <w:spacing w:before="80" w:after="80" w:line="200" w:lineRule="exact"/>
              <w:ind w:right="113"/>
              <w:jc w:val="center"/>
              <w:rPr>
                <w:bCs/>
                <w:i/>
                <w:sz w:val="16"/>
              </w:rPr>
            </w:pPr>
            <w:r w:rsidRPr="00E07404">
              <w:rPr>
                <w:bCs/>
                <w:i/>
                <w:sz w:val="16"/>
              </w:rPr>
              <w:t>Fourth term 2011</w:t>
            </w:r>
          </w:p>
        </w:tc>
        <w:tc>
          <w:tcPr>
            <w:tcW w:w="1488" w:type="dxa"/>
            <w:gridSpan w:val="2"/>
            <w:tcBorders>
              <w:top w:val="single" w:sz="4" w:space="0" w:color="auto"/>
              <w:left w:val="single" w:sz="24" w:space="0" w:color="FFFFFF" w:themeColor="background1"/>
              <w:bottom w:val="single" w:sz="4" w:space="0" w:color="auto"/>
            </w:tcBorders>
            <w:shd w:val="clear" w:color="auto" w:fill="auto"/>
            <w:vAlign w:val="bottom"/>
          </w:tcPr>
          <w:p w:rsidR="004B0C37" w:rsidRPr="00E07404" w:rsidRDefault="004B0C37" w:rsidP="00BA5C4F">
            <w:pPr>
              <w:suppressAutoHyphens w:val="0"/>
              <w:spacing w:before="80" w:after="80" w:line="200" w:lineRule="exact"/>
              <w:ind w:right="113"/>
              <w:jc w:val="center"/>
              <w:rPr>
                <w:bCs/>
                <w:i/>
                <w:sz w:val="16"/>
              </w:rPr>
            </w:pPr>
            <w:r w:rsidRPr="00E07404">
              <w:rPr>
                <w:bCs/>
                <w:i/>
                <w:sz w:val="16"/>
              </w:rPr>
              <w:t>Fifth term 2015</w:t>
            </w:r>
          </w:p>
        </w:tc>
      </w:tr>
      <w:tr w:rsidR="00BA5C4F" w:rsidRPr="00E07404" w:rsidTr="000B7314">
        <w:trPr>
          <w:cantSplit/>
          <w:trHeight w:val="240"/>
          <w:tblHeader/>
        </w:trPr>
        <w:tc>
          <w:tcPr>
            <w:tcW w:w="1418" w:type="dxa"/>
            <w:gridSpan w:val="2"/>
            <w:vMerge/>
            <w:tcBorders>
              <w:top w:val="single" w:sz="12" w:space="0" w:color="auto"/>
              <w:bottom w:val="single" w:sz="12" w:space="0" w:color="auto"/>
            </w:tcBorders>
            <w:shd w:val="clear" w:color="auto" w:fill="auto"/>
            <w:vAlign w:val="bottom"/>
          </w:tcPr>
          <w:p w:rsidR="004B0C37" w:rsidRPr="00E07404" w:rsidRDefault="004B0C37" w:rsidP="00E07404">
            <w:pPr>
              <w:suppressAutoHyphens w:val="0"/>
              <w:spacing w:before="80" w:after="80" w:line="200" w:lineRule="exact"/>
              <w:ind w:right="113"/>
              <w:jc w:val="right"/>
              <w:rPr>
                <w:bCs/>
                <w:i/>
                <w:sz w:val="16"/>
                <w:rtl/>
              </w:rPr>
            </w:pPr>
          </w:p>
        </w:tc>
        <w:tc>
          <w:tcPr>
            <w:tcW w:w="744" w:type="dxa"/>
            <w:tcBorders>
              <w:top w:val="single" w:sz="4" w:space="0" w:color="auto"/>
              <w:bottom w:val="single" w:sz="12" w:space="0" w:color="auto"/>
            </w:tcBorders>
            <w:shd w:val="clear" w:color="auto" w:fill="auto"/>
            <w:vAlign w:val="bottom"/>
          </w:tcPr>
          <w:p w:rsidR="004B0C37" w:rsidRPr="00E07404" w:rsidRDefault="004B0C37" w:rsidP="00E07404">
            <w:pPr>
              <w:suppressAutoHyphens w:val="0"/>
              <w:spacing w:before="80" w:after="80" w:line="200" w:lineRule="exact"/>
              <w:ind w:right="113"/>
              <w:jc w:val="right"/>
              <w:rPr>
                <w:bCs/>
                <w:i/>
                <w:sz w:val="16"/>
              </w:rPr>
            </w:pPr>
            <w:r w:rsidRPr="00E07404">
              <w:rPr>
                <w:bCs/>
                <w:i/>
                <w:sz w:val="16"/>
              </w:rPr>
              <w:t>Females</w:t>
            </w:r>
          </w:p>
        </w:tc>
        <w:tc>
          <w:tcPr>
            <w:tcW w:w="744" w:type="dxa"/>
            <w:tcBorders>
              <w:top w:val="single" w:sz="4" w:space="0" w:color="auto"/>
              <w:bottom w:val="single" w:sz="12" w:space="0" w:color="auto"/>
              <w:right w:val="single" w:sz="24" w:space="0" w:color="FFFFFF" w:themeColor="background1"/>
            </w:tcBorders>
            <w:shd w:val="clear" w:color="auto" w:fill="auto"/>
            <w:vAlign w:val="bottom"/>
          </w:tcPr>
          <w:p w:rsidR="004B0C37" w:rsidRPr="00E07404" w:rsidRDefault="004B0C37" w:rsidP="00E07404">
            <w:pPr>
              <w:suppressAutoHyphens w:val="0"/>
              <w:spacing w:before="80" w:after="80" w:line="200" w:lineRule="exact"/>
              <w:ind w:right="113"/>
              <w:jc w:val="right"/>
              <w:rPr>
                <w:bCs/>
                <w:i/>
                <w:sz w:val="16"/>
              </w:rPr>
            </w:pPr>
            <w:r w:rsidRPr="00E07404">
              <w:rPr>
                <w:bCs/>
                <w:i/>
                <w:sz w:val="16"/>
              </w:rPr>
              <w:t>Males</w:t>
            </w:r>
          </w:p>
        </w:tc>
        <w:tc>
          <w:tcPr>
            <w:tcW w:w="744" w:type="dxa"/>
            <w:tcBorders>
              <w:top w:val="single" w:sz="4" w:space="0" w:color="auto"/>
              <w:left w:val="single" w:sz="24" w:space="0" w:color="FFFFFF" w:themeColor="background1"/>
              <w:bottom w:val="single" w:sz="12" w:space="0" w:color="auto"/>
            </w:tcBorders>
            <w:shd w:val="clear" w:color="auto" w:fill="auto"/>
            <w:vAlign w:val="bottom"/>
          </w:tcPr>
          <w:p w:rsidR="004B0C37" w:rsidRPr="00E07404" w:rsidRDefault="004B0C37" w:rsidP="00E07404">
            <w:pPr>
              <w:suppressAutoHyphens w:val="0"/>
              <w:spacing w:before="80" w:after="80" w:line="200" w:lineRule="exact"/>
              <w:ind w:right="113"/>
              <w:jc w:val="right"/>
              <w:rPr>
                <w:bCs/>
                <w:i/>
                <w:sz w:val="16"/>
              </w:rPr>
            </w:pPr>
            <w:r w:rsidRPr="00E07404">
              <w:rPr>
                <w:bCs/>
                <w:i/>
                <w:sz w:val="16"/>
              </w:rPr>
              <w:t>Females</w:t>
            </w:r>
          </w:p>
        </w:tc>
        <w:tc>
          <w:tcPr>
            <w:tcW w:w="744" w:type="dxa"/>
            <w:tcBorders>
              <w:top w:val="single" w:sz="4" w:space="0" w:color="auto"/>
              <w:bottom w:val="single" w:sz="12" w:space="0" w:color="auto"/>
              <w:right w:val="single" w:sz="24" w:space="0" w:color="FFFFFF" w:themeColor="background1"/>
            </w:tcBorders>
            <w:shd w:val="clear" w:color="auto" w:fill="auto"/>
            <w:vAlign w:val="bottom"/>
          </w:tcPr>
          <w:p w:rsidR="004B0C37" w:rsidRPr="00E07404" w:rsidRDefault="004B0C37" w:rsidP="00E07404">
            <w:pPr>
              <w:suppressAutoHyphens w:val="0"/>
              <w:spacing w:before="80" w:after="80" w:line="200" w:lineRule="exact"/>
              <w:ind w:right="113"/>
              <w:jc w:val="right"/>
              <w:rPr>
                <w:bCs/>
                <w:i/>
                <w:sz w:val="16"/>
              </w:rPr>
            </w:pPr>
            <w:r w:rsidRPr="00E07404">
              <w:rPr>
                <w:bCs/>
                <w:i/>
                <w:sz w:val="16"/>
              </w:rPr>
              <w:t>Males</w:t>
            </w:r>
          </w:p>
        </w:tc>
        <w:tc>
          <w:tcPr>
            <w:tcW w:w="744" w:type="dxa"/>
            <w:tcBorders>
              <w:top w:val="single" w:sz="4" w:space="0" w:color="auto"/>
              <w:left w:val="single" w:sz="24" w:space="0" w:color="FFFFFF" w:themeColor="background1"/>
              <w:bottom w:val="single" w:sz="12" w:space="0" w:color="auto"/>
            </w:tcBorders>
            <w:shd w:val="clear" w:color="auto" w:fill="auto"/>
            <w:vAlign w:val="bottom"/>
          </w:tcPr>
          <w:p w:rsidR="004B0C37" w:rsidRPr="00E07404" w:rsidRDefault="004B0C37" w:rsidP="00E07404">
            <w:pPr>
              <w:suppressAutoHyphens w:val="0"/>
              <w:spacing w:before="80" w:after="80" w:line="200" w:lineRule="exact"/>
              <w:ind w:right="113"/>
              <w:jc w:val="right"/>
              <w:rPr>
                <w:bCs/>
                <w:i/>
                <w:sz w:val="16"/>
              </w:rPr>
            </w:pPr>
            <w:r w:rsidRPr="00E07404">
              <w:rPr>
                <w:bCs/>
                <w:i/>
                <w:sz w:val="16"/>
              </w:rPr>
              <w:t>Females</w:t>
            </w:r>
          </w:p>
        </w:tc>
        <w:tc>
          <w:tcPr>
            <w:tcW w:w="744" w:type="dxa"/>
            <w:tcBorders>
              <w:top w:val="single" w:sz="4" w:space="0" w:color="auto"/>
              <w:bottom w:val="single" w:sz="12" w:space="0" w:color="auto"/>
              <w:right w:val="single" w:sz="24" w:space="0" w:color="FFFFFF" w:themeColor="background1"/>
            </w:tcBorders>
            <w:shd w:val="clear" w:color="auto" w:fill="auto"/>
            <w:vAlign w:val="bottom"/>
          </w:tcPr>
          <w:p w:rsidR="004B0C37" w:rsidRPr="00E07404" w:rsidRDefault="004B0C37" w:rsidP="00E07404">
            <w:pPr>
              <w:suppressAutoHyphens w:val="0"/>
              <w:spacing w:before="80" w:after="80" w:line="200" w:lineRule="exact"/>
              <w:ind w:right="113"/>
              <w:jc w:val="right"/>
              <w:rPr>
                <w:bCs/>
                <w:i/>
                <w:sz w:val="16"/>
              </w:rPr>
            </w:pPr>
            <w:r w:rsidRPr="00E07404">
              <w:rPr>
                <w:bCs/>
                <w:i/>
                <w:sz w:val="16"/>
              </w:rPr>
              <w:t>Males</w:t>
            </w:r>
          </w:p>
        </w:tc>
        <w:tc>
          <w:tcPr>
            <w:tcW w:w="744" w:type="dxa"/>
            <w:tcBorders>
              <w:top w:val="single" w:sz="4" w:space="0" w:color="auto"/>
              <w:left w:val="single" w:sz="24" w:space="0" w:color="FFFFFF" w:themeColor="background1"/>
              <w:bottom w:val="single" w:sz="12" w:space="0" w:color="auto"/>
            </w:tcBorders>
            <w:shd w:val="clear" w:color="auto" w:fill="auto"/>
            <w:vAlign w:val="bottom"/>
          </w:tcPr>
          <w:p w:rsidR="004B0C37" w:rsidRPr="00E07404" w:rsidRDefault="004B0C37" w:rsidP="00E07404">
            <w:pPr>
              <w:suppressAutoHyphens w:val="0"/>
              <w:spacing w:before="80" w:after="80" w:line="200" w:lineRule="exact"/>
              <w:ind w:right="113"/>
              <w:jc w:val="right"/>
              <w:rPr>
                <w:bCs/>
                <w:i/>
                <w:sz w:val="16"/>
              </w:rPr>
            </w:pPr>
            <w:r w:rsidRPr="00E07404">
              <w:rPr>
                <w:bCs/>
                <w:i/>
                <w:sz w:val="16"/>
              </w:rPr>
              <w:t>Females</w:t>
            </w:r>
          </w:p>
        </w:tc>
        <w:tc>
          <w:tcPr>
            <w:tcW w:w="744" w:type="dxa"/>
            <w:tcBorders>
              <w:top w:val="single" w:sz="4" w:space="0" w:color="auto"/>
              <w:bottom w:val="single" w:sz="12" w:space="0" w:color="auto"/>
            </w:tcBorders>
            <w:shd w:val="clear" w:color="auto" w:fill="auto"/>
            <w:vAlign w:val="bottom"/>
          </w:tcPr>
          <w:p w:rsidR="004B0C37" w:rsidRPr="00E07404" w:rsidRDefault="004B0C37" w:rsidP="00E07404">
            <w:pPr>
              <w:suppressAutoHyphens w:val="0"/>
              <w:spacing w:before="80" w:after="80" w:line="200" w:lineRule="exact"/>
              <w:ind w:right="113"/>
              <w:jc w:val="right"/>
              <w:rPr>
                <w:bCs/>
                <w:i/>
                <w:sz w:val="16"/>
              </w:rPr>
            </w:pPr>
            <w:r w:rsidRPr="00E07404">
              <w:rPr>
                <w:bCs/>
                <w:i/>
                <w:sz w:val="16"/>
              </w:rPr>
              <w:t>Males</w:t>
            </w:r>
          </w:p>
        </w:tc>
      </w:tr>
      <w:tr w:rsidR="00BA5C4F" w:rsidRPr="00E07404" w:rsidTr="000B7314">
        <w:trPr>
          <w:cantSplit/>
          <w:trHeight w:val="240"/>
        </w:trPr>
        <w:tc>
          <w:tcPr>
            <w:tcW w:w="332" w:type="dxa"/>
            <w:vMerge w:val="restart"/>
            <w:tcBorders>
              <w:top w:val="single" w:sz="12" w:space="0" w:color="auto"/>
              <w:right w:val="single" w:sz="4" w:space="0" w:color="auto"/>
            </w:tcBorders>
            <w:shd w:val="clear" w:color="auto" w:fill="auto"/>
            <w:textDirection w:val="btLr"/>
          </w:tcPr>
          <w:p w:rsidR="004B0C37" w:rsidRPr="000B7314" w:rsidRDefault="004B0C37" w:rsidP="00E07404">
            <w:pPr>
              <w:suppressAutoHyphens w:val="0"/>
              <w:spacing w:before="40" w:after="40" w:line="220" w:lineRule="exact"/>
              <w:ind w:right="113"/>
              <w:jc w:val="center"/>
              <w:rPr>
                <w:i/>
                <w:iCs/>
                <w:sz w:val="16"/>
                <w:szCs w:val="18"/>
              </w:rPr>
            </w:pPr>
            <w:r w:rsidRPr="000B7314">
              <w:rPr>
                <w:i/>
                <w:iCs/>
                <w:sz w:val="16"/>
                <w:szCs w:val="18"/>
              </w:rPr>
              <w:t>In figures</w:t>
            </w:r>
          </w:p>
        </w:tc>
        <w:tc>
          <w:tcPr>
            <w:tcW w:w="1086" w:type="dxa"/>
            <w:tcBorders>
              <w:top w:val="single" w:sz="12" w:space="0" w:color="auto"/>
              <w:left w:val="single" w:sz="4" w:space="0" w:color="auto"/>
            </w:tcBorders>
            <w:shd w:val="clear" w:color="auto" w:fill="auto"/>
          </w:tcPr>
          <w:p w:rsidR="004B0C37" w:rsidRPr="00E07404" w:rsidRDefault="004B0C37" w:rsidP="000B7314">
            <w:pPr>
              <w:suppressAutoHyphens w:val="0"/>
              <w:spacing w:before="40" w:after="40" w:line="220" w:lineRule="exact"/>
              <w:ind w:left="57" w:right="113"/>
              <w:rPr>
                <w:sz w:val="18"/>
              </w:rPr>
            </w:pPr>
            <w:r w:rsidRPr="00E07404">
              <w:rPr>
                <w:sz w:val="18"/>
              </w:rPr>
              <w:t>Voters</w:t>
            </w:r>
          </w:p>
        </w:tc>
        <w:tc>
          <w:tcPr>
            <w:tcW w:w="744" w:type="dxa"/>
            <w:tcBorders>
              <w:top w:val="single" w:sz="12" w:space="0" w:color="auto"/>
            </w:tcBorders>
            <w:shd w:val="clear" w:color="auto" w:fill="auto"/>
            <w:vAlign w:val="bottom"/>
          </w:tcPr>
          <w:p w:rsidR="004B0C37" w:rsidRPr="00E07404" w:rsidRDefault="004B0C37" w:rsidP="00E07404">
            <w:pPr>
              <w:suppressAutoHyphens w:val="0"/>
              <w:spacing w:before="40" w:after="40" w:line="220" w:lineRule="exact"/>
              <w:ind w:right="113"/>
              <w:jc w:val="right"/>
              <w:rPr>
                <w:sz w:val="18"/>
              </w:rPr>
            </w:pPr>
            <w:r w:rsidRPr="00E07404">
              <w:rPr>
                <w:sz w:val="18"/>
              </w:rPr>
              <w:t>11 055</w:t>
            </w:r>
          </w:p>
        </w:tc>
        <w:tc>
          <w:tcPr>
            <w:tcW w:w="744" w:type="dxa"/>
            <w:tcBorders>
              <w:top w:val="single" w:sz="12" w:space="0" w:color="auto"/>
            </w:tcBorders>
            <w:shd w:val="clear" w:color="auto" w:fill="auto"/>
            <w:vAlign w:val="bottom"/>
          </w:tcPr>
          <w:p w:rsidR="004B0C37" w:rsidRPr="00E07404" w:rsidRDefault="004B0C37" w:rsidP="00E07404">
            <w:pPr>
              <w:suppressAutoHyphens w:val="0"/>
              <w:spacing w:before="40" w:after="40" w:line="220" w:lineRule="exact"/>
              <w:ind w:right="113"/>
              <w:jc w:val="right"/>
              <w:rPr>
                <w:sz w:val="18"/>
              </w:rPr>
            </w:pPr>
            <w:r w:rsidRPr="00E07404">
              <w:rPr>
                <w:sz w:val="18"/>
              </w:rPr>
              <w:t>13 124</w:t>
            </w:r>
          </w:p>
        </w:tc>
        <w:tc>
          <w:tcPr>
            <w:tcW w:w="744" w:type="dxa"/>
            <w:tcBorders>
              <w:top w:val="single" w:sz="12" w:space="0" w:color="auto"/>
            </w:tcBorders>
            <w:shd w:val="clear" w:color="auto" w:fill="auto"/>
            <w:vAlign w:val="bottom"/>
          </w:tcPr>
          <w:p w:rsidR="004B0C37" w:rsidRPr="00E07404" w:rsidRDefault="004B0C37" w:rsidP="00E07404">
            <w:pPr>
              <w:suppressAutoHyphens w:val="0"/>
              <w:spacing w:before="40" w:after="40" w:line="220" w:lineRule="exact"/>
              <w:ind w:right="113"/>
              <w:jc w:val="right"/>
              <w:rPr>
                <w:sz w:val="18"/>
              </w:rPr>
            </w:pPr>
            <w:r w:rsidRPr="00E07404">
              <w:rPr>
                <w:sz w:val="18"/>
              </w:rPr>
              <w:t>13 608</w:t>
            </w:r>
          </w:p>
        </w:tc>
        <w:tc>
          <w:tcPr>
            <w:tcW w:w="744" w:type="dxa"/>
            <w:tcBorders>
              <w:top w:val="single" w:sz="12" w:space="0" w:color="auto"/>
            </w:tcBorders>
            <w:shd w:val="clear" w:color="auto" w:fill="auto"/>
            <w:vAlign w:val="bottom"/>
          </w:tcPr>
          <w:p w:rsidR="004B0C37" w:rsidRPr="00E07404" w:rsidRDefault="004B0C37" w:rsidP="00E07404">
            <w:pPr>
              <w:suppressAutoHyphens w:val="0"/>
              <w:spacing w:before="40" w:after="40" w:line="220" w:lineRule="exact"/>
              <w:ind w:right="113"/>
              <w:jc w:val="right"/>
              <w:rPr>
                <w:sz w:val="18"/>
              </w:rPr>
            </w:pPr>
            <w:r w:rsidRPr="00E07404">
              <w:rPr>
                <w:sz w:val="18"/>
              </w:rPr>
              <w:t>14 531</w:t>
            </w:r>
          </w:p>
        </w:tc>
        <w:tc>
          <w:tcPr>
            <w:tcW w:w="744" w:type="dxa"/>
            <w:tcBorders>
              <w:top w:val="single" w:sz="12" w:space="0" w:color="auto"/>
            </w:tcBorders>
            <w:shd w:val="clear" w:color="auto" w:fill="auto"/>
            <w:vAlign w:val="bottom"/>
          </w:tcPr>
          <w:p w:rsidR="004B0C37" w:rsidRPr="00E07404" w:rsidRDefault="004B0C37" w:rsidP="00E07404">
            <w:pPr>
              <w:suppressAutoHyphens w:val="0"/>
              <w:spacing w:before="40" w:after="40" w:line="220" w:lineRule="exact"/>
              <w:ind w:right="113"/>
              <w:jc w:val="right"/>
              <w:rPr>
                <w:sz w:val="18"/>
              </w:rPr>
            </w:pPr>
            <w:r w:rsidRPr="00E07404">
              <w:rPr>
                <w:sz w:val="18"/>
              </w:rPr>
              <w:t>16 331</w:t>
            </w:r>
          </w:p>
        </w:tc>
        <w:tc>
          <w:tcPr>
            <w:tcW w:w="744" w:type="dxa"/>
            <w:tcBorders>
              <w:top w:val="single" w:sz="12" w:space="0" w:color="auto"/>
            </w:tcBorders>
            <w:shd w:val="clear" w:color="auto" w:fill="auto"/>
            <w:vAlign w:val="bottom"/>
          </w:tcPr>
          <w:p w:rsidR="004B0C37" w:rsidRPr="00E07404" w:rsidRDefault="004B0C37" w:rsidP="00E07404">
            <w:pPr>
              <w:suppressAutoHyphens w:val="0"/>
              <w:spacing w:before="40" w:after="40" w:line="220" w:lineRule="exact"/>
              <w:ind w:right="113"/>
              <w:jc w:val="right"/>
              <w:rPr>
                <w:sz w:val="18"/>
              </w:rPr>
            </w:pPr>
            <w:r w:rsidRPr="00E07404">
              <w:rPr>
                <w:sz w:val="18"/>
              </w:rPr>
              <w:t>16 441</w:t>
            </w:r>
          </w:p>
        </w:tc>
        <w:tc>
          <w:tcPr>
            <w:tcW w:w="744" w:type="dxa"/>
            <w:tcBorders>
              <w:top w:val="single" w:sz="12" w:space="0" w:color="auto"/>
            </w:tcBorders>
            <w:shd w:val="clear" w:color="auto" w:fill="auto"/>
            <w:vAlign w:val="bottom"/>
          </w:tcPr>
          <w:p w:rsidR="004B0C37" w:rsidRPr="00E07404" w:rsidRDefault="004B0C37" w:rsidP="00E07404">
            <w:pPr>
              <w:suppressAutoHyphens w:val="0"/>
              <w:spacing w:before="40" w:after="40" w:line="220" w:lineRule="exact"/>
              <w:ind w:right="113"/>
              <w:jc w:val="right"/>
              <w:rPr>
                <w:sz w:val="18"/>
              </w:rPr>
            </w:pPr>
            <w:r w:rsidRPr="00E07404">
              <w:rPr>
                <w:sz w:val="18"/>
              </w:rPr>
              <w:t>9 704</w:t>
            </w:r>
          </w:p>
        </w:tc>
        <w:tc>
          <w:tcPr>
            <w:tcW w:w="744" w:type="dxa"/>
            <w:tcBorders>
              <w:top w:val="single" w:sz="12" w:space="0" w:color="auto"/>
            </w:tcBorders>
            <w:shd w:val="clear" w:color="auto" w:fill="auto"/>
            <w:vAlign w:val="bottom"/>
          </w:tcPr>
          <w:p w:rsidR="004B0C37" w:rsidRPr="00E07404" w:rsidRDefault="004B0C37" w:rsidP="00E07404">
            <w:pPr>
              <w:suppressAutoHyphens w:val="0"/>
              <w:spacing w:before="40" w:after="40" w:line="220" w:lineRule="exact"/>
              <w:ind w:right="113"/>
              <w:jc w:val="right"/>
              <w:rPr>
                <w:sz w:val="18"/>
              </w:rPr>
            </w:pPr>
            <w:r w:rsidRPr="00E07404">
              <w:rPr>
                <w:sz w:val="18"/>
              </w:rPr>
              <w:t>12 031</w:t>
            </w:r>
          </w:p>
        </w:tc>
      </w:tr>
      <w:tr w:rsidR="00BA5C4F" w:rsidRPr="00E07404" w:rsidTr="000B7314">
        <w:trPr>
          <w:cantSplit/>
          <w:trHeight w:val="240"/>
        </w:trPr>
        <w:tc>
          <w:tcPr>
            <w:tcW w:w="332" w:type="dxa"/>
            <w:vMerge/>
            <w:tcBorders>
              <w:right w:val="single" w:sz="4" w:space="0" w:color="auto"/>
            </w:tcBorders>
            <w:shd w:val="clear" w:color="auto" w:fill="auto"/>
            <w:textDirection w:val="btLr"/>
          </w:tcPr>
          <w:p w:rsidR="004B0C37" w:rsidRPr="000B7314" w:rsidRDefault="004B0C37" w:rsidP="00E07404">
            <w:pPr>
              <w:suppressAutoHyphens w:val="0"/>
              <w:spacing w:before="40" w:after="40" w:line="220" w:lineRule="exact"/>
              <w:ind w:right="113"/>
              <w:rPr>
                <w:sz w:val="16"/>
                <w:szCs w:val="18"/>
              </w:rPr>
            </w:pPr>
          </w:p>
        </w:tc>
        <w:tc>
          <w:tcPr>
            <w:tcW w:w="1086" w:type="dxa"/>
            <w:tcBorders>
              <w:left w:val="single" w:sz="4" w:space="0" w:color="auto"/>
            </w:tcBorders>
            <w:shd w:val="clear" w:color="auto" w:fill="auto"/>
          </w:tcPr>
          <w:p w:rsidR="004B0C37" w:rsidRPr="00E07404" w:rsidRDefault="004B0C37" w:rsidP="002718B8">
            <w:pPr>
              <w:suppressAutoHyphens w:val="0"/>
              <w:spacing w:before="40" w:after="40" w:line="220" w:lineRule="exact"/>
              <w:ind w:left="57"/>
              <w:rPr>
                <w:sz w:val="18"/>
              </w:rPr>
            </w:pPr>
            <w:r w:rsidRPr="00E07404">
              <w:rPr>
                <w:sz w:val="18"/>
              </w:rPr>
              <w:t>Voter turnout</w:t>
            </w:r>
          </w:p>
        </w:tc>
        <w:tc>
          <w:tcPr>
            <w:tcW w:w="744" w:type="dxa"/>
            <w:shd w:val="clear" w:color="auto" w:fill="auto"/>
            <w:vAlign w:val="bottom"/>
          </w:tcPr>
          <w:p w:rsidR="004B0C37" w:rsidRPr="00E07404" w:rsidRDefault="004B0C37" w:rsidP="00E07404">
            <w:pPr>
              <w:suppressAutoHyphens w:val="0"/>
              <w:spacing w:before="40" w:after="40" w:line="220" w:lineRule="exact"/>
              <w:ind w:right="113"/>
              <w:jc w:val="right"/>
              <w:rPr>
                <w:sz w:val="18"/>
              </w:rPr>
            </w:pPr>
            <w:r w:rsidRPr="00E07404">
              <w:rPr>
                <w:sz w:val="18"/>
              </w:rPr>
              <w:t>2 985</w:t>
            </w:r>
          </w:p>
        </w:tc>
        <w:tc>
          <w:tcPr>
            <w:tcW w:w="744" w:type="dxa"/>
            <w:shd w:val="clear" w:color="auto" w:fill="auto"/>
            <w:vAlign w:val="bottom"/>
          </w:tcPr>
          <w:p w:rsidR="004B0C37" w:rsidRPr="00E07404" w:rsidRDefault="004B0C37" w:rsidP="00E07404">
            <w:pPr>
              <w:suppressAutoHyphens w:val="0"/>
              <w:spacing w:before="40" w:after="40" w:line="220" w:lineRule="exact"/>
              <w:ind w:right="113"/>
              <w:jc w:val="right"/>
              <w:rPr>
                <w:sz w:val="18"/>
              </w:rPr>
            </w:pPr>
            <w:r w:rsidRPr="00E07404">
              <w:rPr>
                <w:sz w:val="18"/>
              </w:rPr>
              <w:t>4 757</w:t>
            </w:r>
          </w:p>
        </w:tc>
        <w:tc>
          <w:tcPr>
            <w:tcW w:w="744" w:type="dxa"/>
            <w:shd w:val="clear" w:color="auto" w:fill="auto"/>
            <w:vAlign w:val="bottom"/>
          </w:tcPr>
          <w:p w:rsidR="004B0C37" w:rsidRPr="00E07404" w:rsidRDefault="004B0C37" w:rsidP="00E07404">
            <w:pPr>
              <w:suppressAutoHyphens w:val="0"/>
              <w:spacing w:before="40" w:after="40" w:line="220" w:lineRule="exact"/>
              <w:ind w:right="113"/>
              <w:jc w:val="right"/>
              <w:rPr>
                <w:sz w:val="18"/>
              </w:rPr>
            </w:pPr>
            <w:r w:rsidRPr="00E07404">
              <w:rPr>
                <w:sz w:val="18"/>
              </w:rPr>
              <w:t>7 054</w:t>
            </w:r>
          </w:p>
        </w:tc>
        <w:tc>
          <w:tcPr>
            <w:tcW w:w="744" w:type="dxa"/>
            <w:shd w:val="clear" w:color="auto" w:fill="auto"/>
            <w:vAlign w:val="bottom"/>
          </w:tcPr>
          <w:p w:rsidR="004B0C37" w:rsidRPr="00E07404" w:rsidRDefault="004B0C37" w:rsidP="00E07404">
            <w:pPr>
              <w:suppressAutoHyphens w:val="0"/>
              <w:spacing w:before="40" w:after="40" w:line="220" w:lineRule="exact"/>
              <w:ind w:right="113"/>
              <w:jc w:val="right"/>
              <w:rPr>
                <w:sz w:val="18"/>
              </w:rPr>
            </w:pPr>
            <w:r w:rsidRPr="00E07404">
              <w:rPr>
                <w:sz w:val="18"/>
              </w:rPr>
              <w:t>6 905</w:t>
            </w:r>
          </w:p>
        </w:tc>
        <w:tc>
          <w:tcPr>
            <w:tcW w:w="744" w:type="dxa"/>
            <w:shd w:val="clear" w:color="auto" w:fill="auto"/>
            <w:vAlign w:val="bottom"/>
          </w:tcPr>
          <w:p w:rsidR="004B0C37" w:rsidRPr="00E07404" w:rsidRDefault="004B0C37" w:rsidP="00E07404">
            <w:pPr>
              <w:suppressAutoHyphens w:val="0"/>
              <w:spacing w:before="40" w:after="40" w:line="220" w:lineRule="exact"/>
              <w:ind w:right="113"/>
              <w:jc w:val="right"/>
              <w:rPr>
                <w:sz w:val="18"/>
              </w:rPr>
            </w:pPr>
            <w:r w:rsidRPr="00E07404">
              <w:rPr>
                <w:sz w:val="18"/>
              </w:rPr>
              <w:t>6 120</w:t>
            </w:r>
          </w:p>
        </w:tc>
        <w:tc>
          <w:tcPr>
            <w:tcW w:w="744" w:type="dxa"/>
            <w:shd w:val="clear" w:color="auto" w:fill="auto"/>
            <w:vAlign w:val="bottom"/>
          </w:tcPr>
          <w:p w:rsidR="004B0C37" w:rsidRPr="00E07404" w:rsidRDefault="004B0C37" w:rsidP="00E07404">
            <w:pPr>
              <w:suppressAutoHyphens w:val="0"/>
              <w:spacing w:before="40" w:after="40" w:line="220" w:lineRule="exact"/>
              <w:ind w:right="113"/>
              <w:jc w:val="right"/>
              <w:rPr>
                <w:sz w:val="18"/>
              </w:rPr>
            </w:pPr>
            <w:r w:rsidRPr="00E07404">
              <w:rPr>
                <w:sz w:val="18"/>
              </w:rPr>
              <w:t>7 486</w:t>
            </w:r>
          </w:p>
        </w:tc>
        <w:tc>
          <w:tcPr>
            <w:tcW w:w="744" w:type="dxa"/>
            <w:shd w:val="clear" w:color="auto" w:fill="auto"/>
            <w:vAlign w:val="bottom"/>
          </w:tcPr>
          <w:p w:rsidR="004B0C37" w:rsidRPr="00E07404" w:rsidRDefault="004B0C37" w:rsidP="00E07404">
            <w:pPr>
              <w:suppressAutoHyphens w:val="0"/>
              <w:spacing w:before="40" w:after="40" w:line="220" w:lineRule="exact"/>
              <w:ind w:right="113"/>
              <w:jc w:val="right"/>
              <w:rPr>
                <w:sz w:val="18"/>
              </w:rPr>
            </w:pPr>
            <w:r w:rsidRPr="00E07404">
              <w:rPr>
                <w:sz w:val="18"/>
              </w:rPr>
              <w:t>6 826</w:t>
            </w:r>
          </w:p>
        </w:tc>
        <w:tc>
          <w:tcPr>
            <w:tcW w:w="744" w:type="dxa"/>
            <w:shd w:val="clear" w:color="auto" w:fill="auto"/>
            <w:vAlign w:val="bottom"/>
          </w:tcPr>
          <w:p w:rsidR="004B0C37" w:rsidRPr="00E07404" w:rsidRDefault="004B0C37" w:rsidP="00E07404">
            <w:pPr>
              <w:suppressAutoHyphens w:val="0"/>
              <w:spacing w:before="40" w:after="40" w:line="220" w:lineRule="exact"/>
              <w:ind w:right="113"/>
              <w:jc w:val="right"/>
              <w:rPr>
                <w:sz w:val="18"/>
              </w:rPr>
            </w:pPr>
            <w:r w:rsidRPr="00E07404">
              <w:rPr>
                <w:sz w:val="18"/>
              </w:rPr>
              <w:t>7 844</w:t>
            </w:r>
          </w:p>
        </w:tc>
      </w:tr>
      <w:tr w:rsidR="00BA5C4F" w:rsidRPr="00E07404" w:rsidTr="000B7314">
        <w:trPr>
          <w:cantSplit/>
          <w:trHeight w:val="240"/>
        </w:trPr>
        <w:tc>
          <w:tcPr>
            <w:tcW w:w="332" w:type="dxa"/>
            <w:vMerge/>
            <w:tcBorders>
              <w:right w:val="single" w:sz="4" w:space="0" w:color="auto"/>
            </w:tcBorders>
            <w:shd w:val="clear" w:color="auto" w:fill="auto"/>
            <w:textDirection w:val="btLr"/>
          </w:tcPr>
          <w:p w:rsidR="004B0C37" w:rsidRPr="000B7314" w:rsidRDefault="004B0C37" w:rsidP="00E07404">
            <w:pPr>
              <w:suppressAutoHyphens w:val="0"/>
              <w:spacing w:before="40" w:after="40" w:line="220" w:lineRule="exact"/>
              <w:ind w:right="113"/>
              <w:rPr>
                <w:sz w:val="16"/>
                <w:szCs w:val="18"/>
              </w:rPr>
            </w:pPr>
          </w:p>
        </w:tc>
        <w:tc>
          <w:tcPr>
            <w:tcW w:w="1086" w:type="dxa"/>
            <w:tcBorders>
              <w:left w:val="single" w:sz="4" w:space="0" w:color="auto"/>
            </w:tcBorders>
            <w:shd w:val="clear" w:color="auto" w:fill="auto"/>
          </w:tcPr>
          <w:p w:rsidR="004B0C37" w:rsidRPr="00E07404" w:rsidRDefault="004B0C37" w:rsidP="000B7314">
            <w:pPr>
              <w:suppressAutoHyphens w:val="0"/>
              <w:spacing w:before="40" w:after="40" w:line="220" w:lineRule="exact"/>
              <w:ind w:left="57" w:right="113"/>
              <w:rPr>
                <w:sz w:val="18"/>
              </w:rPr>
            </w:pPr>
            <w:r w:rsidRPr="00E07404">
              <w:rPr>
                <w:sz w:val="18"/>
              </w:rPr>
              <w:t>Candidates</w:t>
            </w:r>
          </w:p>
        </w:tc>
        <w:tc>
          <w:tcPr>
            <w:tcW w:w="744" w:type="dxa"/>
            <w:shd w:val="clear" w:color="auto" w:fill="auto"/>
            <w:vAlign w:val="bottom"/>
          </w:tcPr>
          <w:p w:rsidR="004B0C37" w:rsidRPr="00E07404" w:rsidRDefault="004B0C37" w:rsidP="00E07404">
            <w:pPr>
              <w:suppressAutoHyphens w:val="0"/>
              <w:spacing w:before="40" w:after="40" w:line="220" w:lineRule="exact"/>
              <w:ind w:right="113"/>
              <w:jc w:val="right"/>
              <w:rPr>
                <w:sz w:val="18"/>
              </w:rPr>
            </w:pPr>
            <w:r w:rsidRPr="00E07404">
              <w:rPr>
                <w:sz w:val="18"/>
              </w:rPr>
              <w:t>1</w:t>
            </w:r>
          </w:p>
        </w:tc>
        <w:tc>
          <w:tcPr>
            <w:tcW w:w="744" w:type="dxa"/>
            <w:shd w:val="clear" w:color="auto" w:fill="auto"/>
            <w:vAlign w:val="bottom"/>
          </w:tcPr>
          <w:p w:rsidR="004B0C37" w:rsidRPr="00E07404" w:rsidRDefault="004B0C37" w:rsidP="00E07404">
            <w:pPr>
              <w:suppressAutoHyphens w:val="0"/>
              <w:spacing w:before="40" w:after="40" w:line="220" w:lineRule="exact"/>
              <w:ind w:right="113"/>
              <w:jc w:val="right"/>
              <w:rPr>
                <w:sz w:val="18"/>
              </w:rPr>
            </w:pPr>
            <w:r w:rsidRPr="00E07404">
              <w:rPr>
                <w:sz w:val="18"/>
              </w:rPr>
              <w:t>83</w:t>
            </w:r>
          </w:p>
        </w:tc>
        <w:tc>
          <w:tcPr>
            <w:tcW w:w="744" w:type="dxa"/>
            <w:shd w:val="clear" w:color="auto" w:fill="auto"/>
            <w:vAlign w:val="bottom"/>
          </w:tcPr>
          <w:p w:rsidR="004B0C37" w:rsidRPr="00E07404" w:rsidRDefault="004B0C37" w:rsidP="00E07404">
            <w:pPr>
              <w:suppressAutoHyphens w:val="0"/>
              <w:spacing w:before="40" w:after="40" w:line="220" w:lineRule="exact"/>
              <w:ind w:right="113"/>
              <w:jc w:val="right"/>
              <w:rPr>
                <w:sz w:val="18"/>
              </w:rPr>
            </w:pPr>
            <w:r w:rsidRPr="00E07404">
              <w:rPr>
                <w:sz w:val="18"/>
              </w:rPr>
              <w:t>3</w:t>
            </w:r>
          </w:p>
        </w:tc>
        <w:tc>
          <w:tcPr>
            <w:tcW w:w="744" w:type="dxa"/>
            <w:shd w:val="clear" w:color="auto" w:fill="auto"/>
            <w:vAlign w:val="bottom"/>
          </w:tcPr>
          <w:p w:rsidR="004B0C37" w:rsidRPr="00E07404" w:rsidRDefault="004B0C37" w:rsidP="00E07404">
            <w:pPr>
              <w:suppressAutoHyphens w:val="0"/>
              <w:spacing w:before="40" w:after="40" w:line="220" w:lineRule="exact"/>
              <w:ind w:right="113"/>
              <w:jc w:val="right"/>
              <w:rPr>
                <w:sz w:val="18"/>
              </w:rPr>
            </w:pPr>
            <w:r w:rsidRPr="00E07404">
              <w:rPr>
                <w:sz w:val="18"/>
              </w:rPr>
              <w:t>113</w:t>
            </w:r>
          </w:p>
        </w:tc>
        <w:tc>
          <w:tcPr>
            <w:tcW w:w="744" w:type="dxa"/>
            <w:shd w:val="clear" w:color="auto" w:fill="auto"/>
            <w:vAlign w:val="bottom"/>
          </w:tcPr>
          <w:p w:rsidR="004B0C37" w:rsidRPr="00E07404" w:rsidRDefault="004B0C37" w:rsidP="00E07404">
            <w:pPr>
              <w:suppressAutoHyphens w:val="0"/>
              <w:spacing w:before="40" w:after="40" w:line="220" w:lineRule="exact"/>
              <w:ind w:right="113"/>
              <w:jc w:val="right"/>
              <w:rPr>
                <w:sz w:val="18"/>
              </w:rPr>
            </w:pPr>
            <w:r w:rsidRPr="00E07404">
              <w:rPr>
                <w:sz w:val="18"/>
              </w:rPr>
              <w:t>4</w:t>
            </w:r>
          </w:p>
        </w:tc>
        <w:tc>
          <w:tcPr>
            <w:tcW w:w="744" w:type="dxa"/>
            <w:shd w:val="clear" w:color="auto" w:fill="auto"/>
            <w:vAlign w:val="bottom"/>
          </w:tcPr>
          <w:p w:rsidR="004B0C37" w:rsidRPr="00E07404" w:rsidRDefault="004B0C37" w:rsidP="00E07404">
            <w:pPr>
              <w:suppressAutoHyphens w:val="0"/>
              <w:spacing w:before="40" w:after="40" w:line="220" w:lineRule="exact"/>
              <w:ind w:right="113"/>
              <w:jc w:val="right"/>
              <w:rPr>
                <w:sz w:val="18"/>
              </w:rPr>
            </w:pPr>
            <w:r w:rsidRPr="00E07404">
              <w:rPr>
                <w:sz w:val="18"/>
              </w:rPr>
              <w:t>97</w:t>
            </w:r>
          </w:p>
        </w:tc>
        <w:tc>
          <w:tcPr>
            <w:tcW w:w="744" w:type="dxa"/>
            <w:shd w:val="clear" w:color="auto" w:fill="auto"/>
            <w:vAlign w:val="bottom"/>
          </w:tcPr>
          <w:p w:rsidR="004B0C37" w:rsidRPr="00E07404" w:rsidRDefault="004B0C37" w:rsidP="00E07404">
            <w:pPr>
              <w:suppressAutoHyphens w:val="0"/>
              <w:spacing w:before="40" w:after="40" w:line="220" w:lineRule="exact"/>
              <w:ind w:right="113"/>
              <w:jc w:val="right"/>
              <w:rPr>
                <w:sz w:val="18"/>
              </w:rPr>
            </w:pPr>
            <w:r w:rsidRPr="00E07404">
              <w:rPr>
                <w:sz w:val="18"/>
              </w:rPr>
              <w:t>5</w:t>
            </w:r>
          </w:p>
        </w:tc>
        <w:tc>
          <w:tcPr>
            <w:tcW w:w="744" w:type="dxa"/>
            <w:shd w:val="clear" w:color="auto" w:fill="auto"/>
            <w:vAlign w:val="bottom"/>
          </w:tcPr>
          <w:p w:rsidR="004B0C37" w:rsidRPr="00E07404" w:rsidRDefault="004B0C37" w:rsidP="00E07404">
            <w:pPr>
              <w:suppressAutoHyphens w:val="0"/>
              <w:spacing w:before="40" w:after="40" w:line="220" w:lineRule="exact"/>
              <w:ind w:right="113"/>
              <w:jc w:val="right"/>
              <w:rPr>
                <w:sz w:val="18"/>
              </w:rPr>
            </w:pPr>
            <w:r w:rsidRPr="00E07404">
              <w:rPr>
                <w:sz w:val="18"/>
              </w:rPr>
              <w:t>131</w:t>
            </w:r>
          </w:p>
        </w:tc>
      </w:tr>
      <w:tr w:rsidR="00BA5C4F" w:rsidRPr="00E07404" w:rsidTr="00B22F96">
        <w:trPr>
          <w:cantSplit/>
          <w:trHeight w:val="240"/>
        </w:trPr>
        <w:tc>
          <w:tcPr>
            <w:tcW w:w="332" w:type="dxa"/>
            <w:vMerge/>
            <w:tcBorders>
              <w:bottom w:val="single" w:sz="24" w:space="0" w:color="FFFFFF" w:themeColor="background1"/>
              <w:right w:val="single" w:sz="4" w:space="0" w:color="auto"/>
            </w:tcBorders>
            <w:shd w:val="clear" w:color="auto" w:fill="auto"/>
            <w:textDirection w:val="btLr"/>
          </w:tcPr>
          <w:p w:rsidR="004B0C37" w:rsidRPr="000B7314" w:rsidRDefault="004B0C37" w:rsidP="00E07404">
            <w:pPr>
              <w:suppressAutoHyphens w:val="0"/>
              <w:spacing w:before="40" w:after="40" w:line="220" w:lineRule="exact"/>
              <w:ind w:right="113"/>
              <w:rPr>
                <w:sz w:val="16"/>
                <w:szCs w:val="18"/>
                <w:rtl/>
                <w:lang w:bidi="ar-QA"/>
              </w:rPr>
            </w:pPr>
          </w:p>
        </w:tc>
        <w:tc>
          <w:tcPr>
            <w:tcW w:w="1086" w:type="dxa"/>
            <w:tcBorders>
              <w:left w:val="single" w:sz="4" w:space="0" w:color="auto"/>
              <w:bottom w:val="single" w:sz="24" w:space="0" w:color="FFFFFF" w:themeColor="background1"/>
            </w:tcBorders>
            <w:shd w:val="clear" w:color="auto" w:fill="auto"/>
          </w:tcPr>
          <w:p w:rsidR="004B0C37" w:rsidRPr="00E07404" w:rsidRDefault="004B0C37" w:rsidP="000B7314">
            <w:pPr>
              <w:suppressAutoHyphens w:val="0"/>
              <w:spacing w:before="40" w:after="40" w:line="220" w:lineRule="exact"/>
              <w:ind w:left="57" w:right="113"/>
              <w:rPr>
                <w:sz w:val="18"/>
              </w:rPr>
            </w:pPr>
            <w:r w:rsidRPr="00E07404">
              <w:rPr>
                <w:sz w:val="18"/>
              </w:rPr>
              <w:t>Candidates elected</w:t>
            </w:r>
          </w:p>
        </w:tc>
        <w:tc>
          <w:tcPr>
            <w:tcW w:w="744" w:type="dxa"/>
            <w:shd w:val="clear" w:color="auto" w:fill="auto"/>
            <w:vAlign w:val="bottom"/>
          </w:tcPr>
          <w:p w:rsidR="004B0C37" w:rsidRPr="00E07404" w:rsidRDefault="004B0C37" w:rsidP="00E07404">
            <w:pPr>
              <w:suppressAutoHyphens w:val="0"/>
              <w:spacing w:before="40" w:after="40" w:line="220" w:lineRule="exact"/>
              <w:ind w:right="113"/>
              <w:jc w:val="right"/>
              <w:rPr>
                <w:sz w:val="18"/>
              </w:rPr>
            </w:pPr>
            <w:r w:rsidRPr="00E07404">
              <w:rPr>
                <w:sz w:val="18"/>
              </w:rPr>
              <w:t>1</w:t>
            </w:r>
          </w:p>
        </w:tc>
        <w:tc>
          <w:tcPr>
            <w:tcW w:w="744" w:type="dxa"/>
            <w:shd w:val="clear" w:color="auto" w:fill="auto"/>
            <w:vAlign w:val="bottom"/>
          </w:tcPr>
          <w:p w:rsidR="004B0C37" w:rsidRPr="00E07404" w:rsidRDefault="004B0C37" w:rsidP="00E07404">
            <w:pPr>
              <w:suppressAutoHyphens w:val="0"/>
              <w:spacing w:before="40" w:after="40" w:line="220" w:lineRule="exact"/>
              <w:ind w:right="113"/>
              <w:jc w:val="right"/>
              <w:rPr>
                <w:sz w:val="18"/>
              </w:rPr>
            </w:pPr>
            <w:r w:rsidRPr="00E07404">
              <w:rPr>
                <w:sz w:val="18"/>
              </w:rPr>
              <w:t>28</w:t>
            </w:r>
          </w:p>
        </w:tc>
        <w:tc>
          <w:tcPr>
            <w:tcW w:w="744" w:type="dxa"/>
            <w:shd w:val="clear" w:color="auto" w:fill="auto"/>
            <w:vAlign w:val="bottom"/>
          </w:tcPr>
          <w:p w:rsidR="004B0C37" w:rsidRPr="00E07404" w:rsidRDefault="004B0C37" w:rsidP="00E07404">
            <w:pPr>
              <w:suppressAutoHyphens w:val="0"/>
              <w:spacing w:before="40" w:after="40" w:line="220" w:lineRule="exact"/>
              <w:ind w:right="113"/>
              <w:jc w:val="right"/>
              <w:rPr>
                <w:sz w:val="18"/>
              </w:rPr>
            </w:pPr>
            <w:r w:rsidRPr="00E07404">
              <w:rPr>
                <w:sz w:val="18"/>
              </w:rPr>
              <w:t>1</w:t>
            </w:r>
          </w:p>
        </w:tc>
        <w:tc>
          <w:tcPr>
            <w:tcW w:w="744" w:type="dxa"/>
            <w:shd w:val="clear" w:color="auto" w:fill="auto"/>
            <w:vAlign w:val="bottom"/>
          </w:tcPr>
          <w:p w:rsidR="004B0C37" w:rsidRPr="00E07404" w:rsidRDefault="004B0C37" w:rsidP="00E07404">
            <w:pPr>
              <w:suppressAutoHyphens w:val="0"/>
              <w:spacing w:before="40" w:after="40" w:line="220" w:lineRule="exact"/>
              <w:ind w:right="113"/>
              <w:jc w:val="right"/>
              <w:rPr>
                <w:sz w:val="18"/>
              </w:rPr>
            </w:pPr>
            <w:r w:rsidRPr="00E07404">
              <w:rPr>
                <w:sz w:val="18"/>
              </w:rPr>
              <w:t>28</w:t>
            </w:r>
          </w:p>
        </w:tc>
        <w:tc>
          <w:tcPr>
            <w:tcW w:w="744" w:type="dxa"/>
            <w:shd w:val="clear" w:color="auto" w:fill="auto"/>
            <w:vAlign w:val="bottom"/>
          </w:tcPr>
          <w:p w:rsidR="004B0C37" w:rsidRPr="00E07404" w:rsidRDefault="004B0C37" w:rsidP="00E07404">
            <w:pPr>
              <w:suppressAutoHyphens w:val="0"/>
              <w:spacing w:before="40" w:after="40" w:line="220" w:lineRule="exact"/>
              <w:ind w:right="113"/>
              <w:jc w:val="right"/>
              <w:rPr>
                <w:sz w:val="18"/>
              </w:rPr>
            </w:pPr>
            <w:r w:rsidRPr="00E07404">
              <w:rPr>
                <w:sz w:val="18"/>
              </w:rPr>
              <w:t>1</w:t>
            </w:r>
          </w:p>
        </w:tc>
        <w:tc>
          <w:tcPr>
            <w:tcW w:w="744" w:type="dxa"/>
            <w:shd w:val="clear" w:color="auto" w:fill="auto"/>
            <w:vAlign w:val="bottom"/>
          </w:tcPr>
          <w:p w:rsidR="004B0C37" w:rsidRPr="00E07404" w:rsidRDefault="004B0C37" w:rsidP="00E07404">
            <w:pPr>
              <w:suppressAutoHyphens w:val="0"/>
              <w:spacing w:before="40" w:after="40" w:line="220" w:lineRule="exact"/>
              <w:ind w:right="113"/>
              <w:jc w:val="right"/>
              <w:rPr>
                <w:sz w:val="18"/>
              </w:rPr>
            </w:pPr>
            <w:r w:rsidRPr="00E07404">
              <w:rPr>
                <w:sz w:val="18"/>
              </w:rPr>
              <w:t>28</w:t>
            </w:r>
          </w:p>
        </w:tc>
        <w:tc>
          <w:tcPr>
            <w:tcW w:w="744" w:type="dxa"/>
            <w:shd w:val="clear" w:color="auto" w:fill="auto"/>
            <w:vAlign w:val="bottom"/>
          </w:tcPr>
          <w:p w:rsidR="004B0C37" w:rsidRPr="00E07404" w:rsidRDefault="004B0C37" w:rsidP="00E07404">
            <w:pPr>
              <w:suppressAutoHyphens w:val="0"/>
              <w:spacing w:before="40" w:after="40" w:line="220" w:lineRule="exact"/>
              <w:ind w:right="113"/>
              <w:jc w:val="right"/>
              <w:rPr>
                <w:sz w:val="18"/>
              </w:rPr>
            </w:pPr>
            <w:r w:rsidRPr="00E07404">
              <w:rPr>
                <w:sz w:val="18"/>
              </w:rPr>
              <w:t>2</w:t>
            </w:r>
          </w:p>
        </w:tc>
        <w:tc>
          <w:tcPr>
            <w:tcW w:w="744" w:type="dxa"/>
            <w:shd w:val="clear" w:color="auto" w:fill="auto"/>
            <w:vAlign w:val="bottom"/>
          </w:tcPr>
          <w:p w:rsidR="004B0C37" w:rsidRPr="00E07404" w:rsidRDefault="004B0C37" w:rsidP="00E07404">
            <w:pPr>
              <w:suppressAutoHyphens w:val="0"/>
              <w:spacing w:before="40" w:after="40" w:line="220" w:lineRule="exact"/>
              <w:ind w:right="113"/>
              <w:jc w:val="right"/>
              <w:rPr>
                <w:sz w:val="18"/>
              </w:rPr>
            </w:pPr>
            <w:r w:rsidRPr="00E07404">
              <w:rPr>
                <w:sz w:val="18"/>
              </w:rPr>
              <w:t>27</w:t>
            </w:r>
          </w:p>
        </w:tc>
      </w:tr>
      <w:tr w:rsidR="00BA5C4F" w:rsidRPr="00E07404" w:rsidTr="00B22F96">
        <w:trPr>
          <w:cantSplit/>
          <w:trHeight w:val="240"/>
        </w:trPr>
        <w:tc>
          <w:tcPr>
            <w:tcW w:w="332" w:type="dxa"/>
            <w:vMerge w:val="restart"/>
            <w:tcBorders>
              <w:top w:val="single" w:sz="24" w:space="0" w:color="FFFFFF" w:themeColor="background1"/>
              <w:right w:val="single" w:sz="4" w:space="0" w:color="auto"/>
            </w:tcBorders>
            <w:shd w:val="clear" w:color="auto" w:fill="auto"/>
            <w:textDirection w:val="btLr"/>
          </w:tcPr>
          <w:p w:rsidR="004B0C37" w:rsidRPr="000B7314" w:rsidRDefault="004B0C37" w:rsidP="00E07404">
            <w:pPr>
              <w:suppressAutoHyphens w:val="0"/>
              <w:spacing w:before="40" w:after="40" w:line="220" w:lineRule="exact"/>
              <w:ind w:right="113"/>
              <w:jc w:val="center"/>
              <w:rPr>
                <w:i/>
                <w:iCs/>
                <w:sz w:val="16"/>
                <w:szCs w:val="18"/>
              </w:rPr>
            </w:pPr>
            <w:r w:rsidRPr="000B7314">
              <w:rPr>
                <w:i/>
                <w:iCs/>
                <w:sz w:val="16"/>
                <w:szCs w:val="18"/>
              </w:rPr>
              <w:t>As a percentage</w:t>
            </w:r>
          </w:p>
        </w:tc>
        <w:tc>
          <w:tcPr>
            <w:tcW w:w="1086" w:type="dxa"/>
            <w:tcBorders>
              <w:top w:val="single" w:sz="24" w:space="0" w:color="FFFFFF" w:themeColor="background1"/>
              <w:left w:val="single" w:sz="4" w:space="0" w:color="auto"/>
            </w:tcBorders>
            <w:shd w:val="clear" w:color="auto" w:fill="auto"/>
          </w:tcPr>
          <w:p w:rsidR="004B0C37" w:rsidRPr="00E07404" w:rsidRDefault="004B0C37" w:rsidP="000B7314">
            <w:pPr>
              <w:suppressAutoHyphens w:val="0"/>
              <w:spacing w:before="40" w:after="40" w:line="220" w:lineRule="exact"/>
              <w:ind w:left="57" w:right="113"/>
              <w:rPr>
                <w:sz w:val="18"/>
              </w:rPr>
            </w:pPr>
            <w:r w:rsidRPr="00E07404">
              <w:rPr>
                <w:sz w:val="18"/>
              </w:rPr>
              <w:t>Voters</w:t>
            </w:r>
          </w:p>
        </w:tc>
        <w:tc>
          <w:tcPr>
            <w:tcW w:w="744" w:type="dxa"/>
            <w:shd w:val="clear" w:color="auto" w:fill="auto"/>
            <w:vAlign w:val="bottom"/>
          </w:tcPr>
          <w:p w:rsidR="004B0C37" w:rsidRPr="00E07404" w:rsidRDefault="004B0C37" w:rsidP="00E07404">
            <w:pPr>
              <w:suppressAutoHyphens w:val="0"/>
              <w:spacing w:before="40" w:after="40" w:line="220" w:lineRule="exact"/>
              <w:ind w:right="113"/>
              <w:jc w:val="right"/>
              <w:rPr>
                <w:sz w:val="18"/>
              </w:rPr>
            </w:pPr>
            <w:r w:rsidRPr="00E07404">
              <w:rPr>
                <w:sz w:val="18"/>
              </w:rPr>
              <w:t>45.7</w:t>
            </w:r>
          </w:p>
        </w:tc>
        <w:tc>
          <w:tcPr>
            <w:tcW w:w="744" w:type="dxa"/>
            <w:shd w:val="clear" w:color="auto" w:fill="auto"/>
            <w:vAlign w:val="bottom"/>
          </w:tcPr>
          <w:p w:rsidR="004B0C37" w:rsidRPr="00E07404" w:rsidRDefault="004B0C37" w:rsidP="00E07404">
            <w:pPr>
              <w:suppressAutoHyphens w:val="0"/>
              <w:spacing w:before="40" w:after="40" w:line="220" w:lineRule="exact"/>
              <w:ind w:right="113"/>
              <w:jc w:val="right"/>
              <w:rPr>
                <w:sz w:val="18"/>
              </w:rPr>
            </w:pPr>
            <w:r w:rsidRPr="00E07404">
              <w:rPr>
                <w:sz w:val="18"/>
              </w:rPr>
              <w:t>54.3</w:t>
            </w:r>
          </w:p>
        </w:tc>
        <w:tc>
          <w:tcPr>
            <w:tcW w:w="744" w:type="dxa"/>
            <w:shd w:val="clear" w:color="auto" w:fill="auto"/>
            <w:vAlign w:val="bottom"/>
          </w:tcPr>
          <w:p w:rsidR="004B0C37" w:rsidRPr="00E07404" w:rsidRDefault="004B0C37" w:rsidP="00E07404">
            <w:pPr>
              <w:suppressAutoHyphens w:val="0"/>
              <w:spacing w:before="40" w:after="40" w:line="220" w:lineRule="exact"/>
              <w:ind w:right="113"/>
              <w:jc w:val="right"/>
              <w:rPr>
                <w:sz w:val="18"/>
              </w:rPr>
            </w:pPr>
            <w:r w:rsidRPr="00E07404">
              <w:rPr>
                <w:sz w:val="18"/>
              </w:rPr>
              <w:t>48.4</w:t>
            </w:r>
          </w:p>
        </w:tc>
        <w:tc>
          <w:tcPr>
            <w:tcW w:w="744" w:type="dxa"/>
            <w:shd w:val="clear" w:color="auto" w:fill="auto"/>
            <w:vAlign w:val="bottom"/>
          </w:tcPr>
          <w:p w:rsidR="004B0C37" w:rsidRPr="00E07404" w:rsidRDefault="004B0C37" w:rsidP="00E07404">
            <w:pPr>
              <w:suppressAutoHyphens w:val="0"/>
              <w:spacing w:before="40" w:after="40" w:line="220" w:lineRule="exact"/>
              <w:ind w:right="113"/>
              <w:jc w:val="right"/>
              <w:rPr>
                <w:sz w:val="18"/>
              </w:rPr>
            </w:pPr>
            <w:r w:rsidRPr="00E07404">
              <w:rPr>
                <w:sz w:val="18"/>
              </w:rPr>
              <w:t>5.6</w:t>
            </w:r>
          </w:p>
        </w:tc>
        <w:tc>
          <w:tcPr>
            <w:tcW w:w="744" w:type="dxa"/>
            <w:shd w:val="clear" w:color="auto" w:fill="auto"/>
            <w:vAlign w:val="bottom"/>
          </w:tcPr>
          <w:p w:rsidR="004B0C37" w:rsidRPr="00E07404" w:rsidRDefault="004B0C37" w:rsidP="00E07404">
            <w:pPr>
              <w:suppressAutoHyphens w:val="0"/>
              <w:spacing w:before="40" w:after="40" w:line="220" w:lineRule="exact"/>
              <w:ind w:right="113"/>
              <w:jc w:val="right"/>
              <w:rPr>
                <w:sz w:val="18"/>
              </w:rPr>
            </w:pPr>
            <w:r w:rsidRPr="00E07404">
              <w:rPr>
                <w:sz w:val="18"/>
              </w:rPr>
              <w:t>49.7</w:t>
            </w:r>
          </w:p>
        </w:tc>
        <w:tc>
          <w:tcPr>
            <w:tcW w:w="744" w:type="dxa"/>
            <w:shd w:val="clear" w:color="auto" w:fill="auto"/>
            <w:vAlign w:val="bottom"/>
          </w:tcPr>
          <w:p w:rsidR="004B0C37" w:rsidRPr="00E07404" w:rsidRDefault="004B0C37" w:rsidP="00E07404">
            <w:pPr>
              <w:suppressAutoHyphens w:val="0"/>
              <w:spacing w:before="40" w:after="40" w:line="220" w:lineRule="exact"/>
              <w:ind w:right="113"/>
              <w:jc w:val="right"/>
              <w:rPr>
                <w:sz w:val="18"/>
              </w:rPr>
            </w:pPr>
            <w:r w:rsidRPr="00E07404">
              <w:rPr>
                <w:sz w:val="18"/>
              </w:rPr>
              <w:t>50.3</w:t>
            </w:r>
          </w:p>
        </w:tc>
        <w:tc>
          <w:tcPr>
            <w:tcW w:w="744" w:type="dxa"/>
            <w:shd w:val="clear" w:color="auto" w:fill="auto"/>
            <w:vAlign w:val="bottom"/>
          </w:tcPr>
          <w:p w:rsidR="004B0C37" w:rsidRPr="00E07404" w:rsidRDefault="004B0C37" w:rsidP="00E07404">
            <w:pPr>
              <w:suppressAutoHyphens w:val="0"/>
              <w:spacing w:before="40" w:after="40" w:line="220" w:lineRule="exact"/>
              <w:ind w:right="113"/>
              <w:jc w:val="right"/>
              <w:rPr>
                <w:sz w:val="18"/>
              </w:rPr>
            </w:pPr>
            <w:r w:rsidRPr="00E07404">
              <w:rPr>
                <w:sz w:val="18"/>
              </w:rPr>
              <w:t>44.6</w:t>
            </w:r>
          </w:p>
        </w:tc>
        <w:tc>
          <w:tcPr>
            <w:tcW w:w="744" w:type="dxa"/>
            <w:shd w:val="clear" w:color="auto" w:fill="auto"/>
            <w:vAlign w:val="bottom"/>
          </w:tcPr>
          <w:p w:rsidR="004B0C37" w:rsidRPr="00E07404" w:rsidRDefault="004B0C37" w:rsidP="00E07404">
            <w:pPr>
              <w:suppressAutoHyphens w:val="0"/>
              <w:spacing w:before="40" w:after="40" w:line="220" w:lineRule="exact"/>
              <w:ind w:right="113"/>
              <w:jc w:val="right"/>
              <w:rPr>
                <w:sz w:val="18"/>
              </w:rPr>
            </w:pPr>
            <w:r w:rsidRPr="00E07404">
              <w:rPr>
                <w:sz w:val="18"/>
              </w:rPr>
              <w:t>55.4</w:t>
            </w:r>
          </w:p>
        </w:tc>
      </w:tr>
      <w:tr w:rsidR="00BA5C4F" w:rsidRPr="00E07404" w:rsidTr="000B7314">
        <w:trPr>
          <w:cantSplit/>
          <w:trHeight w:val="240"/>
        </w:trPr>
        <w:tc>
          <w:tcPr>
            <w:tcW w:w="332" w:type="dxa"/>
            <w:vMerge/>
            <w:tcBorders>
              <w:right w:val="single" w:sz="4" w:space="0" w:color="auto"/>
            </w:tcBorders>
            <w:shd w:val="clear" w:color="auto" w:fill="auto"/>
            <w:textDirection w:val="btLr"/>
          </w:tcPr>
          <w:p w:rsidR="004B0C37" w:rsidRPr="00E07404" w:rsidRDefault="004B0C37" w:rsidP="00E07404">
            <w:pPr>
              <w:suppressAutoHyphens w:val="0"/>
              <w:spacing w:before="40" w:after="40" w:line="220" w:lineRule="exact"/>
              <w:ind w:right="113"/>
              <w:rPr>
                <w:sz w:val="18"/>
                <w:rtl/>
                <w:lang w:bidi="ar-QA"/>
              </w:rPr>
            </w:pPr>
          </w:p>
        </w:tc>
        <w:tc>
          <w:tcPr>
            <w:tcW w:w="1086" w:type="dxa"/>
            <w:tcBorders>
              <w:left w:val="single" w:sz="4" w:space="0" w:color="auto"/>
            </w:tcBorders>
            <w:shd w:val="clear" w:color="auto" w:fill="auto"/>
          </w:tcPr>
          <w:p w:rsidR="004B0C37" w:rsidRPr="00E07404" w:rsidRDefault="004B0C37" w:rsidP="002718B8">
            <w:pPr>
              <w:suppressAutoHyphens w:val="0"/>
              <w:spacing w:before="40" w:after="40" w:line="220" w:lineRule="exact"/>
              <w:ind w:left="57"/>
              <w:rPr>
                <w:sz w:val="18"/>
              </w:rPr>
            </w:pPr>
            <w:r w:rsidRPr="00E07404">
              <w:rPr>
                <w:sz w:val="18"/>
              </w:rPr>
              <w:t>Voter turnout</w:t>
            </w:r>
          </w:p>
        </w:tc>
        <w:tc>
          <w:tcPr>
            <w:tcW w:w="744" w:type="dxa"/>
            <w:shd w:val="clear" w:color="auto" w:fill="auto"/>
            <w:vAlign w:val="bottom"/>
          </w:tcPr>
          <w:p w:rsidR="004B0C37" w:rsidRPr="00E07404" w:rsidRDefault="004B0C37" w:rsidP="00E07404">
            <w:pPr>
              <w:suppressAutoHyphens w:val="0"/>
              <w:spacing w:before="40" w:after="40" w:line="220" w:lineRule="exact"/>
              <w:ind w:right="113"/>
              <w:jc w:val="right"/>
              <w:rPr>
                <w:sz w:val="18"/>
              </w:rPr>
            </w:pPr>
            <w:r w:rsidRPr="00E07404">
              <w:rPr>
                <w:sz w:val="18"/>
              </w:rPr>
              <w:t>38.6</w:t>
            </w:r>
          </w:p>
        </w:tc>
        <w:tc>
          <w:tcPr>
            <w:tcW w:w="744" w:type="dxa"/>
            <w:shd w:val="clear" w:color="auto" w:fill="auto"/>
            <w:vAlign w:val="bottom"/>
          </w:tcPr>
          <w:p w:rsidR="004B0C37" w:rsidRPr="00E07404" w:rsidRDefault="004B0C37" w:rsidP="00E07404">
            <w:pPr>
              <w:suppressAutoHyphens w:val="0"/>
              <w:spacing w:before="40" w:after="40" w:line="220" w:lineRule="exact"/>
              <w:ind w:right="113"/>
              <w:jc w:val="right"/>
              <w:rPr>
                <w:sz w:val="18"/>
              </w:rPr>
            </w:pPr>
            <w:r w:rsidRPr="00E07404">
              <w:rPr>
                <w:sz w:val="18"/>
              </w:rPr>
              <w:t>61.4</w:t>
            </w:r>
          </w:p>
        </w:tc>
        <w:tc>
          <w:tcPr>
            <w:tcW w:w="744" w:type="dxa"/>
            <w:shd w:val="clear" w:color="auto" w:fill="auto"/>
            <w:vAlign w:val="bottom"/>
          </w:tcPr>
          <w:p w:rsidR="004B0C37" w:rsidRPr="00E07404" w:rsidRDefault="004B0C37" w:rsidP="00E07404">
            <w:pPr>
              <w:suppressAutoHyphens w:val="0"/>
              <w:spacing w:before="40" w:after="40" w:line="220" w:lineRule="exact"/>
              <w:ind w:right="113"/>
              <w:jc w:val="right"/>
              <w:rPr>
                <w:sz w:val="18"/>
              </w:rPr>
            </w:pPr>
            <w:r w:rsidRPr="00E07404">
              <w:rPr>
                <w:sz w:val="18"/>
              </w:rPr>
              <w:t>50.5</w:t>
            </w:r>
          </w:p>
        </w:tc>
        <w:tc>
          <w:tcPr>
            <w:tcW w:w="744" w:type="dxa"/>
            <w:shd w:val="clear" w:color="auto" w:fill="auto"/>
            <w:vAlign w:val="bottom"/>
          </w:tcPr>
          <w:p w:rsidR="004B0C37" w:rsidRPr="00E07404" w:rsidRDefault="004B0C37" w:rsidP="00E07404">
            <w:pPr>
              <w:suppressAutoHyphens w:val="0"/>
              <w:spacing w:before="40" w:after="40" w:line="220" w:lineRule="exact"/>
              <w:ind w:right="113"/>
              <w:jc w:val="right"/>
              <w:rPr>
                <w:sz w:val="18"/>
              </w:rPr>
            </w:pPr>
            <w:r w:rsidRPr="00E07404">
              <w:rPr>
                <w:sz w:val="18"/>
              </w:rPr>
              <w:t>49.5</w:t>
            </w:r>
          </w:p>
        </w:tc>
        <w:tc>
          <w:tcPr>
            <w:tcW w:w="744" w:type="dxa"/>
            <w:shd w:val="clear" w:color="auto" w:fill="auto"/>
            <w:vAlign w:val="bottom"/>
          </w:tcPr>
          <w:p w:rsidR="004B0C37" w:rsidRPr="00E07404" w:rsidRDefault="004B0C37" w:rsidP="00E07404">
            <w:pPr>
              <w:suppressAutoHyphens w:val="0"/>
              <w:spacing w:before="40" w:after="40" w:line="220" w:lineRule="exact"/>
              <w:ind w:right="113"/>
              <w:jc w:val="right"/>
              <w:rPr>
                <w:sz w:val="18"/>
              </w:rPr>
            </w:pPr>
            <w:r w:rsidRPr="00E07404">
              <w:rPr>
                <w:sz w:val="18"/>
              </w:rPr>
              <w:t>45.0</w:t>
            </w:r>
          </w:p>
        </w:tc>
        <w:tc>
          <w:tcPr>
            <w:tcW w:w="744" w:type="dxa"/>
            <w:shd w:val="clear" w:color="auto" w:fill="auto"/>
            <w:vAlign w:val="bottom"/>
          </w:tcPr>
          <w:p w:rsidR="004B0C37" w:rsidRPr="00E07404" w:rsidRDefault="004B0C37" w:rsidP="00E07404">
            <w:pPr>
              <w:suppressAutoHyphens w:val="0"/>
              <w:spacing w:before="40" w:after="40" w:line="220" w:lineRule="exact"/>
              <w:ind w:right="113"/>
              <w:jc w:val="right"/>
              <w:rPr>
                <w:sz w:val="18"/>
              </w:rPr>
            </w:pPr>
            <w:r w:rsidRPr="00E07404">
              <w:rPr>
                <w:sz w:val="18"/>
              </w:rPr>
              <w:t>55.0</w:t>
            </w:r>
          </w:p>
        </w:tc>
        <w:tc>
          <w:tcPr>
            <w:tcW w:w="744" w:type="dxa"/>
            <w:shd w:val="clear" w:color="auto" w:fill="auto"/>
            <w:vAlign w:val="bottom"/>
          </w:tcPr>
          <w:p w:rsidR="004B0C37" w:rsidRPr="00E07404" w:rsidRDefault="004B0C37" w:rsidP="00E07404">
            <w:pPr>
              <w:suppressAutoHyphens w:val="0"/>
              <w:spacing w:before="40" w:after="40" w:line="220" w:lineRule="exact"/>
              <w:ind w:right="113"/>
              <w:jc w:val="right"/>
              <w:rPr>
                <w:sz w:val="18"/>
              </w:rPr>
            </w:pPr>
            <w:r w:rsidRPr="00E07404">
              <w:rPr>
                <w:sz w:val="18"/>
              </w:rPr>
              <w:t>46.5</w:t>
            </w:r>
          </w:p>
        </w:tc>
        <w:tc>
          <w:tcPr>
            <w:tcW w:w="744" w:type="dxa"/>
            <w:shd w:val="clear" w:color="auto" w:fill="auto"/>
            <w:vAlign w:val="bottom"/>
          </w:tcPr>
          <w:p w:rsidR="004B0C37" w:rsidRPr="00E07404" w:rsidRDefault="004B0C37" w:rsidP="00E07404">
            <w:pPr>
              <w:suppressAutoHyphens w:val="0"/>
              <w:spacing w:before="40" w:after="40" w:line="220" w:lineRule="exact"/>
              <w:ind w:right="113"/>
              <w:jc w:val="right"/>
              <w:rPr>
                <w:sz w:val="18"/>
              </w:rPr>
            </w:pPr>
            <w:r w:rsidRPr="00E07404">
              <w:rPr>
                <w:sz w:val="18"/>
              </w:rPr>
              <w:t>53.5</w:t>
            </w:r>
          </w:p>
        </w:tc>
      </w:tr>
      <w:tr w:rsidR="00BA5C4F" w:rsidRPr="00E07404" w:rsidTr="000B7314">
        <w:trPr>
          <w:cantSplit/>
          <w:trHeight w:val="240"/>
        </w:trPr>
        <w:tc>
          <w:tcPr>
            <w:tcW w:w="332" w:type="dxa"/>
            <w:vMerge/>
            <w:tcBorders>
              <w:right w:val="single" w:sz="4" w:space="0" w:color="auto"/>
            </w:tcBorders>
            <w:shd w:val="clear" w:color="auto" w:fill="auto"/>
            <w:textDirection w:val="btLr"/>
          </w:tcPr>
          <w:p w:rsidR="004B0C37" w:rsidRPr="00E07404" w:rsidRDefault="004B0C37" w:rsidP="00E07404">
            <w:pPr>
              <w:suppressAutoHyphens w:val="0"/>
              <w:spacing w:before="40" w:after="40" w:line="220" w:lineRule="exact"/>
              <w:ind w:right="113"/>
              <w:rPr>
                <w:sz w:val="18"/>
                <w:rtl/>
                <w:lang w:bidi="ar-QA"/>
              </w:rPr>
            </w:pPr>
          </w:p>
        </w:tc>
        <w:tc>
          <w:tcPr>
            <w:tcW w:w="1086" w:type="dxa"/>
            <w:tcBorders>
              <w:left w:val="single" w:sz="4" w:space="0" w:color="auto"/>
            </w:tcBorders>
            <w:shd w:val="clear" w:color="auto" w:fill="auto"/>
          </w:tcPr>
          <w:p w:rsidR="004B0C37" w:rsidRPr="00E07404" w:rsidRDefault="004B0C37" w:rsidP="000B7314">
            <w:pPr>
              <w:suppressAutoHyphens w:val="0"/>
              <w:spacing w:before="40" w:after="40" w:line="220" w:lineRule="exact"/>
              <w:ind w:left="57" w:right="113"/>
              <w:rPr>
                <w:sz w:val="18"/>
              </w:rPr>
            </w:pPr>
            <w:r w:rsidRPr="00E07404">
              <w:rPr>
                <w:sz w:val="18"/>
              </w:rPr>
              <w:t>Candidates</w:t>
            </w:r>
          </w:p>
        </w:tc>
        <w:tc>
          <w:tcPr>
            <w:tcW w:w="744" w:type="dxa"/>
            <w:shd w:val="clear" w:color="auto" w:fill="auto"/>
            <w:vAlign w:val="bottom"/>
          </w:tcPr>
          <w:p w:rsidR="004B0C37" w:rsidRPr="00E07404" w:rsidRDefault="004B0C37" w:rsidP="00E07404">
            <w:pPr>
              <w:suppressAutoHyphens w:val="0"/>
              <w:spacing w:before="40" w:after="40" w:line="220" w:lineRule="exact"/>
              <w:ind w:right="113"/>
              <w:jc w:val="right"/>
              <w:rPr>
                <w:sz w:val="18"/>
              </w:rPr>
            </w:pPr>
            <w:r w:rsidRPr="00E07404">
              <w:rPr>
                <w:sz w:val="18"/>
              </w:rPr>
              <w:t>1.2</w:t>
            </w:r>
          </w:p>
        </w:tc>
        <w:tc>
          <w:tcPr>
            <w:tcW w:w="744" w:type="dxa"/>
            <w:shd w:val="clear" w:color="auto" w:fill="auto"/>
            <w:vAlign w:val="bottom"/>
          </w:tcPr>
          <w:p w:rsidR="004B0C37" w:rsidRPr="00E07404" w:rsidRDefault="004B0C37" w:rsidP="00E07404">
            <w:pPr>
              <w:suppressAutoHyphens w:val="0"/>
              <w:spacing w:before="40" w:after="40" w:line="220" w:lineRule="exact"/>
              <w:ind w:right="113"/>
              <w:jc w:val="right"/>
              <w:rPr>
                <w:sz w:val="18"/>
              </w:rPr>
            </w:pPr>
            <w:r w:rsidRPr="00E07404">
              <w:rPr>
                <w:sz w:val="18"/>
              </w:rPr>
              <w:t>98.8</w:t>
            </w:r>
          </w:p>
        </w:tc>
        <w:tc>
          <w:tcPr>
            <w:tcW w:w="744" w:type="dxa"/>
            <w:shd w:val="clear" w:color="auto" w:fill="auto"/>
            <w:vAlign w:val="bottom"/>
          </w:tcPr>
          <w:p w:rsidR="004B0C37" w:rsidRPr="00E07404" w:rsidRDefault="004B0C37" w:rsidP="00E07404">
            <w:pPr>
              <w:suppressAutoHyphens w:val="0"/>
              <w:spacing w:before="40" w:after="40" w:line="220" w:lineRule="exact"/>
              <w:ind w:right="113"/>
              <w:jc w:val="right"/>
              <w:rPr>
                <w:sz w:val="18"/>
              </w:rPr>
            </w:pPr>
            <w:r w:rsidRPr="00E07404">
              <w:rPr>
                <w:sz w:val="18"/>
              </w:rPr>
              <w:t>2.6</w:t>
            </w:r>
          </w:p>
        </w:tc>
        <w:tc>
          <w:tcPr>
            <w:tcW w:w="744" w:type="dxa"/>
            <w:shd w:val="clear" w:color="auto" w:fill="auto"/>
            <w:vAlign w:val="bottom"/>
          </w:tcPr>
          <w:p w:rsidR="004B0C37" w:rsidRPr="00E07404" w:rsidRDefault="004B0C37" w:rsidP="00E07404">
            <w:pPr>
              <w:suppressAutoHyphens w:val="0"/>
              <w:spacing w:before="40" w:after="40" w:line="220" w:lineRule="exact"/>
              <w:ind w:right="113"/>
              <w:jc w:val="right"/>
              <w:rPr>
                <w:sz w:val="18"/>
              </w:rPr>
            </w:pPr>
            <w:r w:rsidRPr="00E07404">
              <w:rPr>
                <w:sz w:val="18"/>
              </w:rPr>
              <w:t>97.4</w:t>
            </w:r>
          </w:p>
        </w:tc>
        <w:tc>
          <w:tcPr>
            <w:tcW w:w="744" w:type="dxa"/>
            <w:shd w:val="clear" w:color="auto" w:fill="auto"/>
            <w:vAlign w:val="bottom"/>
          </w:tcPr>
          <w:p w:rsidR="004B0C37" w:rsidRPr="00E07404" w:rsidRDefault="004B0C37" w:rsidP="00E07404">
            <w:pPr>
              <w:suppressAutoHyphens w:val="0"/>
              <w:spacing w:before="40" w:after="40" w:line="220" w:lineRule="exact"/>
              <w:ind w:right="113"/>
              <w:jc w:val="right"/>
              <w:rPr>
                <w:sz w:val="18"/>
              </w:rPr>
            </w:pPr>
            <w:r w:rsidRPr="00E07404">
              <w:rPr>
                <w:sz w:val="18"/>
              </w:rPr>
              <w:t>4.0</w:t>
            </w:r>
          </w:p>
        </w:tc>
        <w:tc>
          <w:tcPr>
            <w:tcW w:w="744" w:type="dxa"/>
            <w:shd w:val="clear" w:color="auto" w:fill="auto"/>
            <w:vAlign w:val="bottom"/>
          </w:tcPr>
          <w:p w:rsidR="004B0C37" w:rsidRPr="00E07404" w:rsidRDefault="004B0C37" w:rsidP="00E07404">
            <w:pPr>
              <w:suppressAutoHyphens w:val="0"/>
              <w:spacing w:before="40" w:after="40" w:line="220" w:lineRule="exact"/>
              <w:ind w:right="113"/>
              <w:jc w:val="right"/>
              <w:rPr>
                <w:sz w:val="18"/>
              </w:rPr>
            </w:pPr>
            <w:r w:rsidRPr="00E07404">
              <w:rPr>
                <w:sz w:val="18"/>
              </w:rPr>
              <w:t>96.0</w:t>
            </w:r>
          </w:p>
        </w:tc>
        <w:tc>
          <w:tcPr>
            <w:tcW w:w="744" w:type="dxa"/>
            <w:shd w:val="clear" w:color="auto" w:fill="auto"/>
            <w:vAlign w:val="bottom"/>
          </w:tcPr>
          <w:p w:rsidR="004B0C37" w:rsidRPr="00E07404" w:rsidRDefault="004B0C37" w:rsidP="00E07404">
            <w:pPr>
              <w:suppressAutoHyphens w:val="0"/>
              <w:spacing w:before="40" w:after="40" w:line="220" w:lineRule="exact"/>
              <w:ind w:right="113"/>
              <w:jc w:val="right"/>
              <w:rPr>
                <w:sz w:val="18"/>
              </w:rPr>
            </w:pPr>
            <w:r w:rsidRPr="00E07404">
              <w:rPr>
                <w:sz w:val="18"/>
              </w:rPr>
              <w:t>3.7</w:t>
            </w:r>
          </w:p>
        </w:tc>
        <w:tc>
          <w:tcPr>
            <w:tcW w:w="744" w:type="dxa"/>
            <w:shd w:val="clear" w:color="auto" w:fill="auto"/>
            <w:vAlign w:val="bottom"/>
          </w:tcPr>
          <w:p w:rsidR="004B0C37" w:rsidRPr="00E07404" w:rsidRDefault="004B0C37" w:rsidP="00E07404">
            <w:pPr>
              <w:suppressAutoHyphens w:val="0"/>
              <w:spacing w:before="40" w:after="40" w:line="220" w:lineRule="exact"/>
              <w:ind w:right="113"/>
              <w:jc w:val="right"/>
              <w:rPr>
                <w:sz w:val="18"/>
              </w:rPr>
            </w:pPr>
            <w:r w:rsidRPr="00E07404">
              <w:rPr>
                <w:sz w:val="18"/>
              </w:rPr>
              <w:t>96.3</w:t>
            </w:r>
          </w:p>
        </w:tc>
      </w:tr>
      <w:tr w:rsidR="00BA5C4F" w:rsidRPr="00E07404" w:rsidTr="000B7314">
        <w:trPr>
          <w:cantSplit/>
          <w:trHeight w:val="240"/>
        </w:trPr>
        <w:tc>
          <w:tcPr>
            <w:tcW w:w="332" w:type="dxa"/>
            <w:vMerge/>
            <w:tcBorders>
              <w:right w:val="single" w:sz="4" w:space="0" w:color="auto"/>
            </w:tcBorders>
            <w:shd w:val="clear" w:color="auto" w:fill="auto"/>
            <w:textDirection w:val="btLr"/>
          </w:tcPr>
          <w:p w:rsidR="004B0C37" w:rsidRPr="00E07404" w:rsidRDefault="004B0C37" w:rsidP="00E07404">
            <w:pPr>
              <w:suppressAutoHyphens w:val="0"/>
              <w:spacing w:before="40" w:after="40" w:line="220" w:lineRule="exact"/>
              <w:ind w:right="113"/>
              <w:rPr>
                <w:sz w:val="18"/>
                <w:rtl/>
                <w:lang w:bidi="ar-QA"/>
              </w:rPr>
            </w:pPr>
          </w:p>
        </w:tc>
        <w:tc>
          <w:tcPr>
            <w:tcW w:w="1086" w:type="dxa"/>
            <w:tcBorders>
              <w:left w:val="single" w:sz="4" w:space="0" w:color="auto"/>
            </w:tcBorders>
            <w:shd w:val="clear" w:color="auto" w:fill="auto"/>
          </w:tcPr>
          <w:p w:rsidR="004B0C37" w:rsidRPr="00E07404" w:rsidRDefault="004B0C37" w:rsidP="000B7314">
            <w:pPr>
              <w:suppressAutoHyphens w:val="0"/>
              <w:spacing w:before="40" w:after="40" w:line="220" w:lineRule="exact"/>
              <w:ind w:left="57" w:right="113"/>
              <w:rPr>
                <w:sz w:val="18"/>
              </w:rPr>
            </w:pPr>
            <w:r w:rsidRPr="00E07404">
              <w:rPr>
                <w:sz w:val="18"/>
              </w:rPr>
              <w:t>Candidates elected</w:t>
            </w:r>
          </w:p>
        </w:tc>
        <w:tc>
          <w:tcPr>
            <w:tcW w:w="744" w:type="dxa"/>
            <w:shd w:val="clear" w:color="auto" w:fill="auto"/>
            <w:vAlign w:val="bottom"/>
          </w:tcPr>
          <w:p w:rsidR="004B0C37" w:rsidRPr="00E07404" w:rsidRDefault="004B0C37" w:rsidP="00E07404">
            <w:pPr>
              <w:suppressAutoHyphens w:val="0"/>
              <w:spacing w:before="40" w:after="40" w:line="220" w:lineRule="exact"/>
              <w:ind w:right="113"/>
              <w:jc w:val="right"/>
              <w:rPr>
                <w:sz w:val="18"/>
              </w:rPr>
            </w:pPr>
            <w:r w:rsidRPr="00E07404">
              <w:rPr>
                <w:sz w:val="18"/>
              </w:rPr>
              <w:t>3.4</w:t>
            </w:r>
          </w:p>
        </w:tc>
        <w:tc>
          <w:tcPr>
            <w:tcW w:w="744" w:type="dxa"/>
            <w:shd w:val="clear" w:color="auto" w:fill="auto"/>
            <w:vAlign w:val="bottom"/>
          </w:tcPr>
          <w:p w:rsidR="004B0C37" w:rsidRPr="00E07404" w:rsidRDefault="004B0C37" w:rsidP="00E07404">
            <w:pPr>
              <w:suppressAutoHyphens w:val="0"/>
              <w:spacing w:before="40" w:after="40" w:line="220" w:lineRule="exact"/>
              <w:ind w:right="113"/>
              <w:jc w:val="right"/>
              <w:rPr>
                <w:sz w:val="18"/>
              </w:rPr>
            </w:pPr>
            <w:r w:rsidRPr="00E07404">
              <w:rPr>
                <w:sz w:val="18"/>
              </w:rPr>
              <w:t>96.6</w:t>
            </w:r>
          </w:p>
        </w:tc>
        <w:tc>
          <w:tcPr>
            <w:tcW w:w="744" w:type="dxa"/>
            <w:shd w:val="clear" w:color="auto" w:fill="auto"/>
            <w:vAlign w:val="bottom"/>
          </w:tcPr>
          <w:p w:rsidR="004B0C37" w:rsidRPr="00E07404" w:rsidRDefault="004B0C37" w:rsidP="00E07404">
            <w:pPr>
              <w:suppressAutoHyphens w:val="0"/>
              <w:spacing w:before="40" w:after="40" w:line="220" w:lineRule="exact"/>
              <w:ind w:right="113"/>
              <w:jc w:val="right"/>
              <w:rPr>
                <w:sz w:val="18"/>
              </w:rPr>
            </w:pPr>
            <w:r w:rsidRPr="00E07404">
              <w:rPr>
                <w:sz w:val="18"/>
              </w:rPr>
              <w:t>3.4</w:t>
            </w:r>
          </w:p>
        </w:tc>
        <w:tc>
          <w:tcPr>
            <w:tcW w:w="744" w:type="dxa"/>
            <w:shd w:val="clear" w:color="auto" w:fill="auto"/>
            <w:vAlign w:val="bottom"/>
          </w:tcPr>
          <w:p w:rsidR="004B0C37" w:rsidRPr="00E07404" w:rsidRDefault="004B0C37" w:rsidP="00E07404">
            <w:pPr>
              <w:suppressAutoHyphens w:val="0"/>
              <w:spacing w:before="40" w:after="40" w:line="220" w:lineRule="exact"/>
              <w:ind w:right="113"/>
              <w:jc w:val="right"/>
              <w:rPr>
                <w:sz w:val="18"/>
              </w:rPr>
            </w:pPr>
            <w:r w:rsidRPr="00E07404">
              <w:rPr>
                <w:sz w:val="18"/>
              </w:rPr>
              <w:t>96.6</w:t>
            </w:r>
          </w:p>
        </w:tc>
        <w:tc>
          <w:tcPr>
            <w:tcW w:w="744" w:type="dxa"/>
            <w:shd w:val="clear" w:color="auto" w:fill="auto"/>
            <w:vAlign w:val="bottom"/>
          </w:tcPr>
          <w:p w:rsidR="004B0C37" w:rsidRPr="00E07404" w:rsidRDefault="004B0C37" w:rsidP="00E07404">
            <w:pPr>
              <w:suppressAutoHyphens w:val="0"/>
              <w:spacing w:before="40" w:after="40" w:line="220" w:lineRule="exact"/>
              <w:ind w:right="113"/>
              <w:jc w:val="right"/>
              <w:rPr>
                <w:sz w:val="18"/>
              </w:rPr>
            </w:pPr>
            <w:r w:rsidRPr="00E07404">
              <w:rPr>
                <w:sz w:val="18"/>
              </w:rPr>
              <w:t>3.4</w:t>
            </w:r>
          </w:p>
        </w:tc>
        <w:tc>
          <w:tcPr>
            <w:tcW w:w="744" w:type="dxa"/>
            <w:shd w:val="clear" w:color="auto" w:fill="auto"/>
            <w:vAlign w:val="bottom"/>
          </w:tcPr>
          <w:p w:rsidR="004B0C37" w:rsidRPr="00E07404" w:rsidRDefault="004B0C37" w:rsidP="00E07404">
            <w:pPr>
              <w:suppressAutoHyphens w:val="0"/>
              <w:spacing w:before="40" w:after="40" w:line="220" w:lineRule="exact"/>
              <w:ind w:right="113"/>
              <w:jc w:val="right"/>
              <w:rPr>
                <w:sz w:val="18"/>
              </w:rPr>
            </w:pPr>
            <w:r w:rsidRPr="00E07404">
              <w:rPr>
                <w:sz w:val="18"/>
              </w:rPr>
              <w:t>96.6</w:t>
            </w:r>
          </w:p>
        </w:tc>
        <w:tc>
          <w:tcPr>
            <w:tcW w:w="744" w:type="dxa"/>
            <w:shd w:val="clear" w:color="auto" w:fill="auto"/>
            <w:vAlign w:val="bottom"/>
          </w:tcPr>
          <w:p w:rsidR="004B0C37" w:rsidRPr="00E07404" w:rsidRDefault="004B0C37" w:rsidP="00E07404">
            <w:pPr>
              <w:suppressAutoHyphens w:val="0"/>
              <w:spacing w:before="40" w:after="40" w:line="220" w:lineRule="exact"/>
              <w:ind w:right="113"/>
              <w:jc w:val="right"/>
              <w:rPr>
                <w:sz w:val="18"/>
              </w:rPr>
            </w:pPr>
            <w:r w:rsidRPr="00E07404">
              <w:rPr>
                <w:sz w:val="18"/>
              </w:rPr>
              <w:t>6.9</w:t>
            </w:r>
          </w:p>
        </w:tc>
        <w:tc>
          <w:tcPr>
            <w:tcW w:w="744" w:type="dxa"/>
            <w:shd w:val="clear" w:color="auto" w:fill="auto"/>
            <w:vAlign w:val="bottom"/>
          </w:tcPr>
          <w:p w:rsidR="004B0C37" w:rsidRPr="00E07404" w:rsidRDefault="004B0C37" w:rsidP="00E07404">
            <w:pPr>
              <w:suppressAutoHyphens w:val="0"/>
              <w:spacing w:before="40" w:after="40" w:line="220" w:lineRule="exact"/>
              <w:ind w:right="113"/>
              <w:jc w:val="right"/>
              <w:rPr>
                <w:sz w:val="18"/>
              </w:rPr>
            </w:pPr>
            <w:r w:rsidRPr="00E07404">
              <w:rPr>
                <w:sz w:val="18"/>
              </w:rPr>
              <w:t>93.1</w:t>
            </w:r>
          </w:p>
        </w:tc>
      </w:tr>
    </w:tbl>
    <w:p w:rsidR="0060531D" w:rsidRPr="00703AB7" w:rsidRDefault="004B0C37" w:rsidP="00226D13">
      <w:pPr>
        <w:spacing w:before="120" w:after="240"/>
        <w:ind w:left="1134" w:right="1134" w:firstLine="170"/>
        <w:rPr>
          <w:sz w:val="18"/>
        </w:rPr>
      </w:pPr>
      <w:r w:rsidRPr="00703AB7">
        <w:rPr>
          <w:sz w:val="18"/>
        </w:rPr>
        <w:tab/>
      </w:r>
      <w:r w:rsidRPr="00703AB7">
        <w:rPr>
          <w:i/>
          <w:iCs/>
          <w:sz w:val="18"/>
        </w:rPr>
        <w:t>Source:</w:t>
      </w:r>
      <w:r w:rsidR="00703AB7">
        <w:rPr>
          <w:sz w:val="18"/>
        </w:rPr>
        <w:t xml:space="preserve"> </w:t>
      </w:r>
      <w:r w:rsidRPr="00703AB7">
        <w:rPr>
          <w:sz w:val="18"/>
        </w:rPr>
        <w:t xml:space="preserve"> Ministry of Development Planning and Statistics</w:t>
      </w:r>
      <w:r w:rsidR="00703AB7">
        <w:rPr>
          <w:sz w:val="18"/>
        </w:rPr>
        <w:t>.</w:t>
      </w:r>
    </w:p>
    <w:p w:rsidR="0060531D" w:rsidRDefault="004B0C37" w:rsidP="00226D13">
      <w:pPr>
        <w:pStyle w:val="SingleTxtG"/>
      </w:pPr>
      <w:r w:rsidRPr="00D2555C">
        <w:t>109</w:t>
      </w:r>
      <w:r w:rsidR="00486817">
        <w:t>.</w:t>
      </w:r>
      <w:r w:rsidR="00486817">
        <w:tab/>
      </w:r>
      <w:r w:rsidRPr="00D2555C">
        <w:t xml:space="preserve">The Qatari Constitution </w:t>
      </w:r>
      <w:r>
        <w:t>guarantees</w:t>
      </w:r>
      <w:r w:rsidRPr="00D2555C">
        <w:t xml:space="preserve"> </w:t>
      </w:r>
      <w:r>
        <w:t>many</w:t>
      </w:r>
      <w:r w:rsidRPr="00D2555C">
        <w:t xml:space="preserve"> </w:t>
      </w:r>
      <w:r>
        <w:t xml:space="preserve">of the </w:t>
      </w:r>
      <w:r w:rsidRPr="00D2555C">
        <w:t>civil rights recognized under international human rights law.</w:t>
      </w:r>
      <w:r w:rsidR="007F4A3A">
        <w:t xml:space="preserve"> </w:t>
      </w:r>
      <w:r w:rsidRPr="00D2555C">
        <w:t>These include the right to freedom of movement, the right to leave and return to the country, the right to na</w:t>
      </w:r>
      <w:r>
        <w:t>tionality, the right to inherit</w:t>
      </w:r>
      <w:r w:rsidRPr="00D2555C">
        <w:t xml:space="preserve"> and the right to freedom of thought, </w:t>
      </w:r>
      <w:r>
        <w:t>belief</w:t>
      </w:r>
      <w:r w:rsidRPr="00D2555C">
        <w:t xml:space="preserve"> and religion.</w:t>
      </w:r>
    </w:p>
    <w:p w:rsidR="0060531D" w:rsidRDefault="004B0C37" w:rsidP="00226D13">
      <w:pPr>
        <w:pStyle w:val="SingleTxtG"/>
      </w:pPr>
      <w:r w:rsidRPr="00D2555C">
        <w:t>110</w:t>
      </w:r>
      <w:r w:rsidR="00486817">
        <w:t>.</w:t>
      </w:r>
      <w:r w:rsidR="00486817">
        <w:tab/>
      </w:r>
      <w:r w:rsidRPr="00D2555C">
        <w:t xml:space="preserve">The Qatari Constitution guarantees the right to freedom of movement, residence and travel outside the </w:t>
      </w:r>
      <w:r>
        <w:t>country</w:t>
      </w:r>
      <w:r w:rsidRPr="00D2555C">
        <w:t xml:space="preserve"> for both citizens and expatriates.</w:t>
      </w:r>
      <w:r w:rsidR="007F4A3A">
        <w:t xml:space="preserve"> </w:t>
      </w:r>
      <w:r w:rsidRPr="00D2555C">
        <w:t>Article</w:t>
      </w:r>
      <w:r>
        <w:t xml:space="preserve"> 36 of the Constitution states that personal freedom is guaranteed and that no-</w:t>
      </w:r>
      <w:r w:rsidRPr="00D2555C">
        <w:t>one may be arrested, imprisoned, searched, confined to a specific place of residence or subjected to restrictions on freedom of residence or movement except in accordance with the law.</w:t>
      </w:r>
      <w:r w:rsidR="007F4A3A">
        <w:t xml:space="preserve"> </w:t>
      </w:r>
      <w:r w:rsidRPr="00D2555C">
        <w:t>The</w:t>
      </w:r>
      <w:r>
        <w:t>se</w:t>
      </w:r>
      <w:r w:rsidRPr="00D2555C">
        <w:t xml:space="preserve"> constitutional </w:t>
      </w:r>
      <w:r>
        <w:t>safeguards</w:t>
      </w:r>
      <w:r w:rsidRPr="00D2555C">
        <w:t xml:space="preserve"> have been strengthened by</w:t>
      </w:r>
      <w:r>
        <w:t xml:space="preserve"> the adoption of Act No. 21 (</w:t>
      </w:r>
      <w:r w:rsidRPr="00D2555C">
        <w:t>2015</w:t>
      </w:r>
      <w:r>
        <w:t>, amended),</w:t>
      </w:r>
      <w:r w:rsidRPr="00D2555C">
        <w:t xml:space="preserve"> regulating the entry, exit and residence of mi</w:t>
      </w:r>
      <w:r>
        <w:t>grant workers, under which the authorities must be informed at least three working days in advance of a migrant worker</w:t>
      </w:r>
      <w:r w:rsidR="009D1BD8">
        <w:t>’</w:t>
      </w:r>
      <w:r>
        <w:t xml:space="preserve">s departure from the country; a </w:t>
      </w:r>
      <w:r w:rsidRPr="00D2555C">
        <w:t xml:space="preserve">migrant worker may </w:t>
      </w:r>
      <w:r>
        <w:t xml:space="preserve">therefore </w:t>
      </w:r>
      <w:r w:rsidRPr="00D2555C">
        <w:t xml:space="preserve">leave the </w:t>
      </w:r>
      <w:r>
        <w:t>country</w:t>
      </w:r>
      <w:r w:rsidRPr="00D2555C">
        <w:t xml:space="preserve"> without </w:t>
      </w:r>
      <w:r>
        <w:t>his</w:t>
      </w:r>
      <w:r w:rsidRPr="00D2555C">
        <w:t xml:space="preserve"> </w:t>
      </w:r>
      <w:r>
        <w:t>employer</w:t>
      </w:r>
      <w:r w:rsidR="009D1BD8">
        <w:t>’</w:t>
      </w:r>
      <w:r>
        <w:t xml:space="preserve">s </w:t>
      </w:r>
      <w:r w:rsidRPr="00D2555C">
        <w:t>permission.</w:t>
      </w:r>
    </w:p>
    <w:p w:rsidR="0060531D" w:rsidRDefault="004B0C37" w:rsidP="00226D13">
      <w:pPr>
        <w:pStyle w:val="SingleTxtG"/>
      </w:pPr>
      <w:r w:rsidRPr="00D2555C">
        <w:t>111</w:t>
      </w:r>
      <w:r w:rsidR="00486817">
        <w:t>.</w:t>
      </w:r>
      <w:r w:rsidR="00486817">
        <w:tab/>
      </w:r>
      <w:r>
        <w:t>The Qatari legislature</w:t>
      </w:r>
      <w:r w:rsidRPr="00D2555C">
        <w:t xml:space="preserve"> guarantees </w:t>
      </w:r>
      <w:r>
        <w:t>that persons with disabilities have the same</w:t>
      </w:r>
      <w:r w:rsidRPr="00D2555C">
        <w:t xml:space="preserve"> right </w:t>
      </w:r>
      <w:r>
        <w:t xml:space="preserve">as others </w:t>
      </w:r>
      <w:r w:rsidRPr="00D2555C">
        <w:t xml:space="preserve">to move freely inside and </w:t>
      </w:r>
      <w:r>
        <w:t xml:space="preserve">outside the country at any time, </w:t>
      </w:r>
      <w:r w:rsidRPr="00D2555C">
        <w:t xml:space="preserve">to reside in or </w:t>
      </w:r>
      <w:r>
        <w:t>relocate</w:t>
      </w:r>
      <w:r w:rsidRPr="00D2555C">
        <w:t xml:space="preserve"> from any </w:t>
      </w:r>
      <w:r>
        <w:t xml:space="preserve">place and </w:t>
      </w:r>
      <w:r w:rsidRPr="00D2555C">
        <w:t>to travel outside the country temporarily and return.</w:t>
      </w:r>
      <w:r w:rsidR="007F4A3A">
        <w:t xml:space="preserve"> </w:t>
      </w:r>
      <w:r w:rsidRPr="00D2555C">
        <w:t>Persons with disabilities may not be expelled from the country or prevented from returning.</w:t>
      </w:r>
      <w:r w:rsidR="007F4A3A">
        <w:t xml:space="preserve"> </w:t>
      </w:r>
      <w:r>
        <w:t>Designated s</w:t>
      </w:r>
      <w:r w:rsidRPr="00D2555C">
        <w:t xml:space="preserve">paces </w:t>
      </w:r>
      <w:r>
        <w:t>are</w:t>
      </w:r>
      <w:r w:rsidRPr="00D2555C">
        <w:t xml:space="preserve"> </w:t>
      </w:r>
      <w:r>
        <w:t>reserved</w:t>
      </w:r>
      <w:r w:rsidRPr="00D2555C">
        <w:t xml:space="preserve"> for persons with disabilities in </w:t>
      </w:r>
      <w:r>
        <w:t xml:space="preserve">public car parks in markets, commercial centres </w:t>
      </w:r>
      <w:r w:rsidRPr="00D2555C">
        <w:t>and government offices.</w:t>
      </w:r>
      <w:r w:rsidR="007F4A3A">
        <w:t xml:space="preserve"> </w:t>
      </w:r>
      <w:r>
        <w:t>Regarding m</w:t>
      </w:r>
      <w:r w:rsidRPr="00D2555C">
        <w:t xml:space="preserve">easures taken to provide specialist staff </w:t>
      </w:r>
      <w:r>
        <w:t xml:space="preserve">and </w:t>
      </w:r>
      <w:r w:rsidRPr="00D2555C">
        <w:t xml:space="preserve">training in mobility skills for persons with disabilities, the Ministry of Administrative Development, Labour and Social Affairs, through the associations and institutions </w:t>
      </w:r>
      <w:r>
        <w:t>it oversees</w:t>
      </w:r>
      <w:r w:rsidRPr="00D2555C">
        <w:t xml:space="preserve"> pursuant to </w:t>
      </w:r>
      <w:r>
        <w:t>Act No. 12 (2004), on private associations and i</w:t>
      </w:r>
      <w:r w:rsidRPr="00D2555C">
        <w:t>nstitutio</w:t>
      </w:r>
      <w:r>
        <w:t xml:space="preserve">ns, as </w:t>
      </w:r>
      <w:r>
        <w:lastRenderedPageBreak/>
        <w:t>amended by Act No. 10 (</w:t>
      </w:r>
      <w:r w:rsidRPr="00D2555C">
        <w:t>2010</w:t>
      </w:r>
      <w:r>
        <w:t>)</w:t>
      </w:r>
      <w:r w:rsidRPr="00D2555C">
        <w:t xml:space="preserve">, </w:t>
      </w:r>
      <w:r>
        <w:t>plays</w:t>
      </w:r>
      <w:r w:rsidRPr="00D2555C">
        <w:t xml:space="preserve"> an active role in helping persons with disabilities to enhance the</w:t>
      </w:r>
      <w:r>
        <w:t>ir mobility skills and provides</w:t>
      </w:r>
      <w:r w:rsidRPr="00D2555C">
        <w:t xml:space="preserve"> staff to assist them.</w:t>
      </w:r>
    </w:p>
    <w:p w:rsidR="0060531D" w:rsidRDefault="004B0C37" w:rsidP="00226D13">
      <w:pPr>
        <w:pStyle w:val="SingleTxtG"/>
      </w:pPr>
      <w:r w:rsidRPr="004C6ABE">
        <w:t>112</w:t>
      </w:r>
      <w:r w:rsidR="00486817">
        <w:t>.</w:t>
      </w:r>
      <w:r w:rsidR="00486817">
        <w:tab/>
      </w:r>
      <w:r w:rsidRPr="004C6ABE">
        <w:t>Education is a fundamental right guaranteed by the Qatari Constitution.</w:t>
      </w:r>
      <w:r w:rsidR="007F4A3A">
        <w:t xml:space="preserve"> </w:t>
      </w:r>
      <w:r w:rsidRPr="004C6ABE">
        <w:t xml:space="preserve">It is one of the fundamental pillars of social progress, which the State </w:t>
      </w:r>
      <w:r>
        <w:t>is obliged to guarantee, foster, extend</w:t>
      </w:r>
      <w:r w:rsidRPr="004C6ABE">
        <w:t xml:space="preserve"> and make universal.</w:t>
      </w:r>
      <w:r w:rsidR="007F4A3A">
        <w:t xml:space="preserve"> </w:t>
      </w:r>
      <w:r w:rsidRPr="004C6ABE">
        <w:t xml:space="preserve">Thus article 25 of the Constitution stipulates: </w:t>
      </w:r>
      <w:r w:rsidR="009D1BD8">
        <w:t>“</w:t>
      </w:r>
      <w:r w:rsidRPr="004C6ABE">
        <w:t xml:space="preserve">Education is one of the fundamental pillars of social progress, which the State shall </w:t>
      </w:r>
      <w:r>
        <w:t>guarantee</w:t>
      </w:r>
      <w:r w:rsidRPr="004C6ABE">
        <w:t>, foster and endeavour to spread</w:t>
      </w:r>
      <w:r w:rsidR="009D1BD8">
        <w:t>”</w:t>
      </w:r>
      <w:r w:rsidRPr="004C6ABE">
        <w:t>.</w:t>
      </w:r>
      <w:r w:rsidR="007F4A3A">
        <w:t xml:space="preserve"> </w:t>
      </w:r>
      <w:r w:rsidRPr="004C6ABE">
        <w:t xml:space="preserve">Article 49 further stipulates: </w:t>
      </w:r>
      <w:r w:rsidR="009D1BD8">
        <w:t>“</w:t>
      </w:r>
      <w:r w:rsidRPr="004C6ABE">
        <w:t xml:space="preserve">All citizens have the right to education. The State shall endeavour to make education compulsory in accordance with the regulations and laws in </w:t>
      </w:r>
      <w:r>
        <w:t>force</w:t>
      </w:r>
      <w:r w:rsidRPr="004C6ABE">
        <w:t>.</w:t>
      </w:r>
      <w:r w:rsidR="009D1BD8">
        <w:t>”</w:t>
      </w:r>
      <w:r w:rsidR="007F4A3A">
        <w:t xml:space="preserve"> </w:t>
      </w:r>
      <w:r w:rsidRPr="004C6ABE">
        <w:t xml:space="preserve">On this basis, the Ministry of Education and Higher Education has formulated a number of regulatory policies </w:t>
      </w:r>
      <w:r>
        <w:t xml:space="preserve">designed </w:t>
      </w:r>
      <w:r w:rsidRPr="004C6ABE">
        <w:t>to promote human rights principles.</w:t>
      </w:r>
      <w:r w:rsidR="007F4A3A">
        <w:t xml:space="preserve"> </w:t>
      </w:r>
      <w:r w:rsidRPr="004C6ABE">
        <w:t>These include the School Admissions and Registration Policy, Student Assessment Policy, School Student Behavioural Evaluation Policy, Code of Professional Conduct for Educators and Charter of Ethics for Educators.</w:t>
      </w:r>
    </w:p>
    <w:p w:rsidR="004B0C37" w:rsidRPr="004C6ABE" w:rsidRDefault="004B0C37" w:rsidP="00226D13">
      <w:pPr>
        <w:pStyle w:val="SingleTxtG"/>
      </w:pPr>
      <w:r w:rsidRPr="004C6ABE">
        <w:t>113</w:t>
      </w:r>
      <w:r w:rsidR="00486817">
        <w:t>.</w:t>
      </w:r>
      <w:r w:rsidR="00486817">
        <w:tab/>
      </w:r>
      <w:r w:rsidRPr="004C6ABE">
        <w:t>Keen to ensure that all children in the country receive an education, Qatar has taken a series of measures, including:</w:t>
      </w:r>
    </w:p>
    <w:p w:rsidR="004B0C37" w:rsidRPr="004C6ABE" w:rsidRDefault="00A703EC" w:rsidP="00A703EC">
      <w:pPr>
        <w:pStyle w:val="Bullet1G"/>
        <w:numPr>
          <w:ilvl w:val="0"/>
          <w:numId w:val="0"/>
        </w:numPr>
        <w:tabs>
          <w:tab w:val="left" w:pos="1701"/>
        </w:tabs>
        <w:ind w:left="1701" w:hanging="170"/>
      </w:pPr>
      <w:r w:rsidRPr="004C6ABE">
        <w:t>•</w:t>
      </w:r>
      <w:r w:rsidRPr="004C6ABE">
        <w:tab/>
      </w:r>
      <w:r w:rsidR="004B0C37" w:rsidRPr="004C6ABE">
        <w:t>The Compulsory Education Act No. 25 (2001), amended by Act No. 25 (2009), contains 13 articles clarify</w:t>
      </w:r>
      <w:r w:rsidR="004B0C37">
        <w:t xml:space="preserve">ing school enrolment procedures, identifying </w:t>
      </w:r>
      <w:r w:rsidR="004B0C37" w:rsidRPr="004C6ABE">
        <w:t xml:space="preserve">the authorities responsible for implementing the Act and </w:t>
      </w:r>
      <w:r w:rsidR="004B0C37">
        <w:t>setting out</w:t>
      </w:r>
      <w:r w:rsidR="004B0C37" w:rsidRPr="004C6ABE">
        <w:t xml:space="preserve"> penalties and sanctions in cases of non-compliance.</w:t>
      </w:r>
      <w:r w:rsidR="007F4A3A">
        <w:t xml:space="preserve"> </w:t>
      </w:r>
      <w:r w:rsidR="004B0C37" w:rsidRPr="004C6ABE">
        <w:t>The amended Act sets out penalties ranging from a minimum of 5,000 riyals to a maximum of 10,000 riyals for failing to enrol a child in compulsory education without good reason;</w:t>
      </w:r>
    </w:p>
    <w:p w:rsidR="004B0C37" w:rsidRDefault="00A703EC" w:rsidP="00A703EC">
      <w:pPr>
        <w:pStyle w:val="Bullet1G"/>
        <w:numPr>
          <w:ilvl w:val="0"/>
          <w:numId w:val="0"/>
        </w:numPr>
        <w:tabs>
          <w:tab w:val="left" w:pos="1701"/>
        </w:tabs>
        <w:ind w:left="1701" w:hanging="170"/>
      </w:pPr>
      <w:r>
        <w:t>•</w:t>
      </w:r>
      <w:r>
        <w:tab/>
      </w:r>
      <w:r w:rsidR="004B0C37" w:rsidRPr="004C6ABE">
        <w:t xml:space="preserve">Article 8 of Ministerial Decision No. 10 (2010), on the formation of a committee to </w:t>
      </w:r>
      <w:r w:rsidR="004B0C37">
        <w:t>monitor</w:t>
      </w:r>
      <w:r w:rsidR="004B0C37" w:rsidRPr="004C6ABE">
        <w:t xml:space="preserve"> violations by parents/guardians under the Compulsory Education Act, sets out the tasks </w:t>
      </w:r>
      <w:r w:rsidR="004B0C37">
        <w:t>and functions of the committee.</w:t>
      </w:r>
      <w:r w:rsidR="007F4A3A">
        <w:t xml:space="preserve"> </w:t>
      </w:r>
      <w:r w:rsidR="004B0C37">
        <w:t xml:space="preserve">These </w:t>
      </w:r>
      <w:r w:rsidR="004B0C37" w:rsidRPr="004C6ABE">
        <w:t>consist of identifying cases, studying the reasons why some parents/guardians prevent their children from attending school and taking appropriate action, defining the role of the authorities represented in the decision and formulating proposals and procedural measures;</w:t>
      </w:r>
    </w:p>
    <w:p w:rsidR="0060531D" w:rsidRDefault="00A703EC" w:rsidP="00A703EC">
      <w:pPr>
        <w:pStyle w:val="Bullet1G"/>
        <w:numPr>
          <w:ilvl w:val="0"/>
          <w:numId w:val="0"/>
        </w:numPr>
        <w:tabs>
          <w:tab w:val="left" w:pos="1701"/>
        </w:tabs>
        <w:ind w:left="1701" w:hanging="170"/>
      </w:pPr>
      <w:r>
        <w:t>•</w:t>
      </w:r>
      <w:r>
        <w:tab/>
      </w:r>
      <w:r w:rsidR="004B0C37" w:rsidRPr="00A36250">
        <w:t>Act No. 6 (2013), on the Health and Education Fund, aims to provide sustainable financial resources to support health and educational services; the Act also determines the authorities responsible for administering the Fund.</w:t>
      </w:r>
    </w:p>
    <w:p w:rsidR="0060531D" w:rsidRDefault="004B0C37" w:rsidP="00226D13">
      <w:pPr>
        <w:pStyle w:val="SingleTxtG"/>
      </w:pPr>
      <w:r>
        <w:t>114</w:t>
      </w:r>
      <w:r w:rsidR="00486817">
        <w:t>.</w:t>
      </w:r>
      <w:r w:rsidR="00486817">
        <w:tab/>
      </w:r>
      <w:r w:rsidRPr="002F57C4">
        <w:t xml:space="preserve">Qatar </w:t>
      </w:r>
      <w:r>
        <w:t>is keen</w:t>
      </w:r>
      <w:r w:rsidRPr="002F57C4">
        <w:t xml:space="preserve"> to provide </w:t>
      </w:r>
      <w:r>
        <w:t xml:space="preserve">an </w:t>
      </w:r>
      <w:r w:rsidRPr="002F57C4">
        <w:t xml:space="preserve">education </w:t>
      </w:r>
      <w:r>
        <w:t>for</w:t>
      </w:r>
      <w:r w:rsidRPr="002F57C4">
        <w:t xml:space="preserve"> all expatriate children, who </w:t>
      </w:r>
      <w:r>
        <w:t>have the opportunity of attending</w:t>
      </w:r>
      <w:r w:rsidRPr="002F57C4">
        <w:t xml:space="preserve"> </w:t>
      </w:r>
      <w:r>
        <w:t>either</w:t>
      </w:r>
      <w:r w:rsidRPr="002F57C4">
        <w:t xml:space="preserve"> government </w:t>
      </w:r>
      <w:r>
        <w:t>or</w:t>
      </w:r>
      <w:r w:rsidRPr="002F57C4">
        <w:t xml:space="preserve"> private schools, </w:t>
      </w:r>
      <w:r>
        <w:t>in accordance with</w:t>
      </w:r>
      <w:r w:rsidRPr="002F57C4">
        <w:t xml:space="preserve"> the wishes of th</w:t>
      </w:r>
      <w:r>
        <w:t>eir parents/</w:t>
      </w:r>
      <w:r w:rsidRPr="002F57C4">
        <w:t xml:space="preserve"> guardians.</w:t>
      </w:r>
      <w:r w:rsidR="007F4A3A">
        <w:t xml:space="preserve"> </w:t>
      </w:r>
      <w:r>
        <w:t>S</w:t>
      </w:r>
      <w:r w:rsidRPr="002F57C4">
        <w:t xml:space="preserve">chools for </w:t>
      </w:r>
      <w:r>
        <w:t>different communities,</w:t>
      </w:r>
      <w:r w:rsidRPr="002F57C4">
        <w:t xml:space="preserve"> international schools and private </w:t>
      </w:r>
      <w:r>
        <w:t xml:space="preserve">national </w:t>
      </w:r>
      <w:r w:rsidRPr="002F57C4">
        <w:t>schools</w:t>
      </w:r>
      <w:r>
        <w:t xml:space="preserve"> have also been opened.</w:t>
      </w:r>
      <w:r w:rsidR="007F4A3A">
        <w:t xml:space="preserve"> </w:t>
      </w:r>
      <w:r>
        <w:t xml:space="preserve">In total, there are </w:t>
      </w:r>
      <w:r w:rsidRPr="002F57C4">
        <w:t xml:space="preserve">160 </w:t>
      </w:r>
      <w:r>
        <w:t xml:space="preserve">such schools which, together with 85 kindergartens, serve </w:t>
      </w:r>
      <w:r w:rsidRPr="002F57C4">
        <w:t xml:space="preserve">more than 58 per cent of </w:t>
      </w:r>
      <w:r>
        <w:t xml:space="preserve">all </w:t>
      </w:r>
      <w:r w:rsidRPr="002F57C4">
        <w:t>children enrolled in school.</w:t>
      </w:r>
    </w:p>
    <w:p w:rsidR="0060531D" w:rsidRDefault="004B0C37" w:rsidP="00226D13">
      <w:pPr>
        <w:pStyle w:val="SingleTxtG"/>
      </w:pPr>
      <w:r>
        <w:t>115</w:t>
      </w:r>
      <w:r w:rsidR="00486817">
        <w:t>.</w:t>
      </w:r>
      <w:r w:rsidR="00486817">
        <w:tab/>
      </w:r>
      <w:r w:rsidRPr="002F57C4">
        <w:t xml:space="preserve">In </w:t>
      </w:r>
      <w:r>
        <w:t>view</w:t>
      </w:r>
      <w:r w:rsidRPr="002F57C4">
        <w:t xml:space="preserve"> of the increasing mobility of the population and in order to meet </w:t>
      </w:r>
      <w:r>
        <w:t>the</w:t>
      </w:r>
      <w:r w:rsidRPr="002F57C4">
        <w:t xml:space="preserve"> demand for education services, a number of new government and private schools open in Qatar each year.</w:t>
      </w:r>
      <w:r w:rsidR="007F4A3A">
        <w:t xml:space="preserve"> </w:t>
      </w:r>
      <w:r>
        <w:t xml:space="preserve">Keen to provide </w:t>
      </w:r>
      <w:r w:rsidRPr="002F57C4">
        <w:t xml:space="preserve">suitable educational opportunities for all students in the </w:t>
      </w:r>
      <w:r>
        <w:t>country</w:t>
      </w:r>
      <w:r w:rsidRPr="002F57C4">
        <w:t xml:space="preserve"> on a non-discriminatory basis</w:t>
      </w:r>
      <w:r>
        <w:t>,</w:t>
      </w:r>
      <w:r w:rsidRPr="002F57C4">
        <w:t xml:space="preserve"> </w:t>
      </w:r>
      <w:r>
        <w:t>t</w:t>
      </w:r>
      <w:r w:rsidRPr="002F57C4">
        <w:t xml:space="preserve">he Ministry of Education and Higher Education </w:t>
      </w:r>
      <w:r>
        <w:t xml:space="preserve">offers private schools </w:t>
      </w:r>
      <w:r w:rsidRPr="002F57C4">
        <w:t xml:space="preserve">favourable </w:t>
      </w:r>
      <w:r>
        <w:t xml:space="preserve">treatment by, </w:t>
      </w:r>
      <w:r w:rsidRPr="002F57C4">
        <w:t xml:space="preserve">for example, </w:t>
      </w:r>
      <w:r>
        <w:t>exempting them</w:t>
      </w:r>
      <w:r w:rsidRPr="002F57C4">
        <w:t xml:space="preserve"> from electricity and water charges and customs </w:t>
      </w:r>
      <w:r>
        <w:t xml:space="preserve">clearance fees and making </w:t>
      </w:r>
      <w:r w:rsidRPr="002F57C4">
        <w:t xml:space="preserve">land </w:t>
      </w:r>
      <w:r>
        <w:t>available to</w:t>
      </w:r>
      <w:r w:rsidRPr="002F57C4">
        <w:t xml:space="preserve"> private schools that obtain local, national </w:t>
      </w:r>
      <w:r>
        <w:t>or international accreditation.</w:t>
      </w:r>
      <w:r w:rsidR="007F4A3A">
        <w:t xml:space="preserve"> </w:t>
      </w:r>
      <w:r>
        <w:t>The Ministry also seeks to implement</w:t>
      </w:r>
      <w:r w:rsidRPr="002F57C4">
        <w:t xml:space="preserve"> agreements concluded with the Ministry of Health and Ministry of Interior to </w:t>
      </w:r>
      <w:r>
        <w:t>ensure</w:t>
      </w:r>
      <w:r w:rsidRPr="002F57C4">
        <w:t xml:space="preserve"> </w:t>
      </w:r>
      <w:r>
        <w:t xml:space="preserve">that </w:t>
      </w:r>
      <w:r w:rsidRPr="002F57C4">
        <w:t>Qatari children</w:t>
      </w:r>
      <w:r>
        <w:t xml:space="preserve"> obtain their</w:t>
      </w:r>
      <w:r w:rsidRPr="002F57C4">
        <w:t xml:space="preserve"> right to education.</w:t>
      </w:r>
      <w:r w:rsidR="007F4A3A">
        <w:t xml:space="preserve"> </w:t>
      </w:r>
      <w:r>
        <w:t>Furthermore, t</w:t>
      </w:r>
      <w:r w:rsidRPr="002F57C4">
        <w:t xml:space="preserve">he Ministry closely supervises the registration of expatriate </w:t>
      </w:r>
      <w:r>
        <w:t>schoolchildren after</w:t>
      </w:r>
      <w:r w:rsidRPr="002F57C4">
        <w:t xml:space="preserve"> the deadline </w:t>
      </w:r>
      <w:r>
        <w:t xml:space="preserve">for </w:t>
      </w:r>
      <w:r w:rsidRPr="002F57C4">
        <w:t xml:space="preserve">registration has passed and </w:t>
      </w:r>
      <w:r>
        <w:t>facilitates the process</w:t>
      </w:r>
      <w:r w:rsidRPr="002F57C4">
        <w:t xml:space="preserve"> </w:t>
      </w:r>
      <w:r>
        <w:t xml:space="preserve">for them </w:t>
      </w:r>
      <w:r w:rsidRPr="002F57C4">
        <w:t xml:space="preserve">with a view to ensuring that the </w:t>
      </w:r>
      <w:r>
        <w:t xml:space="preserve">education </w:t>
      </w:r>
      <w:r w:rsidRPr="002F57C4">
        <w:t>authorities provide all students with the</w:t>
      </w:r>
      <w:r>
        <w:t xml:space="preserve"> </w:t>
      </w:r>
      <w:r w:rsidRPr="002F57C4">
        <w:t>e</w:t>
      </w:r>
      <w:r>
        <w:t>ducational services</w:t>
      </w:r>
      <w:r w:rsidRPr="00BD00A3">
        <w:t xml:space="preserve"> </w:t>
      </w:r>
      <w:r>
        <w:t>desired</w:t>
      </w:r>
      <w:r w:rsidRPr="002F57C4">
        <w:t>.</w:t>
      </w:r>
    </w:p>
    <w:p w:rsidR="0060531D" w:rsidRDefault="004B0C37" w:rsidP="00226D13">
      <w:pPr>
        <w:pStyle w:val="SingleTxtG"/>
      </w:pPr>
      <w:r w:rsidRPr="00DD0BDB">
        <w:t>116</w:t>
      </w:r>
      <w:r w:rsidR="00486817">
        <w:t>.</w:t>
      </w:r>
      <w:r w:rsidR="00486817">
        <w:tab/>
      </w:r>
      <w:r w:rsidRPr="00DD0BDB">
        <w:t>As part of the initiative to develop education in Qat</w:t>
      </w:r>
      <w:r>
        <w:t xml:space="preserve">ar, Her Highness </w:t>
      </w:r>
      <w:proofErr w:type="spellStart"/>
      <w:r>
        <w:t>Sheikha</w:t>
      </w:r>
      <w:proofErr w:type="spellEnd"/>
      <w:r>
        <w:t xml:space="preserve"> </w:t>
      </w:r>
      <w:proofErr w:type="spellStart"/>
      <w:r>
        <w:t>Mozah</w:t>
      </w:r>
      <w:proofErr w:type="spellEnd"/>
      <w:r>
        <w:t xml:space="preserve"> b</w:t>
      </w:r>
      <w:r w:rsidRPr="00DD0BDB">
        <w:t>int Nasser Al-</w:t>
      </w:r>
      <w:proofErr w:type="spellStart"/>
      <w:r w:rsidRPr="00DD0BDB">
        <w:t>Misnad</w:t>
      </w:r>
      <w:proofErr w:type="spellEnd"/>
      <w:r w:rsidRPr="00DD0BDB">
        <w:t xml:space="preserve"> issued a decision in 2007 </w:t>
      </w:r>
      <w:r>
        <w:t>to attract</w:t>
      </w:r>
      <w:r w:rsidRPr="00DD0BDB">
        <w:t xml:space="preserve"> a number of outstanding foreign schools </w:t>
      </w:r>
      <w:r>
        <w:t>to</w:t>
      </w:r>
      <w:r w:rsidRPr="00DD0BDB">
        <w:t xml:space="preserve"> the country with a view to meeting the </w:t>
      </w:r>
      <w:r>
        <w:t>growing</w:t>
      </w:r>
      <w:r w:rsidRPr="00DD0BDB">
        <w:t xml:space="preserve"> demand for such schools.</w:t>
      </w:r>
      <w:r w:rsidR="007F4A3A">
        <w:t xml:space="preserve"> </w:t>
      </w:r>
      <w:r w:rsidRPr="00DD0BDB">
        <w:t>The following tables illustrate equality of access to schooling:</w:t>
      </w:r>
    </w:p>
    <w:p w:rsidR="004B0C37" w:rsidRPr="00DD0BDB" w:rsidRDefault="004B0C37" w:rsidP="00724813">
      <w:pPr>
        <w:pStyle w:val="Heading1"/>
        <w:keepNext/>
        <w:keepLines/>
        <w:spacing w:after="240"/>
      </w:pPr>
      <w:r w:rsidRPr="00DD0BDB">
        <w:lastRenderedPageBreak/>
        <w:t>Table 15</w:t>
      </w:r>
      <w:r w:rsidR="00722159">
        <w:br/>
      </w:r>
      <w:r w:rsidRPr="00722159">
        <w:rPr>
          <w:b/>
          <w:bCs/>
        </w:rPr>
        <w:t>Number of students in government education at each stage of education, disaggregated by sex and nationality (school year 2015/16)</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76"/>
        <w:gridCol w:w="851"/>
        <w:gridCol w:w="850"/>
        <w:gridCol w:w="850"/>
        <w:gridCol w:w="851"/>
        <w:gridCol w:w="857"/>
        <w:gridCol w:w="850"/>
        <w:gridCol w:w="985"/>
      </w:tblGrid>
      <w:tr w:rsidR="004B0C37" w:rsidRPr="008F6549" w:rsidTr="00F660E5">
        <w:trPr>
          <w:trHeight w:val="240"/>
          <w:tblHeader/>
        </w:trPr>
        <w:tc>
          <w:tcPr>
            <w:tcW w:w="1276" w:type="dxa"/>
            <w:vMerge w:val="restart"/>
            <w:tcBorders>
              <w:top w:val="single" w:sz="4" w:space="0" w:color="auto"/>
              <w:bottom w:val="single" w:sz="12" w:space="0" w:color="auto"/>
            </w:tcBorders>
            <w:shd w:val="clear" w:color="auto" w:fill="auto"/>
            <w:vAlign w:val="bottom"/>
          </w:tcPr>
          <w:p w:rsidR="004B0C37" w:rsidRPr="008F6549" w:rsidRDefault="004B0C37" w:rsidP="008F6549">
            <w:pPr>
              <w:suppressAutoHyphens w:val="0"/>
              <w:spacing w:before="80" w:after="80" w:line="200" w:lineRule="exact"/>
              <w:ind w:right="113"/>
              <w:rPr>
                <w:i/>
                <w:iCs/>
                <w:sz w:val="16"/>
              </w:rPr>
            </w:pPr>
            <w:r w:rsidRPr="008F6549">
              <w:rPr>
                <w:i/>
                <w:iCs/>
                <w:sz w:val="16"/>
              </w:rPr>
              <w:t>Education stage</w:t>
            </w:r>
          </w:p>
        </w:tc>
        <w:tc>
          <w:tcPr>
            <w:tcW w:w="2551" w:type="dxa"/>
            <w:gridSpan w:val="3"/>
            <w:tcBorders>
              <w:top w:val="single" w:sz="4" w:space="0" w:color="auto"/>
              <w:bottom w:val="single" w:sz="4" w:space="0" w:color="auto"/>
              <w:right w:val="single" w:sz="24" w:space="0" w:color="FFFFFF" w:themeColor="background1"/>
            </w:tcBorders>
            <w:shd w:val="clear" w:color="auto" w:fill="auto"/>
            <w:vAlign w:val="bottom"/>
          </w:tcPr>
          <w:p w:rsidR="004B0C37" w:rsidRPr="008F6549" w:rsidRDefault="004B0C37" w:rsidP="003D5311">
            <w:pPr>
              <w:suppressAutoHyphens w:val="0"/>
              <w:spacing w:before="80" w:after="80" w:line="200" w:lineRule="exact"/>
              <w:ind w:right="113"/>
              <w:jc w:val="center"/>
              <w:rPr>
                <w:i/>
                <w:iCs/>
                <w:sz w:val="16"/>
              </w:rPr>
            </w:pPr>
            <w:r w:rsidRPr="008F6549">
              <w:rPr>
                <w:i/>
                <w:iCs/>
                <w:sz w:val="16"/>
              </w:rPr>
              <w:t>Qatari</w:t>
            </w:r>
          </w:p>
        </w:tc>
        <w:tc>
          <w:tcPr>
            <w:tcW w:w="2558" w:type="dxa"/>
            <w:gridSpan w:val="3"/>
            <w:tcBorders>
              <w:top w:val="single" w:sz="4" w:space="0" w:color="auto"/>
              <w:left w:val="single" w:sz="24" w:space="0" w:color="FFFFFF" w:themeColor="background1"/>
              <w:bottom w:val="single" w:sz="4" w:space="0" w:color="auto"/>
            </w:tcBorders>
            <w:shd w:val="clear" w:color="auto" w:fill="auto"/>
            <w:vAlign w:val="bottom"/>
          </w:tcPr>
          <w:p w:rsidR="004B0C37" w:rsidRPr="008F6549" w:rsidRDefault="004B0C37" w:rsidP="003D5311">
            <w:pPr>
              <w:suppressAutoHyphens w:val="0"/>
              <w:spacing w:before="80" w:after="80" w:line="200" w:lineRule="exact"/>
              <w:ind w:right="113"/>
              <w:jc w:val="center"/>
              <w:rPr>
                <w:i/>
                <w:iCs/>
                <w:sz w:val="16"/>
              </w:rPr>
            </w:pPr>
            <w:r w:rsidRPr="008F6549">
              <w:rPr>
                <w:i/>
                <w:iCs/>
                <w:sz w:val="16"/>
              </w:rPr>
              <w:t>Non-Qatari</w:t>
            </w:r>
          </w:p>
        </w:tc>
        <w:tc>
          <w:tcPr>
            <w:tcW w:w="985" w:type="dxa"/>
            <w:vMerge w:val="restart"/>
            <w:tcBorders>
              <w:top w:val="single" w:sz="4" w:space="0" w:color="auto"/>
              <w:bottom w:val="single" w:sz="12" w:space="0" w:color="auto"/>
            </w:tcBorders>
            <w:shd w:val="clear" w:color="auto" w:fill="auto"/>
            <w:vAlign w:val="bottom"/>
          </w:tcPr>
          <w:p w:rsidR="004B0C37" w:rsidRPr="008F6549" w:rsidRDefault="004B0C37" w:rsidP="008F6549">
            <w:pPr>
              <w:suppressAutoHyphens w:val="0"/>
              <w:spacing w:before="80" w:after="80" w:line="200" w:lineRule="exact"/>
              <w:ind w:right="113"/>
              <w:jc w:val="right"/>
              <w:rPr>
                <w:i/>
                <w:iCs/>
                <w:sz w:val="16"/>
              </w:rPr>
            </w:pPr>
            <w:r w:rsidRPr="008F6549">
              <w:rPr>
                <w:i/>
                <w:iCs/>
                <w:sz w:val="16"/>
              </w:rPr>
              <w:t>Total</w:t>
            </w:r>
          </w:p>
        </w:tc>
      </w:tr>
      <w:tr w:rsidR="004B0C37" w:rsidRPr="008F6549" w:rsidTr="00F660E5">
        <w:trPr>
          <w:trHeight w:val="240"/>
          <w:tblHeader/>
        </w:trPr>
        <w:tc>
          <w:tcPr>
            <w:tcW w:w="1276" w:type="dxa"/>
            <w:vMerge/>
            <w:tcBorders>
              <w:top w:val="single" w:sz="12" w:space="0" w:color="auto"/>
              <w:bottom w:val="single" w:sz="12" w:space="0" w:color="auto"/>
            </w:tcBorders>
            <w:shd w:val="clear" w:color="auto" w:fill="auto"/>
            <w:vAlign w:val="bottom"/>
          </w:tcPr>
          <w:p w:rsidR="004B0C37" w:rsidRPr="008F6549" w:rsidRDefault="004B0C37" w:rsidP="008F6549">
            <w:pPr>
              <w:suppressAutoHyphens w:val="0"/>
              <w:spacing w:before="40" w:after="40" w:line="220" w:lineRule="exact"/>
              <w:ind w:right="113"/>
              <w:rPr>
                <w:sz w:val="18"/>
                <w:rtl/>
                <w:lang w:bidi="ar-QA"/>
              </w:rPr>
            </w:pPr>
          </w:p>
        </w:tc>
        <w:tc>
          <w:tcPr>
            <w:tcW w:w="851" w:type="dxa"/>
            <w:tcBorders>
              <w:top w:val="single" w:sz="4" w:space="0" w:color="auto"/>
              <w:bottom w:val="single" w:sz="12" w:space="0" w:color="auto"/>
            </w:tcBorders>
            <w:shd w:val="clear" w:color="auto" w:fill="auto"/>
            <w:vAlign w:val="bottom"/>
          </w:tcPr>
          <w:p w:rsidR="004B0C37" w:rsidRPr="00326CFC" w:rsidRDefault="004B0C37" w:rsidP="00326CFC">
            <w:pPr>
              <w:suppressAutoHyphens w:val="0"/>
              <w:spacing w:before="80" w:after="80" w:line="200" w:lineRule="exact"/>
              <w:ind w:right="113"/>
              <w:jc w:val="right"/>
              <w:rPr>
                <w:i/>
                <w:iCs/>
                <w:sz w:val="16"/>
              </w:rPr>
            </w:pPr>
            <w:r w:rsidRPr="00326CFC">
              <w:rPr>
                <w:i/>
                <w:iCs/>
                <w:sz w:val="16"/>
              </w:rPr>
              <w:t>Males</w:t>
            </w:r>
          </w:p>
        </w:tc>
        <w:tc>
          <w:tcPr>
            <w:tcW w:w="850" w:type="dxa"/>
            <w:tcBorders>
              <w:top w:val="single" w:sz="4" w:space="0" w:color="auto"/>
              <w:bottom w:val="single" w:sz="12" w:space="0" w:color="auto"/>
            </w:tcBorders>
            <w:shd w:val="clear" w:color="auto" w:fill="auto"/>
            <w:vAlign w:val="bottom"/>
          </w:tcPr>
          <w:p w:rsidR="004B0C37" w:rsidRPr="00326CFC" w:rsidRDefault="004B0C37" w:rsidP="00326CFC">
            <w:pPr>
              <w:suppressAutoHyphens w:val="0"/>
              <w:spacing w:before="80" w:after="80" w:line="200" w:lineRule="exact"/>
              <w:ind w:right="113"/>
              <w:jc w:val="right"/>
              <w:rPr>
                <w:i/>
                <w:iCs/>
                <w:sz w:val="16"/>
              </w:rPr>
            </w:pPr>
            <w:r w:rsidRPr="00326CFC">
              <w:rPr>
                <w:i/>
                <w:iCs/>
                <w:sz w:val="16"/>
              </w:rPr>
              <w:t>Females</w:t>
            </w:r>
          </w:p>
        </w:tc>
        <w:tc>
          <w:tcPr>
            <w:tcW w:w="850" w:type="dxa"/>
            <w:tcBorders>
              <w:top w:val="single" w:sz="4" w:space="0" w:color="auto"/>
              <w:bottom w:val="single" w:sz="12" w:space="0" w:color="auto"/>
              <w:right w:val="single" w:sz="24" w:space="0" w:color="FFFFFF" w:themeColor="background1"/>
            </w:tcBorders>
            <w:shd w:val="clear" w:color="auto" w:fill="auto"/>
            <w:vAlign w:val="bottom"/>
          </w:tcPr>
          <w:p w:rsidR="004B0C37" w:rsidRPr="00326CFC" w:rsidRDefault="004B0C37" w:rsidP="00326CFC">
            <w:pPr>
              <w:suppressAutoHyphens w:val="0"/>
              <w:spacing w:before="80" w:after="80" w:line="200" w:lineRule="exact"/>
              <w:ind w:right="113"/>
              <w:jc w:val="right"/>
              <w:rPr>
                <w:i/>
                <w:iCs/>
                <w:sz w:val="16"/>
              </w:rPr>
            </w:pPr>
            <w:r w:rsidRPr="00326CFC">
              <w:rPr>
                <w:i/>
                <w:iCs/>
                <w:sz w:val="16"/>
              </w:rPr>
              <w:t>Sub-total</w:t>
            </w:r>
          </w:p>
        </w:tc>
        <w:tc>
          <w:tcPr>
            <w:tcW w:w="851" w:type="dxa"/>
            <w:tcBorders>
              <w:top w:val="single" w:sz="4" w:space="0" w:color="auto"/>
              <w:left w:val="single" w:sz="24" w:space="0" w:color="FFFFFF" w:themeColor="background1"/>
              <w:bottom w:val="single" w:sz="12" w:space="0" w:color="auto"/>
            </w:tcBorders>
            <w:shd w:val="clear" w:color="auto" w:fill="auto"/>
            <w:vAlign w:val="bottom"/>
          </w:tcPr>
          <w:p w:rsidR="004B0C37" w:rsidRPr="00326CFC" w:rsidRDefault="004B0C37" w:rsidP="00326CFC">
            <w:pPr>
              <w:suppressAutoHyphens w:val="0"/>
              <w:spacing w:before="80" w:after="80" w:line="200" w:lineRule="exact"/>
              <w:ind w:right="113"/>
              <w:jc w:val="right"/>
              <w:rPr>
                <w:i/>
                <w:iCs/>
                <w:sz w:val="16"/>
              </w:rPr>
            </w:pPr>
            <w:r w:rsidRPr="00326CFC">
              <w:rPr>
                <w:i/>
                <w:iCs/>
                <w:sz w:val="16"/>
              </w:rPr>
              <w:t>Males</w:t>
            </w:r>
          </w:p>
        </w:tc>
        <w:tc>
          <w:tcPr>
            <w:tcW w:w="857" w:type="dxa"/>
            <w:tcBorders>
              <w:top w:val="single" w:sz="4" w:space="0" w:color="auto"/>
              <w:bottom w:val="single" w:sz="12" w:space="0" w:color="auto"/>
            </w:tcBorders>
            <w:shd w:val="clear" w:color="auto" w:fill="auto"/>
            <w:vAlign w:val="bottom"/>
          </w:tcPr>
          <w:p w:rsidR="004B0C37" w:rsidRPr="00326CFC" w:rsidRDefault="004B0C37" w:rsidP="00326CFC">
            <w:pPr>
              <w:suppressAutoHyphens w:val="0"/>
              <w:spacing w:before="80" w:after="80" w:line="200" w:lineRule="exact"/>
              <w:ind w:right="113"/>
              <w:jc w:val="right"/>
              <w:rPr>
                <w:i/>
                <w:iCs/>
                <w:sz w:val="16"/>
              </w:rPr>
            </w:pPr>
            <w:r w:rsidRPr="00326CFC">
              <w:rPr>
                <w:i/>
                <w:iCs/>
                <w:sz w:val="16"/>
              </w:rPr>
              <w:t>Females</w:t>
            </w:r>
          </w:p>
        </w:tc>
        <w:tc>
          <w:tcPr>
            <w:tcW w:w="850" w:type="dxa"/>
            <w:tcBorders>
              <w:top w:val="single" w:sz="4" w:space="0" w:color="auto"/>
              <w:bottom w:val="single" w:sz="12" w:space="0" w:color="auto"/>
            </w:tcBorders>
            <w:shd w:val="clear" w:color="auto" w:fill="auto"/>
            <w:vAlign w:val="bottom"/>
          </w:tcPr>
          <w:p w:rsidR="004B0C37" w:rsidRPr="00326CFC" w:rsidRDefault="004B0C37" w:rsidP="00326CFC">
            <w:pPr>
              <w:suppressAutoHyphens w:val="0"/>
              <w:spacing w:before="80" w:after="80" w:line="200" w:lineRule="exact"/>
              <w:ind w:right="113"/>
              <w:jc w:val="right"/>
              <w:rPr>
                <w:i/>
                <w:iCs/>
                <w:sz w:val="16"/>
              </w:rPr>
            </w:pPr>
            <w:r w:rsidRPr="00326CFC">
              <w:rPr>
                <w:i/>
                <w:iCs/>
                <w:sz w:val="16"/>
              </w:rPr>
              <w:t>Sub-total</w:t>
            </w:r>
          </w:p>
        </w:tc>
        <w:tc>
          <w:tcPr>
            <w:tcW w:w="985" w:type="dxa"/>
            <w:vMerge/>
            <w:tcBorders>
              <w:top w:val="single" w:sz="12" w:space="0" w:color="auto"/>
              <w:bottom w:val="single" w:sz="12" w:space="0" w:color="auto"/>
            </w:tcBorders>
            <w:shd w:val="clear" w:color="auto" w:fill="auto"/>
            <w:vAlign w:val="bottom"/>
          </w:tcPr>
          <w:p w:rsidR="004B0C37" w:rsidRPr="00326CFC" w:rsidRDefault="004B0C37" w:rsidP="00326CFC">
            <w:pPr>
              <w:suppressAutoHyphens w:val="0"/>
              <w:spacing w:before="80" w:after="80" w:line="200" w:lineRule="exact"/>
              <w:ind w:right="113"/>
              <w:jc w:val="right"/>
              <w:rPr>
                <w:i/>
                <w:iCs/>
                <w:sz w:val="16"/>
                <w:rtl/>
              </w:rPr>
            </w:pPr>
          </w:p>
        </w:tc>
      </w:tr>
      <w:tr w:rsidR="004B0C37" w:rsidRPr="008F6549" w:rsidTr="00F660E5">
        <w:trPr>
          <w:trHeight w:val="240"/>
        </w:trPr>
        <w:tc>
          <w:tcPr>
            <w:tcW w:w="1276" w:type="dxa"/>
            <w:tcBorders>
              <w:top w:val="single" w:sz="12" w:space="0" w:color="auto"/>
            </w:tcBorders>
            <w:shd w:val="clear" w:color="auto" w:fill="auto"/>
          </w:tcPr>
          <w:p w:rsidR="004B0C37" w:rsidRPr="008F6549" w:rsidRDefault="004B0C37" w:rsidP="008F6549">
            <w:pPr>
              <w:suppressAutoHyphens w:val="0"/>
              <w:spacing w:before="40" w:after="40" w:line="220" w:lineRule="exact"/>
              <w:ind w:right="113"/>
              <w:rPr>
                <w:sz w:val="18"/>
              </w:rPr>
            </w:pPr>
            <w:r w:rsidRPr="008F6549">
              <w:rPr>
                <w:sz w:val="18"/>
              </w:rPr>
              <w:t>Pre-primary</w:t>
            </w:r>
          </w:p>
        </w:tc>
        <w:tc>
          <w:tcPr>
            <w:tcW w:w="851" w:type="dxa"/>
            <w:tcBorders>
              <w:top w:val="single" w:sz="12" w:space="0" w:color="auto"/>
            </w:tcBorders>
            <w:shd w:val="clear" w:color="auto" w:fill="auto"/>
            <w:vAlign w:val="bottom"/>
          </w:tcPr>
          <w:p w:rsidR="004B0C37" w:rsidRPr="008F6549" w:rsidRDefault="004B0C37" w:rsidP="008F6549">
            <w:pPr>
              <w:suppressAutoHyphens w:val="0"/>
              <w:spacing w:before="40" w:after="40" w:line="220" w:lineRule="exact"/>
              <w:ind w:right="113"/>
              <w:jc w:val="right"/>
              <w:rPr>
                <w:sz w:val="18"/>
              </w:rPr>
            </w:pPr>
            <w:r w:rsidRPr="008F6549">
              <w:rPr>
                <w:sz w:val="18"/>
              </w:rPr>
              <w:t>3 439</w:t>
            </w:r>
          </w:p>
        </w:tc>
        <w:tc>
          <w:tcPr>
            <w:tcW w:w="850" w:type="dxa"/>
            <w:tcBorders>
              <w:top w:val="single" w:sz="12" w:space="0" w:color="auto"/>
            </w:tcBorders>
            <w:shd w:val="clear" w:color="auto" w:fill="auto"/>
            <w:vAlign w:val="bottom"/>
          </w:tcPr>
          <w:p w:rsidR="004B0C37" w:rsidRPr="008F6549" w:rsidRDefault="004B0C37" w:rsidP="008F6549">
            <w:pPr>
              <w:suppressAutoHyphens w:val="0"/>
              <w:spacing w:before="40" w:after="40" w:line="220" w:lineRule="exact"/>
              <w:ind w:right="113"/>
              <w:jc w:val="right"/>
              <w:rPr>
                <w:sz w:val="18"/>
              </w:rPr>
            </w:pPr>
            <w:r w:rsidRPr="008F6549">
              <w:rPr>
                <w:sz w:val="18"/>
              </w:rPr>
              <w:t>3 920</w:t>
            </w:r>
          </w:p>
        </w:tc>
        <w:tc>
          <w:tcPr>
            <w:tcW w:w="850" w:type="dxa"/>
            <w:tcBorders>
              <w:top w:val="single" w:sz="12" w:space="0" w:color="auto"/>
            </w:tcBorders>
            <w:shd w:val="clear" w:color="auto" w:fill="auto"/>
            <w:vAlign w:val="bottom"/>
          </w:tcPr>
          <w:p w:rsidR="004B0C37" w:rsidRPr="008F6549" w:rsidRDefault="004B0C37" w:rsidP="008F6549">
            <w:pPr>
              <w:suppressAutoHyphens w:val="0"/>
              <w:spacing w:before="40" w:after="40" w:line="220" w:lineRule="exact"/>
              <w:ind w:right="113"/>
              <w:jc w:val="right"/>
              <w:rPr>
                <w:sz w:val="18"/>
              </w:rPr>
            </w:pPr>
            <w:r w:rsidRPr="008F6549">
              <w:rPr>
                <w:sz w:val="18"/>
              </w:rPr>
              <w:t>7 359</w:t>
            </w:r>
          </w:p>
        </w:tc>
        <w:tc>
          <w:tcPr>
            <w:tcW w:w="851" w:type="dxa"/>
            <w:tcBorders>
              <w:top w:val="single" w:sz="12" w:space="0" w:color="auto"/>
            </w:tcBorders>
            <w:shd w:val="clear" w:color="auto" w:fill="auto"/>
            <w:vAlign w:val="bottom"/>
          </w:tcPr>
          <w:p w:rsidR="004B0C37" w:rsidRPr="008F6549" w:rsidRDefault="004B0C37" w:rsidP="008F6549">
            <w:pPr>
              <w:suppressAutoHyphens w:val="0"/>
              <w:spacing w:before="40" w:after="40" w:line="220" w:lineRule="exact"/>
              <w:ind w:right="113"/>
              <w:jc w:val="right"/>
              <w:rPr>
                <w:sz w:val="18"/>
              </w:rPr>
            </w:pPr>
            <w:r w:rsidRPr="008F6549">
              <w:rPr>
                <w:sz w:val="18"/>
              </w:rPr>
              <w:t>452</w:t>
            </w:r>
          </w:p>
        </w:tc>
        <w:tc>
          <w:tcPr>
            <w:tcW w:w="857" w:type="dxa"/>
            <w:tcBorders>
              <w:top w:val="single" w:sz="12" w:space="0" w:color="auto"/>
            </w:tcBorders>
            <w:shd w:val="clear" w:color="auto" w:fill="auto"/>
            <w:vAlign w:val="bottom"/>
          </w:tcPr>
          <w:p w:rsidR="004B0C37" w:rsidRPr="008F6549" w:rsidRDefault="004B0C37" w:rsidP="008F6549">
            <w:pPr>
              <w:suppressAutoHyphens w:val="0"/>
              <w:spacing w:before="40" w:after="40" w:line="220" w:lineRule="exact"/>
              <w:ind w:right="113"/>
              <w:jc w:val="right"/>
              <w:rPr>
                <w:sz w:val="18"/>
              </w:rPr>
            </w:pPr>
            <w:r w:rsidRPr="008F6549">
              <w:rPr>
                <w:sz w:val="18"/>
              </w:rPr>
              <w:t>495</w:t>
            </w:r>
          </w:p>
        </w:tc>
        <w:tc>
          <w:tcPr>
            <w:tcW w:w="850" w:type="dxa"/>
            <w:tcBorders>
              <w:top w:val="single" w:sz="12" w:space="0" w:color="auto"/>
            </w:tcBorders>
            <w:shd w:val="clear" w:color="auto" w:fill="auto"/>
            <w:vAlign w:val="bottom"/>
          </w:tcPr>
          <w:p w:rsidR="004B0C37" w:rsidRPr="008F6549" w:rsidRDefault="004B0C37" w:rsidP="008F6549">
            <w:pPr>
              <w:suppressAutoHyphens w:val="0"/>
              <w:spacing w:before="40" w:after="40" w:line="220" w:lineRule="exact"/>
              <w:ind w:right="113"/>
              <w:jc w:val="right"/>
              <w:rPr>
                <w:sz w:val="18"/>
              </w:rPr>
            </w:pPr>
            <w:r w:rsidRPr="008F6549">
              <w:rPr>
                <w:sz w:val="18"/>
              </w:rPr>
              <w:t>947</w:t>
            </w:r>
          </w:p>
        </w:tc>
        <w:tc>
          <w:tcPr>
            <w:tcW w:w="985" w:type="dxa"/>
            <w:tcBorders>
              <w:top w:val="single" w:sz="12" w:space="0" w:color="auto"/>
            </w:tcBorders>
            <w:shd w:val="clear" w:color="auto" w:fill="auto"/>
            <w:vAlign w:val="bottom"/>
          </w:tcPr>
          <w:p w:rsidR="004B0C37" w:rsidRPr="008F6549" w:rsidRDefault="004B0C37" w:rsidP="008F6549">
            <w:pPr>
              <w:suppressAutoHyphens w:val="0"/>
              <w:spacing w:before="40" w:after="40" w:line="220" w:lineRule="exact"/>
              <w:ind w:right="113"/>
              <w:jc w:val="right"/>
              <w:rPr>
                <w:sz w:val="18"/>
              </w:rPr>
            </w:pPr>
            <w:r w:rsidRPr="008F6549">
              <w:rPr>
                <w:sz w:val="18"/>
              </w:rPr>
              <w:t>8 306</w:t>
            </w:r>
          </w:p>
        </w:tc>
      </w:tr>
      <w:tr w:rsidR="004B0C37" w:rsidRPr="008F6549" w:rsidTr="008F6549">
        <w:trPr>
          <w:trHeight w:val="240"/>
        </w:trPr>
        <w:tc>
          <w:tcPr>
            <w:tcW w:w="1276" w:type="dxa"/>
            <w:shd w:val="clear" w:color="auto" w:fill="auto"/>
          </w:tcPr>
          <w:p w:rsidR="004B0C37" w:rsidRPr="008F6549" w:rsidRDefault="004B0C37" w:rsidP="008F6549">
            <w:pPr>
              <w:suppressAutoHyphens w:val="0"/>
              <w:spacing w:before="40" w:after="40" w:line="220" w:lineRule="exact"/>
              <w:ind w:right="113"/>
              <w:rPr>
                <w:sz w:val="18"/>
              </w:rPr>
            </w:pPr>
            <w:r w:rsidRPr="008F6549">
              <w:rPr>
                <w:sz w:val="18"/>
              </w:rPr>
              <w:t>Primary</w:t>
            </w:r>
          </w:p>
        </w:tc>
        <w:tc>
          <w:tcPr>
            <w:tcW w:w="851" w:type="dxa"/>
            <w:shd w:val="clear" w:color="auto" w:fill="auto"/>
            <w:vAlign w:val="bottom"/>
          </w:tcPr>
          <w:p w:rsidR="004B0C37" w:rsidRPr="008F6549" w:rsidRDefault="004B0C37" w:rsidP="008F6549">
            <w:pPr>
              <w:suppressAutoHyphens w:val="0"/>
              <w:spacing w:before="40" w:after="40" w:line="220" w:lineRule="exact"/>
              <w:ind w:right="113"/>
              <w:jc w:val="right"/>
              <w:rPr>
                <w:sz w:val="18"/>
              </w:rPr>
            </w:pPr>
            <w:r w:rsidRPr="008F6549">
              <w:rPr>
                <w:sz w:val="18"/>
              </w:rPr>
              <w:t>12 679</w:t>
            </w:r>
          </w:p>
        </w:tc>
        <w:tc>
          <w:tcPr>
            <w:tcW w:w="850" w:type="dxa"/>
            <w:shd w:val="clear" w:color="auto" w:fill="auto"/>
            <w:vAlign w:val="bottom"/>
          </w:tcPr>
          <w:p w:rsidR="004B0C37" w:rsidRPr="008F6549" w:rsidRDefault="004B0C37" w:rsidP="008F6549">
            <w:pPr>
              <w:suppressAutoHyphens w:val="0"/>
              <w:spacing w:before="40" w:after="40" w:line="220" w:lineRule="exact"/>
              <w:ind w:right="113"/>
              <w:jc w:val="right"/>
              <w:rPr>
                <w:sz w:val="18"/>
              </w:rPr>
            </w:pPr>
            <w:r w:rsidRPr="008F6549">
              <w:rPr>
                <w:sz w:val="18"/>
              </w:rPr>
              <w:t>14 443</w:t>
            </w:r>
          </w:p>
        </w:tc>
        <w:tc>
          <w:tcPr>
            <w:tcW w:w="850" w:type="dxa"/>
            <w:shd w:val="clear" w:color="auto" w:fill="auto"/>
            <w:vAlign w:val="bottom"/>
          </w:tcPr>
          <w:p w:rsidR="004B0C37" w:rsidRPr="008F6549" w:rsidRDefault="004B0C37" w:rsidP="008F6549">
            <w:pPr>
              <w:suppressAutoHyphens w:val="0"/>
              <w:spacing w:before="40" w:after="40" w:line="220" w:lineRule="exact"/>
              <w:ind w:right="113"/>
              <w:jc w:val="right"/>
              <w:rPr>
                <w:sz w:val="18"/>
              </w:rPr>
            </w:pPr>
            <w:r w:rsidRPr="008F6549">
              <w:rPr>
                <w:sz w:val="18"/>
              </w:rPr>
              <w:t>27 122</w:t>
            </w:r>
          </w:p>
        </w:tc>
        <w:tc>
          <w:tcPr>
            <w:tcW w:w="851" w:type="dxa"/>
            <w:shd w:val="clear" w:color="auto" w:fill="auto"/>
            <w:vAlign w:val="bottom"/>
          </w:tcPr>
          <w:p w:rsidR="004B0C37" w:rsidRPr="008F6549" w:rsidRDefault="004B0C37" w:rsidP="008F6549">
            <w:pPr>
              <w:suppressAutoHyphens w:val="0"/>
              <w:spacing w:before="40" w:after="40" w:line="220" w:lineRule="exact"/>
              <w:ind w:right="113"/>
              <w:jc w:val="right"/>
              <w:rPr>
                <w:sz w:val="18"/>
              </w:rPr>
            </w:pPr>
            <w:r w:rsidRPr="008F6549">
              <w:rPr>
                <w:sz w:val="18"/>
              </w:rPr>
              <w:t>11 106</w:t>
            </w:r>
          </w:p>
        </w:tc>
        <w:tc>
          <w:tcPr>
            <w:tcW w:w="857" w:type="dxa"/>
            <w:shd w:val="clear" w:color="auto" w:fill="auto"/>
            <w:vAlign w:val="bottom"/>
          </w:tcPr>
          <w:p w:rsidR="004B0C37" w:rsidRPr="008F6549" w:rsidRDefault="004B0C37" w:rsidP="008F6549">
            <w:pPr>
              <w:suppressAutoHyphens w:val="0"/>
              <w:spacing w:before="40" w:after="40" w:line="220" w:lineRule="exact"/>
              <w:ind w:right="113"/>
              <w:jc w:val="right"/>
              <w:rPr>
                <w:sz w:val="18"/>
              </w:rPr>
            </w:pPr>
            <w:r w:rsidRPr="008F6549">
              <w:rPr>
                <w:sz w:val="18"/>
              </w:rPr>
              <w:t>11 803</w:t>
            </w:r>
          </w:p>
        </w:tc>
        <w:tc>
          <w:tcPr>
            <w:tcW w:w="850" w:type="dxa"/>
            <w:shd w:val="clear" w:color="auto" w:fill="auto"/>
            <w:vAlign w:val="bottom"/>
          </w:tcPr>
          <w:p w:rsidR="004B0C37" w:rsidRPr="008F6549" w:rsidRDefault="004B0C37" w:rsidP="008F6549">
            <w:pPr>
              <w:suppressAutoHyphens w:val="0"/>
              <w:spacing w:before="40" w:after="40" w:line="220" w:lineRule="exact"/>
              <w:ind w:right="113"/>
              <w:jc w:val="right"/>
              <w:rPr>
                <w:sz w:val="18"/>
              </w:rPr>
            </w:pPr>
            <w:r w:rsidRPr="008F6549">
              <w:rPr>
                <w:sz w:val="18"/>
              </w:rPr>
              <w:t>22 909</w:t>
            </w:r>
          </w:p>
        </w:tc>
        <w:tc>
          <w:tcPr>
            <w:tcW w:w="985" w:type="dxa"/>
            <w:shd w:val="clear" w:color="auto" w:fill="auto"/>
            <w:vAlign w:val="bottom"/>
          </w:tcPr>
          <w:p w:rsidR="004B0C37" w:rsidRPr="008F6549" w:rsidRDefault="004B0C37" w:rsidP="008F6549">
            <w:pPr>
              <w:suppressAutoHyphens w:val="0"/>
              <w:spacing w:before="40" w:after="40" w:line="220" w:lineRule="exact"/>
              <w:ind w:right="113"/>
              <w:jc w:val="right"/>
              <w:rPr>
                <w:sz w:val="18"/>
              </w:rPr>
            </w:pPr>
            <w:r w:rsidRPr="008F6549">
              <w:rPr>
                <w:sz w:val="18"/>
              </w:rPr>
              <w:t>50 031</w:t>
            </w:r>
          </w:p>
        </w:tc>
      </w:tr>
      <w:tr w:rsidR="004B0C37" w:rsidRPr="008F6549" w:rsidTr="008F6549">
        <w:trPr>
          <w:trHeight w:val="240"/>
        </w:trPr>
        <w:tc>
          <w:tcPr>
            <w:tcW w:w="1276" w:type="dxa"/>
            <w:shd w:val="clear" w:color="auto" w:fill="auto"/>
          </w:tcPr>
          <w:p w:rsidR="004B0C37" w:rsidRPr="008F6549" w:rsidRDefault="004B0C37" w:rsidP="008F6549">
            <w:pPr>
              <w:suppressAutoHyphens w:val="0"/>
              <w:spacing w:before="40" w:after="40" w:line="220" w:lineRule="exact"/>
              <w:ind w:right="113"/>
              <w:rPr>
                <w:sz w:val="18"/>
              </w:rPr>
            </w:pPr>
            <w:r w:rsidRPr="008F6549">
              <w:rPr>
                <w:sz w:val="18"/>
              </w:rPr>
              <w:t>Intermediate</w:t>
            </w:r>
          </w:p>
        </w:tc>
        <w:tc>
          <w:tcPr>
            <w:tcW w:w="851" w:type="dxa"/>
            <w:shd w:val="clear" w:color="auto" w:fill="auto"/>
            <w:vAlign w:val="bottom"/>
          </w:tcPr>
          <w:p w:rsidR="004B0C37" w:rsidRPr="008F6549" w:rsidRDefault="004B0C37" w:rsidP="008F6549">
            <w:pPr>
              <w:suppressAutoHyphens w:val="0"/>
              <w:spacing w:before="40" w:after="40" w:line="220" w:lineRule="exact"/>
              <w:ind w:right="113"/>
              <w:jc w:val="right"/>
              <w:rPr>
                <w:sz w:val="18"/>
              </w:rPr>
            </w:pPr>
            <w:r w:rsidRPr="008F6549">
              <w:rPr>
                <w:sz w:val="18"/>
              </w:rPr>
              <w:t>6 374</w:t>
            </w:r>
          </w:p>
        </w:tc>
        <w:tc>
          <w:tcPr>
            <w:tcW w:w="850" w:type="dxa"/>
            <w:shd w:val="clear" w:color="auto" w:fill="auto"/>
            <w:vAlign w:val="bottom"/>
          </w:tcPr>
          <w:p w:rsidR="004B0C37" w:rsidRPr="008F6549" w:rsidRDefault="004B0C37" w:rsidP="008F6549">
            <w:pPr>
              <w:suppressAutoHyphens w:val="0"/>
              <w:spacing w:before="40" w:after="40" w:line="220" w:lineRule="exact"/>
              <w:ind w:right="113"/>
              <w:jc w:val="right"/>
              <w:rPr>
                <w:sz w:val="18"/>
              </w:rPr>
            </w:pPr>
            <w:r w:rsidRPr="008F6549">
              <w:rPr>
                <w:sz w:val="18"/>
              </w:rPr>
              <w:t>7 250</w:t>
            </w:r>
          </w:p>
        </w:tc>
        <w:tc>
          <w:tcPr>
            <w:tcW w:w="850" w:type="dxa"/>
            <w:shd w:val="clear" w:color="auto" w:fill="auto"/>
            <w:vAlign w:val="bottom"/>
          </w:tcPr>
          <w:p w:rsidR="004B0C37" w:rsidRPr="008F6549" w:rsidRDefault="004B0C37" w:rsidP="008F6549">
            <w:pPr>
              <w:suppressAutoHyphens w:val="0"/>
              <w:spacing w:before="40" w:after="40" w:line="220" w:lineRule="exact"/>
              <w:ind w:right="113"/>
              <w:jc w:val="right"/>
              <w:rPr>
                <w:sz w:val="18"/>
              </w:rPr>
            </w:pPr>
            <w:r w:rsidRPr="008F6549">
              <w:rPr>
                <w:sz w:val="18"/>
              </w:rPr>
              <w:t>13 624</w:t>
            </w:r>
          </w:p>
        </w:tc>
        <w:tc>
          <w:tcPr>
            <w:tcW w:w="851" w:type="dxa"/>
            <w:shd w:val="clear" w:color="auto" w:fill="auto"/>
            <w:vAlign w:val="bottom"/>
          </w:tcPr>
          <w:p w:rsidR="004B0C37" w:rsidRPr="008F6549" w:rsidRDefault="004B0C37" w:rsidP="008F6549">
            <w:pPr>
              <w:suppressAutoHyphens w:val="0"/>
              <w:spacing w:before="40" w:after="40" w:line="220" w:lineRule="exact"/>
              <w:ind w:right="113"/>
              <w:jc w:val="right"/>
              <w:rPr>
                <w:sz w:val="18"/>
              </w:rPr>
            </w:pPr>
            <w:r w:rsidRPr="008F6549">
              <w:rPr>
                <w:sz w:val="18"/>
              </w:rPr>
              <w:t>5 462</w:t>
            </w:r>
          </w:p>
        </w:tc>
        <w:tc>
          <w:tcPr>
            <w:tcW w:w="857" w:type="dxa"/>
            <w:shd w:val="clear" w:color="auto" w:fill="auto"/>
            <w:vAlign w:val="bottom"/>
          </w:tcPr>
          <w:p w:rsidR="004B0C37" w:rsidRPr="008F6549" w:rsidRDefault="004B0C37" w:rsidP="008F6549">
            <w:pPr>
              <w:suppressAutoHyphens w:val="0"/>
              <w:spacing w:before="40" w:after="40" w:line="220" w:lineRule="exact"/>
              <w:ind w:right="113"/>
              <w:jc w:val="right"/>
              <w:rPr>
                <w:sz w:val="18"/>
              </w:rPr>
            </w:pPr>
            <w:r w:rsidRPr="008F6549">
              <w:rPr>
                <w:sz w:val="18"/>
              </w:rPr>
              <w:t>5 761</w:t>
            </w:r>
          </w:p>
        </w:tc>
        <w:tc>
          <w:tcPr>
            <w:tcW w:w="850" w:type="dxa"/>
            <w:shd w:val="clear" w:color="auto" w:fill="auto"/>
            <w:vAlign w:val="bottom"/>
          </w:tcPr>
          <w:p w:rsidR="004B0C37" w:rsidRPr="008F6549" w:rsidRDefault="004B0C37" w:rsidP="008F6549">
            <w:pPr>
              <w:suppressAutoHyphens w:val="0"/>
              <w:spacing w:before="40" w:after="40" w:line="220" w:lineRule="exact"/>
              <w:ind w:right="113"/>
              <w:jc w:val="right"/>
              <w:rPr>
                <w:sz w:val="18"/>
              </w:rPr>
            </w:pPr>
            <w:r w:rsidRPr="008F6549">
              <w:rPr>
                <w:sz w:val="18"/>
              </w:rPr>
              <w:t>11 223</w:t>
            </w:r>
          </w:p>
        </w:tc>
        <w:tc>
          <w:tcPr>
            <w:tcW w:w="985" w:type="dxa"/>
            <w:shd w:val="clear" w:color="auto" w:fill="auto"/>
            <w:vAlign w:val="bottom"/>
          </w:tcPr>
          <w:p w:rsidR="004B0C37" w:rsidRPr="008F6549" w:rsidRDefault="004B0C37" w:rsidP="008F6549">
            <w:pPr>
              <w:suppressAutoHyphens w:val="0"/>
              <w:spacing w:before="40" w:after="40" w:line="220" w:lineRule="exact"/>
              <w:ind w:right="113"/>
              <w:jc w:val="right"/>
              <w:rPr>
                <w:sz w:val="18"/>
              </w:rPr>
            </w:pPr>
            <w:r w:rsidRPr="008F6549">
              <w:rPr>
                <w:sz w:val="18"/>
              </w:rPr>
              <w:t>24 847</w:t>
            </w:r>
          </w:p>
        </w:tc>
      </w:tr>
      <w:tr w:rsidR="004B0C37" w:rsidRPr="008F6549" w:rsidTr="00F660E5">
        <w:trPr>
          <w:trHeight w:val="240"/>
        </w:trPr>
        <w:tc>
          <w:tcPr>
            <w:tcW w:w="1276" w:type="dxa"/>
            <w:tcBorders>
              <w:bottom w:val="single" w:sz="4" w:space="0" w:color="auto"/>
            </w:tcBorders>
            <w:shd w:val="clear" w:color="auto" w:fill="auto"/>
          </w:tcPr>
          <w:p w:rsidR="004B0C37" w:rsidRPr="008F6549" w:rsidRDefault="004B0C37" w:rsidP="008F6549">
            <w:pPr>
              <w:suppressAutoHyphens w:val="0"/>
              <w:spacing w:before="40" w:after="40" w:line="220" w:lineRule="exact"/>
              <w:ind w:right="113"/>
              <w:rPr>
                <w:sz w:val="18"/>
              </w:rPr>
            </w:pPr>
            <w:r w:rsidRPr="008F6549">
              <w:rPr>
                <w:sz w:val="18"/>
              </w:rPr>
              <w:t>Secondary</w:t>
            </w:r>
          </w:p>
        </w:tc>
        <w:tc>
          <w:tcPr>
            <w:tcW w:w="851" w:type="dxa"/>
            <w:tcBorders>
              <w:bottom w:val="single" w:sz="4" w:space="0" w:color="auto"/>
            </w:tcBorders>
            <w:shd w:val="clear" w:color="auto" w:fill="auto"/>
            <w:vAlign w:val="bottom"/>
          </w:tcPr>
          <w:p w:rsidR="004B0C37" w:rsidRPr="008F6549" w:rsidRDefault="004B0C37" w:rsidP="008F6549">
            <w:pPr>
              <w:suppressAutoHyphens w:val="0"/>
              <w:spacing w:before="40" w:after="40" w:line="220" w:lineRule="exact"/>
              <w:ind w:right="113"/>
              <w:jc w:val="right"/>
              <w:rPr>
                <w:sz w:val="18"/>
              </w:rPr>
            </w:pPr>
            <w:r w:rsidRPr="008F6549">
              <w:rPr>
                <w:sz w:val="18"/>
              </w:rPr>
              <w:t>6 802</w:t>
            </w:r>
          </w:p>
        </w:tc>
        <w:tc>
          <w:tcPr>
            <w:tcW w:w="850" w:type="dxa"/>
            <w:tcBorders>
              <w:bottom w:val="single" w:sz="4" w:space="0" w:color="auto"/>
            </w:tcBorders>
            <w:shd w:val="clear" w:color="auto" w:fill="auto"/>
            <w:vAlign w:val="bottom"/>
          </w:tcPr>
          <w:p w:rsidR="004B0C37" w:rsidRPr="008F6549" w:rsidRDefault="004B0C37" w:rsidP="008F6549">
            <w:pPr>
              <w:suppressAutoHyphens w:val="0"/>
              <w:spacing w:before="40" w:after="40" w:line="220" w:lineRule="exact"/>
              <w:ind w:right="113"/>
              <w:jc w:val="right"/>
              <w:rPr>
                <w:sz w:val="18"/>
              </w:rPr>
            </w:pPr>
            <w:r w:rsidRPr="008F6549">
              <w:rPr>
                <w:sz w:val="18"/>
              </w:rPr>
              <w:t>7 320</w:t>
            </w:r>
          </w:p>
        </w:tc>
        <w:tc>
          <w:tcPr>
            <w:tcW w:w="850" w:type="dxa"/>
            <w:tcBorders>
              <w:bottom w:val="single" w:sz="4" w:space="0" w:color="auto"/>
            </w:tcBorders>
            <w:shd w:val="clear" w:color="auto" w:fill="auto"/>
            <w:vAlign w:val="bottom"/>
          </w:tcPr>
          <w:p w:rsidR="004B0C37" w:rsidRPr="008F6549" w:rsidRDefault="004B0C37" w:rsidP="008F6549">
            <w:pPr>
              <w:suppressAutoHyphens w:val="0"/>
              <w:spacing w:before="40" w:after="40" w:line="220" w:lineRule="exact"/>
              <w:ind w:right="113"/>
              <w:jc w:val="right"/>
              <w:rPr>
                <w:sz w:val="18"/>
              </w:rPr>
            </w:pPr>
            <w:r w:rsidRPr="008F6549">
              <w:rPr>
                <w:sz w:val="18"/>
              </w:rPr>
              <w:t>14 122</w:t>
            </w:r>
          </w:p>
        </w:tc>
        <w:tc>
          <w:tcPr>
            <w:tcW w:w="851" w:type="dxa"/>
            <w:tcBorders>
              <w:bottom w:val="single" w:sz="4" w:space="0" w:color="auto"/>
            </w:tcBorders>
            <w:shd w:val="clear" w:color="auto" w:fill="auto"/>
            <w:vAlign w:val="bottom"/>
          </w:tcPr>
          <w:p w:rsidR="004B0C37" w:rsidRPr="008F6549" w:rsidRDefault="004B0C37" w:rsidP="008F6549">
            <w:pPr>
              <w:suppressAutoHyphens w:val="0"/>
              <w:spacing w:before="40" w:after="40" w:line="220" w:lineRule="exact"/>
              <w:ind w:right="113"/>
              <w:jc w:val="right"/>
              <w:rPr>
                <w:sz w:val="18"/>
              </w:rPr>
            </w:pPr>
            <w:r w:rsidRPr="008F6549">
              <w:rPr>
                <w:sz w:val="18"/>
              </w:rPr>
              <w:t>5 433</w:t>
            </w:r>
          </w:p>
        </w:tc>
        <w:tc>
          <w:tcPr>
            <w:tcW w:w="857" w:type="dxa"/>
            <w:tcBorders>
              <w:bottom w:val="single" w:sz="4" w:space="0" w:color="auto"/>
            </w:tcBorders>
            <w:shd w:val="clear" w:color="auto" w:fill="auto"/>
            <w:vAlign w:val="bottom"/>
          </w:tcPr>
          <w:p w:rsidR="004B0C37" w:rsidRPr="008F6549" w:rsidRDefault="004B0C37" w:rsidP="008F6549">
            <w:pPr>
              <w:suppressAutoHyphens w:val="0"/>
              <w:spacing w:before="40" w:after="40" w:line="220" w:lineRule="exact"/>
              <w:ind w:right="113"/>
              <w:jc w:val="right"/>
              <w:rPr>
                <w:sz w:val="18"/>
              </w:rPr>
            </w:pPr>
            <w:r w:rsidRPr="008F6549">
              <w:rPr>
                <w:sz w:val="18"/>
              </w:rPr>
              <w:t>5 257</w:t>
            </w:r>
          </w:p>
        </w:tc>
        <w:tc>
          <w:tcPr>
            <w:tcW w:w="850" w:type="dxa"/>
            <w:tcBorders>
              <w:bottom w:val="single" w:sz="4" w:space="0" w:color="auto"/>
            </w:tcBorders>
            <w:shd w:val="clear" w:color="auto" w:fill="auto"/>
            <w:vAlign w:val="bottom"/>
          </w:tcPr>
          <w:p w:rsidR="004B0C37" w:rsidRPr="008F6549" w:rsidRDefault="004B0C37" w:rsidP="008F6549">
            <w:pPr>
              <w:suppressAutoHyphens w:val="0"/>
              <w:spacing w:before="40" w:after="40" w:line="220" w:lineRule="exact"/>
              <w:ind w:right="113"/>
              <w:jc w:val="right"/>
              <w:rPr>
                <w:sz w:val="18"/>
              </w:rPr>
            </w:pPr>
            <w:r w:rsidRPr="008F6549">
              <w:rPr>
                <w:sz w:val="18"/>
              </w:rPr>
              <w:t>10 690</w:t>
            </w:r>
          </w:p>
        </w:tc>
        <w:tc>
          <w:tcPr>
            <w:tcW w:w="985" w:type="dxa"/>
            <w:tcBorders>
              <w:bottom w:val="single" w:sz="4" w:space="0" w:color="auto"/>
            </w:tcBorders>
            <w:shd w:val="clear" w:color="auto" w:fill="auto"/>
            <w:vAlign w:val="bottom"/>
          </w:tcPr>
          <w:p w:rsidR="004B0C37" w:rsidRPr="008F6549" w:rsidRDefault="004B0C37" w:rsidP="008F6549">
            <w:pPr>
              <w:suppressAutoHyphens w:val="0"/>
              <w:spacing w:before="40" w:after="40" w:line="220" w:lineRule="exact"/>
              <w:ind w:right="113"/>
              <w:jc w:val="right"/>
              <w:rPr>
                <w:sz w:val="18"/>
              </w:rPr>
            </w:pPr>
            <w:r w:rsidRPr="008F6549">
              <w:rPr>
                <w:sz w:val="18"/>
              </w:rPr>
              <w:t>24 812</w:t>
            </w:r>
          </w:p>
        </w:tc>
      </w:tr>
      <w:tr w:rsidR="004B0C37" w:rsidRPr="008F6549" w:rsidTr="00F660E5">
        <w:trPr>
          <w:trHeight w:val="240"/>
        </w:trPr>
        <w:tc>
          <w:tcPr>
            <w:tcW w:w="1276" w:type="dxa"/>
            <w:tcBorders>
              <w:top w:val="single" w:sz="4" w:space="0" w:color="auto"/>
            </w:tcBorders>
            <w:shd w:val="clear" w:color="auto" w:fill="auto"/>
          </w:tcPr>
          <w:p w:rsidR="004B0C37" w:rsidRPr="00F660E5" w:rsidRDefault="004B0C37" w:rsidP="00F660E5">
            <w:pPr>
              <w:suppressAutoHyphens w:val="0"/>
              <w:spacing w:before="80" w:after="80" w:line="220" w:lineRule="exact"/>
              <w:ind w:left="283"/>
              <w:rPr>
                <w:b/>
                <w:bCs/>
                <w:sz w:val="18"/>
              </w:rPr>
            </w:pPr>
            <w:r w:rsidRPr="00F660E5">
              <w:rPr>
                <w:b/>
                <w:bCs/>
                <w:sz w:val="18"/>
              </w:rPr>
              <w:t>Total</w:t>
            </w:r>
          </w:p>
        </w:tc>
        <w:tc>
          <w:tcPr>
            <w:tcW w:w="851" w:type="dxa"/>
            <w:tcBorders>
              <w:top w:val="single" w:sz="4" w:space="0" w:color="auto"/>
            </w:tcBorders>
            <w:shd w:val="clear" w:color="auto" w:fill="auto"/>
            <w:vAlign w:val="bottom"/>
          </w:tcPr>
          <w:p w:rsidR="004B0C37" w:rsidRPr="00F660E5" w:rsidRDefault="004B0C37" w:rsidP="00F660E5">
            <w:pPr>
              <w:suppressAutoHyphens w:val="0"/>
              <w:spacing w:before="80" w:after="80" w:line="220" w:lineRule="exact"/>
              <w:ind w:right="113"/>
              <w:jc w:val="right"/>
              <w:rPr>
                <w:b/>
                <w:sz w:val="18"/>
              </w:rPr>
            </w:pPr>
            <w:r w:rsidRPr="00F660E5">
              <w:rPr>
                <w:b/>
                <w:sz w:val="18"/>
              </w:rPr>
              <w:t>29 294</w:t>
            </w:r>
          </w:p>
        </w:tc>
        <w:tc>
          <w:tcPr>
            <w:tcW w:w="850" w:type="dxa"/>
            <w:tcBorders>
              <w:top w:val="single" w:sz="4" w:space="0" w:color="auto"/>
            </w:tcBorders>
            <w:shd w:val="clear" w:color="auto" w:fill="auto"/>
            <w:vAlign w:val="bottom"/>
          </w:tcPr>
          <w:p w:rsidR="004B0C37" w:rsidRPr="00F660E5" w:rsidRDefault="004B0C37" w:rsidP="00F660E5">
            <w:pPr>
              <w:suppressAutoHyphens w:val="0"/>
              <w:spacing w:before="80" w:after="80" w:line="220" w:lineRule="exact"/>
              <w:ind w:right="113"/>
              <w:jc w:val="right"/>
              <w:rPr>
                <w:b/>
                <w:sz w:val="18"/>
              </w:rPr>
            </w:pPr>
            <w:r w:rsidRPr="00F660E5">
              <w:rPr>
                <w:b/>
                <w:sz w:val="18"/>
              </w:rPr>
              <w:t>32 933</w:t>
            </w:r>
          </w:p>
        </w:tc>
        <w:tc>
          <w:tcPr>
            <w:tcW w:w="850" w:type="dxa"/>
            <w:tcBorders>
              <w:top w:val="single" w:sz="4" w:space="0" w:color="auto"/>
            </w:tcBorders>
            <w:shd w:val="clear" w:color="auto" w:fill="auto"/>
            <w:vAlign w:val="bottom"/>
          </w:tcPr>
          <w:p w:rsidR="004B0C37" w:rsidRPr="00F660E5" w:rsidRDefault="004B0C37" w:rsidP="00F660E5">
            <w:pPr>
              <w:suppressAutoHyphens w:val="0"/>
              <w:spacing w:before="80" w:after="80" w:line="220" w:lineRule="exact"/>
              <w:ind w:right="113"/>
              <w:jc w:val="right"/>
              <w:rPr>
                <w:b/>
                <w:sz w:val="18"/>
              </w:rPr>
            </w:pPr>
            <w:r w:rsidRPr="00F660E5">
              <w:rPr>
                <w:b/>
                <w:sz w:val="18"/>
              </w:rPr>
              <w:t>62 227</w:t>
            </w:r>
          </w:p>
        </w:tc>
        <w:tc>
          <w:tcPr>
            <w:tcW w:w="851" w:type="dxa"/>
            <w:tcBorders>
              <w:top w:val="single" w:sz="4" w:space="0" w:color="auto"/>
            </w:tcBorders>
            <w:shd w:val="clear" w:color="auto" w:fill="auto"/>
            <w:vAlign w:val="bottom"/>
          </w:tcPr>
          <w:p w:rsidR="004B0C37" w:rsidRPr="00F660E5" w:rsidRDefault="004B0C37" w:rsidP="00F660E5">
            <w:pPr>
              <w:suppressAutoHyphens w:val="0"/>
              <w:spacing w:before="80" w:after="80" w:line="220" w:lineRule="exact"/>
              <w:ind w:right="113"/>
              <w:jc w:val="right"/>
              <w:rPr>
                <w:b/>
                <w:sz w:val="18"/>
              </w:rPr>
            </w:pPr>
            <w:r w:rsidRPr="00F660E5">
              <w:rPr>
                <w:b/>
                <w:sz w:val="18"/>
              </w:rPr>
              <w:t>22 453</w:t>
            </w:r>
          </w:p>
        </w:tc>
        <w:tc>
          <w:tcPr>
            <w:tcW w:w="857" w:type="dxa"/>
            <w:tcBorders>
              <w:top w:val="single" w:sz="4" w:space="0" w:color="auto"/>
            </w:tcBorders>
            <w:shd w:val="clear" w:color="auto" w:fill="auto"/>
            <w:vAlign w:val="bottom"/>
          </w:tcPr>
          <w:p w:rsidR="004B0C37" w:rsidRPr="00F660E5" w:rsidRDefault="004B0C37" w:rsidP="00F660E5">
            <w:pPr>
              <w:suppressAutoHyphens w:val="0"/>
              <w:spacing w:before="80" w:after="80" w:line="220" w:lineRule="exact"/>
              <w:ind w:right="113"/>
              <w:jc w:val="right"/>
              <w:rPr>
                <w:b/>
                <w:sz w:val="18"/>
              </w:rPr>
            </w:pPr>
            <w:r w:rsidRPr="00F660E5">
              <w:rPr>
                <w:b/>
                <w:sz w:val="18"/>
              </w:rPr>
              <w:t>23 316</w:t>
            </w:r>
          </w:p>
        </w:tc>
        <w:tc>
          <w:tcPr>
            <w:tcW w:w="850" w:type="dxa"/>
            <w:tcBorders>
              <w:top w:val="single" w:sz="4" w:space="0" w:color="auto"/>
            </w:tcBorders>
            <w:shd w:val="clear" w:color="auto" w:fill="auto"/>
            <w:vAlign w:val="bottom"/>
          </w:tcPr>
          <w:p w:rsidR="004B0C37" w:rsidRPr="00F660E5" w:rsidRDefault="004B0C37" w:rsidP="00F660E5">
            <w:pPr>
              <w:suppressAutoHyphens w:val="0"/>
              <w:spacing w:before="80" w:after="80" w:line="220" w:lineRule="exact"/>
              <w:ind w:right="113"/>
              <w:jc w:val="right"/>
              <w:rPr>
                <w:b/>
                <w:sz w:val="18"/>
              </w:rPr>
            </w:pPr>
            <w:r w:rsidRPr="00F660E5">
              <w:rPr>
                <w:b/>
                <w:sz w:val="18"/>
              </w:rPr>
              <w:t>45 769</w:t>
            </w:r>
          </w:p>
        </w:tc>
        <w:tc>
          <w:tcPr>
            <w:tcW w:w="985" w:type="dxa"/>
            <w:tcBorders>
              <w:top w:val="single" w:sz="4" w:space="0" w:color="auto"/>
            </w:tcBorders>
            <w:shd w:val="clear" w:color="auto" w:fill="auto"/>
            <w:vAlign w:val="bottom"/>
          </w:tcPr>
          <w:p w:rsidR="004B0C37" w:rsidRPr="00F660E5" w:rsidRDefault="004B0C37" w:rsidP="00F660E5">
            <w:pPr>
              <w:suppressAutoHyphens w:val="0"/>
              <w:spacing w:before="80" w:after="80" w:line="220" w:lineRule="exact"/>
              <w:ind w:right="113"/>
              <w:jc w:val="right"/>
              <w:rPr>
                <w:b/>
                <w:sz w:val="18"/>
              </w:rPr>
            </w:pPr>
            <w:r w:rsidRPr="00F660E5">
              <w:rPr>
                <w:b/>
                <w:sz w:val="18"/>
              </w:rPr>
              <w:t>107 996</w:t>
            </w:r>
          </w:p>
        </w:tc>
      </w:tr>
    </w:tbl>
    <w:p w:rsidR="004B0C37" w:rsidRPr="00F660E5" w:rsidRDefault="004B0C37" w:rsidP="00B43842">
      <w:pPr>
        <w:spacing w:before="120" w:after="240"/>
        <w:ind w:left="1134" w:right="1134" w:firstLine="170"/>
        <w:rPr>
          <w:sz w:val="18"/>
        </w:rPr>
      </w:pPr>
      <w:r w:rsidRPr="00ED424E">
        <w:rPr>
          <w:i/>
          <w:iCs/>
          <w:sz w:val="18"/>
        </w:rPr>
        <w:t>Source:</w:t>
      </w:r>
      <w:r w:rsidR="00ED424E">
        <w:rPr>
          <w:sz w:val="18"/>
        </w:rPr>
        <w:t xml:space="preserve"> </w:t>
      </w:r>
      <w:r w:rsidRPr="00F660E5">
        <w:rPr>
          <w:sz w:val="18"/>
        </w:rPr>
        <w:t xml:space="preserve"> Ministry of Development Planning and Statistics</w:t>
      </w:r>
      <w:r w:rsidR="00ED424E">
        <w:rPr>
          <w:sz w:val="18"/>
        </w:rPr>
        <w:t>.</w:t>
      </w:r>
    </w:p>
    <w:p w:rsidR="004B0C37" w:rsidRPr="00DD0BDB" w:rsidRDefault="004B0C37" w:rsidP="00E14B7C">
      <w:pPr>
        <w:pStyle w:val="Heading1"/>
        <w:keepNext/>
        <w:keepLines/>
        <w:spacing w:after="120"/>
      </w:pPr>
      <w:r w:rsidRPr="00DD0BDB">
        <w:t>Table 16</w:t>
      </w:r>
      <w:r w:rsidR="00B43842">
        <w:br/>
      </w:r>
      <w:r w:rsidRPr="008E6FAD">
        <w:rPr>
          <w:b/>
          <w:bCs/>
        </w:rPr>
        <w:t>Number of students in private education at each stage of education, disag</w:t>
      </w:r>
      <w:r w:rsidR="00DD6D45">
        <w:rPr>
          <w:b/>
          <w:bCs/>
        </w:rPr>
        <w:t>gregated by sex and </w:t>
      </w:r>
      <w:r w:rsidR="005A6B97" w:rsidRPr="008E6FAD">
        <w:rPr>
          <w:b/>
          <w:bCs/>
        </w:rPr>
        <w:t>nationality </w:t>
      </w:r>
      <w:r w:rsidRPr="008E6FAD">
        <w:rPr>
          <w:b/>
          <w:bCs/>
        </w:rPr>
        <w:t xml:space="preserve">(school year 2015/16)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76"/>
        <w:gridCol w:w="851"/>
        <w:gridCol w:w="850"/>
        <w:gridCol w:w="850"/>
        <w:gridCol w:w="851"/>
        <w:gridCol w:w="857"/>
        <w:gridCol w:w="850"/>
        <w:gridCol w:w="985"/>
      </w:tblGrid>
      <w:tr w:rsidR="004B0C37" w:rsidRPr="00082075" w:rsidTr="00082075">
        <w:trPr>
          <w:trHeight w:val="240"/>
          <w:tblHeader/>
        </w:trPr>
        <w:tc>
          <w:tcPr>
            <w:tcW w:w="1276" w:type="dxa"/>
            <w:vMerge w:val="restart"/>
            <w:tcBorders>
              <w:top w:val="single" w:sz="4" w:space="0" w:color="auto"/>
              <w:bottom w:val="single" w:sz="12" w:space="0" w:color="auto"/>
            </w:tcBorders>
            <w:shd w:val="clear" w:color="auto" w:fill="auto"/>
            <w:vAlign w:val="bottom"/>
          </w:tcPr>
          <w:p w:rsidR="004B0C37" w:rsidRPr="00082075" w:rsidRDefault="004B0C37" w:rsidP="00082075">
            <w:pPr>
              <w:suppressAutoHyphens w:val="0"/>
              <w:spacing w:before="80" w:after="80" w:line="200" w:lineRule="exact"/>
              <w:ind w:right="113"/>
              <w:rPr>
                <w:i/>
                <w:iCs/>
                <w:sz w:val="16"/>
              </w:rPr>
            </w:pPr>
            <w:r w:rsidRPr="00082075">
              <w:rPr>
                <w:i/>
                <w:iCs/>
                <w:sz w:val="16"/>
              </w:rPr>
              <w:t>Education stage</w:t>
            </w:r>
          </w:p>
        </w:tc>
        <w:tc>
          <w:tcPr>
            <w:tcW w:w="2551" w:type="dxa"/>
            <w:gridSpan w:val="3"/>
            <w:tcBorders>
              <w:top w:val="single" w:sz="4" w:space="0" w:color="auto"/>
              <w:bottom w:val="single" w:sz="4" w:space="0" w:color="auto"/>
              <w:right w:val="single" w:sz="24" w:space="0" w:color="FFFFFF" w:themeColor="background1"/>
            </w:tcBorders>
            <w:shd w:val="clear" w:color="auto" w:fill="auto"/>
            <w:vAlign w:val="bottom"/>
          </w:tcPr>
          <w:p w:rsidR="004B0C37" w:rsidRPr="00082075" w:rsidRDefault="004B0C37" w:rsidP="00082075">
            <w:pPr>
              <w:suppressAutoHyphens w:val="0"/>
              <w:spacing w:before="80" w:after="80" w:line="200" w:lineRule="exact"/>
              <w:ind w:right="113"/>
              <w:jc w:val="right"/>
              <w:rPr>
                <w:i/>
                <w:iCs/>
                <w:sz w:val="16"/>
              </w:rPr>
            </w:pPr>
            <w:r w:rsidRPr="00082075">
              <w:rPr>
                <w:i/>
                <w:iCs/>
                <w:sz w:val="16"/>
              </w:rPr>
              <w:t xml:space="preserve">Qatari </w:t>
            </w:r>
          </w:p>
        </w:tc>
        <w:tc>
          <w:tcPr>
            <w:tcW w:w="2558" w:type="dxa"/>
            <w:gridSpan w:val="3"/>
            <w:tcBorders>
              <w:top w:val="single" w:sz="4" w:space="0" w:color="auto"/>
              <w:left w:val="single" w:sz="24" w:space="0" w:color="FFFFFF" w:themeColor="background1"/>
              <w:bottom w:val="single" w:sz="4" w:space="0" w:color="auto"/>
            </w:tcBorders>
            <w:shd w:val="clear" w:color="auto" w:fill="auto"/>
            <w:vAlign w:val="bottom"/>
          </w:tcPr>
          <w:p w:rsidR="004B0C37" w:rsidRPr="00082075" w:rsidRDefault="004B0C37" w:rsidP="00082075">
            <w:pPr>
              <w:suppressAutoHyphens w:val="0"/>
              <w:spacing w:before="80" w:after="80" w:line="200" w:lineRule="exact"/>
              <w:ind w:right="113"/>
              <w:jc w:val="right"/>
              <w:rPr>
                <w:i/>
                <w:iCs/>
                <w:sz w:val="16"/>
              </w:rPr>
            </w:pPr>
            <w:r w:rsidRPr="00082075">
              <w:rPr>
                <w:i/>
                <w:iCs/>
                <w:sz w:val="16"/>
              </w:rPr>
              <w:t xml:space="preserve">Non-Qatari </w:t>
            </w:r>
          </w:p>
        </w:tc>
        <w:tc>
          <w:tcPr>
            <w:tcW w:w="985" w:type="dxa"/>
            <w:vMerge w:val="restart"/>
            <w:tcBorders>
              <w:top w:val="single" w:sz="4" w:space="0" w:color="auto"/>
              <w:bottom w:val="single" w:sz="4" w:space="0" w:color="auto"/>
            </w:tcBorders>
            <w:shd w:val="clear" w:color="auto" w:fill="auto"/>
            <w:vAlign w:val="bottom"/>
          </w:tcPr>
          <w:p w:rsidR="004B0C37" w:rsidRPr="00082075" w:rsidRDefault="004B0C37" w:rsidP="00082075">
            <w:pPr>
              <w:suppressAutoHyphens w:val="0"/>
              <w:spacing w:before="80" w:after="80" w:line="200" w:lineRule="exact"/>
              <w:ind w:right="113"/>
              <w:jc w:val="right"/>
              <w:rPr>
                <w:i/>
                <w:iCs/>
                <w:sz w:val="16"/>
              </w:rPr>
            </w:pPr>
            <w:r w:rsidRPr="00082075">
              <w:rPr>
                <w:i/>
                <w:iCs/>
                <w:sz w:val="16"/>
              </w:rPr>
              <w:t>Total</w:t>
            </w:r>
          </w:p>
        </w:tc>
      </w:tr>
      <w:tr w:rsidR="004B0C37" w:rsidRPr="00082075" w:rsidTr="00370D1F">
        <w:trPr>
          <w:trHeight w:val="240"/>
          <w:tblHeader/>
        </w:trPr>
        <w:tc>
          <w:tcPr>
            <w:tcW w:w="1276" w:type="dxa"/>
            <w:vMerge/>
            <w:tcBorders>
              <w:top w:val="single" w:sz="12" w:space="0" w:color="auto"/>
              <w:bottom w:val="single" w:sz="12" w:space="0" w:color="auto"/>
            </w:tcBorders>
            <w:shd w:val="clear" w:color="auto" w:fill="auto"/>
            <w:vAlign w:val="bottom"/>
          </w:tcPr>
          <w:p w:rsidR="004B0C37" w:rsidRPr="00082075" w:rsidRDefault="004B0C37" w:rsidP="00082075">
            <w:pPr>
              <w:suppressAutoHyphens w:val="0"/>
              <w:spacing w:before="40" w:after="40" w:line="220" w:lineRule="exact"/>
              <w:ind w:right="113"/>
              <w:rPr>
                <w:sz w:val="18"/>
                <w:rtl/>
                <w:lang w:bidi="ar-QA"/>
              </w:rPr>
            </w:pPr>
          </w:p>
        </w:tc>
        <w:tc>
          <w:tcPr>
            <w:tcW w:w="851" w:type="dxa"/>
            <w:tcBorders>
              <w:top w:val="single" w:sz="4" w:space="0" w:color="auto"/>
              <w:bottom w:val="single" w:sz="12" w:space="0" w:color="auto"/>
            </w:tcBorders>
            <w:shd w:val="clear" w:color="auto" w:fill="auto"/>
            <w:vAlign w:val="bottom"/>
          </w:tcPr>
          <w:p w:rsidR="004B0C37" w:rsidRPr="00082075" w:rsidRDefault="004B0C37" w:rsidP="00082075">
            <w:pPr>
              <w:suppressAutoHyphens w:val="0"/>
              <w:spacing w:before="80" w:after="80" w:line="200" w:lineRule="exact"/>
              <w:ind w:right="113"/>
              <w:jc w:val="right"/>
              <w:rPr>
                <w:i/>
                <w:iCs/>
                <w:sz w:val="16"/>
              </w:rPr>
            </w:pPr>
            <w:r w:rsidRPr="00082075">
              <w:rPr>
                <w:i/>
                <w:iCs/>
                <w:sz w:val="16"/>
              </w:rPr>
              <w:t>Males</w:t>
            </w:r>
          </w:p>
        </w:tc>
        <w:tc>
          <w:tcPr>
            <w:tcW w:w="850" w:type="dxa"/>
            <w:tcBorders>
              <w:top w:val="single" w:sz="4" w:space="0" w:color="auto"/>
              <w:bottom w:val="single" w:sz="12" w:space="0" w:color="auto"/>
            </w:tcBorders>
            <w:shd w:val="clear" w:color="auto" w:fill="auto"/>
            <w:vAlign w:val="bottom"/>
          </w:tcPr>
          <w:p w:rsidR="004B0C37" w:rsidRPr="00082075" w:rsidRDefault="004B0C37" w:rsidP="00082075">
            <w:pPr>
              <w:suppressAutoHyphens w:val="0"/>
              <w:spacing w:before="80" w:after="80" w:line="200" w:lineRule="exact"/>
              <w:ind w:right="113"/>
              <w:jc w:val="right"/>
              <w:rPr>
                <w:i/>
                <w:iCs/>
                <w:sz w:val="16"/>
              </w:rPr>
            </w:pPr>
            <w:r w:rsidRPr="00082075">
              <w:rPr>
                <w:i/>
                <w:iCs/>
                <w:sz w:val="16"/>
              </w:rPr>
              <w:t>Females</w:t>
            </w:r>
          </w:p>
        </w:tc>
        <w:tc>
          <w:tcPr>
            <w:tcW w:w="850" w:type="dxa"/>
            <w:tcBorders>
              <w:top w:val="single" w:sz="4" w:space="0" w:color="auto"/>
              <w:bottom w:val="single" w:sz="12" w:space="0" w:color="auto"/>
              <w:right w:val="single" w:sz="24" w:space="0" w:color="FFFFFF" w:themeColor="background1"/>
            </w:tcBorders>
            <w:shd w:val="clear" w:color="auto" w:fill="auto"/>
            <w:vAlign w:val="bottom"/>
          </w:tcPr>
          <w:p w:rsidR="004B0C37" w:rsidRPr="00082075" w:rsidRDefault="004B0C37" w:rsidP="00082075">
            <w:pPr>
              <w:suppressAutoHyphens w:val="0"/>
              <w:spacing w:before="80" w:after="80" w:line="200" w:lineRule="exact"/>
              <w:ind w:right="113"/>
              <w:jc w:val="right"/>
              <w:rPr>
                <w:i/>
                <w:iCs/>
                <w:sz w:val="16"/>
              </w:rPr>
            </w:pPr>
            <w:r w:rsidRPr="00082075">
              <w:rPr>
                <w:i/>
                <w:iCs/>
                <w:sz w:val="16"/>
              </w:rPr>
              <w:t>Sub-total</w:t>
            </w:r>
          </w:p>
        </w:tc>
        <w:tc>
          <w:tcPr>
            <w:tcW w:w="851" w:type="dxa"/>
            <w:tcBorders>
              <w:top w:val="single" w:sz="4" w:space="0" w:color="auto"/>
              <w:left w:val="single" w:sz="24" w:space="0" w:color="FFFFFF" w:themeColor="background1"/>
              <w:bottom w:val="single" w:sz="12" w:space="0" w:color="auto"/>
            </w:tcBorders>
            <w:shd w:val="clear" w:color="auto" w:fill="auto"/>
            <w:vAlign w:val="bottom"/>
          </w:tcPr>
          <w:p w:rsidR="004B0C37" w:rsidRPr="00082075" w:rsidRDefault="004B0C37" w:rsidP="00082075">
            <w:pPr>
              <w:suppressAutoHyphens w:val="0"/>
              <w:spacing w:before="80" w:after="80" w:line="200" w:lineRule="exact"/>
              <w:ind w:right="113"/>
              <w:jc w:val="right"/>
              <w:rPr>
                <w:i/>
                <w:iCs/>
                <w:sz w:val="16"/>
              </w:rPr>
            </w:pPr>
            <w:r w:rsidRPr="00082075">
              <w:rPr>
                <w:i/>
                <w:iCs/>
                <w:sz w:val="16"/>
              </w:rPr>
              <w:t>Males</w:t>
            </w:r>
          </w:p>
        </w:tc>
        <w:tc>
          <w:tcPr>
            <w:tcW w:w="857" w:type="dxa"/>
            <w:tcBorders>
              <w:top w:val="single" w:sz="4" w:space="0" w:color="auto"/>
              <w:bottom w:val="single" w:sz="12" w:space="0" w:color="auto"/>
            </w:tcBorders>
            <w:shd w:val="clear" w:color="auto" w:fill="auto"/>
            <w:vAlign w:val="bottom"/>
          </w:tcPr>
          <w:p w:rsidR="004B0C37" w:rsidRPr="00082075" w:rsidRDefault="004B0C37" w:rsidP="00082075">
            <w:pPr>
              <w:suppressAutoHyphens w:val="0"/>
              <w:spacing w:before="80" w:after="80" w:line="200" w:lineRule="exact"/>
              <w:ind w:right="113"/>
              <w:jc w:val="right"/>
              <w:rPr>
                <w:i/>
                <w:iCs/>
                <w:sz w:val="16"/>
              </w:rPr>
            </w:pPr>
            <w:r w:rsidRPr="00082075">
              <w:rPr>
                <w:i/>
                <w:iCs/>
                <w:sz w:val="16"/>
              </w:rPr>
              <w:t>Females</w:t>
            </w:r>
          </w:p>
        </w:tc>
        <w:tc>
          <w:tcPr>
            <w:tcW w:w="850" w:type="dxa"/>
            <w:tcBorders>
              <w:top w:val="single" w:sz="4" w:space="0" w:color="auto"/>
              <w:bottom w:val="single" w:sz="12" w:space="0" w:color="auto"/>
              <w:right w:val="nil"/>
            </w:tcBorders>
            <w:shd w:val="clear" w:color="auto" w:fill="auto"/>
            <w:vAlign w:val="bottom"/>
          </w:tcPr>
          <w:p w:rsidR="004B0C37" w:rsidRPr="00082075" w:rsidRDefault="004B0C37" w:rsidP="00082075">
            <w:pPr>
              <w:suppressAutoHyphens w:val="0"/>
              <w:spacing w:before="80" w:after="80" w:line="200" w:lineRule="exact"/>
              <w:ind w:right="113"/>
              <w:jc w:val="right"/>
              <w:rPr>
                <w:i/>
                <w:iCs/>
                <w:sz w:val="16"/>
              </w:rPr>
            </w:pPr>
            <w:r w:rsidRPr="00082075">
              <w:rPr>
                <w:i/>
                <w:iCs/>
                <w:sz w:val="16"/>
              </w:rPr>
              <w:t>Sub-total</w:t>
            </w:r>
          </w:p>
        </w:tc>
        <w:tc>
          <w:tcPr>
            <w:tcW w:w="985" w:type="dxa"/>
            <w:vMerge/>
            <w:tcBorders>
              <w:top w:val="single" w:sz="4" w:space="0" w:color="auto"/>
              <w:left w:val="nil"/>
              <w:bottom w:val="single" w:sz="12" w:space="0" w:color="auto"/>
            </w:tcBorders>
            <w:shd w:val="clear" w:color="auto" w:fill="auto"/>
            <w:vAlign w:val="bottom"/>
          </w:tcPr>
          <w:p w:rsidR="004B0C37" w:rsidRPr="00082075" w:rsidRDefault="004B0C37" w:rsidP="00082075">
            <w:pPr>
              <w:suppressAutoHyphens w:val="0"/>
              <w:spacing w:before="40" w:after="40" w:line="220" w:lineRule="exact"/>
              <w:ind w:right="113"/>
              <w:jc w:val="right"/>
              <w:rPr>
                <w:i/>
                <w:iCs/>
                <w:sz w:val="18"/>
                <w:rtl/>
              </w:rPr>
            </w:pPr>
          </w:p>
        </w:tc>
      </w:tr>
      <w:tr w:rsidR="004B0C37" w:rsidRPr="00082075" w:rsidTr="00370D1F">
        <w:trPr>
          <w:trHeight w:val="240"/>
        </w:trPr>
        <w:tc>
          <w:tcPr>
            <w:tcW w:w="1276" w:type="dxa"/>
            <w:tcBorders>
              <w:top w:val="single" w:sz="12" w:space="0" w:color="auto"/>
            </w:tcBorders>
            <w:shd w:val="clear" w:color="auto" w:fill="auto"/>
          </w:tcPr>
          <w:p w:rsidR="004B0C37" w:rsidRPr="00082075" w:rsidRDefault="004B0C37" w:rsidP="00082075">
            <w:pPr>
              <w:suppressAutoHyphens w:val="0"/>
              <w:spacing w:before="40" w:after="40" w:line="220" w:lineRule="exact"/>
              <w:ind w:right="113"/>
              <w:rPr>
                <w:sz w:val="18"/>
              </w:rPr>
            </w:pPr>
            <w:r w:rsidRPr="00082075">
              <w:rPr>
                <w:sz w:val="18"/>
              </w:rPr>
              <w:t>Pre-primary</w:t>
            </w:r>
          </w:p>
        </w:tc>
        <w:tc>
          <w:tcPr>
            <w:tcW w:w="851" w:type="dxa"/>
            <w:tcBorders>
              <w:top w:val="single" w:sz="12" w:space="0" w:color="auto"/>
            </w:tcBorders>
            <w:shd w:val="clear" w:color="auto" w:fill="auto"/>
            <w:vAlign w:val="bottom"/>
          </w:tcPr>
          <w:p w:rsidR="004B0C37" w:rsidRPr="00082075" w:rsidRDefault="004B0C37" w:rsidP="00082075">
            <w:pPr>
              <w:suppressAutoHyphens w:val="0"/>
              <w:spacing w:before="40" w:after="40" w:line="220" w:lineRule="exact"/>
              <w:ind w:right="113"/>
              <w:jc w:val="right"/>
              <w:rPr>
                <w:sz w:val="18"/>
              </w:rPr>
            </w:pPr>
            <w:r w:rsidRPr="00082075">
              <w:rPr>
                <w:sz w:val="18"/>
              </w:rPr>
              <w:t>3 715</w:t>
            </w:r>
          </w:p>
        </w:tc>
        <w:tc>
          <w:tcPr>
            <w:tcW w:w="850" w:type="dxa"/>
            <w:tcBorders>
              <w:top w:val="single" w:sz="12" w:space="0" w:color="auto"/>
            </w:tcBorders>
            <w:shd w:val="clear" w:color="auto" w:fill="auto"/>
            <w:vAlign w:val="bottom"/>
          </w:tcPr>
          <w:p w:rsidR="004B0C37" w:rsidRPr="00082075" w:rsidRDefault="004B0C37" w:rsidP="00082075">
            <w:pPr>
              <w:suppressAutoHyphens w:val="0"/>
              <w:spacing w:before="40" w:after="40" w:line="220" w:lineRule="exact"/>
              <w:ind w:right="113"/>
              <w:jc w:val="right"/>
              <w:rPr>
                <w:sz w:val="18"/>
              </w:rPr>
            </w:pPr>
            <w:r w:rsidRPr="00082075">
              <w:rPr>
                <w:sz w:val="18"/>
              </w:rPr>
              <w:t>3 356</w:t>
            </w:r>
          </w:p>
        </w:tc>
        <w:tc>
          <w:tcPr>
            <w:tcW w:w="850" w:type="dxa"/>
            <w:tcBorders>
              <w:top w:val="single" w:sz="12" w:space="0" w:color="auto"/>
            </w:tcBorders>
            <w:shd w:val="clear" w:color="auto" w:fill="auto"/>
            <w:vAlign w:val="bottom"/>
          </w:tcPr>
          <w:p w:rsidR="004B0C37" w:rsidRPr="00082075" w:rsidRDefault="004B0C37" w:rsidP="00082075">
            <w:pPr>
              <w:suppressAutoHyphens w:val="0"/>
              <w:spacing w:before="40" w:after="40" w:line="220" w:lineRule="exact"/>
              <w:ind w:right="113"/>
              <w:jc w:val="right"/>
              <w:rPr>
                <w:sz w:val="18"/>
              </w:rPr>
            </w:pPr>
            <w:r w:rsidRPr="00082075">
              <w:rPr>
                <w:sz w:val="18"/>
              </w:rPr>
              <w:t>7 071</w:t>
            </w:r>
          </w:p>
        </w:tc>
        <w:tc>
          <w:tcPr>
            <w:tcW w:w="851" w:type="dxa"/>
            <w:tcBorders>
              <w:top w:val="single" w:sz="12" w:space="0" w:color="auto"/>
            </w:tcBorders>
            <w:shd w:val="clear" w:color="auto" w:fill="auto"/>
            <w:vAlign w:val="bottom"/>
          </w:tcPr>
          <w:p w:rsidR="004B0C37" w:rsidRPr="00082075" w:rsidRDefault="004B0C37" w:rsidP="00082075">
            <w:pPr>
              <w:suppressAutoHyphens w:val="0"/>
              <w:spacing w:before="40" w:after="40" w:line="220" w:lineRule="exact"/>
              <w:ind w:right="113"/>
              <w:jc w:val="right"/>
              <w:rPr>
                <w:sz w:val="18"/>
              </w:rPr>
            </w:pPr>
            <w:r w:rsidRPr="00082075">
              <w:rPr>
                <w:sz w:val="18"/>
              </w:rPr>
              <w:t>15 806</w:t>
            </w:r>
          </w:p>
        </w:tc>
        <w:tc>
          <w:tcPr>
            <w:tcW w:w="857" w:type="dxa"/>
            <w:tcBorders>
              <w:top w:val="single" w:sz="12" w:space="0" w:color="auto"/>
            </w:tcBorders>
            <w:shd w:val="clear" w:color="auto" w:fill="auto"/>
            <w:vAlign w:val="bottom"/>
          </w:tcPr>
          <w:p w:rsidR="004B0C37" w:rsidRPr="00082075" w:rsidRDefault="004B0C37" w:rsidP="00082075">
            <w:pPr>
              <w:suppressAutoHyphens w:val="0"/>
              <w:spacing w:before="40" w:after="40" w:line="220" w:lineRule="exact"/>
              <w:ind w:right="113"/>
              <w:jc w:val="right"/>
              <w:rPr>
                <w:sz w:val="18"/>
              </w:rPr>
            </w:pPr>
            <w:r w:rsidRPr="00082075">
              <w:rPr>
                <w:sz w:val="18"/>
              </w:rPr>
              <w:t>14 765</w:t>
            </w:r>
          </w:p>
        </w:tc>
        <w:tc>
          <w:tcPr>
            <w:tcW w:w="850" w:type="dxa"/>
            <w:tcBorders>
              <w:top w:val="single" w:sz="12" w:space="0" w:color="auto"/>
              <w:bottom w:val="nil"/>
              <w:right w:val="nil"/>
            </w:tcBorders>
            <w:shd w:val="clear" w:color="auto" w:fill="auto"/>
            <w:vAlign w:val="bottom"/>
          </w:tcPr>
          <w:p w:rsidR="004B0C37" w:rsidRPr="00082075" w:rsidRDefault="004B0C37" w:rsidP="00082075">
            <w:pPr>
              <w:suppressAutoHyphens w:val="0"/>
              <w:spacing w:before="40" w:after="40" w:line="220" w:lineRule="exact"/>
              <w:ind w:right="113"/>
              <w:jc w:val="right"/>
              <w:rPr>
                <w:sz w:val="18"/>
              </w:rPr>
            </w:pPr>
            <w:r w:rsidRPr="00082075">
              <w:rPr>
                <w:sz w:val="18"/>
              </w:rPr>
              <w:t>30 571</w:t>
            </w:r>
          </w:p>
        </w:tc>
        <w:tc>
          <w:tcPr>
            <w:tcW w:w="985" w:type="dxa"/>
            <w:tcBorders>
              <w:top w:val="single" w:sz="12" w:space="0" w:color="auto"/>
              <w:left w:val="nil"/>
            </w:tcBorders>
            <w:shd w:val="clear" w:color="auto" w:fill="auto"/>
            <w:vAlign w:val="bottom"/>
          </w:tcPr>
          <w:p w:rsidR="004B0C37" w:rsidRPr="00082075" w:rsidRDefault="004B0C37" w:rsidP="00082075">
            <w:pPr>
              <w:suppressAutoHyphens w:val="0"/>
              <w:spacing w:before="40" w:after="40" w:line="220" w:lineRule="exact"/>
              <w:ind w:right="113"/>
              <w:jc w:val="right"/>
              <w:rPr>
                <w:sz w:val="18"/>
              </w:rPr>
            </w:pPr>
            <w:r w:rsidRPr="00082075">
              <w:rPr>
                <w:sz w:val="18"/>
              </w:rPr>
              <w:t>37 642</w:t>
            </w:r>
          </w:p>
        </w:tc>
      </w:tr>
      <w:tr w:rsidR="004B0C37" w:rsidRPr="00082075" w:rsidTr="00370D1F">
        <w:trPr>
          <w:trHeight w:val="240"/>
        </w:trPr>
        <w:tc>
          <w:tcPr>
            <w:tcW w:w="1276" w:type="dxa"/>
            <w:shd w:val="clear" w:color="auto" w:fill="auto"/>
          </w:tcPr>
          <w:p w:rsidR="004B0C37" w:rsidRPr="00082075" w:rsidRDefault="004B0C37" w:rsidP="00082075">
            <w:pPr>
              <w:suppressAutoHyphens w:val="0"/>
              <w:spacing w:before="40" w:after="40" w:line="220" w:lineRule="exact"/>
              <w:ind w:right="113"/>
              <w:rPr>
                <w:sz w:val="18"/>
              </w:rPr>
            </w:pPr>
            <w:r w:rsidRPr="00082075">
              <w:rPr>
                <w:sz w:val="18"/>
              </w:rPr>
              <w:t>Primary</w:t>
            </w:r>
          </w:p>
        </w:tc>
        <w:tc>
          <w:tcPr>
            <w:tcW w:w="851" w:type="dxa"/>
            <w:shd w:val="clear" w:color="auto" w:fill="auto"/>
            <w:vAlign w:val="bottom"/>
          </w:tcPr>
          <w:p w:rsidR="004B0C37" w:rsidRPr="00082075" w:rsidRDefault="004B0C37" w:rsidP="00082075">
            <w:pPr>
              <w:suppressAutoHyphens w:val="0"/>
              <w:spacing w:before="40" w:after="40" w:line="220" w:lineRule="exact"/>
              <w:ind w:right="113"/>
              <w:jc w:val="right"/>
              <w:rPr>
                <w:sz w:val="18"/>
              </w:rPr>
            </w:pPr>
            <w:r w:rsidRPr="00082075">
              <w:rPr>
                <w:sz w:val="18"/>
              </w:rPr>
              <w:t>9 546</w:t>
            </w:r>
          </w:p>
        </w:tc>
        <w:tc>
          <w:tcPr>
            <w:tcW w:w="850" w:type="dxa"/>
            <w:shd w:val="clear" w:color="auto" w:fill="auto"/>
            <w:vAlign w:val="bottom"/>
          </w:tcPr>
          <w:p w:rsidR="004B0C37" w:rsidRPr="00082075" w:rsidRDefault="004B0C37" w:rsidP="00082075">
            <w:pPr>
              <w:suppressAutoHyphens w:val="0"/>
              <w:spacing w:before="40" w:after="40" w:line="220" w:lineRule="exact"/>
              <w:ind w:right="113"/>
              <w:jc w:val="right"/>
              <w:rPr>
                <w:sz w:val="18"/>
              </w:rPr>
            </w:pPr>
            <w:r w:rsidRPr="00082075">
              <w:rPr>
                <w:sz w:val="18"/>
              </w:rPr>
              <w:t>6 953</w:t>
            </w:r>
          </w:p>
        </w:tc>
        <w:tc>
          <w:tcPr>
            <w:tcW w:w="850" w:type="dxa"/>
            <w:shd w:val="clear" w:color="auto" w:fill="auto"/>
            <w:vAlign w:val="bottom"/>
          </w:tcPr>
          <w:p w:rsidR="004B0C37" w:rsidRPr="00082075" w:rsidRDefault="004B0C37" w:rsidP="00082075">
            <w:pPr>
              <w:suppressAutoHyphens w:val="0"/>
              <w:spacing w:before="40" w:after="40" w:line="220" w:lineRule="exact"/>
              <w:ind w:right="113"/>
              <w:jc w:val="right"/>
              <w:rPr>
                <w:sz w:val="18"/>
              </w:rPr>
            </w:pPr>
            <w:r w:rsidRPr="00082075">
              <w:rPr>
                <w:sz w:val="18"/>
              </w:rPr>
              <w:t>16 499</w:t>
            </w:r>
          </w:p>
        </w:tc>
        <w:tc>
          <w:tcPr>
            <w:tcW w:w="851" w:type="dxa"/>
            <w:shd w:val="clear" w:color="auto" w:fill="auto"/>
            <w:vAlign w:val="bottom"/>
          </w:tcPr>
          <w:p w:rsidR="004B0C37" w:rsidRPr="00082075" w:rsidRDefault="004B0C37" w:rsidP="00082075">
            <w:pPr>
              <w:suppressAutoHyphens w:val="0"/>
              <w:spacing w:before="40" w:after="40" w:line="220" w:lineRule="exact"/>
              <w:ind w:right="113"/>
              <w:jc w:val="right"/>
              <w:rPr>
                <w:sz w:val="18"/>
              </w:rPr>
            </w:pPr>
            <w:r w:rsidRPr="00082075">
              <w:rPr>
                <w:sz w:val="18"/>
              </w:rPr>
              <w:t>37 688</w:t>
            </w:r>
          </w:p>
        </w:tc>
        <w:tc>
          <w:tcPr>
            <w:tcW w:w="857" w:type="dxa"/>
            <w:shd w:val="clear" w:color="auto" w:fill="auto"/>
            <w:vAlign w:val="bottom"/>
          </w:tcPr>
          <w:p w:rsidR="004B0C37" w:rsidRPr="00082075" w:rsidRDefault="004B0C37" w:rsidP="00082075">
            <w:pPr>
              <w:suppressAutoHyphens w:val="0"/>
              <w:spacing w:before="40" w:after="40" w:line="220" w:lineRule="exact"/>
              <w:ind w:right="113"/>
              <w:jc w:val="right"/>
              <w:rPr>
                <w:sz w:val="18"/>
              </w:rPr>
            </w:pPr>
            <w:r w:rsidRPr="00082075">
              <w:rPr>
                <w:sz w:val="18"/>
              </w:rPr>
              <w:t>34 497</w:t>
            </w:r>
          </w:p>
        </w:tc>
        <w:tc>
          <w:tcPr>
            <w:tcW w:w="850" w:type="dxa"/>
            <w:tcBorders>
              <w:top w:val="nil"/>
            </w:tcBorders>
            <w:shd w:val="clear" w:color="auto" w:fill="auto"/>
            <w:vAlign w:val="bottom"/>
          </w:tcPr>
          <w:p w:rsidR="004B0C37" w:rsidRPr="00082075" w:rsidRDefault="004B0C37" w:rsidP="00082075">
            <w:pPr>
              <w:suppressAutoHyphens w:val="0"/>
              <w:spacing w:before="40" w:after="40" w:line="220" w:lineRule="exact"/>
              <w:ind w:right="113"/>
              <w:jc w:val="right"/>
              <w:rPr>
                <w:sz w:val="18"/>
              </w:rPr>
            </w:pPr>
            <w:r w:rsidRPr="00082075">
              <w:rPr>
                <w:sz w:val="18"/>
              </w:rPr>
              <w:t>72 185</w:t>
            </w:r>
          </w:p>
        </w:tc>
        <w:tc>
          <w:tcPr>
            <w:tcW w:w="985" w:type="dxa"/>
            <w:shd w:val="clear" w:color="auto" w:fill="auto"/>
            <w:vAlign w:val="bottom"/>
          </w:tcPr>
          <w:p w:rsidR="004B0C37" w:rsidRPr="00082075" w:rsidRDefault="004B0C37" w:rsidP="00082075">
            <w:pPr>
              <w:suppressAutoHyphens w:val="0"/>
              <w:spacing w:before="40" w:after="40" w:line="220" w:lineRule="exact"/>
              <w:ind w:right="113"/>
              <w:jc w:val="right"/>
              <w:rPr>
                <w:sz w:val="18"/>
              </w:rPr>
            </w:pPr>
            <w:r w:rsidRPr="00082075">
              <w:rPr>
                <w:sz w:val="18"/>
              </w:rPr>
              <w:t>88 684</w:t>
            </w:r>
          </w:p>
        </w:tc>
      </w:tr>
      <w:tr w:rsidR="004B0C37" w:rsidRPr="00082075" w:rsidTr="00082075">
        <w:trPr>
          <w:trHeight w:val="240"/>
        </w:trPr>
        <w:tc>
          <w:tcPr>
            <w:tcW w:w="1276" w:type="dxa"/>
            <w:shd w:val="clear" w:color="auto" w:fill="auto"/>
          </w:tcPr>
          <w:p w:rsidR="004B0C37" w:rsidRPr="00082075" w:rsidRDefault="004B0C37" w:rsidP="00082075">
            <w:pPr>
              <w:suppressAutoHyphens w:val="0"/>
              <w:spacing w:before="40" w:after="40" w:line="220" w:lineRule="exact"/>
              <w:ind w:right="113"/>
              <w:rPr>
                <w:sz w:val="18"/>
              </w:rPr>
            </w:pPr>
            <w:r w:rsidRPr="00082075">
              <w:rPr>
                <w:sz w:val="18"/>
              </w:rPr>
              <w:t>Intermediate</w:t>
            </w:r>
          </w:p>
        </w:tc>
        <w:tc>
          <w:tcPr>
            <w:tcW w:w="851" w:type="dxa"/>
            <w:shd w:val="clear" w:color="auto" w:fill="auto"/>
            <w:vAlign w:val="bottom"/>
          </w:tcPr>
          <w:p w:rsidR="004B0C37" w:rsidRPr="00082075" w:rsidRDefault="004B0C37" w:rsidP="00082075">
            <w:pPr>
              <w:suppressAutoHyphens w:val="0"/>
              <w:spacing w:before="40" w:after="40" w:line="220" w:lineRule="exact"/>
              <w:ind w:right="113"/>
              <w:jc w:val="right"/>
              <w:rPr>
                <w:sz w:val="18"/>
              </w:rPr>
            </w:pPr>
            <w:r w:rsidRPr="00082075">
              <w:rPr>
                <w:sz w:val="18"/>
              </w:rPr>
              <w:t>2 867</w:t>
            </w:r>
          </w:p>
        </w:tc>
        <w:tc>
          <w:tcPr>
            <w:tcW w:w="850" w:type="dxa"/>
            <w:shd w:val="clear" w:color="auto" w:fill="auto"/>
            <w:vAlign w:val="bottom"/>
          </w:tcPr>
          <w:p w:rsidR="004B0C37" w:rsidRPr="00082075" w:rsidRDefault="004B0C37" w:rsidP="00082075">
            <w:pPr>
              <w:suppressAutoHyphens w:val="0"/>
              <w:spacing w:before="40" w:after="40" w:line="220" w:lineRule="exact"/>
              <w:ind w:right="113"/>
              <w:jc w:val="right"/>
              <w:rPr>
                <w:sz w:val="18"/>
              </w:rPr>
            </w:pPr>
            <w:r w:rsidRPr="00082075">
              <w:rPr>
                <w:sz w:val="18"/>
              </w:rPr>
              <w:t>1 887</w:t>
            </w:r>
          </w:p>
        </w:tc>
        <w:tc>
          <w:tcPr>
            <w:tcW w:w="850" w:type="dxa"/>
            <w:shd w:val="clear" w:color="auto" w:fill="auto"/>
            <w:vAlign w:val="bottom"/>
          </w:tcPr>
          <w:p w:rsidR="004B0C37" w:rsidRPr="00082075" w:rsidRDefault="004B0C37" w:rsidP="00082075">
            <w:pPr>
              <w:suppressAutoHyphens w:val="0"/>
              <w:spacing w:before="40" w:after="40" w:line="220" w:lineRule="exact"/>
              <w:ind w:right="113"/>
              <w:jc w:val="right"/>
              <w:rPr>
                <w:sz w:val="18"/>
              </w:rPr>
            </w:pPr>
            <w:r w:rsidRPr="00082075">
              <w:rPr>
                <w:sz w:val="18"/>
              </w:rPr>
              <w:t>4 754</w:t>
            </w:r>
          </w:p>
        </w:tc>
        <w:tc>
          <w:tcPr>
            <w:tcW w:w="851" w:type="dxa"/>
            <w:shd w:val="clear" w:color="auto" w:fill="auto"/>
            <w:vAlign w:val="bottom"/>
          </w:tcPr>
          <w:p w:rsidR="004B0C37" w:rsidRPr="00082075" w:rsidRDefault="004B0C37" w:rsidP="00082075">
            <w:pPr>
              <w:suppressAutoHyphens w:val="0"/>
              <w:spacing w:before="40" w:after="40" w:line="220" w:lineRule="exact"/>
              <w:ind w:right="113"/>
              <w:jc w:val="right"/>
              <w:rPr>
                <w:sz w:val="18"/>
              </w:rPr>
            </w:pPr>
            <w:r w:rsidRPr="00082075">
              <w:rPr>
                <w:sz w:val="18"/>
              </w:rPr>
              <w:t>12 233</w:t>
            </w:r>
          </w:p>
        </w:tc>
        <w:tc>
          <w:tcPr>
            <w:tcW w:w="857" w:type="dxa"/>
            <w:shd w:val="clear" w:color="auto" w:fill="auto"/>
            <w:vAlign w:val="bottom"/>
          </w:tcPr>
          <w:p w:rsidR="004B0C37" w:rsidRPr="00082075" w:rsidRDefault="004B0C37" w:rsidP="00082075">
            <w:pPr>
              <w:suppressAutoHyphens w:val="0"/>
              <w:spacing w:before="40" w:after="40" w:line="220" w:lineRule="exact"/>
              <w:ind w:right="113"/>
              <w:jc w:val="right"/>
              <w:rPr>
                <w:sz w:val="18"/>
              </w:rPr>
            </w:pPr>
            <w:r w:rsidRPr="00082075">
              <w:rPr>
                <w:sz w:val="18"/>
              </w:rPr>
              <w:t>11 229</w:t>
            </w:r>
          </w:p>
        </w:tc>
        <w:tc>
          <w:tcPr>
            <w:tcW w:w="850" w:type="dxa"/>
            <w:shd w:val="clear" w:color="auto" w:fill="auto"/>
            <w:vAlign w:val="bottom"/>
          </w:tcPr>
          <w:p w:rsidR="004B0C37" w:rsidRPr="00082075" w:rsidRDefault="004B0C37" w:rsidP="00082075">
            <w:pPr>
              <w:suppressAutoHyphens w:val="0"/>
              <w:spacing w:before="40" w:after="40" w:line="220" w:lineRule="exact"/>
              <w:ind w:right="113"/>
              <w:jc w:val="right"/>
              <w:rPr>
                <w:sz w:val="18"/>
              </w:rPr>
            </w:pPr>
            <w:r w:rsidRPr="00082075">
              <w:rPr>
                <w:sz w:val="18"/>
              </w:rPr>
              <w:t>23 462</w:t>
            </w:r>
          </w:p>
        </w:tc>
        <w:tc>
          <w:tcPr>
            <w:tcW w:w="985" w:type="dxa"/>
            <w:shd w:val="clear" w:color="auto" w:fill="auto"/>
            <w:vAlign w:val="bottom"/>
          </w:tcPr>
          <w:p w:rsidR="004B0C37" w:rsidRPr="00082075" w:rsidRDefault="004B0C37" w:rsidP="00082075">
            <w:pPr>
              <w:suppressAutoHyphens w:val="0"/>
              <w:spacing w:before="40" w:after="40" w:line="220" w:lineRule="exact"/>
              <w:ind w:right="113"/>
              <w:jc w:val="right"/>
              <w:rPr>
                <w:sz w:val="18"/>
              </w:rPr>
            </w:pPr>
            <w:r w:rsidRPr="00082075">
              <w:rPr>
                <w:sz w:val="18"/>
              </w:rPr>
              <w:t>28 216</w:t>
            </w:r>
          </w:p>
        </w:tc>
      </w:tr>
      <w:tr w:rsidR="004B0C37" w:rsidRPr="00082075" w:rsidTr="00082075">
        <w:trPr>
          <w:trHeight w:val="240"/>
        </w:trPr>
        <w:tc>
          <w:tcPr>
            <w:tcW w:w="1276" w:type="dxa"/>
            <w:tcBorders>
              <w:bottom w:val="single" w:sz="4" w:space="0" w:color="auto"/>
            </w:tcBorders>
            <w:shd w:val="clear" w:color="auto" w:fill="auto"/>
          </w:tcPr>
          <w:p w:rsidR="004B0C37" w:rsidRPr="00082075" w:rsidRDefault="004B0C37" w:rsidP="00082075">
            <w:pPr>
              <w:suppressAutoHyphens w:val="0"/>
              <w:spacing w:before="40" w:after="40" w:line="220" w:lineRule="exact"/>
              <w:ind w:right="113"/>
              <w:rPr>
                <w:sz w:val="18"/>
              </w:rPr>
            </w:pPr>
            <w:r w:rsidRPr="00082075">
              <w:rPr>
                <w:sz w:val="18"/>
              </w:rPr>
              <w:t>Secondary</w:t>
            </w:r>
          </w:p>
        </w:tc>
        <w:tc>
          <w:tcPr>
            <w:tcW w:w="851" w:type="dxa"/>
            <w:tcBorders>
              <w:bottom w:val="single" w:sz="4" w:space="0" w:color="auto"/>
            </w:tcBorders>
            <w:shd w:val="clear" w:color="auto" w:fill="auto"/>
            <w:vAlign w:val="bottom"/>
          </w:tcPr>
          <w:p w:rsidR="004B0C37" w:rsidRPr="00082075" w:rsidRDefault="004B0C37" w:rsidP="00082075">
            <w:pPr>
              <w:suppressAutoHyphens w:val="0"/>
              <w:spacing w:before="40" w:after="40" w:line="220" w:lineRule="exact"/>
              <w:ind w:right="113"/>
              <w:jc w:val="right"/>
              <w:rPr>
                <w:sz w:val="18"/>
              </w:rPr>
            </w:pPr>
            <w:r w:rsidRPr="00082075">
              <w:rPr>
                <w:sz w:val="18"/>
              </w:rPr>
              <w:t>1 897</w:t>
            </w:r>
          </w:p>
        </w:tc>
        <w:tc>
          <w:tcPr>
            <w:tcW w:w="850" w:type="dxa"/>
            <w:tcBorders>
              <w:bottom w:val="single" w:sz="4" w:space="0" w:color="auto"/>
            </w:tcBorders>
            <w:shd w:val="clear" w:color="auto" w:fill="auto"/>
            <w:vAlign w:val="bottom"/>
          </w:tcPr>
          <w:p w:rsidR="004B0C37" w:rsidRPr="00082075" w:rsidRDefault="004B0C37" w:rsidP="00082075">
            <w:pPr>
              <w:suppressAutoHyphens w:val="0"/>
              <w:spacing w:before="40" w:after="40" w:line="220" w:lineRule="exact"/>
              <w:ind w:right="113"/>
              <w:jc w:val="right"/>
              <w:rPr>
                <w:sz w:val="18"/>
              </w:rPr>
            </w:pPr>
            <w:r w:rsidRPr="00082075">
              <w:rPr>
                <w:sz w:val="18"/>
              </w:rPr>
              <w:t>1 035</w:t>
            </w:r>
          </w:p>
        </w:tc>
        <w:tc>
          <w:tcPr>
            <w:tcW w:w="850" w:type="dxa"/>
            <w:tcBorders>
              <w:bottom w:val="single" w:sz="4" w:space="0" w:color="auto"/>
            </w:tcBorders>
            <w:shd w:val="clear" w:color="auto" w:fill="auto"/>
            <w:vAlign w:val="bottom"/>
          </w:tcPr>
          <w:p w:rsidR="004B0C37" w:rsidRPr="00082075" w:rsidRDefault="004B0C37" w:rsidP="00082075">
            <w:pPr>
              <w:suppressAutoHyphens w:val="0"/>
              <w:spacing w:before="40" w:after="40" w:line="220" w:lineRule="exact"/>
              <w:ind w:right="113"/>
              <w:jc w:val="right"/>
              <w:rPr>
                <w:sz w:val="18"/>
              </w:rPr>
            </w:pPr>
            <w:r w:rsidRPr="00082075">
              <w:rPr>
                <w:sz w:val="18"/>
              </w:rPr>
              <w:t>2 932</w:t>
            </w:r>
          </w:p>
        </w:tc>
        <w:tc>
          <w:tcPr>
            <w:tcW w:w="851" w:type="dxa"/>
            <w:tcBorders>
              <w:bottom w:val="single" w:sz="4" w:space="0" w:color="auto"/>
            </w:tcBorders>
            <w:shd w:val="clear" w:color="auto" w:fill="auto"/>
            <w:vAlign w:val="bottom"/>
          </w:tcPr>
          <w:p w:rsidR="004B0C37" w:rsidRPr="00082075" w:rsidRDefault="004B0C37" w:rsidP="00082075">
            <w:pPr>
              <w:suppressAutoHyphens w:val="0"/>
              <w:spacing w:before="40" w:after="40" w:line="220" w:lineRule="exact"/>
              <w:ind w:right="113"/>
              <w:jc w:val="right"/>
              <w:rPr>
                <w:sz w:val="18"/>
              </w:rPr>
            </w:pPr>
            <w:r w:rsidRPr="00082075">
              <w:rPr>
                <w:sz w:val="18"/>
              </w:rPr>
              <w:t>8 032</w:t>
            </w:r>
          </w:p>
        </w:tc>
        <w:tc>
          <w:tcPr>
            <w:tcW w:w="857" w:type="dxa"/>
            <w:tcBorders>
              <w:bottom w:val="single" w:sz="4" w:space="0" w:color="auto"/>
            </w:tcBorders>
            <w:shd w:val="clear" w:color="auto" w:fill="auto"/>
            <w:vAlign w:val="bottom"/>
          </w:tcPr>
          <w:p w:rsidR="004B0C37" w:rsidRPr="00082075" w:rsidRDefault="004B0C37" w:rsidP="00082075">
            <w:pPr>
              <w:suppressAutoHyphens w:val="0"/>
              <w:spacing w:before="40" w:after="40" w:line="220" w:lineRule="exact"/>
              <w:ind w:right="113"/>
              <w:jc w:val="right"/>
              <w:rPr>
                <w:sz w:val="18"/>
              </w:rPr>
            </w:pPr>
            <w:r w:rsidRPr="00082075">
              <w:rPr>
                <w:sz w:val="18"/>
              </w:rPr>
              <w:t>7 398</w:t>
            </w:r>
          </w:p>
        </w:tc>
        <w:tc>
          <w:tcPr>
            <w:tcW w:w="850" w:type="dxa"/>
            <w:tcBorders>
              <w:bottom w:val="single" w:sz="4" w:space="0" w:color="auto"/>
            </w:tcBorders>
            <w:shd w:val="clear" w:color="auto" w:fill="auto"/>
            <w:vAlign w:val="bottom"/>
          </w:tcPr>
          <w:p w:rsidR="004B0C37" w:rsidRPr="00082075" w:rsidRDefault="004B0C37" w:rsidP="00082075">
            <w:pPr>
              <w:suppressAutoHyphens w:val="0"/>
              <w:spacing w:before="40" w:after="40" w:line="220" w:lineRule="exact"/>
              <w:ind w:right="113"/>
              <w:jc w:val="right"/>
              <w:rPr>
                <w:sz w:val="18"/>
              </w:rPr>
            </w:pPr>
            <w:r w:rsidRPr="00082075">
              <w:rPr>
                <w:sz w:val="18"/>
              </w:rPr>
              <w:t>15 430</w:t>
            </w:r>
          </w:p>
        </w:tc>
        <w:tc>
          <w:tcPr>
            <w:tcW w:w="985" w:type="dxa"/>
            <w:tcBorders>
              <w:bottom w:val="single" w:sz="4" w:space="0" w:color="auto"/>
            </w:tcBorders>
            <w:shd w:val="clear" w:color="auto" w:fill="auto"/>
            <w:vAlign w:val="bottom"/>
          </w:tcPr>
          <w:p w:rsidR="004B0C37" w:rsidRPr="00082075" w:rsidRDefault="004B0C37" w:rsidP="00082075">
            <w:pPr>
              <w:suppressAutoHyphens w:val="0"/>
              <w:spacing w:before="40" w:after="40" w:line="220" w:lineRule="exact"/>
              <w:ind w:right="113"/>
              <w:jc w:val="right"/>
              <w:rPr>
                <w:sz w:val="18"/>
              </w:rPr>
            </w:pPr>
            <w:r w:rsidRPr="00082075">
              <w:rPr>
                <w:sz w:val="18"/>
              </w:rPr>
              <w:t>18 362</w:t>
            </w:r>
          </w:p>
        </w:tc>
      </w:tr>
      <w:tr w:rsidR="004B0C37" w:rsidRPr="00082075" w:rsidTr="00082075">
        <w:trPr>
          <w:trHeight w:val="240"/>
        </w:trPr>
        <w:tc>
          <w:tcPr>
            <w:tcW w:w="1276" w:type="dxa"/>
            <w:tcBorders>
              <w:top w:val="single" w:sz="4" w:space="0" w:color="auto"/>
            </w:tcBorders>
            <w:shd w:val="clear" w:color="auto" w:fill="auto"/>
          </w:tcPr>
          <w:p w:rsidR="004B0C37" w:rsidRPr="00082075" w:rsidRDefault="004B0C37" w:rsidP="00082075">
            <w:pPr>
              <w:suppressAutoHyphens w:val="0"/>
              <w:spacing w:before="80" w:after="80" w:line="220" w:lineRule="exact"/>
              <w:ind w:left="283"/>
              <w:rPr>
                <w:b/>
                <w:bCs/>
                <w:sz w:val="18"/>
              </w:rPr>
            </w:pPr>
            <w:r w:rsidRPr="00082075">
              <w:rPr>
                <w:b/>
                <w:bCs/>
                <w:sz w:val="18"/>
              </w:rPr>
              <w:t>Total</w:t>
            </w:r>
          </w:p>
        </w:tc>
        <w:tc>
          <w:tcPr>
            <w:tcW w:w="851" w:type="dxa"/>
            <w:tcBorders>
              <w:top w:val="single" w:sz="4" w:space="0" w:color="auto"/>
            </w:tcBorders>
            <w:shd w:val="clear" w:color="auto" w:fill="auto"/>
            <w:vAlign w:val="bottom"/>
          </w:tcPr>
          <w:p w:rsidR="004B0C37" w:rsidRPr="00082075" w:rsidRDefault="004B0C37" w:rsidP="00082075">
            <w:pPr>
              <w:suppressAutoHyphens w:val="0"/>
              <w:spacing w:before="80" w:after="80" w:line="220" w:lineRule="exact"/>
              <w:ind w:right="113"/>
              <w:jc w:val="right"/>
              <w:rPr>
                <w:b/>
                <w:sz w:val="18"/>
              </w:rPr>
            </w:pPr>
            <w:r w:rsidRPr="00082075">
              <w:rPr>
                <w:b/>
                <w:sz w:val="18"/>
              </w:rPr>
              <w:t>18 025</w:t>
            </w:r>
          </w:p>
        </w:tc>
        <w:tc>
          <w:tcPr>
            <w:tcW w:w="850" w:type="dxa"/>
            <w:tcBorders>
              <w:top w:val="single" w:sz="4" w:space="0" w:color="auto"/>
            </w:tcBorders>
            <w:shd w:val="clear" w:color="auto" w:fill="auto"/>
            <w:vAlign w:val="bottom"/>
          </w:tcPr>
          <w:p w:rsidR="004B0C37" w:rsidRPr="00082075" w:rsidRDefault="004B0C37" w:rsidP="00082075">
            <w:pPr>
              <w:suppressAutoHyphens w:val="0"/>
              <w:spacing w:before="80" w:after="80" w:line="220" w:lineRule="exact"/>
              <w:ind w:right="113"/>
              <w:jc w:val="right"/>
              <w:rPr>
                <w:b/>
                <w:sz w:val="18"/>
              </w:rPr>
            </w:pPr>
            <w:r w:rsidRPr="00082075">
              <w:rPr>
                <w:b/>
                <w:sz w:val="18"/>
              </w:rPr>
              <w:t>13 231</w:t>
            </w:r>
          </w:p>
        </w:tc>
        <w:tc>
          <w:tcPr>
            <w:tcW w:w="850" w:type="dxa"/>
            <w:tcBorders>
              <w:top w:val="single" w:sz="4" w:space="0" w:color="auto"/>
            </w:tcBorders>
            <w:shd w:val="clear" w:color="auto" w:fill="auto"/>
            <w:vAlign w:val="bottom"/>
          </w:tcPr>
          <w:p w:rsidR="004B0C37" w:rsidRPr="00082075" w:rsidRDefault="004B0C37" w:rsidP="00082075">
            <w:pPr>
              <w:suppressAutoHyphens w:val="0"/>
              <w:spacing w:before="80" w:after="80" w:line="220" w:lineRule="exact"/>
              <w:ind w:right="113"/>
              <w:jc w:val="right"/>
              <w:rPr>
                <w:b/>
                <w:sz w:val="18"/>
              </w:rPr>
            </w:pPr>
            <w:r w:rsidRPr="00082075">
              <w:rPr>
                <w:b/>
                <w:sz w:val="18"/>
              </w:rPr>
              <w:t>31 256</w:t>
            </w:r>
          </w:p>
        </w:tc>
        <w:tc>
          <w:tcPr>
            <w:tcW w:w="851" w:type="dxa"/>
            <w:tcBorders>
              <w:top w:val="single" w:sz="4" w:space="0" w:color="auto"/>
            </w:tcBorders>
            <w:shd w:val="clear" w:color="auto" w:fill="auto"/>
            <w:vAlign w:val="bottom"/>
          </w:tcPr>
          <w:p w:rsidR="004B0C37" w:rsidRPr="00082075" w:rsidRDefault="004B0C37" w:rsidP="00082075">
            <w:pPr>
              <w:suppressAutoHyphens w:val="0"/>
              <w:spacing w:before="80" w:after="80" w:line="220" w:lineRule="exact"/>
              <w:ind w:right="113"/>
              <w:jc w:val="right"/>
              <w:rPr>
                <w:b/>
                <w:sz w:val="18"/>
              </w:rPr>
            </w:pPr>
            <w:r w:rsidRPr="00082075">
              <w:rPr>
                <w:b/>
                <w:sz w:val="18"/>
              </w:rPr>
              <w:t>73 759</w:t>
            </w:r>
          </w:p>
        </w:tc>
        <w:tc>
          <w:tcPr>
            <w:tcW w:w="857" w:type="dxa"/>
            <w:tcBorders>
              <w:top w:val="single" w:sz="4" w:space="0" w:color="auto"/>
            </w:tcBorders>
            <w:shd w:val="clear" w:color="auto" w:fill="auto"/>
            <w:vAlign w:val="bottom"/>
          </w:tcPr>
          <w:p w:rsidR="004B0C37" w:rsidRPr="00082075" w:rsidRDefault="004B0C37" w:rsidP="00082075">
            <w:pPr>
              <w:suppressAutoHyphens w:val="0"/>
              <w:spacing w:before="80" w:after="80" w:line="220" w:lineRule="exact"/>
              <w:ind w:right="113"/>
              <w:jc w:val="right"/>
              <w:rPr>
                <w:b/>
                <w:sz w:val="18"/>
              </w:rPr>
            </w:pPr>
            <w:r w:rsidRPr="00082075">
              <w:rPr>
                <w:b/>
                <w:sz w:val="18"/>
              </w:rPr>
              <w:t>67 889</w:t>
            </w:r>
          </w:p>
        </w:tc>
        <w:tc>
          <w:tcPr>
            <w:tcW w:w="850" w:type="dxa"/>
            <w:tcBorders>
              <w:top w:val="single" w:sz="4" w:space="0" w:color="auto"/>
            </w:tcBorders>
            <w:shd w:val="clear" w:color="auto" w:fill="auto"/>
            <w:vAlign w:val="bottom"/>
          </w:tcPr>
          <w:p w:rsidR="004B0C37" w:rsidRPr="00082075" w:rsidRDefault="004B0C37" w:rsidP="00082075">
            <w:pPr>
              <w:suppressAutoHyphens w:val="0"/>
              <w:spacing w:before="80" w:after="80" w:line="220" w:lineRule="exact"/>
              <w:ind w:right="113"/>
              <w:jc w:val="right"/>
              <w:rPr>
                <w:b/>
                <w:sz w:val="18"/>
              </w:rPr>
            </w:pPr>
            <w:r w:rsidRPr="00082075">
              <w:rPr>
                <w:b/>
                <w:sz w:val="18"/>
              </w:rPr>
              <w:t>141 648</w:t>
            </w:r>
          </w:p>
        </w:tc>
        <w:tc>
          <w:tcPr>
            <w:tcW w:w="985" w:type="dxa"/>
            <w:tcBorders>
              <w:top w:val="single" w:sz="4" w:space="0" w:color="auto"/>
            </w:tcBorders>
            <w:shd w:val="clear" w:color="auto" w:fill="auto"/>
            <w:vAlign w:val="bottom"/>
          </w:tcPr>
          <w:p w:rsidR="004B0C37" w:rsidRPr="00082075" w:rsidRDefault="004B0C37" w:rsidP="00082075">
            <w:pPr>
              <w:suppressAutoHyphens w:val="0"/>
              <w:spacing w:before="80" w:after="80" w:line="220" w:lineRule="exact"/>
              <w:ind w:right="113"/>
              <w:jc w:val="right"/>
              <w:rPr>
                <w:b/>
                <w:sz w:val="18"/>
              </w:rPr>
            </w:pPr>
            <w:r w:rsidRPr="00082075">
              <w:rPr>
                <w:b/>
                <w:sz w:val="18"/>
              </w:rPr>
              <w:t>172 904</w:t>
            </w:r>
          </w:p>
        </w:tc>
      </w:tr>
    </w:tbl>
    <w:p w:rsidR="0060531D" w:rsidRPr="00936FD8" w:rsidRDefault="004B0C37" w:rsidP="00936FD8">
      <w:pPr>
        <w:spacing w:before="120" w:after="240"/>
        <w:ind w:left="1134" w:right="1134" w:firstLine="170"/>
        <w:rPr>
          <w:sz w:val="18"/>
        </w:rPr>
      </w:pPr>
      <w:r w:rsidRPr="00936FD8">
        <w:rPr>
          <w:i/>
          <w:iCs/>
          <w:sz w:val="18"/>
        </w:rPr>
        <w:t>Source:</w:t>
      </w:r>
      <w:r w:rsidRPr="00936FD8">
        <w:rPr>
          <w:sz w:val="18"/>
        </w:rPr>
        <w:t xml:space="preserve"> </w:t>
      </w:r>
      <w:r w:rsidR="00936FD8">
        <w:rPr>
          <w:sz w:val="18"/>
        </w:rPr>
        <w:t xml:space="preserve"> </w:t>
      </w:r>
      <w:r w:rsidRPr="00936FD8">
        <w:rPr>
          <w:sz w:val="18"/>
        </w:rPr>
        <w:t>Ministry of Development Planning and Statistics</w:t>
      </w:r>
      <w:r w:rsidR="00F31D42">
        <w:rPr>
          <w:sz w:val="18"/>
        </w:rPr>
        <w:t>.</w:t>
      </w:r>
    </w:p>
    <w:p w:rsidR="004B0C37" w:rsidRPr="002724FD" w:rsidRDefault="004B0C37" w:rsidP="00AC1794">
      <w:pPr>
        <w:pStyle w:val="SingleTxtG"/>
      </w:pPr>
      <w:r>
        <w:t>117</w:t>
      </w:r>
      <w:r w:rsidR="00486817">
        <w:t>.</w:t>
      </w:r>
      <w:r w:rsidR="00486817">
        <w:tab/>
      </w:r>
      <w:r w:rsidRPr="002724FD">
        <w:t xml:space="preserve">Qatari </w:t>
      </w:r>
      <w:r>
        <w:t>law</w:t>
      </w:r>
      <w:r w:rsidRPr="002724FD">
        <w:t xml:space="preserve"> </w:t>
      </w:r>
      <w:r>
        <w:t>guarantees</w:t>
      </w:r>
      <w:r w:rsidRPr="002724FD">
        <w:t xml:space="preserve"> the right </w:t>
      </w:r>
      <w:r>
        <w:t>of</w:t>
      </w:r>
      <w:r w:rsidRPr="002724FD">
        <w:t xml:space="preserve"> access medical services without discrimination on </w:t>
      </w:r>
      <w:r>
        <w:t>grounds</w:t>
      </w:r>
      <w:r w:rsidRPr="002724FD">
        <w:t xml:space="preserve"> of race, religion, national origin, belief, language, age or disability.</w:t>
      </w:r>
      <w:r w:rsidR="007F4A3A">
        <w:t xml:space="preserve"> </w:t>
      </w:r>
      <w:r w:rsidRPr="002724FD">
        <w:t xml:space="preserve">A charter of the rights and responsibilities of patients and their families was </w:t>
      </w:r>
      <w:r>
        <w:t>adopted</w:t>
      </w:r>
      <w:r w:rsidRPr="002724FD">
        <w:t xml:space="preserve"> by the Hamad Medical Foundation, </w:t>
      </w:r>
      <w:r>
        <w:t>enshrining</w:t>
      </w:r>
      <w:r w:rsidRPr="002724FD">
        <w:t xml:space="preserve"> the </w:t>
      </w:r>
      <w:r>
        <w:t xml:space="preserve">fundamental </w:t>
      </w:r>
      <w:r w:rsidRPr="002724FD">
        <w:t xml:space="preserve">principles </w:t>
      </w:r>
      <w:r>
        <w:t>which guarantee</w:t>
      </w:r>
      <w:r w:rsidRPr="002724FD">
        <w:t xml:space="preserve"> the right to health, including </w:t>
      </w:r>
      <w:r>
        <w:t xml:space="preserve">the </w:t>
      </w:r>
      <w:r w:rsidRPr="002724FD">
        <w:t>right of access to medical services without discrimination, the right to appropriate medica</w:t>
      </w:r>
      <w:r>
        <w:t xml:space="preserve">l care and the safeguarding of privacy and </w:t>
      </w:r>
      <w:r w:rsidRPr="002724FD">
        <w:t xml:space="preserve">confidentiality of information. The </w:t>
      </w:r>
      <w:r>
        <w:t>key elements</w:t>
      </w:r>
      <w:r w:rsidRPr="002724FD">
        <w:t xml:space="preserve"> of the charter </w:t>
      </w:r>
      <w:r>
        <w:t>are</w:t>
      </w:r>
      <w:r w:rsidRPr="002724FD">
        <w:t>:</w:t>
      </w:r>
    </w:p>
    <w:p w:rsidR="004B0C37" w:rsidRPr="002724FD" w:rsidRDefault="00A703EC" w:rsidP="00A703EC">
      <w:pPr>
        <w:pStyle w:val="Bullet1G"/>
        <w:numPr>
          <w:ilvl w:val="0"/>
          <w:numId w:val="0"/>
        </w:numPr>
        <w:tabs>
          <w:tab w:val="left" w:pos="1701"/>
        </w:tabs>
        <w:ind w:left="1701" w:hanging="170"/>
      </w:pPr>
      <w:r w:rsidRPr="002724FD">
        <w:t>•</w:t>
      </w:r>
      <w:r w:rsidRPr="002724FD">
        <w:tab/>
      </w:r>
      <w:r w:rsidR="004B0C37" w:rsidRPr="002724FD">
        <w:t>Access to primary health care services regardless of race, religion, national origin, belief, values, language, age or disability;</w:t>
      </w:r>
    </w:p>
    <w:p w:rsidR="004B0C37" w:rsidRPr="002724FD" w:rsidRDefault="00A703EC" w:rsidP="00A703EC">
      <w:pPr>
        <w:pStyle w:val="Bullet1G"/>
        <w:numPr>
          <w:ilvl w:val="0"/>
          <w:numId w:val="0"/>
        </w:numPr>
        <w:tabs>
          <w:tab w:val="left" w:pos="1701"/>
        </w:tabs>
        <w:ind w:left="1701" w:hanging="170"/>
      </w:pPr>
      <w:r w:rsidRPr="002724FD">
        <w:t>•</w:t>
      </w:r>
      <w:r w:rsidRPr="002724FD">
        <w:tab/>
      </w:r>
      <w:r w:rsidR="004B0C37" w:rsidRPr="002724FD">
        <w:t xml:space="preserve">Access to health care </w:t>
      </w:r>
      <w:r w:rsidR="004B0C37">
        <w:t xml:space="preserve">services </w:t>
      </w:r>
      <w:r w:rsidR="004B0C37" w:rsidRPr="002724FD">
        <w:t>with no unjustified delay;</w:t>
      </w:r>
    </w:p>
    <w:p w:rsidR="004B0C37" w:rsidRPr="002724FD" w:rsidRDefault="00A703EC" w:rsidP="00A703EC">
      <w:pPr>
        <w:pStyle w:val="Bullet1G"/>
        <w:numPr>
          <w:ilvl w:val="0"/>
          <w:numId w:val="0"/>
        </w:numPr>
        <w:tabs>
          <w:tab w:val="left" w:pos="1701"/>
        </w:tabs>
        <w:ind w:left="1701" w:hanging="170"/>
      </w:pPr>
      <w:r w:rsidRPr="002724FD">
        <w:t>•</w:t>
      </w:r>
      <w:r w:rsidRPr="002724FD">
        <w:tab/>
      </w:r>
      <w:r w:rsidR="004B0C37" w:rsidRPr="002724FD">
        <w:t xml:space="preserve">Access to </w:t>
      </w:r>
      <w:r w:rsidR="004B0C37">
        <w:t xml:space="preserve">proper care, </w:t>
      </w:r>
      <w:r w:rsidR="004B0C37" w:rsidRPr="002724FD">
        <w:t>provided</w:t>
      </w:r>
      <w:r w:rsidR="004B0C37">
        <w:t xml:space="preserve"> at all times in an appropriately </w:t>
      </w:r>
      <w:r w:rsidR="004B0C37" w:rsidRPr="002724FD">
        <w:t xml:space="preserve">respectful manner </w:t>
      </w:r>
      <w:r w:rsidR="004B0C37">
        <w:t>to ensure</w:t>
      </w:r>
      <w:r w:rsidR="004B0C37" w:rsidRPr="002724FD">
        <w:t xml:space="preserve"> </w:t>
      </w:r>
      <w:r w:rsidR="004B0C37">
        <w:t>patient</w:t>
      </w:r>
      <w:r w:rsidR="004B0C37" w:rsidRPr="002724FD">
        <w:t xml:space="preserve"> dignity;</w:t>
      </w:r>
    </w:p>
    <w:p w:rsidR="004B0C37" w:rsidRPr="002724FD" w:rsidRDefault="00A703EC" w:rsidP="00A703EC">
      <w:pPr>
        <w:pStyle w:val="Bullet1G"/>
        <w:numPr>
          <w:ilvl w:val="0"/>
          <w:numId w:val="0"/>
        </w:numPr>
        <w:tabs>
          <w:tab w:val="left" w:pos="1701"/>
        </w:tabs>
        <w:ind w:left="1701" w:hanging="170"/>
      </w:pPr>
      <w:r w:rsidRPr="002724FD">
        <w:t>•</w:t>
      </w:r>
      <w:r w:rsidRPr="002724FD">
        <w:tab/>
      </w:r>
      <w:r w:rsidR="004B0C37">
        <w:t>Availability</w:t>
      </w:r>
      <w:r w:rsidR="004B0C37" w:rsidRPr="002724FD">
        <w:t xml:space="preserve"> of an appropriate and effective support mechanism in the event of grievance or complaint;</w:t>
      </w:r>
    </w:p>
    <w:p w:rsidR="004B0C37" w:rsidRPr="002724FD" w:rsidRDefault="00A703EC" w:rsidP="00A703EC">
      <w:pPr>
        <w:pStyle w:val="Bullet1G"/>
        <w:numPr>
          <w:ilvl w:val="0"/>
          <w:numId w:val="0"/>
        </w:numPr>
        <w:tabs>
          <w:tab w:val="left" w:pos="1701"/>
        </w:tabs>
        <w:ind w:left="1701" w:hanging="170"/>
      </w:pPr>
      <w:r w:rsidRPr="002724FD">
        <w:t>•</w:t>
      </w:r>
      <w:r w:rsidRPr="002724FD">
        <w:tab/>
      </w:r>
      <w:r w:rsidR="004B0C37" w:rsidRPr="002724FD">
        <w:t xml:space="preserve">The right to receive immediate </w:t>
      </w:r>
      <w:r w:rsidR="004B0C37">
        <w:t>pain</w:t>
      </w:r>
      <w:r w:rsidR="004B0C37" w:rsidRPr="002724FD">
        <w:t xml:space="preserve"> assess</w:t>
      </w:r>
      <w:r w:rsidR="004B0C37">
        <w:t>ment</w:t>
      </w:r>
      <w:r w:rsidR="004B0C37" w:rsidRPr="002724FD">
        <w:t xml:space="preserve"> </w:t>
      </w:r>
      <w:r w:rsidR="004B0C37">
        <w:t>and control</w:t>
      </w:r>
      <w:r w:rsidR="004B0C37" w:rsidRPr="002724FD">
        <w:t>;</w:t>
      </w:r>
    </w:p>
    <w:p w:rsidR="0060531D" w:rsidRDefault="00A703EC" w:rsidP="00A703EC">
      <w:pPr>
        <w:pStyle w:val="Bullet1G"/>
        <w:numPr>
          <w:ilvl w:val="0"/>
          <w:numId w:val="0"/>
        </w:numPr>
        <w:tabs>
          <w:tab w:val="left" w:pos="1701"/>
        </w:tabs>
        <w:ind w:left="1701" w:hanging="170"/>
      </w:pPr>
      <w:r>
        <w:t>•</w:t>
      </w:r>
      <w:r>
        <w:tab/>
      </w:r>
      <w:r w:rsidR="004B0C37">
        <w:t xml:space="preserve">No patient may be isolated or restrained </w:t>
      </w:r>
      <w:r w:rsidR="004B0C37" w:rsidRPr="002724FD">
        <w:t>unless medically necessary.</w:t>
      </w:r>
    </w:p>
    <w:p w:rsidR="004B0C37" w:rsidRPr="00BF3A24" w:rsidRDefault="004B0C37" w:rsidP="00AC1794">
      <w:pPr>
        <w:pStyle w:val="SingleTxtG"/>
      </w:pPr>
      <w:r>
        <w:t>118</w:t>
      </w:r>
      <w:r w:rsidR="00486817">
        <w:t>.</w:t>
      </w:r>
      <w:r w:rsidR="00486817">
        <w:tab/>
      </w:r>
      <w:r>
        <w:t>Keen to observe</w:t>
      </w:r>
      <w:r w:rsidRPr="00BF3A24">
        <w:t xml:space="preserve"> the rights of migrant workers, Qatar </w:t>
      </w:r>
      <w:r>
        <w:t>amended</w:t>
      </w:r>
      <w:r w:rsidRPr="00BF3A24">
        <w:t xml:space="preserve"> certain provisions of </w:t>
      </w:r>
      <w:r>
        <w:t xml:space="preserve">Act No. 14 (2004) – the Labour Law – </w:t>
      </w:r>
      <w:r w:rsidRPr="00BF3A24">
        <w:t xml:space="preserve">to provide for the establishment of one or more committees </w:t>
      </w:r>
      <w:r>
        <w:t xml:space="preserve">to render judgement in </w:t>
      </w:r>
      <w:r w:rsidRPr="00BF3A24">
        <w:t xml:space="preserve">disputes </w:t>
      </w:r>
      <w:r>
        <w:t>arising from the provisions of</w:t>
      </w:r>
      <w:r w:rsidRPr="00BF3A24">
        <w:t xml:space="preserve"> the Labour </w:t>
      </w:r>
      <w:r>
        <w:t>Law</w:t>
      </w:r>
      <w:r w:rsidRPr="00BF3A24">
        <w:t xml:space="preserve"> or </w:t>
      </w:r>
      <w:r>
        <w:t>employment contracts.</w:t>
      </w:r>
      <w:r w:rsidR="007F4A3A">
        <w:t xml:space="preserve"> </w:t>
      </w:r>
      <w:r>
        <w:t xml:space="preserve">Committee </w:t>
      </w:r>
      <w:r w:rsidRPr="00BF3A24">
        <w:t>rulings have the power of a writ of execution.</w:t>
      </w:r>
      <w:r w:rsidR="007F4A3A">
        <w:t xml:space="preserve"> </w:t>
      </w:r>
      <w:r w:rsidRPr="00BF3A24">
        <w:t xml:space="preserve">Each committee is presided over by a </w:t>
      </w:r>
      <w:r>
        <w:t>Court of First I</w:t>
      </w:r>
      <w:r w:rsidRPr="00BF3A24">
        <w:t>nstance judge</w:t>
      </w:r>
      <w:r>
        <w:t>, with</w:t>
      </w:r>
      <w:r w:rsidRPr="00BF3A24">
        <w:t xml:space="preserve"> two officials from the Ministry of Administrative Development, Labour and Social Affairs</w:t>
      </w:r>
      <w:r>
        <w:t xml:space="preserve"> as members</w:t>
      </w:r>
      <w:r w:rsidRPr="00BF3A24">
        <w:t>.</w:t>
      </w:r>
      <w:r w:rsidR="007F4A3A">
        <w:t xml:space="preserve"> </w:t>
      </w:r>
      <w:r>
        <w:t xml:space="preserve">Summary judgements are made </w:t>
      </w:r>
      <w:r w:rsidRPr="00BF3A24">
        <w:t xml:space="preserve">within not </w:t>
      </w:r>
      <w:r>
        <w:t>more than</w:t>
      </w:r>
      <w:r w:rsidRPr="00BF3A24">
        <w:t xml:space="preserve"> three weeks in any dispute brought before </w:t>
      </w:r>
      <w:r>
        <w:t xml:space="preserve">the </w:t>
      </w:r>
      <w:r>
        <w:lastRenderedPageBreak/>
        <w:t>committee</w:t>
      </w:r>
      <w:r w:rsidRPr="00BF3A24">
        <w:t xml:space="preserve"> by the </w:t>
      </w:r>
      <w:r>
        <w:t>relevant</w:t>
      </w:r>
      <w:r w:rsidRPr="00BF3A24">
        <w:t xml:space="preserve"> department, if mediation has failed to </w:t>
      </w:r>
      <w:r>
        <w:t>bring about</w:t>
      </w:r>
      <w:r w:rsidRPr="00BF3A24">
        <w:t xml:space="preserve"> an amicable settlement.</w:t>
      </w:r>
      <w:r w:rsidR="007F4A3A">
        <w:t xml:space="preserve"> </w:t>
      </w:r>
      <w:r>
        <w:t>The law allows the parties to appeal</w:t>
      </w:r>
      <w:r w:rsidRPr="00BF3A24">
        <w:t xml:space="preserve"> final rulings handed down by a committee </w:t>
      </w:r>
      <w:r>
        <w:t>before</w:t>
      </w:r>
      <w:r w:rsidRPr="00BF3A24">
        <w:t xml:space="preserve"> a</w:t>
      </w:r>
      <w:r>
        <w:t xml:space="preserve">n appeals board, called the Appeals </w:t>
      </w:r>
      <w:r w:rsidRPr="00BF3A24">
        <w:t>Committee for the</w:t>
      </w:r>
      <w:r>
        <w:t xml:space="preserve"> Settlement of Labour Disputes, which is </w:t>
      </w:r>
      <w:r w:rsidRPr="00BF3A24">
        <w:t>presided over by a Court of Appeal judge and includes two members nominated by the Minister.</w:t>
      </w:r>
      <w:r w:rsidR="007F4A3A">
        <w:t xml:space="preserve"> </w:t>
      </w:r>
      <w:r w:rsidRPr="00BF3A24">
        <w:t xml:space="preserve">The </w:t>
      </w:r>
      <w:r>
        <w:t>Labour L</w:t>
      </w:r>
      <w:r w:rsidRPr="00BF3A24">
        <w:t xml:space="preserve">aw </w:t>
      </w:r>
      <w:r>
        <w:t>further</w:t>
      </w:r>
      <w:r w:rsidRPr="00BF3A24">
        <w:t xml:space="preserve"> stipulates that the courts shall continue to </w:t>
      </w:r>
      <w:r>
        <w:t xml:space="preserve">have jurisdiction in respect of </w:t>
      </w:r>
      <w:r w:rsidRPr="00BF3A24">
        <w:t>cases brought prior to the date on w</w:t>
      </w:r>
      <w:r>
        <w:t>hich the Law came into effect.</w:t>
      </w:r>
      <w:r w:rsidR="007F4A3A">
        <w:t xml:space="preserve"> </w:t>
      </w:r>
      <w:r>
        <w:t xml:space="preserve">The Council of Ministers will determine the </w:t>
      </w:r>
      <w:r w:rsidRPr="00BF3A24">
        <w:t xml:space="preserve">procedures for </w:t>
      </w:r>
      <w:r>
        <w:t xml:space="preserve">hearing claims, </w:t>
      </w:r>
      <w:r w:rsidRPr="00BF3A24">
        <w:t xml:space="preserve">the rules and procedures to be </w:t>
      </w:r>
      <w:r>
        <w:t>followed</w:t>
      </w:r>
      <w:r w:rsidRPr="00BF3A24">
        <w:t xml:space="preserve"> by committees and the mechan</w:t>
      </w:r>
      <w:r>
        <w:t>ism for enforcing rulings</w:t>
      </w:r>
      <w:r w:rsidRPr="00BF3A24">
        <w:t>.</w:t>
      </w:r>
      <w:r w:rsidR="007F4A3A">
        <w:t xml:space="preserve"> </w:t>
      </w:r>
      <w:r>
        <w:t>In</w:t>
      </w:r>
      <w:r w:rsidRPr="00BF3A24">
        <w:t xml:space="preserve"> establishing these committees, the Government </w:t>
      </w:r>
      <w:r>
        <w:t>seeks</w:t>
      </w:r>
      <w:r w:rsidRPr="00BF3A24">
        <w:t xml:space="preserve"> to provide</w:t>
      </w:r>
      <w:r>
        <w:t xml:space="preserve"> redress and </w:t>
      </w:r>
      <w:r w:rsidRPr="00BF3A24">
        <w:t xml:space="preserve">achieve justice for migrant workers </w:t>
      </w:r>
      <w:r>
        <w:t xml:space="preserve">in </w:t>
      </w:r>
      <w:r w:rsidRPr="00BF3A24">
        <w:t xml:space="preserve">disputes </w:t>
      </w:r>
      <w:r>
        <w:t>arising from the application of</w:t>
      </w:r>
      <w:r w:rsidRPr="00BF3A24">
        <w:t xml:space="preserve"> the Labour </w:t>
      </w:r>
      <w:r>
        <w:t>Law</w:t>
      </w:r>
      <w:r w:rsidRPr="00BF3A24">
        <w:t xml:space="preserve"> or </w:t>
      </w:r>
      <w:r>
        <w:t>employment contracts</w:t>
      </w:r>
      <w:r w:rsidRPr="00BF3A24">
        <w:t xml:space="preserve"> and enable them to avoid lengthy and complex litiga</w:t>
      </w:r>
      <w:r>
        <w:t>tion proceedings. T</w:t>
      </w:r>
      <w:r w:rsidRPr="00BF3A24">
        <w:t xml:space="preserve">he Ministry of Administrative Development, Labour and Social Affairs works </w:t>
      </w:r>
      <w:r>
        <w:t xml:space="preserve">in coordination </w:t>
      </w:r>
      <w:r w:rsidRPr="00BF3A24">
        <w:t xml:space="preserve">with embassies to </w:t>
      </w:r>
      <w:r>
        <w:t>monitor</w:t>
      </w:r>
      <w:r w:rsidRPr="00BF3A24">
        <w:t xml:space="preserve"> dis</w:t>
      </w:r>
      <w:r>
        <w:t>putes and represent</w:t>
      </w:r>
      <w:r w:rsidRPr="00BF3A24">
        <w:t xml:space="preserve"> workers</w:t>
      </w:r>
      <w:r>
        <w:t xml:space="preserve"> who have already left the country</w:t>
      </w:r>
      <w:r w:rsidRPr="00BF3A24">
        <w:t>.</w:t>
      </w:r>
      <w:r w:rsidR="007F4A3A">
        <w:t xml:space="preserve"> </w:t>
      </w:r>
      <w:r w:rsidRPr="00BF3A24">
        <w:t xml:space="preserve">The foregoing does not prejudice </w:t>
      </w:r>
      <w:r>
        <w:t>a worker</w:t>
      </w:r>
      <w:r w:rsidR="009D1BD8">
        <w:t>’</w:t>
      </w:r>
      <w:r>
        <w:t>s</w:t>
      </w:r>
      <w:r w:rsidRPr="00BF3A24">
        <w:t xml:space="preserve"> right </w:t>
      </w:r>
      <w:r>
        <w:t>of resort to</w:t>
      </w:r>
      <w:r w:rsidRPr="00BF3A24">
        <w:t xml:space="preserve"> regular judicial procedures and to appeal decisions handed down by the Appeals Committee for the Settlement of Labour Disputes before the Court of Cassation.</w:t>
      </w:r>
      <w:r w:rsidR="007F4A3A">
        <w:t xml:space="preserve"> </w:t>
      </w:r>
      <w:r>
        <w:t>Accordingly, t</w:t>
      </w:r>
      <w:r w:rsidRPr="00BF3A24">
        <w:t xml:space="preserve">he </w:t>
      </w:r>
      <w:r>
        <w:t xml:space="preserve">procedures for obtaining redress available to a worker are </w:t>
      </w:r>
      <w:r w:rsidRPr="00BF3A24">
        <w:t>as follows:</w:t>
      </w:r>
    </w:p>
    <w:p w:rsidR="004B0C37" w:rsidRPr="00BF3A24" w:rsidRDefault="00A703EC" w:rsidP="00A703EC">
      <w:pPr>
        <w:pStyle w:val="Bullet1G"/>
        <w:numPr>
          <w:ilvl w:val="0"/>
          <w:numId w:val="0"/>
        </w:numPr>
        <w:tabs>
          <w:tab w:val="left" w:pos="1701"/>
        </w:tabs>
        <w:ind w:left="1701" w:hanging="170"/>
      </w:pPr>
      <w:r w:rsidRPr="00BF3A24">
        <w:t>•</w:t>
      </w:r>
      <w:r w:rsidRPr="00BF3A24">
        <w:tab/>
      </w:r>
      <w:r w:rsidR="004B0C37">
        <w:t>A</w:t>
      </w:r>
      <w:r w:rsidR="004B0C37" w:rsidRPr="00BF3A24">
        <w:t xml:space="preserve"> complaint </w:t>
      </w:r>
      <w:r w:rsidR="004B0C37">
        <w:t xml:space="preserve">is filed </w:t>
      </w:r>
      <w:r w:rsidR="004B0C37" w:rsidRPr="00BF3A24">
        <w:t xml:space="preserve">with the </w:t>
      </w:r>
      <w:r w:rsidR="004B0C37">
        <w:t>appropriate</w:t>
      </w:r>
      <w:r w:rsidR="004B0C37" w:rsidRPr="00BF3A24">
        <w:t xml:space="preserve"> department </w:t>
      </w:r>
      <w:r w:rsidR="004B0C37">
        <w:t>of</w:t>
      </w:r>
      <w:r w:rsidR="004B0C37" w:rsidRPr="00BF3A24">
        <w:t xml:space="preserve"> the Ministry of Administrative Development, Labour and Social Affairs against the employer and </w:t>
      </w:r>
      <w:r w:rsidR="004B0C37">
        <w:t>a claim made</w:t>
      </w:r>
      <w:r w:rsidR="004B0C37" w:rsidRPr="00BF3A24">
        <w:t xml:space="preserve"> under the provisions of the Labour </w:t>
      </w:r>
      <w:r w:rsidR="004B0C37">
        <w:t>Law</w:t>
      </w:r>
      <w:r w:rsidR="004B0C37" w:rsidRPr="00BF3A24">
        <w:t xml:space="preserve"> </w:t>
      </w:r>
      <w:r w:rsidR="004B0C37">
        <w:t xml:space="preserve">or </w:t>
      </w:r>
      <w:r w:rsidR="004B0C37" w:rsidRPr="00BF3A24">
        <w:t>terms of the employment contract;</w:t>
      </w:r>
    </w:p>
    <w:p w:rsidR="004B0C37" w:rsidRPr="00BF3A24" w:rsidRDefault="00A703EC" w:rsidP="00A703EC">
      <w:pPr>
        <w:pStyle w:val="Bullet1G"/>
        <w:numPr>
          <w:ilvl w:val="0"/>
          <w:numId w:val="0"/>
        </w:numPr>
        <w:tabs>
          <w:tab w:val="left" w:pos="1701"/>
        </w:tabs>
        <w:ind w:left="1701" w:hanging="170"/>
      </w:pPr>
      <w:r w:rsidRPr="00BF3A24">
        <w:t>•</w:t>
      </w:r>
      <w:r w:rsidRPr="00BF3A24">
        <w:tab/>
      </w:r>
      <w:r w:rsidR="004B0C37" w:rsidRPr="00BF3A24">
        <w:t>The competent department examines the complaint and attempts t</w:t>
      </w:r>
      <w:r w:rsidR="004B0C37">
        <w:t>o resolve the dispute amicably; i</w:t>
      </w:r>
      <w:r w:rsidR="004B0C37" w:rsidRPr="00BF3A24">
        <w:t xml:space="preserve">f the parties </w:t>
      </w:r>
      <w:r w:rsidR="004B0C37">
        <w:t>agree to</w:t>
      </w:r>
      <w:r w:rsidR="004B0C37" w:rsidRPr="00BF3A24">
        <w:t xml:space="preserve"> mediation</w:t>
      </w:r>
      <w:r w:rsidR="004B0C37">
        <w:t xml:space="preserve"> by the competent department, an instrument of settlement</w:t>
      </w:r>
      <w:r w:rsidR="004B0C37" w:rsidRPr="00BF3A24">
        <w:t xml:space="preserve"> is drawn up, signed by the parties and the r</w:t>
      </w:r>
      <w:r w:rsidR="004B0C37">
        <w:t>epresentative of the department</w:t>
      </w:r>
      <w:r w:rsidR="004B0C37" w:rsidRPr="00BF3A24">
        <w:t xml:space="preserve"> and executed automatically;</w:t>
      </w:r>
    </w:p>
    <w:p w:rsidR="004B0C37" w:rsidRPr="00BF3A24" w:rsidRDefault="00A703EC" w:rsidP="00A703EC">
      <w:pPr>
        <w:pStyle w:val="Bullet1G"/>
        <w:numPr>
          <w:ilvl w:val="0"/>
          <w:numId w:val="0"/>
        </w:numPr>
        <w:tabs>
          <w:tab w:val="left" w:pos="1701"/>
        </w:tabs>
        <w:ind w:left="1701" w:hanging="170"/>
      </w:pPr>
      <w:r w:rsidRPr="00BF3A24">
        <w:t>•</w:t>
      </w:r>
      <w:r w:rsidRPr="00BF3A24">
        <w:tab/>
      </w:r>
      <w:r w:rsidR="004B0C37" w:rsidRPr="00BF3A24">
        <w:t xml:space="preserve">If </w:t>
      </w:r>
      <w:r w:rsidR="004B0C37">
        <w:t>mediation by the competent department fails</w:t>
      </w:r>
      <w:r w:rsidR="004B0C37" w:rsidRPr="00BF3A24">
        <w:t xml:space="preserve">, the dispute is referred to the Committee for the Settlement of Labour Disputes, which </w:t>
      </w:r>
      <w:r w:rsidR="004B0C37">
        <w:t>will</w:t>
      </w:r>
      <w:r w:rsidR="004B0C37" w:rsidRPr="00BF3A24">
        <w:t xml:space="preserve"> issue a decision</w:t>
      </w:r>
      <w:r w:rsidR="004B0C37">
        <w:t xml:space="preserve"> promptly,</w:t>
      </w:r>
      <w:r w:rsidR="004B0C37" w:rsidRPr="00BF3A24">
        <w:t xml:space="preserve"> within three weeks;</w:t>
      </w:r>
    </w:p>
    <w:p w:rsidR="004B0C37" w:rsidRPr="00BF3A24" w:rsidRDefault="00A703EC" w:rsidP="00A703EC">
      <w:pPr>
        <w:pStyle w:val="Bullet1G"/>
        <w:numPr>
          <w:ilvl w:val="0"/>
          <w:numId w:val="0"/>
        </w:numPr>
        <w:tabs>
          <w:tab w:val="left" w:pos="1701"/>
        </w:tabs>
        <w:ind w:left="1701" w:hanging="170"/>
      </w:pPr>
      <w:r w:rsidRPr="00BF3A24">
        <w:t>•</w:t>
      </w:r>
      <w:r w:rsidRPr="00BF3A24">
        <w:tab/>
      </w:r>
      <w:r w:rsidR="004B0C37" w:rsidRPr="00BF3A24">
        <w:t xml:space="preserve">Unless appealed, the </w:t>
      </w:r>
      <w:r w:rsidR="004B0C37">
        <w:t>Committee</w:t>
      </w:r>
      <w:r w:rsidR="009D1BD8">
        <w:t>’</w:t>
      </w:r>
      <w:r w:rsidR="004B0C37">
        <w:t xml:space="preserve">s </w:t>
      </w:r>
      <w:r w:rsidR="004B0C37" w:rsidRPr="00BF3A24">
        <w:t xml:space="preserve">decision is final and </w:t>
      </w:r>
      <w:r w:rsidR="004B0C37">
        <w:t>must be enforced</w:t>
      </w:r>
      <w:r w:rsidR="004B0C37" w:rsidRPr="00BF3A24">
        <w:t>;</w:t>
      </w:r>
    </w:p>
    <w:p w:rsidR="0060531D" w:rsidRDefault="00A703EC" w:rsidP="00A703EC">
      <w:pPr>
        <w:pStyle w:val="Bullet1G"/>
        <w:numPr>
          <w:ilvl w:val="0"/>
          <w:numId w:val="0"/>
        </w:numPr>
        <w:tabs>
          <w:tab w:val="left" w:pos="1701"/>
        </w:tabs>
        <w:ind w:left="1701" w:hanging="170"/>
      </w:pPr>
      <w:r>
        <w:t>•</w:t>
      </w:r>
      <w:r>
        <w:tab/>
      </w:r>
      <w:r w:rsidR="004B0C37">
        <w:t>The law allows the parties to appeal</w:t>
      </w:r>
      <w:r w:rsidR="004B0C37" w:rsidRPr="00BF3A24">
        <w:t xml:space="preserve"> </w:t>
      </w:r>
      <w:r w:rsidR="004B0C37">
        <w:t>a final ruling</w:t>
      </w:r>
      <w:r w:rsidR="004B0C37" w:rsidRPr="00BF3A24">
        <w:t xml:space="preserve"> </w:t>
      </w:r>
      <w:r w:rsidR="004B0C37">
        <w:t>before</w:t>
      </w:r>
      <w:r w:rsidR="004B0C37" w:rsidRPr="00BF3A24">
        <w:t xml:space="preserve"> </w:t>
      </w:r>
      <w:r w:rsidR="004B0C37">
        <w:t xml:space="preserve">the Appeals </w:t>
      </w:r>
      <w:r w:rsidR="004B0C37" w:rsidRPr="00BF3A24">
        <w:t>Committee for the</w:t>
      </w:r>
      <w:r w:rsidR="004B0C37">
        <w:t xml:space="preserve"> Settlement of Labour Disputes, </w:t>
      </w:r>
      <w:r w:rsidR="004B0C37" w:rsidRPr="00BF3A24">
        <w:t>which is presided over by a Court of Appeal judge and includes two members nominated by the Minister.</w:t>
      </w:r>
    </w:p>
    <w:p w:rsidR="0060531D" w:rsidRDefault="004B0C37" w:rsidP="00AC1794">
      <w:pPr>
        <w:pStyle w:val="SingleTxtG"/>
      </w:pPr>
      <w:r>
        <w:t>119</w:t>
      </w:r>
      <w:r w:rsidR="00486817">
        <w:t>.</w:t>
      </w:r>
      <w:r w:rsidR="00486817">
        <w:tab/>
      </w:r>
      <w:r>
        <w:t xml:space="preserve">Under article 2 (3) </w:t>
      </w:r>
      <w:r w:rsidRPr="00BF3A24">
        <w:t xml:space="preserve">of </w:t>
      </w:r>
      <w:r>
        <w:t>Legislative Decree No. 38 (</w:t>
      </w:r>
      <w:r w:rsidRPr="00BF3A24">
        <w:t>2002</w:t>
      </w:r>
      <w:r>
        <w:t>),</w:t>
      </w:r>
      <w:r w:rsidRPr="00BF3A24">
        <w:t xml:space="preserve"> establishing the National Human Rights Committee, </w:t>
      </w:r>
      <w:r>
        <w:t>the</w:t>
      </w:r>
      <w:r w:rsidRPr="00BF3A24">
        <w:t xml:space="preserve"> Committee has the power to investigate </w:t>
      </w:r>
      <w:r>
        <w:t>violations</w:t>
      </w:r>
      <w:r w:rsidRPr="00BF3A24">
        <w:t xml:space="preserve"> of human rights and </w:t>
      </w:r>
      <w:r>
        <w:t>propose</w:t>
      </w:r>
      <w:r w:rsidRPr="00BF3A24">
        <w:t xml:space="preserve"> ways </w:t>
      </w:r>
      <w:r>
        <w:t>of</w:t>
      </w:r>
      <w:r w:rsidRPr="00BF3A24">
        <w:t xml:space="preserve"> deal</w:t>
      </w:r>
      <w:r>
        <w:t>ing</w:t>
      </w:r>
      <w:r w:rsidRPr="00BF3A24">
        <w:t xml:space="preserve"> with </w:t>
      </w:r>
      <w:r>
        <w:t>them to prevent reoccurrence</w:t>
      </w:r>
      <w:r w:rsidRPr="00BF3A24">
        <w:t>.</w:t>
      </w:r>
    </w:p>
    <w:p w:rsidR="0060531D" w:rsidRDefault="004B0C37" w:rsidP="000F1DD9">
      <w:pPr>
        <w:pStyle w:val="SingleTxtG"/>
      </w:pPr>
      <w:r w:rsidRPr="00BF3A24">
        <w:t>120</w:t>
      </w:r>
      <w:r w:rsidR="00486817">
        <w:t>.</w:t>
      </w:r>
      <w:r w:rsidR="00486817">
        <w:tab/>
      </w:r>
      <w:r>
        <w:t>There are multiple ways of seeking redress in the State of Qatar, including the right of the individual to resort to the courts or the National Human Rights Committee. Resort to litigation is a constitutional right, guaranteed and protected by the Permanent Constitution, article 135 of</w:t>
      </w:r>
      <w:r w:rsidRPr="00BF3A24">
        <w:t xml:space="preserve"> which states: </w:t>
      </w:r>
      <w:r w:rsidR="009D1BD8">
        <w:t>“</w:t>
      </w:r>
      <w:r w:rsidRPr="00BF3A24">
        <w:t>The right of litigation is inviolable and guaranteed to all.</w:t>
      </w:r>
      <w:r w:rsidR="007F4A3A">
        <w:t xml:space="preserve"> </w:t>
      </w:r>
      <w:r w:rsidRPr="00BF3A24">
        <w:t>The law shall specify the procedures and manner of exercising this right.</w:t>
      </w:r>
      <w:r w:rsidR="009D1BD8">
        <w:t>”</w:t>
      </w:r>
      <w:r w:rsidR="007F4A3A">
        <w:t xml:space="preserve"> </w:t>
      </w:r>
      <w:r>
        <w:t>T</w:t>
      </w:r>
      <w:r w:rsidRPr="00BF3A24">
        <w:t xml:space="preserve">he Code of Criminal Procedure, the Code of Civil and Commercial Procedure, the </w:t>
      </w:r>
      <w:r>
        <w:t>Settlement o</w:t>
      </w:r>
      <w:r w:rsidRPr="00BF3A24">
        <w:t xml:space="preserve">f Administrative Disputes </w:t>
      </w:r>
      <w:r>
        <w:t xml:space="preserve">Act </w:t>
      </w:r>
      <w:r w:rsidRPr="00BF3A24">
        <w:t xml:space="preserve">and the Family </w:t>
      </w:r>
      <w:r>
        <w:t>Act</w:t>
      </w:r>
      <w:r w:rsidRPr="00BF3A24">
        <w:t xml:space="preserve"> </w:t>
      </w:r>
      <w:r>
        <w:t xml:space="preserve">all </w:t>
      </w:r>
      <w:r w:rsidRPr="00BF3A24">
        <w:t xml:space="preserve">regulate the </w:t>
      </w:r>
      <w:r>
        <w:t>litigation process</w:t>
      </w:r>
      <w:r w:rsidRPr="00BF3A24">
        <w:t>.</w:t>
      </w:r>
      <w:r w:rsidR="007F4A3A">
        <w:t xml:space="preserve"> </w:t>
      </w:r>
      <w:r>
        <w:t>If damage is proven to have been caused</w:t>
      </w:r>
      <w:r w:rsidRPr="00BF3A24">
        <w:t xml:space="preserve">, the court </w:t>
      </w:r>
      <w:r>
        <w:t>will</w:t>
      </w:r>
      <w:r w:rsidRPr="00BF3A24">
        <w:t xml:space="preserve"> grant the </w:t>
      </w:r>
      <w:r>
        <w:t>aggrieved party</w:t>
      </w:r>
      <w:r w:rsidRPr="00BF3A24">
        <w:t xml:space="preserve"> fair compensation for </w:t>
      </w:r>
      <w:r>
        <w:t>the damage sustained</w:t>
      </w:r>
      <w:r w:rsidRPr="00BF3A24">
        <w:t>.</w:t>
      </w:r>
      <w:r w:rsidR="007F4A3A">
        <w:t xml:space="preserve"> </w:t>
      </w:r>
      <w:r>
        <w:t>Thus a</w:t>
      </w:r>
      <w:r w:rsidRPr="00BF3A24">
        <w:t>rticle 19 of the Code of Criminal Procedur</w:t>
      </w:r>
      <w:r>
        <w:t>e, Act No. 23 (2004, amended)</w:t>
      </w:r>
      <w:r w:rsidRPr="00BF3A24">
        <w:t xml:space="preserve">, </w:t>
      </w:r>
      <w:r>
        <w:t xml:space="preserve">states that anyone </w:t>
      </w:r>
      <w:r w:rsidRPr="00BF3A24">
        <w:t xml:space="preserve">who suffers </w:t>
      </w:r>
      <w:r>
        <w:t>direct personal damage</w:t>
      </w:r>
      <w:r w:rsidRPr="00BF3A24">
        <w:t xml:space="preserve"> as a result of </w:t>
      </w:r>
      <w:r>
        <w:t>a crime</w:t>
      </w:r>
      <w:r w:rsidRPr="00BF3A24">
        <w:t xml:space="preserve"> may sue </w:t>
      </w:r>
      <w:r>
        <w:t xml:space="preserve">the defendant </w:t>
      </w:r>
      <w:r w:rsidRPr="00BF3A24">
        <w:t>for</w:t>
      </w:r>
      <w:r>
        <w:t xml:space="preserve"> civil</w:t>
      </w:r>
      <w:r w:rsidRPr="00BF3A24">
        <w:t xml:space="preserve"> damages during the investigation stage or before the c</w:t>
      </w:r>
      <w:r>
        <w:t>ourt hearing the criminal case.</w:t>
      </w:r>
      <w:r w:rsidR="007F4A3A">
        <w:t xml:space="preserve"> </w:t>
      </w:r>
      <w:r>
        <w:t xml:space="preserve">This right is also guaranteed by general rules </w:t>
      </w:r>
      <w:r w:rsidRPr="00BF3A24">
        <w:t>in the Civil Code.</w:t>
      </w:r>
      <w:r w:rsidR="007F4A3A">
        <w:t xml:space="preserve"> </w:t>
      </w:r>
      <w:r w:rsidRPr="00BF3A24">
        <w:t xml:space="preserve">Articles 32 to 60 of the Code of Criminal Procedure, which regulate the procedures for conducting inquiries, gathering evidence and carrying out preliminary investigations to help the Office of the Public Prosecutor and the courts uncover </w:t>
      </w:r>
      <w:r>
        <w:t>crime</w:t>
      </w:r>
      <w:r w:rsidRPr="00BF3A24">
        <w:t xml:space="preserve"> and </w:t>
      </w:r>
      <w:r>
        <w:t>apprehend</w:t>
      </w:r>
      <w:r w:rsidRPr="00BF3A24">
        <w:t xml:space="preserve"> and convict </w:t>
      </w:r>
      <w:r>
        <w:t>offenders</w:t>
      </w:r>
      <w:r w:rsidRPr="00BF3A24">
        <w:t xml:space="preserve">, make no distinction between </w:t>
      </w:r>
      <w:r>
        <w:t>one citizen and another</w:t>
      </w:r>
      <w:r w:rsidRPr="00BF3A24">
        <w:t xml:space="preserve"> or between citizens and </w:t>
      </w:r>
      <w:r>
        <w:t>residents.</w:t>
      </w:r>
      <w:r w:rsidR="007F4A3A">
        <w:t xml:space="preserve"> </w:t>
      </w:r>
      <w:r>
        <w:t xml:space="preserve">Furthermore, pursuant to article 19, victims of </w:t>
      </w:r>
      <w:r w:rsidRPr="00BF3A24">
        <w:t xml:space="preserve">crime have the right to sue for </w:t>
      </w:r>
      <w:r>
        <w:t>civil damages</w:t>
      </w:r>
      <w:r w:rsidRPr="00BF3A24">
        <w:t>.</w:t>
      </w:r>
    </w:p>
    <w:p w:rsidR="0060531D" w:rsidRDefault="004B0C37" w:rsidP="00AC1794">
      <w:pPr>
        <w:pStyle w:val="SingleTxtG"/>
      </w:pPr>
      <w:r w:rsidRPr="00BF3A24">
        <w:t>121</w:t>
      </w:r>
      <w:r w:rsidR="00486817">
        <w:t>.</w:t>
      </w:r>
      <w:r w:rsidR="00486817">
        <w:tab/>
      </w:r>
      <w:r w:rsidRPr="00BF3A24">
        <w:t xml:space="preserve">The Qatari judiciary carries out its duties in accordance with article 130 of the </w:t>
      </w:r>
      <w:r>
        <w:t>Permanent Constitution</w:t>
      </w:r>
      <w:r w:rsidRPr="00BF3A24">
        <w:t xml:space="preserve">, which </w:t>
      </w:r>
      <w:r>
        <w:t xml:space="preserve">states: </w:t>
      </w:r>
      <w:r w:rsidR="009D1BD8">
        <w:t>“</w:t>
      </w:r>
      <w:r w:rsidRPr="00791F4B">
        <w:t xml:space="preserve">The judiciary is independent and judicial </w:t>
      </w:r>
      <w:r>
        <w:t>authority</w:t>
      </w:r>
      <w:r w:rsidRPr="00791F4B">
        <w:t xml:space="preserve"> </w:t>
      </w:r>
      <w:r w:rsidRPr="00791F4B">
        <w:lastRenderedPageBreak/>
        <w:t>is vested in courts</w:t>
      </w:r>
      <w:r>
        <w:t xml:space="preserve"> of various kinds and levels</w:t>
      </w:r>
      <w:r w:rsidRPr="00BF3A24">
        <w:t>, which</w:t>
      </w:r>
      <w:r>
        <w:t xml:space="preserve"> shall</w:t>
      </w:r>
      <w:r w:rsidRPr="00BF3A24">
        <w:t xml:space="preserve"> issue </w:t>
      </w:r>
      <w:r>
        <w:t xml:space="preserve">their </w:t>
      </w:r>
      <w:r w:rsidRPr="00BF3A24">
        <w:t>judgements in accordance with the law.</w:t>
      </w:r>
      <w:r w:rsidR="009D1BD8">
        <w:t>”</w:t>
      </w:r>
    </w:p>
    <w:p w:rsidR="0060531D" w:rsidRDefault="004B0C37" w:rsidP="00AC1794">
      <w:pPr>
        <w:pStyle w:val="SingleTxtG"/>
      </w:pPr>
      <w:r w:rsidRPr="00BF3A24">
        <w:t>122</w:t>
      </w:r>
      <w:r w:rsidR="00486817">
        <w:t>.</w:t>
      </w:r>
      <w:r w:rsidR="00486817">
        <w:tab/>
      </w:r>
      <w:r w:rsidRPr="00BF3A24">
        <w:t xml:space="preserve">The Human Rights Department </w:t>
      </w:r>
      <w:r>
        <w:t xml:space="preserve">of the </w:t>
      </w:r>
      <w:r w:rsidRPr="00BF3A24">
        <w:t>Ministry of Interior, which is part of the national human rights system, was established by Minister o</w:t>
      </w:r>
      <w:r>
        <w:t>f Interior Decision No. 26 (</w:t>
      </w:r>
      <w:r w:rsidRPr="00BF3A24">
        <w:t>2005</w:t>
      </w:r>
      <w:r>
        <w:t>).</w:t>
      </w:r>
      <w:r w:rsidR="007F4A3A">
        <w:t xml:space="preserve"> </w:t>
      </w:r>
      <w:r>
        <w:t xml:space="preserve">The Decision </w:t>
      </w:r>
      <w:r w:rsidRPr="00BF3A24">
        <w:t xml:space="preserve">stipulates that the Department shall </w:t>
      </w:r>
      <w:r w:rsidR="009D1BD8">
        <w:t>“</w:t>
      </w:r>
      <w:r w:rsidRPr="00BF3A24">
        <w:t xml:space="preserve">receive, study and investigate complaints submitted to the Ministry of Interior by individuals or </w:t>
      </w:r>
      <w:r>
        <w:t>through</w:t>
      </w:r>
      <w:r w:rsidRPr="00BF3A24">
        <w:t xml:space="preserve"> the N</w:t>
      </w:r>
      <w:r>
        <w:t xml:space="preserve">ational Human Rights Committee, </w:t>
      </w:r>
      <w:r w:rsidRPr="00BF3A24">
        <w:t xml:space="preserve">look into background issues in connection with </w:t>
      </w:r>
      <w:r>
        <w:t>complaints</w:t>
      </w:r>
      <w:r w:rsidRPr="00BF3A24">
        <w:t xml:space="preserve"> and make re</w:t>
      </w:r>
      <w:r>
        <w:t>commendations to the Minister</w:t>
      </w:r>
      <w:r w:rsidR="009D1BD8">
        <w:t>”</w:t>
      </w:r>
      <w:r>
        <w:t>.</w:t>
      </w:r>
      <w:r w:rsidR="007F4A3A">
        <w:t xml:space="preserve"> </w:t>
      </w:r>
      <w:r>
        <w:t>The Department oversees</w:t>
      </w:r>
      <w:r w:rsidRPr="00BF3A24">
        <w:t xml:space="preserve"> implementation of inte</w:t>
      </w:r>
      <w:r>
        <w:t xml:space="preserve">rnational human rights treaties, </w:t>
      </w:r>
      <w:r w:rsidRPr="00BF3A24">
        <w:t xml:space="preserve">visits penal institutions, deportation centres and security departments to </w:t>
      </w:r>
      <w:r>
        <w:t>ascertain</w:t>
      </w:r>
      <w:r w:rsidRPr="00BF3A24">
        <w:t xml:space="preserve"> compliance w</w:t>
      </w:r>
      <w:r>
        <w:t>ith laws and regulations, submits</w:t>
      </w:r>
      <w:r w:rsidRPr="00BF3A24">
        <w:t xml:space="preserve"> periodic reports</w:t>
      </w:r>
      <w:r>
        <w:t xml:space="preserve"> </w:t>
      </w:r>
      <w:r w:rsidRPr="00BF3A24">
        <w:t>to the Minister</w:t>
      </w:r>
      <w:r>
        <w:t xml:space="preserve"> and conducts</w:t>
      </w:r>
      <w:r w:rsidRPr="00BF3A24">
        <w:t xml:space="preserve"> training and </w:t>
      </w:r>
      <w:r>
        <w:t>outreach activities for ministerial bodies concerned</w:t>
      </w:r>
      <w:r w:rsidRPr="00BF3A24">
        <w:t xml:space="preserve"> with human rights.</w:t>
      </w:r>
      <w:r w:rsidR="007F4A3A">
        <w:t xml:space="preserve"> </w:t>
      </w:r>
      <w:r>
        <w:t xml:space="preserve"> </w:t>
      </w:r>
      <w:r w:rsidRPr="00BF3A24">
        <w:t>The Department also represents the Ministry at national, regional and international conference</w:t>
      </w:r>
      <w:r>
        <w:t>s and seminars on human rights.</w:t>
      </w:r>
      <w:r w:rsidR="007F4A3A">
        <w:t xml:space="preserve"> </w:t>
      </w:r>
      <w:r>
        <w:t xml:space="preserve">Furthermore, the </w:t>
      </w:r>
      <w:r w:rsidRPr="00BF3A24">
        <w:t xml:space="preserve">Department </w:t>
      </w:r>
      <w:r>
        <w:t>examines</w:t>
      </w:r>
      <w:r w:rsidRPr="00BF3A24">
        <w:t xml:space="preserve"> and </w:t>
      </w:r>
      <w:r>
        <w:t>seeks to</w:t>
      </w:r>
      <w:r w:rsidRPr="00BF3A24">
        <w:t xml:space="preserve"> resolve </w:t>
      </w:r>
      <w:r>
        <w:t>complaints received</w:t>
      </w:r>
      <w:r w:rsidRPr="00BF3A24">
        <w:t xml:space="preserve"> from migrant workers.</w:t>
      </w:r>
      <w:r w:rsidR="007F4A3A">
        <w:t xml:space="preserve"> </w:t>
      </w:r>
      <w:r>
        <w:t xml:space="preserve">If </w:t>
      </w:r>
      <w:r w:rsidRPr="00BF3A24">
        <w:t>an employer</w:t>
      </w:r>
      <w:r>
        <w:t xml:space="preserve"> is proven to have exploited a worker</w:t>
      </w:r>
      <w:r w:rsidRPr="00BF3A24">
        <w:t xml:space="preserve">, </w:t>
      </w:r>
      <w:r>
        <w:t>the proper</w:t>
      </w:r>
      <w:r w:rsidRPr="00BF3A24">
        <w:t xml:space="preserve"> measures are taken and the employee is </w:t>
      </w:r>
      <w:r>
        <w:t>free</w:t>
      </w:r>
      <w:r w:rsidRPr="00BF3A24">
        <w:t xml:space="preserve"> to change employment without the employer</w:t>
      </w:r>
      <w:r w:rsidR="009D1BD8">
        <w:t>’</w:t>
      </w:r>
      <w:r w:rsidRPr="00BF3A24">
        <w:t>s consent, in accordance wi</w:t>
      </w:r>
      <w:r>
        <w:t xml:space="preserve">th article 22 of Act No. 21 (2015), </w:t>
      </w:r>
      <w:r w:rsidRPr="00BF3A24">
        <w:t>regulating the entry, exit and residence of migrant workers.</w:t>
      </w:r>
    </w:p>
    <w:p w:rsidR="0060531D" w:rsidRPr="003F3212" w:rsidRDefault="003F3212" w:rsidP="003F3212">
      <w:pPr>
        <w:pStyle w:val="SingleTxtG"/>
        <w:spacing w:before="240"/>
        <w:jc w:val="center"/>
        <w:rPr>
          <w:u w:val="single"/>
        </w:rPr>
      </w:pPr>
      <w:r>
        <w:rPr>
          <w:u w:val="single"/>
        </w:rPr>
        <w:tab/>
      </w:r>
      <w:r>
        <w:rPr>
          <w:u w:val="single"/>
        </w:rPr>
        <w:tab/>
      </w:r>
      <w:r>
        <w:rPr>
          <w:u w:val="single"/>
        </w:rPr>
        <w:tab/>
      </w:r>
    </w:p>
    <w:sectPr w:rsidR="0060531D" w:rsidRPr="003F3212" w:rsidSect="006C5DD3">
      <w:headerReference w:type="even" r:id="rId15"/>
      <w:headerReference w:type="default" r:id="rId16"/>
      <w:footerReference w:type="even" r:id="rId17"/>
      <w:footerReference w:type="default" r:id="rId18"/>
      <w:headerReference w:type="first" r:id="rId19"/>
      <w:footerReference w:type="first" r:id="rId20"/>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549" w:rsidRDefault="008F6549"/>
  </w:endnote>
  <w:endnote w:type="continuationSeparator" w:id="0">
    <w:p w:rsidR="008F6549" w:rsidRDefault="008F6549"/>
  </w:endnote>
  <w:endnote w:type="continuationNotice" w:id="1">
    <w:p w:rsidR="008F6549" w:rsidRDefault="008F65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549" w:rsidRDefault="008F6549" w:rsidP="00B25572">
    <w:pPr>
      <w:pStyle w:val="Footer"/>
      <w:tabs>
        <w:tab w:val="right" w:pos="9638"/>
      </w:tabs>
    </w:pPr>
    <w:r w:rsidRPr="00B25572">
      <w:rPr>
        <w:b/>
        <w:bCs/>
        <w:sz w:val="18"/>
      </w:rPr>
      <w:fldChar w:fldCharType="begin"/>
    </w:r>
    <w:r w:rsidRPr="00B25572">
      <w:rPr>
        <w:b/>
        <w:bCs/>
        <w:sz w:val="18"/>
      </w:rPr>
      <w:instrText xml:space="preserve"> PAGE  \* MERGEFORMAT </w:instrText>
    </w:r>
    <w:r w:rsidRPr="00B25572">
      <w:rPr>
        <w:b/>
        <w:bCs/>
        <w:sz w:val="18"/>
      </w:rPr>
      <w:fldChar w:fldCharType="separate"/>
    </w:r>
    <w:r w:rsidR="006D4E38">
      <w:rPr>
        <w:b/>
        <w:bCs/>
        <w:noProof/>
        <w:sz w:val="18"/>
      </w:rPr>
      <w:t>34</w:t>
    </w:r>
    <w:r w:rsidRPr="00B25572">
      <w:rPr>
        <w:b/>
        <w:bCs/>
        <w:sz w:val="18"/>
      </w:rPr>
      <w:fldChar w:fldCharType="end"/>
    </w:r>
    <w:r>
      <w:tab/>
      <w:t>GE.19-02460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549" w:rsidRDefault="008F6549" w:rsidP="00B25572">
    <w:pPr>
      <w:pStyle w:val="Footer"/>
      <w:tabs>
        <w:tab w:val="right" w:pos="9638"/>
      </w:tabs>
    </w:pPr>
    <w:r>
      <w:t>GE.19-02460</w:t>
    </w:r>
    <w:r>
      <w:tab/>
    </w:r>
    <w:r w:rsidRPr="00B25572">
      <w:rPr>
        <w:b/>
        <w:bCs/>
        <w:sz w:val="18"/>
      </w:rPr>
      <w:fldChar w:fldCharType="begin"/>
    </w:r>
    <w:r w:rsidRPr="00B25572">
      <w:rPr>
        <w:b/>
        <w:bCs/>
        <w:sz w:val="18"/>
      </w:rPr>
      <w:instrText xml:space="preserve"> PAGE  \* MERGEFORMAT </w:instrText>
    </w:r>
    <w:r w:rsidRPr="00B25572">
      <w:rPr>
        <w:b/>
        <w:bCs/>
        <w:sz w:val="18"/>
      </w:rPr>
      <w:fldChar w:fldCharType="separate"/>
    </w:r>
    <w:r w:rsidR="006D4E38">
      <w:rPr>
        <w:b/>
        <w:bCs/>
        <w:noProof/>
        <w:sz w:val="18"/>
      </w:rPr>
      <w:t>33</w:t>
    </w:r>
    <w:r w:rsidRPr="00B2557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549" w:rsidRDefault="008F6549" w:rsidP="0069577F">
    <w:pPr>
      <w:pStyle w:val="FootnoteText"/>
      <w:tabs>
        <w:tab w:val="clear" w:pos="1021"/>
        <w:tab w:val="right" w:pos="1020"/>
      </w:tabs>
      <w:rPr>
        <w:sz w:val="20"/>
      </w:rPr>
    </w:pPr>
    <w:r>
      <w:rPr>
        <w:noProof/>
        <w:lang w:eastAsia="zh-CN"/>
      </w:rPr>
      <w:drawing>
        <wp:anchor distT="0" distB="0" distL="114300" distR="114300" simplePos="0" relativeHeight="251660288"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8F6549" w:rsidRDefault="008F6549" w:rsidP="00E802FF">
    <w:pPr>
      <w:pStyle w:val="FootnoteText"/>
      <w:tabs>
        <w:tab w:val="clear" w:pos="1021"/>
        <w:tab w:val="right" w:pos="1020"/>
      </w:tabs>
      <w:rPr>
        <w:sz w:val="20"/>
      </w:rPr>
    </w:pPr>
    <w:r>
      <w:rPr>
        <w:sz w:val="20"/>
      </w:rPr>
      <w:t xml:space="preserve">GE.19-02460  (E)    </w:t>
    </w:r>
    <w:r>
      <w:rPr>
        <w:sz w:val="20"/>
      </w:rPr>
      <w:t>260319</w:t>
    </w:r>
    <w:bookmarkStart w:id="0" w:name="_GoBack"/>
    <w:bookmarkEnd w:id="0"/>
  </w:p>
  <w:p w:rsidR="008F6549" w:rsidRPr="00B25572" w:rsidRDefault="008F6549" w:rsidP="00B25572">
    <w:pPr>
      <w:pStyle w:val="FootnoteText"/>
      <w:tabs>
        <w:tab w:val="clear" w:pos="1021"/>
        <w:tab w:val="right" w:pos="1020"/>
      </w:tabs>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1312"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HRI/CORE/QAT/201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HRI/CORE/QAT/2019&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549" w:rsidRPr="000B175B" w:rsidRDefault="008F6549" w:rsidP="000B175B">
      <w:pPr>
        <w:tabs>
          <w:tab w:val="right" w:pos="2155"/>
        </w:tabs>
        <w:spacing w:after="80"/>
        <w:ind w:left="680"/>
        <w:rPr>
          <w:u w:val="single"/>
        </w:rPr>
      </w:pPr>
      <w:r>
        <w:rPr>
          <w:u w:val="single"/>
        </w:rPr>
        <w:tab/>
      </w:r>
    </w:p>
  </w:footnote>
  <w:footnote w:type="continuationSeparator" w:id="0">
    <w:p w:rsidR="008F6549" w:rsidRPr="00FC68B7" w:rsidRDefault="008F6549" w:rsidP="00FC68B7">
      <w:pPr>
        <w:tabs>
          <w:tab w:val="left" w:pos="2155"/>
        </w:tabs>
        <w:spacing w:after="80"/>
        <w:ind w:left="680"/>
        <w:rPr>
          <w:u w:val="single"/>
        </w:rPr>
      </w:pPr>
      <w:r>
        <w:rPr>
          <w:u w:val="single"/>
        </w:rPr>
        <w:tab/>
      </w:r>
    </w:p>
  </w:footnote>
  <w:footnote w:type="continuationNotice" w:id="1">
    <w:p w:rsidR="008F6549" w:rsidRDefault="008F6549"/>
  </w:footnote>
  <w:footnote w:id="2">
    <w:p w:rsidR="008F6549" w:rsidRPr="00B611BD" w:rsidRDefault="008F6549" w:rsidP="00B17F9C">
      <w:pPr>
        <w:pStyle w:val="FootnoteText"/>
      </w:pPr>
      <w:r w:rsidRPr="00B17F9C">
        <w:tab/>
      </w:r>
      <w:r w:rsidRPr="00B17F9C">
        <w:rPr>
          <w:rStyle w:val="FootnoteReference"/>
          <w:sz w:val="20"/>
          <w:vertAlign w:val="baseline"/>
        </w:rPr>
        <w:t>*</w:t>
      </w:r>
      <w:r w:rsidRPr="00B17F9C">
        <w:rPr>
          <w:sz w:val="20"/>
        </w:rPr>
        <w:tab/>
      </w:r>
      <w:r w:rsidRPr="00B611BD">
        <w:t>The present document is being issued without formal editing</w:t>
      </w:r>
      <w:r w:rsidRPr="00B611BD">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549" w:rsidRDefault="008F6549" w:rsidP="00B25572">
    <w:pPr>
      <w:pStyle w:val="Header"/>
    </w:pPr>
    <w:r>
      <w:t>HRI/CORE/QAT/2019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549" w:rsidRDefault="008F6549" w:rsidP="00B25572">
    <w:pPr>
      <w:pStyle w:val="Header"/>
      <w:jc w:val="right"/>
    </w:pPr>
    <w:r>
      <w:t>HRI/CORE/QAT/2019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2FF" w:rsidRDefault="00E802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5"/>
  </w:num>
  <w:num w:numId="15">
    <w:abstractNumId w:val="12"/>
  </w:num>
  <w:num w:numId="16">
    <w:abstractNumId w:val="11"/>
  </w:num>
  <w:num w:numId="17">
    <w:abstractNumId w:val="14"/>
  </w:num>
  <w:num w:numId="18">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activeWritingStyle w:appName="MSWord" w:lang="en-GB" w:vendorID="64" w:dllVersion="131077" w:nlCheck="1" w:checkStyle="1"/>
  <w:activeWritingStyle w:appName="MSWord" w:lang="en-GB" w:vendorID="64" w:dllVersion="131078" w:nlCheck="1" w:checkStyle="0"/>
  <w:activeWritingStyle w:appName="MSWord" w:lang="fr-CH" w:vendorID="64" w:dllVersion="131078" w:nlCheck="1" w:checkStyle="0"/>
  <w:activeWritingStyle w:appName="MSWord" w:lang="ar-SA" w:vendorID="64" w:dllVersion="131078" w:nlCheck="1" w:checkStyle="0"/>
  <w:activeWritingStyle w:appName="MSWord" w:lang="en-US" w:vendorID="64" w:dllVersion="131078" w:nlCheck="1" w:checkStyle="0"/>
  <w:activeWritingStyle w:appName="MSWord" w:lang="ar-QA"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C84"/>
    <w:rsid w:val="000023BC"/>
    <w:rsid w:val="00002D52"/>
    <w:rsid w:val="0001096E"/>
    <w:rsid w:val="000142F1"/>
    <w:rsid w:val="00015B1A"/>
    <w:rsid w:val="00021F13"/>
    <w:rsid w:val="00033667"/>
    <w:rsid w:val="00050F6B"/>
    <w:rsid w:val="00053483"/>
    <w:rsid w:val="00057E97"/>
    <w:rsid w:val="00060C3A"/>
    <w:rsid w:val="0006157E"/>
    <w:rsid w:val="000726BE"/>
    <w:rsid w:val="00072C8C"/>
    <w:rsid w:val="000733B5"/>
    <w:rsid w:val="00074946"/>
    <w:rsid w:val="00081815"/>
    <w:rsid w:val="00082075"/>
    <w:rsid w:val="0008312D"/>
    <w:rsid w:val="00086874"/>
    <w:rsid w:val="000931C0"/>
    <w:rsid w:val="00093E06"/>
    <w:rsid w:val="000B13D5"/>
    <w:rsid w:val="000B175B"/>
    <w:rsid w:val="000B252E"/>
    <w:rsid w:val="000B378D"/>
    <w:rsid w:val="000B3A0F"/>
    <w:rsid w:val="000B3AF9"/>
    <w:rsid w:val="000B4EF7"/>
    <w:rsid w:val="000B52A8"/>
    <w:rsid w:val="000B52DB"/>
    <w:rsid w:val="000B7314"/>
    <w:rsid w:val="000C2C03"/>
    <w:rsid w:val="000C2D2E"/>
    <w:rsid w:val="000D321F"/>
    <w:rsid w:val="000D7D9D"/>
    <w:rsid w:val="000E0415"/>
    <w:rsid w:val="000E5444"/>
    <w:rsid w:val="000F1023"/>
    <w:rsid w:val="000F1DD9"/>
    <w:rsid w:val="001103AA"/>
    <w:rsid w:val="00135D57"/>
    <w:rsid w:val="00151171"/>
    <w:rsid w:val="00165772"/>
    <w:rsid w:val="001657D0"/>
    <w:rsid w:val="00165F3A"/>
    <w:rsid w:val="00167402"/>
    <w:rsid w:val="00172130"/>
    <w:rsid w:val="00183968"/>
    <w:rsid w:val="001876BE"/>
    <w:rsid w:val="00192133"/>
    <w:rsid w:val="00195A8F"/>
    <w:rsid w:val="001A11B7"/>
    <w:rsid w:val="001A1B57"/>
    <w:rsid w:val="001A6686"/>
    <w:rsid w:val="001B4B04"/>
    <w:rsid w:val="001B4E45"/>
    <w:rsid w:val="001B5929"/>
    <w:rsid w:val="001C6663"/>
    <w:rsid w:val="001C7895"/>
    <w:rsid w:val="001D0C8C"/>
    <w:rsid w:val="001D12AE"/>
    <w:rsid w:val="001D26DF"/>
    <w:rsid w:val="001D3A03"/>
    <w:rsid w:val="001E58D5"/>
    <w:rsid w:val="001E7AB9"/>
    <w:rsid w:val="001F0C9D"/>
    <w:rsid w:val="001F20C3"/>
    <w:rsid w:val="00202DA8"/>
    <w:rsid w:val="00211E0B"/>
    <w:rsid w:val="00214169"/>
    <w:rsid w:val="00226D13"/>
    <w:rsid w:val="0023210C"/>
    <w:rsid w:val="00247C45"/>
    <w:rsid w:val="00267F5F"/>
    <w:rsid w:val="00270DD8"/>
    <w:rsid w:val="002718B8"/>
    <w:rsid w:val="002731C9"/>
    <w:rsid w:val="0027534D"/>
    <w:rsid w:val="00276B1C"/>
    <w:rsid w:val="00286B4D"/>
    <w:rsid w:val="002937F7"/>
    <w:rsid w:val="002A5DC0"/>
    <w:rsid w:val="002A71B9"/>
    <w:rsid w:val="002B2794"/>
    <w:rsid w:val="002B5D69"/>
    <w:rsid w:val="002F175C"/>
    <w:rsid w:val="002F7BB2"/>
    <w:rsid w:val="00301FCF"/>
    <w:rsid w:val="00314242"/>
    <w:rsid w:val="003229D8"/>
    <w:rsid w:val="00326CFC"/>
    <w:rsid w:val="00335149"/>
    <w:rsid w:val="003436DE"/>
    <w:rsid w:val="003505B4"/>
    <w:rsid w:val="00352709"/>
    <w:rsid w:val="0035667A"/>
    <w:rsid w:val="00367567"/>
    <w:rsid w:val="00370D1F"/>
    <w:rsid w:val="00371178"/>
    <w:rsid w:val="00375607"/>
    <w:rsid w:val="00382720"/>
    <w:rsid w:val="00382E1A"/>
    <w:rsid w:val="0039078F"/>
    <w:rsid w:val="00397D14"/>
    <w:rsid w:val="003A3E1A"/>
    <w:rsid w:val="003A6810"/>
    <w:rsid w:val="003C2CC4"/>
    <w:rsid w:val="003C771A"/>
    <w:rsid w:val="003D001A"/>
    <w:rsid w:val="003D0599"/>
    <w:rsid w:val="003D3599"/>
    <w:rsid w:val="003D4B23"/>
    <w:rsid w:val="003D5311"/>
    <w:rsid w:val="003D7959"/>
    <w:rsid w:val="003F3212"/>
    <w:rsid w:val="003F5C11"/>
    <w:rsid w:val="00406B53"/>
    <w:rsid w:val="00410641"/>
    <w:rsid w:val="00410C89"/>
    <w:rsid w:val="00414581"/>
    <w:rsid w:val="0041659B"/>
    <w:rsid w:val="00425A54"/>
    <w:rsid w:val="00426B9B"/>
    <w:rsid w:val="004325CB"/>
    <w:rsid w:val="00436B33"/>
    <w:rsid w:val="00442A83"/>
    <w:rsid w:val="00451E07"/>
    <w:rsid w:val="0045495B"/>
    <w:rsid w:val="00461D9D"/>
    <w:rsid w:val="00486817"/>
    <w:rsid w:val="00487488"/>
    <w:rsid w:val="004878C8"/>
    <w:rsid w:val="004A4B9C"/>
    <w:rsid w:val="004B0C37"/>
    <w:rsid w:val="004D277C"/>
    <w:rsid w:val="004F0324"/>
    <w:rsid w:val="004F1879"/>
    <w:rsid w:val="00507C15"/>
    <w:rsid w:val="0051045D"/>
    <w:rsid w:val="0052136D"/>
    <w:rsid w:val="00522623"/>
    <w:rsid w:val="0052775E"/>
    <w:rsid w:val="00540BD8"/>
    <w:rsid w:val="005420F2"/>
    <w:rsid w:val="00543C0B"/>
    <w:rsid w:val="00561A3D"/>
    <w:rsid w:val="005628B6"/>
    <w:rsid w:val="0056539F"/>
    <w:rsid w:val="005763BA"/>
    <w:rsid w:val="00581D14"/>
    <w:rsid w:val="00584036"/>
    <w:rsid w:val="005848B3"/>
    <w:rsid w:val="00584DAE"/>
    <w:rsid w:val="00597051"/>
    <w:rsid w:val="005A3A3C"/>
    <w:rsid w:val="005A59CB"/>
    <w:rsid w:val="005A6B97"/>
    <w:rsid w:val="005B0D75"/>
    <w:rsid w:val="005B1D0B"/>
    <w:rsid w:val="005B3DB3"/>
    <w:rsid w:val="005C34C5"/>
    <w:rsid w:val="005C543D"/>
    <w:rsid w:val="005F075E"/>
    <w:rsid w:val="005F1B32"/>
    <w:rsid w:val="005F6EC6"/>
    <w:rsid w:val="005F7717"/>
    <w:rsid w:val="005F7B75"/>
    <w:rsid w:val="006001EE"/>
    <w:rsid w:val="006048DA"/>
    <w:rsid w:val="00605042"/>
    <w:rsid w:val="0060531D"/>
    <w:rsid w:val="006103BE"/>
    <w:rsid w:val="00611FC4"/>
    <w:rsid w:val="006176FB"/>
    <w:rsid w:val="00640B26"/>
    <w:rsid w:val="00652D0A"/>
    <w:rsid w:val="00655977"/>
    <w:rsid w:val="00662BB6"/>
    <w:rsid w:val="006647AE"/>
    <w:rsid w:val="00680CF0"/>
    <w:rsid w:val="00684C21"/>
    <w:rsid w:val="00685708"/>
    <w:rsid w:val="0069577F"/>
    <w:rsid w:val="006A6D3D"/>
    <w:rsid w:val="006A7A92"/>
    <w:rsid w:val="006C5DD3"/>
    <w:rsid w:val="006C719B"/>
    <w:rsid w:val="006D0E49"/>
    <w:rsid w:val="006D1688"/>
    <w:rsid w:val="006D37AF"/>
    <w:rsid w:val="006D4E38"/>
    <w:rsid w:val="006D51D0"/>
    <w:rsid w:val="006E000A"/>
    <w:rsid w:val="006E564B"/>
    <w:rsid w:val="006E7191"/>
    <w:rsid w:val="00703577"/>
    <w:rsid w:val="0070383F"/>
    <w:rsid w:val="00703AB7"/>
    <w:rsid w:val="0071759F"/>
    <w:rsid w:val="00720B78"/>
    <w:rsid w:val="00722159"/>
    <w:rsid w:val="00723D1E"/>
    <w:rsid w:val="00724813"/>
    <w:rsid w:val="0072632A"/>
    <w:rsid w:val="00730AE7"/>
    <w:rsid w:val="00731118"/>
    <w:rsid w:val="007327D5"/>
    <w:rsid w:val="00733979"/>
    <w:rsid w:val="00734B2A"/>
    <w:rsid w:val="00745ADE"/>
    <w:rsid w:val="00754AE5"/>
    <w:rsid w:val="007629C8"/>
    <w:rsid w:val="00766EBE"/>
    <w:rsid w:val="00767295"/>
    <w:rsid w:val="0077631E"/>
    <w:rsid w:val="00782B1B"/>
    <w:rsid w:val="00792277"/>
    <w:rsid w:val="007A1427"/>
    <w:rsid w:val="007A51B0"/>
    <w:rsid w:val="007B4E65"/>
    <w:rsid w:val="007B6BA5"/>
    <w:rsid w:val="007B7040"/>
    <w:rsid w:val="007C3390"/>
    <w:rsid w:val="007C4F4B"/>
    <w:rsid w:val="007C784F"/>
    <w:rsid w:val="007D4D1E"/>
    <w:rsid w:val="007D7008"/>
    <w:rsid w:val="007D73E2"/>
    <w:rsid w:val="007E01B9"/>
    <w:rsid w:val="007E0B2D"/>
    <w:rsid w:val="007E7C1A"/>
    <w:rsid w:val="007F2E2C"/>
    <w:rsid w:val="007F3345"/>
    <w:rsid w:val="007F3CD4"/>
    <w:rsid w:val="007F4A3A"/>
    <w:rsid w:val="007F6611"/>
    <w:rsid w:val="00806AC5"/>
    <w:rsid w:val="0080707F"/>
    <w:rsid w:val="008156D4"/>
    <w:rsid w:val="008242D7"/>
    <w:rsid w:val="008257B1"/>
    <w:rsid w:val="00841CC2"/>
    <w:rsid w:val="00843767"/>
    <w:rsid w:val="00856C17"/>
    <w:rsid w:val="008679D9"/>
    <w:rsid w:val="0087353A"/>
    <w:rsid w:val="00874374"/>
    <w:rsid w:val="00880780"/>
    <w:rsid w:val="00881905"/>
    <w:rsid w:val="008979B1"/>
    <w:rsid w:val="008A1DB2"/>
    <w:rsid w:val="008A6B25"/>
    <w:rsid w:val="008A6C4F"/>
    <w:rsid w:val="008B2335"/>
    <w:rsid w:val="008D4BF6"/>
    <w:rsid w:val="008E0678"/>
    <w:rsid w:val="008E6FAD"/>
    <w:rsid w:val="008F6549"/>
    <w:rsid w:val="008F6DE3"/>
    <w:rsid w:val="00903731"/>
    <w:rsid w:val="0090451C"/>
    <w:rsid w:val="00910F40"/>
    <w:rsid w:val="0091168A"/>
    <w:rsid w:val="00912C08"/>
    <w:rsid w:val="009223CA"/>
    <w:rsid w:val="00936D7E"/>
    <w:rsid w:val="00936FD8"/>
    <w:rsid w:val="00937282"/>
    <w:rsid w:val="00940F93"/>
    <w:rsid w:val="009432BD"/>
    <w:rsid w:val="00946B43"/>
    <w:rsid w:val="0095347F"/>
    <w:rsid w:val="009543B0"/>
    <w:rsid w:val="00967D17"/>
    <w:rsid w:val="009760F3"/>
    <w:rsid w:val="00985B0B"/>
    <w:rsid w:val="00986077"/>
    <w:rsid w:val="00986328"/>
    <w:rsid w:val="0098738A"/>
    <w:rsid w:val="009909F5"/>
    <w:rsid w:val="00990F3C"/>
    <w:rsid w:val="00992201"/>
    <w:rsid w:val="009966B9"/>
    <w:rsid w:val="009A0E8D"/>
    <w:rsid w:val="009A4916"/>
    <w:rsid w:val="009B26E7"/>
    <w:rsid w:val="009B7AD8"/>
    <w:rsid w:val="009C070E"/>
    <w:rsid w:val="009C0F71"/>
    <w:rsid w:val="009D1BD8"/>
    <w:rsid w:val="009E75EF"/>
    <w:rsid w:val="009F05BF"/>
    <w:rsid w:val="00A00A3F"/>
    <w:rsid w:val="00A00E5E"/>
    <w:rsid w:val="00A01489"/>
    <w:rsid w:val="00A2046E"/>
    <w:rsid w:val="00A206CA"/>
    <w:rsid w:val="00A272F0"/>
    <w:rsid w:val="00A27777"/>
    <w:rsid w:val="00A31B6F"/>
    <w:rsid w:val="00A338F1"/>
    <w:rsid w:val="00A404FE"/>
    <w:rsid w:val="00A511C5"/>
    <w:rsid w:val="00A60867"/>
    <w:rsid w:val="00A609B0"/>
    <w:rsid w:val="00A64FD8"/>
    <w:rsid w:val="00A703EC"/>
    <w:rsid w:val="00A72F22"/>
    <w:rsid w:val="00A7360F"/>
    <w:rsid w:val="00A748A6"/>
    <w:rsid w:val="00A769F4"/>
    <w:rsid w:val="00A772ED"/>
    <w:rsid w:val="00A776B4"/>
    <w:rsid w:val="00A81041"/>
    <w:rsid w:val="00A864AC"/>
    <w:rsid w:val="00A9030D"/>
    <w:rsid w:val="00A94361"/>
    <w:rsid w:val="00AA293C"/>
    <w:rsid w:val="00AB2C8E"/>
    <w:rsid w:val="00AC1794"/>
    <w:rsid w:val="00AC1AE9"/>
    <w:rsid w:val="00AC2985"/>
    <w:rsid w:val="00AC5AE2"/>
    <w:rsid w:val="00AD2D4D"/>
    <w:rsid w:val="00AD421D"/>
    <w:rsid w:val="00AD5811"/>
    <w:rsid w:val="00B13E9B"/>
    <w:rsid w:val="00B17F9C"/>
    <w:rsid w:val="00B22F96"/>
    <w:rsid w:val="00B244B4"/>
    <w:rsid w:val="00B25572"/>
    <w:rsid w:val="00B30179"/>
    <w:rsid w:val="00B30325"/>
    <w:rsid w:val="00B339A7"/>
    <w:rsid w:val="00B43842"/>
    <w:rsid w:val="00B4671A"/>
    <w:rsid w:val="00B56E4A"/>
    <w:rsid w:val="00B56E9C"/>
    <w:rsid w:val="00B64B1F"/>
    <w:rsid w:val="00B6553F"/>
    <w:rsid w:val="00B66E5E"/>
    <w:rsid w:val="00B76804"/>
    <w:rsid w:val="00B77D05"/>
    <w:rsid w:val="00B81206"/>
    <w:rsid w:val="00B81E12"/>
    <w:rsid w:val="00B855DD"/>
    <w:rsid w:val="00B9067B"/>
    <w:rsid w:val="00BA06C6"/>
    <w:rsid w:val="00BA5C4F"/>
    <w:rsid w:val="00BA64BF"/>
    <w:rsid w:val="00BB4DDD"/>
    <w:rsid w:val="00BB630A"/>
    <w:rsid w:val="00BB770C"/>
    <w:rsid w:val="00BC2C23"/>
    <w:rsid w:val="00BC74E9"/>
    <w:rsid w:val="00BE09A9"/>
    <w:rsid w:val="00BE0C8E"/>
    <w:rsid w:val="00BE72CB"/>
    <w:rsid w:val="00BF4AB8"/>
    <w:rsid w:val="00BF5011"/>
    <w:rsid w:val="00BF68A8"/>
    <w:rsid w:val="00BF78DC"/>
    <w:rsid w:val="00C05C23"/>
    <w:rsid w:val="00C11A03"/>
    <w:rsid w:val="00C31678"/>
    <w:rsid w:val="00C429C5"/>
    <w:rsid w:val="00C463DD"/>
    <w:rsid w:val="00C4724C"/>
    <w:rsid w:val="00C475FC"/>
    <w:rsid w:val="00C624F7"/>
    <w:rsid w:val="00C629A0"/>
    <w:rsid w:val="00C745C3"/>
    <w:rsid w:val="00C74722"/>
    <w:rsid w:val="00C75905"/>
    <w:rsid w:val="00C87965"/>
    <w:rsid w:val="00C96074"/>
    <w:rsid w:val="00C97136"/>
    <w:rsid w:val="00CB5EC7"/>
    <w:rsid w:val="00CB7DC2"/>
    <w:rsid w:val="00CC0C1C"/>
    <w:rsid w:val="00CC63C0"/>
    <w:rsid w:val="00CD1AB7"/>
    <w:rsid w:val="00CD25AC"/>
    <w:rsid w:val="00CE2C53"/>
    <w:rsid w:val="00CE4A8F"/>
    <w:rsid w:val="00CF207F"/>
    <w:rsid w:val="00CF2EEE"/>
    <w:rsid w:val="00D00828"/>
    <w:rsid w:val="00D018A1"/>
    <w:rsid w:val="00D01E47"/>
    <w:rsid w:val="00D03442"/>
    <w:rsid w:val="00D12273"/>
    <w:rsid w:val="00D2031B"/>
    <w:rsid w:val="00D250B0"/>
    <w:rsid w:val="00D25FE2"/>
    <w:rsid w:val="00D2645C"/>
    <w:rsid w:val="00D35EEF"/>
    <w:rsid w:val="00D41E8D"/>
    <w:rsid w:val="00D43252"/>
    <w:rsid w:val="00D47EEA"/>
    <w:rsid w:val="00D51957"/>
    <w:rsid w:val="00D51DA5"/>
    <w:rsid w:val="00D63C1A"/>
    <w:rsid w:val="00D64D01"/>
    <w:rsid w:val="00D65273"/>
    <w:rsid w:val="00D7195A"/>
    <w:rsid w:val="00D74BEC"/>
    <w:rsid w:val="00D77C93"/>
    <w:rsid w:val="00D87F85"/>
    <w:rsid w:val="00D95303"/>
    <w:rsid w:val="00D978C6"/>
    <w:rsid w:val="00DA3111"/>
    <w:rsid w:val="00DA3C1C"/>
    <w:rsid w:val="00DB0C79"/>
    <w:rsid w:val="00DB3CFB"/>
    <w:rsid w:val="00DC1590"/>
    <w:rsid w:val="00DC29AB"/>
    <w:rsid w:val="00DD3E53"/>
    <w:rsid w:val="00DD6D45"/>
    <w:rsid w:val="00DD7176"/>
    <w:rsid w:val="00E07404"/>
    <w:rsid w:val="00E14201"/>
    <w:rsid w:val="00E14B7C"/>
    <w:rsid w:val="00E1741E"/>
    <w:rsid w:val="00E27346"/>
    <w:rsid w:val="00E3705E"/>
    <w:rsid w:val="00E424E4"/>
    <w:rsid w:val="00E519B1"/>
    <w:rsid w:val="00E60C84"/>
    <w:rsid w:val="00E71BC8"/>
    <w:rsid w:val="00E7260F"/>
    <w:rsid w:val="00E779FC"/>
    <w:rsid w:val="00E802FF"/>
    <w:rsid w:val="00E812B0"/>
    <w:rsid w:val="00E8778C"/>
    <w:rsid w:val="00E96630"/>
    <w:rsid w:val="00EA4C9B"/>
    <w:rsid w:val="00EB2581"/>
    <w:rsid w:val="00EB5997"/>
    <w:rsid w:val="00EC18C2"/>
    <w:rsid w:val="00ED424E"/>
    <w:rsid w:val="00ED7A2A"/>
    <w:rsid w:val="00EF19BA"/>
    <w:rsid w:val="00EF1D7F"/>
    <w:rsid w:val="00EF6416"/>
    <w:rsid w:val="00F07E94"/>
    <w:rsid w:val="00F20C3D"/>
    <w:rsid w:val="00F23BE7"/>
    <w:rsid w:val="00F31D42"/>
    <w:rsid w:val="00F345A2"/>
    <w:rsid w:val="00F37264"/>
    <w:rsid w:val="00F37BAE"/>
    <w:rsid w:val="00F43E9E"/>
    <w:rsid w:val="00F660E5"/>
    <w:rsid w:val="00F7110B"/>
    <w:rsid w:val="00F71DEA"/>
    <w:rsid w:val="00F80CC4"/>
    <w:rsid w:val="00F86558"/>
    <w:rsid w:val="00F9057C"/>
    <w:rsid w:val="00F906D7"/>
    <w:rsid w:val="00F91F25"/>
    <w:rsid w:val="00F93781"/>
    <w:rsid w:val="00F964FD"/>
    <w:rsid w:val="00FA5CBB"/>
    <w:rsid w:val="00FA6B34"/>
    <w:rsid w:val="00FA70AE"/>
    <w:rsid w:val="00FB3ACE"/>
    <w:rsid w:val="00FB613B"/>
    <w:rsid w:val="00FC4D3B"/>
    <w:rsid w:val="00FC68B7"/>
    <w:rsid w:val="00FD31F8"/>
    <w:rsid w:val="00FD332B"/>
    <w:rsid w:val="00FD55A9"/>
    <w:rsid w:val="00FE106A"/>
    <w:rsid w:val="00FE7E6A"/>
    <w:rsid w:val="00FF09D2"/>
    <w:rsid w:val="00FF3EE7"/>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5EB492"/>
  <w15:docId w15:val="{0EF8FC5F-C4C6-4470-916D-51BEC2383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B17F9C"/>
    <w:pPr>
      <w:suppressAutoHyphens/>
      <w:spacing w:line="240" w:lineRule="atLeast"/>
    </w:pPr>
    <w:rPr>
      <w:lang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semiHidden/>
    <w:qFormat/>
    <w:pPr>
      <w:spacing w:line="240" w:lineRule="auto"/>
      <w:outlineLvl w:val="1"/>
    </w:pPr>
  </w:style>
  <w:style w:type="paragraph" w:styleId="Heading3">
    <w:name w:val="heading 3"/>
    <w:basedOn w:val="Normal"/>
    <w:next w:val="Normal"/>
    <w:semiHidden/>
    <w:qFormat/>
    <w:pPr>
      <w:spacing w:line="240" w:lineRule="auto"/>
      <w:outlineLvl w:val="2"/>
    </w:pPr>
  </w:style>
  <w:style w:type="paragraph" w:styleId="Heading4">
    <w:name w:val="heading 4"/>
    <w:basedOn w:val="Normal"/>
    <w:next w:val="Normal"/>
    <w:semiHidden/>
    <w:qFormat/>
    <w:pPr>
      <w:spacing w:line="240" w:lineRule="auto"/>
      <w:outlineLvl w:val="3"/>
    </w:pPr>
  </w:style>
  <w:style w:type="paragraph" w:styleId="Heading5">
    <w:name w:val="heading 5"/>
    <w:basedOn w:val="Normal"/>
    <w:next w:val="Normal"/>
    <w:semiHidden/>
    <w:qFormat/>
    <w:pPr>
      <w:spacing w:line="240" w:lineRule="auto"/>
      <w:outlineLvl w:val="4"/>
    </w:pPr>
  </w:style>
  <w:style w:type="paragraph" w:styleId="Heading6">
    <w:name w:val="heading 6"/>
    <w:basedOn w:val="Normal"/>
    <w:next w:val="Normal"/>
    <w:semiHidden/>
    <w:qFormat/>
    <w:pPr>
      <w:spacing w:line="240" w:lineRule="auto"/>
      <w:outlineLvl w:val="5"/>
    </w:pPr>
  </w:style>
  <w:style w:type="paragraph" w:styleId="Heading7">
    <w:name w:val="heading 7"/>
    <w:basedOn w:val="Normal"/>
    <w:next w:val="Normal"/>
    <w:semiHidden/>
    <w:qFormat/>
    <w:pPr>
      <w:spacing w:line="240" w:lineRule="auto"/>
      <w:outlineLvl w:val="6"/>
    </w:pPr>
  </w:style>
  <w:style w:type="paragraph" w:styleId="Heading8">
    <w:name w:val="heading 8"/>
    <w:basedOn w:val="Normal"/>
    <w:next w:val="Normal"/>
    <w:semiHidden/>
    <w:qFormat/>
    <w:pPr>
      <w:spacing w:line="240" w:lineRule="auto"/>
      <w:outlineLvl w:val="7"/>
    </w:pPr>
  </w:style>
  <w:style w:type="paragraph" w:styleId="Heading9">
    <w:name w:val="heading 9"/>
    <w:basedOn w:val="Normal"/>
    <w:next w:val="Normal"/>
    <w:semiHidden/>
    <w:qFormat/>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B17F9C"/>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basedOn w:val="DefaultParagraphFont"/>
    <w:uiPriority w:val="99"/>
    <w:semiHidden/>
    <w:rPr>
      <w:sz w:val="6"/>
    </w:rPr>
  </w:style>
  <w:style w:type="paragraph" w:styleId="CommentText">
    <w:name w:val="annotation text"/>
    <w:basedOn w:val="Normal"/>
    <w:link w:val="CommentTextChar1"/>
    <w:uiPriority w:val="99"/>
    <w:semiHidden/>
  </w:style>
  <w:style w:type="character" w:styleId="LineNumber">
    <w:name w:val="line number"/>
    <w:basedOn w:val="DefaultParagraphFont"/>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semiHidden/>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semiHidden/>
    <w:qFormat/>
    <w:rsid w:val="008A6C4F"/>
    <w:rPr>
      <w:b/>
      <w:bCs/>
    </w:rPr>
  </w:style>
  <w:style w:type="paragraph" w:styleId="Subtitle">
    <w:name w:val="Subtitle"/>
    <w:basedOn w:val="Normal"/>
    <w:semiHidden/>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95347F"/>
    <w:pPr>
      <w:spacing w:line="240" w:lineRule="auto"/>
    </w:pPr>
    <w:rPr>
      <w:sz w:val="16"/>
    </w:rPr>
  </w:style>
  <w:style w:type="paragraph" w:styleId="Header">
    <w:name w:val="header"/>
    <w:aliases w:val="6_G"/>
    <w:basedOn w:val="Normal"/>
    <w:semiHidden/>
    <w:rsid w:val="00050F6B"/>
    <w:pPr>
      <w:pBdr>
        <w:bottom w:val="single" w:sz="4" w:space="4" w:color="auto"/>
      </w:pBdr>
      <w:spacing w:line="240" w:lineRule="auto"/>
    </w:pPr>
    <w:rPr>
      <w:b/>
      <w:sz w:val="18"/>
    </w:rPr>
  </w:style>
  <w:style w:type="paragraph" w:styleId="BalloonText">
    <w:name w:val="Balloon Text"/>
    <w:basedOn w:val="Normal"/>
    <w:link w:val="BalloonTextChar"/>
    <w:uiPriority w:val="99"/>
    <w:semiHidden/>
    <w:rsid w:val="000F102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F9C"/>
    <w:rPr>
      <w:rFonts w:ascii="Tahoma" w:hAnsi="Tahoma" w:cs="Tahoma"/>
      <w:sz w:val="16"/>
      <w:szCs w:val="16"/>
      <w:lang w:eastAsia="en-US"/>
    </w:rPr>
  </w:style>
  <w:style w:type="character" w:customStyle="1" w:styleId="FootnoteTextChar">
    <w:name w:val="Footnote Text Char"/>
    <w:aliases w:val="5_G Char"/>
    <w:basedOn w:val="DefaultParagraphFont"/>
    <w:link w:val="FootnoteText"/>
    <w:rsid w:val="00B17F9C"/>
    <w:rPr>
      <w:sz w:val="18"/>
      <w:lang w:eastAsia="en-US"/>
    </w:rPr>
  </w:style>
  <w:style w:type="table" w:customStyle="1" w:styleId="TableGrid10">
    <w:name w:val="Table Grid1"/>
    <w:basedOn w:val="TableNormal"/>
    <w:next w:val="TableGrid"/>
    <w:uiPriority w:val="59"/>
    <w:rsid w:val="00B17F9C"/>
    <w:rPr>
      <w:rFonts w:ascii="Calibri" w:eastAsia="Calibri" w:hAnsi="Calibri" w:cs="Arial"/>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aliases w:val="Table_G Char"/>
    <w:basedOn w:val="DefaultParagraphFont"/>
    <w:link w:val="Heading1"/>
    <w:rsid w:val="004B0C37"/>
    <w:rPr>
      <w:lang w:eastAsia="en-US"/>
    </w:rPr>
  </w:style>
  <w:style w:type="character" w:customStyle="1" w:styleId="SingleTxtGChar">
    <w:name w:val="_ Single Txt_G Char"/>
    <w:link w:val="SingleTxtG"/>
    <w:rsid w:val="004B0C37"/>
    <w:rPr>
      <w:lang w:eastAsia="en-US"/>
    </w:rPr>
  </w:style>
  <w:style w:type="character" w:customStyle="1" w:styleId="CommentTextChar">
    <w:name w:val="Comment Text Char"/>
    <w:basedOn w:val="DefaultParagraphFont"/>
    <w:uiPriority w:val="99"/>
    <w:semiHidden/>
    <w:rsid w:val="004B0C3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0C37"/>
    <w:pPr>
      <w:spacing w:line="240" w:lineRule="auto"/>
    </w:pPr>
    <w:rPr>
      <w:b/>
      <w:bCs/>
    </w:rPr>
  </w:style>
  <w:style w:type="character" w:customStyle="1" w:styleId="CommentTextChar1">
    <w:name w:val="Comment Text Char1"/>
    <w:basedOn w:val="DefaultParagraphFont"/>
    <w:link w:val="CommentText"/>
    <w:uiPriority w:val="99"/>
    <w:semiHidden/>
    <w:rsid w:val="004B0C37"/>
    <w:rPr>
      <w:lang w:eastAsia="en-US"/>
    </w:rPr>
  </w:style>
  <w:style w:type="character" w:customStyle="1" w:styleId="CommentSubjectChar">
    <w:name w:val="Comment Subject Char"/>
    <w:basedOn w:val="CommentTextChar1"/>
    <w:link w:val="CommentSubject"/>
    <w:uiPriority w:val="99"/>
    <w:semiHidden/>
    <w:rsid w:val="004B0C37"/>
    <w:rPr>
      <w:b/>
      <w:bCs/>
      <w:lang w:eastAsia="en-US"/>
    </w:rPr>
  </w:style>
  <w:style w:type="paragraph" w:styleId="Revision">
    <w:name w:val="Revision"/>
    <w:hidden/>
    <w:uiPriority w:val="99"/>
    <w:semiHidden/>
    <w:rsid w:val="004B0C3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dohacentre.org"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http://www.adf.org.q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hrc-qa.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www.dicid.org"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HRI.dotm"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0329581683645476"/>
          <c:y val="5.1400554097404488E-2"/>
          <c:w val="0.76614885003781308"/>
          <c:h val="0.8326195683872849"/>
        </c:manualLayout>
      </c:layout>
      <c:barChart>
        <c:barDir val="col"/>
        <c:grouping val="clustered"/>
        <c:varyColors val="0"/>
        <c:ser>
          <c:idx val="1"/>
          <c:order val="0"/>
          <c:tx>
            <c:strRef>
              <c:f>Sheet1!$A$3</c:f>
              <c:strCache>
                <c:ptCount val="1"/>
                <c:pt idx="0">
                  <c:v>السكان(بالالف)</c:v>
                </c:pt>
              </c:strCache>
            </c:strRef>
          </c:tx>
          <c:spPr>
            <a:solidFill>
              <a:schemeClr val="bg2">
                <a:lumMod val="75000"/>
              </a:schemeClr>
            </a:solidFill>
          </c:spPr>
          <c:invertIfNegative val="0"/>
          <c:dLbls>
            <c:numFmt formatCode="#,##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Sheet1!$B$2:$F$2</c:f>
              <c:numCache>
                <c:formatCode>General</c:formatCode>
                <c:ptCount val="5"/>
                <c:pt idx="0">
                  <c:v>2012</c:v>
                </c:pt>
                <c:pt idx="1">
                  <c:v>2013</c:v>
                </c:pt>
                <c:pt idx="2">
                  <c:v>2014</c:v>
                </c:pt>
                <c:pt idx="3">
                  <c:v>2015</c:v>
                </c:pt>
                <c:pt idx="4">
                  <c:v>2016</c:v>
                </c:pt>
              </c:numCache>
            </c:numRef>
          </c:cat>
          <c:val>
            <c:numRef>
              <c:f>Sheet1!$B$3:$F$3</c:f>
              <c:numCache>
                <c:formatCode>General</c:formatCode>
                <c:ptCount val="5"/>
                <c:pt idx="0">
                  <c:v>1833</c:v>
                </c:pt>
                <c:pt idx="1">
                  <c:v>2004</c:v>
                </c:pt>
                <c:pt idx="2">
                  <c:v>2216</c:v>
                </c:pt>
                <c:pt idx="3">
                  <c:v>2438</c:v>
                </c:pt>
                <c:pt idx="4">
                  <c:v>2618</c:v>
                </c:pt>
              </c:numCache>
            </c:numRef>
          </c:val>
          <c:extLst>
            <c:ext xmlns:c16="http://schemas.microsoft.com/office/drawing/2014/chart" uri="{C3380CC4-5D6E-409C-BE32-E72D297353CC}">
              <c16:uniqueId val="{00000000-48E9-4C12-BA8B-0D12FB7FB47A}"/>
            </c:ext>
          </c:extLst>
        </c:ser>
        <c:dLbls>
          <c:showLegendKey val="0"/>
          <c:showVal val="0"/>
          <c:showCatName val="0"/>
          <c:showSerName val="0"/>
          <c:showPercent val="0"/>
          <c:showBubbleSize val="0"/>
        </c:dLbls>
        <c:gapWidth val="100"/>
        <c:axId val="441280992"/>
        <c:axId val="441278640"/>
      </c:barChart>
      <c:catAx>
        <c:axId val="441280992"/>
        <c:scaling>
          <c:orientation val="minMax"/>
        </c:scaling>
        <c:delete val="0"/>
        <c:axPos val="b"/>
        <c:numFmt formatCode="General" sourceLinked="1"/>
        <c:majorTickMark val="none"/>
        <c:minorTickMark val="none"/>
        <c:tickLblPos val="nextTo"/>
        <c:crossAx val="441278640"/>
        <c:crosses val="autoZero"/>
        <c:auto val="1"/>
        <c:lblAlgn val="ctr"/>
        <c:lblOffset val="100"/>
        <c:noMultiLvlLbl val="0"/>
      </c:catAx>
      <c:valAx>
        <c:axId val="441278640"/>
        <c:scaling>
          <c:orientation val="minMax"/>
          <c:max val="2800"/>
          <c:min val="0"/>
        </c:scaling>
        <c:delete val="0"/>
        <c:axPos val="l"/>
        <c:majorGridlines>
          <c:spPr>
            <a:ln>
              <a:solidFill>
                <a:schemeClr val="bg2">
                  <a:lumMod val="90000"/>
                </a:schemeClr>
              </a:solidFill>
            </a:ln>
          </c:spPr>
        </c:majorGridlines>
        <c:title>
          <c:tx>
            <c:rich>
              <a:bodyPr rot="-5400000" vert="horz"/>
              <a:lstStyle/>
              <a:p>
                <a:pPr>
                  <a:defRPr/>
                </a:pPr>
                <a:r>
                  <a:rPr lang="en-GB" b="0"/>
                  <a:t>1,000</a:t>
                </a:r>
                <a:endParaRPr lang="ar-QA" b="0"/>
              </a:p>
            </c:rich>
          </c:tx>
          <c:layout>
            <c:manualLayout>
              <c:xMode val="edge"/>
              <c:yMode val="edge"/>
              <c:x val="6.7549608247021081E-2"/>
              <c:y val="0.40159808284833964"/>
            </c:manualLayout>
          </c:layout>
          <c:overlay val="0"/>
        </c:title>
        <c:numFmt formatCode="#,##0" sourceLinked="0"/>
        <c:majorTickMark val="none"/>
        <c:minorTickMark val="none"/>
        <c:tickLblPos val="nextTo"/>
        <c:crossAx val="441280992"/>
        <c:crosses val="autoZero"/>
        <c:crossBetween val="between"/>
        <c:majorUnit val="400"/>
      </c:valAx>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HRI.dotm</Template>
  <TotalTime>0</TotalTime>
  <Pages>34</Pages>
  <Words>17172</Words>
  <Characters>92931</Characters>
  <Application>Microsoft Office Word</Application>
  <DocSecurity>0</DocSecurity>
  <Lines>2181</Lines>
  <Paragraphs>1090</Paragraphs>
  <ScaleCrop>false</ScaleCrop>
  <HeadingPairs>
    <vt:vector size="2" baseType="variant">
      <vt:variant>
        <vt:lpstr>Title</vt:lpstr>
      </vt:variant>
      <vt:variant>
        <vt:i4>1</vt:i4>
      </vt:variant>
    </vt:vector>
  </HeadingPairs>
  <TitlesOfParts>
    <vt:vector size="1" baseType="lpstr">
      <vt:lpstr>HRI/CORE/QAT/2019</vt:lpstr>
    </vt:vector>
  </TitlesOfParts>
  <Company>CSD</Company>
  <LinksUpToDate>false</LinksUpToDate>
  <CharactersWithSpaces>109281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HRI/CORE/QAT/2019</dc:title>
  <dc:subject>1902460</dc:subject>
  <dc:creator>cg</dc:creator>
  <cp:keywords/>
  <dc:description/>
  <cp:lastModifiedBy>Maria Rosario Corazon Gatmaytan</cp:lastModifiedBy>
  <cp:revision>2</cp:revision>
  <cp:lastPrinted>2019-03-26T15:34:00Z</cp:lastPrinted>
  <dcterms:created xsi:type="dcterms:W3CDTF">2019-03-26T15:35:00Z</dcterms:created>
  <dcterms:modified xsi:type="dcterms:W3CDTF">2019-03-26T15:35:00Z</dcterms:modified>
</cp:coreProperties>
</file>