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10C" w:rsidRPr="007C184B" w:rsidRDefault="0096710C" w:rsidP="0096710C">
      <w:pPr>
        <w:spacing w:line="240" w:lineRule="auto"/>
        <w:rPr>
          <w:sz w:val="6"/>
          <w:lang w:val="es-ES_tradnl"/>
        </w:rPr>
        <w:sectPr w:rsidR="0096710C" w:rsidRPr="007C184B" w:rsidSect="004A28BB">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7C184B">
        <w:rPr>
          <w:rStyle w:val="CommentReference"/>
          <w:szCs w:val="20"/>
          <w:lang w:val="es-ES_tradnl"/>
        </w:rPr>
        <w:commentReference w:id="0"/>
      </w:r>
    </w:p>
    <w:p w:rsidR="0096710C" w:rsidRPr="007C184B" w:rsidRDefault="0096710C" w:rsidP="004012F7">
      <w:pPr>
        <w:pStyle w:val="SingleTxt"/>
        <w:spacing w:after="0" w:line="120" w:lineRule="exact"/>
        <w:rPr>
          <w:sz w:val="10"/>
          <w:lang w:val="es-ES_tradnl"/>
        </w:rPr>
      </w:pPr>
    </w:p>
    <w:p w:rsidR="004012F7" w:rsidRPr="007C184B" w:rsidRDefault="004012F7" w:rsidP="004012F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7C184B">
        <w:rPr>
          <w:lang w:val="es-ES_tradnl"/>
        </w:rPr>
        <w:tab/>
      </w:r>
      <w:r w:rsidRPr="007C184B">
        <w:rPr>
          <w:lang w:val="es-ES_tradnl"/>
        </w:rPr>
        <w:tab/>
        <w:t xml:space="preserve">Documento básico común que forma parte integrante </w:t>
      </w:r>
      <w:r w:rsidRPr="007C184B">
        <w:rPr>
          <w:lang w:val="es-ES_tradnl"/>
        </w:rPr>
        <w:br/>
        <w:t xml:space="preserve">de los informes de los Estados partes </w:t>
      </w:r>
    </w:p>
    <w:p w:rsidR="004012F7" w:rsidRPr="007C184B" w:rsidRDefault="004012F7" w:rsidP="004012F7">
      <w:pPr>
        <w:pStyle w:val="SingleTxt"/>
        <w:spacing w:after="0" w:line="120" w:lineRule="exact"/>
        <w:rPr>
          <w:sz w:val="10"/>
          <w:lang w:val="es-ES_tradnl"/>
        </w:rPr>
      </w:pPr>
    </w:p>
    <w:p w:rsidR="004012F7" w:rsidRPr="007C184B" w:rsidRDefault="004012F7" w:rsidP="004012F7">
      <w:pPr>
        <w:pStyle w:val="SingleTxt"/>
        <w:spacing w:after="0" w:line="120" w:lineRule="exact"/>
        <w:rPr>
          <w:sz w:val="10"/>
          <w:lang w:val="es-ES_tradnl"/>
        </w:rPr>
      </w:pPr>
    </w:p>
    <w:p w:rsidR="004012F7" w:rsidRPr="007C184B" w:rsidRDefault="004012F7" w:rsidP="004012F7">
      <w:pPr>
        <w:framePr w:w="9792" w:h="432" w:hSpace="141" w:wrap="around" w:hAnchor="page" w:x="1210" w:yAlign="bottom"/>
        <w:spacing w:line="240" w:lineRule="auto"/>
        <w:rPr>
          <w:sz w:val="10"/>
          <w:lang w:val="es-ES_tradnl"/>
        </w:rPr>
      </w:pPr>
      <w:r w:rsidRPr="007C184B">
        <w:rPr>
          <w:noProof/>
          <w:w w:val="100"/>
          <w:sz w:val="10"/>
          <w:lang w:val="es-ES_tradnl" w:eastAsia="es-US"/>
        </w:rPr>
        <w:pict>
          <v:line id="_x0000_s1026" style="position:absolute;z-index:1;mso-position-horizontal-relative:page" from="108pt,-1pt" to="180pt,-1pt" strokeweight=".25pt">
            <w10:wrap anchorx="page"/>
          </v:line>
        </w:pict>
      </w:r>
    </w:p>
    <w:p w:rsidR="004012F7" w:rsidRPr="007C184B" w:rsidRDefault="004012F7" w:rsidP="004012F7">
      <w:pPr>
        <w:framePr w:w="9792" w:h="432" w:hSpace="141" w:wrap="around" w:hAnchor="page" w:x="1210" w:yAlign="bottom"/>
        <w:spacing w:line="240" w:lineRule="auto"/>
        <w:rPr>
          <w:sz w:val="6"/>
          <w:lang w:val="es-ES_tradnl"/>
        </w:rPr>
      </w:pPr>
    </w:p>
    <w:p w:rsidR="004012F7" w:rsidRPr="007C184B" w:rsidRDefault="004012F7" w:rsidP="004012F7">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lang w:val="es-ES_tradnl"/>
        </w:rPr>
      </w:pPr>
      <w:r w:rsidRPr="007C184B">
        <w:rPr>
          <w:sz w:val="17"/>
          <w:lang w:val="es-ES_tradnl"/>
        </w:rPr>
        <w:tab/>
        <w:t>*</w:t>
      </w:r>
      <w:r w:rsidRPr="007C184B">
        <w:rPr>
          <w:sz w:val="17"/>
          <w:lang w:val="es-ES_tradnl"/>
        </w:rPr>
        <w:tab/>
        <w:t>El presente documento se publica sin haber sido objeto de revisión editorial oficial.</w:t>
      </w:r>
    </w:p>
    <w:p w:rsidR="004012F7" w:rsidRPr="007C184B" w:rsidRDefault="004012F7" w:rsidP="004012F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7C184B">
        <w:rPr>
          <w:lang w:val="es-ES_tradnl"/>
        </w:rPr>
        <w:tab/>
      </w:r>
      <w:r w:rsidRPr="007C184B">
        <w:rPr>
          <w:lang w:val="es-ES_tradnl"/>
        </w:rPr>
        <w:tab/>
        <w:t>Liberia</w:t>
      </w:r>
      <w:r w:rsidRPr="007C184B">
        <w:rPr>
          <w:b w:val="0"/>
          <w:sz w:val="20"/>
          <w:szCs w:val="20"/>
          <w:lang w:val="es-ES_tradnl"/>
        </w:rPr>
        <w:t>*</w:t>
      </w:r>
    </w:p>
    <w:p w:rsidR="004012F7" w:rsidRPr="007C184B" w:rsidRDefault="004012F7" w:rsidP="004012F7">
      <w:pPr>
        <w:pStyle w:val="SingleTxt"/>
        <w:spacing w:after="0" w:line="120" w:lineRule="exact"/>
        <w:rPr>
          <w:sz w:val="10"/>
          <w:lang w:val="es-ES_tradnl"/>
        </w:rPr>
      </w:pPr>
    </w:p>
    <w:p w:rsidR="004012F7" w:rsidRPr="007C184B" w:rsidRDefault="004012F7" w:rsidP="004012F7">
      <w:pPr>
        <w:pStyle w:val="SingleTxt"/>
        <w:spacing w:after="0" w:line="120" w:lineRule="exact"/>
        <w:rPr>
          <w:sz w:val="10"/>
          <w:lang w:val="es-ES_tradnl"/>
        </w:rPr>
      </w:pPr>
    </w:p>
    <w:p w:rsidR="00990402" w:rsidRPr="007C184B" w:rsidRDefault="004012F7" w:rsidP="004012F7">
      <w:pPr>
        <w:pStyle w:val="SingleTxt"/>
        <w:jc w:val="right"/>
        <w:rPr>
          <w:lang w:val="es-ES_tradnl"/>
        </w:rPr>
      </w:pPr>
      <w:r w:rsidRPr="007C184B">
        <w:rPr>
          <w:lang w:val="es-ES_tradnl"/>
        </w:rPr>
        <w:t>[Fecha de recepción: 17 de marzo de 2014]</w:t>
      </w:r>
    </w:p>
    <w:p w:rsidR="005E145A" w:rsidRPr="005E145A" w:rsidRDefault="005E145A" w:rsidP="005E145A">
      <w:pPr>
        <w:pStyle w:val="SingleTxt"/>
        <w:spacing w:after="0" w:line="120" w:lineRule="exact"/>
        <w:rPr>
          <w:sz w:val="10"/>
          <w:lang w:val="es-ES_tradnl"/>
        </w:rPr>
      </w:pPr>
    </w:p>
    <w:p w:rsidR="005E145A" w:rsidRPr="005E145A" w:rsidRDefault="005E145A" w:rsidP="005E145A">
      <w:pPr>
        <w:pStyle w:val="SingleTxt"/>
        <w:spacing w:after="0" w:line="120" w:lineRule="exact"/>
        <w:rPr>
          <w:sz w:val="10"/>
          <w:lang w:val="es-ES_tradnl"/>
        </w:rPr>
      </w:pPr>
    </w:p>
    <w:p w:rsidR="005E145A" w:rsidRPr="005E145A" w:rsidRDefault="005E145A" w:rsidP="005E145A">
      <w:pPr>
        <w:pStyle w:val="SingleTxt"/>
        <w:spacing w:after="0" w:line="120" w:lineRule="exact"/>
        <w:rPr>
          <w:sz w:val="10"/>
          <w:lang w:val="es-ES_tradnl"/>
        </w:rPr>
      </w:pPr>
    </w:p>
    <w:p w:rsidR="004012F7" w:rsidRPr="007C184B" w:rsidRDefault="005E145A" w:rsidP="004012F7">
      <w:pPr>
        <w:pStyle w:val="HCh"/>
        <w:spacing w:after="120"/>
        <w:rPr>
          <w:b w:val="0"/>
          <w:lang w:val="es-ES_tradnl"/>
        </w:rPr>
      </w:pPr>
      <w:r>
        <w:rPr>
          <w:b w:val="0"/>
          <w:lang w:val="es-ES_tradnl"/>
        </w:rPr>
        <w:br w:type="page"/>
      </w:r>
      <w:r w:rsidR="004012F7" w:rsidRPr="007C184B">
        <w:rPr>
          <w:b w:val="0"/>
          <w:lang w:val="es-ES_tradnl"/>
        </w:rPr>
        <w:t>Índice</w:t>
      </w:r>
    </w:p>
    <w:tbl>
      <w:tblPr>
        <w:tblW w:w="9902" w:type="dxa"/>
        <w:tblLayout w:type="fixed"/>
        <w:tblCellMar>
          <w:left w:w="0" w:type="dxa"/>
          <w:right w:w="0" w:type="dxa"/>
        </w:tblCellMar>
        <w:tblLook w:val="0000"/>
      </w:tblPr>
      <w:tblGrid>
        <w:gridCol w:w="1060"/>
        <w:gridCol w:w="7056"/>
        <w:gridCol w:w="994"/>
        <w:gridCol w:w="792"/>
      </w:tblGrid>
      <w:tr w:rsidR="004012F7" w:rsidRPr="007C184B" w:rsidTr="004012F7">
        <w:tblPrEx>
          <w:tblCellMar>
            <w:top w:w="0" w:type="dxa"/>
            <w:bottom w:w="0" w:type="dxa"/>
          </w:tblCellMar>
        </w:tblPrEx>
        <w:tc>
          <w:tcPr>
            <w:tcW w:w="1060" w:type="dxa"/>
            <w:shd w:val="clear" w:color="auto" w:fill="auto"/>
          </w:tcPr>
          <w:p w:rsidR="004012F7" w:rsidRPr="007C184B" w:rsidRDefault="004012F7" w:rsidP="004012F7">
            <w:pPr>
              <w:spacing w:after="120" w:line="240" w:lineRule="auto"/>
              <w:jc w:val="right"/>
              <w:rPr>
                <w:i/>
                <w:sz w:val="14"/>
                <w:lang w:val="es-ES_tradnl"/>
              </w:rPr>
            </w:pPr>
          </w:p>
        </w:tc>
        <w:tc>
          <w:tcPr>
            <w:tcW w:w="7056" w:type="dxa"/>
            <w:shd w:val="clear" w:color="auto" w:fill="auto"/>
          </w:tcPr>
          <w:p w:rsidR="004012F7" w:rsidRPr="007C184B" w:rsidRDefault="004012F7" w:rsidP="004012F7">
            <w:pPr>
              <w:spacing w:after="120" w:line="240" w:lineRule="auto"/>
              <w:rPr>
                <w:i/>
                <w:sz w:val="14"/>
                <w:lang w:val="es-ES_tradnl"/>
              </w:rPr>
            </w:pPr>
          </w:p>
        </w:tc>
        <w:tc>
          <w:tcPr>
            <w:tcW w:w="994" w:type="dxa"/>
            <w:shd w:val="clear" w:color="auto" w:fill="auto"/>
          </w:tcPr>
          <w:p w:rsidR="004012F7" w:rsidRPr="007C184B" w:rsidRDefault="004012F7" w:rsidP="004012F7">
            <w:pPr>
              <w:spacing w:after="120" w:line="240" w:lineRule="auto"/>
              <w:jc w:val="right"/>
              <w:rPr>
                <w:i/>
                <w:sz w:val="14"/>
                <w:lang w:val="es-ES_tradnl"/>
              </w:rPr>
            </w:pPr>
          </w:p>
        </w:tc>
        <w:tc>
          <w:tcPr>
            <w:tcW w:w="792" w:type="dxa"/>
            <w:shd w:val="clear" w:color="auto" w:fill="auto"/>
          </w:tcPr>
          <w:p w:rsidR="004012F7" w:rsidRPr="007C184B" w:rsidRDefault="004012F7" w:rsidP="004012F7">
            <w:pPr>
              <w:spacing w:after="120" w:line="240" w:lineRule="auto"/>
              <w:jc w:val="right"/>
              <w:rPr>
                <w:i/>
                <w:sz w:val="14"/>
                <w:lang w:val="es-ES_tradnl"/>
              </w:rPr>
            </w:pPr>
            <w:r w:rsidRPr="007C184B">
              <w:rPr>
                <w:i/>
                <w:sz w:val="14"/>
                <w:lang w:val="es-ES_tradnl"/>
              </w:rPr>
              <w:t>Página</w:t>
            </w:r>
          </w:p>
        </w:tc>
      </w:tr>
      <w:tr w:rsidR="004012F7" w:rsidRPr="007C184B" w:rsidTr="004012F7">
        <w:tblPrEx>
          <w:tblCellMar>
            <w:top w:w="0" w:type="dxa"/>
            <w:bottom w:w="0" w:type="dxa"/>
          </w:tblCellMar>
        </w:tblPrEx>
        <w:tc>
          <w:tcPr>
            <w:tcW w:w="9110" w:type="dxa"/>
            <w:gridSpan w:val="3"/>
            <w:shd w:val="clear" w:color="auto" w:fill="auto"/>
          </w:tcPr>
          <w:p w:rsidR="004012F7" w:rsidRPr="007C184B" w:rsidRDefault="004012F7" w:rsidP="00725D21">
            <w:pPr>
              <w:numPr>
                <w:ilvl w:val="0"/>
                <w:numId w:val="4"/>
              </w:numPr>
              <w:tabs>
                <w:tab w:val="clear" w:pos="1296"/>
                <w:tab w:val="right" w:pos="1080"/>
                <w:tab w:val="left" w:pos="1300"/>
                <w:tab w:val="left" w:pos="1740"/>
                <w:tab w:val="left" w:pos="2180"/>
                <w:tab w:val="left" w:pos="2620"/>
                <w:tab w:val="left" w:pos="3060"/>
                <w:tab w:val="left" w:pos="3500"/>
                <w:tab w:val="left" w:pos="3940"/>
                <w:tab w:val="right" w:leader="dot" w:pos="9245"/>
              </w:tabs>
              <w:spacing w:after="120"/>
              <w:rPr>
                <w:lang w:val="es-ES_tradnl"/>
              </w:rPr>
            </w:pPr>
            <w:r w:rsidRPr="007C184B">
              <w:rPr>
                <w:lang w:val="es-ES_tradnl"/>
              </w:rPr>
              <w:tab/>
            </w:r>
            <w:r w:rsidR="005E145A" w:rsidRPr="007C184B">
              <w:rPr>
                <w:lang w:val="es-ES_tradnl"/>
              </w:rPr>
              <w:t>Información general sobre Liberia</w:t>
            </w:r>
            <w:r w:rsidR="00725D21">
              <w:rPr>
                <w:spacing w:val="60"/>
                <w:sz w:val="17"/>
                <w:lang w:val="es-ES_tradnl"/>
              </w:rPr>
              <w:tab/>
            </w:r>
          </w:p>
        </w:tc>
        <w:tc>
          <w:tcPr>
            <w:tcW w:w="792" w:type="dxa"/>
            <w:shd w:val="clear" w:color="auto" w:fill="auto"/>
            <w:vAlign w:val="bottom"/>
          </w:tcPr>
          <w:p w:rsidR="004012F7" w:rsidRPr="007C184B" w:rsidRDefault="008158EA" w:rsidP="004012F7">
            <w:pPr>
              <w:spacing w:after="120"/>
              <w:jc w:val="right"/>
              <w:rPr>
                <w:lang w:val="es-ES_tradnl"/>
              </w:rPr>
            </w:pPr>
            <w:r>
              <w:rPr>
                <w:lang w:val="es-ES_tradnl"/>
              </w:rPr>
              <w:t>3</w:t>
            </w:r>
          </w:p>
        </w:tc>
      </w:tr>
      <w:tr w:rsidR="004012F7" w:rsidRPr="007C184B" w:rsidTr="004012F7">
        <w:tblPrEx>
          <w:tblCellMar>
            <w:top w:w="0" w:type="dxa"/>
            <w:bottom w:w="0" w:type="dxa"/>
          </w:tblCellMar>
        </w:tblPrEx>
        <w:tc>
          <w:tcPr>
            <w:tcW w:w="9110" w:type="dxa"/>
            <w:gridSpan w:val="3"/>
            <w:shd w:val="clear" w:color="auto" w:fill="auto"/>
          </w:tcPr>
          <w:p w:rsidR="004012F7" w:rsidRPr="007C184B" w:rsidRDefault="005E145A" w:rsidP="00725D21">
            <w:pPr>
              <w:numPr>
                <w:ilvl w:val="1"/>
                <w:numId w:val="4"/>
              </w:numPr>
              <w:tabs>
                <w:tab w:val="clear" w:pos="1728"/>
                <w:tab w:val="right" w:pos="1080"/>
                <w:tab w:val="left" w:pos="1300"/>
                <w:tab w:val="left" w:pos="1740"/>
                <w:tab w:val="left" w:pos="2180"/>
                <w:tab w:val="right" w:leader="dot" w:pos="9245"/>
              </w:tabs>
              <w:spacing w:after="120"/>
              <w:rPr>
                <w:lang w:val="es-ES_tradnl"/>
              </w:rPr>
            </w:pPr>
            <w:r w:rsidRPr="007C184B">
              <w:rPr>
                <w:lang w:val="es-ES_tradnl"/>
              </w:rPr>
              <w:t>Geografía</w:t>
            </w:r>
            <w:r w:rsidR="00725D21">
              <w:rPr>
                <w:spacing w:val="60"/>
                <w:sz w:val="17"/>
                <w:lang w:val="es-ES_tradnl"/>
              </w:rPr>
              <w:tab/>
            </w:r>
          </w:p>
        </w:tc>
        <w:tc>
          <w:tcPr>
            <w:tcW w:w="792" w:type="dxa"/>
            <w:shd w:val="clear" w:color="auto" w:fill="auto"/>
            <w:vAlign w:val="bottom"/>
          </w:tcPr>
          <w:p w:rsidR="004012F7" w:rsidRPr="007C184B" w:rsidRDefault="008158EA" w:rsidP="004012F7">
            <w:pPr>
              <w:spacing w:after="120"/>
              <w:jc w:val="right"/>
              <w:rPr>
                <w:lang w:val="es-ES_tradnl"/>
              </w:rPr>
            </w:pPr>
            <w:r>
              <w:rPr>
                <w:lang w:val="es-ES_tradnl"/>
              </w:rPr>
              <w:t>3</w:t>
            </w:r>
          </w:p>
        </w:tc>
      </w:tr>
      <w:tr w:rsidR="004012F7" w:rsidRPr="007C184B" w:rsidTr="004012F7">
        <w:tblPrEx>
          <w:tblCellMar>
            <w:top w:w="0" w:type="dxa"/>
            <w:bottom w:w="0" w:type="dxa"/>
          </w:tblCellMar>
        </w:tblPrEx>
        <w:tc>
          <w:tcPr>
            <w:tcW w:w="9110" w:type="dxa"/>
            <w:gridSpan w:val="3"/>
            <w:shd w:val="clear" w:color="auto" w:fill="auto"/>
          </w:tcPr>
          <w:p w:rsidR="004012F7" w:rsidRPr="007C184B" w:rsidRDefault="005E145A" w:rsidP="00725D21">
            <w:pPr>
              <w:numPr>
                <w:ilvl w:val="1"/>
                <w:numId w:val="4"/>
              </w:numPr>
              <w:tabs>
                <w:tab w:val="clear" w:pos="1728"/>
                <w:tab w:val="right" w:pos="1080"/>
                <w:tab w:val="left" w:pos="1300"/>
                <w:tab w:val="left" w:pos="1740"/>
                <w:tab w:val="left" w:pos="2180"/>
                <w:tab w:val="right" w:leader="dot" w:pos="9245"/>
              </w:tabs>
              <w:spacing w:after="120"/>
              <w:rPr>
                <w:lang w:val="es-ES_tradnl"/>
              </w:rPr>
            </w:pPr>
            <w:r w:rsidRPr="007C184B">
              <w:rPr>
                <w:lang w:val="es-ES_tradnl"/>
              </w:rPr>
              <w:t>Clima</w:t>
            </w:r>
            <w:r w:rsidR="00725D21">
              <w:rPr>
                <w:spacing w:val="60"/>
                <w:sz w:val="17"/>
                <w:lang w:val="es-ES_tradnl"/>
              </w:rPr>
              <w:tab/>
            </w:r>
          </w:p>
        </w:tc>
        <w:tc>
          <w:tcPr>
            <w:tcW w:w="792" w:type="dxa"/>
            <w:shd w:val="clear" w:color="auto" w:fill="auto"/>
            <w:vAlign w:val="bottom"/>
          </w:tcPr>
          <w:p w:rsidR="004012F7" w:rsidRPr="007C184B" w:rsidRDefault="008158EA" w:rsidP="004012F7">
            <w:pPr>
              <w:spacing w:after="120"/>
              <w:jc w:val="right"/>
              <w:rPr>
                <w:lang w:val="es-ES_tradnl"/>
              </w:rPr>
            </w:pPr>
            <w:r>
              <w:rPr>
                <w:lang w:val="es-ES_tradnl"/>
              </w:rPr>
              <w:t>3</w:t>
            </w:r>
          </w:p>
        </w:tc>
      </w:tr>
      <w:tr w:rsidR="004012F7" w:rsidRPr="007C184B" w:rsidTr="004012F7">
        <w:tblPrEx>
          <w:tblCellMar>
            <w:top w:w="0" w:type="dxa"/>
            <w:bottom w:w="0" w:type="dxa"/>
          </w:tblCellMar>
        </w:tblPrEx>
        <w:tc>
          <w:tcPr>
            <w:tcW w:w="9110" w:type="dxa"/>
            <w:gridSpan w:val="3"/>
            <w:shd w:val="clear" w:color="auto" w:fill="auto"/>
          </w:tcPr>
          <w:p w:rsidR="004012F7" w:rsidRPr="007C184B" w:rsidRDefault="005E145A" w:rsidP="00725D21">
            <w:pPr>
              <w:numPr>
                <w:ilvl w:val="1"/>
                <w:numId w:val="4"/>
              </w:numPr>
              <w:tabs>
                <w:tab w:val="clear" w:pos="1728"/>
                <w:tab w:val="right" w:pos="1080"/>
                <w:tab w:val="left" w:pos="1300"/>
                <w:tab w:val="left" w:pos="1740"/>
                <w:tab w:val="left" w:pos="2180"/>
                <w:tab w:val="left" w:pos="2620"/>
                <w:tab w:val="left" w:pos="3060"/>
                <w:tab w:val="left" w:pos="3500"/>
                <w:tab w:val="left" w:pos="3940"/>
                <w:tab w:val="right" w:leader="dot" w:pos="9245"/>
              </w:tabs>
              <w:spacing w:after="120"/>
              <w:rPr>
                <w:lang w:val="es-ES_tradnl"/>
              </w:rPr>
            </w:pPr>
            <w:r w:rsidRPr="007C184B">
              <w:rPr>
                <w:lang w:val="es-ES_tradnl"/>
              </w:rPr>
              <w:t>Grupos étnicos y lingüísticos</w:t>
            </w:r>
            <w:r w:rsidR="00725D21">
              <w:rPr>
                <w:spacing w:val="60"/>
                <w:sz w:val="17"/>
                <w:lang w:val="es-ES_tradnl"/>
              </w:rPr>
              <w:tab/>
            </w:r>
          </w:p>
        </w:tc>
        <w:tc>
          <w:tcPr>
            <w:tcW w:w="792" w:type="dxa"/>
            <w:shd w:val="clear" w:color="auto" w:fill="auto"/>
            <w:vAlign w:val="bottom"/>
          </w:tcPr>
          <w:p w:rsidR="004012F7" w:rsidRPr="007C184B" w:rsidRDefault="008158EA" w:rsidP="004012F7">
            <w:pPr>
              <w:spacing w:after="120"/>
              <w:jc w:val="right"/>
              <w:rPr>
                <w:lang w:val="es-ES_tradnl"/>
              </w:rPr>
            </w:pPr>
            <w:r>
              <w:rPr>
                <w:lang w:val="es-ES_tradnl"/>
              </w:rPr>
              <w:t>3</w:t>
            </w:r>
          </w:p>
        </w:tc>
      </w:tr>
      <w:tr w:rsidR="004012F7" w:rsidRPr="007C184B" w:rsidTr="004012F7">
        <w:tblPrEx>
          <w:tblCellMar>
            <w:top w:w="0" w:type="dxa"/>
            <w:bottom w:w="0" w:type="dxa"/>
          </w:tblCellMar>
        </w:tblPrEx>
        <w:tc>
          <w:tcPr>
            <w:tcW w:w="9110" w:type="dxa"/>
            <w:gridSpan w:val="3"/>
            <w:shd w:val="clear" w:color="auto" w:fill="auto"/>
          </w:tcPr>
          <w:p w:rsidR="004012F7" w:rsidRPr="007C184B" w:rsidRDefault="004012F7" w:rsidP="00725D21">
            <w:pPr>
              <w:numPr>
                <w:ilvl w:val="0"/>
                <w:numId w:val="4"/>
              </w:numPr>
              <w:tabs>
                <w:tab w:val="clear" w:pos="1296"/>
                <w:tab w:val="right" w:pos="1080"/>
                <w:tab w:val="left" w:pos="1300"/>
                <w:tab w:val="left" w:pos="1740"/>
                <w:tab w:val="left" w:pos="2180"/>
                <w:tab w:val="left" w:pos="2620"/>
                <w:tab w:val="left" w:pos="3060"/>
                <w:tab w:val="left" w:pos="3500"/>
                <w:tab w:val="right" w:leader="dot" w:pos="9245"/>
              </w:tabs>
              <w:spacing w:after="120"/>
              <w:rPr>
                <w:lang w:val="es-ES_tradnl"/>
              </w:rPr>
            </w:pPr>
            <w:r w:rsidRPr="007C184B">
              <w:rPr>
                <w:lang w:val="es-ES_tradnl"/>
              </w:rPr>
              <w:tab/>
            </w:r>
            <w:r w:rsidR="005E145A" w:rsidRPr="007C184B">
              <w:rPr>
                <w:lang w:val="es-ES_tradnl"/>
              </w:rPr>
              <w:t>Características demográficas</w:t>
            </w:r>
            <w:r w:rsidR="00725D21">
              <w:rPr>
                <w:spacing w:val="60"/>
                <w:sz w:val="17"/>
                <w:lang w:val="es-ES_tradnl"/>
              </w:rPr>
              <w:tab/>
            </w:r>
          </w:p>
        </w:tc>
        <w:tc>
          <w:tcPr>
            <w:tcW w:w="792" w:type="dxa"/>
            <w:shd w:val="clear" w:color="auto" w:fill="auto"/>
            <w:vAlign w:val="bottom"/>
          </w:tcPr>
          <w:p w:rsidR="004012F7" w:rsidRPr="007C184B" w:rsidRDefault="008158EA" w:rsidP="004012F7">
            <w:pPr>
              <w:spacing w:after="120"/>
              <w:jc w:val="right"/>
              <w:rPr>
                <w:lang w:val="es-ES_tradnl"/>
              </w:rPr>
            </w:pPr>
            <w:r>
              <w:rPr>
                <w:lang w:val="es-ES_tradnl"/>
              </w:rPr>
              <w:t>4</w:t>
            </w:r>
          </w:p>
        </w:tc>
      </w:tr>
      <w:tr w:rsidR="004012F7" w:rsidRPr="007C184B" w:rsidTr="004012F7">
        <w:tblPrEx>
          <w:tblCellMar>
            <w:top w:w="0" w:type="dxa"/>
            <w:bottom w:w="0" w:type="dxa"/>
          </w:tblCellMar>
        </w:tblPrEx>
        <w:tc>
          <w:tcPr>
            <w:tcW w:w="9110" w:type="dxa"/>
            <w:gridSpan w:val="3"/>
            <w:shd w:val="clear" w:color="auto" w:fill="auto"/>
          </w:tcPr>
          <w:p w:rsidR="004012F7" w:rsidRPr="007C184B" w:rsidRDefault="005E145A" w:rsidP="00725D21">
            <w:pPr>
              <w:numPr>
                <w:ilvl w:val="1"/>
                <w:numId w:val="4"/>
              </w:numPr>
              <w:tabs>
                <w:tab w:val="clear" w:pos="1728"/>
                <w:tab w:val="right" w:pos="1080"/>
                <w:tab w:val="left" w:pos="1300"/>
                <w:tab w:val="left" w:pos="1740"/>
                <w:tab w:val="left" w:pos="2180"/>
                <w:tab w:val="left" w:pos="2620"/>
                <w:tab w:val="left" w:pos="3060"/>
                <w:tab w:val="left" w:pos="3500"/>
                <w:tab w:val="left" w:pos="3940"/>
                <w:tab w:val="right" w:leader="dot" w:pos="9245"/>
              </w:tabs>
              <w:spacing w:after="120"/>
              <w:rPr>
                <w:lang w:val="es-ES_tradnl"/>
              </w:rPr>
            </w:pPr>
            <w:r w:rsidRPr="007C184B">
              <w:rPr>
                <w:lang w:val="es-ES_tradnl"/>
              </w:rPr>
              <w:t>Perfil de género por sector</w:t>
            </w:r>
            <w:r w:rsidR="00725D21">
              <w:rPr>
                <w:spacing w:val="60"/>
                <w:sz w:val="17"/>
                <w:lang w:val="es-ES_tradnl"/>
              </w:rPr>
              <w:tab/>
            </w:r>
          </w:p>
        </w:tc>
        <w:tc>
          <w:tcPr>
            <w:tcW w:w="792" w:type="dxa"/>
            <w:shd w:val="clear" w:color="auto" w:fill="auto"/>
            <w:vAlign w:val="bottom"/>
          </w:tcPr>
          <w:p w:rsidR="004012F7" w:rsidRPr="007C184B" w:rsidRDefault="008158EA" w:rsidP="004012F7">
            <w:pPr>
              <w:spacing w:after="120"/>
              <w:jc w:val="right"/>
              <w:rPr>
                <w:lang w:val="es-ES_tradnl"/>
              </w:rPr>
            </w:pPr>
            <w:r>
              <w:rPr>
                <w:lang w:val="es-ES_tradnl"/>
              </w:rPr>
              <w:t>4</w:t>
            </w:r>
          </w:p>
        </w:tc>
      </w:tr>
      <w:tr w:rsidR="004012F7" w:rsidRPr="007C184B" w:rsidTr="004012F7">
        <w:tblPrEx>
          <w:tblCellMar>
            <w:top w:w="0" w:type="dxa"/>
            <w:bottom w:w="0" w:type="dxa"/>
          </w:tblCellMar>
        </w:tblPrEx>
        <w:tc>
          <w:tcPr>
            <w:tcW w:w="9110" w:type="dxa"/>
            <w:gridSpan w:val="3"/>
            <w:shd w:val="clear" w:color="auto" w:fill="auto"/>
          </w:tcPr>
          <w:p w:rsidR="004012F7" w:rsidRPr="007C184B" w:rsidRDefault="005E145A" w:rsidP="00725D21">
            <w:pPr>
              <w:numPr>
                <w:ilvl w:val="1"/>
                <w:numId w:val="4"/>
              </w:numPr>
              <w:tabs>
                <w:tab w:val="clear" w:pos="1728"/>
                <w:tab w:val="right" w:pos="1080"/>
                <w:tab w:val="left" w:pos="1300"/>
                <w:tab w:val="left" w:pos="1740"/>
                <w:tab w:val="left" w:pos="2180"/>
                <w:tab w:val="left" w:pos="2620"/>
                <w:tab w:val="left" w:pos="3060"/>
                <w:tab w:val="left" w:pos="3500"/>
                <w:tab w:val="left" w:pos="3940"/>
                <w:tab w:val="left" w:pos="4380"/>
                <w:tab w:val="right" w:leader="dot" w:pos="9245"/>
              </w:tabs>
              <w:spacing w:after="120"/>
              <w:rPr>
                <w:lang w:val="es-ES_tradnl"/>
              </w:rPr>
            </w:pPr>
            <w:r w:rsidRPr="007C184B">
              <w:rPr>
                <w:lang w:val="es-ES_tradnl"/>
              </w:rPr>
              <w:t>Cuadro sobre el perfil de género</w:t>
            </w:r>
            <w:r w:rsidR="00725D21">
              <w:rPr>
                <w:spacing w:val="60"/>
                <w:sz w:val="17"/>
                <w:lang w:val="es-ES_tradnl"/>
              </w:rPr>
              <w:tab/>
            </w:r>
          </w:p>
        </w:tc>
        <w:tc>
          <w:tcPr>
            <w:tcW w:w="792" w:type="dxa"/>
            <w:shd w:val="clear" w:color="auto" w:fill="auto"/>
            <w:vAlign w:val="bottom"/>
          </w:tcPr>
          <w:p w:rsidR="004012F7" w:rsidRPr="007C184B" w:rsidRDefault="008158EA" w:rsidP="004012F7">
            <w:pPr>
              <w:spacing w:after="120"/>
              <w:jc w:val="right"/>
              <w:rPr>
                <w:lang w:val="es-ES_tradnl"/>
              </w:rPr>
            </w:pPr>
            <w:r>
              <w:rPr>
                <w:lang w:val="es-ES_tradnl"/>
              </w:rPr>
              <w:t>4</w:t>
            </w:r>
          </w:p>
        </w:tc>
      </w:tr>
      <w:tr w:rsidR="004012F7" w:rsidRPr="007C184B" w:rsidTr="004012F7">
        <w:tblPrEx>
          <w:tblCellMar>
            <w:top w:w="0" w:type="dxa"/>
            <w:bottom w:w="0" w:type="dxa"/>
          </w:tblCellMar>
        </w:tblPrEx>
        <w:tc>
          <w:tcPr>
            <w:tcW w:w="9110" w:type="dxa"/>
            <w:gridSpan w:val="3"/>
            <w:shd w:val="clear" w:color="auto" w:fill="auto"/>
          </w:tcPr>
          <w:p w:rsidR="004012F7" w:rsidRPr="007C184B" w:rsidRDefault="005E145A" w:rsidP="00725D21">
            <w:pPr>
              <w:numPr>
                <w:ilvl w:val="1"/>
                <w:numId w:val="4"/>
              </w:numPr>
              <w:tabs>
                <w:tab w:val="clear" w:pos="1728"/>
                <w:tab w:val="right" w:pos="1080"/>
                <w:tab w:val="left" w:pos="1300"/>
                <w:tab w:val="left" w:pos="1740"/>
                <w:tab w:val="left" w:pos="2180"/>
                <w:tab w:val="left" w:pos="2620"/>
                <w:tab w:val="left" w:pos="3060"/>
                <w:tab w:val="right" w:leader="dot" w:pos="9245"/>
              </w:tabs>
              <w:spacing w:after="120"/>
              <w:rPr>
                <w:lang w:val="es-ES_tradnl"/>
              </w:rPr>
            </w:pPr>
            <w:r w:rsidRPr="007C184B">
              <w:rPr>
                <w:lang w:val="es-ES_tradnl"/>
              </w:rPr>
              <w:t>Estructura etaria</w:t>
            </w:r>
            <w:r w:rsidR="00725D21">
              <w:rPr>
                <w:spacing w:val="60"/>
                <w:sz w:val="17"/>
                <w:lang w:val="es-ES_tradnl"/>
              </w:rPr>
              <w:tab/>
            </w:r>
          </w:p>
        </w:tc>
        <w:tc>
          <w:tcPr>
            <w:tcW w:w="792" w:type="dxa"/>
            <w:shd w:val="clear" w:color="auto" w:fill="auto"/>
            <w:vAlign w:val="bottom"/>
          </w:tcPr>
          <w:p w:rsidR="004012F7" w:rsidRPr="007C184B" w:rsidRDefault="008158EA" w:rsidP="004012F7">
            <w:pPr>
              <w:spacing w:after="120"/>
              <w:jc w:val="right"/>
              <w:rPr>
                <w:lang w:val="es-ES_tradnl"/>
              </w:rPr>
            </w:pPr>
            <w:r>
              <w:rPr>
                <w:lang w:val="es-ES_tradnl"/>
              </w:rPr>
              <w:t>5</w:t>
            </w:r>
          </w:p>
        </w:tc>
      </w:tr>
      <w:tr w:rsidR="004012F7" w:rsidRPr="007C184B" w:rsidTr="004012F7">
        <w:tblPrEx>
          <w:tblCellMar>
            <w:top w:w="0" w:type="dxa"/>
            <w:bottom w:w="0" w:type="dxa"/>
          </w:tblCellMar>
        </w:tblPrEx>
        <w:tc>
          <w:tcPr>
            <w:tcW w:w="9110" w:type="dxa"/>
            <w:gridSpan w:val="3"/>
            <w:shd w:val="clear" w:color="auto" w:fill="auto"/>
          </w:tcPr>
          <w:p w:rsidR="004012F7" w:rsidRPr="007C184B" w:rsidRDefault="005E145A" w:rsidP="00725D21">
            <w:pPr>
              <w:numPr>
                <w:ilvl w:val="1"/>
                <w:numId w:val="4"/>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right" w:leader="dot" w:pos="9245"/>
              </w:tabs>
              <w:spacing w:after="120"/>
              <w:rPr>
                <w:lang w:val="es-ES_tradnl"/>
              </w:rPr>
            </w:pPr>
            <w:r w:rsidRPr="007C184B">
              <w:rPr>
                <w:lang w:val="es-ES_tradnl"/>
              </w:rPr>
              <w:t>Crecimiento y distribución de la población</w:t>
            </w:r>
            <w:r w:rsidR="00725D21">
              <w:rPr>
                <w:spacing w:val="60"/>
                <w:sz w:val="17"/>
                <w:lang w:val="es-ES_tradnl"/>
              </w:rPr>
              <w:tab/>
            </w:r>
          </w:p>
        </w:tc>
        <w:tc>
          <w:tcPr>
            <w:tcW w:w="792" w:type="dxa"/>
            <w:shd w:val="clear" w:color="auto" w:fill="auto"/>
            <w:vAlign w:val="bottom"/>
          </w:tcPr>
          <w:p w:rsidR="004012F7" w:rsidRPr="007C184B" w:rsidRDefault="008158EA" w:rsidP="004012F7">
            <w:pPr>
              <w:spacing w:after="120"/>
              <w:jc w:val="right"/>
              <w:rPr>
                <w:lang w:val="es-ES_tradnl"/>
              </w:rPr>
            </w:pPr>
            <w:r>
              <w:rPr>
                <w:lang w:val="es-ES_tradnl"/>
              </w:rPr>
              <w:t>5</w:t>
            </w:r>
          </w:p>
        </w:tc>
      </w:tr>
      <w:tr w:rsidR="004012F7" w:rsidRPr="007C184B" w:rsidTr="004012F7">
        <w:tblPrEx>
          <w:tblCellMar>
            <w:top w:w="0" w:type="dxa"/>
            <w:bottom w:w="0" w:type="dxa"/>
          </w:tblCellMar>
        </w:tblPrEx>
        <w:tc>
          <w:tcPr>
            <w:tcW w:w="9110" w:type="dxa"/>
            <w:gridSpan w:val="3"/>
            <w:shd w:val="clear" w:color="auto" w:fill="auto"/>
          </w:tcPr>
          <w:p w:rsidR="004012F7" w:rsidRPr="007C184B" w:rsidRDefault="005E145A" w:rsidP="00725D21">
            <w:pPr>
              <w:numPr>
                <w:ilvl w:val="1"/>
                <w:numId w:val="4"/>
              </w:numPr>
              <w:tabs>
                <w:tab w:val="clear" w:pos="1728"/>
                <w:tab w:val="right" w:pos="1080"/>
                <w:tab w:val="left" w:pos="1300"/>
                <w:tab w:val="left" w:pos="1740"/>
                <w:tab w:val="left" w:pos="2180"/>
                <w:tab w:val="left" w:pos="2620"/>
                <w:tab w:val="left" w:pos="3060"/>
                <w:tab w:val="left" w:pos="3500"/>
                <w:tab w:val="left" w:pos="3940"/>
                <w:tab w:val="left" w:pos="4380"/>
                <w:tab w:val="right" w:leader="dot" w:pos="9245"/>
              </w:tabs>
              <w:spacing w:after="120"/>
              <w:rPr>
                <w:lang w:val="es-ES_tradnl"/>
              </w:rPr>
            </w:pPr>
            <w:r w:rsidRPr="007C184B">
              <w:rPr>
                <w:lang w:val="es-ES_tradnl"/>
              </w:rPr>
              <w:t>Migración del campo a la ciudad</w:t>
            </w:r>
            <w:r w:rsidR="00725D21">
              <w:rPr>
                <w:spacing w:val="60"/>
                <w:sz w:val="17"/>
                <w:lang w:val="es-ES_tradnl"/>
              </w:rPr>
              <w:tab/>
            </w:r>
          </w:p>
        </w:tc>
        <w:tc>
          <w:tcPr>
            <w:tcW w:w="792" w:type="dxa"/>
            <w:shd w:val="clear" w:color="auto" w:fill="auto"/>
            <w:vAlign w:val="bottom"/>
          </w:tcPr>
          <w:p w:rsidR="004012F7" w:rsidRPr="007C184B" w:rsidRDefault="008158EA" w:rsidP="004012F7">
            <w:pPr>
              <w:spacing w:after="120"/>
              <w:jc w:val="right"/>
              <w:rPr>
                <w:lang w:val="es-ES_tradnl"/>
              </w:rPr>
            </w:pPr>
            <w:r>
              <w:rPr>
                <w:lang w:val="es-ES_tradnl"/>
              </w:rPr>
              <w:t>5</w:t>
            </w:r>
          </w:p>
        </w:tc>
      </w:tr>
      <w:tr w:rsidR="004012F7" w:rsidRPr="007C184B" w:rsidTr="004012F7">
        <w:tblPrEx>
          <w:tblCellMar>
            <w:top w:w="0" w:type="dxa"/>
            <w:bottom w:w="0" w:type="dxa"/>
          </w:tblCellMar>
        </w:tblPrEx>
        <w:tc>
          <w:tcPr>
            <w:tcW w:w="9110" w:type="dxa"/>
            <w:gridSpan w:val="3"/>
            <w:shd w:val="clear" w:color="auto" w:fill="auto"/>
          </w:tcPr>
          <w:p w:rsidR="004012F7" w:rsidRPr="007C184B" w:rsidRDefault="005E145A" w:rsidP="00725D21">
            <w:pPr>
              <w:numPr>
                <w:ilvl w:val="0"/>
                <w:numId w:val="4"/>
              </w:numPr>
              <w:tabs>
                <w:tab w:val="clear" w:pos="1296"/>
                <w:tab w:val="right" w:pos="1080"/>
                <w:tab w:val="left" w:pos="1300"/>
                <w:tab w:val="left" w:pos="1740"/>
                <w:tab w:val="left" w:pos="2180"/>
                <w:tab w:val="left" w:pos="2620"/>
                <w:tab w:val="left" w:pos="3060"/>
                <w:tab w:val="left" w:pos="3500"/>
                <w:tab w:val="right" w:leader="dot" w:pos="9245"/>
              </w:tabs>
              <w:spacing w:after="120"/>
              <w:rPr>
                <w:lang w:val="es-ES_tradnl"/>
              </w:rPr>
            </w:pPr>
            <w:r>
              <w:rPr>
                <w:lang w:val="es-ES_tradnl"/>
              </w:rPr>
              <w:tab/>
            </w:r>
            <w:r w:rsidRPr="007C184B">
              <w:rPr>
                <w:lang w:val="es-ES_tradnl"/>
              </w:rPr>
              <w:t>Sistema político y jurídico</w:t>
            </w:r>
            <w:r w:rsidR="00725D21">
              <w:rPr>
                <w:spacing w:val="60"/>
                <w:sz w:val="17"/>
                <w:lang w:val="es-ES_tradnl"/>
              </w:rPr>
              <w:tab/>
            </w:r>
          </w:p>
        </w:tc>
        <w:tc>
          <w:tcPr>
            <w:tcW w:w="792" w:type="dxa"/>
            <w:shd w:val="clear" w:color="auto" w:fill="auto"/>
            <w:vAlign w:val="bottom"/>
          </w:tcPr>
          <w:p w:rsidR="004012F7" w:rsidRPr="007C184B" w:rsidRDefault="008158EA" w:rsidP="004012F7">
            <w:pPr>
              <w:spacing w:after="120"/>
              <w:jc w:val="right"/>
              <w:rPr>
                <w:lang w:val="es-ES_tradnl"/>
              </w:rPr>
            </w:pPr>
            <w:r>
              <w:rPr>
                <w:lang w:val="es-ES_tradnl"/>
              </w:rPr>
              <w:t>6</w:t>
            </w:r>
          </w:p>
        </w:tc>
      </w:tr>
      <w:tr w:rsidR="004012F7" w:rsidRPr="007C184B" w:rsidTr="004012F7">
        <w:tblPrEx>
          <w:tblCellMar>
            <w:top w:w="0" w:type="dxa"/>
            <w:bottom w:w="0" w:type="dxa"/>
          </w:tblCellMar>
        </w:tblPrEx>
        <w:tc>
          <w:tcPr>
            <w:tcW w:w="9110" w:type="dxa"/>
            <w:gridSpan w:val="3"/>
            <w:shd w:val="clear" w:color="auto" w:fill="auto"/>
          </w:tcPr>
          <w:p w:rsidR="004012F7" w:rsidRPr="007C184B" w:rsidRDefault="005E145A" w:rsidP="00725D21">
            <w:pPr>
              <w:numPr>
                <w:ilvl w:val="1"/>
                <w:numId w:val="4"/>
              </w:numPr>
              <w:tabs>
                <w:tab w:val="clear" w:pos="1728"/>
                <w:tab w:val="right" w:pos="1080"/>
                <w:tab w:val="left" w:pos="1300"/>
                <w:tab w:val="left" w:pos="1740"/>
                <w:tab w:val="left" w:pos="2180"/>
                <w:tab w:val="left" w:pos="2620"/>
                <w:tab w:val="left" w:pos="3060"/>
                <w:tab w:val="right" w:leader="dot" w:pos="9245"/>
              </w:tabs>
              <w:spacing w:after="120"/>
              <w:rPr>
                <w:lang w:val="es-ES_tradnl"/>
              </w:rPr>
            </w:pPr>
            <w:r w:rsidRPr="007C184B">
              <w:rPr>
                <w:lang w:val="es-ES_tradnl"/>
              </w:rPr>
              <w:t>Sistema de gobierno</w:t>
            </w:r>
            <w:r w:rsidR="00725D21">
              <w:rPr>
                <w:spacing w:val="60"/>
                <w:sz w:val="17"/>
                <w:lang w:val="es-ES_tradnl"/>
              </w:rPr>
              <w:tab/>
            </w:r>
          </w:p>
        </w:tc>
        <w:tc>
          <w:tcPr>
            <w:tcW w:w="792" w:type="dxa"/>
            <w:shd w:val="clear" w:color="auto" w:fill="auto"/>
            <w:vAlign w:val="bottom"/>
          </w:tcPr>
          <w:p w:rsidR="004012F7" w:rsidRPr="007C184B" w:rsidRDefault="008158EA" w:rsidP="004012F7">
            <w:pPr>
              <w:spacing w:after="120"/>
              <w:jc w:val="right"/>
              <w:rPr>
                <w:lang w:val="es-ES_tradnl"/>
              </w:rPr>
            </w:pPr>
            <w:r>
              <w:rPr>
                <w:lang w:val="es-ES_tradnl"/>
              </w:rPr>
              <w:t>6</w:t>
            </w:r>
          </w:p>
        </w:tc>
      </w:tr>
      <w:tr w:rsidR="004012F7" w:rsidRPr="007C184B" w:rsidTr="004012F7">
        <w:tblPrEx>
          <w:tblCellMar>
            <w:top w:w="0" w:type="dxa"/>
            <w:bottom w:w="0" w:type="dxa"/>
          </w:tblCellMar>
        </w:tblPrEx>
        <w:tc>
          <w:tcPr>
            <w:tcW w:w="9110" w:type="dxa"/>
            <w:gridSpan w:val="3"/>
            <w:shd w:val="clear" w:color="auto" w:fill="auto"/>
          </w:tcPr>
          <w:p w:rsidR="004012F7" w:rsidRPr="007C184B" w:rsidRDefault="005E145A" w:rsidP="00725D21">
            <w:pPr>
              <w:numPr>
                <w:ilvl w:val="1"/>
                <w:numId w:val="4"/>
              </w:numPr>
              <w:tabs>
                <w:tab w:val="clear" w:pos="1728"/>
                <w:tab w:val="right" w:pos="1080"/>
                <w:tab w:val="left" w:pos="1300"/>
                <w:tab w:val="left" w:pos="1740"/>
                <w:tab w:val="left" w:pos="2180"/>
                <w:tab w:val="left" w:pos="2620"/>
                <w:tab w:val="left" w:pos="3060"/>
                <w:tab w:val="left" w:pos="3500"/>
                <w:tab w:val="right" w:leader="dot" w:pos="9245"/>
              </w:tabs>
              <w:spacing w:after="120"/>
              <w:rPr>
                <w:lang w:val="es-ES_tradnl"/>
              </w:rPr>
            </w:pPr>
            <w:r>
              <w:t>Funciones del Estado</w:t>
            </w:r>
            <w:r w:rsidR="00725D21">
              <w:rPr>
                <w:spacing w:val="60"/>
                <w:sz w:val="17"/>
              </w:rPr>
              <w:tab/>
            </w:r>
          </w:p>
        </w:tc>
        <w:tc>
          <w:tcPr>
            <w:tcW w:w="792" w:type="dxa"/>
            <w:shd w:val="clear" w:color="auto" w:fill="auto"/>
            <w:vAlign w:val="bottom"/>
          </w:tcPr>
          <w:p w:rsidR="004012F7" w:rsidRPr="007C184B" w:rsidRDefault="008158EA" w:rsidP="004012F7">
            <w:pPr>
              <w:spacing w:after="120"/>
              <w:jc w:val="right"/>
              <w:rPr>
                <w:lang w:val="es-ES_tradnl"/>
              </w:rPr>
            </w:pPr>
            <w:r>
              <w:rPr>
                <w:lang w:val="es-ES_tradnl"/>
              </w:rPr>
              <w:t>6</w:t>
            </w:r>
          </w:p>
        </w:tc>
      </w:tr>
      <w:tr w:rsidR="004012F7" w:rsidRPr="007C184B" w:rsidTr="004012F7">
        <w:tblPrEx>
          <w:tblCellMar>
            <w:top w:w="0" w:type="dxa"/>
            <w:bottom w:w="0" w:type="dxa"/>
          </w:tblCellMar>
        </w:tblPrEx>
        <w:tc>
          <w:tcPr>
            <w:tcW w:w="9110" w:type="dxa"/>
            <w:gridSpan w:val="3"/>
            <w:shd w:val="clear" w:color="auto" w:fill="auto"/>
          </w:tcPr>
          <w:p w:rsidR="004012F7" w:rsidRPr="007C184B" w:rsidRDefault="005E145A" w:rsidP="00725D21">
            <w:pPr>
              <w:numPr>
                <w:ilvl w:val="1"/>
                <w:numId w:val="4"/>
              </w:numPr>
              <w:tabs>
                <w:tab w:val="clear" w:pos="1728"/>
                <w:tab w:val="right" w:pos="1080"/>
                <w:tab w:val="left" w:pos="1300"/>
                <w:tab w:val="left" w:pos="1740"/>
                <w:tab w:val="left" w:pos="2180"/>
                <w:tab w:val="left" w:pos="2620"/>
                <w:tab w:val="left" w:pos="3060"/>
                <w:tab w:val="left" w:pos="3500"/>
                <w:tab w:val="right" w:leader="dot" w:pos="9245"/>
              </w:tabs>
              <w:spacing w:after="120"/>
              <w:rPr>
                <w:lang w:val="es-ES_tradnl"/>
              </w:rPr>
            </w:pPr>
            <w:r>
              <w:t>Marco jurídico general</w:t>
            </w:r>
            <w:r w:rsidR="00725D21">
              <w:rPr>
                <w:spacing w:val="60"/>
                <w:sz w:val="17"/>
              </w:rPr>
              <w:tab/>
            </w:r>
          </w:p>
        </w:tc>
        <w:tc>
          <w:tcPr>
            <w:tcW w:w="792" w:type="dxa"/>
            <w:shd w:val="clear" w:color="auto" w:fill="auto"/>
            <w:vAlign w:val="bottom"/>
          </w:tcPr>
          <w:p w:rsidR="004012F7" w:rsidRPr="007C184B" w:rsidRDefault="008158EA" w:rsidP="004012F7">
            <w:pPr>
              <w:spacing w:after="120"/>
              <w:jc w:val="right"/>
              <w:rPr>
                <w:lang w:val="es-ES_tradnl"/>
              </w:rPr>
            </w:pPr>
            <w:r>
              <w:rPr>
                <w:lang w:val="es-ES_tradnl"/>
              </w:rPr>
              <w:t>7</w:t>
            </w:r>
          </w:p>
        </w:tc>
      </w:tr>
      <w:tr w:rsidR="004012F7" w:rsidRPr="007C184B" w:rsidTr="004012F7">
        <w:tblPrEx>
          <w:tblCellMar>
            <w:top w:w="0" w:type="dxa"/>
            <w:bottom w:w="0" w:type="dxa"/>
          </w:tblCellMar>
        </w:tblPrEx>
        <w:tc>
          <w:tcPr>
            <w:tcW w:w="9110" w:type="dxa"/>
            <w:gridSpan w:val="3"/>
            <w:shd w:val="clear" w:color="auto" w:fill="auto"/>
          </w:tcPr>
          <w:p w:rsidR="004012F7" w:rsidRPr="007C184B" w:rsidRDefault="005E145A" w:rsidP="00725D21">
            <w:pPr>
              <w:numPr>
                <w:ilvl w:val="1"/>
                <w:numId w:val="4"/>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right" w:leader="dot" w:pos="9245"/>
              </w:tabs>
              <w:spacing w:after="120"/>
              <w:rPr>
                <w:lang w:val="es-ES_tradnl"/>
              </w:rPr>
            </w:pPr>
            <w:r>
              <w:t>Comisión Independiente de Derechos Humanos</w:t>
            </w:r>
            <w:r w:rsidR="00725D21">
              <w:rPr>
                <w:spacing w:val="60"/>
                <w:sz w:val="17"/>
              </w:rPr>
              <w:tab/>
            </w:r>
          </w:p>
        </w:tc>
        <w:tc>
          <w:tcPr>
            <w:tcW w:w="792" w:type="dxa"/>
            <w:shd w:val="clear" w:color="auto" w:fill="auto"/>
            <w:vAlign w:val="bottom"/>
          </w:tcPr>
          <w:p w:rsidR="004012F7" w:rsidRPr="007C184B" w:rsidRDefault="008158EA" w:rsidP="004012F7">
            <w:pPr>
              <w:spacing w:after="120"/>
              <w:jc w:val="right"/>
              <w:rPr>
                <w:lang w:val="es-ES_tradnl"/>
              </w:rPr>
            </w:pPr>
            <w:r>
              <w:rPr>
                <w:lang w:val="es-ES_tradnl"/>
              </w:rPr>
              <w:t>7</w:t>
            </w:r>
          </w:p>
        </w:tc>
      </w:tr>
      <w:tr w:rsidR="004012F7" w:rsidRPr="007C184B" w:rsidTr="004012F7">
        <w:tblPrEx>
          <w:tblCellMar>
            <w:top w:w="0" w:type="dxa"/>
            <w:bottom w:w="0" w:type="dxa"/>
          </w:tblCellMar>
        </w:tblPrEx>
        <w:tc>
          <w:tcPr>
            <w:tcW w:w="9110" w:type="dxa"/>
            <w:gridSpan w:val="3"/>
            <w:shd w:val="clear" w:color="auto" w:fill="auto"/>
          </w:tcPr>
          <w:p w:rsidR="004012F7" w:rsidRPr="007C184B" w:rsidRDefault="005E145A" w:rsidP="00725D21">
            <w:pPr>
              <w:numPr>
                <w:ilvl w:val="1"/>
                <w:numId w:val="4"/>
              </w:numPr>
              <w:tabs>
                <w:tab w:val="clear" w:pos="1728"/>
                <w:tab w:val="right" w:pos="1080"/>
                <w:tab w:val="left" w:pos="1300"/>
                <w:tab w:val="left" w:pos="1740"/>
                <w:tab w:val="left" w:pos="2180"/>
                <w:tab w:val="left" w:pos="2620"/>
                <w:tab w:val="left" w:pos="3060"/>
                <w:tab w:val="left" w:pos="3500"/>
                <w:tab w:val="left" w:pos="3940"/>
                <w:tab w:val="left" w:pos="4380"/>
                <w:tab w:val="left" w:pos="4820"/>
                <w:tab w:val="right" w:leader="dot" w:pos="9245"/>
              </w:tabs>
              <w:spacing w:after="120"/>
              <w:rPr>
                <w:lang w:val="es-ES_tradnl"/>
              </w:rPr>
            </w:pPr>
            <w:r>
              <w:t>Protección de los derechos humanos</w:t>
            </w:r>
            <w:r w:rsidR="00725D21">
              <w:rPr>
                <w:spacing w:val="60"/>
                <w:sz w:val="17"/>
              </w:rPr>
              <w:tab/>
            </w:r>
          </w:p>
        </w:tc>
        <w:tc>
          <w:tcPr>
            <w:tcW w:w="792" w:type="dxa"/>
            <w:shd w:val="clear" w:color="auto" w:fill="auto"/>
            <w:vAlign w:val="bottom"/>
          </w:tcPr>
          <w:p w:rsidR="004012F7" w:rsidRPr="007C184B" w:rsidRDefault="008158EA" w:rsidP="004012F7">
            <w:pPr>
              <w:spacing w:after="120"/>
              <w:jc w:val="right"/>
              <w:rPr>
                <w:lang w:val="es-ES_tradnl"/>
              </w:rPr>
            </w:pPr>
            <w:r>
              <w:rPr>
                <w:lang w:val="es-ES_tradnl"/>
              </w:rPr>
              <w:t>7</w:t>
            </w:r>
          </w:p>
        </w:tc>
      </w:tr>
      <w:tr w:rsidR="004012F7" w:rsidRPr="007C184B" w:rsidTr="004012F7">
        <w:tblPrEx>
          <w:tblCellMar>
            <w:top w:w="0" w:type="dxa"/>
            <w:bottom w:w="0" w:type="dxa"/>
          </w:tblCellMar>
        </w:tblPrEx>
        <w:tc>
          <w:tcPr>
            <w:tcW w:w="9110" w:type="dxa"/>
            <w:gridSpan w:val="3"/>
            <w:shd w:val="clear" w:color="auto" w:fill="auto"/>
          </w:tcPr>
          <w:p w:rsidR="004012F7" w:rsidRPr="007C184B" w:rsidRDefault="005E145A" w:rsidP="00725D21">
            <w:pPr>
              <w:numPr>
                <w:ilvl w:val="1"/>
                <w:numId w:val="4"/>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left" w:pos="7900"/>
                <w:tab w:val="right" w:leader="dot" w:pos="9245"/>
              </w:tabs>
              <w:spacing w:after="120"/>
              <w:rPr>
                <w:lang w:val="es-ES_tradnl"/>
              </w:rPr>
            </w:pPr>
            <w:r>
              <w:t>Resolución 1325 (2000) del Consejo de Seguridad de las Naciones Unidas</w:t>
            </w:r>
            <w:r w:rsidR="00725D21">
              <w:rPr>
                <w:spacing w:val="60"/>
                <w:sz w:val="17"/>
              </w:rPr>
              <w:tab/>
            </w:r>
          </w:p>
        </w:tc>
        <w:tc>
          <w:tcPr>
            <w:tcW w:w="792" w:type="dxa"/>
            <w:shd w:val="clear" w:color="auto" w:fill="auto"/>
            <w:vAlign w:val="bottom"/>
          </w:tcPr>
          <w:p w:rsidR="004012F7" w:rsidRPr="007C184B" w:rsidRDefault="008158EA" w:rsidP="004012F7">
            <w:pPr>
              <w:spacing w:after="120"/>
              <w:jc w:val="right"/>
              <w:rPr>
                <w:lang w:val="es-ES_tradnl"/>
              </w:rPr>
            </w:pPr>
            <w:r>
              <w:rPr>
                <w:lang w:val="es-ES_tradnl"/>
              </w:rPr>
              <w:t>8</w:t>
            </w:r>
          </w:p>
        </w:tc>
      </w:tr>
      <w:tr w:rsidR="004012F7" w:rsidRPr="007C184B" w:rsidTr="004012F7">
        <w:tblPrEx>
          <w:tblCellMar>
            <w:top w:w="0" w:type="dxa"/>
            <w:bottom w:w="0" w:type="dxa"/>
          </w:tblCellMar>
        </w:tblPrEx>
        <w:tc>
          <w:tcPr>
            <w:tcW w:w="9110" w:type="dxa"/>
            <w:gridSpan w:val="3"/>
            <w:shd w:val="clear" w:color="auto" w:fill="auto"/>
          </w:tcPr>
          <w:p w:rsidR="004012F7" w:rsidRPr="007C184B" w:rsidRDefault="005E145A" w:rsidP="00725D21">
            <w:pPr>
              <w:numPr>
                <w:ilvl w:val="1"/>
                <w:numId w:val="4"/>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right" w:leader="dot" w:pos="9245"/>
              </w:tabs>
              <w:spacing w:after="120"/>
              <w:rPr>
                <w:lang w:val="es-ES_tradnl"/>
              </w:rPr>
            </w:pPr>
            <w:r>
              <w:t>Promoción y protección de los derechos de los niños</w:t>
            </w:r>
            <w:r w:rsidR="00725D21">
              <w:rPr>
                <w:spacing w:val="60"/>
                <w:sz w:val="17"/>
              </w:rPr>
              <w:tab/>
            </w:r>
          </w:p>
        </w:tc>
        <w:tc>
          <w:tcPr>
            <w:tcW w:w="792" w:type="dxa"/>
            <w:shd w:val="clear" w:color="auto" w:fill="auto"/>
            <w:vAlign w:val="bottom"/>
          </w:tcPr>
          <w:p w:rsidR="004012F7" w:rsidRPr="007C184B" w:rsidRDefault="008158EA" w:rsidP="004012F7">
            <w:pPr>
              <w:spacing w:after="120"/>
              <w:jc w:val="right"/>
              <w:rPr>
                <w:lang w:val="es-ES_tradnl"/>
              </w:rPr>
            </w:pPr>
            <w:r>
              <w:rPr>
                <w:lang w:val="es-ES_tradnl"/>
              </w:rPr>
              <w:t>8</w:t>
            </w:r>
          </w:p>
        </w:tc>
      </w:tr>
      <w:tr w:rsidR="004012F7" w:rsidRPr="007C184B" w:rsidTr="004012F7">
        <w:tblPrEx>
          <w:tblCellMar>
            <w:top w:w="0" w:type="dxa"/>
            <w:bottom w:w="0" w:type="dxa"/>
          </w:tblCellMar>
        </w:tblPrEx>
        <w:tc>
          <w:tcPr>
            <w:tcW w:w="9110" w:type="dxa"/>
            <w:gridSpan w:val="3"/>
            <w:shd w:val="clear" w:color="auto" w:fill="auto"/>
          </w:tcPr>
          <w:p w:rsidR="004012F7" w:rsidRPr="007C184B" w:rsidRDefault="004012F7" w:rsidP="00725D21">
            <w:pPr>
              <w:numPr>
                <w:ilvl w:val="0"/>
                <w:numId w:val="4"/>
              </w:numPr>
              <w:tabs>
                <w:tab w:val="clear" w:pos="1296"/>
                <w:tab w:val="right" w:pos="1080"/>
                <w:tab w:val="left" w:pos="1300"/>
                <w:tab w:val="left" w:pos="1740"/>
                <w:tab w:val="left" w:pos="2180"/>
                <w:tab w:val="left" w:pos="2620"/>
                <w:tab w:val="left" w:pos="3060"/>
                <w:tab w:val="right" w:leader="dot" w:pos="9245"/>
              </w:tabs>
              <w:spacing w:after="120"/>
              <w:rPr>
                <w:lang w:val="es-ES_tradnl"/>
              </w:rPr>
            </w:pPr>
            <w:r w:rsidRPr="007C184B">
              <w:rPr>
                <w:lang w:val="es-ES_tradnl"/>
              </w:rPr>
              <w:tab/>
            </w:r>
            <w:r w:rsidR="005E145A">
              <w:t>Estado de la economía</w:t>
            </w:r>
            <w:r w:rsidR="00725D21">
              <w:rPr>
                <w:spacing w:val="60"/>
                <w:sz w:val="17"/>
              </w:rPr>
              <w:tab/>
            </w:r>
          </w:p>
        </w:tc>
        <w:tc>
          <w:tcPr>
            <w:tcW w:w="792" w:type="dxa"/>
            <w:shd w:val="clear" w:color="auto" w:fill="auto"/>
            <w:vAlign w:val="bottom"/>
          </w:tcPr>
          <w:p w:rsidR="004012F7" w:rsidRPr="007C184B" w:rsidRDefault="008158EA" w:rsidP="004012F7">
            <w:pPr>
              <w:spacing w:after="120"/>
              <w:jc w:val="right"/>
              <w:rPr>
                <w:lang w:val="es-ES_tradnl"/>
              </w:rPr>
            </w:pPr>
            <w:r>
              <w:rPr>
                <w:lang w:val="es-ES_tradnl"/>
              </w:rPr>
              <w:t>9</w:t>
            </w:r>
          </w:p>
        </w:tc>
      </w:tr>
      <w:tr w:rsidR="004012F7" w:rsidRPr="007C184B" w:rsidTr="004012F7">
        <w:tblPrEx>
          <w:tblCellMar>
            <w:top w:w="0" w:type="dxa"/>
            <w:bottom w:w="0" w:type="dxa"/>
          </w:tblCellMar>
        </w:tblPrEx>
        <w:tc>
          <w:tcPr>
            <w:tcW w:w="9110" w:type="dxa"/>
            <w:gridSpan w:val="3"/>
            <w:shd w:val="clear" w:color="auto" w:fill="auto"/>
          </w:tcPr>
          <w:p w:rsidR="004012F7" w:rsidRPr="007C184B" w:rsidRDefault="004012F7" w:rsidP="004012F7">
            <w:pPr>
              <w:tabs>
                <w:tab w:val="right" w:pos="1080"/>
                <w:tab w:val="left" w:pos="1296"/>
                <w:tab w:val="left" w:pos="2160"/>
                <w:tab w:val="left" w:pos="2592"/>
                <w:tab w:val="left" w:pos="3024"/>
                <w:tab w:val="left" w:pos="3456"/>
                <w:tab w:val="right" w:leader="dot" w:pos="9360"/>
              </w:tabs>
              <w:spacing w:after="120"/>
              <w:ind w:left="1305"/>
              <w:rPr>
                <w:lang w:val="es-ES_tradnl"/>
              </w:rPr>
            </w:pPr>
          </w:p>
        </w:tc>
        <w:tc>
          <w:tcPr>
            <w:tcW w:w="792" w:type="dxa"/>
            <w:shd w:val="clear" w:color="auto" w:fill="auto"/>
            <w:vAlign w:val="bottom"/>
          </w:tcPr>
          <w:p w:rsidR="004012F7" w:rsidRPr="007C184B" w:rsidRDefault="004012F7" w:rsidP="004012F7">
            <w:pPr>
              <w:spacing w:after="120"/>
              <w:jc w:val="right"/>
              <w:rPr>
                <w:lang w:val="es-ES_tradnl"/>
              </w:rPr>
            </w:pPr>
          </w:p>
        </w:tc>
      </w:tr>
    </w:tbl>
    <w:p w:rsidR="004012F7" w:rsidRPr="007C184B" w:rsidRDefault="004012F7" w:rsidP="004012F7">
      <w:pPr>
        <w:rPr>
          <w:lang w:val="es-ES_tradnl"/>
        </w:rPr>
      </w:pPr>
    </w:p>
    <w:p w:rsidR="004012F7" w:rsidRPr="007C184B" w:rsidRDefault="004012F7" w:rsidP="00990402">
      <w:pPr>
        <w:pStyle w:val="SingleTxt"/>
        <w:rPr>
          <w:lang w:val="es-ES_tradnl"/>
        </w:rPr>
      </w:pPr>
    </w:p>
    <w:p w:rsidR="004012F7" w:rsidRPr="007C184B" w:rsidRDefault="004012F7" w:rsidP="00990402">
      <w:pPr>
        <w:pStyle w:val="SingleTxt"/>
        <w:rPr>
          <w:lang w:val="es-ES_tradnl"/>
        </w:rPr>
      </w:pPr>
    </w:p>
    <w:p w:rsidR="00AC7D48" w:rsidRPr="007C184B" w:rsidRDefault="004012F7" w:rsidP="00AC7D4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7C184B">
        <w:rPr>
          <w:lang w:val="es-ES_tradnl"/>
        </w:rPr>
        <w:br w:type="page"/>
      </w:r>
      <w:r w:rsidR="00AC7D48" w:rsidRPr="007C184B">
        <w:rPr>
          <w:lang w:val="es-ES_tradnl"/>
        </w:rPr>
        <w:tab/>
        <w:t>I.</w:t>
      </w:r>
      <w:r w:rsidR="00AC7D48" w:rsidRPr="007C184B">
        <w:rPr>
          <w:lang w:val="es-ES_tradnl"/>
        </w:rPr>
        <w:tab/>
        <w:t xml:space="preserve">Información general sobre Liberia </w:t>
      </w:r>
    </w:p>
    <w:p w:rsidR="00AC7D48" w:rsidRPr="007C184B" w:rsidRDefault="00AC7D48" w:rsidP="00AC7D48">
      <w:pPr>
        <w:pStyle w:val="SingleTxt"/>
        <w:spacing w:after="0" w:line="120" w:lineRule="exact"/>
        <w:rPr>
          <w:sz w:val="10"/>
          <w:lang w:val="es-ES_tradnl"/>
        </w:rPr>
      </w:pPr>
    </w:p>
    <w:p w:rsidR="00AC7D48" w:rsidRPr="007C184B" w:rsidRDefault="00AC7D48" w:rsidP="00AC7D48">
      <w:pPr>
        <w:pStyle w:val="SingleTxt"/>
        <w:spacing w:after="0" w:line="120" w:lineRule="exact"/>
        <w:rPr>
          <w:sz w:val="10"/>
          <w:lang w:val="es-ES_tradnl"/>
        </w:rPr>
      </w:pPr>
    </w:p>
    <w:p w:rsidR="00AC7D48" w:rsidRPr="007C184B" w:rsidRDefault="00AC7D48" w:rsidP="00AC7D4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7C184B">
        <w:rPr>
          <w:lang w:val="es-ES_tradnl"/>
        </w:rPr>
        <w:tab/>
        <w:t>A.</w:t>
      </w:r>
      <w:r w:rsidRPr="007C184B">
        <w:rPr>
          <w:lang w:val="es-ES_tradnl"/>
        </w:rPr>
        <w:tab/>
        <w:t>Geografía</w:t>
      </w:r>
    </w:p>
    <w:p w:rsidR="00AC7D48" w:rsidRPr="007C184B" w:rsidRDefault="00AC7D48" w:rsidP="00AC7D48">
      <w:pPr>
        <w:pStyle w:val="SingleTxt"/>
        <w:spacing w:after="0" w:line="120" w:lineRule="exact"/>
        <w:rPr>
          <w:sz w:val="10"/>
          <w:lang w:val="es-ES_tradnl"/>
        </w:rPr>
      </w:pPr>
    </w:p>
    <w:p w:rsidR="00AC7D48" w:rsidRPr="007C184B" w:rsidRDefault="00AC7D48" w:rsidP="00AC7D48">
      <w:pPr>
        <w:pStyle w:val="SingleTxt"/>
        <w:spacing w:after="0" w:line="120" w:lineRule="exact"/>
        <w:rPr>
          <w:sz w:val="10"/>
          <w:lang w:val="es-ES_tradnl"/>
        </w:rPr>
      </w:pPr>
    </w:p>
    <w:p w:rsidR="00AC7D48" w:rsidRPr="007C184B" w:rsidRDefault="00AC7D48" w:rsidP="00AC7D48">
      <w:pPr>
        <w:pStyle w:val="SingleTxt"/>
        <w:numPr>
          <w:ilvl w:val="0"/>
          <w:numId w:val="5"/>
        </w:numPr>
        <w:suppressAutoHyphens w:val="0"/>
        <w:ind w:left="1267"/>
        <w:rPr>
          <w:lang w:val="es-ES_tradnl"/>
        </w:rPr>
      </w:pPr>
      <w:r w:rsidRPr="007C184B">
        <w:rPr>
          <w:lang w:val="es-ES_tradnl"/>
        </w:rPr>
        <w:t xml:space="preserve">Liberia </w:t>
      </w:r>
      <w:r w:rsidR="00B966E3" w:rsidRPr="007C184B">
        <w:rPr>
          <w:lang w:val="es-ES_tradnl"/>
        </w:rPr>
        <w:t xml:space="preserve">está situada </w:t>
      </w:r>
      <w:r w:rsidRPr="007C184B">
        <w:rPr>
          <w:lang w:val="es-ES_tradnl"/>
        </w:rPr>
        <w:t>en la costa occidental de África, al norte de</w:t>
      </w:r>
      <w:r w:rsidR="00D14706" w:rsidRPr="007C184B">
        <w:rPr>
          <w:lang w:val="es-ES_tradnl"/>
        </w:rPr>
        <w:t>l</w:t>
      </w:r>
      <w:r w:rsidRPr="007C184B">
        <w:rPr>
          <w:lang w:val="es-ES_tradnl"/>
        </w:rPr>
        <w:t xml:space="preserve"> </w:t>
      </w:r>
      <w:r w:rsidR="00D14706" w:rsidRPr="007C184B">
        <w:rPr>
          <w:lang w:val="es-ES_tradnl"/>
        </w:rPr>
        <w:t>e</w:t>
      </w:r>
      <w:r w:rsidRPr="007C184B">
        <w:rPr>
          <w:lang w:val="es-ES_tradnl"/>
        </w:rPr>
        <w:t>cuador</w:t>
      </w:r>
      <w:r w:rsidR="00D14706" w:rsidRPr="007C184B">
        <w:rPr>
          <w:lang w:val="es-ES_tradnl"/>
        </w:rPr>
        <w:t>. Limita</w:t>
      </w:r>
      <w:r w:rsidRPr="007C184B">
        <w:rPr>
          <w:lang w:val="es-ES_tradnl"/>
        </w:rPr>
        <w:t xml:space="preserve"> con Guinea al norte, </w:t>
      </w:r>
      <w:r w:rsidR="00D14706" w:rsidRPr="007C184B">
        <w:rPr>
          <w:lang w:val="es-ES_tradnl"/>
        </w:rPr>
        <w:t xml:space="preserve">con </w:t>
      </w:r>
      <w:r w:rsidRPr="007C184B">
        <w:rPr>
          <w:lang w:val="es-ES_tradnl"/>
        </w:rPr>
        <w:t xml:space="preserve">Sierra Leona al oeste, </w:t>
      </w:r>
      <w:r w:rsidR="00D14706" w:rsidRPr="007C184B">
        <w:rPr>
          <w:lang w:val="es-ES_tradnl"/>
        </w:rPr>
        <w:t xml:space="preserve">con </w:t>
      </w:r>
      <w:r w:rsidRPr="007C184B">
        <w:rPr>
          <w:lang w:val="es-ES_tradnl"/>
        </w:rPr>
        <w:t xml:space="preserve">Côte d’Ivoire al este y </w:t>
      </w:r>
      <w:r w:rsidR="00D14706" w:rsidRPr="007C184B">
        <w:rPr>
          <w:lang w:val="es-ES_tradnl"/>
        </w:rPr>
        <w:t xml:space="preserve">con </w:t>
      </w:r>
      <w:r w:rsidRPr="007C184B">
        <w:rPr>
          <w:lang w:val="es-ES_tradnl"/>
        </w:rPr>
        <w:t>el océano Atlántico al sur. Abarca una superficie de 111.379</w:t>
      </w:r>
      <w:r w:rsidR="00EA0356">
        <w:rPr>
          <w:lang w:val="es-ES_tradnl"/>
        </w:rPr>
        <w:t xml:space="preserve"> </w:t>
      </w:r>
      <w:r w:rsidRPr="007C184B">
        <w:rPr>
          <w:lang w:val="es-ES_tradnl"/>
        </w:rPr>
        <w:t>km</w:t>
      </w:r>
      <w:r w:rsidR="00EA0356" w:rsidRPr="00EA0356">
        <w:rPr>
          <w:vertAlign w:val="superscript"/>
          <w:lang w:val="es-ES_tradnl"/>
        </w:rPr>
        <w:t>2</w:t>
      </w:r>
      <w:r w:rsidRPr="007C184B">
        <w:rPr>
          <w:lang w:val="es-ES_tradnl"/>
        </w:rPr>
        <w:t>, con una masa de tierra de 96.370</w:t>
      </w:r>
      <w:r w:rsidR="00EA0356">
        <w:rPr>
          <w:lang w:val="es-ES_tradnl"/>
        </w:rPr>
        <w:t xml:space="preserve"> </w:t>
      </w:r>
      <w:r w:rsidR="00EA0356" w:rsidRPr="007C184B">
        <w:rPr>
          <w:lang w:val="es-ES_tradnl"/>
        </w:rPr>
        <w:t>km</w:t>
      </w:r>
      <w:r w:rsidR="00EA0356" w:rsidRPr="00EA0356">
        <w:rPr>
          <w:vertAlign w:val="superscript"/>
          <w:lang w:val="es-ES_tradnl"/>
        </w:rPr>
        <w:t>2</w:t>
      </w:r>
      <w:r w:rsidRPr="007C184B">
        <w:rPr>
          <w:lang w:val="es-ES_tradnl"/>
        </w:rPr>
        <w:t xml:space="preserve">. Sus aguas cubren 15.050 </w:t>
      </w:r>
      <w:r w:rsidR="00EA0356" w:rsidRPr="007C184B">
        <w:rPr>
          <w:lang w:val="es-ES_tradnl"/>
        </w:rPr>
        <w:t>km</w:t>
      </w:r>
      <w:r w:rsidR="00EA0356" w:rsidRPr="00EA0356">
        <w:rPr>
          <w:vertAlign w:val="superscript"/>
          <w:lang w:val="es-ES_tradnl"/>
        </w:rPr>
        <w:t>2</w:t>
      </w:r>
      <w:r w:rsidRPr="007C184B">
        <w:rPr>
          <w:lang w:val="es-ES_tradnl"/>
        </w:rPr>
        <w:t xml:space="preserve">. Liberia tiene 579 km de costa. Frente al océano Atlántico, la </w:t>
      </w:r>
      <w:r w:rsidR="00D14706" w:rsidRPr="007C184B">
        <w:rPr>
          <w:lang w:val="es-ES_tradnl"/>
        </w:rPr>
        <w:t xml:space="preserve">franja costera </w:t>
      </w:r>
      <w:r w:rsidRPr="007C184B">
        <w:rPr>
          <w:lang w:val="es-ES_tradnl"/>
        </w:rPr>
        <w:t xml:space="preserve">se caracteriza por </w:t>
      </w:r>
      <w:r w:rsidR="00D14706" w:rsidRPr="007C184B">
        <w:rPr>
          <w:lang w:val="es-ES_tradnl"/>
        </w:rPr>
        <w:t xml:space="preserve">la presencia de </w:t>
      </w:r>
      <w:r w:rsidRPr="007C184B">
        <w:rPr>
          <w:lang w:val="es-ES_tradnl"/>
        </w:rPr>
        <w:t xml:space="preserve">lagunas, manglares, bancos de arena de depósito fluvial y una meseta de interior </w:t>
      </w:r>
      <w:r w:rsidR="00D14706" w:rsidRPr="007C184B">
        <w:rPr>
          <w:lang w:val="es-ES_tradnl"/>
        </w:rPr>
        <w:t xml:space="preserve">de sabana herbácea </w:t>
      </w:r>
      <w:r w:rsidRPr="007C184B">
        <w:rPr>
          <w:lang w:val="es-ES_tradnl"/>
        </w:rPr>
        <w:t xml:space="preserve">donde se practica una agricultura limitada. El terreno es fundamentalmente llano o </w:t>
      </w:r>
      <w:r w:rsidR="00D14706" w:rsidRPr="007C184B">
        <w:rPr>
          <w:lang w:val="es-ES_tradnl"/>
        </w:rPr>
        <w:t>de colinas</w:t>
      </w:r>
      <w:r w:rsidRPr="007C184B">
        <w:rPr>
          <w:lang w:val="es-ES_tradnl"/>
        </w:rPr>
        <w:t xml:space="preserve">, siendo el punto más bajo el océano Atlántico, a nivel del mar, y el más alto, el monte Wuteve, en el condado de </w:t>
      </w:r>
      <w:r w:rsidR="00D14706" w:rsidRPr="007C184B">
        <w:rPr>
          <w:lang w:val="es-ES_tradnl"/>
        </w:rPr>
        <w:t>Lofa</w:t>
      </w:r>
      <w:r w:rsidRPr="007C184B">
        <w:rPr>
          <w:lang w:val="es-ES_tradnl"/>
        </w:rPr>
        <w:t>, con una altitud de 1.380 m. El país está recorrido por varias cadenas montañosas.</w:t>
      </w:r>
    </w:p>
    <w:p w:rsidR="00AC7D48" w:rsidRPr="007C184B" w:rsidRDefault="00AC7D48" w:rsidP="00AC7D48">
      <w:pPr>
        <w:pStyle w:val="SingleTxt"/>
        <w:numPr>
          <w:ilvl w:val="0"/>
          <w:numId w:val="5"/>
        </w:numPr>
        <w:suppressAutoHyphens w:val="0"/>
        <w:ind w:left="1267"/>
        <w:rPr>
          <w:lang w:val="es-ES_tradnl"/>
        </w:rPr>
      </w:pPr>
      <w:r w:rsidRPr="007C184B">
        <w:rPr>
          <w:lang w:val="es-ES_tradnl"/>
        </w:rPr>
        <w:t xml:space="preserve">Liberia tiene </w:t>
      </w:r>
      <w:r w:rsidR="00D14706" w:rsidRPr="007C184B">
        <w:rPr>
          <w:lang w:val="es-ES_tradnl"/>
        </w:rPr>
        <w:t xml:space="preserve">una </w:t>
      </w:r>
      <w:r w:rsidRPr="007C184B">
        <w:rPr>
          <w:lang w:val="es-ES_tradnl"/>
        </w:rPr>
        <w:t>vegetación de selva pluvial tropical, caracterizad</w:t>
      </w:r>
      <w:r w:rsidR="00D14706" w:rsidRPr="007C184B">
        <w:rPr>
          <w:lang w:val="es-ES_tradnl"/>
        </w:rPr>
        <w:t>a</w:t>
      </w:r>
      <w:r w:rsidRPr="007C184B">
        <w:rPr>
          <w:lang w:val="es-ES_tradnl"/>
        </w:rPr>
        <w:t xml:space="preserve"> fundamentalmente por árboles leguminosos y un número menor de árboles maderables, entre los que se incluyen especies comerciales de niagon, tetra, abura, ekki, framire, iroko, limbali, kusia, entre otros, que constituyen importantes fuentes de ingresos. En la actualidad, Liberia cuenta con el 40% de las selvas tropicales de África Occidental. Los principales recursos del país son </w:t>
      </w:r>
      <w:r w:rsidR="00D14706" w:rsidRPr="007C184B">
        <w:rPr>
          <w:lang w:val="es-ES_tradnl"/>
        </w:rPr>
        <w:t>el mineral de hierro</w:t>
      </w:r>
      <w:r w:rsidRPr="007C184B">
        <w:rPr>
          <w:lang w:val="es-ES_tradnl"/>
        </w:rPr>
        <w:t xml:space="preserve">, la madera, los diamantes y el oro. La agricultura representa una pequeña porción de las exportaciones, pues </w:t>
      </w:r>
      <w:r w:rsidR="00D14706" w:rsidRPr="007C184B">
        <w:rPr>
          <w:lang w:val="es-ES_tradnl"/>
        </w:rPr>
        <w:t xml:space="preserve">Liberia </w:t>
      </w:r>
      <w:r w:rsidRPr="007C184B">
        <w:rPr>
          <w:lang w:val="es-ES_tradnl"/>
        </w:rPr>
        <w:t>se basa en la agricultura de subsistencia. El país sufre serios problemas de inseguridad alimentaria. En la actualidad, Liberia importa el 60% de sus alimentos.</w:t>
      </w:r>
    </w:p>
    <w:p w:rsidR="00AC7D48" w:rsidRPr="007C184B" w:rsidRDefault="00AC7D48" w:rsidP="00AC7D48">
      <w:pPr>
        <w:pStyle w:val="SingleTxt"/>
        <w:spacing w:after="0" w:line="120" w:lineRule="exact"/>
        <w:rPr>
          <w:b/>
          <w:sz w:val="10"/>
          <w:lang w:val="es-ES_tradnl"/>
        </w:rPr>
      </w:pPr>
    </w:p>
    <w:p w:rsidR="00AC7D48" w:rsidRPr="007C184B" w:rsidRDefault="00AC7D48" w:rsidP="00AC7D48">
      <w:pPr>
        <w:pStyle w:val="SingleTxt"/>
        <w:spacing w:after="0" w:line="120" w:lineRule="exact"/>
        <w:rPr>
          <w:b/>
          <w:sz w:val="10"/>
          <w:lang w:val="es-ES_tradnl"/>
        </w:rPr>
      </w:pPr>
    </w:p>
    <w:p w:rsidR="00AC7D48" w:rsidRPr="007C184B" w:rsidRDefault="00AC7D48" w:rsidP="00AC7D4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7C184B">
        <w:rPr>
          <w:lang w:val="es-ES_tradnl"/>
        </w:rPr>
        <w:tab/>
        <w:t>B.</w:t>
      </w:r>
      <w:r w:rsidRPr="007C184B">
        <w:rPr>
          <w:lang w:val="es-ES_tradnl"/>
        </w:rPr>
        <w:tab/>
        <w:t xml:space="preserve">Clima </w:t>
      </w:r>
    </w:p>
    <w:p w:rsidR="00AC7D48" w:rsidRPr="007C184B" w:rsidRDefault="00AC7D48" w:rsidP="00AC7D48">
      <w:pPr>
        <w:pStyle w:val="SingleTxt"/>
        <w:spacing w:after="0" w:line="120" w:lineRule="exact"/>
        <w:rPr>
          <w:sz w:val="10"/>
          <w:lang w:val="es-ES_tradnl"/>
        </w:rPr>
      </w:pPr>
    </w:p>
    <w:p w:rsidR="00AC7D48" w:rsidRPr="007C184B" w:rsidRDefault="00AC7D48" w:rsidP="00AC7D48">
      <w:pPr>
        <w:pStyle w:val="SingleTxt"/>
        <w:spacing w:after="0" w:line="120" w:lineRule="exact"/>
        <w:rPr>
          <w:sz w:val="10"/>
          <w:lang w:val="es-ES_tradnl"/>
        </w:rPr>
      </w:pPr>
    </w:p>
    <w:p w:rsidR="00AC7D48" w:rsidRPr="007C184B" w:rsidRDefault="00AC7D48" w:rsidP="00AC7D48">
      <w:pPr>
        <w:pStyle w:val="SingleTxt"/>
        <w:numPr>
          <w:ilvl w:val="0"/>
          <w:numId w:val="5"/>
        </w:numPr>
        <w:suppressAutoHyphens w:val="0"/>
        <w:ind w:left="1267"/>
        <w:rPr>
          <w:lang w:val="es-ES_tradnl"/>
        </w:rPr>
      </w:pPr>
      <w:r w:rsidRPr="007C184B">
        <w:rPr>
          <w:lang w:val="es-ES_tradnl"/>
        </w:rPr>
        <w:t>Liberia tiene dos estaciones: una lluviosa y otra seca. Por lo general, la estación lluviosa dura de mayo a octubre y la estación seca, de noviembre a abril. Hay períodos intermitentes de lluvias leves o de estiaje moderado. Por lo general, el clima es tropical, húme</w:t>
      </w:r>
      <w:r w:rsidR="00D14706" w:rsidRPr="007C184B">
        <w:rPr>
          <w:lang w:val="es-ES_tradnl"/>
        </w:rPr>
        <w:t>d</w:t>
      </w:r>
      <w:r w:rsidRPr="007C184B">
        <w:rPr>
          <w:lang w:val="es-ES_tradnl"/>
        </w:rPr>
        <w:t>o y seco con días calurosos y noches de frescas a frías. Recientemente se han producido cambios periódicos en las estaciones debido a los efectos del cambi</w:t>
      </w:r>
      <w:r w:rsidR="00D14706" w:rsidRPr="007C184B">
        <w:rPr>
          <w:lang w:val="es-ES_tradnl"/>
        </w:rPr>
        <w:t>o climático. Estos han afectado</w:t>
      </w:r>
      <w:r w:rsidRPr="007C184B">
        <w:rPr>
          <w:lang w:val="es-ES_tradnl"/>
        </w:rPr>
        <w:t xml:space="preserve"> a las actividades agrícolas</w:t>
      </w:r>
      <w:r w:rsidR="00D14706" w:rsidRPr="007C184B">
        <w:rPr>
          <w:lang w:val="es-ES_tradnl"/>
        </w:rPr>
        <w:t>: los agricultores comienzan la temporada agrícola</w:t>
      </w:r>
      <w:r w:rsidRPr="007C184B">
        <w:rPr>
          <w:lang w:val="es-ES_tradnl"/>
        </w:rPr>
        <w:t xml:space="preserve"> más tarde de lo habitual debido a períodos secos más largos en algunas partes de Liberia. </w:t>
      </w:r>
    </w:p>
    <w:p w:rsidR="00AC7D48" w:rsidRPr="007C184B" w:rsidRDefault="00AC7D48" w:rsidP="00AC7D48">
      <w:pPr>
        <w:pStyle w:val="SingleTxt"/>
        <w:suppressAutoHyphens w:val="0"/>
        <w:spacing w:after="0" w:line="120" w:lineRule="exact"/>
        <w:ind w:left="0"/>
        <w:rPr>
          <w:sz w:val="10"/>
          <w:lang w:val="es-ES_tradnl"/>
        </w:rPr>
      </w:pPr>
    </w:p>
    <w:p w:rsidR="00AC7D48" w:rsidRPr="007C184B" w:rsidRDefault="00AC7D48" w:rsidP="00AC7D48">
      <w:pPr>
        <w:pStyle w:val="SingleTxt"/>
        <w:suppressAutoHyphens w:val="0"/>
        <w:spacing w:after="0" w:line="120" w:lineRule="exact"/>
        <w:rPr>
          <w:sz w:val="10"/>
          <w:lang w:val="es-ES_tradnl"/>
        </w:rPr>
      </w:pPr>
    </w:p>
    <w:p w:rsidR="00AC7D48" w:rsidRPr="007C184B" w:rsidRDefault="00AC7D48" w:rsidP="00AC7D4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7C184B">
        <w:rPr>
          <w:lang w:val="es-ES_tradnl"/>
        </w:rPr>
        <w:tab/>
        <w:t>C.</w:t>
      </w:r>
      <w:r w:rsidRPr="007C184B">
        <w:rPr>
          <w:lang w:val="es-ES_tradnl"/>
        </w:rPr>
        <w:tab/>
        <w:t>Grupos étnicos y lingüísticos</w:t>
      </w:r>
    </w:p>
    <w:p w:rsidR="00AC7D48" w:rsidRPr="007C184B" w:rsidRDefault="00AC7D48" w:rsidP="00AC7D48">
      <w:pPr>
        <w:pStyle w:val="SingleTxt"/>
        <w:spacing w:after="0" w:line="120" w:lineRule="exact"/>
        <w:rPr>
          <w:sz w:val="10"/>
          <w:lang w:val="es-ES_tradnl"/>
        </w:rPr>
      </w:pPr>
    </w:p>
    <w:p w:rsidR="00AC7D48" w:rsidRPr="007C184B" w:rsidRDefault="00AC7D48" w:rsidP="00AC7D48">
      <w:pPr>
        <w:pStyle w:val="SingleTxt"/>
        <w:spacing w:after="0" w:line="120" w:lineRule="exact"/>
        <w:rPr>
          <w:sz w:val="10"/>
          <w:lang w:val="es-ES_tradnl"/>
        </w:rPr>
      </w:pPr>
    </w:p>
    <w:p w:rsidR="00AC7D48" w:rsidRPr="007C184B" w:rsidRDefault="00AC7D48" w:rsidP="00AC7D48">
      <w:pPr>
        <w:pStyle w:val="SingleTxt"/>
        <w:numPr>
          <w:ilvl w:val="0"/>
          <w:numId w:val="5"/>
        </w:numPr>
        <w:suppressAutoHyphens w:val="0"/>
        <w:ind w:left="1267"/>
        <w:rPr>
          <w:lang w:val="es-ES_tradnl"/>
        </w:rPr>
      </w:pPr>
      <w:r w:rsidRPr="007C184B">
        <w:rPr>
          <w:lang w:val="es-ES_tradnl"/>
        </w:rPr>
        <w:t xml:space="preserve">El idioma oficial de Liberia es </w:t>
      </w:r>
      <w:r w:rsidR="00D14706" w:rsidRPr="007C184B">
        <w:rPr>
          <w:lang w:val="es-ES_tradnl"/>
        </w:rPr>
        <w:t>el</w:t>
      </w:r>
      <w:r w:rsidRPr="007C184B">
        <w:rPr>
          <w:lang w:val="es-ES_tradnl"/>
        </w:rPr>
        <w:t xml:space="preserve"> inglés. Además, existen 16 grandes grupos </w:t>
      </w:r>
      <w:r w:rsidR="00D14706" w:rsidRPr="007C184B">
        <w:rPr>
          <w:lang w:val="es-ES_tradnl"/>
        </w:rPr>
        <w:t>étnic</w:t>
      </w:r>
      <w:r w:rsidR="00EA0356">
        <w:rPr>
          <w:lang w:val="es-ES_tradnl"/>
        </w:rPr>
        <w:t>o</w:t>
      </w:r>
      <w:r w:rsidR="00D14706" w:rsidRPr="007C184B">
        <w:rPr>
          <w:lang w:val="es-ES_tradnl"/>
        </w:rPr>
        <w:t xml:space="preserve">s y </w:t>
      </w:r>
      <w:r w:rsidRPr="007C184B">
        <w:rPr>
          <w:lang w:val="es-ES_tradnl"/>
        </w:rPr>
        <w:t xml:space="preserve">lingüísticos, a saber: bassa, belle, dahn (gio), dei, gbandi, gola, grebo, kissi, kpelle, krahn, krao (kru), lorma, mandingo, mahn (mano), mende y vai. La mayoría de los liberianos habla una o más de esas lenguas o alguna forma de </w:t>
      </w:r>
      <w:r w:rsidR="00D14706" w:rsidRPr="007C184B">
        <w:rPr>
          <w:lang w:val="es-ES_tradnl"/>
        </w:rPr>
        <w:t>criollo (</w:t>
      </w:r>
      <w:r w:rsidRPr="007C184B">
        <w:rPr>
          <w:lang w:val="es-ES_tradnl"/>
        </w:rPr>
        <w:t>inglés liberiano</w:t>
      </w:r>
      <w:r w:rsidR="00D14706" w:rsidRPr="007C184B">
        <w:rPr>
          <w:lang w:val="es-ES_tradnl"/>
        </w:rPr>
        <w:t>)</w:t>
      </w:r>
      <w:r w:rsidRPr="007C184B">
        <w:rPr>
          <w:lang w:val="es-ES_tradnl"/>
        </w:rPr>
        <w:t xml:space="preserve">. </w:t>
      </w:r>
    </w:p>
    <w:p w:rsidR="00AC7D48" w:rsidRPr="007C184B" w:rsidRDefault="00AC7D48" w:rsidP="00AC7D48">
      <w:pPr>
        <w:pStyle w:val="SingleTxt"/>
        <w:suppressAutoHyphens w:val="0"/>
        <w:spacing w:after="0" w:line="120" w:lineRule="exact"/>
        <w:rPr>
          <w:sz w:val="10"/>
          <w:lang w:val="es-ES_tradnl"/>
        </w:rPr>
      </w:pPr>
    </w:p>
    <w:p w:rsidR="00AC7D48" w:rsidRPr="007C184B" w:rsidRDefault="00AC7D48" w:rsidP="00AC7D48">
      <w:pPr>
        <w:pStyle w:val="SingleTxt"/>
        <w:suppressAutoHyphens w:val="0"/>
        <w:spacing w:after="0" w:line="120" w:lineRule="exact"/>
        <w:rPr>
          <w:sz w:val="10"/>
          <w:lang w:val="es-ES_tradnl"/>
        </w:rPr>
      </w:pPr>
    </w:p>
    <w:p w:rsidR="00AC7D48" w:rsidRPr="007C184B" w:rsidRDefault="00AC7D48" w:rsidP="00D1470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7C184B">
        <w:rPr>
          <w:lang w:val="es-ES_tradnl"/>
        </w:rPr>
        <w:tab/>
        <w:t>II.</w:t>
      </w:r>
      <w:r w:rsidRPr="007C184B">
        <w:rPr>
          <w:lang w:val="es-ES_tradnl"/>
        </w:rPr>
        <w:tab/>
        <w:t>Características demográficas</w:t>
      </w:r>
    </w:p>
    <w:p w:rsidR="00AC7D48" w:rsidRPr="007C184B" w:rsidRDefault="00AC7D48" w:rsidP="00D14706">
      <w:pPr>
        <w:pStyle w:val="SingleTxt"/>
        <w:keepNext/>
        <w:keepLines/>
        <w:spacing w:after="0" w:line="120" w:lineRule="exact"/>
        <w:rPr>
          <w:sz w:val="10"/>
          <w:lang w:val="es-ES_tradnl"/>
        </w:rPr>
      </w:pPr>
    </w:p>
    <w:p w:rsidR="00AC7D48" w:rsidRPr="007C184B" w:rsidRDefault="00AC7D48" w:rsidP="00D14706">
      <w:pPr>
        <w:pStyle w:val="SingleTxt"/>
        <w:keepNext/>
        <w:keepLines/>
        <w:spacing w:after="0" w:line="120" w:lineRule="exact"/>
        <w:rPr>
          <w:sz w:val="10"/>
          <w:lang w:val="es-ES_tradnl"/>
        </w:rPr>
      </w:pPr>
    </w:p>
    <w:p w:rsidR="00AC7D48" w:rsidRPr="007C184B" w:rsidRDefault="00AC7D48" w:rsidP="00D14706">
      <w:pPr>
        <w:pStyle w:val="SingleTxt"/>
        <w:keepNext/>
        <w:keepLines/>
        <w:numPr>
          <w:ilvl w:val="0"/>
          <w:numId w:val="5"/>
        </w:numPr>
        <w:suppressAutoHyphens w:val="0"/>
        <w:ind w:left="1267"/>
        <w:rPr>
          <w:lang w:val="es-ES_tradnl"/>
        </w:rPr>
      </w:pPr>
      <w:r w:rsidRPr="007C184B">
        <w:rPr>
          <w:lang w:val="es-ES_tradnl"/>
        </w:rPr>
        <w:t>La población actual de Liberia es de 3,5 millones de habitantes, con una tasa de crecimiento anual del 2,1% (censo de población y vivienda de 2008). Las mujeres representan casi la mitad de la población</w:t>
      </w:r>
      <w:r w:rsidR="00D14706" w:rsidRPr="007C184B">
        <w:rPr>
          <w:lang w:val="es-ES_tradnl"/>
        </w:rPr>
        <w:t xml:space="preserve"> (el 49,4%)</w:t>
      </w:r>
      <w:r w:rsidRPr="007C184B">
        <w:rPr>
          <w:lang w:val="es-ES_tradnl"/>
        </w:rPr>
        <w:t>. La proporción entre hombres y mujeres es de 102,3.</w:t>
      </w:r>
    </w:p>
    <w:p w:rsidR="00AC7D48" w:rsidRPr="007C184B" w:rsidRDefault="00AC7D48" w:rsidP="00AC7D48">
      <w:pPr>
        <w:pStyle w:val="SingleTxt"/>
        <w:suppressAutoHyphens w:val="0"/>
        <w:spacing w:after="0" w:line="120" w:lineRule="exact"/>
        <w:rPr>
          <w:sz w:val="10"/>
          <w:lang w:val="es-ES_tradnl"/>
        </w:rPr>
      </w:pPr>
    </w:p>
    <w:p w:rsidR="00AC7D48" w:rsidRPr="007C184B" w:rsidRDefault="00AC7D48" w:rsidP="00AC7D48">
      <w:pPr>
        <w:pStyle w:val="SingleTxt"/>
        <w:suppressAutoHyphens w:val="0"/>
        <w:spacing w:after="0" w:line="120" w:lineRule="exact"/>
        <w:rPr>
          <w:sz w:val="10"/>
          <w:lang w:val="es-ES_tradnl"/>
        </w:rPr>
      </w:pPr>
    </w:p>
    <w:p w:rsidR="00AC7D48" w:rsidRPr="007C184B" w:rsidRDefault="00AC7D48" w:rsidP="00AC7D4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7C184B">
        <w:rPr>
          <w:lang w:val="es-ES_tradnl"/>
        </w:rPr>
        <w:tab/>
        <w:t>A.</w:t>
      </w:r>
      <w:r w:rsidRPr="007C184B">
        <w:rPr>
          <w:lang w:val="es-ES_tradnl"/>
        </w:rPr>
        <w:tab/>
        <w:t>Perfil de género por sector</w:t>
      </w:r>
    </w:p>
    <w:p w:rsidR="00AC7D48" w:rsidRPr="007C184B" w:rsidRDefault="00AC7D48" w:rsidP="00AC7D48">
      <w:pPr>
        <w:pStyle w:val="SingleTxt"/>
        <w:spacing w:after="0" w:line="120" w:lineRule="exact"/>
        <w:rPr>
          <w:sz w:val="10"/>
          <w:lang w:val="es-ES_tradnl"/>
        </w:rPr>
      </w:pPr>
    </w:p>
    <w:p w:rsidR="00AC7D48" w:rsidRPr="007C184B" w:rsidRDefault="00AC7D48" w:rsidP="00AC7D48">
      <w:pPr>
        <w:pStyle w:val="SingleTxt"/>
        <w:spacing w:after="0" w:line="120" w:lineRule="exact"/>
        <w:rPr>
          <w:sz w:val="10"/>
          <w:lang w:val="es-ES_tradnl"/>
        </w:rPr>
      </w:pPr>
    </w:p>
    <w:p w:rsidR="00AC7D48" w:rsidRPr="007C184B" w:rsidRDefault="00AC7D48" w:rsidP="00AC7D48">
      <w:pPr>
        <w:pStyle w:val="SingleTxt"/>
        <w:numPr>
          <w:ilvl w:val="0"/>
          <w:numId w:val="5"/>
        </w:numPr>
        <w:suppressAutoHyphens w:val="0"/>
        <w:ind w:left="1267"/>
        <w:rPr>
          <w:lang w:val="es-ES_tradnl"/>
        </w:rPr>
      </w:pPr>
      <w:r w:rsidRPr="007C184B">
        <w:rPr>
          <w:lang w:val="es-ES_tradnl"/>
        </w:rPr>
        <w:t xml:space="preserve">El actual perfil de género por sector en Liberia muestra un aumento general de la presencia de la mujer, a pesar de que </w:t>
      </w:r>
      <w:r w:rsidR="00D14706" w:rsidRPr="007C184B">
        <w:rPr>
          <w:lang w:val="es-ES_tradnl"/>
        </w:rPr>
        <w:t>el número de mujeres sigue siendo escaso</w:t>
      </w:r>
      <w:r w:rsidRPr="007C184B">
        <w:rPr>
          <w:lang w:val="es-ES_tradnl"/>
        </w:rPr>
        <w:t xml:space="preserve"> en la mayoría de los sectores. Las mujeres son más numeros</w:t>
      </w:r>
      <w:r w:rsidR="00D14706" w:rsidRPr="007C184B">
        <w:rPr>
          <w:lang w:val="es-ES_tradnl"/>
        </w:rPr>
        <w:t>as en el comercio no estructurado</w:t>
      </w:r>
      <w:r w:rsidRPr="007C184B">
        <w:rPr>
          <w:lang w:val="es-ES_tradnl"/>
        </w:rPr>
        <w:t xml:space="preserve">, con una representación del 80%, y en la agricultura, con una representación del 60%. El sector en que están menos presentes </w:t>
      </w:r>
      <w:r w:rsidR="00EA0356">
        <w:rPr>
          <w:lang w:val="es-ES_tradnl"/>
        </w:rPr>
        <w:t xml:space="preserve">es </w:t>
      </w:r>
      <w:r w:rsidR="007C184B" w:rsidRPr="007C184B">
        <w:rPr>
          <w:lang w:val="es-ES_tradnl"/>
        </w:rPr>
        <w:t xml:space="preserve">entre los jueces </w:t>
      </w:r>
      <w:r w:rsidRPr="007C184B">
        <w:rPr>
          <w:lang w:val="es-ES_tradnl"/>
        </w:rPr>
        <w:t>estipendiarios, seguido de las fuerzas armadas, con una representación del 0,7% y del 3,8%, respectivamente.</w:t>
      </w:r>
    </w:p>
    <w:p w:rsidR="00AC7D48" w:rsidRPr="007C184B" w:rsidRDefault="00AC7D48" w:rsidP="00AC7D48">
      <w:pPr>
        <w:pStyle w:val="SingleTxt"/>
        <w:suppressAutoHyphens w:val="0"/>
        <w:spacing w:after="0" w:line="120" w:lineRule="exact"/>
        <w:rPr>
          <w:sz w:val="10"/>
          <w:lang w:val="es-ES_tradnl"/>
        </w:rPr>
      </w:pPr>
    </w:p>
    <w:p w:rsidR="00AC7D48" w:rsidRPr="007C184B" w:rsidRDefault="00AC7D48" w:rsidP="00AC7D48">
      <w:pPr>
        <w:pStyle w:val="SingleTxt"/>
        <w:suppressAutoHyphens w:val="0"/>
        <w:spacing w:after="0" w:line="120" w:lineRule="exact"/>
        <w:rPr>
          <w:sz w:val="10"/>
          <w:lang w:val="es-ES_tradnl"/>
        </w:rPr>
      </w:pPr>
    </w:p>
    <w:p w:rsidR="00AC7D48" w:rsidRPr="007C184B" w:rsidRDefault="00AC7D48" w:rsidP="00AC7D4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7C184B">
        <w:rPr>
          <w:lang w:val="es-ES_tradnl"/>
        </w:rPr>
        <w:tab/>
        <w:t>B.</w:t>
      </w:r>
      <w:r w:rsidRPr="007C184B">
        <w:rPr>
          <w:lang w:val="es-ES_tradnl"/>
        </w:rPr>
        <w:tab/>
        <w:t>Cuadro sobre el perfil de género</w:t>
      </w:r>
    </w:p>
    <w:p w:rsidR="00AC7D48" w:rsidRPr="007C184B" w:rsidRDefault="00AC7D48" w:rsidP="00AC7D48">
      <w:pPr>
        <w:pStyle w:val="SingleTxt"/>
        <w:spacing w:after="0" w:line="120" w:lineRule="exact"/>
        <w:rPr>
          <w:sz w:val="10"/>
          <w:lang w:val="es-ES_tradnl"/>
        </w:rPr>
      </w:pPr>
    </w:p>
    <w:p w:rsidR="00AC7D48" w:rsidRPr="007C184B" w:rsidRDefault="00AC7D48" w:rsidP="00AC7D48">
      <w:pPr>
        <w:pStyle w:val="SingleTxt"/>
        <w:spacing w:after="0" w:line="120" w:lineRule="exact"/>
        <w:rPr>
          <w:sz w:val="10"/>
          <w:lang w:val="es-ES_tradnl"/>
        </w:rPr>
      </w:pPr>
    </w:p>
    <w:p w:rsidR="00AC7D48" w:rsidRPr="007C184B" w:rsidRDefault="007C184B" w:rsidP="00AC7D48">
      <w:pPr>
        <w:pStyle w:val="SingleTxt"/>
        <w:numPr>
          <w:ilvl w:val="0"/>
          <w:numId w:val="5"/>
        </w:numPr>
        <w:tabs>
          <w:tab w:val="clear" w:pos="475"/>
          <w:tab w:val="num" w:pos="1742"/>
        </w:tabs>
        <w:suppressAutoHyphens w:val="0"/>
        <w:ind w:left="1267"/>
        <w:rPr>
          <w:lang w:val="es-ES_tradnl"/>
        </w:rPr>
      </w:pPr>
      <w:r w:rsidRPr="007C184B">
        <w:rPr>
          <w:lang w:val="es-ES_tradnl"/>
        </w:rPr>
        <w:t>El cuadro siguiente muestra</w:t>
      </w:r>
      <w:r w:rsidR="00AC7D48" w:rsidRPr="007C184B">
        <w:rPr>
          <w:lang w:val="es-ES_tradnl"/>
        </w:rPr>
        <w:t xml:space="preserve"> la participación de las mujeres en los sectores clave, clasificando la información por géneros, al momento de prepararse el presente informe.</w:t>
      </w:r>
    </w:p>
    <w:p w:rsidR="00AC7D48" w:rsidRPr="007C184B" w:rsidRDefault="00AC7D48" w:rsidP="00AC7D48">
      <w:pPr>
        <w:pStyle w:val="SingleTxt"/>
        <w:suppressAutoHyphens w:val="0"/>
        <w:spacing w:after="0" w:line="120" w:lineRule="exact"/>
        <w:rPr>
          <w:sz w:val="10"/>
          <w:lang w:val="es-ES_tradnl"/>
        </w:rPr>
      </w:pPr>
    </w:p>
    <w:p w:rsidR="004012F7" w:rsidRPr="007C184B" w:rsidRDefault="00AC7D48" w:rsidP="00AC7D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7C184B">
        <w:rPr>
          <w:lang w:val="es-ES_tradnl"/>
        </w:rPr>
        <w:tab/>
      </w:r>
      <w:r w:rsidRPr="007C184B">
        <w:rPr>
          <w:lang w:val="es-ES_tradnl"/>
        </w:rPr>
        <w:tab/>
        <w:t>Perfil de género por sector</w:t>
      </w:r>
      <w:r w:rsidR="007C184B" w:rsidRPr="007C184B">
        <w:rPr>
          <w:lang w:val="es-ES_tradnl"/>
        </w:rPr>
        <w:t xml:space="preserve"> en Liberia</w:t>
      </w:r>
    </w:p>
    <w:p w:rsidR="00AC7D48" w:rsidRDefault="00AC7D48" w:rsidP="00AC7D48">
      <w:pPr>
        <w:pStyle w:val="SingleTxt"/>
        <w:spacing w:after="0" w:line="120" w:lineRule="exact"/>
        <w:rPr>
          <w:sz w:val="10"/>
          <w:lang w:val="es-ES_tradnl"/>
        </w:rPr>
      </w:pPr>
    </w:p>
    <w:p w:rsidR="00EA0356" w:rsidRPr="007C184B" w:rsidRDefault="00EA0356" w:rsidP="00AC7D48">
      <w:pPr>
        <w:pStyle w:val="SingleTxt"/>
        <w:spacing w:after="0" w:line="120" w:lineRule="exact"/>
        <w:rPr>
          <w:sz w:val="10"/>
          <w:lang w:val="es-ES_tradnl"/>
        </w:rPr>
      </w:pPr>
    </w:p>
    <w:tbl>
      <w:tblPr>
        <w:tblW w:w="7322" w:type="dxa"/>
        <w:tblInd w:w="1267" w:type="dxa"/>
        <w:tblCellMar>
          <w:left w:w="0" w:type="dxa"/>
          <w:right w:w="0" w:type="dxa"/>
        </w:tblCellMar>
        <w:tblLook w:val="04A0"/>
      </w:tblPr>
      <w:tblGrid>
        <w:gridCol w:w="3566"/>
        <w:gridCol w:w="2138"/>
        <w:gridCol w:w="1618"/>
      </w:tblGrid>
      <w:tr w:rsidR="00B966E3" w:rsidRPr="007C184B" w:rsidTr="00B966E3">
        <w:trPr>
          <w:trHeight w:val="240"/>
          <w:tblHeader/>
        </w:trPr>
        <w:tc>
          <w:tcPr>
            <w:tcW w:w="3566" w:type="dxa"/>
            <w:tcBorders>
              <w:top w:val="single" w:sz="4" w:space="0" w:color="auto"/>
              <w:left w:val="nil"/>
              <w:bottom w:val="single" w:sz="12" w:space="0" w:color="auto"/>
              <w:right w:val="nil"/>
            </w:tcBorders>
            <w:vAlign w:val="bottom"/>
            <w:hideMark/>
          </w:tcPr>
          <w:p w:rsidR="00B966E3" w:rsidRPr="007C184B" w:rsidRDefault="00B966E3">
            <w:pPr>
              <w:spacing w:before="81" w:after="81" w:line="160" w:lineRule="exact"/>
              <w:ind w:right="40"/>
              <w:rPr>
                <w:rFonts w:eastAsia="Times New Roman"/>
                <w:i/>
                <w:spacing w:val="0"/>
                <w:w w:val="100"/>
                <w:sz w:val="14"/>
                <w:szCs w:val="24"/>
                <w:lang w:val="es-ES_tradnl"/>
              </w:rPr>
            </w:pPr>
            <w:r w:rsidRPr="007C184B">
              <w:rPr>
                <w:rFonts w:eastAsia="Times New Roman"/>
                <w:i/>
                <w:spacing w:val="0"/>
                <w:w w:val="100"/>
                <w:sz w:val="14"/>
                <w:szCs w:val="24"/>
                <w:lang w:val="es-ES_tradnl"/>
              </w:rPr>
              <w:t>Economía</w:t>
            </w:r>
          </w:p>
        </w:tc>
        <w:tc>
          <w:tcPr>
            <w:tcW w:w="2138" w:type="dxa"/>
            <w:tcBorders>
              <w:top w:val="single" w:sz="4" w:space="0" w:color="auto"/>
              <w:left w:val="nil"/>
              <w:bottom w:val="single" w:sz="12" w:space="0" w:color="auto"/>
              <w:right w:val="nil"/>
            </w:tcBorders>
            <w:vAlign w:val="bottom"/>
            <w:hideMark/>
          </w:tcPr>
          <w:p w:rsidR="00B966E3" w:rsidRPr="007C184B" w:rsidRDefault="00B966E3" w:rsidP="00670975">
            <w:pPr>
              <w:spacing w:before="81" w:after="81" w:line="160" w:lineRule="exact"/>
              <w:ind w:right="43"/>
              <w:jc w:val="right"/>
              <w:rPr>
                <w:rFonts w:eastAsia="Times New Roman"/>
                <w:i/>
                <w:spacing w:val="0"/>
                <w:w w:val="100"/>
                <w:sz w:val="14"/>
                <w:szCs w:val="24"/>
                <w:lang w:val="es-ES_tradnl"/>
              </w:rPr>
            </w:pPr>
            <w:r w:rsidRPr="007C184B">
              <w:rPr>
                <w:rFonts w:eastAsia="Times New Roman"/>
                <w:i/>
                <w:spacing w:val="0"/>
                <w:w w:val="100"/>
                <w:sz w:val="14"/>
                <w:szCs w:val="24"/>
                <w:lang w:val="es-ES_tradnl"/>
              </w:rPr>
              <w:t>Mujeres</w:t>
            </w:r>
          </w:p>
        </w:tc>
        <w:tc>
          <w:tcPr>
            <w:tcW w:w="1618" w:type="dxa"/>
            <w:tcBorders>
              <w:top w:val="single" w:sz="4" w:space="0" w:color="auto"/>
              <w:left w:val="nil"/>
              <w:bottom w:val="single" w:sz="12" w:space="0" w:color="auto"/>
              <w:right w:val="nil"/>
            </w:tcBorders>
            <w:vAlign w:val="bottom"/>
            <w:hideMark/>
          </w:tcPr>
          <w:p w:rsidR="00B966E3" w:rsidRPr="007C184B" w:rsidRDefault="00B966E3" w:rsidP="00670975">
            <w:pPr>
              <w:spacing w:before="81" w:after="81" w:line="160" w:lineRule="exact"/>
              <w:ind w:right="43"/>
              <w:jc w:val="right"/>
              <w:rPr>
                <w:rFonts w:eastAsia="Times New Roman"/>
                <w:i/>
                <w:spacing w:val="0"/>
                <w:w w:val="100"/>
                <w:sz w:val="14"/>
                <w:szCs w:val="24"/>
                <w:lang w:val="es-ES_tradnl"/>
              </w:rPr>
            </w:pPr>
            <w:r w:rsidRPr="007C184B">
              <w:rPr>
                <w:rFonts w:eastAsia="Times New Roman"/>
                <w:i/>
                <w:spacing w:val="0"/>
                <w:w w:val="100"/>
                <w:sz w:val="14"/>
                <w:szCs w:val="24"/>
                <w:lang w:val="es-ES_tradnl"/>
              </w:rPr>
              <w:t>Hombres</w:t>
            </w:r>
          </w:p>
        </w:tc>
      </w:tr>
      <w:tr w:rsidR="00B966E3" w:rsidRPr="007C184B" w:rsidTr="00B966E3">
        <w:trPr>
          <w:trHeight w:hRule="exact" w:val="115"/>
          <w:tblHeader/>
        </w:trPr>
        <w:tc>
          <w:tcPr>
            <w:tcW w:w="3566" w:type="dxa"/>
            <w:tcBorders>
              <w:top w:val="single" w:sz="12" w:space="0" w:color="auto"/>
              <w:left w:val="nil"/>
              <w:bottom w:val="nil"/>
              <w:right w:val="nil"/>
            </w:tcBorders>
            <w:vAlign w:val="bottom"/>
          </w:tcPr>
          <w:p w:rsidR="00B966E3" w:rsidRPr="007C184B" w:rsidRDefault="00B966E3">
            <w:pPr>
              <w:spacing w:before="40" w:after="40" w:line="210" w:lineRule="exact"/>
              <w:ind w:right="40"/>
              <w:rPr>
                <w:rFonts w:eastAsia="Times New Roman"/>
                <w:spacing w:val="0"/>
                <w:w w:val="100"/>
                <w:sz w:val="17"/>
                <w:szCs w:val="24"/>
                <w:lang w:val="es-ES_tradnl"/>
              </w:rPr>
            </w:pPr>
          </w:p>
        </w:tc>
        <w:tc>
          <w:tcPr>
            <w:tcW w:w="2138" w:type="dxa"/>
            <w:tcBorders>
              <w:top w:val="single" w:sz="12" w:space="0" w:color="auto"/>
              <w:left w:val="nil"/>
              <w:bottom w:val="nil"/>
              <w:right w:val="nil"/>
            </w:tcBorders>
            <w:vAlign w:val="bottom"/>
          </w:tcPr>
          <w:p w:rsidR="00B966E3" w:rsidRPr="007C184B" w:rsidRDefault="00B966E3">
            <w:pPr>
              <w:spacing w:before="40" w:after="40" w:line="210" w:lineRule="exact"/>
              <w:ind w:right="43"/>
              <w:jc w:val="right"/>
              <w:rPr>
                <w:rFonts w:eastAsia="Times New Roman"/>
                <w:spacing w:val="0"/>
                <w:w w:val="100"/>
                <w:sz w:val="17"/>
                <w:szCs w:val="24"/>
                <w:lang w:val="es-ES_tradnl"/>
              </w:rPr>
            </w:pPr>
          </w:p>
        </w:tc>
        <w:tc>
          <w:tcPr>
            <w:tcW w:w="1618" w:type="dxa"/>
            <w:tcBorders>
              <w:top w:val="single" w:sz="12" w:space="0" w:color="auto"/>
              <w:left w:val="nil"/>
              <w:bottom w:val="nil"/>
              <w:right w:val="nil"/>
            </w:tcBorders>
            <w:vAlign w:val="bottom"/>
          </w:tcPr>
          <w:p w:rsidR="00B966E3" w:rsidRPr="007C184B" w:rsidRDefault="00B966E3">
            <w:pPr>
              <w:spacing w:before="40" w:after="40" w:line="210" w:lineRule="exact"/>
              <w:ind w:right="43"/>
              <w:jc w:val="right"/>
              <w:rPr>
                <w:rFonts w:eastAsia="Times New Roman"/>
                <w:spacing w:val="0"/>
                <w:w w:val="100"/>
                <w:sz w:val="17"/>
                <w:szCs w:val="24"/>
                <w:lang w:val="es-ES_tradnl"/>
              </w:rPr>
            </w:pPr>
          </w:p>
        </w:tc>
      </w:tr>
      <w:tr w:rsidR="00B966E3" w:rsidRPr="007C184B" w:rsidTr="00670975">
        <w:trPr>
          <w:trHeight w:val="240"/>
        </w:trPr>
        <w:tc>
          <w:tcPr>
            <w:tcW w:w="3566" w:type="dxa"/>
            <w:hideMark/>
          </w:tcPr>
          <w:p w:rsidR="00B966E3" w:rsidRPr="007C184B" w:rsidRDefault="00B966E3" w:rsidP="00670975">
            <w:pPr>
              <w:tabs>
                <w:tab w:val="left" w:pos="288"/>
                <w:tab w:val="left" w:pos="576"/>
                <w:tab w:val="left" w:pos="864"/>
                <w:tab w:val="left" w:pos="1152"/>
              </w:tabs>
              <w:spacing w:before="40" w:after="40" w:line="210" w:lineRule="exact"/>
              <w:ind w:right="40"/>
              <w:rPr>
                <w:rFonts w:eastAsia="Times New Roman"/>
                <w:spacing w:val="0"/>
                <w:w w:val="100"/>
                <w:sz w:val="17"/>
                <w:szCs w:val="24"/>
                <w:lang w:val="es-ES_tradnl"/>
              </w:rPr>
            </w:pPr>
            <w:r w:rsidRPr="007C184B">
              <w:rPr>
                <w:rFonts w:eastAsia="Times New Roman"/>
                <w:spacing w:val="0"/>
                <w:w w:val="100"/>
                <w:sz w:val="17"/>
                <w:szCs w:val="24"/>
                <w:lang w:val="es-ES_tradnl"/>
              </w:rPr>
              <w:t>Agricultura</w:t>
            </w:r>
          </w:p>
        </w:tc>
        <w:tc>
          <w:tcPr>
            <w:tcW w:w="2138" w:type="dxa"/>
            <w:vAlign w:val="bottom"/>
            <w:hideMark/>
          </w:tcPr>
          <w:p w:rsidR="00B966E3" w:rsidRPr="007C184B" w:rsidRDefault="00B966E3">
            <w:pPr>
              <w:tabs>
                <w:tab w:val="left" w:pos="288"/>
                <w:tab w:val="left" w:pos="576"/>
                <w:tab w:val="left" w:pos="864"/>
                <w:tab w:val="left" w:pos="1152"/>
              </w:tabs>
              <w:spacing w:before="40" w:after="40" w:line="210" w:lineRule="exact"/>
              <w:ind w:right="43"/>
              <w:jc w:val="right"/>
              <w:rPr>
                <w:rFonts w:eastAsia="Times New Roman"/>
                <w:spacing w:val="0"/>
                <w:w w:val="100"/>
                <w:sz w:val="17"/>
                <w:szCs w:val="24"/>
                <w:lang w:val="es-ES_tradnl"/>
              </w:rPr>
            </w:pPr>
            <w:r w:rsidRPr="007C184B">
              <w:rPr>
                <w:rFonts w:eastAsia="Times New Roman"/>
                <w:spacing w:val="0"/>
                <w:w w:val="100"/>
                <w:sz w:val="17"/>
                <w:szCs w:val="24"/>
                <w:lang w:val="es-ES_tradnl"/>
              </w:rPr>
              <w:t>60%</w:t>
            </w:r>
          </w:p>
        </w:tc>
        <w:tc>
          <w:tcPr>
            <w:tcW w:w="1618" w:type="dxa"/>
            <w:vAlign w:val="bottom"/>
            <w:hideMark/>
          </w:tcPr>
          <w:p w:rsidR="00B966E3" w:rsidRPr="007C184B" w:rsidRDefault="00B966E3">
            <w:pPr>
              <w:tabs>
                <w:tab w:val="left" w:pos="288"/>
                <w:tab w:val="left" w:pos="576"/>
                <w:tab w:val="left" w:pos="864"/>
                <w:tab w:val="left" w:pos="1152"/>
              </w:tabs>
              <w:spacing w:before="40" w:after="40" w:line="210" w:lineRule="exact"/>
              <w:ind w:right="43"/>
              <w:jc w:val="right"/>
              <w:rPr>
                <w:rFonts w:eastAsia="Times New Roman"/>
                <w:spacing w:val="0"/>
                <w:w w:val="100"/>
                <w:sz w:val="17"/>
                <w:szCs w:val="24"/>
                <w:lang w:val="es-ES_tradnl"/>
              </w:rPr>
            </w:pPr>
            <w:r w:rsidRPr="007C184B">
              <w:rPr>
                <w:rFonts w:eastAsia="Times New Roman"/>
                <w:spacing w:val="0"/>
                <w:w w:val="100"/>
                <w:sz w:val="17"/>
                <w:szCs w:val="24"/>
                <w:lang w:val="es-ES_tradnl"/>
              </w:rPr>
              <w:t>40%</w:t>
            </w:r>
          </w:p>
        </w:tc>
      </w:tr>
      <w:tr w:rsidR="00B966E3" w:rsidRPr="007C184B" w:rsidTr="00670975">
        <w:trPr>
          <w:trHeight w:val="240"/>
        </w:trPr>
        <w:tc>
          <w:tcPr>
            <w:tcW w:w="3566" w:type="dxa"/>
            <w:hideMark/>
          </w:tcPr>
          <w:p w:rsidR="00B966E3" w:rsidRPr="007C184B" w:rsidRDefault="00B966E3" w:rsidP="00670975">
            <w:pPr>
              <w:tabs>
                <w:tab w:val="left" w:pos="288"/>
                <w:tab w:val="left" w:pos="576"/>
                <w:tab w:val="left" w:pos="864"/>
                <w:tab w:val="left" w:pos="1152"/>
              </w:tabs>
              <w:spacing w:before="40" w:after="40" w:line="210" w:lineRule="exact"/>
              <w:ind w:right="40"/>
              <w:rPr>
                <w:rFonts w:eastAsia="Times New Roman"/>
                <w:spacing w:val="0"/>
                <w:w w:val="100"/>
                <w:sz w:val="17"/>
                <w:szCs w:val="24"/>
                <w:lang w:val="es-ES_tradnl"/>
              </w:rPr>
            </w:pPr>
            <w:r w:rsidRPr="007C184B">
              <w:rPr>
                <w:rFonts w:eastAsia="Times New Roman"/>
                <w:spacing w:val="0"/>
                <w:w w:val="100"/>
                <w:sz w:val="17"/>
                <w:szCs w:val="24"/>
                <w:lang w:val="es-ES_tradnl"/>
              </w:rPr>
              <w:t>Empleo en el sector no agrícola</w:t>
            </w:r>
          </w:p>
        </w:tc>
        <w:tc>
          <w:tcPr>
            <w:tcW w:w="2138" w:type="dxa"/>
            <w:vAlign w:val="bottom"/>
            <w:hideMark/>
          </w:tcPr>
          <w:p w:rsidR="00B966E3" w:rsidRPr="007C184B" w:rsidRDefault="00B966E3">
            <w:pPr>
              <w:tabs>
                <w:tab w:val="left" w:pos="288"/>
                <w:tab w:val="left" w:pos="576"/>
                <w:tab w:val="left" w:pos="864"/>
                <w:tab w:val="left" w:pos="1152"/>
              </w:tabs>
              <w:spacing w:before="40" w:after="40" w:line="210" w:lineRule="exact"/>
              <w:ind w:right="43"/>
              <w:jc w:val="right"/>
              <w:rPr>
                <w:rFonts w:eastAsia="Times New Roman"/>
                <w:spacing w:val="0"/>
                <w:w w:val="100"/>
                <w:sz w:val="17"/>
                <w:szCs w:val="24"/>
                <w:lang w:val="es-ES_tradnl"/>
              </w:rPr>
            </w:pPr>
            <w:r w:rsidRPr="007C184B">
              <w:rPr>
                <w:rFonts w:eastAsia="Times New Roman"/>
                <w:spacing w:val="0"/>
                <w:w w:val="100"/>
                <w:sz w:val="17"/>
                <w:szCs w:val="24"/>
                <w:lang w:val="es-ES_tradnl"/>
              </w:rPr>
              <w:t>36%</w:t>
            </w:r>
          </w:p>
        </w:tc>
        <w:tc>
          <w:tcPr>
            <w:tcW w:w="1618" w:type="dxa"/>
            <w:vAlign w:val="bottom"/>
            <w:hideMark/>
          </w:tcPr>
          <w:p w:rsidR="00B966E3" w:rsidRPr="007C184B" w:rsidRDefault="00B966E3">
            <w:pPr>
              <w:tabs>
                <w:tab w:val="left" w:pos="288"/>
                <w:tab w:val="left" w:pos="576"/>
                <w:tab w:val="left" w:pos="864"/>
                <w:tab w:val="left" w:pos="1152"/>
              </w:tabs>
              <w:spacing w:before="40" w:after="40" w:line="210" w:lineRule="exact"/>
              <w:ind w:right="43"/>
              <w:jc w:val="right"/>
              <w:rPr>
                <w:rFonts w:eastAsia="Times New Roman"/>
                <w:spacing w:val="0"/>
                <w:w w:val="100"/>
                <w:sz w:val="17"/>
                <w:szCs w:val="24"/>
                <w:lang w:val="es-ES_tradnl"/>
              </w:rPr>
            </w:pPr>
            <w:r w:rsidRPr="007C184B">
              <w:rPr>
                <w:rFonts w:eastAsia="Times New Roman"/>
                <w:spacing w:val="0"/>
                <w:w w:val="100"/>
                <w:sz w:val="17"/>
                <w:szCs w:val="24"/>
                <w:lang w:val="es-ES_tradnl"/>
              </w:rPr>
              <w:t>64%</w:t>
            </w:r>
          </w:p>
        </w:tc>
      </w:tr>
      <w:tr w:rsidR="00B966E3" w:rsidRPr="007C184B" w:rsidTr="00670975">
        <w:trPr>
          <w:trHeight w:val="240"/>
        </w:trPr>
        <w:tc>
          <w:tcPr>
            <w:tcW w:w="3566" w:type="dxa"/>
            <w:tcBorders>
              <w:top w:val="nil"/>
              <w:left w:val="nil"/>
              <w:bottom w:val="single" w:sz="12" w:space="0" w:color="auto"/>
              <w:right w:val="nil"/>
            </w:tcBorders>
            <w:hideMark/>
          </w:tcPr>
          <w:p w:rsidR="00B966E3" w:rsidRPr="007C184B" w:rsidRDefault="007C184B" w:rsidP="007C184B">
            <w:pPr>
              <w:tabs>
                <w:tab w:val="left" w:pos="288"/>
                <w:tab w:val="left" w:pos="576"/>
                <w:tab w:val="left" w:pos="864"/>
                <w:tab w:val="left" w:pos="1152"/>
              </w:tabs>
              <w:spacing w:before="40" w:after="80" w:line="210" w:lineRule="exact"/>
              <w:ind w:right="40"/>
              <w:rPr>
                <w:rFonts w:eastAsia="Times New Roman"/>
                <w:spacing w:val="0"/>
                <w:w w:val="100"/>
                <w:sz w:val="17"/>
                <w:szCs w:val="24"/>
                <w:lang w:val="es-ES_tradnl"/>
              </w:rPr>
            </w:pPr>
            <w:r w:rsidRPr="007C184B">
              <w:rPr>
                <w:rFonts w:eastAsia="Times New Roman"/>
                <w:spacing w:val="0"/>
                <w:w w:val="100"/>
                <w:sz w:val="17"/>
                <w:szCs w:val="24"/>
                <w:lang w:val="es-ES_tradnl"/>
              </w:rPr>
              <w:t xml:space="preserve">Economía estructurada </w:t>
            </w:r>
          </w:p>
        </w:tc>
        <w:tc>
          <w:tcPr>
            <w:tcW w:w="2138" w:type="dxa"/>
            <w:tcBorders>
              <w:top w:val="nil"/>
              <w:left w:val="nil"/>
              <w:bottom w:val="single" w:sz="12" w:space="0" w:color="auto"/>
              <w:right w:val="nil"/>
            </w:tcBorders>
            <w:vAlign w:val="bottom"/>
            <w:hideMark/>
          </w:tcPr>
          <w:p w:rsidR="00B966E3" w:rsidRPr="007C184B" w:rsidRDefault="00B966E3" w:rsidP="007C184B">
            <w:pPr>
              <w:tabs>
                <w:tab w:val="left" w:pos="288"/>
                <w:tab w:val="left" w:pos="576"/>
                <w:tab w:val="left" w:pos="864"/>
                <w:tab w:val="left" w:pos="1152"/>
              </w:tabs>
              <w:spacing w:before="40" w:after="80" w:line="210" w:lineRule="exact"/>
              <w:ind w:right="43"/>
              <w:jc w:val="right"/>
              <w:rPr>
                <w:rFonts w:eastAsia="Times New Roman"/>
                <w:spacing w:val="0"/>
                <w:w w:val="100"/>
                <w:sz w:val="17"/>
                <w:szCs w:val="24"/>
                <w:lang w:val="es-ES_tradnl"/>
              </w:rPr>
            </w:pPr>
            <w:r w:rsidRPr="007C184B">
              <w:rPr>
                <w:rFonts w:eastAsia="Times New Roman"/>
                <w:spacing w:val="0"/>
                <w:w w:val="100"/>
                <w:sz w:val="17"/>
                <w:szCs w:val="24"/>
                <w:lang w:val="es-ES_tradnl"/>
              </w:rPr>
              <w:t>24%</w:t>
            </w:r>
          </w:p>
        </w:tc>
        <w:tc>
          <w:tcPr>
            <w:tcW w:w="1618" w:type="dxa"/>
            <w:tcBorders>
              <w:top w:val="nil"/>
              <w:left w:val="nil"/>
              <w:bottom w:val="single" w:sz="12" w:space="0" w:color="auto"/>
              <w:right w:val="nil"/>
            </w:tcBorders>
            <w:vAlign w:val="bottom"/>
            <w:hideMark/>
          </w:tcPr>
          <w:p w:rsidR="00B966E3" w:rsidRPr="007C184B" w:rsidRDefault="00B966E3" w:rsidP="007C184B">
            <w:pPr>
              <w:tabs>
                <w:tab w:val="left" w:pos="288"/>
                <w:tab w:val="left" w:pos="576"/>
                <w:tab w:val="left" w:pos="864"/>
                <w:tab w:val="left" w:pos="1152"/>
              </w:tabs>
              <w:spacing w:before="40" w:after="80" w:line="210" w:lineRule="exact"/>
              <w:ind w:right="43"/>
              <w:jc w:val="right"/>
              <w:rPr>
                <w:rFonts w:eastAsia="Times New Roman"/>
                <w:spacing w:val="0"/>
                <w:w w:val="100"/>
                <w:sz w:val="17"/>
                <w:szCs w:val="24"/>
                <w:lang w:val="es-ES_tradnl"/>
              </w:rPr>
            </w:pPr>
            <w:r w:rsidRPr="007C184B">
              <w:rPr>
                <w:rFonts w:eastAsia="Times New Roman"/>
                <w:spacing w:val="0"/>
                <w:w w:val="100"/>
                <w:sz w:val="17"/>
                <w:szCs w:val="24"/>
                <w:lang w:val="es-ES_tradnl"/>
              </w:rPr>
              <w:t>86%</w:t>
            </w:r>
          </w:p>
        </w:tc>
      </w:tr>
    </w:tbl>
    <w:p w:rsidR="00AC7D48" w:rsidRPr="007C184B" w:rsidRDefault="00AC7D48" w:rsidP="00B966E3">
      <w:pPr>
        <w:pStyle w:val="SingleTxt"/>
        <w:spacing w:after="0" w:line="120" w:lineRule="exact"/>
        <w:rPr>
          <w:sz w:val="10"/>
          <w:lang w:val="es-ES_tradnl"/>
        </w:rPr>
      </w:pPr>
    </w:p>
    <w:p w:rsidR="00B966E3" w:rsidRPr="007C184B" w:rsidRDefault="00B966E3" w:rsidP="00B966E3">
      <w:pPr>
        <w:pStyle w:val="SingleTxt"/>
        <w:spacing w:after="0" w:line="120" w:lineRule="exact"/>
        <w:rPr>
          <w:sz w:val="10"/>
          <w:lang w:val="es-ES_tradnl"/>
        </w:rPr>
      </w:pPr>
    </w:p>
    <w:p w:rsidR="00B966E3" w:rsidRPr="007C184B" w:rsidRDefault="00B966E3" w:rsidP="00B966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7C184B">
        <w:rPr>
          <w:lang w:val="es-ES_tradnl"/>
        </w:rPr>
        <w:tab/>
      </w:r>
      <w:r w:rsidRPr="007C184B">
        <w:rPr>
          <w:lang w:val="es-ES_tradnl"/>
        </w:rPr>
        <w:tab/>
        <w:t>Poder legislativo y judicial</w:t>
      </w:r>
    </w:p>
    <w:p w:rsidR="00B966E3" w:rsidRDefault="00B966E3" w:rsidP="00B966E3">
      <w:pPr>
        <w:spacing w:line="120" w:lineRule="exact"/>
        <w:rPr>
          <w:sz w:val="10"/>
          <w:lang w:val="es-ES_tradnl"/>
        </w:rPr>
      </w:pPr>
    </w:p>
    <w:p w:rsidR="00EA0356" w:rsidRPr="007C184B" w:rsidRDefault="00EA0356" w:rsidP="00B966E3">
      <w:pPr>
        <w:spacing w:line="120" w:lineRule="exact"/>
        <w:rPr>
          <w:sz w:val="10"/>
          <w:lang w:val="es-ES_tradnl"/>
        </w:rPr>
      </w:pPr>
    </w:p>
    <w:tbl>
      <w:tblPr>
        <w:tblW w:w="7322" w:type="dxa"/>
        <w:tblInd w:w="1267" w:type="dxa"/>
        <w:tblCellMar>
          <w:left w:w="0" w:type="dxa"/>
          <w:right w:w="0" w:type="dxa"/>
        </w:tblCellMar>
        <w:tblLook w:val="04A0"/>
      </w:tblPr>
      <w:tblGrid>
        <w:gridCol w:w="4313"/>
        <w:gridCol w:w="1398"/>
        <w:gridCol w:w="1611"/>
      </w:tblGrid>
      <w:tr w:rsidR="00B966E3" w:rsidRPr="007C184B" w:rsidTr="00B966E3">
        <w:trPr>
          <w:trHeight w:val="240"/>
          <w:tblHeader/>
        </w:trPr>
        <w:tc>
          <w:tcPr>
            <w:tcW w:w="4313" w:type="dxa"/>
            <w:tcBorders>
              <w:top w:val="single" w:sz="4" w:space="0" w:color="auto"/>
              <w:left w:val="nil"/>
              <w:bottom w:val="single" w:sz="12" w:space="0" w:color="auto"/>
              <w:right w:val="nil"/>
            </w:tcBorders>
            <w:vAlign w:val="bottom"/>
            <w:hideMark/>
          </w:tcPr>
          <w:p w:rsidR="00B966E3" w:rsidRPr="007C184B" w:rsidRDefault="00B966E3">
            <w:pPr>
              <w:spacing w:before="81" w:after="81" w:line="160" w:lineRule="exact"/>
              <w:ind w:right="40"/>
              <w:rPr>
                <w:rFonts w:eastAsia="Times New Roman"/>
                <w:i/>
                <w:spacing w:val="0"/>
                <w:w w:val="100"/>
                <w:sz w:val="14"/>
                <w:szCs w:val="24"/>
                <w:lang w:val="es-ES_tradnl"/>
              </w:rPr>
            </w:pPr>
            <w:r w:rsidRPr="007C184B">
              <w:rPr>
                <w:rFonts w:eastAsia="Times New Roman"/>
                <w:i/>
                <w:spacing w:val="0"/>
                <w:w w:val="100"/>
                <w:sz w:val="14"/>
                <w:szCs w:val="24"/>
                <w:lang w:val="es-ES_tradnl"/>
              </w:rPr>
              <w:t>Poder legislativo y judicial</w:t>
            </w:r>
          </w:p>
        </w:tc>
        <w:tc>
          <w:tcPr>
            <w:tcW w:w="1398" w:type="dxa"/>
            <w:tcBorders>
              <w:top w:val="single" w:sz="4" w:space="0" w:color="auto"/>
              <w:left w:val="nil"/>
              <w:bottom w:val="single" w:sz="12" w:space="0" w:color="auto"/>
              <w:right w:val="nil"/>
            </w:tcBorders>
            <w:vAlign w:val="bottom"/>
            <w:hideMark/>
          </w:tcPr>
          <w:p w:rsidR="00B966E3" w:rsidRPr="007C184B" w:rsidRDefault="00B966E3" w:rsidP="00670975">
            <w:pPr>
              <w:spacing w:before="81" w:after="81" w:line="160" w:lineRule="exact"/>
              <w:ind w:right="43"/>
              <w:jc w:val="right"/>
              <w:rPr>
                <w:rFonts w:eastAsia="Times New Roman"/>
                <w:i/>
                <w:spacing w:val="0"/>
                <w:w w:val="100"/>
                <w:sz w:val="14"/>
                <w:szCs w:val="24"/>
                <w:lang w:val="es-ES_tradnl"/>
              </w:rPr>
            </w:pPr>
            <w:r w:rsidRPr="007C184B">
              <w:rPr>
                <w:rFonts w:eastAsia="Times New Roman"/>
                <w:i/>
                <w:spacing w:val="0"/>
                <w:w w:val="100"/>
                <w:sz w:val="14"/>
                <w:szCs w:val="24"/>
                <w:lang w:val="es-ES_tradnl"/>
              </w:rPr>
              <w:t>Mujeres</w:t>
            </w:r>
          </w:p>
        </w:tc>
        <w:tc>
          <w:tcPr>
            <w:tcW w:w="1611" w:type="dxa"/>
            <w:tcBorders>
              <w:top w:val="single" w:sz="4" w:space="0" w:color="auto"/>
              <w:left w:val="nil"/>
              <w:bottom w:val="single" w:sz="12" w:space="0" w:color="auto"/>
              <w:right w:val="nil"/>
            </w:tcBorders>
            <w:vAlign w:val="bottom"/>
            <w:hideMark/>
          </w:tcPr>
          <w:p w:rsidR="00B966E3" w:rsidRPr="007C184B" w:rsidRDefault="00B966E3" w:rsidP="00670975">
            <w:pPr>
              <w:spacing w:before="81" w:after="81" w:line="160" w:lineRule="exact"/>
              <w:ind w:right="43"/>
              <w:jc w:val="right"/>
              <w:rPr>
                <w:rFonts w:eastAsia="Times New Roman"/>
                <w:i/>
                <w:spacing w:val="0"/>
                <w:w w:val="100"/>
                <w:sz w:val="14"/>
                <w:szCs w:val="24"/>
                <w:lang w:val="es-ES_tradnl"/>
              </w:rPr>
            </w:pPr>
            <w:r w:rsidRPr="007C184B">
              <w:rPr>
                <w:rFonts w:eastAsia="Times New Roman"/>
                <w:i/>
                <w:spacing w:val="0"/>
                <w:w w:val="100"/>
                <w:sz w:val="14"/>
                <w:szCs w:val="24"/>
                <w:lang w:val="es-ES_tradnl"/>
              </w:rPr>
              <w:t>Hombres</w:t>
            </w:r>
          </w:p>
        </w:tc>
      </w:tr>
      <w:tr w:rsidR="00B966E3" w:rsidRPr="007C184B" w:rsidTr="00B966E3">
        <w:trPr>
          <w:trHeight w:hRule="exact" w:val="115"/>
          <w:tblHeader/>
        </w:trPr>
        <w:tc>
          <w:tcPr>
            <w:tcW w:w="4313" w:type="dxa"/>
            <w:tcBorders>
              <w:top w:val="single" w:sz="12" w:space="0" w:color="auto"/>
              <w:left w:val="nil"/>
              <w:bottom w:val="nil"/>
              <w:right w:val="nil"/>
            </w:tcBorders>
            <w:vAlign w:val="bottom"/>
          </w:tcPr>
          <w:p w:rsidR="00B966E3" w:rsidRPr="007C184B" w:rsidRDefault="00B966E3">
            <w:pPr>
              <w:spacing w:before="40" w:after="40" w:line="210" w:lineRule="exact"/>
              <w:ind w:right="40"/>
              <w:rPr>
                <w:rFonts w:eastAsia="Times New Roman"/>
                <w:spacing w:val="0"/>
                <w:w w:val="100"/>
                <w:sz w:val="17"/>
                <w:szCs w:val="24"/>
                <w:lang w:val="es-ES_tradnl"/>
              </w:rPr>
            </w:pPr>
          </w:p>
        </w:tc>
        <w:tc>
          <w:tcPr>
            <w:tcW w:w="1398" w:type="dxa"/>
            <w:tcBorders>
              <w:top w:val="single" w:sz="12" w:space="0" w:color="auto"/>
              <w:left w:val="nil"/>
              <w:bottom w:val="nil"/>
              <w:right w:val="nil"/>
            </w:tcBorders>
            <w:vAlign w:val="bottom"/>
          </w:tcPr>
          <w:p w:rsidR="00B966E3" w:rsidRPr="007C184B" w:rsidRDefault="00B966E3">
            <w:pPr>
              <w:spacing w:before="40" w:after="40" w:line="210" w:lineRule="exact"/>
              <w:ind w:right="43"/>
              <w:jc w:val="right"/>
              <w:rPr>
                <w:rFonts w:eastAsia="Times New Roman"/>
                <w:spacing w:val="0"/>
                <w:w w:val="100"/>
                <w:sz w:val="17"/>
                <w:szCs w:val="24"/>
                <w:lang w:val="es-ES_tradnl"/>
              </w:rPr>
            </w:pPr>
          </w:p>
        </w:tc>
        <w:tc>
          <w:tcPr>
            <w:tcW w:w="1611" w:type="dxa"/>
            <w:tcBorders>
              <w:top w:val="single" w:sz="12" w:space="0" w:color="auto"/>
              <w:left w:val="nil"/>
              <w:bottom w:val="nil"/>
              <w:right w:val="nil"/>
            </w:tcBorders>
            <w:vAlign w:val="bottom"/>
          </w:tcPr>
          <w:p w:rsidR="00B966E3" w:rsidRPr="007C184B" w:rsidRDefault="00B966E3">
            <w:pPr>
              <w:spacing w:before="40" w:after="40" w:line="210" w:lineRule="exact"/>
              <w:ind w:right="43"/>
              <w:jc w:val="right"/>
              <w:rPr>
                <w:rFonts w:eastAsia="Times New Roman"/>
                <w:spacing w:val="0"/>
                <w:w w:val="100"/>
                <w:sz w:val="17"/>
                <w:szCs w:val="24"/>
                <w:lang w:val="es-ES_tradnl"/>
              </w:rPr>
            </w:pPr>
          </w:p>
        </w:tc>
      </w:tr>
      <w:tr w:rsidR="00B966E3" w:rsidRPr="007C184B" w:rsidTr="00B966E3">
        <w:trPr>
          <w:trHeight w:val="240"/>
        </w:trPr>
        <w:tc>
          <w:tcPr>
            <w:tcW w:w="4313" w:type="dxa"/>
            <w:hideMark/>
          </w:tcPr>
          <w:p w:rsidR="00B966E3" w:rsidRPr="007C184B" w:rsidRDefault="007C184B" w:rsidP="00670975">
            <w:pPr>
              <w:tabs>
                <w:tab w:val="left" w:pos="288"/>
                <w:tab w:val="left" w:pos="576"/>
                <w:tab w:val="left" w:pos="864"/>
                <w:tab w:val="left" w:pos="1152"/>
              </w:tabs>
              <w:spacing w:before="40" w:after="40" w:line="210" w:lineRule="exact"/>
              <w:ind w:right="40"/>
              <w:rPr>
                <w:rFonts w:eastAsia="Times New Roman"/>
                <w:spacing w:val="0"/>
                <w:w w:val="100"/>
                <w:sz w:val="17"/>
                <w:szCs w:val="24"/>
                <w:lang w:val="es-ES_tradnl"/>
              </w:rPr>
            </w:pPr>
            <w:r w:rsidRPr="007C184B">
              <w:rPr>
                <w:rFonts w:eastAsia="Times New Roman"/>
                <w:spacing w:val="0"/>
                <w:w w:val="100"/>
                <w:sz w:val="17"/>
                <w:szCs w:val="24"/>
                <w:lang w:val="es-ES_tradnl"/>
              </w:rPr>
              <w:t>Tribunal Supremo</w:t>
            </w:r>
          </w:p>
        </w:tc>
        <w:tc>
          <w:tcPr>
            <w:tcW w:w="1398" w:type="dxa"/>
            <w:vAlign w:val="bottom"/>
            <w:hideMark/>
          </w:tcPr>
          <w:p w:rsidR="00B966E3" w:rsidRPr="007C184B" w:rsidRDefault="00B966E3">
            <w:pPr>
              <w:tabs>
                <w:tab w:val="left" w:pos="288"/>
                <w:tab w:val="left" w:pos="576"/>
                <w:tab w:val="left" w:pos="864"/>
                <w:tab w:val="left" w:pos="1152"/>
              </w:tabs>
              <w:spacing w:before="40" w:after="40" w:line="210" w:lineRule="exact"/>
              <w:ind w:right="43"/>
              <w:jc w:val="right"/>
              <w:rPr>
                <w:rFonts w:eastAsia="Times New Roman"/>
                <w:spacing w:val="0"/>
                <w:w w:val="100"/>
                <w:sz w:val="17"/>
                <w:szCs w:val="24"/>
                <w:lang w:val="es-ES_tradnl"/>
              </w:rPr>
            </w:pPr>
            <w:r w:rsidRPr="007C184B">
              <w:rPr>
                <w:rFonts w:eastAsia="Times New Roman"/>
                <w:spacing w:val="0"/>
                <w:w w:val="100"/>
                <w:sz w:val="17"/>
                <w:szCs w:val="24"/>
                <w:lang w:val="es-ES_tradnl"/>
              </w:rPr>
              <w:t>40%</w:t>
            </w:r>
          </w:p>
        </w:tc>
        <w:tc>
          <w:tcPr>
            <w:tcW w:w="1611" w:type="dxa"/>
            <w:vAlign w:val="bottom"/>
            <w:hideMark/>
          </w:tcPr>
          <w:p w:rsidR="00B966E3" w:rsidRPr="007C184B" w:rsidRDefault="00B966E3">
            <w:pPr>
              <w:tabs>
                <w:tab w:val="left" w:pos="288"/>
                <w:tab w:val="left" w:pos="576"/>
                <w:tab w:val="left" w:pos="864"/>
                <w:tab w:val="left" w:pos="1152"/>
              </w:tabs>
              <w:spacing w:before="40" w:after="40" w:line="210" w:lineRule="exact"/>
              <w:ind w:right="43"/>
              <w:jc w:val="right"/>
              <w:rPr>
                <w:rFonts w:eastAsia="Times New Roman"/>
                <w:spacing w:val="0"/>
                <w:w w:val="100"/>
                <w:sz w:val="17"/>
                <w:szCs w:val="24"/>
                <w:lang w:val="es-ES_tradnl"/>
              </w:rPr>
            </w:pPr>
            <w:r w:rsidRPr="007C184B">
              <w:rPr>
                <w:rFonts w:eastAsia="Times New Roman"/>
                <w:spacing w:val="0"/>
                <w:w w:val="100"/>
                <w:sz w:val="17"/>
                <w:szCs w:val="24"/>
                <w:lang w:val="es-ES_tradnl"/>
              </w:rPr>
              <w:t>60%</w:t>
            </w:r>
          </w:p>
        </w:tc>
      </w:tr>
      <w:tr w:rsidR="00B966E3" w:rsidRPr="007C184B" w:rsidTr="00B966E3">
        <w:trPr>
          <w:trHeight w:val="240"/>
        </w:trPr>
        <w:tc>
          <w:tcPr>
            <w:tcW w:w="4313" w:type="dxa"/>
            <w:hideMark/>
          </w:tcPr>
          <w:p w:rsidR="00B966E3" w:rsidRPr="007C184B" w:rsidRDefault="00B966E3" w:rsidP="00670975">
            <w:pPr>
              <w:tabs>
                <w:tab w:val="left" w:pos="288"/>
                <w:tab w:val="left" w:pos="576"/>
                <w:tab w:val="left" w:pos="864"/>
                <w:tab w:val="left" w:pos="1152"/>
              </w:tabs>
              <w:spacing w:before="40" w:after="40" w:line="210" w:lineRule="exact"/>
              <w:ind w:right="40"/>
              <w:rPr>
                <w:rFonts w:eastAsia="Times New Roman"/>
                <w:spacing w:val="0"/>
                <w:w w:val="100"/>
                <w:sz w:val="17"/>
                <w:szCs w:val="24"/>
                <w:lang w:val="es-ES_tradnl"/>
              </w:rPr>
            </w:pPr>
            <w:r w:rsidRPr="007C184B">
              <w:rPr>
                <w:rFonts w:eastAsia="Times New Roman"/>
                <w:spacing w:val="0"/>
                <w:w w:val="100"/>
                <w:sz w:val="17"/>
                <w:szCs w:val="24"/>
                <w:lang w:val="es-ES_tradnl"/>
              </w:rPr>
              <w:t>Jueces de los tribuales de distrito</w:t>
            </w:r>
          </w:p>
        </w:tc>
        <w:tc>
          <w:tcPr>
            <w:tcW w:w="1398" w:type="dxa"/>
            <w:vAlign w:val="bottom"/>
            <w:hideMark/>
          </w:tcPr>
          <w:p w:rsidR="00B966E3" w:rsidRPr="007C184B" w:rsidRDefault="00B966E3">
            <w:pPr>
              <w:tabs>
                <w:tab w:val="left" w:pos="288"/>
                <w:tab w:val="left" w:pos="576"/>
                <w:tab w:val="left" w:pos="864"/>
                <w:tab w:val="left" w:pos="1152"/>
              </w:tabs>
              <w:spacing w:before="40" w:after="40" w:line="210" w:lineRule="exact"/>
              <w:ind w:right="43"/>
              <w:jc w:val="right"/>
              <w:rPr>
                <w:rFonts w:eastAsia="Times New Roman"/>
                <w:spacing w:val="0"/>
                <w:w w:val="100"/>
                <w:sz w:val="17"/>
                <w:szCs w:val="24"/>
                <w:lang w:val="es-ES_tradnl"/>
              </w:rPr>
            </w:pPr>
            <w:r w:rsidRPr="007C184B">
              <w:rPr>
                <w:rFonts w:eastAsia="Times New Roman"/>
                <w:spacing w:val="0"/>
                <w:w w:val="100"/>
                <w:sz w:val="17"/>
                <w:szCs w:val="24"/>
                <w:lang w:val="es-ES_tradnl"/>
              </w:rPr>
              <w:t>15%</w:t>
            </w:r>
          </w:p>
        </w:tc>
        <w:tc>
          <w:tcPr>
            <w:tcW w:w="1611" w:type="dxa"/>
            <w:vAlign w:val="bottom"/>
            <w:hideMark/>
          </w:tcPr>
          <w:p w:rsidR="00B966E3" w:rsidRPr="007C184B" w:rsidRDefault="00B966E3">
            <w:pPr>
              <w:tabs>
                <w:tab w:val="left" w:pos="288"/>
                <w:tab w:val="left" w:pos="576"/>
                <w:tab w:val="left" w:pos="864"/>
                <w:tab w:val="left" w:pos="1152"/>
              </w:tabs>
              <w:spacing w:before="40" w:after="40" w:line="210" w:lineRule="exact"/>
              <w:ind w:right="43"/>
              <w:jc w:val="right"/>
              <w:rPr>
                <w:rFonts w:eastAsia="Times New Roman"/>
                <w:spacing w:val="0"/>
                <w:w w:val="100"/>
                <w:sz w:val="17"/>
                <w:szCs w:val="24"/>
                <w:lang w:val="es-ES_tradnl"/>
              </w:rPr>
            </w:pPr>
            <w:r w:rsidRPr="007C184B">
              <w:rPr>
                <w:rFonts w:eastAsia="Times New Roman"/>
                <w:spacing w:val="0"/>
                <w:w w:val="100"/>
                <w:sz w:val="17"/>
                <w:szCs w:val="24"/>
                <w:lang w:val="es-ES_tradnl"/>
              </w:rPr>
              <w:t>85%</w:t>
            </w:r>
          </w:p>
        </w:tc>
      </w:tr>
      <w:tr w:rsidR="00B966E3" w:rsidRPr="007C184B" w:rsidTr="00B966E3">
        <w:trPr>
          <w:trHeight w:val="240"/>
        </w:trPr>
        <w:tc>
          <w:tcPr>
            <w:tcW w:w="4313" w:type="dxa"/>
            <w:hideMark/>
          </w:tcPr>
          <w:p w:rsidR="00B966E3" w:rsidRPr="007C184B" w:rsidRDefault="007C184B" w:rsidP="00670975">
            <w:pPr>
              <w:tabs>
                <w:tab w:val="left" w:pos="288"/>
                <w:tab w:val="left" w:pos="576"/>
                <w:tab w:val="left" w:pos="864"/>
                <w:tab w:val="left" w:pos="1152"/>
              </w:tabs>
              <w:spacing w:before="40" w:after="40" w:line="210" w:lineRule="exact"/>
              <w:ind w:right="40"/>
              <w:rPr>
                <w:rFonts w:eastAsia="Times New Roman"/>
                <w:spacing w:val="0"/>
                <w:w w:val="100"/>
                <w:sz w:val="17"/>
                <w:szCs w:val="24"/>
                <w:lang w:val="es-ES_tradnl"/>
              </w:rPr>
            </w:pPr>
            <w:r w:rsidRPr="007C184B">
              <w:rPr>
                <w:rFonts w:eastAsia="Times New Roman"/>
                <w:spacing w:val="0"/>
                <w:w w:val="100"/>
                <w:sz w:val="17"/>
                <w:szCs w:val="24"/>
                <w:lang w:val="es-ES_tradnl"/>
              </w:rPr>
              <w:t>Jueces</w:t>
            </w:r>
          </w:p>
        </w:tc>
        <w:tc>
          <w:tcPr>
            <w:tcW w:w="1398" w:type="dxa"/>
            <w:vAlign w:val="bottom"/>
            <w:hideMark/>
          </w:tcPr>
          <w:p w:rsidR="00B966E3" w:rsidRPr="007C184B" w:rsidRDefault="00B966E3">
            <w:pPr>
              <w:tabs>
                <w:tab w:val="left" w:pos="288"/>
                <w:tab w:val="left" w:pos="576"/>
                <w:tab w:val="left" w:pos="864"/>
                <w:tab w:val="left" w:pos="1152"/>
              </w:tabs>
              <w:spacing w:before="40" w:after="40" w:line="210" w:lineRule="exact"/>
              <w:ind w:right="43"/>
              <w:jc w:val="right"/>
              <w:rPr>
                <w:rFonts w:eastAsia="Times New Roman"/>
                <w:spacing w:val="0"/>
                <w:w w:val="100"/>
                <w:sz w:val="17"/>
                <w:szCs w:val="24"/>
                <w:lang w:val="es-ES_tradnl"/>
              </w:rPr>
            </w:pPr>
            <w:r w:rsidRPr="007C184B">
              <w:rPr>
                <w:rFonts w:eastAsia="Times New Roman"/>
                <w:spacing w:val="0"/>
                <w:w w:val="100"/>
                <w:sz w:val="17"/>
                <w:szCs w:val="24"/>
                <w:lang w:val="es-ES_tradnl"/>
              </w:rPr>
              <w:t>0,7%</w:t>
            </w:r>
          </w:p>
        </w:tc>
        <w:tc>
          <w:tcPr>
            <w:tcW w:w="1611" w:type="dxa"/>
            <w:vAlign w:val="bottom"/>
            <w:hideMark/>
          </w:tcPr>
          <w:p w:rsidR="00B966E3" w:rsidRPr="007C184B" w:rsidRDefault="00B966E3">
            <w:pPr>
              <w:tabs>
                <w:tab w:val="left" w:pos="288"/>
                <w:tab w:val="left" w:pos="576"/>
                <w:tab w:val="left" w:pos="864"/>
                <w:tab w:val="left" w:pos="1152"/>
              </w:tabs>
              <w:spacing w:before="40" w:after="40" w:line="210" w:lineRule="exact"/>
              <w:ind w:right="43"/>
              <w:jc w:val="right"/>
              <w:rPr>
                <w:rFonts w:eastAsia="Times New Roman"/>
                <w:spacing w:val="0"/>
                <w:w w:val="100"/>
                <w:sz w:val="17"/>
                <w:szCs w:val="24"/>
                <w:lang w:val="es-ES_tradnl"/>
              </w:rPr>
            </w:pPr>
            <w:r w:rsidRPr="007C184B">
              <w:rPr>
                <w:rFonts w:eastAsia="Times New Roman"/>
                <w:spacing w:val="0"/>
                <w:w w:val="100"/>
                <w:sz w:val="17"/>
                <w:szCs w:val="24"/>
                <w:lang w:val="es-ES_tradnl"/>
              </w:rPr>
              <w:t>99,3%</w:t>
            </w:r>
          </w:p>
        </w:tc>
      </w:tr>
      <w:tr w:rsidR="00B966E3" w:rsidRPr="007C184B" w:rsidTr="00B966E3">
        <w:trPr>
          <w:trHeight w:val="240"/>
        </w:trPr>
        <w:tc>
          <w:tcPr>
            <w:tcW w:w="4313" w:type="dxa"/>
            <w:hideMark/>
          </w:tcPr>
          <w:p w:rsidR="00B966E3" w:rsidRPr="007C184B" w:rsidRDefault="00B966E3" w:rsidP="00670975">
            <w:pPr>
              <w:tabs>
                <w:tab w:val="left" w:pos="288"/>
                <w:tab w:val="left" w:pos="576"/>
                <w:tab w:val="left" w:pos="864"/>
                <w:tab w:val="left" w:pos="1152"/>
              </w:tabs>
              <w:spacing w:before="40" w:after="40" w:line="210" w:lineRule="exact"/>
              <w:ind w:right="40"/>
              <w:rPr>
                <w:rFonts w:eastAsia="Times New Roman"/>
                <w:spacing w:val="0"/>
                <w:w w:val="100"/>
                <w:sz w:val="17"/>
                <w:szCs w:val="24"/>
                <w:lang w:val="es-ES_tradnl"/>
              </w:rPr>
            </w:pPr>
            <w:r w:rsidRPr="007C184B">
              <w:rPr>
                <w:rFonts w:eastAsia="Times New Roman"/>
                <w:spacing w:val="0"/>
                <w:w w:val="100"/>
                <w:sz w:val="17"/>
                <w:szCs w:val="24"/>
                <w:lang w:val="es-ES_tradnl"/>
              </w:rPr>
              <w:t>Policía Nacional de Liberia</w:t>
            </w:r>
          </w:p>
        </w:tc>
        <w:tc>
          <w:tcPr>
            <w:tcW w:w="1398" w:type="dxa"/>
            <w:vAlign w:val="bottom"/>
            <w:hideMark/>
          </w:tcPr>
          <w:p w:rsidR="00B966E3" w:rsidRPr="007C184B" w:rsidRDefault="00B966E3">
            <w:pPr>
              <w:tabs>
                <w:tab w:val="left" w:pos="288"/>
                <w:tab w:val="left" w:pos="576"/>
                <w:tab w:val="left" w:pos="864"/>
                <w:tab w:val="left" w:pos="1152"/>
              </w:tabs>
              <w:spacing w:before="40" w:after="40" w:line="210" w:lineRule="exact"/>
              <w:ind w:right="43"/>
              <w:jc w:val="right"/>
              <w:rPr>
                <w:rFonts w:eastAsia="Times New Roman"/>
                <w:spacing w:val="0"/>
                <w:w w:val="100"/>
                <w:sz w:val="17"/>
                <w:szCs w:val="24"/>
                <w:lang w:val="es-ES_tradnl"/>
              </w:rPr>
            </w:pPr>
            <w:r w:rsidRPr="007C184B">
              <w:rPr>
                <w:rFonts w:eastAsia="Times New Roman"/>
                <w:spacing w:val="0"/>
                <w:w w:val="100"/>
                <w:sz w:val="17"/>
                <w:szCs w:val="24"/>
                <w:lang w:val="es-ES_tradnl"/>
              </w:rPr>
              <w:t>17,5%</w:t>
            </w:r>
          </w:p>
        </w:tc>
        <w:tc>
          <w:tcPr>
            <w:tcW w:w="1611" w:type="dxa"/>
            <w:vAlign w:val="bottom"/>
            <w:hideMark/>
          </w:tcPr>
          <w:p w:rsidR="00B966E3" w:rsidRPr="007C184B" w:rsidRDefault="00B966E3">
            <w:pPr>
              <w:tabs>
                <w:tab w:val="left" w:pos="288"/>
                <w:tab w:val="left" w:pos="576"/>
                <w:tab w:val="left" w:pos="864"/>
                <w:tab w:val="left" w:pos="1152"/>
              </w:tabs>
              <w:spacing w:before="40" w:after="40" w:line="210" w:lineRule="exact"/>
              <w:ind w:right="43"/>
              <w:jc w:val="right"/>
              <w:rPr>
                <w:rFonts w:eastAsia="Times New Roman"/>
                <w:spacing w:val="0"/>
                <w:w w:val="100"/>
                <w:sz w:val="17"/>
                <w:szCs w:val="24"/>
                <w:lang w:val="es-ES_tradnl"/>
              </w:rPr>
            </w:pPr>
            <w:r w:rsidRPr="007C184B">
              <w:rPr>
                <w:rFonts w:eastAsia="Times New Roman"/>
                <w:spacing w:val="0"/>
                <w:w w:val="100"/>
                <w:sz w:val="17"/>
                <w:szCs w:val="24"/>
                <w:lang w:val="es-ES_tradnl"/>
              </w:rPr>
              <w:t>82,5%</w:t>
            </w:r>
          </w:p>
        </w:tc>
      </w:tr>
      <w:tr w:rsidR="00B966E3" w:rsidRPr="007C184B" w:rsidTr="00B966E3">
        <w:trPr>
          <w:trHeight w:val="240"/>
        </w:trPr>
        <w:tc>
          <w:tcPr>
            <w:tcW w:w="4313" w:type="dxa"/>
            <w:hideMark/>
          </w:tcPr>
          <w:p w:rsidR="00B966E3" w:rsidRPr="007C184B" w:rsidRDefault="00B966E3" w:rsidP="00670975">
            <w:pPr>
              <w:tabs>
                <w:tab w:val="left" w:pos="288"/>
                <w:tab w:val="left" w:pos="576"/>
                <w:tab w:val="left" w:pos="864"/>
                <w:tab w:val="left" w:pos="1152"/>
              </w:tabs>
              <w:spacing w:before="40" w:after="40" w:line="210" w:lineRule="exact"/>
              <w:ind w:right="40"/>
              <w:rPr>
                <w:rFonts w:eastAsia="Times New Roman"/>
                <w:spacing w:val="0"/>
                <w:w w:val="100"/>
                <w:sz w:val="17"/>
                <w:szCs w:val="24"/>
                <w:lang w:val="es-ES_tradnl"/>
              </w:rPr>
            </w:pPr>
            <w:r w:rsidRPr="007C184B">
              <w:rPr>
                <w:rFonts w:eastAsia="Times New Roman"/>
                <w:spacing w:val="0"/>
                <w:w w:val="100"/>
                <w:sz w:val="17"/>
                <w:szCs w:val="24"/>
                <w:lang w:val="es-ES_tradnl"/>
              </w:rPr>
              <w:t>Fuerzas Armadas de Liberia</w:t>
            </w:r>
          </w:p>
        </w:tc>
        <w:tc>
          <w:tcPr>
            <w:tcW w:w="1398" w:type="dxa"/>
            <w:vAlign w:val="bottom"/>
            <w:hideMark/>
          </w:tcPr>
          <w:p w:rsidR="00B966E3" w:rsidRPr="007C184B" w:rsidRDefault="00B966E3">
            <w:pPr>
              <w:tabs>
                <w:tab w:val="left" w:pos="288"/>
                <w:tab w:val="left" w:pos="576"/>
                <w:tab w:val="left" w:pos="864"/>
                <w:tab w:val="left" w:pos="1152"/>
              </w:tabs>
              <w:spacing w:before="40" w:after="40" w:line="210" w:lineRule="exact"/>
              <w:ind w:right="43"/>
              <w:jc w:val="right"/>
              <w:rPr>
                <w:rFonts w:eastAsia="Times New Roman"/>
                <w:spacing w:val="0"/>
                <w:w w:val="100"/>
                <w:sz w:val="17"/>
                <w:szCs w:val="24"/>
                <w:lang w:val="es-ES_tradnl"/>
              </w:rPr>
            </w:pPr>
            <w:r w:rsidRPr="007C184B">
              <w:rPr>
                <w:rFonts w:eastAsia="Times New Roman"/>
                <w:spacing w:val="0"/>
                <w:w w:val="100"/>
                <w:sz w:val="17"/>
                <w:szCs w:val="24"/>
                <w:lang w:val="es-ES_tradnl"/>
              </w:rPr>
              <w:t>3,8%</w:t>
            </w:r>
          </w:p>
        </w:tc>
        <w:tc>
          <w:tcPr>
            <w:tcW w:w="1611" w:type="dxa"/>
            <w:vAlign w:val="bottom"/>
            <w:hideMark/>
          </w:tcPr>
          <w:p w:rsidR="00B966E3" w:rsidRPr="007C184B" w:rsidRDefault="00B966E3">
            <w:pPr>
              <w:tabs>
                <w:tab w:val="left" w:pos="288"/>
                <w:tab w:val="left" w:pos="576"/>
                <w:tab w:val="left" w:pos="864"/>
                <w:tab w:val="left" w:pos="1152"/>
              </w:tabs>
              <w:spacing w:before="40" w:after="40" w:line="210" w:lineRule="exact"/>
              <w:ind w:right="43"/>
              <w:jc w:val="right"/>
              <w:rPr>
                <w:rFonts w:eastAsia="Times New Roman"/>
                <w:spacing w:val="0"/>
                <w:w w:val="100"/>
                <w:sz w:val="17"/>
                <w:szCs w:val="24"/>
                <w:lang w:val="es-ES_tradnl"/>
              </w:rPr>
            </w:pPr>
            <w:r w:rsidRPr="007C184B">
              <w:rPr>
                <w:rFonts w:eastAsia="Times New Roman"/>
                <w:spacing w:val="0"/>
                <w:w w:val="100"/>
                <w:sz w:val="17"/>
                <w:szCs w:val="24"/>
                <w:lang w:val="es-ES_tradnl"/>
              </w:rPr>
              <w:t>96,2%</w:t>
            </w:r>
          </w:p>
        </w:tc>
      </w:tr>
      <w:tr w:rsidR="00B966E3" w:rsidRPr="007C184B" w:rsidTr="00B966E3">
        <w:trPr>
          <w:trHeight w:val="240"/>
        </w:trPr>
        <w:tc>
          <w:tcPr>
            <w:tcW w:w="4313" w:type="dxa"/>
            <w:hideMark/>
          </w:tcPr>
          <w:p w:rsidR="00B966E3" w:rsidRPr="007C184B" w:rsidRDefault="00B966E3" w:rsidP="00670975">
            <w:pPr>
              <w:tabs>
                <w:tab w:val="left" w:pos="288"/>
                <w:tab w:val="left" w:pos="576"/>
                <w:tab w:val="left" w:pos="864"/>
                <w:tab w:val="left" w:pos="1152"/>
              </w:tabs>
              <w:spacing w:before="40" w:after="40" w:line="210" w:lineRule="exact"/>
              <w:ind w:right="40"/>
              <w:rPr>
                <w:rFonts w:eastAsia="Times New Roman"/>
                <w:spacing w:val="0"/>
                <w:w w:val="100"/>
                <w:sz w:val="17"/>
                <w:szCs w:val="24"/>
                <w:lang w:val="es-ES_tradnl"/>
              </w:rPr>
            </w:pPr>
            <w:r w:rsidRPr="007C184B">
              <w:rPr>
                <w:rFonts w:eastAsia="Times New Roman"/>
                <w:spacing w:val="0"/>
                <w:w w:val="100"/>
                <w:sz w:val="17"/>
                <w:szCs w:val="24"/>
                <w:lang w:val="es-ES_tradnl"/>
              </w:rPr>
              <w:t>Oficina de Inmigración y Naturalización</w:t>
            </w:r>
          </w:p>
        </w:tc>
        <w:tc>
          <w:tcPr>
            <w:tcW w:w="1398" w:type="dxa"/>
            <w:vAlign w:val="bottom"/>
            <w:hideMark/>
          </w:tcPr>
          <w:p w:rsidR="00B966E3" w:rsidRPr="007C184B" w:rsidRDefault="00B966E3">
            <w:pPr>
              <w:tabs>
                <w:tab w:val="left" w:pos="288"/>
                <w:tab w:val="left" w:pos="576"/>
                <w:tab w:val="left" w:pos="864"/>
                <w:tab w:val="left" w:pos="1152"/>
              </w:tabs>
              <w:spacing w:before="40" w:after="40" w:line="210" w:lineRule="exact"/>
              <w:ind w:right="43"/>
              <w:jc w:val="right"/>
              <w:rPr>
                <w:rFonts w:eastAsia="Times New Roman"/>
                <w:spacing w:val="0"/>
                <w:w w:val="100"/>
                <w:sz w:val="17"/>
                <w:szCs w:val="24"/>
                <w:lang w:val="es-ES_tradnl"/>
              </w:rPr>
            </w:pPr>
            <w:r w:rsidRPr="007C184B">
              <w:rPr>
                <w:rFonts w:eastAsia="Times New Roman"/>
                <w:spacing w:val="0"/>
                <w:w w:val="100"/>
                <w:sz w:val="17"/>
                <w:szCs w:val="24"/>
                <w:lang w:val="es-ES_tradnl"/>
              </w:rPr>
              <w:t>30%</w:t>
            </w:r>
          </w:p>
        </w:tc>
        <w:tc>
          <w:tcPr>
            <w:tcW w:w="1611" w:type="dxa"/>
            <w:vAlign w:val="bottom"/>
            <w:hideMark/>
          </w:tcPr>
          <w:p w:rsidR="00B966E3" w:rsidRPr="007C184B" w:rsidRDefault="00B966E3">
            <w:pPr>
              <w:tabs>
                <w:tab w:val="left" w:pos="288"/>
                <w:tab w:val="left" w:pos="576"/>
                <w:tab w:val="left" w:pos="864"/>
                <w:tab w:val="left" w:pos="1152"/>
              </w:tabs>
              <w:spacing w:before="40" w:after="40" w:line="210" w:lineRule="exact"/>
              <w:ind w:right="43"/>
              <w:jc w:val="right"/>
              <w:rPr>
                <w:rFonts w:eastAsia="Times New Roman"/>
                <w:spacing w:val="0"/>
                <w:w w:val="100"/>
                <w:sz w:val="17"/>
                <w:szCs w:val="24"/>
                <w:lang w:val="es-ES_tradnl"/>
              </w:rPr>
            </w:pPr>
            <w:r w:rsidRPr="007C184B">
              <w:rPr>
                <w:rFonts w:eastAsia="Times New Roman"/>
                <w:spacing w:val="0"/>
                <w:w w:val="100"/>
                <w:sz w:val="17"/>
                <w:szCs w:val="24"/>
                <w:lang w:val="es-ES_tradnl"/>
              </w:rPr>
              <w:t>70%</w:t>
            </w:r>
          </w:p>
        </w:tc>
      </w:tr>
      <w:tr w:rsidR="00B966E3" w:rsidRPr="007C184B" w:rsidTr="00B966E3">
        <w:trPr>
          <w:trHeight w:val="240"/>
        </w:trPr>
        <w:tc>
          <w:tcPr>
            <w:tcW w:w="4313" w:type="dxa"/>
            <w:tcBorders>
              <w:top w:val="nil"/>
              <w:left w:val="nil"/>
              <w:bottom w:val="single" w:sz="12" w:space="0" w:color="auto"/>
              <w:right w:val="nil"/>
            </w:tcBorders>
            <w:hideMark/>
          </w:tcPr>
          <w:p w:rsidR="00B966E3" w:rsidRPr="007C184B" w:rsidRDefault="00B966E3" w:rsidP="00B966E3">
            <w:pPr>
              <w:tabs>
                <w:tab w:val="left" w:pos="288"/>
                <w:tab w:val="left" w:pos="576"/>
                <w:tab w:val="left" w:pos="864"/>
                <w:tab w:val="left" w:pos="1152"/>
              </w:tabs>
              <w:spacing w:before="40" w:after="80" w:line="210" w:lineRule="exact"/>
              <w:ind w:right="40"/>
              <w:rPr>
                <w:rFonts w:eastAsia="Times New Roman"/>
                <w:spacing w:val="0"/>
                <w:w w:val="100"/>
                <w:sz w:val="17"/>
                <w:szCs w:val="24"/>
                <w:lang w:val="es-ES_tradnl"/>
              </w:rPr>
            </w:pPr>
            <w:r w:rsidRPr="007C184B">
              <w:rPr>
                <w:rFonts w:eastAsia="Times New Roman"/>
                <w:spacing w:val="0"/>
                <w:w w:val="100"/>
                <w:sz w:val="17"/>
                <w:szCs w:val="24"/>
                <w:lang w:val="es-ES_tradnl"/>
              </w:rPr>
              <w:t>Oficina de Instituciones Penitenciarias y Rehabilitación</w:t>
            </w:r>
          </w:p>
        </w:tc>
        <w:tc>
          <w:tcPr>
            <w:tcW w:w="1398" w:type="dxa"/>
            <w:tcBorders>
              <w:top w:val="nil"/>
              <w:left w:val="nil"/>
              <w:bottom w:val="single" w:sz="12" w:space="0" w:color="auto"/>
              <w:right w:val="nil"/>
            </w:tcBorders>
            <w:vAlign w:val="bottom"/>
            <w:hideMark/>
          </w:tcPr>
          <w:p w:rsidR="00B966E3" w:rsidRPr="007C184B" w:rsidRDefault="00B966E3" w:rsidP="00B966E3">
            <w:pPr>
              <w:tabs>
                <w:tab w:val="left" w:pos="288"/>
                <w:tab w:val="left" w:pos="576"/>
                <w:tab w:val="left" w:pos="864"/>
                <w:tab w:val="left" w:pos="1152"/>
              </w:tabs>
              <w:spacing w:before="40" w:after="80" w:line="210" w:lineRule="exact"/>
              <w:ind w:right="43"/>
              <w:jc w:val="right"/>
              <w:rPr>
                <w:rFonts w:eastAsia="Times New Roman"/>
                <w:spacing w:val="0"/>
                <w:w w:val="100"/>
                <w:sz w:val="17"/>
                <w:szCs w:val="24"/>
                <w:lang w:val="es-ES_tradnl"/>
              </w:rPr>
            </w:pPr>
            <w:r w:rsidRPr="007C184B">
              <w:rPr>
                <w:rFonts w:eastAsia="Times New Roman"/>
                <w:spacing w:val="0"/>
                <w:w w:val="100"/>
                <w:sz w:val="17"/>
                <w:szCs w:val="24"/>
                <w:lang w:val="es-ES_tradnl"/>
              </w:rPr>
              <w:t>14,6%</w:t>
            </w:r>
          </w:p>
        </w:tc>
        <w:tc>
          <w:tcPr>
            <w:tcW w:w="1611" w:type="dxa"/>
            <w:tcBorders>
              <w:top w:val="nil"/>
              <w:left w:val="nil"/>
              <w:bottom w:val="single" w:sz="12" w:space="0" w:color="auto"/>
              <w:right w:val="nil"/>
            </w:tcBorders>
            <w:vAlign w:val="bottom"/>
            <w:hideMark/>
          </w:tcPr>
          <w:p w:rsidR="00B966E3" w:rsidRPr="007C184B" w:rsidRDefault="00B966E3" w:rsidP="00B966E3">
            <w:pPr>
              <w:tabs>
                <w:tab w:val="left" w:pos="288"/>
                <w:tab w:val="left" w:pos="576"/>
                <w:tab w:val="left" w:pos="864"/>
                <w:tab w:val="left" w:pos="1152"/>
              </w:tabs>
              <w:spacing w:before="40" w:after="80" w:line="210" w:lineRule="exact"/>
              <w:ind w:right="43"/>
              <w:jc w:val="right"/>
              <w:rPr>
                <w:rFonts w:eastAsia="Times New Roman"/>
                <w:spacing w:val="0"/>
                <w:w w:val="100"/>
                <w:sz w:val="17"/>
                <w:szCs w:val="24"/>
                <w:lang w:val="es-ES_tradnl"/>
              </w:rPr>
            </w:pPr>
            <w:r w:rsidRPr="007C184B">
              <w:rPr>
                <w:rFonts w:eastAsia="Times New Roman"/>
                <w:spacing w:val="0"/>
                <w:w w:val="100"/>
                <w:sz w:val="17"/>
                <w:szCs w:val="24"/>
                <w:lang w:val="es-ES_tradnl"/>
              </w:rPr>
              <w:t>85,4%</w:t>
            </w:r>
          </w:p>
        </w:tc>
      </w:tr>
    </w:tbl>
    <w:p w:rsidR="00B966E3" w:rsidRPr="007C184B" w:rsidRDefault="00B966E3" w:rsidP="00B966E3">
      <w:pPr>
        <w:pStyle w:val="SingleTxt"/>
        <w:spacing w:after="0" w:line="120" w:lineRule="exact"/>
        <w:rPr>
          <w:sz w:val="10"/>
          <w:lang w:val="es-ES_tradnl"/>
        </w:rPr>
      </w:pPr>
    </w:p>
    <w:p w:rsidR="00B966E3" w:rsidRPr="007C184B" w:rsidRDefault="00B966E3" w:rsidP="00B966E3">
      <w:pPr>
        <w:pStyle w:val="SingleTxt"/>
        <w:spacing w:after="0" w:line="120" w:lineRule="exact"/>
        <w:rPr>
          <w:sz w:val="10"/>
          <w:lang w:val="es-ES_tradnl"/>
        </w:rPr>
      </w:pPr>
    </w:p>
    <w:tbl>
      <w:tblPr>
        <w:tblW w:w="7322" w:type="dxa"/>
        <w:tblInd w:w="1267" w:type="dxa"/>
        <w:tblCellMar>
          <w:left w:w="0" w:type="dxa"/>
          <w:right w:w="0" w:type="dxa"/>
        </w:tblCellMar>
        <w:tblLook w:val="04A0"/>
      </w:tblPr>
      <w:tblGrid>
        <w:gridCol w:w="2909"/>
        <w:gridCol w:w="2794"/>
        <w:gridCol w:w="1619"/>
      </w:tblGrid>
      <w:tr w:rsidR="00B966E3" w:rsidRPr="007C184B" w:rsidTr="00B966E3">
        <w:trPr>
          <w:trHeight w:val="240"/>
          <w:tblHeader/>
        </w:trPr>
        <w:tc>
          <w:tcPr>
            <w:tcW w:w="2909" w:type="dxa"/>
            <w:tcBorders>
              <w:top w:val="single" w:sz="4" w:space="0" w:color="auto"/>
              <w:left w:val="nil"/>
              <w:bottom w:val="single" w:sz="12" w:space="0" w:color="auto"/>
              <w:right w:val="nil"/>
            </w:tcBorders>
            <w:vAlign w:val="bottom"/>
            <w:hideMark/>
          </w:tcPr>
          <w:p w:rsidR="00B966E3" w:rsidRPr="007C184B" w:rsidRDefault="00B966E3" w:rsidP="00EA0356">
            <w:pPr>
              <w:keepNext/>
              <w:keepLines/>
              <w:spacing w:before="81" w:after="81" w:line="160" w:lineRule="exact"/>
              <w:ind w:right="40"/>
              <w:rPr>
                <w:rFonts w:eastAsia="Times New Roman"/>
                <w:i/>
                <w:spacing w:val="0"/>
                <w:w w:val="100"/>
                <w:sz w:val="14"/>
                <w:szCs w:val="24"/>
                <w:lang w:val="es-ES_tradnl"/>
              </w:rPr>
            </w:pPr>
            <w:r w:rsidRPr="007C184B">
              <w:rPr>
                <w:rFonts w:eastAsia="Times New Roman"/>
                <w:i/>
                <w:spacing w:val="0"/>
                <w:w w:val="100"/>
                <w:sz w:val="14"/>
                <w:szCs w:val="24"/>
                <w:lang w:val="es-ES_tradnl"/>
              </w:rPr>
              <w:t>Participación política</w:t>
            </w:r>
          </w:p>
        </w:tc>
        <w:tc>
          <w:tcPr>
            <w:tcW w:w="2794" w:type="dxa"/>
            <w:tcBorders>
              <w:top w:val="single" w:sz="4" w:space="0" w:color="auto"/>
              <w:left w:val="nil"/>
              <w:bottom w:val="single" w:sz="12" w:space="0" w:color="auto"/>
              <w:right w:val="nil"/>
            </w:tcBorders>
            <w:vAlign w:val="bottom"/>
            <w:hideMark/>
          </w:tcPr>
          <w:p w:rsidR="00B966E3" w:rsidRPr="007C184B" w:rsidRDefault="00B966E3" w:rsidP="00EA0356">
            <w:pPr>
              <w:keepNext/>
              <w:keepLines/>
              <w:spacing w:before="81" w:after="81" w:line="160" w:lineRule="exact"/>
              <w:ind w:right="43"/>
              <w:jc w:val="right"/>
              <w:rPr>
                <w:rFonts w:eastAsia="Times New Roman"/>
                <w:i/>
                <w:spacing w:val="0"/>
                <w:w w:val="100"/>
                <w:sz w:val="14"/>
                <w:szCs w:val="24"/>
                <w:lang w:val="es-ES_tradnl"/>
              </w:rPr>
            </w:pPr>
            <w:r w:rsidRPr="007C184B">
              <w:rPr>
                <w:rFonts w:eastAsia="Times New Roman"/>
                <w:i/>
                <w:spacing w:val="0"/>
                <w:w w:val="100"/>
                <w:sz w:val="14"/>
                <w:szCs w:val="24"/>
                <w:lang w:val="es-ES_tradnl"/>
              </w:rPr>
              <w:t>Mujeres</w:t>
            </w:r>
          </w:p>
        </w:tc>
        <w:tc>
          <w:tcPr>
            <w:tcW w:w="1619" w:type="dxa"/>
            <w:tcBorders>
              <w:top w:val="single" w:sz="4" w:space="0" w:color="auto"/>
              <w:left w:val="nil"/>
              <w:bottom w:val="single" w:sz="12" w:space="0" w:color="auto"/>
              <w:right w:val="nil"/>
            </w:tcBorders>
            <w:vAlign w:val="bottom"/>
            <w:hideMark/>
          </w:tcPr>
          <w:p w:rsidR="00B966E3" w:rsidRPr="007C184B" w:rsidRDefault="00B966E3" w:rsidP="00EA0356">
            <w:pPr>
              <w:keepNext/>
              <w:keepLines/>
              <w:spacing w:before="81" w:after="81" w:line="160" w:lineRule="exact"/>
              <w:ind w:right="43"/>
              <w:jc w:val="right"/>
              <w:rPr>
                <w:rFonts w:eastAsia="Times New Roman"/>
                <w:i/>
                <w:spacing w:val="0"/>
                <w:w w:val="100"/>
                <w:sz w:val="14"/>
                <w:szCs w:val="24"/>
                <w:lang w:val="es-ES_tradnl"/>
              </w:rPr>
            </w:pPr>
            <w:r w:rsidRPr="007C184B">
              <w:rPr>
                <w:rFonts w:eastAsia="Times New Roman"/>
                <w:i/>
                <w:spacing w:val="0"/>
                <w:w w:val="100"/>
                <w:sz w:val="14"/>
                <w:szCs w:val="24"/>
                <w:lang w:val="es-ES_tradnl"/>
              </w:rPr>
              <w:t>Hombres</w:t>
            </w:r>
          </w:p>
        </w:tc>
      </w:tr>
      <w:tr w:rsidR="00B966E3" w:rsidRPr="007C184B" w:rsidTr="00B966E3">
        <w:trPr>
          <w:trHeight w:hRule="exact" w:val="115"/>
          <w:tblHeader/>
        </w:trPr>
        <w:tc>
          <w:tcPr>
            <w:tcW w:w="2909" w:type="dxa"/>
            <w:tcBorders>
              <w:top w:val="single" w:sz="12" w:space="0" w:color="auto"/>
              <w:left w:val="nil"/>
              <w:bottom w:val="nil"/>
              <w:right w:val="nil"/>
            </w:tcBorders>
            <w:vAlign w:val="bottom"/>
          </w:tcPr>
          <w:p w:rsidR="00B966E3" w:rsidRPr="007C184B" w:rsidRDefault="00B966E3" w:rsidP="00EA0356">
            <w:pPr>
              <w:keepNext/>
              <w:keepLines/>
              <w:spacing w:before="40" w:after="40" w:line="210" w:lineRule="exact"/>
              <w:ind w:right="40"/>
              <w:rPr>
                <w:rFonts w:eastAsia="Times New Roman"/>
                <w:spacing w:val="0"/>
                <w:w w:val="100"/>
                <w:sz w:val="17"/>
                <w:szCs w:val="24"/>
                <w:lang w:val="es-ES_tradnl"/>
              </w:rPr>
            </w:pPr>
          </w:p>
        </w:tc>
        <w:tc>
          <w:tcPr>
            <w:tcW w:w="2794" w:type="dxa"/>
            <w:tcBorders>
              <w:top w:val="single" w:sz="12" w:space="0" w:color="auto"/>
              <w:left w:val="nil"/>
              <w:bottom w:val="nil"/>
              <w:right w:val="nil"/>
            </w:tcBorders>
            <w:vAlign w:val="bottom"/>
          </w:tcPr>
          <w:p w:rsidR="00B966E3" w:rsidRPr="007C184B" w:rsidRDefault="00B966E3" w:rsidP="00EA0356">
            <w:pPr>
              <w:keepNext/>
              <w:keepLines/>
              <w:spacing w:before="40" w:after="40" w:line="210" w:lineRule="exact"/>
              <w:ind w:right="43"/>
              <w:jc w:val="right"/>
              <w:rPr>
                <w:rFonts w:eastAsia="Times New Roman"/>
                <w:spacing w:val="0"/>
                <w:w w:val="100"/>
                <w:sz w:val="17"/>
                <w:szCs w:val="24"/>
                <w:lang w:val="es-ES_tradnl"/>
              </w:rPr>
            </w:pPr>
          </w:p>
        </w:tc>
        <w:tc>
          <w:tcPr>
            <w:tcW w:w="1619" w:type="dxa"/>
            <w:tcBorders>
              <w:top w:val="single" w:sz="12" w:space="0" w:color="auto"/>
              <w:left w:val="nil"/>
              <w:bottom w:val="nil"/>
              <w:right w:val="nil"/>
            </w:tcBorders>
            <w:vAlign w:val="bottom"/>
          </w:tcPr>
          <w:p w:rsidR="00B966E3" w:rsidRPr="007C184B" w:rsidRDefault="00B966E3" w:rsidP="00EA0356">
            <w:pPr>
              <w:keepNext/>
              <w:keepLines/>
              <w:spacing w:before="40" w:after="40" w:line="210" w:lineRule="exact"/>
              <w:ind w:right="43"/>
              <w:jc w:val="right"/>
              <w:rPr>
                <w:rFonts w:eastAsia="Times New Roman"/>
                <w:spacing w:val="0"/>
                <w:w w:val="100"/>
                <w:sz w:val="17"/>
                <w:szCs w:val="24"/>
                <w:lang w:val="es-ES_tradnl"/>
              </w:rPr>
            </w:pPr>
          </w:p>
        </w:tc>
      </w:tr>
      <w:tr w:rsidR="00B966E3" w:rsidRPr="007C184B" w:rsidTr="00670975">
        <w:trPr>
          <w:trHeight w:val="240"/>
        </w:trPr>
        <w:tc>
          <w:tcPr>
            <w:tcW w:w="2909" w:type="dxa"/>
            <w:hideMark/>
          </w:tcPr>
          <w:p w:rsidR="00B966E3" w:rsidRPr="007C184B" w:rsidRDefault="00B966E3" w:rsidP="00EA0356">
            <w:pPr>
              <w:keepNext/>
              <w:keepLines/>
              <w:tabs>
                <w:tab w:val="left" w:pos="288"/>
                <w:tab w:val="left" w:pos="576"/>
                <w:tab w:val="left" w:pos="864"/>
                <w:tab w:val="left" w:pos="1152"/>
              </w:tabs>
              <w:spacing w:before="40" w:after="40" w:line="210" w:lineRule="exact"/>
              <w:ind w:right="40"/>
              <w:rPr>
                <w:rFonts w:eastAsia="Times New Roman"/>
                <w:spacing w:val="0"/>
                <w:w w:val="100"/>
                <w:sz w:val="17"/>
                <w:szCs w:val="24"/>
                <w:lang w:val="es-ES_tradnl"/>
              </w:rPr>
            </w:pPr>
            <w:r w:rsidRPr="007C184B">
              <w:rPr>
                <w:rFonts w:eastAsia="Times New Roman"/>
                <w:spacing w:val="0"/>
                <w:w w:val="100"/>
                <w:sz w:val="17"/>
                <w:szCs w:val="24"/>
                <w:lang w:val="es-ES_tradnl"/>
              </w:rPr>
              <w:t>Poder legislativo</w:t>
            </w:r>
          </w:p>
        </w:tc>
        <w:tc>
          <w:tcPr>
            <w:tcW w:w="2794" w:type="dxa"/>
            <w:vAlign w:val="bottom"/>
            <w:hideMark/>
          </w:tcPr>
          <w:p w:rsidR="00B966E3" w:rsidRPr="007C184B" w:rsidRDefault="00B966E3" w:rsidP="00EA0356">
            <w:pPr>
              <w:keepNext/>
              <w:keepLines/>
              <w:tabs>
                <w:tab w:val="left" w:pos="288"/>
                <w:tab w:val="left" w:pos="576"/>
                <w:tab w:val="left" w:pos="864"/>
                <w:tab w:val="left" w:pos="1152"/>
              </w:tabs>
              <w:spacing w:before="40" w:after="40" w:line="210" w:lineRule="exact"/>
              <w:ind w:right="43"/>
              <w:jc w:val="right"/>
              <w:rPr>
                <w:rFonts w:eastAsia="Times New Roman"/>
                <w:spacing w:val="0"/>
                <w:w w:val="100"/>
                <w:sz w:val="17"/>
                <w:szCs w:val="24"/>
                <w:lang w:val="es-ES_tradnl"/>
              </w:rPr>
            </w:pPr>
            <w:r w:rsidRPr="007C184B">
              <w:rPr>
                <w:rFonts w:eastAsia="Times New Roman"/>
                <w:spacing w:val="0"/>
                <w:w w:val="100"/>
                <w:sz w:val="17"/>
                <w:szCs w:val="24"/>
                <w:lang w:val="es-ES_tradnl"/>
              </w:rPr>
              <w:t>12.7%</w:t>
            </w:r>
          </w:p>
        </w:tc>
        <w:tc>
          <w:tcPr>
            <w:tcW w:w="1619" w:type="dxa"/>
            <w:vAlign w:val="bottom"/>
            <w:hideMark/>
          </w:tcPr>
          <w:p w:rsidR="00B966E3" w:rsidRPr="007C184B" w:rsidRDefault="00B966E3" w:rsidP="00EA0356">
            <w:pPr>
              <w:keepNext/>
              <w:keepLines/>
              <w:tabs>
                <w:tab w:val="left" w:pos="288"/>
                <w:tab w:val="left" w:pos="576"/>
                <w:tab w:val="left" w:pos="864"/>
                <w:tab w:val="left" w:pos="1152"/>
              </w:tabs>
              <w:spacing w:before="40" w:after="40" w:line="210" w:lineRule="exact"/>
              <w:ind w:right="43"/>
              <w:jc w:val="right"/>
              <w:rPr>
                <w:rFonts w:eastAsia="Times New Roman"/>
                <w:spacing w:val="0"/>
                <w:w w:val="100"/>
                <w:sz w:val="17"/>
                <w:szCs w:val="24"/>
                <w:lang w:val="es-ES_tradnl"/>
              </w:rPr>
            </w:pPr>
            <w:r w:rsidRPr="007C184B">
              <w:rPr>
                <w:rFonts w:eastAsia="Times New Roman"/>
                <w:spacing w:val="0"/>
                <w:w w:val="100"/>
                <w:sz w:val="17"/>
                <w:szCs w:val="24"/>
                <w:lang w:val="es-ES_tradnl"/>
              </w:rPr>
              <w:t>87,3%</w:t>
            </w:r>
          </w:p>
        </w:tc>
      </w:tr>
      <w:tr w:rsidR="00B966E3" w:rsidRPr="007C184B" w:rsidTr="00670975">
        <w:trPr>
          <w:trHeight w:val="240"/>
        </w:trPr>
        <w:tc>
          <w:tcPr>
            <w:tcW w:w="2909" w:type="dxa"/>
            <w:tcBorders>
              <w:top w:val="nil"/>
              <w:left w:val="nil"/>
              <w:bottom w:val="single" w:sz="12" w:space="0" w:color="auto"/>
              <w:right w:val="nil"/>
            </w:tcBorders>
            <w:hideMark/>
          </w:tcPr>
          <w:p w:rsidR="00B966E3" w:rsidRPr="007C184B" w:rsidRDefault="00B966E3" w:rsidP="00EA0356">
            <w:pPr>
              <w:keepNext/>
              <w:keepLines/>
              <w:tabs>
                <w:tab w:val="left" w:pos="288"/>
                <w:tab w:val="left" w:pos="576"/>
                <w:tab w:val="left" w:pos="864"/>
                <w:tab w:val="left" w:pos="1152"/>
              </w:tabs>
              <w:spacing w:before="40" w:after="80" w:line="210" w:lineRule="exact"/>
              <w:ind w:right="40"/>
              <w:rPr>
                <w:rFonts w:eastAsia="Times New Roman"/>
                <w:spacing w:val="0"/>
                <w:w w:val="100"/>
                <w:sz w:val="17"/>
                <w:szCs w:val="24"/>
                <w:lang w:val="es-ES_tradnl"/>
              </w:rPr>
            </w:pPr>
            <w:r w:rsidRPr="007C184B">
              <w:rPr>
                <w:rFonts w:eastAsia="Times New Roman"/>
                <w:spacing w:val="0"/>
                <w:w w:val="100"/>
                <w:sz w:val="17"/>
                <w:szCs w:val="24"/>
                <w:lang w:val="es-ES_tradnl"/>
              </w:rPr>
              <w:t>Poder ejecutivo (ministros de gobierno)</w:t>
            </w:r>
          </w:p>
        </w:tc>
        <w:tc>
          <w:tcPr>
            <w:tcW w:w="2794" w:type="dxa"/>
            <w:tcBorders>
              <w:top w:val="nil"/>
              <w:left w:val="nil"/>
              <w:bottom w:val="single" w:sz="12" w:space="0" w:color="auto"/>
              <w:right w:val="nil"/>
            </w:tcBorders>
            <w:vAlign w:val="bottom"/>
            <w:hideMark/>
          </w:tcPr>
          <w:p w:rsidR="00B966E3" w:rsidRPr="007C184B" w:rsidRDefault="00B966E3" w:rsidP="00EA0356">
            <w:pPr>
              <w:keepNext/>
              <w:keepLines/>
              <w:tabs>
                <w:tab w:val="left" w:pos="288"/>
                <w:tab w:val="left" w:pos="576"/>
                <w:tab w:val="left" w:pos="864"/>
                <w:tab w:val="left" w:pos="1152"/>
              </w:tabs>
              <w:spacing w:before="40" w:after="80" w:line="210" w:lineRule="exact"/>
              <w:ind w:right="43"/>
              <w:jc w:val="right"/>
              <w:rPr>
                <w:rFonts w:eastAsia="Times New Roman"/>
                <w:spacing w:val="0"/>
                <w:w w:val="100"/>
                <w:sz w:val="17"/>
                <w:szCs w:val="24"/>
                <w:lang w:val="es-ES_tradnl"/>
              </w:rPr>
            </w:pPr>
            <w:r w:rsidRPr="007C184B">
              <w:rPr>
                <w:rFonts w:eastAsia="Times New Roman"/>
                <w:spacing w:val="0"/>
                <w:w w:val="100"/>
                <w:sz w:val="17"/>
                <w:szCs w:val="24"/>
                <w:lang w:val="es-ES_tradnl"/>
              </w:rPr>
              <w:t>30%</w:t>
            </w:r>
          </w:p>
        </w:tc>
        <w:tc>
          <w:tcPr>
            <w:tcW w:w="1619" w:type="dxa"/>
            <w:tcBorders>
              <w:top w:val="nil"/>
              <w:left w:val="nil"/>
              <w:bottom w:val="single" w:sz="12" w:space="0" w:color="auto"/>
              <w:right w:val="nil"/>
            </w:tcBorders>
            <w:vAlign w:val="bottom"/>
            <w:hideMark/>
          </w:tcPr>
          <w:p w:rsidR="00B966E3" w:rsidRPr="007C184B" w:rsidRDefault="00B966E3" w:rsidP="00EA0356">
            <w:pPr>
              <w:keepNext/>
              <w:keepLines/>
              <w:tabs>
                <w:tab w:val="left" w:pos="288"/>
                <w:tab w:val="left" w:pos="576"/>
                <w:tab w:val="left" w:pos="864"/>
                <w:tab w:val="left" w:pos="1152"/>
              </w:tabs>
              <w:spacing w:before="40" w:after="80" w:line="210" w:lineRule="exact"/>
              <w:ind w:right="43"/>
              <w:jc w:val="right"/>
              <w:rPr>
                <w:rFonts w:eastAsia="Times New Roman"/>
                <w:spacing w:val="0"/>
                <w:w w:val="100"/>
                <w:sz w:val="17"/>
                <w:szCs w:val="24"/>
                <w:lang w:val="es-ES_tradnl"/>
              </w:rPr>
            </w:pPr>
            <w:r w:rsidRPr="007C184B">
              <w:rPr>
                <w:rFonts w:eastAsia="Times New Roman"/>
                <w:spacing w:val="0"/>
                <w:w w:val="100"/>
                <w:sz w:val="17"/>
                <w:szCs w:val="24"/>
                <w:lang w:val="es-ES_tradnl"/>
              </w:rPr>
              <w:t>70%</w:t>
            </w:r>
          </w:p>
        </w:tc>
      </w:tr>
    </w:tbl>
    <w:p w:rsidR="00B966E3" w:rsidRDefault="00B966E3" w:rsidP="00B966E3">
      <w:pPr>
        <w:pStyle w:val="SingleTxt"/>
        <w:spacing w:after="0" w:line="120" w:lineRule="exact"/>
        <w:rPr>
          <w:sz w:val="10"/>
          <w:lang w:val="es-ES_tradnl"/>
        </w:rPr>
      </w:pPr>
    </w:p>
    <w:p w:rsidR="00EA0356" w:rsidRPr="007C184B" w:rsidRDefault="00EA0356" w:rsidP="00B966E3">
      <w:pPr>
        <w:pStyle w:val="SingleTxt"/>
        <w:spacing w:after="0" w:line="120" w:lineRule="exact"/>
        <w:rPr>
          <w:sz w:val="10"/>
          <w:lang w:val="es-ES_tradnl"/>
        </w:rPr>
      </w:pPr>
    </w:p>
    <w:p w:rsidR="00B966E3" w:rsidRPr="007C184B" w:rsidRDefault="00B966E3" w:rsidP="007C184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7C184B">
        <w:rPr>
          <w:lang w:val="es-ES_tradnl"/>
        </w:rPr>
        <w:tab/>
        <w:t>C.</w:t>
      </w:r>
      <w:r w:rsidRPr="007C184B">
        <w:rPr>
          <w:lang w:val="es-ES_tradnl"/>
        </w:rPr>
        <w:tab/>
        <w:t>Estructura etaria</w:t>
      </w:r>
    </w:p>
    <w:p w:rsidR="00AC7D48" w:rsidRPr="007C184B" w:rsidRDefault="00AC7D48" w:rsidP="00B966E3">
      <w:pPr>
        <w:pStyle w:val="SingleTxt"/>
        <w:keepNext/>
        <w:keepLines/>
        <w:spacing w:after="0" w:line="120" w:lineRule="exact"/>
        <w:rPr>
          <w:sz w:val="10"/>
          <w:lang w:val="es-ES_tradnl"/>
        </w:rPr>
      </w:pPr>
    </w:p>
    <w:p w:rsidR="00B966E3" w:rsidRPr="007C184B" w:rsidRDefault="00B966E3" w:rsidP="00B966E3">
      <w:pPr>
        <w:pStyle w:val="SingleTxt"/>
        <w:keepNext/>
        <w:keepLines/>
        <w:spacing w:after="0" w:line="120" w:lineRule="exact"/>
        <w:rPr>
          <w:sz w:val="10"/>
          <w:lang w:val="es-ES_tradnl"/>
        </w:rPr>
      </w:pPr>
    </w:p>
    <w:p w:rsidR="00B966E3" w:rsidRPr="007C184B" w:rsidRDefault="00B966E3" w:rsidP="00B966E3">
      <w:pPr>
        <w:pStyle w:val="SingleTxt"/>
        <w:keepNext/>
        <w:keepLines/>
        <w:numPr>
          <w:ilvl w:val="0"/>
          <w:numId w:val="5"/>
        </w:numPr>
        <w:suppressAutoHyphens w:val="0"/>
        <w:ind w:left="1267"/>
        <w:rPr>
          <w:spacing w:val="2"/>
          <w:lang w:val="es-ES_tradnl"/>
        </w:rPr>
      </w:pPr>
      <w:r w:rsidRPr="007C184B">
        <w:rPr>
          <w:spacing w:val="2"/>
          <w:lang w:val="es-ES_tradnl"/>
        </w:rPr>
        <w:t xml:space="preserve">Liberia tiene una población joven. Más de la mitad de la población (el 55,6%) tiene menos de 20 años. Los niños menores de 15 años constituyen el 46,8% de la población y los menores de 5 años, el 14,4%. Los niños con edades comprendidas entre los 0 y los 9 años constituyen aproximadamente el 66,5% del total de la población infantil. La dependencia de los niños es de casi el 94% y la de las personas de edad, del 6,9%, lo que sitúa la dependencia total de la población en el 100,9%. Ello significa que, por cada 100 adultos en edad de trabajar, hay aproximadamente 100,9 personas dependientes desde el punto de vista económico y social. </w:t>
      </w:r>
    </w:p>
    <w:p w:rsidR="00B966E3" w:rsidRPr="007C184B" w:rsidRDefault="00B966E3" w:rsidP="00B966E3">
      <w:pPr>
        <w:pStyle w:val="SingleTxt"/>
        <w:numPr>
          <w:ilvl w:val="0"/>
          <w:numId w:val="5"/>
        </w:numPr>
        <w:suppressAutoHyphens w:val="0"/>
        <w:ind w:left="1267"/>
        <w:rPr>
          <w:lang w:val="es-ES_tradnl"/>
        </w:rPr>
      </w:pPr>
      <w:r w:rsidRPr="007C184B">
        <w:rPr>
          <w:lang w:val="es-ES_tradnl"/>
        </w:rPr>
        <w:t xml:space="preserve">A fin de reducir la elevada tasa de crecimiento, el Gobierno ha puesto en marcha varias iniciativas. Los servicios de planificación familiar son de fácil acceso a nivel nacional, y el Gobierno ha instituido la educación primaria gratuita y </w:t>
      </w:r>
      <w:r w:rsidR="007C184B" w:rsidRPr="007C184B">
        <w:rPr>
          <w:lang w:val="es-ES_tradnl"/>
        </w:rPr>
        <w:t xml:space="preserve">ha </w:t>
      </w:r>
      <w:r w:rsidRPr="007C184B">
        <w:rPr>
          <w:lang w:val="es-ES_tradnl"/>
        </w:rPr>
        <w:t>concedido becas para reducir la tasa de crecimiento de la población y aumenta</w:t>
      </w:r>
      <w:r w:rsidR="007C184B" w:rsidRPr="007C184B">
        <w:rPr>
          <w:lang w:val="es-ES_tradnl"/>
        </w:rPr>
        <w:t>r el acceso a la educación. El G</w:t>
      </w:r>
      <w:r w:rsidRPr="007C184B">
        <w:rPr>
          <w:lang w:val="es-ES_tradnl"/>
        </w:rPr>
        <w:t>obierno también ha ofrecido ayudas a la agricultura, como semillas y herramientas para los agricultores, a fin de aumentar el rendimiento de las cosechas, y se ha embarcado en un sólido plan de creación de empleo mediante el establecimiento de concesiones agrícolas y mineras.</w:t>
      </w:r>
    </w:p>
    <w:p w:rsidR="00B966E3" w:rsidRPr="007C184B" w:rsidRDefault="00B966E3" w:rsidP="00B966E3">
      <w:pPr>
        <w:pStyle w:val="SingleTxt"/>
        <w:suppressAutoHyphens w:val="0"/>
        <w:spacing w:after="0" w:line="120" w:lineRule="exact"/>
        <w:rPr>
          <w:sz w:val="10"/>
          <w:lang w:val="es-ES_tradnl"/>
        </w:rPr>
      </w:pPr>
    </w:p>
    <w:p w:rsidR="00B966E3" w:rsidRPr="007C184B" w:rsidRDefault="00B966E3" w:rsidP="00B966E3">
      <w:pPr>
        <w:pStyle w:val="SingleTxt"/>
        <w:suppressAutoHyphens w:val="0"/>
        <w:spacing w:after="0" w:line="120" w:lineRule="exact"/>
        <w:rPr>
          <w:sz w:val="10"/>
          <w:lang w:val="es-ES_tradnl"/>
        </w:rPr>
      </w:pPr>
    </w:p>
    <w:p w:rsidR="00B966E3" w:rsidRPr="007C184B" w:rsidRDefault="00B966E3" w:rsidP="00B966E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7C184B">
        <w:rPr>
          <w:lang w:val="es-ES_tradnl"/>
        </w:rPr>
        <w:tab/>
        <w:t>D.</w:t>
      </w:r>
      <w:r w:rsidRPr="007C184B">
        <w:rPr>
          <w:lang w:val="es-ES_tradnl"/>
        </w:rPr>
        <w:tab/>
        <w:t>Crecimiento y distribución de la población</w:t>
      </w:r>
    </w:p>
    <w:p w:rsidR="00B966E3" w:rsidRPr="007C184B" w:rsidRDefault="00B966E3" w:rsidP="00B966E3">
      <w:pPr>
        <w:pStyle w:val="SingleTxt"/>
        <w:spacing w:after="0" w:line="120" w:lineRule="exact"/>
        <w:rPr>
          <w:sz w:val="10"/>
          <w:lang w:val="es-ES_tradnl"/>
        </w:rPr>
      </w:pPr>
    </w:p>
    <w:p w:rsidR="00B966E3" w:rsidRPr="007C184B" w:rsidRDefault="00B966E3" w:rsidP="00B966E3">
      <w:pPr>
        <w:pStyle w:val="SingleTxt"/>
        <w:spacing w:after="0" w:line="120" w:lineRule="exact"/>
        <w:rPr>
          <w:sz w:val="10"/>
          <w:lang w:val="es-ES_tradnl"/>
        </w:rPr>
      </w:pPr>
    </w:p>
    <w:p w:rsidR="00B966E3" w:rsidRPr="007C184B" w:rsidRDefault="00B966E3" w:rsidP="00B966E3">
      <w:pPr>
        <w:pStyle w:val="SingleTxt"/>
        <w:numPr>
          <w:ilvl w:val="0"/>
          <w:numId w:val="5"/>
        </w:numPr>
        <w:suppressAutoHyphens w:val="0"/>
        <w:ind w:left="1267"/>
        <w:rPr>
          <w:spacing w:val="2"/>
          <w:lang w:val="es-ES_tradnl"/>
        </w:rPr>
      </w:pPr>
      <w:r w:rsidRPr="007C184B">
        <w:rPr>
          <w:spacing w:val="2"/>
          <w:lang w:val="es-ES_tradnl"/>
        </w:rPr>
        <w:t xml:space="preserve">La dinámica de la información demográfica no ha cambiado desde el último período de presentación de informes. Cada diez años se celebra un censo nacional, y el próximo está previsto para 2016. </w:t>
      </w:r>
      <w:r w:rsidR="007C184B" w:rsidRPr="007C184B">
        <w:rPr>
          <w:spacing w:val="2"/>
          <w:lang w:val="es-ES_tradnl"/>
        </w:rPr>
        <w:t>L</w:t>
      </w:r>
      <w:r w:rsidRPr="007C184B">
        <w:rPr>
          <w:spacing w:val="2"/>
          <w:lang w:val="es-ES_tradnl"/>
        </w:rPr>
        <w:t>a tasa de crecimiento viene inducida por factores como la elevada tasa de fertilidad (del 5,2% a nivel nacional), la gran cantidad de mujeres en edad reproductiva, la escasa utilización de métodos anticonceptivos y la práctica de la poligamia. El tamaño medio de las familias es de 5,2 hijos.</w:t>
      </w:r>
    </w:p>
    <w:p w:rsidR="00B966E3" w:rsidRPr="007C184B" w:rsidRDefault="00B966E3" w:rsidP="00B966E3">
      <w:pPr>
        <w:pStyle w:val="SingleTxt"/>
        <w:suppressAutoHyphens w:val="0"/>
        <w:spacing w:after="0" w:line="120" w:lineRule="exact"/>
        <w:rPr>
          <w:sz w:val="10"/>
          <w:lang w:val="es-ES_tradnl"/>
        </w:rPr>
      </w:pPr>
    </w:p>
    <w:p w:rsidR="00B966E3" w:rsidRPr="007C184B" w:rsidRDefault="00B966E3" w:rsidP="00B966E3">
      <w:pPr>
        <w:pStyle w:val="SingleTxt"/>
        <w:suppressAutoHyphens w:val="0"/>
        <w:spacing w:after="0" w:line="120" w:lineRule="exact"/>
        <w:rPr>
          <w:sz w:val="10"/>
          <w:lang w:val="es-ES_tradnl"/>
        </w:rPr>
      </w:pPr>
    </w:p>
    <w:p w:rsidR="00B966E3" w:rsidRPr="007C184B" w:rsidRDefault="00B966E3" w:rsidP="00B966E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7C184B">
        <w:rPr>
          <w:lang w:val="es-ES_tradnl"/>
        </w:rPr>
        <w:tab/>
        <w:t>E.</w:t>
      </w:r>
      <w:r w:rsidRPr="007C184B">
        <w:rPr>
          <w:lang w:val="es-ES_tradnl"/>
        </w:rPr>
        <w:tab/>
        <w:t xml:space="preserve">Migración </w:t>
      </w:r>
      <w:r w:rsidR="007C184B" w:rsidRPr="007C184B">
        <w:rPr>
          <w:lang w:val="es-ES_tradnl"/>
        </w:rPr>
        <w:t>del campo a la ciudad</w:t>
      </w:r>
    </w:p>
    <w:p w:rsidR="00B966E3" w:rsidRPr="007C184B" w:rsidRDefault="00B966E3" w:rsidP="00B966E3">
      <w:pPr>
        <w:pStyle w:val="SingleTxt"/>
        <w:spacing w:after="0" w:line="120" w:lineRule="exact"/>
        <w:rPr>
          <w:sz w:val="10"/>
          <w:lang w:val="es-ES_tradnl"/>
        </w:rPr>
      </w:pPr>
    </w:p>
    <w:p w:rsidR="00B966E3" w:rsidRPr="007C184B" w:rsidRDefault="00B966E3" w:rsidP="00B966E3">
      <w:pPr>
        <w:pStyle w:val="SingleTxt"/>
        <w:spacing w:after="0" w:line="120" w:lineRule="exact"/>
        <w:rPr>
          <w:sz w:val="10"/>
          <w:lang w:val="es-ES_tradnl"/>
        </w:rPr>
      </w:pPr>
    </w:p>
    <w:p w:rsidR="00B966E3" w:rsidRPr="007C184B" w:rsidRDefault="00B966E3" w:rsidP="00B966E3">
      <w:pPr>
        <w:pStyle w:val="SingleTxt"/>
        <w:numPr>
          <w:ilvl w:val="0"/>
          <w:numId w:val="5"/>
        </w:numPr>
        <w:suppressAutoHyphens w:val="0"/>
        <w:ind w:left="1267"/>
        <w:rPr>
          <w:lang w:val="es-ES_tradnl"/>
        </w:rPr>
      </w:pPr>
      <w:r w:rsidRPr="007C184B">
        <w:rPr>
          <w:lang w:val="es-ES_tradnl"/>
        </w:rPr>
        <w:t xml:space="preserve">Durante los últimos diez años </w:t>
      </w:r>
      <w:r w:rsidR="007C184B" w:rsidRPr="007C184B">
        <w:rPr>
          <w:lang w:val="es-ES_tradnl"/>
        </w:rPr>
        <w:t>ha seguido</w:t>
      </w:r>
      <w:r w:rsidRPr="007C184B">
        <w:rPr>
          <w:lang w:val="es-ES_tradnl"/>
        </w:rPr>
        <w:t xml:space="preserve"> aumentando la migración de las zonas rurales a las zonas urbanas debido a las escasas oportunidades de medios de vida en el campo y a la búsqueda de empleo y de mejores oportunidades en las ciudades. Este elevado </w:t>
      </w:r>
      <w:r w:rsidR="007C184B" w:rsidRPr="007C184B">
        <w:rPr>
          <w:lang w:val="es-ES_tradnl"/>
        </w:rPr>
        <w:t>crecimiento demográfico</w:t>
      </w:r>
      <w:r w:rsidRPr="007C184B">
        <w:rPr>
          <w:lang w:val="es-ES_tradnl"/>
        </w:rPr>
        <w:t xml:space="preserve"> en las zonas urbanas aumenta la pobreza, las actividades delictivas, los barrios marginales y el deterioro. Además, va en detrimento de la productividad agrícola y la seguridad alimentaria. </w:t>
      </w:r>
    </w:p>
    <w:p w:rsidR="00B966E3" w:rsidRPr="007C184B" w:rsidRDefault="00B966E3" w:rsidP="00B966E3">
      <w:pPr>
        <w:pStyle w:val="SingleTxt"/>
        <w:numPr>
          <w:ilvl w:val="0"/>
          <w:numId w:val="5"/>
        </w:numPr>
        <w:suppressAutoHyphens w:val="0"/>
        <w:ind w:left="1267"/>
        <w:rPr>
          <w:spacing w:val="2"/>
          <w:lang w:val="es-ES_tradnl"/>
        </w:rPr>
      </w:pPr>
      <w:r w:rsidRPr="007C184B">
        <w:rPr>
          <w:spacing w:val="2"/>
          <w:lang w:val="es-ES_tradnl"/>
        </w:rPr>
        <w:t xml:space="preserve">Junto al elevado aumento de la migración a las zonas urbanas aparece una elevada tasa de desempleo en esas zonas, lo cual crea amenazas para la seguridad. Los recientes intentos por invertir esta tendencia </w:t>
      </w:r>
      <w:r w:rsidR="007C184B" w:rsidRPr="007C184B">
        <w:rPr>
          <w:spacing w:val="2"/>
          <w:lang w:val="es-ES_tradnl"/>
        </w:rPr>
        <w:t xml:space="preserve">creando </w:t>
      </w:r>
      <w:r w:rsidRPr="007C184B">
        <w:rPr>
          <w:spacing w:val="2"/>
          <w:lang w:val="es-ES_tradnl"/>
        </w:rPr>
        <w:t>empleo en las zonas rurales mediante concesiones no ha</w:t>
      </w:r>
      <w:r w:rsidR="007C184B" w:rsidRPr="007C184B">
        <w:rPr>
          <w:spacing w:val="2"/>
          <w:lang w:val="es-ES_tradnl"/>
        </w:rPr>
        <w:t>n</w:t>
      </w:r>
      <w:r w:rsidRPr="007C184B">
        <w:rPr>
          <w:spacing w:val="2"/>
          <w:lang w:val="es-ES_tradnl"/>
        </w:rPr>
        <w:t xml:space="preserve"> dado resultados significativos debido a los problemas que han surgido en relación con el uso de la tierra y los derechos de las comunidades. </w:t>
      </w:r>
    </w:p>
    <w:p w:rsidR="00B966E3" w:rsidRPr="007C184B" w:rsidRDefault="00B966E3" w:rsidP="00B966E3">
      <w:pPr>
        <w:pStyle w:val="SingleTxt"/>
        <w:suppressAutoHyphens w:val="0"/>
        <w:spacing w:after="0" w:line="120" w:lineRule="exact"/>
        <w:rPr>
          <w:sz w:val="10"/>
          <w:lang w:val="es-ES_tradnl"/>
        </w:rPr>
      </w:pPr>
    </w:p>
    <w:p w:rsidR="00B966E3" w:rsidRPr="007C184B" w:rsidRDefault="00B966E3" w:rsidP="00B966E3">
      <w:pPr>
        <w:pStyle w:val="SingleTxt"/>
        <w:suppressAutoHyphens w:val="0"/>
        <w:spacing w:after="0" w:line="120" w:lineRule="exact"/>
        <w:rPr>
          <w:sz w:val="10"/>
          <w:lang w:val="es-ES_tradnl"/>
        </w:rPr>
      </w:pPr>
    </w:p>
    <w:p w:rsidR="00B966E3" w:rsidRPr="007C184B" w:rsidRDefault="00B966E3" w:rsidP="00B966E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7C184B">
        <w:rPr>
          <w:lang w:val="es-ES_tradnl"/>
        </w:rPr>
        <w:tab/>
        <w:t>III.</w:t>
      </w:r>
      <w:r w:rsidRPr="007C184B">
        <w:rPr>
          <w:lang w:val="es-ES_tradnl"/>
        </w:rPr>
        <w:tab/>
        <w:t>Sistema político y jurídico</w:t>
      </w:r>
    </w:p>
    <w:p w:rsidR="00B966E3" w:rsidRPr="007C184B" w:rsidRDefault="00B966E3" w:rsidP="00B966E3">
      <w:pPr>
        <w:pStyle w:val="SingleTxt"/>
        <w:spacing w:after="0" w:line="120" w:lineRule="exact"/>
        <w:rPr>
          <w:sz w:val="10"/>
          <w:lang w:val="es-ES_tradnl"/>
        </w:rPr>
      </w:pPr>
    </w:p>
    <w:p w:rsidR="00B966E3" w:rsidRPr="007C184B" w:rsidRDefault="00B966E3" w:rsidP="00B966E3">
      <w:pPr>
        <w:pStyle w:val="SingleTxt"/>
        <w:spacing w:after="0" w:line="120" w:lineRule="exact"/>
        <w:rPr>
          <w:sz w:val="10"/>
          <w:lang w:val="es-ES_tradnl"/>
        </w:rPr>
      </w:pPr>
    </w:p>
    <w:p w:rsidR="00B966E3" w:rsidRPr="007C184B" w:rsidRDefault="00B966E3" w:rsidP="00B966E3">
      <w:pPr>
        <w:pStyle w:val="SingleTxt"/>
        <w:numPr>
          <w:ilvl w:val="0"/>
          <w:numId w:val="5"/>
        </w:numPr>
        <w:suppressAutoHyphens w:val="0"/>
        <w:ind w:left="1267"/>
        <w:rPr>
          <w:lang w:val="es-ES_tradnl"/>
        </w:rPr>
      </w:pPr>
      <w:r w:rsidRPr="007C184B">
        <w:rPr>
          <w:lang w:val="es-ES_tradnl"/>
        </w:rPr>
        <w:t xml:space="preserve">La historia política de Liberia de que se tienen registros se remonta a 1822, cuando un grupo de esclavos negros </w:t>
      </w:r>
      <w:r w:rsidR="007C184B">
        <w:rPr>
          <w:lang w:val="es-ES_tradnl"/>
        </w:rPr>
        <w:t>liberados</w:t>
      </w:r>
      <w:r w:rsidRPr="007C184B">
        <w:rPr>
          <w:lang w:val="es-ES_tradnl"/>
        </w:rPr>
        <w:t xml:space="preserve"> de los Estados Unidos financiado por la Sociedad Americana de Colonización (SAC) llegó a la costa de Liberia en busca de un lugar donde refugiarse y vivir. En 1847 Liberia declaró su independencia con una nueva Constitución y símbolos nacionales. Al año siguiente, la Constitución de Liberia fue ratificada y se celebraron las primeras elecciones en la nueva república. </w:t>
      </w:r>
    </w:p>
    <w:p w:rsidR="00B966E3" w:rsidRPr="007C184B" w:rsidRDefault="00B966E3" w:rsidP="00B966E3">
      <w:pPr>
        <w:pStyle w:val="SingleTxt"/>
        <w:suppressAutoHyphens w:val="0"/>
        <w:spacing w:after="0" w:line="120" w:lineRule="exact"/>
        <w:rPr>
          <w:sz w:val="10"/>
          <w:lang w:val="es-ES_tradnl"/>
        </w:rPr>
      </w:pPr>
    </w:p>
    <w:p w:rsidR="00B966E3" w:rsidRPr="007C184B" w:rsidRDefault="00B966E3" w:rsidP="00B966E3">
      <w:pPr>
        <w:pStyle w:val="SingleTxt"/>
        <w:suppressAutoHyphens w:val="0"/>
        <w:spacing w:after="0" w:line="120" w:lineRule="exact"/>
        <w:rPr>
          <w:sz w:val="10"/>
          <w:lang w:val="es-ES_tradnl"/>
        </w:rPr>
      </w:pPr>
    </w:p>
    <w:p w:rsidR="00B966E3" w:rsidRPr="007C184B" w:rsidRDefault="00B966E3" w:rsidP="00B966E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7C184B">
        <w:rPr>
          <w:lang w:val="es-ES_tradnl"/>
        </w:rPr>
        <w:tab/>
        <w:t>A.</w:t>
      </w:r>
      <w:r w:rsidRPr="007C184B">
        <w:rPr>
          <w:lang w:val="es-ES_tradnl"/>
        </w:rPr>
        <w:tab/>
        <w:t>Sistema de gobierno</w:t>
      </w:r>
    </w:p>
    <w:p w:rsidR="00B966E3" w:rsidRPr="007C184B" w:rsidRDefault="00B966E3" w:rsidP="00B966E3">
      <w:pPr>
        <w:pStyle w:val="SingleTxt"/>
        <w:spacing w:after="0" w:line="120" w:lineRule="exact"/>
        <w:rPr>
          <w:sz w:val="10"/>
          <w:lang w:val="es-ES_tradnl"/>
        </w:rPr>
      </w:pPr>
    </w:p>
    <w:p w:rsidR="00B966E3" w:rsidRPr="007C184B" w:rsidRDefault="00B966E3" w:rsidP="00B966E3">
      <w:pPr>
        <w:pStyle w:val="SingleTxt"/>
        <w:spacing w:after="0" w:line="120" w:lineRule="exact"/>
        <w:rPr>
          <w:sz w:val="10"/>
          <w:lang w:val="es-ES_tradnl"/>
        </w:rPr>
      </w:pPr>
    </w:p>
    <w:p w:rsidR="00AC7D48" w:rsidRPr="007C184B" w:rsidRDefault="00B966E3" w:rsidP="00B966E3">
      <w:pPr>
        <w:pStyle w:val="SingleTxt"/>
        <w:numPr>
          <w:ilvl w:val="0"/>
          <w:numId w:val="5"/>
        </w:numPr>
        <w:suppressAutoHyphens w:val="0"/>
        <w:ind w:left="1267"/>
        <w:rPr>
          <w:lang w:val="es-ES_tradnl"/>
        </w:rPr>
      </w:pPr>
      <w:r w:rsidRPr="007C184B">
        <w:rPr>
          <w:lang w:val="es-ES_tradnl"/>
        </w:rPr>
        <w:t xml:space="preserve">La forma de gobierno de Liberia es la república, con tres poderes independientes: el poder legislativo, el poder ejecutivo y el poder judicial. Liberia es un Estado unitario con un sistema multipartidista. La Constitución dispone que “todo el poder reside en el pueblo” y que todos los gobiernos existen en beneficio de este (artículo 1). El jefe del Estado es el Presidente, que ejerce el poder ejecutivo. El poder legislativo reside en las dos cámaras, </w:t>
      </w:r>
      <w:r w:rsidR="007C184B">
        <w:rPr>
          <w:lang w:val="es-ES_tradnl"/>
        </w:rPr>
        <w:t xml:space="preserve">la Cámara de Representantes </w:t>
      </w:r>
      <w:r w:rsidRPr="007C184B">
        <w:rPr>
          <w:lang w:val="es-ES_tradnl"/>
        </w:rPr>
        <w:t>y el Senado. El poder judicial radica en los tribunales. Los tres poderes del Estado están en pie de igualdad, pero son independientes y están diferenciados.</w:t>
      </w:r>
    </w:p>
    <w:p w:rsidR="00AC7D48" w:rsidRPr="007C184B" w:rsidRDefault="00B966E3" w:rsidP="00B966E3">
      <w:pPr>
        <w:pStyle w:val="SingleTxt"/>
        <w:numPr>
          <w:ilvl w:val="0"/>
          <w:numId w:val="5"/>
        </w:numPr>
        <w:suppressAutoHyphens w:val="0"/>
        <w:ind w:left="1267"/>
        <w:rPr>
          <w:lang w:val="es-ES_tradnl"/>
        </w:rPr>
      </w:pPr>
      <w:r w:rsidRPr="007C184B">
        <w:rPr>
          <w:lang w:val="es-ES_tradnl"/>
        </w:rPr>
        <w:t>Desde el punto de vista administrati</w:t>
      </w:r>
      <w:r w:rsidR="007C184B">
        <w:rPr>
          <w:lang w:val="es-ES_tradnl"/>
        </w:rPr>
        <w:t xml:space="preserve">vo, el país está dividido en 15 </w:t>
      </w:r>
      <w:r w:rsidRPr="007C184B">
        <w:rPr>
          <w:lang w:val="es-ES_tradnl"/>
        </w:rPr>
        <w:t xml:space="preserve">subdivisiones políticas denominadas condados. Al frente de cada </w:t>
      </w:r>
      <w:r w:rsidR="007C184B">
        <w:rPr>
          <w:lang w:val="es-ES_tradnl"/>
        </w:rPr>
        <w:t>condado</w:t>
      </w:r>
      <w:r w:rsidRPr="007C184B">
        <w:rPr>
          <w:lang w:val="es-ES_tradnl"/>
        </w:rPr>
        <w:t xml:space="preserve"> hay un superintendente, representante directo del Presidente. Los condados están a su vez divididos en distritos administrativos, encabezados por comisionados de distrito que asisten a los superintendentes. Los comisionados de distrito y los jefes supremos, de ciudad y de clan </w:t>
      </w:r>
      <w:r w:rsidR="00C55452">
        <w:rPr>
          <w:lang w:val="es-ES_tradnl"/>
        </w:rPr>
        <w:t xml:space="preserve">completan la jerarquía en línea </w:t>
      </w:r>
      <w:r w:rsidRPr="007C184B">
        <w:rPr>
          <w:lang w:val="es-ES_tradnl"/>
        </w:rPr>
        <w:t>descendente. Las ciudades están gobernadas por alcaldes, mientras que los municipios dependen de comisionados municipales. La estructura es municipal.</w:t>
      </w:r>
      <w:r w:rsidR="007C184B">
        <w:rPr>
          <w:lang w:val="es-ES_tradnl"/>
        </w:rPr>
        <w:t xml:space="preserve"> </w:t>
      </w:r>
    </w:p>
    <w:p w:rsidR="005E145A" w:rsidRPr="004040A6" w:rsidRDefault="005E145A" w:rsidP="00515249">
      <w:pPr>
        <w:pStyle w:val="SingleTxt"/>
        <w:spacing w:after="0" w:line="120" w:lineRule="exact"/>
        <w:rPr>
          <w:sz w:val="10"/>
        </w:rPr>
      </w:pPr>
    </w:p>
    <w:p w:rsidR="005E145A" w:rsidRPr="004040A6" w:rsidRDefault="005E145A" w:rsidP="00515249">
      <w:pPr>
        <w:pStyle w:val="SingleTxt"/>
        <w:spacing w:after="0" w:line="120" w:lineRule="exact"/>
        <w:rPr>
          <w:sz w:val="10"/>
        </w:rPr>
      </w:pPr>
    </w:p>
    <w:p w:rsidR="005E145A" w:rsidRDefault="005E145A" w:rsidP="0051524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 xml:space="preserve">Funciones del Estado </w:t>
      </w:r>
    </w:p>
    <w:p w:rsidR="005E145A" w:rsidRPr="004040A6" w:rsidRDefault="005E145A" w:rsidP="00515249">
      <w:pPr>
        <w:pStyle w:val="SingleTxt"/>
        <w:spacing w:after="0" w:line="120" w:lineRule="exact"/>
        <w:rPr>
          <w:sz w:val="10"/>
        </w:rPr>
      </w:pPr>
    </w:p>
    <w:p w:rsidR="005E145A" w:rsidRPr="004040A6" w:rsidRDefault="005E145A" w:rsidP="00515249">
      <w:pPr>
        <w:pStyle w:val="SingleTxt"/>
        <w:spacing w:after="0" w:line="120" w:lineRule="exact"/>
        <w:rPr>
          <w:sz w:val="10"/>
        </w:rPr>
      </w:pPr>
    </w:p>
    <w:p w:rsidR="005E145A" w:rsidRDefault="005E145A" w:rsidP="005E145A">
      <w:pPr>
        <w:pStyle w:val="SingleTxt"/>
        <w:numPr>
          <w:ilvl w:val="0"/>
          <w:numId w:val="5"/>
        </w:numPr>
        <w:tabs>
          <w:tab w:val="clear" w:pos="475"/>
        </w:tabs>
        <w:suppressAutoHyphens w:val="0"/>
        <w:ind w:left="1267"/>
      </w:pPr>
      <w:r>
        <w:t xml:space="preserve">El poder legislativo hace las leyes, el poder judicial las interpreta y el poder ejecutivo las ejecuta. La rama legislativa es bicameral y consta de Cámara de Representantes y Senado. El Presidente de la Cámara de Representantes preside sus funciones y al frente del Senado está el Vicepresidente, que es el Presidente del Senado. En ausencia del Vicepresidente, preside el Senado un Presidente Provisional. Los senadores son elegidos para un mandato de nueve años, mientras que los miembros de la Cámara de </w:t>
      </w:r>
      <w:r w:rsidRPr="005E145A">
        <w:rPr>
          <w:lang w:val="es-ES_tradnl"/>
        </w:rPr>
        <w:t>Representantes</w:t>
      </w:r>
      <w:r>
        <w:t xml:space="preserve"> son elegidos para un mandato de seis años. Pueden tener dos mandatos consecutivos si sus circunscripciones los vuelven a elegir. Las circunscripciones se basan en los distritos electorales designados atendiendo a criterios de población y conveniencia política. En virtud de las leyes electorales de Liberia, hay dos senadores en cada condado y un mínimo de dos representantes en los condados cuya población es inferior a 10.000 habitantes.</w:t>
      </w:r>
    </w:p>
    <w:p w:rsidR="005E145A" w:rsidRDefault="005E145A" w:rsidP="005E145A">
      <w:pPr>
        <w:pStyle w:val="SingleTxt"/>
        <w:numPr>
          <w:ilvl w:val="0"/>
          <w:numId w:val="5"/>
        </w:numPr>
        <w:tabs>
          <w:tab w:val="clear" w:pos="475"/>
        </w:tabs>
        <w:suppressAutoHyphens w:val="0"/>
        <w:ind w:left="1267"/>
      </w:pPr>
      <w:r>
        <w:t xml:space="preserve">El Presidente dirige el poder ejecutivo. Tanto el Presidente como el Vicepresidente son elegidos por un mandato de seis años y pueden ser reelegidos solo para otro mandato </w:t>
      </w:r>
      <w:r w:rsidRPr="005E145A">
        <w:rPr>
          <w:lang w:val="es-ES_tradnl"/>
        </w:rPr>
        <w:t>adicional</w:t>
      </w:r>
      <w:r>
        <w:t>. El poder ejecutivo se compone de ministerios y organismos nacionales, dirigidos por ministros, que ayudan al Presidente y al Vicepresidente a administrar los asuntos del Estado.</w:t>
      </w:r>
    </w:p>
    <w:p w:rsidR="005E145A" w:rsidRPr="004040A6" w:rsidRDefault="005E145A" w:rsidP="00515249">
      <w:pPr>
        <w:pStyle w:val="SingleTxt"/>
        <w:tabs>
          <w:tab w:val="clear" w:pos="1742"/>
        </w:tabs>
        <w:spacing w:after="0" w:line="120" w:lineRule="exact"/>
        <w:ind w:left="0"/>
        <w:rPr>
          <w:sz w:val="10"/>
        </w:rPr>
      </w:pPr>
    </w:p>
    <w:p w:rsidR="005E145A" w:rsidRPr="004040A6" w:rsidRDefault="005E145A" w:rsidP="00515249">
      <w:pPr>
        <w:pStyle w:val="SingleTxt"/>
        <w:tabs>
          <w:tab w:val="clear" w:pos="1742"/>
        </w:tabs>
        <w:spacing w:after="0" w:line="120" w:lineRule="exact"/>
        <w:ind w:left="0"/>
        <w:rPr>
          <w:sz w:val="10"/>
        </w:rPr>
      </w:pPr>
    </w:p>
    <w:p w:rsidR="005E145A" w:rsidRDefault="005E145A" w:rsidP="0051524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C.</w:t>
      </w:r>
      <w:r>
        <w:tab/>
        <w:t xml:space="preserve">Marco jurídico general </w:t>
      </w:r>
    </w:p>
    <w:p w:rsidR="005E145A" w:rsidRPr="004040A6" w:rsidRDefault="005E145A" w:rsidP="00515249">
      <w:pPr>
        <w:pStyle w:val="SingleTxt"/>
        <w:spacing w:after="0" w:line="120" w:lineRule="exact"/>
        <w:rPr>
          <w:sz w:val="10"/>
        </w:rPr>
      </w:pPr>
    </w:p>
    <w:p w:rsidR="005E145A" w:rsidRPr="004040A6" w:rsidRDefault="005E145A" w:rsidP="00515249">
      <w:pPr>
        <w:pStyle w:val="SingleTxt"/>
        <w:spacing w:after="0" w:line="120" w:lineRule="exact"/>
        <w:rPr>
          <w:sz w:val="10"/>
        </w:rPr>
      </w:pPr>
    </w:p>
    <w:p w:rsidR="005E145A" w:rsidRDefault="005E145A" w:rsidP="005E145A">
      <w:pPr>
        <w:pStyle w:val="SingleTxt"/>
        <w:numPr>
          <w:ilvl w:val="0"/>
          <w:numId w:val="5"/>
        </w:numPr>
        <w:tabs>
          <w:tab w:val="clear" w:pos="475"/>
        </w:tabs>
        <w:suppressAutoHyphens w:val="0"/>
        <w:ind w:left="1267"/>
      </w:pPr>
      <w:r>
        <w:t xml:space="preserve">La máxima autoridad del poder judicial de Liberia son el Presidente del Tribunal Supremo y sus jueces. Este es el más alto tribunal del país. Existen otros tribunales como los tribunales de distrito, los juzgados de lo penal, los tribunales de primera instancia y de menores y los juzgados de paz. El poder judicial entiende de todos los casos. </w:t>
      </w:r>
    </w:p>
    <w:p w:rsidR="005E145A" w:rsidRDefault="005E145A" w:rsidP="005E145A">
      <w:pPr>
        <w:pStyle w:val="SingleTxt"/>
        <w:numPr>
          <w:ilvl w:val="0"/>
          <w:numId w:val="5"/>
        </w:numPr>
        <w:tabs>
          <w:tab w:val="clear" w:pos="475"/>
        </w:tabs>
        <w:suppressAutoHyphens w:val="0"/>
        <w:ind w:left="1267"/>
      </w:pPr>
      <w:r>
        <w:t xml:space="preserve">Desde el punto de vista administrativo, el sistema judicial está encabezado por el Ministro de Justicia, que es el </w:t>
      </w:r>
      <w:r w:rsidRPr="005E145A">
        <w:rPr>
          <w:lang w:val="es-ES_tradnl"/>
        </w:rPr>
        <w:t>Fiscal</w:t>
      </w:r>
      <w:r>
        <w:t xml:space="preserve"> General y Presidente de la Comisión Mixta de Seguridad. La Comisión Mixta de Seguridad está integrada por el conjunto de instituciones de seguridad del país, como los Ministerios de Defensa y de Seguridad Nacional, la Agencia de Seguridad Nacional y la Comisión Nacional de Derechos Humanos, y vela por que la ley trate a los ciudadanos de forma justa, equitativa y transparente.</w:t>
      </w:r>
    </w:p>
    <w:p w:rsidR="005E145A" w:rsidRDefault="005E145A" w:rsidP="005E145A">
      <w:pPr>
        <w:pStyle w:val="SingleTxt"/>
        <w:numPr>
          <w:ilvl w:val="0"/>
          <w:numId w:val="5"/>
        </w:numPr>
        <w:tabs>
          <w:tab w:val="clear" w:pos="475"/>
        </w:tabs>
        <w:suppressAutoHyphens w:val="0"/>
        <w:ind w:left="1267"/>
      </w:pPr>
      <w:r>
        <w:t xml:space="preserve">El Ministerio de Justicia se encarga de todas las causas relacionadas con la administración pública. Supervisa las actividades de la Policía Nacional de Liberia, la Oficina de Inmigración y Naturalización, el Cuerpo de Bomberos Nacional y el sistema penitenciario, incluido el programa para la reinserción de los reclusos. El Ministerio y sus órganos subsidiarios hacen cumplir la ley y protegen la vida, las propiedades y los derechos humanos y civiles de las personas que residen en el territorio de Liberia. </w:t>
      </w:r>
    </w:p>
    <w:p w:rsidR="005E145A" w:rsidRPr="004040A6" w:rsidRDefault="005E145A" w:rsidP="00515249">
      <w:pPr>
        <w:pStyle w:val="SingleTxt"/>
        <w:tabs>
          <w:tab w:val="clear" w:pos="1742"/>
        </w:tabs>
        <w:spacing w:after="0" w:line="120" w:lineRule="exact"/>
        <w:ind w:left="0"/>
        <w:rPr>
          <w:sz w:val="10"/>
        </w:rPr>
      </w:pPr>
    </w:p>
    <w:p w:rsidR="005E145A" w:rsidRPr="004040A6" w:rsidRDefault="005E145A" w:rsidP="00515249">
      <w:pPr>
        <w:pStyle w:val="SingleTxt"/>
        <w:tabs>
          <w:tab w:val="clear" w:pos="1742"/>
        </w:tabs>
        <w:spacing w:after="0" w:line="120" w:lineRule="exact"/>
        <w:ind w:left="0"/>
        <w:rPr>
          <w:sz w:val="10"/>
        </w:rPr>
      </w:pPr>
    </w:p>
    <w:p w:rsidR="005E145A" w:rsidRDefault="005E145A" w:rsidP="0051524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D.</w:t>
      </w:r>
      <w:r>
        <w:tab/>
        <w:t xml:space="preserve">Comisión Independiente de Derechos Humanos </w:t>
      </w:r>
    </w:p>
    <w:p w:rsidR="005E145A" w:rsidRPr="004040A6" w:rsidRDefault="005E145A" w:rsidP="00515249">
      <w:pPr>
        <w:pStyle w:val="SingleTxt"/>
        <w:spacing w:after="0" w:line="120" w:lineRule="exact"/>
        <w:rPr>
          <w:sz w:val="10"/>
        </w:rPr>
      </w:pPr>
    </w:p>
    <w:p w:rsidR="005E145A" w:rsidRPr="004040A6" w:rsidRDefault="005E145A" w:rsidP="00515249">
      <w:pPr>
        <w:pStyle w:val="SingleTxt"/>
        <w:spacing w:after="0" w:line="120" w:lineRule="exact"/>
        <w:rPr>
          <w:sz w:val="10"/>
        </w:rPr>
      </w:pPr>
    </w:p>
    <w:p w:rsidR="005E145A" w:rsidRDefault="005E145A" w:rsidP="005E145A">
      <w:pPr>
        <w:pStyle w:val="SingleTxt"/>
        <w:numPr>
          <w:ilvl w:val="0"/>
          <w:numId w:val="5"/>
        </w:numPr>
        <w:tabs>
          <w:tab w:val="clear" w:pos="475"/>
        </w:tabs>
        <w:suppressAutoHyphens w:val="0"/>
        <w:ind w:left="1267"/>
      </w:pPr>
      <w:r>
        <w:t xml:space="preserve">La Comisión Independiente de Derechos Humanos fue creada por la aprobación de una ley en 2005. Se trata de una entidad independiente encargada de velar por la protección de los </w:t>
      </w:r>
      <w:r w:rsidRPr="005E145A">
        <w:rPr>
          <w:lang w:val="es-ES_tradnl"/>
        </w:rPr>
        <w:t>derechos</w:t>
      </w:r>
      <w:r>
        <w:t xml:space="preserve"> humanos de los ciudadanos y los extranjeros en Liberia. Para ello utiliza recursos como el </w:t>
      </w:r>
      <w:r w:rsidRPr="00724FE4">
        <w:rPr>
          <w:i/>
        </w:rPr>
        <w:t>habeas corpus</w:t>
      </w:r>
      <w:r>
        <w:t xml:space="preserve">, el </w:t>
      </w:r>
      <w:r w:rsidRPr="00724FE4">
        <w:rPr>
          <w:i/>
        </w:rPr>
        <w:t>mandamus</w:t>
      </w:r>
      <w:r>
        <w:t xml:space="preserve"> y la prohibición. También garantiza la aplicación de todos los instrumentos internacionales de derechos humanos ratificados por Liberia, incluidos la Convención sobre la Eliminación de Todas las Formas de Discriminación contra la Mujer, la Convención sobre los Derechos del Niño y el Protocolo de la Carta Africana de Derechos Humanos y de los Pueblos Relativo a los Derechos de la Mujer en África. El Convenio núm. 187 de la Organización Internacional del Trabajo, sobre las peores formas de trabajo infantil, fue ratificado durante el período de que se informa. </w:t>
      </w:r>
    </w:p>
    <w:p w:rsidR="005E145A" w:rsidRPr="004040A6" w:rsidRDefault="005E145A" w:rsidP="00515249">
      <w:pPr>
        <w:pStyle w:val="SingleTxt"/>
        <w:tabs>
          <w:tab w:val="clear" w:pos="1742"/>
        </w:tabs>
        <w:spacing w:after="0" w:line="120" w:lineRule="exact"/>
        <w:ind w:left="0"/>
        <w:rPr>
          <w:sz w:val="10"/>
        </w:rPr>
      </w:pPr>
    </w:p>
    <w:p w:rsidR="005E145A" w:rsidRPr="004040A6" w:rsidRDefault="005E145A" w:rsidP="00515249">
      <w:pPr>
        <w:pStyle w:val="SingleTxt"/>
        <w:tabs>
          <w:tab w:val="clear" w:pos="1742"/>
        </w:tabs>
        <w:spacing w:after="0" w:line="120" w:lineRule="exact"/>
        <w:ind w:left="0"/>
        <w:rPr>
          <w:sz w:val="10"/>
        </w:rPr>
      </w:pPr>
    </w:p>
    <w:p w:rsidR="005E145A" w:rsidRDefault="005E145A" w:rsidP="0051524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E.</w:t>
      </w:r>
      <w:r>
        <w:tab/>
        <w:t xml:space="preserve">Protección de los derechos humanos </w:t>
      </w:r>
    </w:p>
    <w:p w:rsidR="005E145A" w:rsidRPr="004040A6" w:rsidRDefault="005E145A" w:rsidP="00515249">
      <w:pPr>
        <w:pStyle w:val="SingleTxt"/>
        <w:spacing w:after="0" w:line="120" w:lineRule="exact"/>
        <w:rPr>
          <w:sz w:val="10"/>
        </w:rPr>
      </w:pPr>
    </w:p>
    <w:p w:rsidR="005E145A" w:rsidRPr="004040A6" w:rsidRDefault="005E145A" w:rsidP="00515249">
      <w:pPr>
        <w:pStyle w:val="SingleTxt"/>
        <w:spacing w:after="0" w:line="120" w:lineRule="exact"/>
        <w:rPr>
          <w:sz w:val="10"/>
        </w:rPr>
      </w:pPr>
    </w:p>
    <w:p w:rsidR="005E145A" w:rsidRDefault="005E145A" w:rsidP="005E145A">
      <w:pPr>
        <w:pStyle w:val="SingleTxt"/>
        <w:numPr>
          <w:ilvl w:val="0"/>
          <w:numId w:val="5"/>
        </w:numPr>
        <w:tabs>
          <w:tab w:val="clear" w:pos="475"/>
        </w:tabs>
        <w:suppressAutoHyphens w:val="0"/>
        <w:ind w:left="1267"/>
      </w:pPr>
      <w:r>
        <w:t xml:space="preserve">Con el fin de fomentar la promoción y protección de los derechos de la mujer, el Gobierno ha creado dependencias de derechos humanos en los Ministerios de Justicia y de Asuntos de Género y Desarrollo. La Dependencia de Derechos Humanos del Ministerio de Justicia se encarga de investigar las denuncias de violaciones de los derechos humanos, adoptar las medidas adecuadas y recomendar que se enjuicien determinadas </w:t>
      </w:r>
      <w:r w:rsidRPr="005E145A">
        <w:rPr>
          <w:lang w:val="es-ES_tradnl"/>
        </w:rPr>
        <w:t>causas</w:t>
      </w:r>
      <w:r>
        <w:t xml:space="preserve">, colaborar con el poder judicial y supervisar la evolución de las causas en el sistema de justicia penal. La Dependencia también informa sobre la aplicación de los tratados, los convenios y las convenciones internacionales de derechos humanos. La División de Derechos Humanos del Ministerio de Asuntos de Género y Desarrollo se encarga de velar por la promoción y protección de los derechos de las mujeres y los niños. </w:t>
      </w:r>
    </w:p>
    <w:p w:rsidR="005E145A" w:rsidRPr="004040A6" w:rsidRDefault="005E145A" w:rsidP="00515249">
      <w:pPr>
        <w:pStyle w:val="SingleTxt"/>
        <w:tabs>
          <w:tab w:val="clear" w:pos="1742"/>
        </w:tabs>
        <w:spacing w:after="0" w:line="120" w:lineRule="exact"/>
        <w:ind w:left="0"/>
        <w:rPr>
          <w:sz w:val="10"/>
        </w:rPr>
      </w:pPr>
    </w:p>
    <w:p w:rsidR="005E145A" w:rsidRPr="004040A6" w:rsidRDefault="005E145A" w:rsidP="00515249">
      <w:pPr>
        <w:pStyle w:val="SingleTxt"/>
        <w:tabs>
          <w:tab w:val="clear" w:pos="1742"/>
        </w:tabs>
        <w:spacing w:after="0" w:line="120" w:lineRule="exact"/>
        <w:ind w:left="0"/>
        <w:rPr>
          <w:sz w:val="10"/>
        </w:rPr>
      </w:pPr>
    </w:p>
    <w:p w:rsidR="005E145A" w:rsidRDefault="005E145A" w:rsidP="0051524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010" w:hanging="1267"/>
      </w:pPr>
      <w:r>
        <w:tab/>
        <w:t>F.</w:t>
      </w:r>
      <w:r>
        <w:tab/>
        <w:t>Resolución 1325 (2000) del Consejo de Seguridad de las Naciones Unidas</w:t>
      </w:r>
    </w:p>
    <w:p w:rsidR="005E145A" w:rsidRPr="004040A6" w:rsidRDefault="005E145A" w:rsidP="00515249">
      <w:pPr>
        <w:pStyle w:val="SingleTxt"/>
        <w:spacing w:after="0" w:line="120" w:lineRule="exact"/>
        <w:rPr>
          <w:sz w:val="10"/>
        </w:rPr>
      </w:pPr>
    </w:p>
    <w:p w:rsidR="005E145A" w:rsidRPr="004040A6" w:rsidRDefault="005E145A" w:rsidP="00515249">
      <w:pPr>
        <w:pStyle w:val="SingleTxt"/>
        <w:spacing w:after="0" w:line="120" w:lineRule="exact"/>
        <w:rPr>
          <w:sz w:val="10"/>
        </w:rPr>
      </w:pPr>
    </w:p>
    <w:p w:rsidR="005E145A" w:rsidRDefault="005E145A" w:rsidP="005E145A">
      <w:pPr>
        <w:pStyle w:val="SingleTxt"/>
        <w:numPr>
          <w:ilvl w:val="0"/>
          <w:numId w:val="5"/>
        </w:numPr>
        <w:tabs>
          <w:tab w:val="clear" w:pos="475"/>
        </w:tabs>
        <w:suppressAutoHyphens w:val="0"/>
        <w:ind w:left="1267"/>
      </w:pPr>
      <w:r>
        <w:t xml:space="preserve">Las liberianas participaron activamente en la solución de la guerra civil de Liberia. Desde entonces, se ha </w:t>
      </w:r>
      <w:r w:rsidRPr="005E145A">
        <w:rPr>
          <w:lang w:val="es-ES_tradnl"/>
        </w:rPr>
        <w:t>reconocido</w:t>
      </w:r>
      <w:r>
        <w:t xml:space="preserve"> la contribución positiva que realizan las mujeres al mantenimiento de la paz y la seguridad. Liberia está preparando a las mujeres para trabajar en el sector de la seguridad. </w:t>
      </w:r>
    </w:p>
    <w:p w:rsidR="005E145A" w:rsidRDefault="005E145A" w:rsidP="005E145A">
      <w:pPr>
        <w:pStyle w:val="SingleTxt"/>
        <w:numPr>
          <w:ilvl w:val="0"/>
          <w:numId w:val="5"/>
        </w:numPr>
        <w:tabs>
          <w:tab w:val="clear" w:pos="475"/>
        </w:tabs>
        <w:suppressAutoHyphens w:val="0"/>
        <w:ind w:left="1267"/>
      </w:pPr>
      <w:r>
        <w:t xml:space="preserve">El Plan de Acción Nacional relativo a la aplicación de la resolución 1325 (2000) del Consejo de Seguridad de las Naciones Unidas, referido al período 2009-2013, ofrece un marco para fortalecer y desarrollar las políticas, los mecanismos, los programas y procedimientos de protección, respuesta y prevención para garantizar la seguridad personal de las mujeres y las niñas en el plano nacional y promover sus derechos humanos. También incluye disposiciones para elaborar políticas en los planos económico, social y de seguridad con que empoderar a las mujeres y las niñas para que participen plena y eficazmente en los procesos de consolidación de la paz, reconstrucción, recuperación y desarrollo de Liberia a todos los niveles, incluida la adopción de decisiones. </w:t>
      </w:r>
    </w:p>
    <w:p w:rsidR="005E145A" w:rsidRDefault="005E145A" w:rsidP="005E145A">
      <w:pPr>
        <w:pStyle w:val="SingleTxt"/>
        <w:numPr>
          <w:ilvl w:val="0"/>
          <w:numId w:val="5"/>
        </w:numPr>
        <w:tabs>
          <w:tab w:val="clear" w:pos="475"/>
        </w:tabs>
        <w:suppressAutoHyphens w:val="0"/>
        <w:ind w:left="1267"/>
      </w:pPr>
      <w:r>
        <w:t xml:space="preserve">El Plan de Acción también tiene por objeto fortalecer la coordinación y la coherencia de las actividades de Liberia destinadas a incorporar la perspectiva de género en relación con la mujer, la paz y la seguridad. Algunas esferas de acción específicas son la protección, </w:t>
      </w:r>
      <w:r w:rsidRPr="005E145A">
        <w:rPr>
          <w:lang w:val="es-ES_tradnl"/>
        </w:rPr>
        <w:t>la</w:t>
      </w:r>
      <w:r>
        <w:t xml:space="preserve"> prevención, la participación, el empoderamiento y la promoción. </w:t>
      </w:r>
    </w:p>
    <w:p w:rsidR="005E145A" w:rsidRPr="004040A6" w:rsidRDefault="005E145A" w:rsidP="00515249">
      <w:pPr>
        <w:pStyle w:val="SingleTxt"/>
        <w:tabs>
          <w:tab w:val="clear" w:pos="1742"/>
        </w:tabs>
        <w:spacing w:after="0" w:line="120" w:lineRule="exact"/>
        <w:ind w:left="0"/>
        <w:rPr>
          <w:sz w:val="10"/>
        </w:rPr>
      </w:pPr>
    </w:p>
    <w:p w:rsidR="005E145A" w:rsidRPr="004040A6" w:rsidRDefault="005E145A" w:rsidP="00515249">
      <w:pPr>
        <w:pStyle w:val="SingleTxt"/>
        <w:tabs>
          <w:tab w:val="clear" w:pos="1742"/>
        </w:tabs>
        <w:spacing w:after="0" w:line="120" w:lineRule="exact"/>
        <w:ind w:left="0"/>
        <w:rPr>
          <w:sz w:val="10"/>
        </w:rPr>
      </w:pPr>
    </w:p>
    <w:p w:rsidR="005E145A" w:rsidRDefault="005E145A" w:rsidP="0051524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G.</w:t>
      </w:r>
      <w:r>
        <w:tab/>
        <w:t xml:space="preserve">Promoción y protección de los derechos de los niños </w:t>
      </w:r>
    </w:p>
    <w:p w:rsidR="005E145A" w:rsidRPr="004040A6" w:rsidRDefault="005E145A" w:rsidP="00515249">
      <w:pPr>
        <w:pStyle w:val="SingleTxt"/>
        <w:spacing w:after="0" w:line="120" w:lineRule="exact"/>
        <w:rPr>
          <w:sz w:val="10"/>
        </w:rPr>
      </w:pPr>
    </w:p>
    <w:p w:rsidR="005E145A" w:rsidRPr="004040A6" w:rsidRDefault="005E145A" w:rsidP="00515249">
      <w:pPr>
        <w:pStyle w:val="SingleTxt"/>
        <w:spacing w:after="0" w:line="120" w:lineRule="exact"/>
        <w:rPr>
          <w:sz w:val="10"/>
        </w:rPr>
      </w:pPr>
    </w:p>
    <w:p w:rsidR="005E145A" w:rsidRDefault="005E145A" w:rsidP="005E145A">
      <w:pPr>
        <w:pStyle w:val="SingleTxt"/>
        <w:numPr>
          <w:ilvl w:val="0"/>
          <w:numId w:val="5"/>
        </w:numPr>
        <w:tabs>
          <w:tab w:val="clear" w:pos="475"/>
        </w:tabs>
        <w:suppressAutoHyphens w:val="0"/>
        <w:ind w:left="1267"/>
      </w:pPr>
      <w:r>
        <w:t xml:space="preserve">En 2010 se crearon 68 </w:t>
      </w:r>
      <w:r w:rsidRPr="005E145A">
        <w:rPr>
          <w:lang w:val="es-ES_tradnl"/>
        </w:rPr>
        <w:t>comités</w:t>
      </w:r>
      <w:r>
        <w:t xml:space="preserve"> de bienestar del niño, compuestos por 613 miembros, en 7 condados. Esos comités ayudan a vigilar, investigar y denunciar violaciones de los derechos humanos de los niños en la comunidad. Se capacitó sobre cuestiones de protección de la infancia a 25 supervisores de los comités de bienestar del niño y trabajadores sociales que, a su vez, continuarán formando a los diversos comités de bienestar del niño en los siete condados. El Gobierno de Liberia sigue implicando a todas las partes interesadas en la protección de los niños. Se apoya la participación de los propios niños mediante las Asambleas de Niños de todo el país, que han contribuido a promover la protección de los derechos del niño. </w:t>
      </w:r>
    </w:p>
    <w:p w:rsidR="005E145A" w:rsidRDefault="005E145A" w:rsidP="005E145A">
      <w:pPr>
        <w:pStyle w:val="SingleTxt"/>
        <w:numPr>
          <w:ilvl w:val="0"/>
          <w:numId w:val="5"/>
        </w:numPr>
        <w:tabs>
          <w:tab w:val="clear" w:pos="475"/>
        </w:tabs>
        <w:suppressAutoHyphens w:val="0"/>
        <w:ind w:left="1267"/>
      </w:pPr>
      <w:r>
        <w:t xml:space="preserve">El Ministerio de Asuntos de Género y Desarrollo también ofrece servicios de asesoramiento y </w:t>
      </w:r>
      <w:r w:rsidRPr="005E145A">
        <w:rPr>
          <w:lang w:val="es-ES_tradnl"/>
        </w:rPr>
        <w:t>mediación para tratar los casos de apoyo inconstante, por ejemplo los padres que desatienden</w:t>
      </w:r>
      <w:r>
        <w:t xml:space="preserve"> sus responsabilidades paternas hacia sus hijos. </w:t>
      </w:r>
    </w:p>
    <w:p w:rsidR="005E145A" w:rsidRDefault="005E145A" w:rsidP="005E145A">
      <w:pPr>
        <w:pStyle w:val="SingleTxt"/>
        <w:numPr>
          <w:ilvl w:val="0"/>
          <w:numId w:val="5"/>
        </w:numPr>
        <w:suppressAutoHyphens w:val="0"/>
        <w:ind w:left="1267"/>
      </w:pPr>
      <w:r>
        <w:t xml:space="preserve">La Ley de la Infancia fue aprobada por la Asamblea Legislativa Nacional en septiembre de 2011 y otorga a los niños la máxima promoción y protección de sus derechos y participación en </w:t>
      </w:r>
      <w:r w:rsidRPr="005E145A">
        <w:rPr>
          <w:lang w:val="es-ES_tradnl"/>
        </w:rPr>
        <w:t>ellos</w:t>
      </w:r>
      <w:r>
        <w:t>. El factor subyacente por el que se rige la Ley es el interés superior del niño. La Ley incide en el derecho de los niños a la educación, la atención sanitaria, una alimentación adecuada y al agua potable, la vivienda, la ropa, la expresión y el acceso a la información, la protección contra el trabajo en condiciones peligrosas, el abuso y la explotación, y la protección contra la participación en conflictos armados. También se detallan los derechos y deberes de los padres respecto de sus hijos.</w:t>
      </w:r>
    </w:p>
    <w:p w:rsidR="005E145A" w:rsidRPr="004040A6" w:rsidRDefault="005E145A" w:rsidP="00515249">
      <w:pPr>
        <w:pStyle w:val="SingleTxt"/>
        <w:tabs>
          <w:tab w:val="clear" w:pos="1742"/>
        </w:tabs>
        <w:spacing w:after="0" w:line="120" w:lineRule="exact"/>
        <w:ind w:left="0"/>
        <w:rPr>
          <w:sz w:val="10"/>
        </w:rPr>
      </w:pPr>
    </w:p>
    <w:p w:rsidR="005E145A" w:rsidRPr="004040A6" w:rsidRDefault="005E145A" w:rsidP="00515249">
      <w:pPr>
        <w:pStyle w:val="SingleTxt"/>
        <w:tabs>
          <w:tab w:val="clear" w:pos="1742"/>
        </w:tabs>
        <w:spacing w:after="0" w:line="120" w:lineRule="exact"/>
        <w:ind w:left="0"/>
        <w:rPr>
          <w:sz w:val="10"/>
        </w:rPr>
      </w:pPr>
    </w:p>
    <w:p w:rsidR="005E145A" w:rsidRDefault="005E145A" w:rsidP="0051524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IV.</w:t>
      </w:r>
      <w:r>
        <w:tab/>
        <w:t xml:space="preserve">Estado de la economía </w:t>
      </w:r>
    </w:p>
    <w:p w:rsidR="005E145A" w:rsidRPr="004040A6" w:rsidRDefault="005E145A" w:rsidP="00515249">
      <w:pPr>
        <w:pStyle w:val="SingleTxt"/>
        <w:spacing w:after="0" w:line="120" w:lineRule="exact"/>
        <w:rPr>
          <w:sz w:val="10"/>
        </w:rPr>
      </w:pPr>
    </w:p>
    <w:p w:rsidR="005E145A" w:rsidRPr="004040A6" w:rsidRDefault="005E145A" w:rsidP="00515249">
      <w:pPr>
        <w:pStyle w:val="SingleTxt"/>
        <w:spacing w:after="0" w:line="120" w:lineRule="exact"/>
        <w:rPr>
          <w:sz w:val="10"/>
        </w:rPr>
      </w:pPr>
    </w:p>
    <w:p w:rsidR="005E145A" w:rsidRDefault="005E145A" w:rsidP="005E145A">
      <w:pPr>
        <w:pStyle w:val="SingleTxt"/>
        <w:numPr>
          <w:ilvl w:val="0"/>
          <w:numId w:val="5"/>
        </w:numPr>
        <w:tabs>
          <w:tab w:val="clear" w:pos="475"/>
        </w:tabs>
        <w:suppressAutoHyphens w:val="0"/>
        <w:ind w:left="1267"/>
      </w:pPr>
      <w:r>
        <w:t xml:space="preserve">El crecimiento económico posterior a la guerra se mantuvo en 2012, y se calcula que el producto interno bruto (PIB) real creció un 8,9%. En 2012, se exportó por primera vez mineral de hierro, aumentó la construcción, y el sector de los servicios registró buenos resultados. Se prevé que el PIB crezca un 7,7% en 2013 y un 5,4% en 2014, impulsado por el auge del mineral de hierro y la inversión extranjera directa relacionada con las concesiones. Las perspectivas económicas de Liberia siguen siendo vulnerables a las fluctuaciones de los precios de los productos básicos, en particular para sus principales exportaciones, a saber, el caucho y el mineral de hierro. La posible disminución de la inversión extranjera directa y de la asistencia oficial para el desarrollo, así como los posibles conflictos entre las poblaciones afectadas por proyectos también podrían mermar el desempeño económico. La inflación de los precios de consumo se moderó, situándose en el 6,9% en 2012 debido a la disminución de los precios internacionales de los alimentos y el combustible. </w:t>
      </w:r>
    </w:p>
    <w:p w:rsidR="005E145A" w:rsidRDefault="005E145A" w:rsidP="005E145A">
      <w:pPr>
        <w:pStyle w:val="SingleTxt"/>
        <w:numPr>
          <w:ilvl w:val="0"/>
          <w:numId w:val="5"/>
        </w:numPr>
        <w:tabs>
          <w:tab w:val="clear" w:pos="475"/>
        </w:tabs>
        <w:suppressAutoHyphens w:val="0"/>
        <w:ind w:left="1267"/>
      </w:pPr>
      <w:r>
        <w:t xml:space="preserve">En diciembre de 2012 Liberia puso en marcha la Agenda de Transformación (AT), su segunda estrategia de lucha contra la pobreza. La AT se propone eliminar las restricciones de las infraestructuras clave —energía, carreteras y puertos— y apoyar a los jóvenes y el desarrollo de la capacidad. El Gobierno ha obtenido financiación para rehabilitar la central hidroeléctrica de Mount Coffee, que podría entrar en funcionamiento a finales de 2015 para hacer frente a la considerable escasez de energía del país. La AT también tiene por objeto mejorar la situación económica de los liberianos y llegar al nivel de ingresos medianos para el año 2030. Ello debería reducir la pobreza de manera significativa; el 70% de los liberianos vive actualmente con menos de 2 dólares al día (AT, 2012). En julio de 2013, el nuevo proyecto de ley del trabajo decente fijaba el salario mínimo de los trabajadores domésticos en 6,75 dólares de los Estados Unidos al día o 180 dólares de los Estados Unidos al mes, lo que supone un aumento del 400% aproximadamente. </w:t>
      </w:r>
    </w:p>
    <w:p w:rsidR="005E145A" w:rsidRDefault="005E145A" w:rsidP="005E145A">
      <w:pPr>
        <w:pStyle w:val="SingleTxt"/>
        <w:numPr>
          <w:ilvl w:val="0"/>
          <w:numId w:val="5"/>
        </w:numPr>
        <w:tabs>
          <w:tab w:val="clear" w:pos="475"/>
        </w:tabs>
        <w:suppressAutoHyphens w:val="0"/>
        <w:ind w:left="1267"/>
      </w:pPr>
      <w:r>
        <w:t xml:space="preserve">Los recursos naturales continúan desempeñando una función destacada en la economía de Liberia. Las exportaciones más importantes son el mineral de hierro, el caucho y la madera, mientras que los sectores del petróleo y el aceite de palma ofrecen un gran potencial. La </w:t>
      </w:r>
      <w:r w:rsidRPr="005E145A">
        <w:rPr>
          <w:lang w:val="es-ES_tradnl"/>
        </w:rPr>
        <w:t>gestión</w:t>
      </w:r>
      <w:r>
        <w:t xml:space="preserve"> de estos recursos comenzó a examinarse detenidamente el año pasado. El uso indebido de los permisos de uso privado en el sector de la silvicultura ha dado lugar a que una cuarta parte de las tierras de Liberia se haya contratado a empresas extranjeras con escasa supervisión. Las controversias respecto al acceso a la tierra también han disminuido el ritmo de las plantaciones de palma aceitera, y el descubrimiento de petróleo se ha visto ensombrecido por la necesidad de reformar las instituciones del sector. </w:t>
      </w:r>
    </w:p>
    <w:p w:rsidR="005E145A" w:rsidRDefault="005E145A" w:rsidP="005E145A">
      <w:pPr>
        <w:pStyle w:val="SingleTxt"/>
        <w:numPr>
          <w:ilvl w:val="0"/>
          <w:numId w:val="5"/>
        </w:numPr>
        <w:tabs>
          <w:tab w:val="clear" w:pos="475"/>
        </w:tabs>
        <w:suppressAutoHyphens w:val="0"/>
        <w:ind w:left="1267"/>
      </w:pPr>
      <w:r>
        <w:t>Las inversiones en energía y transporte deberían reforzar los vínculos entre el sector privado y el de los recursos naturales de Liberia, aumentando al mismo tiempo la productividad y el acceso a los mercados para la mayoría de los hogares de las zonas rurales que se dedican a la agricultura en pequeña escala.</w:t>
      </w:r>
    </w:p>
    <w:p w:rsidR="005E145A" w:rsidRDefault="005E145A" w:rsidP="005E145A">
      <w:pPr>
        <w:pStyle w:val="SingleTxt"/>
        <w:numPr>
          <w:ilvl w:val="0"/>
          <w:numId w:val="5"/>
        </w:numPr>
        <w:tabs>
          <w:tab w:val="clear" w:pos="475"/>
        </w:tabs>
        <w:suppressAutoHyphens w:val="0"/>
        <w:ind w:left="1267"/>
      </w:pPr>
      <w:r>
        <w:t xml:space="preserve">Con los acuerdos de concesión podrían crearse hasta 100.000 puestos de trabajo locales a lo largo de 10 años, aunque la repercusión para los 50.000 jóvenes que se incorporan a la fuerza de trabajo cada año será limitada. La mayor creación de empleo contribuirá a reducir el riesgo de inestabilidad. Esto es crucial, ya que muchas concesiones siguen teniendo dificultades con la población local por su falta de participación y por </w:t>
      </w:r>
      <w:r w:rsidRPr="005E145A">
        <w:rPr>
          <w:lang w:val="es-ES_tradnl"/>
        </w:rPr>
        <w:t>no</w:t>
      </w:r>
      <w:r>
        <w:t xml:space="preserve"> disponer del consentimiento previo informado antes de que el Gobierno adjudique las concesiones.</w:t>
      </w:r>
    </w:p>
    <w:p w:rsidR="005E145A" w:rsidRPr="004040A6" w:rsidRDefault="005E145A" w:rsidP="00515249">
      <w:pPr>
        <w:pStyle w:val="SingleTxt"/>
        <w:tabs>
          <w:tab w:val="clear" w:pos="1742"/>
        </w:tabs>
        <w:spacing w:after="0" w:line="120" w:lineRule="exact"/>
        <w:ind w:left="0"/>
        <w:rPr>
          <w:sz w:val="10"/>
        </w:rPr>
      </w:pPr>
    </w:p>
    <w:p w:rsidR="005E145A" w:rsidRDefault="005E145A" w:rsidP="005152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Ministerio de Asuntos de Género y Desarrollo </w:t>
      </w:r>
    </w:p>
    <w:p w:rsidR="005E145A" w:rsidRPr="004040A6" w:rsidRDefault="005E145A" w:rsidP="00515249">
      <w:pPr>
        <w:pStyle w:val="SingleTxt"/>
        <w:spacing w:after="0" w:line="120" w:lineRule="exact"/>
        <w:rPr>
          <w:sz w:val="10"/>
        </w:rPr>
      </w:pPr>
    </w:p>
    <w:p w:rsidR="005E145A" w:rsidRDefault="005E145A" w:rsidP="005E145A">
      <w:pPr>
        <w:pStyle w:val="SingleTxt"/>
        <w:numPr>
          <w:ilvl w:val="0"/>
          <w:numId w:val="5"/>
        </w:numPr>
        <w:tabs>
          <w:tab w:val="clear" w:pos="475"/>
        </w:tabs>
        <w:suppressAutoHyphens w:val="0"/>
        <w:ind w:left="1267"/>
      </w:pPr>
      <w:r>
        <w:t xml:space="preserve">El Gobierno de Liberia sigue promoviendo políticas y programas y promulgando leyes que </w:t>
      </w:r>
      <w:r w:rsidRPr="005E145A">
        <w:rPr>
          <w:lang w:val="es-ES_tradnl"/>
        </w:rPr>
        <w:t>garanticen</w:t>
      </w:r>
      <w:r>
        <w:t xml:space="preserve"> la igualdad entre la mujer y el hombre en la sociedad. El Ministerio de Asuntos de Género y Desarrollo, creado en 2001, es el mecanismo nacional encargado de promover la igualdad entre los géneros, el adelanto de la mujer y los derechos de los niños en Liberia. Este ministerio asesora al Gobierno de Liberia sobre todas las cuestiones que afectan a las mujeres y los niños, y también se encarga de incorporar la perspectiva de género en sus políticas, programas y leyes y en la asignación de recursos. </w:t>
      </w:r>
    </w:p>
    <w:p w:rsidR="005E145A" w:rsidRDefault="005E145A" w:rsidP="005E145A">
      <w:pPr>
        <w:pStyle w:val="SingleTxt"/>
        <w:numPr>
          <w:ilvl w:val="0"/>
          <w:numId w:val="5"/>
        </w:numPr>
        <w:tabs>
          <w:tab w:val="clear" w:pos="475"/>
        </w:tabs>
        <w:suppressAutoHyphens w:val="0"/>
        <w:ind w:left="1267"/>
      </w:pPr>
      <w:r>
        <w:t xml:space="preserve">El Ministerio también vigila la repercusión de las políticas y los programas nacionales en las mujeres y los niños e informa a este respecto, y recomienda la adopción de medidas </w:t>
      </w:r>
      <w:r w:rsidRPr="005E145A">
        <w:rPr>
          <w:lang w:val="es-ES_tradnl"/>
        </w:rPr>
        <w:t>adecuadas</w:t>
      </w:r>
      <w:r>
        <w:t xml:space="preserve"> para movilizar e integrar a las mujeres en el desarrollo social, político, económico y cultural de Liberia en condiciones de igualdad con los hombres. </w:t>
      </w:r>
    </w:p>
    <w:p w:rsidR="005E145A" w:rsidRDefault="005E145A" w:rsidP="005E145A">
      <w:pPr>
        <w:pStyle w:val="SingleTxt"/>
        <w:numPr>
          <w:ilvl w:val="0"/>
          <w:numId w:val="5"/>
        </w:numPr>
        <w:tabs>
          <w:tab w:val="clear" w:pos="475"/>
        </w:tabs>
        <w:suppressAutoHyphens w:val="0"/>
        <w:ind w:left="1267"/>
      </w:pPr>
      <w:r>
        <w:t>De conformidad con la Constitución de Liberia, que garantiza las libertades fundamentales de todos los liberianos, independientemente de su raza, sexo, credo, origen y afiliación tribal, las políticas y los programas del Gobierno de Liberia reflejan su compromiso con la igualdad y la equidad entre los géneros. Esto se pone de manifiesto en la Estrategia de Lucha contra la Pobreza para 2008-2011, la Política Nacional sobre Cuestiones de Género de Liberia de 2009, la Política de Género de la Policía Nacional de Liberia, la Política de Salud Mental de 2009, la Agenda de Transformación de 2012 y la estrategia nacional Visión 2030.</w:t>
      </w:r>
    </w:p>
    <w:p w:rsidR="004012F7" w:rsidRPr="007C184B" w:rsidRDefault="005E145A" w:rsidP="00990402">
      <w:pPr>
        <w:pStyle w:val="SingleTxt"/>
        <w:rPr>
          <w:lang w:val="es-ES_tradnl"/>
        </w:rPr>
      </w:pPr>
      <w:r>
        <w:rPr>
          <w:noProof/>
          <w:w w:val="100"/>
          <w:lang w:val="en-US"/>
        </w:rPr>
        <w:pict>
          <v:line id="_x0000_s1027" style="position:absolute;left:0;text-align:left;z-index:2" from="210.2pt,24pt" to="282.2pt,24pt" strokecolor="#010000" strokeweight=".25pt"/>
        </w:pict>
      </w:r>
    </w:p>
    <w:sectPr w:rsidR="004012F7" w:rsidRPr="007C184B" w:rsidSect="004A28BB">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6-16T12:09:00Z" w:initials="Start">
    <w:p w:rsidR="0096710C" w:rsidRPr="00990402" w:rsidRDefault="0096710C">
      <w:pPr>
        <w:pStyle w:val="CommentText"/>
        <w:rPr>
          <w:lang w:val="en-US"/>
        </w:rPr>
      </w:pPr>
      <w:r>
        <w:fldChar w:fldCharType="begin"/>
      </w:r>
      <w:r w:rsidRPr="00990402">
        <w:rPr>
          <w:rStyle w:val="CommentReference"/>
          <w:lang w:val="en-US"/>
        </w:rPr>
        <w:instrText xml:space="preserve"> </w:instrText>
      </w:r>
      <w:r w:rsidRPr="00990402">
        <w:rPr>
          <w:lang w:val="en-US"/>
        </w:rPr>
        <w:instrText>PAGE \# "'Page: '#'</w:instrText>
      </w:r>
      <w:r w:rsidRPr="00990402">
        <w:rPr>
          <w:lang w:val="en-US"/>
        </w:rPr>
        <w:br/>
        <w:instrText>'"</w:instrText>
      </w:r>
      <w:r w:rsidRPr="00990402">
        <w:rPr>
          <w:rStyle w:val="CommentReference"/>
          <w:lang w:val="en-US"/>
        </w:rPr>
        <w:instrText xml:space="preserve"> </w:instrText>
      </w:r>
      <w:r>
        <w:fldChar w:fldCharType="end"/>
      </w:r>
      <w:r>
        <w:rPr>
          <w:rStyle w:val="CommentReference"/>
        </w:rPr>
        <w:annotationRef/>
      </w:r>
      <w:r w:rsidRPr="00990402">
        <w:rPr>
          <w:lang w:val="en-US"/>
        </w:rPr>
        <w:t>&lt;&lt;ODS JOB NO&gt;&gt;N1431915S&lt;&lt;ODS JOB NO&gt;&gt;</w:t>
      </w:r>
    </w:p>
    <w:p w:rsidR="0096710C" w:rsidRPr="00990402" w:rsidRDefault="0096710C">
      <w:pPr>
        <w:pStyle w:val="CommentText"/>
        <w:rPr>
          <w:lang w:val="en-US"/>
        </w:rPr>
      </w:pPr>
      <w:r w:rsidRPr="00990402">
        <w:rPr>
          <w:lang w:val="en-US"/>
        </w:rPr>
        <w:t>&lt;&lt;ODS DOC SYMBOL1&gt;&gt;HRI/CORE/LBR/2014&lt;&lt;ODS DOC SYMBOL1&gt;&gt;</w:t>
      </w:r>
    </w:p>
    <w:p w:rsidR="0096710C" w:rsidRPr="00990402" w:rsidRDefault="0096710C">
      <w:pPr>
        <w:pStyle w:val="CommentText"/>
        <w:rPr>
          <w:lang w:val="en-US"/>
        </w:rPr>
      </w:pPr>
      <w:r w:rsidRPr="00990402">
        <w:rPr>
          <w:lang w:val="en-US"/>
        </w:rP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CA9" w:rsidRDefault="00D43CA9" w:rsidP="008F1E8F">
      <w:pPr>
        <w:spacing w:line="240" w:lineRule="auto"/>
      </w:pPr>
      <w:r>
        <w:separator/>
      </w:r>
    </w:p>
  </w:endnote>
  <w:endnote w:type="continuationSeparator" w:id="0">
    <w:p w:rsidR="00D43CA9" w:rsidRDefault="00D43CA9" w:rsidP="008F1E8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CellMar>
        <w:left w:w="70" w:type="dxa"/>
        <w:right w:w="70" w:type="dxa"/>
      </w:tblCellMar>
      <w:tblLook w:val="0000"/>
    </w:tblPr>
    <w:tblGrid>
      <w:gridCol w:w="4995"/>
      <w:gridCol w:w="4995"/>
    </w:tblGrid>
    <w:tr w:rsidR="0096710C" w:rsidTr="0096710C">
      <w:tblPrEx>
        <w:tblCellMar>
          <w:top w:w="0" w:type="dxa"/>
          <w:bottom w:w="0" w:type="dxa"/>
        </w:tblCellMar>
      </w:tblPrEx>
      <w:tc>
        <w:tcPr>
          <w:tcW w:w="4995" w:type="dxa"/>
          <w:shd w:val="clear" w:color="auto" w:fill="auto"/>
        </w:tcPr>
        <w:p w:rsidR="0096710C" w:rsidRPr="0096710C" w:rsidRDefault="0096710C" w:rsidP="0096710C">
          <w:pPr>
            <w:pStyle w:val="Footer"/>
            <w:jc w:val="right"/>
            <w:rPr>
              <w:b w:val="0"/>
              <w:w w:val="103"/>
              <w:sz w:val="14"/>
            </w:rPr>
          </w:pPr>
          <w:fldSimple w:instr=" DOCVARIABLE &quot;FooterJN&quot; \* MERGEFORMAT ">
            <w:r w:rsidR="004D5D2E">
              <w:rPr>
                <w:b w:val="0"/>
                <w:w w:val="103"/>
                <w:sz w:val="14"/>
              </w:rPr>
              <w:t>14-03809</w:t>
            </w:r>
          </w:fldSimple>
        </w:p>
      </w:tc>
      <w:tc>
        <w:tcPr>
          <w:tcW w:w="4995" w:type="dxa"/>
          <w:shd w:val="clear" w:color="auto" w:fill="auto"/>
        </w:tcPr>
        <w:p w:rsidR="0096710C" w:rsidRPr="0096710C" w:rsidRDefault="0096710C" w:rsidP="0096710C">
          <w:pPr>
            <w:pStyle w:val="Footer"/>
            <w:rPr>
              <w:w w:val="103"/>
            </w:rPr>
          </w:pPr>
          <w:r>
            <w:rPr>
              <w:w w:val="103"/>
            </w:rPr>
            <w:fldChar w:fldCharType="begin"/>
          </w:r>
          <w:r>
            <w:rPr>
              <w:w w:val="103"/>
            </w:rPr>
            <w:instrText xml:space="preserve"> PAGE  \* Arabic  \* MERGEFORMAT </w:instrText>
          </w:r>
          <w:r>
            <w:rPr>
              <w:w w:val="103"/>
            </w:rPr>
            <w:fldChar w:fldCharType="separate"/>
          </w:r>
          <w:r w:rsidR="004D5D2E">
            <w:rPr>
              <w:w w:val="103"/>
            </w:rPr>
            <w:t>10</w:t>
          </w:r>
          <w:r>
            <w:rPr>
              <w:w w:val="103"/>
            </w:rPr>
            <w:fldChar w:fldCharType="end"/>
          </w:r>
          <w:r>
            <w:rPr>
              <w:w w:val="103"/>
            </w:rPr>
            <w:t>/</w:t>
          </w:r>
          <w:fldSimple w:instr=" NUMPAGES  \* Arabic  \* MERGEFORMAT ">
            <w:r w:rsidR="004D5D2E">
              <w:rPr>
                <w:w w:val="103"/>
              </w:rPr>
              <w:t>10</w:t>
            </w:r>
          </w:fldSimple>
        </w:p>
      </w:tc>
    </w:tr>
  </w:tbl>
  <w:p w:rsidR="0096710C" w:rsidRPr="0096710C" w:rsidRDefault="0096710C" w:rsidP="009671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CellMar>
        <w:left w:w="70" w:type="dxa"/>
        <w:right w:w="70" w:type="dxa"/>
      </w:tblCellMar>
      <w:tblLook w:val="0000"/>
    </w:tblPr>
    <w:tblGrid>
      <w:gridCol w:w="4995"/>
      <w:gridCol w:w="4995"/>
    </w:tblGrid>
    <w:tr w:rsidR="0096710C" w:rsidTr="0096710C">
      <w:tblPrEx>
        <w:tblCellMar>
          <w:top w:w="0" w:type="dxa"/>
          <w:bottom w:w="0" w:type="dxa"/>
        </w:tblCellMar>
      </w:tblPrEx>
      <w:tc>
        <w:tcPr>
          <w:tcW w:w="4995" w:type="dxa"/>
          <w:shd w:val="clear" w:color="auto" w:fill="auto"/>
        </w:tcPr>
        <w:p w:rsidR="0096710C" w:rsidRPr="0096710C" w:rsidRDefault="0096710C" w:rsidP="0096710C">
          <w:pPr>
            <w:pStyle w:val="Footer"/>
            <w:jc w:val="right"/>
            <w:rPr>
              <w:w w:val="103"/>
            </w:rPr>
          </w:pPr>
          <w:r>
            <w:rPr>
              <w:w w:val="103"/>
            </w:rPr>
            <w:fldChar w:fldCharType="begin"/>
          </w:r>
          <w:r>
            <w:rPr>
              <w:w w:val="103"/>
            </w:rPr>
            <w:instrText xml:space="preserve"> PAGE  \* Arabic  \* MERGEFORMAT </w:instrText>
          </w:r>
          <w:r>
            <w:rPr>
              <w:w w:val="103"/>
            </w:rPr>
            <w:fldChar w:fldCharType="separate"/>
          </w:r>
          <w:r w:rsidR="004D5D2E">
            <w:rPr>
              <w:w w:val="103"/>
            </w:rPr>
            <w:t>9</w:t>
          </w:r>
          <w:r>
            <w:rPr>
              <w:w w:val="103"/>
            </w:rPr>
            <w:fldChar w:fldCharType="end"/>
          </w:r>
          <w:r>
            <w:rPr>
              <w:w w:val="103"/>
            </w:rPr>
            <w:t>/</w:t>
          </w:r>
          <w:fldSimple w:instr=" NUMPAGES  \* Arabic  \* MERGEFORMAT ">
            <w:r w:rsidR="004D5D2E">
              <w:rPr>
                <w:w w:val="103"/>
              </w:rPr>
              <w:t>10</w:t>
            </w:r>
          </w:fldSimple>
        </w:p>
      </w:tc>
      <w:tc>
        <w:tcPr>
          <w:tcW w:w="4995" w:type="dxa"/>
          <w:shd w:val="clear" w:color="auto" w:fill="auto"/>
        </w:tcPr>
        <w:p w:rsidR="0096710C" w:rsidRPr="0096710C" w:rsidRDefault="0096710C" w:rsidP="0096710C">
          <w:pPr>
            <w:pStyle w:val="Footer"/>
            <w:rPr>
              <w:b w:val="0"/>
              <w:w w:val="103"/>
              <w:sz w:val="14"/>
            </w:rPr>
          </w:pPr>
          <w:fldSimple w:instr=" DOCVARIABLE &quot;FooterJN&quot; \* MERGEFORMAT ">
            <w:r w:rsidR="004D5D2E">
              <w:rPr>
                <w:b w:val="0"/>
                <w:w w:val="103"/>
                <w:sz w:val="14"/>
              </w:rPr>
              <w:t>14-03809</w:t>
            </w:r>
          </w:fldSimple>
        </w:p>
      </w:tc>
    </w:tr>
  </w:tbl>
  <w:p w:rsidR="0096710C" w:rsidRPr="0096710C" w:rsidRDefault="0096710C" w:rsidP="0096710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10C" w:rsidRPr="0096710C" w:rsidRDefault="0096710C" w:rsidP="0096710C">
    <w:pPr>
      <w:pStyle w:val="Footer"/>
      <w:spacing w:line="120" w:lineRule="exact"/>
      <w:rPr>
        <w:b w:val="0"/>
        <w:sz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95.5pt;margin-top:675.35pt;width:54.9pt;height:63.9pt;z-index:1;mso-position-horizontal-relative:page;mso-position-vertical-relative:page" o:preferrelative="f" filled="t">
          <v:imagedata r:id="rId1" o:title="2014&amp;Size =1&amp;Lang = S"/>
          <w10:wrap anchorx="page" anchory="page"/>
        </v:shape>
      </w:pict>
    </w:r>
  </w:p>
  <w:tbl>
    <w:tblPr>
      <w:tblW w:w="0" w:type="auto"/>
      <w:tblLayout w:type="fixed"/>
      <w:tblCellMar>
        <w:left w:w="70" w:type="dxa"/>
        <w:right w:w="70" w:type="dxa"/>
      </w:tblCellMar>
      <w:tblLook w:val="0000"/>
    </w:tblPr>
    <w:tblGrid>
      <w:gridCol w:w="3686"/>
      <w:gridCol w:w="4995"/>
    </w:tblGrid>
    <w:tr w:rsidR="0096710C" w:rsidTr="0096710C">
      <w:tblPrEx>
        <w:tblCellMar>
          <w:top w:w="0" w:type="dxa"/>
          <w:bottom w:w="0" w:type="dxa"/>
        </w:tblCellMar>
      </w:tblPrEx>
      <w:tc>
        <w:tcPr>
          <w:tcW w:w="3686" w:type="dxa"/>
        </w:tcPr>
        <w:p w:rsidR="0096710C" w:rsidRDefault="0096710C" w:rsidP="0096710C">
          <w:pPr>
            <w:pStyle w:val="ReleaseDate"/>
          </w:pPr>
          <w:r>
            <w:t>14-03809 (S)    160614    160614</w:t>
          </w:r>
        </w:p>
        <w:p w:rsidR="0096710C" w:rsidRPr="0096710C" w:rsidRDefault="0096710C" w:rsidP="0096710C">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*1403809*</w:t>
          </w:r>
        </w:p>
      </w:tc>
      <w:tc>
        <w:tcPr>
          <w:tcW w:w="4995" w:type="dxa"/>
        </w:tcPr>
        <w:p w:rsidR="0096710C" w:rsidRDefault="0096710C" w:rsidP="0096710C">
          <w:pPr>
            <w:pStyle w:val="Footer"/>
            <w:jc w:val="right"/>
            <w:rPr>
              <w:b w:val="0"/>
              <w:sz w:val="20"/>
            </w:rPr>
          </w:pPr>
          <w:r>
            <w:rPr>
              <w:b w:val="0"/>
              <w:sz w:val="20"/>
            </w:rPr>
            <w:pict>
              <v:shape id="_x0000_i1026" type="#_x0000_t75" style="width:85.5pt;height:18pt">
                <v:imagedata r:id="rId2" o:title="recycle_Spanish"/>
              </v:shape>
            </w:pict>
          </w:r>
        </w:p>
      </w:tc>
    </w:tr>
  </w:tbl>
  <w:p w:rsidR="0096710C" w:rsidRPr="0096710C" w:rsidRDefault="0096710C" w:rsidP="0096710C">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CA9" w:rsidRDefault="00D43CA9" w:rsidP="008F1E8F">
      <w:pPr>
        <w:spacing w:line="240" w:lineRule="auto"/>
      </w:pPr>
      <w:r>
        <w:separator/>
      </w:r>
    </w:p>
  </w:footnote>
  <w:footnote w:type="continuationSeparator" w:id="0">
    <w:p w:rsidR="00D43CA9" w:rsidRDefault="00D43CA9" w:rsidP="008F1E8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000000"/>
      </w:tblBorders>
      <w:tblLayout w:type="fixed"/>
      <w:tblCellMar>
        <w:left w:w="0" w:type="dxa"/>
        <w:right w:w="0" w:type="dxa"/>
      </w:tblCellMar>
      <w:tblLook w:val="0000"/>
    </w:tblPr>
    <w:tblGrid>
      <w:gridCol w:w="4838"/>
      <w:gridCol w:w="4995"/>
    </w:tblGrid>
    <w:tr w:rsidR="0096710C" w:rsidTr="0096710C">
      <w:tblPrEx>
        <w:tblCellMar>
          <w:top w:w="0" w:type="dxa"/>
          <w:bottom w:w="0" w:type="dxa"/>
        </w:tblCellMar>
      </w:tblPrEx>
      <w:trPr>
        <w:trHeight w:hRule="exact" w:val="864"/>
      </w:trPr>
      <w:tc>
        <w:tcPr>
          <w:tcW w:w="4838" w:type="dxa"/>
          <w:shd w:val="clear" w:color="auto" w:fill="auto"/>
          <w:vAlign w:val="bottom"/>
        </w:tcPr>
        <w:p w:rsidR="0096710C" w:rsidRPr="0096710C" w:rsidRDefault="0096710C" w:rsidP="0096710C">
          <w:pPr>
            <w:pStyle w:val="Header"/>
            <w:spacing w:after="80"/>
            <w:rPr>
              <w:b/>
            </w:rPr>
          </w:pPr>
          <w:fldSimple w:instr=" DOCVARIABLE &quot;sss1&quot; \* MERGEFORMAT ">
            <w:r w:rsidR="004D5D2E">
              <w:rPr>
                <w:b/>
              </w:rPr>
              <w:t>HRI/CORE/LBR/2014</w:t>
            </w:r>
          </w:fldSimple>
        </w:p>
      </w:tc>
      <w:tc>
        <w:tcPr>
          <w:tcW w:w="4995" w:type="dxa"/>
          <w:shd w:val="clear" w:color="auto" w:fill="auto"/>
          <w:vAlign w:val="bottom"/>
        </w:tcPr>
        <w:p w:rsidR="0096710C" w:rsidRDefault="0096710C" w:rsidP="0096710C">
          <w:pPr>
            <w:pStyle w:val="Header"/>
          </w:pPr>
        </w:p>
      </w:tc>
    </w:tr>
  </w:tbl>
  <w:p w:rsidR="0096710C" w:rsidRPr="0096710C" w:rsidRDefault="0096710C" w:rsidP="0096710C">
    <w:pPr>
      <w:pStyle w:val="Header"/>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000000"/>
      </w:tblBorders>
      <w:tblLayout w:type="fixed"/>
      <w:tblCellMar>
        <w:left w:w="0" w:type="dxa"/>
        <w:right w:w="0" w:type="dxa"/>
      </w:tblCellMar>
      <w:tblLook w:val="0000"/>
    </w:tblPr>
    <w:tblGrid>
      <w:gridCol w:w="4838"/>
      <w:gridCol w:w="4995"/>
    </w:tblGrid>
    <w:tr w:rsidR="0096710C" w:rsidTr="0096710C">
      <w:tblPrEx>
        <w:tblCellMar>
          <w:top w:w="0" w:type="dxa"/>
          <w:bottom w:w="0" w:type="dxa"/>
        </w:tblCellMar>
      </w:tblPrEx>
      <w:trPr>
        <w:trHeight w:hRule="exact" w:val="864"/>
      </w:trPr>
      <w:tc>
        <w:tcPr>
          <w:tcW w:w="4838" w:type="dxa"/>
          <w:shd w:val="clear" w:color="auto" w:fill="auto"/>
          <w:vAlign w:val="bottom"/>
        </w:tcPr>
        <w:p w:rsidR="0096710C" w:rsidRDefault="0096710C" w:rsidP="0096710C">
          <w:pPr>
            <w:pStyle w:val="Header"/>
          </w:pPr>
        </w:p>
      </w:tc>
      <w:tc>
        <w:tcPr>
          <w:tcW w:w="4995" w:type="dxa"/>
          <w:shd w:val="clear" w:color="auto" w:fill="auto"/>
          <w:vAlign w:val="bottom"/>
        </w:tcPr>
        <w:p w:rsidR="0096710C" w:rsidRPr="0096710C" w:rsidRDefault="0096710C" w:rsidP="0096710C">
          <w:pPr>
            <w:pStyle w:val="Header"/>
            <w:spacing w:after="80"/>
            <w:jc w:val="right"/>
            <w:rPr>
              <w:b/>
            </w:rPr>
          </w:pPr>
          <w:fldSimple w:instr=" DOCVARIABLE &quot;sss1&quot; \* MERGEFORMAT ">
            <w:r w:rsidR="004D5D2E">
              <w:rPr>
                <w:b/>
              </w:rPr>
              <w:t>HRI/CORE/LBR/2014</w:t>
            </w:r>
          </w:fldSimple>
        </w:p>
      </w:tc>
    </w:tr>
  </w:tbl>
  <w:p w:rsidR="0096710C" w:rsidRPr="0096710C" w:rsidRDefault="0096710C" w:rsidP="0096710C">
    <w:pPr>
      <w:pStyle w:val="Header"/>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96710C" w:rsidTr="0096710C">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96710C" w:rsidRDefault="0096710C" w:rsidP="0096710C">
          <w:pPr>
            <w:pStyle w:val="Header"/>
            <w:spacing w:after="120"/>
          </w:pPr>
        </w:p>
      </w:tc>
      <w:tc>
        <w:tcPr>
          <w:tcW w:w="2059" w:type="dxa"/>
          <w:tcBorders>
            <w:bottom w:val="single" w:sz="4" w:space="0" w:color="auto"/>
          </w:tcBorders>
          <w:shd w:val="clear" w:color="auto" w:fill="auto"/>
          <w:vAlign w:val="bottom"/>
        </w:tcPr>
        <w:p w:rsidR="0096710C" w:rsidRPr="0096710C" w:rsidRDefault="0096710C" w:rsidP="0096710C">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96710C" w:rsidRDefault="0096710C" w:rsidP="0096710C">
          <w:pPr>
            <w:pStyle w:val="Header"/>
            <w:spacing w:after="120"/>
          </w:pPr>
        </w:p>
      </w:tc>
      <w:tc>
        <w:tcPr>
          <w:tcW w:w="6523" w:type="dxa"/>
          <w:gridSpan w:val="3"/>
          <w:tcBorders>
            <w:bottom w:val="single" w:sz="4" w:space="0" w:color="auto"/>
          </w:tcBorders>
          <w:shd w:val="clear" w:color="auto" w:fill="auto"/>
          <w:vAlign w:val="bottom"/>
        </w:tcPr>
        <w:p w:rsidR="0096710C" w:rsidRPr="0096710C" w:rsidRDefault="0096710C" w:rsidP="0096710C">
          <w:pPr>
            <w:spacing w:after="80" w:line="240" w:lineRule="auto"/>
            <w:jc w:val="right"/>
            <w:rPr>
              <w:position w:val="-4"/>
            </w:rPr>
          </w:pPr>
          <w:r>
            <w:rPr>
              <w:position w:val="-4"/>
              <w:sz w:val="40"/>
            </w:rPr>
            <w:t>HRI</w:t>
          </w:r>
          <w:r>
            <w:rPr>
              <w:position w:val="-4"/>
            </w:rPr>
            <w:t>/CORE/LBR/2014</w:t>
          </w:r>
        </w:p>
      </w:tc>
    </w:tr>
    <w:tr w:rsidR="0096710C" w:rsidRPr="0096710C" w:rsidTr="0096710C">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96710C" w:rsidRDefault="0096710C" w:rsidP="0096710C">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96710C" w:rsidRPr="0096710C" w:rsidRDefault="0096710C" w:rsidP="0096710C">
          <w:pPr>
            <w:pStyle w:val="Header"/>
            <w:spacing w:before="109"/>
          </w:pPr>
        </w:p>
      </w:tc>
      <w:tc>
        <w:tcPr>
          <w:tcW w:w="5227" w:type="dxa"/>
          <w:gridSpan w:val="3"/>
          <w:tcBorders>
            <w:top w:val="single" w:sz="4" w:space="0" w:color="auto"/>
            <w:bottom w:val="single" w:sz="12" w:space="0" w:color="auto"/>
          </w:tcBorders>
          <w:shd w:val="clear" w:color="auto" w:fill="auto"/>
        </w:tcPr>
        <w:p w:rsidR="0096710C" w:rsidRPr="0096710C" w:rsidRDefault="0096710C" w:rsidP="0096710C">
          <w:pPr>
            <w:pStyle w:val="XLarge"/>
            <w:spacing w:before="109"/>
          </w:pPr>
          <w:r>
            <w:t>Instrumentos internacionales de derechos humanos</w:t>
          </w:r>
        </w:p>
      </w:tc>
      <w:tc>
        <w:tcPr>
          <w:tcW w:w="245" w:type="dxa"/>
          <w:tcBorders>
            <w:top w:val="single" w:sz="4" w:space="0" w:color="auto"/>
            <w:bottom w:val="single" w:sz="12" w:space="0" w:color="auto"/>
          </w:tcBorders>
          <w:shd w:val="clear" w:color="auto" w:fill="auto"/>
        </w:tcPr>
        <w:p w:rsidR="0096710C" w:rsidRPr="00990402" w:rsidRDefault="0096710C" w:rsidP="0096710C">
          <w:pPr>
            <w:pStyle w:val="Header"/>
            <w:spacing w:before="109"/>
            <w:rPr>
              <w:lang w:val="es-US"/>
            </w:rPr>
          </w:pPr>
        </w:p>
      </w:tc>
      <w:tc>
        <w:tcPr>
          <w:tcW w:w="3180" w:type="dxa"/>
          <w:gridSpan w:val="2"/>
          <w:tcBorders>
            <w:top w:val="single" w:sz="4" w:space="0" w:color="auto"/>
            <w:bottom w:val="single" w:sz="12" w:space="0" w:color="auto"/>
          </w:tcBorders>
          <w:shd w:val="clear" w:color="auto" w:fill="auto"/>
        </w:tcPr>
        <w:p w:rsidR="0096710C" w:rsidRDefault="0096710C" w:rsidP="0096710C">
          <w:pPr>
            <w:pStyle w:val="Distribution"/>
            <w:spacing w:before="240"/>
          </w:pPr>
          <w:r>
            <w:t>Distr. general</w:t>
          </w:r>
        </w:p>
        <w:p w:rsidR="0096710C" w:rsidRDefault="0096710C" w:rsidP="0096710C">
          <w:pPr>
            <w:pStyle w:val="Publication"/>
          </w:pPr>
          <w:r>
            <w:t>1 de mayo de 2014</w:t>
          </w:r>
        </w:p>
        <w:p w:rsidR="0096710C" w:rsidRDefault="0096710C" w:rsidP="0096710C">
          <w:r>
            <w:t>Español</w:t>
          </w:r>
        </w:p>
        <w:p w:rsidR="0096710C" w:rsidRDefault="0096710C" w:rsidP="0096710C">
          <w:pPr>
            <w:pStyle w:val="Original"/>
          </w:pPr>
          <w:r>
            <w:t>Original: inglés</w:t>
          </w:r>
        </w:p>
        <w:p w:rsidR="0096710C" w:rsidRPr="0096710C" w:rsidRDefault="0096710C" w:rsidP="0096710C"/>
      </w:tc>
    </w:tr>
  </w:tbl>
  <w:p w:rsidR="0096710C" w:rsidRPr="0096710C" w:rsidRDefault="0096710C" w:rsidP="0096710C">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29AA1926"/>
    <w:multiLevelType w:val="singleLevel"/>
    <w:tmpl w:val="39C6C06E"/>
    <w:lvl w:ilvl="0">
      <w:start w:val="1"/>
      <w:numFmt w:val="decimal"/>
      <w:lvlRestart w:val="0"/>
      <w:lvlText w:val="%1."/>
      <w:lvlJc w:val="left"/>
      <w:pPr>
        <w:tabs>
          <w:tab w:val="num" w:pos="475"/>
        </w:tabs>
        <w:ind w:left="0" w:firstLine="0"/>
      </w:pPr>
      <w:rPr>
        <w:spacing w:val="0"/>
        <w:w w:val="100"/>
      </w:rPr>
    </w:lvl>
  </w:abstractNum>
  <w:abstractNum w:abstractNumId="3">
    <w:nsid w:val="4AC12073"/>
    <w:multiLevelType w:val="singleLevel"/>
    <w:tmpl w:val="6B6431DE"/>
    <w:lvl w:ilvl="0">
      <w:start w:val="15"/>
      <w:numFmt w:val="decimal"/>
      <w:lvlRestart w:val="0"/>
      <w:lvlText w:val="%1."/>
      <w:lvlJc w:val="left"/>
      <w:pPr>
        <w:tabs>
          <w:tab w:val="num" w:pos="475"/>
        </w:tabs>
        <w:ind w:left="0" w:firstLine="0"/>
      </w:pPr>
      <w:rPr>
        <w:spacing w:val="0"/>
        <w:w w:val="100"/>
      </w:rPr>
    </w:lvl>
  </w:abstractNum>
  <w:abstractNum w:abstractNumId="4">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5">
    <w:nsid w:val="6459031B"/>
    <w:multiLevelType w:val="multilevel"/>
    <w:tmpl w:val="FE4E793E"/>
    <w:name w:val="TOC"/>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stylePaneFormatFilter w:val="3F01"/>
  <w:revisionView w:markup="0"/>
  <w:doNotTrackMoves/>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03809*"/>
    <w:docVar w:name="CreationDt" w:val="16/06/2014 12:09 PM"/>
    <w:docVar w:name="DocCategory" w:val="Doc"/>
    <w:docVar w:name="DocType" w:val="Final"/>
    <w:docVar w:name="FooterJN" w:val="14-03809"/>
    <w:docVar w:name="jobn" w:val="14-03809 (S)"/>
    <w:docVar w:name="jobnDT" w:val="14-03809 (S)   160614"/>
    <w:docVar w:name="jobnDTDT" w:val="14-03809 (S)   160614   160614"/>
    <w:docVar w:name="JobNo" w:val="1403809S"/>
    <w:docVar w:name="JobNo2" w:val="143191512:09 PM"/>
    <w:docVar w:name="OandT" w:val="JMártin"/>
    <w:docVar w:name="sss1" w:val="HRI/CORE/LBR/2014"/>
    <w:docVar w:name="sss2" w:val="-"/>
    <w:docVar w:name="Symbol1" w:val="HRI/CORE/LBR/2014"/>
    <w:docVar w:name="Symbol2" w:val="-"/>
  </w:docVars>
  <w:rsids>
    <w:rsidRoot w:val="005F793E"/>
    <w:rsid w:val="0000104C"/>
    <w:rsid w:val="000025A2"/>
    <w:rsid w:val="0000430F"/>
    <w:rsid w:val="00005995"/>
    <w:rsid w:val="000145F1"/>
    <w:rsid w:val="00026454"/>
    <w:rsid w:val="000271D6"/>
    <w:rsid w:val="000336E0"/>
    <w:rsid w:val="0003430A"/>
    <w:rsid w:val="00040B8F"/>
    <w:rsid w:val="00044517"/>
    <w:rsid w:val="0005203D"/>
    <w:rsid w:val="000534EB"/>
    <w:rsid w:val="0006088E"/>
    <w:rsid w:val="00061177"/>
    <w:rsid w:val="000667E7"/>
    <w:rsid w:val="00067D9C"/>
    <w:rsid w:val="00076C30"/>
    <w:rsid w:val="00076E01"/>
    <w:rsid w:val="000806AC"/>
    <w:rsid w:val="000871C1"/>
    <w:rsid w:val="000A0C7C"/>
    <w:rsid w:val="000A1078"/>
    <w:rsid w:val="000A1971"/>
    <w:rsid w:val="000B2A4E"/>
    <w:rsid w:val="000C1009"/>
    <w:rsid w:val="000C4DCC"/>
    <w:rsid w:val="000D21E6"/>
    <w:rsid w:val="000D64ED"/>
    <w:rsid w:val="000D686E"/>
    <w:rsid w:val="000E1CD4"/>
    <w:rsid w:val="000E66F5"/>
    <w:rsid w:val="000E6FEB"/>
    <w:rsid w:val="000F7375"/>
    <w:rsid w:val="00102135"/>
    <w:rsid w:val="001023C5"/>
    <w:rsid w:val="00107739"/>
    <w:rsid w:val="001109AD"/>
    <w:rsid w:val="00111CCB"/>
    <w:rsid w:val="001179C3"/>
    <w:rsid w:val="001259AF"/>
    <w:rsid w:val="00127EBE"/>
    <w:rsid w:val="00140F45"/>
    <w:rsid w:val="00143B7C"/>
    <w:rsid w:val="00144177"/>
    <w:rsid w:val="0014610D"/>
    <w:rsid w:val="00152E53"/>
    <w:rsid w:val="00153EA2"/>
    <w:rsid w:val="00154204"/>
    <w:rsid w:val="001561B2"/>
    <w:rsid w:val="001701FE"/>
    <w:rsid w:val="00170784"/>
    <w:rsid w:val="0017756D"/>
    <w:rsid w:val="00186A14"/>
    <w:rsid w:val="00187C4A"/>
    <w:rsid w:val="001A2E38"/>
    <w:rsid w:val="001A2FAC"/>
    <w:rsid w:val="001A72EA"/>
    <w:rsid w:val="001B2FC3"/>
    <w:rsid w:val="001B56CE"/>
    <w:rsid w:val="001B5CC5"/>
    <w:rsid w:val="001C1FA6"/>
    <w:rsid w:val="001C2E87"/>
    <w:rsid w:val="001C2F28"/>
    <w:rsid w:val="001C4833"/>
    <w:rsid w:val="001D04E3"/>
    <w:rsid w:val="001D4A0C"/>
    <w:rsid w:val="001D681C"/>
    <w:rsid w:val="001E2641"/>
    <w:rsid w:val="001E290A"/>
    <w:rsid w:val="001F74B0"/>
    <w:rsid w:val="00200A61"/>
    <w:rsid w:val="002070C6"/>
    <w:rsid w:val="00214538"/>
    <w:rsid w:val="00217E05"/>
    <w:rsid w:val="0022060C"/>
    <w:rsid w:val="002277C7"/>
    <w:rsid w:val="0024283D"/>
    <w:rsid w:val="00247894"/>
    <w:rsid w:val="0025615B"/>
    <w:rsid w:val="00260DF5"/>
    <w:rsid w:val="002652F7"/>
    <w:rsid w:val="00266F6B"/>
    <w:rsid w:val="00272964"/>
    <w:rsid w:val="002841B4"/>
    <w:rsid w:val="00285F1F"/>
    <w:rsid w:val="00295FD6"/>
    <w:rsid w:val="00297ED1"/>
    <w:rsid w:val="002B105C"/>
    <w:rsid w:val="002B1548"/>
    <w:rsid w:val="002B6B53"/>
    <w:rsid w:val="002B7407"/>
    <w:rsid w:val="002C2CAF"/>
    <w:rsid w:val="002C345B"/>
    <w:rsid w:val="002C3E79"/>
    <w:rsid w:val="002D3F35"/>
    <w:rsid w:val="002E1262"/>
    <w:rsid w:val="002E2A29"/>
    <w:rsid w:val="002F0A5D"/>
    <w:rsid w:val="002F4C08"/>
    <w:rsid w:val="00303A2A"/>
    <w:rsid w:val="00327A13"/>
    <w:rsid w:val="003359DE"/>
    <w:rsid w:val="003452B8"/>
    <w:rsid w:val="0034771F"/>
    <w:rsid w:val="0035601E"/>
    <w:rsid w:val="00363CCE"/>
    <w:rsid w:val="00365806"/>
    <w:rsid w:val="0037429E"/>
    <w:rsid w:val="003754AD"/>
    <w:rsid w:val="00375801"/>
    <w:rsid w:val="003779EE"/>
    <w:rsid w:val="00397636"/>
    <w:rsid w:val="003A5CE7"/>
    <w:rsid w:val="003B613E"/>
    <w:rsid w:val="003C12C7"/>
    <w:rsid w:val="003C473B"/>
    <w:rsid w:val="003C4940"/>
    <w:rsid w:val="003C5008"/>
    <w:rsid w:val="003C67B3"/>
    <w:rsid w:val="003D2D4A"/>
    <w:rsid w:val="003E5AAE"/>
    <w:rsid w:val="003E60D2"/>
    <w:rsid w:val="003F3C3C"/>
    <w:rsid w:val="00400307"/>
    <w:rsid w:val="004012F7"/>
    <w:rsid w:val="00404990"/>
    <w:rsid w:val="0040564F"/>
    <w:rsid w:val="00431501"/>
    <w:rsid w:val="004318E8"/>
    <w:rsid w:val="00434234"/>
    <w:rsid w:val="004374B8"/>
    <w:rsid w:val="00440909"/>
    <w:rsid w:val="00443CA4"/>
    <w:rsid w:val="004452B0"/>
    <w:rsid w:val="00451290"/>
    <w:rsid w:val="0045204A"/>
    <w:rsid w:val="00466635"/>
    <w:rsid w:val="004713D8"/>
    <w:rsid w:val="00476219"/>
    <w:rsid w:val="004843EE"/>
    <w:rsid w:val="0049207E"/>
    <w:rsid w:val="004A146B"/>
    <w:rsid w:val="004A28BB"/>
    <w:rsid w:val="004A3174"/>
    <w:rsid w:val="004A7C6C"/>
    <w:rsid w:val="004B47A3"/>
    <w:rsid w:val="004C1BCD"/>
    <w:rsid w:val="004C75AE"/>
    <w:rsid w:val="004D4AC0"/>
    <w:rsid w:val="004D5D2E"/>
    <w:rsid w:val="004D6407"/>
    <w:rsid w:val="004D779E"/>
    <w:rsid w:val="004E757B"/>
    <w:rsid w:val="004F14EE"/>
    <w:rsid w:val="004F4843"/>
    <w:rsid w:val="004F4A39"/>
    <w:rsid w:val="0050020B"/>
    <w:rsid w:val="005053EA"/>
    <w:rsid w:val="005056C9"/>
    <w:rsid w:val="0050627B"/>
    <w:rsid w:val="00507265"/>
    <w:rsid w:val="005130D6"/>
    <w:rsid w:val="00515249"/>
    <w:rsid w:val="00524C14"/>
    <w:rsid w:val="00534D37"/>
    <w:rsid w:val="00535721"/>
    <w:rsid w:val="00542A52"/>
    <w:rsid w:val="00543025"/>
    <w:rsid w:val="005434BC"/>
    <w:rsid w:val="0054783D"/>
    <w:rsid w:val="00550243"/>
    <w:rsid w:val="00552711"/>
    <w:rsid w:val="00556CEB"/>
    <w:rsid w:val="00562263"/>
    <w:rsid w:val="005625F8"/>
    <w:rsid w:val="00565717"/>
    <w:rsid w:val="00567942"/>
    <w:rsid w:val="00571DC3"/>
    <w:rsid w:val="00571F2A"/>
    <w:rsid w:val="005737E7"/>
    <w:rsid w:val="0058043D"/>
    <w:rsid w:val="00582B10"/>
    <w:rsid w:val="00587E23"/>
    <w:rsid w:val="00595DE1"/>
    <w:rsid w:val="005A1929"/>
    <w:rsid w:val="005A651B"/>
    <w:rsid w:val="005C547D"/>
    <w:rsid w:val="005D3721"/>
    <w:rsid w:val="005D63A4"/>
    <w:rsid w:val="005E145A"/>
    <w:rsid w:val="005E4F7D"/>
    <w:rsid w:val="005E6B39"/>
    <w:rsid w:val="005F6986"/>
    <w:rsid w:val="005F793E"/>
    <w:rsid w:val="00602017"/>
    <w:rsid w:val="006111BB"/>
    <w:rsid w:val="00612DA1"/>
    <w:rsid w:val="00614C74"/>
    <w:rsid w:val="00616088"/>
    <w:rsid w:val="006169F5"/>
    <w:rsid w:val="00620953"/>
    <w:rsid w:val="00630CE1"/>
    <w:rsid w:val="00631114"/>
    <w:rsid w:val="0063405C"/>
    <w:rsid w:val="00636DA1"/>
    <w:rsid w:val="00637AB0"/>
    <w:rsid w:val="00641130"/>
    <w:rsid w:val="00643833"/>
    <w:rsid w:val="00645DF2"/>
    <w:rsid w:val="006463C7"/>
    <w:rsid w:val="006510D7"/>
    <w:rsid w:val="00651574"/>
    <w:rsid w:val="00653EF9"/>
    <w:rsid w:val="00664183"/>
    <w:rsid w:val="00666B35"/>
    <w:rsid w:val="00670975"/>
    <w:rsid w:val="00677761"/>
    <w:rsid w:val="0069047A"/>
    <w:rsid w:val="00696921"/>
    <w:rsid w:val="006A3096"/>
    <w:rsid w:val="006A3806"/>
    <w:rsid w:val="006B08F8"/>
    <w:rsid w:val="006C3274"/>
    <w:rsid w:val="006C3A65"/>
    <w:rsid w:val="006C6173"/>
    <w:rsid w:val="006D3321"/>
    <w:rsid w:val="006E0E95"/>
    <w:rsid w:val="006E0EF0"/>
    <w:rsid w:val="006E296C"/>
    <w:rsid w:val="006E39F5"/>
    <w:rsid w:val="006E689B"/>
    <w:rsid w:val="006F36E2"/>
    <w:rsid w:val="006F4381"/>
    <w:rsid w:val="0070602F"/>
    <w:rsid w:val="007070B8"/>
    <w:rsid w:val="00716C1C"/>
    <w:rsid w:val="0072046A"/>
    <w:rsid w:val="00725D21"/>
    <w:rsid w:val="00732348"/>
    <w:rsid w:val="0073710F"/>
    <w:rsid w:val="0074000F"/>
    <w:rsid w:val="007549E2"/>
    <w:rsid w:val="00776DCA"/>
    <w:rsid w:val="00777C17"/>
    <w:rsid w:val="00781DFE"/>
    <w:rsid w:val="00793FFF"/>
    <w:rsid w:val="007A384D"/>
    <w:rsid w:val="007A3E7E"/>
    <w:rsid w:val="007B04E8"/>
    <w:rsid w:val="007B2E44"/>
    <w:rsid w:val="007C184B"/>
    <w:rsid w:val="007C51E9"/>
    <w:rsid w:val="007C566A"/>
    <w:rsid w:val="007C7D32"/>
    <w:rsid w:val="007D0893"/>
    <w:rsid w:val="007D59F4"/>
    <w:rsid w:val="007E282F"/>
    <w:rsid w:val="007E31CA"/>
    <w:rsid w:val="007E322D"/>
    <w:rsid w:val="007E671C"/>
    <w:rsid w:val="007F5AF9"/>
    <w:rsid w:val="00801B3F"/>
    <w:rsid w:val="00813690"/>
    <w:rsid w:val="00813C40"/>
    <w:rsid w:val="008158EA"/>
    <w:rsid w:val="00815EA8"/>
    <w:rsid w:val="00821E34"/>
    <w:rsid w:val="00823340"/>
    <w:rsid w:val="00823BE3"/>
    <w:rsid w:val="00824B02"/>
    <w:rsid w:val="008305DF"/>
    <w:rsid w:val="00832268"/>
    <w:rsid w:val="00834163"/>
    <w:rsid w:val="0083457C"/>
    <w:rsid w:val="008466A7"/>
    <w:rsid w:val="008521F6"/>
    <w:rsid w:val="008539AC"/>
    <w:rsid w:val="00860B12"/>
    <w:rsid w:val="0086249C"/>
    <w:rsid w:val="00871928"/>
    <w:rsid w:val="00875415"/>
    <w:rsid w:val="00875F65"/>
    <w:rsid w:val="00880535"/>
    <w:rsid w:val="008833E6"/>
    <w:rsid w:val="00894D50"/>
    <w:rsid w:val="00897EE4"/>
    <w:rsid w:val="008A2A83"/>
    <w:rsid w:val="008A5EA2"/>
    <w:rsid w:val="008A680C"/>
    <w:rsid w:val="008B30AC"/>
    <w:rsid w:val="008B59F9"/>
    <w:rsid w:val="008B5FC3"/>
    <w:rsid w:val="008C70A0"/>
    <w:rsid w:val="008D17EE"/>
    <w:rsid w:val="008D2F77"/>
    <w:rsid w:val="008D53A0"/>
    <w:rsid w:val="008E2B2E"/>
    <w:rsid w:val="008E37CD"/>
    <w:rsid w:val="008E41D0"/>
    <w:rsid w:val="008F1890"/>
    <w:rsid w:val="008F1E8F"/>
    <w:rsid w:val="008F2959"/>
    <w:rsid w:val="00913197"/>
    <w:rsid w:val="0091591F"/>
    <w:rsid w:val="00917F05"/>
    <w:rsid w:val="00926916"/>
    <w:rsid w:val="00927C68"/>
    <w:rsid w:val="0093190E"/>
    <w:rsid w:val="00931AC8"/>
    <w:rsid w:val="00934B5B"/>
    <w:rsid w:val="00935AD9"/>
    <w:rsid w:val="00936752"/>
    <w:rsid w:val="0094747E"/>
    <w:rsid w:val="009540A8"/>
    <w:rsid w:val="0096710C"/>
    <w:rsid w:val="0098045D"/>
    <w:rsid w:val="00984E6C"/>
    <w:rsid w:val="00990402"/>
    <w:rsid w:val="00991572"/>
    <w:rsid w:val="00995BD2"/>
    <w:rsid w:val="009A73EA"/>
    <w:rsid w:val="009B1C06"/>
    <w:rsid w:val="009B26B8"/>
    <w:rsid w:val="009B6140"/>
    <w:rsid w:val="009C31A4"/>
    <w:rsid w:val="009C3306"/>
    <w:rsid w:val="009C558E"/>
    <w:rsid w:val="009D32AC"/>
    <w:rsid w:val="009D6DC5"/>
    <w:rsid w:val="009E11DA"/>
    <w:rsid w:val="009E300B"/>
    <w:rsid w:val="009E5765"/>
    <w:rsid w:val="009E6D58"/>
    <w:rsid w:val="009F6D65"/>
    <w:rsid w:val="009F701F"/>
    <w:rsid w:val="009F793E"/>
    <w:rsid w:val="00A01177"/>
    <w:rsid w:val="00A0166A"/>
    <w:rsid w:val="00A02FF4"/>
    <w:rsid w:val="00A058FF"/>
    <w:rsid w:val="00A10FDF"/>
    <w:rsid w:val="00A138BA"/>
    <w:rsid w:val="00A21683"/>
    <w:rsid w:val="00A24508"/>
    <w:rsid w:val="00A26619"/>
    <w:rsid w:val="00A3163E"/>
    <w:rsid w:val="00A4039A"/>
    <w:rsid w:val="00A5353F"/>
    <w:rsid w:val="00A607E7"/>
    <w:rsid w:val="00A627D6"/>
    <w:rsid w:val="00A65B90"/>
    <w:rsid w:val="00A65C9E"/>
    <w:rsid w:val="00A6761C"/>
    <w:rsid w:val="00A71D7C"/>
    <w:rsid w:val="00A84D3A"/>
    <w:rsid w:val="00A86FEA"/>
    <w:rsid w:val="00AA7DC9"/>
    <w:rsid w:val="00AB7836"/>
    <w:rsid w:val="00AC5CBF"/>
    <w:rsid w:val="00AC7D48"/>
    <w:rsid w:val="00AD37F0"/>
    <w:rsid w:val="00AD5D6A"/>
    <w:rsid w:val="00B151F5"/>
    <w:rsid w:val="00B232EC"/>
    <w:rsid w:val="00B308D0"/>
    <w:rsid w:val="00B34BCE"/>
    <w:rsid w:val="00B426AB"/>
    <w:rsid w:val="00B47A82"/>
    <w:rsid w:val="00B77D31"/>
    <w:rsid w:val="00B8368A"/>
    <w:rsid w:val="00B9503A"/>
    <w:rsid w:val="00B966E3"/>
    <w:rsid w:val="00BB0959"/>
    <w:rsid w:val="00BB23DE"/>
    <w:rsid w:val="00BC31B5"/>
    <w:rsid w:val="00BC7B5B"/>
    <w:rsid w:val="00BD4396"/>
    <w:rsid w:val="00BD47B9"/>
    <w:rsid w:val="00BE2BF9"/>
    <w:rsid w:val="00BF1D37"/>
    <w:rsid w:val="00BF2F2A"/>
    <w:rsid w:val="00BF32B0"/>
    <w:rsid w:val="00BF438B"/>
    <w:rsid w:val="00C00E6C"/>
    <w:rsid w:val="00C02367"/>
    <w:rsid w:val="00C053A0"/>
    <w:rsid w:val="00C10265"/>
    <w:rsid w:val="00C13D38"/>
    <w:rsid w:val="00C161D9"/>
    <w:rsid w:val="00C22EDA"/>
    <w:rsid w:val="00C24049"/>
    <w:rsid w:val="00C24AC7"/>
    <w:rsid w:val="00C32D88"/>
    <w:rsid w:val="00C35339"/>
    <w:rsid w:val="00C51D2E"/>
    <w:rsid w:val="00C55452"/>
    <w:rsid w:val="00C6016B"/>
    <w:rsid w:val="00C72875"/>
    <w:rsid w:val="00C72AD9"/>
    <w:rsid w:val="00C8131F"/>
    <w:rsid w:val="00C847F0"/>
    <w:rsid w:val="00C859E1"/>
    <w:rsid w:val="00C91CE9"/>
    <w:rsid w:val="00C95408"/>
    <w:rsid w:val="00CA2127"/>
    <w:rsid w:val="00CB5C47"/>
    <w:rsid w:val="00CC5750"/>
    <w:rsid w:val="00CD1545"/>
    <w:rsid w:val="00CD4760"/>
    <w:rsid w:val="00CD57FF"/>
    <w:rsid w:val="00CD7F4C"/>
    <w:rsid w:val="00CE0045"/>
    <w:rsid w:val="00CE1381"/>
    <w:rsid w:val="00D00E66"/>
    <w:rsid w:val="00D051A5"/>
    <w:rsid w:val="00D14706"/>
    <w:rsid w:val="00D1714E"/>
    <w:rsid w:val="00D2412C"/>
    <w:rsid w:val="00D30E8B"/>
    <w:rsid w:val="00D42CA0"/>
    <w:rsid w:val="00D43CA9"/>
    <w:rsid w:val="00D535F0"/>
    <w:rsid w:val="00D621E4"/>
    <w:rsid w:val="00D66326"/>
    <w:rsid w:val="00D75748"/>
    <w:rsid w:val="00D75DCF"/>
    <w:rsid w:val="00D81FDD"/>
    <w:rsid w:val="00D84103"/>
    <w:rsid w:val="00D93984"/>
    <w:rsid w:val="00D95982"/>
    <w:rsid w:val="00DA0BDF"/>
    <w:rsid w:val="00DA0F47"/>
    <w:rsid w:val="00DA212D"/>
    <w:rsid w:val="00DA4419"/>
    <w:rsid w:val="00DA5058"/>
    <w:rsid w:val="00DA7DFA"/>
    <w:rsid w:val="00DB2EA7"/>
    <w:rsid w:val="00DC425C"/>
    <w:rsid w:val="00DC6A91"/>
    <w:rsid w:val="00DD5908"/>
    <w:rsid w:val="00DD5DA8"/>
    <w:rsid w:val="00DD76B9"/>
    <w:rsid w:val="00DE6AD7"/>
    <w:rsid w:val="00DF00C0"/>
    <w:rsid w:val="00DF33AF"/>
    <w:rsid w:val="00DF74B2"/>
    <w:rsid w:val="00E054C0"/>
    <w:rsid w:val="00E05743"/>
    <w:rsid w:val="00E241A1"/>
    <w:rsid w:val="00E26954"/>
    <w:rsid w:val="00E31D49"/>
    <w:rsid w:val="00E35244"/>
    <w:rsid w:val="00E427B7"/>
    <w:rsid w:val="00E50390"/>
    <w:rsid w:val="00E51BC9"/>
    <w:rsid w:val="00E606CA"/>
    <w:rsid w:val="00E65BE8"/>
    <w:rsid w:val="00E719E0"/>
    <w:rsid w:val="00E73276"/>
    <w:rsid w:val="00E73409"/>
    <w:rsid w:val="00E73A8A"/>
    <w:rsid w:val="00E774C3"/>
    <w:rsid w:val="00E84B10"/>
    <w:rsid w:val="00E875CB"/>
    <w:rsid w:val="00E932A5"/>
    <w:rsid w:val="00EA0356"/>
    <w:rsid w:val="00EA2C66"/>
    <w:rsid w:val="00EA5D9B"/>
    <w:rsid w:val="00EA60AF"/>
    <w:rsid w:val="00EB3BF0"/>
    <w:rsid w:val="00EB5A41"/>
    <w:rsid w:val="00EC3D06"/>
    <w:rsid w:val="00ED1F10"/>
    <w:rsid w:val="00ED3CA7"/>
    <w:rsid w:val="00ED4905"/>
    <w:rsid w:val="00EE1800"/>
    <w:rsid w:val="00EF68AA"/>
    <w:rsid w:val="00F061A0"/>
    <w:rsid w:val="00F06B9B"/>
    <w:rsid w:val="00F07B3F"/>
    <w:rsid w:val="00F14B66"/>
    <w:rsid w:val="00F16127"/>
    <w:rsid w:val="00F249E4"/>
    <w:rsid w:val="00F274AF"/>
    <w:rsid w:val="00F3021B"/>
    <w:rsid w:val="00F35B3D"/>
    <w:rsid w:val="00F40902"/>
    <w:rsid w:val="00F44608"/>
    <w:rsid w:val="00F44E91"/>
    <w:rsid w:val="00F45262"/>
    <w:rsid w:val="00F47FCF"/>
    <w:rsid w:val="00F61A78"/>
    <w:rsid w:val="00F659BF"/>
    <w:rsid w:val="00F66F3D"/>
    <w:rsid w:val="00F82527"/>
    <w:rsid w:val="00F82B13"/>
    <w:rsid w:val="00F84872"/>
    <w:rsid w:val="00F9064B"/>
    <w:rsid w:val="00F920FD"/>
    <w:rsid w:val="00F92E1F"/>
    <w:rsid w:val="00F936E2"/>
    <w:rsid w:val="00F93DB3"/>
    <w:rsid w:val="00FA5E33"/>
    <w:rsid w:val="00FB2CE9"/>
    <w:rsid w:val="00FC4C00"/>
    <w:rsid w:val="00FD0A87"/>
    <w:rsid w:val="00FD17C3"/>
    <w:rsid w:val="00FE1345"/>
    <w:rsid w:val="00FE6520"/>
    <w:rsid w:val="00FF20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71DC3"/>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lang/>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lang/>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szCs w:val="20"/>
      <w:lang/>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spacing w:val="0"/>
      <w:w w:val="100"/>
      <w:szCs w:val="20"/>
      <w:lang/>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spacing w:val="0"/>
      <w:w w:val="100"/>
      <w:szCs w:val="20"/>
      <w:lang/>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spacing w:val="0"/>
      <w:w w:val="100"/>
      <w:szCs w:val="20"/>
      <w:lang/>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spacing w:val="0"/>
      <w:w w:val="100"/>
      <w:szCs w:val="20"/>
      <w:lang/>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pacing w:val="0"/>
      <w:w w:val="100"/>
      <w:szCs w:val="20"/>
      <w:lang/>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w w:val="100"/>
      <w:szCs w:val="20"/>
      <w:lan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Normal"/>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SimSun"/>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styleId="CommentText">
    <w:name w:val="annotation text"/>
    <w:basedOn w:val="Normal"/>
    <w:link w:val="CommentTextChar"/>
    <w:rsid w:val="0096710C"/>
    <w:rPr>
      <w:szCs w:val="20"/>
    </w:rPr>
  </w:style>
  <w:style w:type="character" w:customStyle="1" w:styleId="CommentTextChar">
    <w:name w:val="Comment Text Char"/>
    <w:link w:val="CommentText"/>
    <w:rsid w:val="0096710C"/>
    <w:rPr>
      <w:rFonts w:ascii="Times New Roman" w:hAnsi="Times New Roman"/>
      <w:spacing w:val="4"/>
      <w:w w:val="103"/>
      <w:lang w:val="es-ES" w:eastAsia="en-US"/>
    </w:rPr>
  </w:style>
  <w:style w:type="paragraph" w:styleId="CommentSubject">
    <w:name w:val="annotation subject"/>
    <w:basedOn w:val="CommentText"/>
    <w:next w:val="CommentText"/>
    <w:link w:val="CommentSubjectChar"/>
    <w:rsid w:val="0096710C"/>
    <w:rPr>
      <w:b/>
      <w:bCs/>
    </w:rPr>
  </w:style>
  <w:style w:type="character" w:customStyle="1" w:styleId="CommentSubjectChar">
    <w:name w:val="Comment Subject Char"/>
    <w:link w:val="CommentSubject"/>
    <w:rsid w:val="0096710C"/>
    <w:rPr>
      <w:rFonts w:ascii="Times New Roman" w:hAnsi="Times New Roman"/>
      <w:b/>
      <w:bCs/>
      <w:spacing w:val="4"/>
      <w:w w:val="103"/>
      <w:lang w:val="es-ES" w:eastAsia="en-US"/>
    </w:rPr>
  </w:style>
  <w:style w:type="character" w:customStyle="1" w:styleId="SingleTxtGChar">
    <w:name w:val="_ Single Txt_G Char"/>
    <w:link w:val="SingleTxtG"/>
    <w:locked/>
    <w:rsid w:val="00B966E3"/>
    <w:rPr>
      <w:lang w:val="fr-CH"/>
    </w:rPr>
  </w:style>
  <w:style w:type="paragraph" w:customStyle="1" w:styleId="SingleTxtG">
    <w:name w:val="_ Single Txt_G"/>
    <w:basedOn w:val="Normal"/>
    <w:link w:val="SingleTxtGChar"/>
    <w:rsid w:val="00B966E3"/>
    <w:pPr>
      <w:spacing w:after="120" w:line="240" w:lineRule="atLeast"/>
      <w:ind w:left="1134" w:right="1134"/>
      <w:jc w:val="both"/>
    </w:pPr>
    <w:rPr>
      <w:rFonts w:ascii="Calibri" w:hAnsi="Calibri"/>
      <w:spacing w:val="0"/>
      <w:w w:val="100"/>
      <w:szCs w:val="20"/>
      <w:lang w:val="fr-CH"/>
    </w:rPr>
  </w:style>
  <w:style w:type="paragraph" w:customStyle="1" w:styleId="H23G">
    <w:name w:val="_ H_2/3_G"/>
    <w:basedOn w:val="Normal"/>
    <w:next w:val="Normal"/>
    <w:rsid w:val="00B966E3"/>
    <w:pPr>
      <w:keepNext/>
      <w:keepLines/>
      <w:tabs>
        <w:tab w:val="right" w:pos="851"/>
      </w:tabs>
      <w:spacing w:before="240" w:after="120"/>
      <w:ind w:left="1134" w:right="1134" w:hanging="1134"/>
    </w:pPr>
    <w:rPr>
      <w:rFonts w:eastAsia="SimSun"/>
      <w:b/>
      <w:spacing w:val="0"/>
      <w:w w:val="100"/>
      <w:szCs w:val="20"/>
      <w:lang w:val="es-ES_tradnl" w:eastAsia="zh-CN"/>
    </w:rPr>
  </w:style>
  <w:style w:type="paragraph" w:customStyle="1" w:styleId="H1G">
    <w:name w:val="_ H_1_G"/>
    <w:basedOn w:val="Normal"/>
    <w:next w:val="Normal"/>
    <w:rsid w:val="00B966E3"/>
    <w:pPr>
      <w:keepNext/>
      <w:keepLines/>
      <w:tabs>
        <w:tab w:val="right" w:pos="851"/>
      </w:tabs>
      <w:spacing w:before="360" w:after="240" w:line="270" w:lineRule="exact"/>
      <w:ind w:left="1134" w:right="1134" w:hanging="1134"/>
    </w:pPr>
    <w:rPr>
      <w:rFonts w:eastAsia="Times New Roman"/>
      <w:b/>
      <w:spacing w:val="0"/>
      <w:w w:val="100"/>
      <w:sz w:val="24"/>
      <w:szCs w:val="20"/>
      <w:lang w:val="fr-CH"/>
    </w:rPr>
  </w:style>
</w:styles>
</file>

<file path=word/webSettings.xml><?xml version="1.0" encoding="utf-8"?>
<w:webSettings xmlns:r="http://schemas.openxmlformats.org/officeDocument/2006/relationships" xmlns:w="http://schemas.openxmlformats.org/wordprocessingml/2006/main">
  <w:divs>
    <w:div w:id="502861306">
      <w:bodyDiv w:val="1"/>
      <w:marLeft w:val="0"/>
      <w:marRight w:val="0"/>
      <w:marTop w:val="0"/>
      <w:marBottom w:val="0"/>
      <w:divBdr>
        <w:top w:val="none" w:sz="0" w:space="0" w:color="auto"/>
        <w:left w:val="none" w:sz="0" w:space="0" w:color="auto"/>
        <w:bottom w:val="none" w:sz="0" w:space="0" w:color="auto"/>
        <w:right w:val="none" w:sz="0" w:space="0" w:color="auto"/>
      </w:divBdr>
    </w:div>
    <w:div w:id="505630817">
      <w:bodyDiv w:val="1"/>
      <w:marLeft w:val="0"/>
      <w:marRight w:val="0"/>
      <w:marTop w:val="0"/>
      <w:marBottom w:val="0"/>
      <w:divBdr>
        <w:top w:val="none" w:sz="0" w:space="0" w:color="auto"/>
        <w:left w:val="none" w:sz="0" w:space="0" w:color="auto"/>
        <w:bottom w:val="none" w:sz="0" w:space="0" w:color="auto"/>
        <w:right w:val="none" w:sz="0" w:space="0" w:color="auto"/>
      </w:divBdr>
    </w:div>
    <w:div w:id="98546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66</TotalTime>
  <Pages>10</Pages>
  <Words>3758</Words>
  <Characters>19241</Characters>
  <Application>Microsoft Office Outlook</Application>
  <DocSecurity>4</DocSecurity>
  <Lines>506</Lines>
  <Paragraphs>175</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22824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Test</dc:creator>
  <cp:keywords/>
  <dc:description/>
  <cp:lastModifiedBy>Test</cp:lastModifiedBy>
  <cp:revision>28</cp:revision>
  <cp:lastPrinted>2014-06-16T16:16:00Z</cp:lastPrinted>
  <dcterms:created xsi:type="dcterms:W3CDTF">2014-06-16T10:06:00Z</dcterms:created>
  <dcterms:modified xsi:type="dcterms:W3CDTF">2014-06-16T16:17:00Z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1403809</vt:lpwstr>
  </property>
  <property fmtid="{D5CDD505-2E9C-101B-9397-08002B2CF9AE}" pid="3" name="ODSRefJobNo">
    <vt:lpwstr>1431915</vt:lpwstr>
  </property>
  <property fmtid="{D5CDD505-2E9C-101B-9397-08002B2CF9AE}" pid="4" name="Symbol1">
    <vt:lpwstr>HRI/CORE/LBR/2014</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1° de mayo de 2014</vt:lpwstr>
  </property>
  <property fmtid="{D5CDD505-2E9C-101B-9397-08002B2CF9AE}" pid="8" name="Original">
    <vt:lpwstr>inglés</vt:lpwstr>
  </property>
  <property fmtid="{D5CDD505-2E9C-101B-9397-08002B2CF9AE}" pid="9" name="Release Date">
    <vt:lpwstr>160614</vt:lpwstr>
  </property>
  <property fmtid="{D5CDD505-2E9C-101B-9397-08002B2CF9AE}" pid="10" name="Comment">
    <vt:lpwstr/>
  </property>
  <property fmtid="{D5CDD505-2E9C-101B-9397-08002B2CF9AE}" pid="11" name="DraftPages">
    <vt:lpwstr> </vt:lpwstr>
  </property>
  <property fmtid="{D5CDD505-2E9C-101B-9397-08002B2CF9AE}" pid="12" name="Operator">
    <vt:lpwstr>JMártin/eoa</vt:lpwstr>
  </property>
  <property fmtid="{D5CDD505-2E9C-101B-9397-08002B2CF9AE}" pid="13" name="Translator">
    <vt:lpwstr>JMártin/eoa</vt:lpwstr>
  </property>
</Properties>
</file>